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49391B8C" w14:textId="77777777" w:rsidTr="00BF1190">
        <w:trPr>
          <w:trHeight w:val="1863"/>
        </w:trPr>
        <w:tc>
          <w:tcPr>
            <w:tcW w:w="3652" w:type="dxa"/>
            <w:tcBorders>
              <w:top w:val="nil"/>
              <w:left w:val="nil"/>
              <w:bottom w:val="nil"/>
              <w:right w:val="nil"/>
            </w:tcBorders>
          </w:tcPr>
          <w:p w14:paraId="082331C6" w14:textId="4D6AC71C" w:rsidR="008E7846" w:rsidRPr="00096AA7" w:rsidRDefault="00317963" w:rsidP="00096AA7">
            <w:pPr>
              <w:rPr>
                <w:rFonts w:ascii="Arial" w:hAnsi="Arial" w:cs="Arial"/>
                <w:b/>
                <w:color w:val="002C47"/>
                <w:sz w:val="36"/>
                <w:szCs w:val="36"/>
              </w:rPr>
            </w:pPr>
            <w:r>
              <w:rPr>
                <w:rFonts w:ascii="Arial" w:hAnsi="Arial" w:cs="Arial"/>
                <w:b/>
                <w:color w:val="002C47"/>
                <w:sz w:val="36"/>
                <w:szCs w:val="36"/>
              </w:rPr>
              <w:t>September</w:t>
            </w:r>
            <w:r w:rsidR="007E5F52">
              <w:rPr>
                <w:rFonts w:ascii="Arial" w:hAnsi="Arial" w:cs="Arial"/>
                <w:b/>
                <w:color w:val="002C47"/>
                <w:sz w:val="36"/>
                <w:szCs w:val="36"/>
              </w:rPr>
              <w:t xml:space="preserve"> </w:t>
            </w:r>
            <w:r w:rsidR="00B07AB8" w:rsidRPr="002D5559">
              <w:rPr>
                <w:rFonts w:ascii="Arial" w:hAnsi="Arial" w:cs="Arial"/>
                <w:b/>
                <w:color w:val="002C47"/>
                <w:sz w:val="36"/>
                <w:szCs w:val="36"/>
              </w:rPr>
              <w:t>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47362121" w14:textId="77777777" w:rsidTr="0032583B">
        <w:trPr>
          <w:trHeight w:val="868"/>
        </w:trPr>
        <w:tc>
          <w:tcPr>
            <w:tcW w:w="9079" w:type="dxa"/>
          </w:tcPr>
          <w:p w14:paraId="2EE2A08E" w14:textId="77777777"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B07AB8">
              <w:rPr>
                <w:color w:val="FFFFFF" w:themeColor="background1"/>
              </w:rPr>
              <w:t>T</w:t>
            </w:r>
            <w:r w:rsidR="00B07AB8" w:rsidRPr="00B07AB8">
              <w:rPr>
                <w:color w:val="FFFFFF" w:themeColor="background1"/>
              </w:rPr>
              <w:t>ofacitinib</w:t>
            </w:r>
            <w:r w:rsidR="00512856">
              <w:rPr>
                <w:color w:val="FFFFFF" w:themeColor="background1"/>
              </w:rPr>
              <w:t xml:space="preserve"> (as citrate)</w:t>
            </w:r>
          </w:p>
        </w:tc>
      </w:tr>
      <w:tr w:rsidR="0032583B" w:rsidRPr="00B64760" w14:paraId="16821D95" w14:textId="77777777" w:rsidTr="0032583B">
        <w:tc>
          <w:tcPr>
            <w:tcW w:w="9079" w:type="dxa"/>
          </w:tcPr>
          <w:p w14:paraId="02A1DC03" w14:textId="77777777"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B07AB8">
              <w:rPr>
                <w:color w:val="FFFFFF" w:themeColor="background1"/>
              </w:rPr>
              <w:t>X</w:t>
            </w:r>
            <w:r w:rsidR="00B07AB8" w:rsidRPr="00B07AB8">
              <w:rPr>
                <w:color w:val="FFFFFF" w:themeColor="background1"/>
              </w:rPr>
              <w:t>eljanz</w:t>
            </w:r>
          </w:p>
        </w:tc>
      </w:tr>
      <w:tr w:rsidR="0032583B" w:rsidRPr="00B64760" w14:paraId="0B4812A8" w14:textId="77777777" w:rsidTr="0032583B">
        <w:trPr>
          <w:trHeight w:val="486"/>
        </w:trPr>
        <w:tc>
          <w:tcPr>
            <w:tcW w:w="9079" w:type="dxa"/>
          </w:tcPr>
          <w:p w14:paraId="18B5A357" w14:textId="77777777" w:rsidR="0032583B" w:rsidRPr="008E7846" w:rsidRDefault="0032583B" w:rsidP="0032583B">
            <w:pPr>
              <w:pStyle w:val="Subtitle"/>
              <w:rPr>
                <w:color w:val="FFFFFF" w:themeColor="background1"/>
              </w:rPr>
            </w:pPr>
            <w:r w:rsidRPr="008E7846">
              <w:rPr>
                <w:color w:val="FFFFFF" w:themeColor="background1"/>
              </w:rPr>
              <w:t xml:space="preserve">Sponsor: </w:t>
            </w:r>
            <w:r w:rsidR="00B07AB8" w:rsidRPr="00B07AB8">
              <w:rPr>
                <w:color w:val="FFFFFF" w:themeColor="background1"/>
              </w:rPr>
              <w:t>Pfizer Australia Pty Ltd</w:t>
            </w:r>
          </w:p>
        </w:tc>
      </w:tr>
    </w:tbl>
    <w:p w14:paraId="67006689" w14:textId="77777777" w:rsidR="008E7846" w:rsidRPr="0085156D" w:rsidRDefault="008E7846" w:rsidP="0085156D">
      <w:r w:rsidRPr="0085156D">
        <w:br w:type="page"/>
      </w:r>
    </w:p>
    <w:p w14:paraId="156A75C1" w14:textId="77777777" w:rsidR="008E7846" w:rsidRPr="001F6CBA" w:rsidRDefault="008E7846" w:rsidP="008E7846">
      <w:pPr>
        <w:pStyle w:val="NonTOCHeading2"/>
      </w:pPr>
      <w:r w:rsidRPr="001F6CBA">
        <w:lastRenderedPageBreak/>
        <w:t>About the Therapeutic Goods Administration (TGA)</w:t>
      </w:r>
    </w:p>
    <w:p w14:paraId="30343ABE" w14:textId="77777777" w:rsidR="008E7846" w:rsidRDefault="008E7846" w:rsidP="007A55D9">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5EBE4564" w14:textId="77777777" w:rsidR="008E7846" w:rsidRDefault="00C80137" w:rsidP="007A55D9">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4478FA46" w14:textId="77777777" w:rsidR="008E7846" w:rsidRDefault="008E7846" w:rsidP="007A55D9">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70262D50" w14:textId="77777777" w:rsidR="008E7846" w:rsidRDefault="008E7846" w:rsidP="007A55D9">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03A546C2" w14:textId="77777777" w:rsidR="00441C3F" w:rsidRDefault="008E7846" w:rsidP="007A55D9">
      <w:pPr>
        <w:pStyle w:val="ListBullet"/>
        <w:numPr>
          <w:ilvl w:val="0"/>
          <w:numId w:val="1"/>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76983B24" w14:textId="77777777" w:rsidR="008E7846" w:rsidRDefault="008E7846" w:rsidP="00875A6B">
      <w:pPr>
        <w:pStyle w:val="NonTOCHeading2"/>
      </w:pPr>
      <w:r>
        <w:t>About AusPARs</w:t>
      </w:r>
    </w:p>
    <w:p w14:paraId="4921DCE6" w14:textId="77777777" w:rsidR="008E7846" w:rsidRDefault="008E7846" w:rsidP="007A55D9">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3324311B" w14:textId="77777777" w:rsidR="008E7846" w:rsidRDefault="008E7846" w:rsidP="007A55D9">
      <w:pPr>
        <w:pStyle w:val="ListBullet"/>
        <w:numPr>
          <w:ilvl w:val="0"/>
          <w:numId w:val="1"/>
        </w:numPr>
        <w:ind w:left="357" w:hanging="357"/>
      </w:pPr>
      <w:r>
        <w:t>AusPARs are prepared and published by the TGA.</w:t>
      </w:r>
    </w:p>
    <w:p w14:paraId="0E7CB293" w14:textId="77777777" w:rsidR="008E7846" w:rsidRDefault="008E7846" w:rsidP="007A55D9">
      <w:pPr>
        <w:pStyle w:val="ListBullet"/>
        <w:numPr>
          <w:ilvl w:val="0"/>
          <w:numId w:val="1"/>
        </w:numPr>
        <w:ind w:left="357" w:hanging="357"/>
      </w:pPr>
      <w:r>
        <w:t>An AusPAR is prepared for submissions that relate to new chemical entities, generic medicines, major variations and extensions of indications.</w:t>
      </w:r>
    </w:p>
    <w:p w14:paraId="60DB7C1B" w14:textId="77777777" w:rsidR="008E7846" w:rsidRDefault="008E7846" w:rsidP="007A55D9">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5F34F551" w14:textId="77777777" w:rsidR="00B452CE" w:rsidRDefault="008E7846" w:rsidP="007A55D9">
      <w:pPr>
        <w:pStyle w:val="ListBullet"/>
        <w:numPr>
          <w:ilvl w:val="0"/>
          <w:numId w:val="1"/>
        </w:numPr>
        <w:ind w:left="357" w:hanging="357"/>
      </w:pPr>
      <w:r>
        <w:t>A new AusPAR will be developed to reflect changes to indications and/or major variations to a prescription medicine subject to evaluation by the TGA.</w:t>
      </w:r>
    </w:p>
    <w:p w14:paraId="0DB418A5" w14:textId="77777777" w:rsidR="00924482" w:rsidRPr="00DF1D7F" w:rsidRDefault="00924482" w:rsidP="00F54B65">
      <w:pPr>
        <w:pStyle w:val="LegalSubheading"/>
        <w:spacing w:before="3120"/>
      </w:pPr>
      <w:r w:rsidRPr="00DF1D7F">
        <w:t>Copyright</w:t>
      </w:r>
    </w:p>
    <w:p w14:paraId="51221ADA" w14:textId="77777777" w:rsidR="00924482" w:rsidRDefault="00924482" w:rsidP="00924482">
      <w:pPr>
        <w:pStyle w:val="LegalCopy"/>
      </w:pPr>
      <w:r w:rsidRPr="00191B3B">
        <w:rPr>
          <w:rFonts w:cs="Arial"/>
          <w:lang w:val="en-GB"/>
        </w:rPr>
        <w:t>© Comm</w:t>
      </w:r>
      <w:r>
        <w:rPr>
          <w:rFonts w:cs="Arial"/>
          <w:lang w:val="en-GB"/>
        </w:rPr>
        <w:t>onwealth of Australia 201</w:t>
      </w:r>
      <w:r w:rsidR="00C52E24">
        <w:rPr>
          <w:rFonts w:cs="Arial"/>
          <w:lang w:val="en-GB"/>
        </w:rPr>
        <w:t>9</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246CFDC8"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04509A4E" w14:textId="77777777" w:rsidR="0089635C" w:rsidRPr="0089635C" w:rsidRDefault="0089635C" w:rsidP="0010788A">
          <w:pPr>
            <w:pStyle w:val="Contents"/>
          </w:pPr>
          <w:r w:rsidRPr="0010788A">
            <w:t>Conte</w:t>
          </w:r>
          <w:bookmarkStart w:id="2" w:name="_GoBack"/>
          <w:bookmarkEnd w:id="2"/>
          <w:r w:rsidRPr="0010788A">
            <w:t>nts</w:t>
          </w:r>
        </w:p>
        <w:p w14:paraId="1636E58E" w14:textId="204C3377" w:rsidR="0063014B"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22048598" w:history="1">
            <w:r w:rsidR="0063014B" w:rsidRPr="002D55CC">
              <w:rPr>
                <w:rStyle w:val="Hyperlink"/>
                <w:noProof/>
              </w:rPr>
              <w:t>Common abbreviations</w:t>
            </w:r>
            <w:r w:rsidR="0063014B">
              <w:rPr>
                <w:noProof/>
                <w:webHidden/>
              </w:rPr>
              <w:tab/>
            </w:r>
            <w:r w:rsidR="0063014B">
              <w:rPr>
                <w:noProof/>
                <w:webHidden/>
              </w:rPr>
              <w:fldChar w:fldCharType="begin"/>
            </w:r>
            <w:r w:rsidR="0063014B">
              <w:rPr>
                <w:noProof/>
                <w:webHidden/>
              </w:rPr>
              <w:instrText xml:space="preserve"> PAGEREF _Toc22048598 \h </w:instrText>
            </w:r>
            <w:r w:rsidR="0063014B">
              <w:rPr>
                <w:noProof/>
                <w:webHidden/>
              </w:rPr>
            </w:r>
            <w:r w:rsidR="0063014B">
              <w:rPr>
                <w:noProof/>
                <w:webHidden/>
              </w:rPr>
              <w:fldChar w:fldCharType="separate"/>
            </w:r>
            <w:r w:rsidR="0063014B">
              <w:rPr>
                <w:noProof/>
                <w:webHidden/>
              </w:rPr>
              <w:t>5</w:t>
            </w:r>
            <w:r w:rsidR="0063014B">
              <w:rPr>
                <w:noProof/>
                <w:webHidden/>
              </w:rPr>
              <w:fldChar w:fldCharType="end"/>
            </w:r>
          </w:hyperlink>
        </w:p>
        <w:p w14:paraId="53112744" w14:textId="4DFC10E2" w:rsidR="0063014B" w:rsidRDefault="0063014B">
          <w:pPr>
            <w:pStyle w:val="TOC2"/>
            <w:rPr>
              <w:rFonts w:asciiTheme="minorHAnsi" w:eastAsiaTheme="minorEastAsia" w:hAnsiTheme="minorHAnsi" w:cstheme="minorBidi"/>
              <w:b w:val="0"/>
              <w:noProof/>
              <w:sz w:val="22"/>
              <w:lang w:eastAsia="en-AU"/>
            </w:rPr>
          </w:pPr>
          <w:hyperlink w:anchor="_Toc22048599" w:history="1">
            <w:r w:rsidRPr="002D55CC">
              <w:rPr>
                <w:rStyle w:val="Hyperlink"/>
                <w:noProof/>
              </w:rPr>
              <w:t>I. Introduction to product submission</w:t>
            </w:r>
            <w:r>
              <w:rPr>
                <w:noProof/>
                <w:webHidden/>
              </w:rPr>
              <w:tab/>
            </w:r>
            <w:r>
              <w:rPr>
                <w:noProof/>
                <w:webHidden/>
              </w:rPr>
              <w:fldChar w:fldCharType="begin"/>
            </w:r>
            <w:r>
              <w:rPr>
                <w:noProof/>
                <w:webHidden/>
              </w:rPr>
              <w:instrText xml:space="preserve"> PAGEREF _Toc22048599 \h </w:instrText>
            </w:r>
            <w:r>
              <w:rPr>
                <w:noProof/>
                <w:webHidden/>
              </w:rPr>
            </w:r>
            <w:r>
              <w:rPr>
                <w:noProof/>
                <w:webHidden/>
              </w:rPr>
              <w:fldChar w:fldCharType="separate"/>
            </w:r>
            <w:r>
              <w:rPr>
                <w:noProof/>
                <w:webHidden/>
              </w:rPr>
              <w:t>10</w:t>
            </w:r>
            <w:r>
              <w:rPr>
                <w:noProof/>
                <w:webHidden/>
              </w:rPr>
              <w:fldChar w:fldCharType="end"/>
            </w:r>
          </w:hyperlink>
        </w:p>
        <w:p w14:paraId="541C3BC3" w14:textId="2260E0BB" w:rsidR="0063014B" w:rsidRDefault="0063014B">
          <w:pPr>
            <w:pStyle w:val="TOC3"/>
            <w:rPr>
              <w:rFonts w:asciiTheme="minorHAnsi" w:eastAsiaTheme="minorEastAsia" w:hAnsiTheme="minorHAnsi" w:cstheme="minorBidi"/>
              <w:noProof/>
              <w:lang w:eastAsia="en-AU"/>
            </w:rPr>
          </w:pPr>
          <w:hyperlink w:anchor="_Toc22048600" w:history="1">
            <w:r w:rsidRPr="002D55CC">
              <w:rPr>
                <w:rStyle w:val="Hyperlink"/>
                <w:noProof/>
                <w:lang w:eastAsia="en-AU"/>
              </w:rPr>
              <w:t>Submission details</w:t>
            </w:r>
            <w:r>
              <w:rPr>
                <w:noProof/>
                <w:webHidden/>
              </w:rPr>
              <w:tab/>
            </w:r>
            <w:r>
              <w:rPr>
                <w:noProof/>
                <w:webHidden/>
              </w:rPr>
              <w:fldChar w:fldCharType="begin"/>
            </w:r>
            <w:r>
              <w:rPr>
                <w:noProof/>
                <w:webHidden/>
              </w:rPr>
              <w:instrText xml:space="preserve"> PAGEREF _Toc22048600 \h </w:instrText>
            </w:r>
            <w:r>
              <w:rPr>
                <w:noProof/>
                <w:webHidden/>
              </w:rPr>
            </w:r>
            <w:r>
              <w:rPr>
                <w:noProof/>
                <w:webHidden/>
              </w:rPr>
              <w:fldChar w:fldCharType="separate"/>
            </w:r>
            <w:r>
              <w:rPr>
                <w:noProof/>
                <w:webHidden/>
              </w:rPr>
              <w:t>10</w:t>
            </w:r>
            <w:r>
              <w:rPr>
                <w:noProof/>
                <w:webHidden/>
              </w:rPr>
              <w:fldChar w:fldCharType="end"/>
            </w:r>
          </w:hyperlink>
        </w:p>
        <w:p w14:paraId="5A2D7C6F" w14:textId="6C27697C" w:rsidR="0063014B" w:rsidRDefault="0063014B">
          <w:pPr>
            <w:pStyle w:val="TOC3"/>
            <w:rPr>
              <w:rFonts w:asciiTheme="minorHAnsi" w:eastAsiaTheme="minorEastAsia" w:hAnsiTheme="minorHAnsi" w:cstheme="minorBidi"/>
              <w:noProof/>
              <w:lang w:eastAsia="en-AU"/>
            </w:rPr>
          </w:pPr>
          <w:hyperlink w:anchor="_Toc22048601" w:history="1">
            <w:r w:rsidRPr="002D55CC">
              <w:rPr>
                <w:rStyle w:val="Hyperlink"/>
                <w:noProof/>
              </w:rPr>
              <w:t>Product background</w:t>
            </w:r>
            <w:r>
              <w:rPr>
                <w:noProof/>
                <w:webHidden/>
              </w:rPr>
              <w:tab/>
            </w:r>
            <w:r>
              <w:rPr>
                <w:noProof/>
                <w:webHidden/>
              </w:rPr>
              <w:fldChar w:fldCharType="begin"/>
            </w:r>
            <w:r>
              <w:rPr>
                <w:noProof/>
                <w:webHidden/>
              </w:rPr>
              <w:instrText xml:space="preserve"> PAGEREF _Toc22048601 \h </w:instrText>
            </w:r>
            <w:r>
              <w:rPr>
                <w:noProof/>
                <w:webHidden/>
              </w:rPr>
            </w:r>
            <w:r>
              <w:rPr>
                <w:noProof/>
                <w:webHidden/>
              </w:rPr>
              <w:fldChar w:fldCharType="separate"/>
            </w:r>
            <w:r>
              <w:rPr>
                <w:noProof/>
                <w:webHidden/>
              </w:rPr>
              <w:t>10</w:t>
            </w:r>
            <w:r>
              <w:rPr>
                <w:noProof/>
                <w:webHidden/>
              </w:rPr>
              <w:fldChar w:fldCharType="end"/>
            </w:r>
          </w:hyperlink>
        </w:p>
        <w:p w14:paraId="1E0B8AF0" w14:textId="3FAB578E" w:rsidR="0063014B" w:rsidRDefault="0063014B">
          <w:pPr>
            <w:pStyle w:val="TOC3"/>
            <w:rPr>
              <w:rFonts w:asciiTheme="minorHAnsi" w:eastAsiaTheme="minorEastAsia" w:hAnsiTheme="minorHAnsi" w:cstheme="minorBidi"/>
              <w:noProof/>
              <w:lang w:eastAsia="en-AU"/>
            </w:rPr>
          </w:pPr>
          <w:hyperlink w:anchor="_Toc22048602" w:history="1">
            <w:r w:rsidRPr="002D55CC">
              <w:rPr>
                <w:rStyle w:val="Hyperlink"/>
                <w:noProof/>
              </w:rPr>
              <w:t>Regulatory status</w:t>
            </w:r>
            <w:r>
              <w:rPr>
                <w:noProof/>
                <w:webHidden/>
              </w:rPr>
              <w:tab/>
            </w:r>
            <w:r>
              <w:rPr>
                <w:noProof/>
                <w:webHidden/>
              </w:rPr>
              <w:fldChar w:fldCharType="begin"/>
            </w:r>
            <w:r>
              <w:rPr>
                <w:noProof/>
                <w:webHidden/>
              </w:rPr>
              <w:instrText xml:space="preserve"> PAGEREF _Toc22048602 \h </w:instrText>
            </w:r>
            <w:r>
              <w:rPr>
                <w:noProof/>
                <w:webHidden/>
              </w:rPr>
            </w:r>
            <w:r>
              <w:rPr>
                <w:noProof/>
                <w:webHidden/>
              </w:rPr>
              <w:fldChar w:fldCharType="separate"/>
            </w:r>
            <w:r>
              <w:rPr>
                <w:noProof/>
                <w:webHidden/>
              </w:rPr>
              <w:t>11</w:t>
            </w:r>
            <w:r>
              <w:rPr>
                <w:noProof/>
                <w:webHidden/>
              </w:rPr>
              <w:fldChar w:fldCharType="end"/>
            </w:r>
          </w:hyperlink>
        </w:p>
        <w:p w14:paraId="3BDDE025" w14:textId="4D6E1223" w:rsidR="0063014B" w:rsidRDefault="0063014B">
          <w:pPr>
            <w:pStyle w:val="TOC3"/>
            <w:rPr>
              <w:rFonts w:asciiTheme="minorHAnsi" w:eastAsiaTheme="minorEastAsia" w:hAnsiTheme="minorHAnsi" w:cstheme="minorBidi"/>
              <w:noProof/>
              <w:lang w:eastAsia="en-AU"/>
            </w:rPr>
          </w:pPr>
          <w:hyperlink w:anchor="_Toc22048603" w:history="1">
            <w:r w:rsidRPr="002D55CC">
              <w:rPr>
                <w:rStyle w:val="Hyperlink"/>
                <w:noProof/>
              </w:rPr>
              <w:t>Product Information</w:t>
            </w:r>
            <w:r>
              <w:rPr>
                <w:noProof/>
                <w:webHidden/>
              </w:rPr>
              <w:tab/>
            </w:r>
            <w:r>
              <w:rPr>
                <w:noProof/>
                <w:webHidden/>
              </w:rPr>
              <w:fldChar w:fldCharType="begin"/>
            </w:r>
            <w:r>
              <w:rPr>
                <w:noProof/>
                <w:webHidden/>
              </w:rPr>
              <w:instrText xml:space="preserve"> PAGEREF _Toc22048603 \h </w:instrText>
            </w:r>
            <w:r>
              <w:rPr>
                <w:noProof/>
                <w:webHidden/>
              </w:rPr>
            </w:r>
            <w:r>
              <w:rPr>
                <w:noProof/>
                <w:webHidden/>
              </w:rPr>
              <w:fldChar w:fldCharType="separate"/>
            </w:r>
            <w:r>
              <w:rPr>
                <w:noProof/>
                <w:webHidden/>
              </w:rPr>
              <w:t>12</w:t>
            </w:r>
            <w:r>
              <w:rPr>
                <w:noProof/>
                <w:webHidden/>
              </w:rPr>
              <w:fldChar w:fldCharType="end"/>
            </w:r>
          </w:hyperlink>
        </w:p>
        <w:p w14:paraId="49ECC5CE" w14:textId="6C2C88D5" w:rsidR="0063014B" w:rsidRDefault="0063014B">
          <w:pPr>
            <w:pStyle w:val="TOC2"/>
            <w:rPr>
              <w:rFonts w:asciiTheme="minorHAnsi" w:eastAsiaTheme="minorEastAsia" w:hAnsiTheme="minorHAnsi" w:cstheme="minorBidi"/>
              <w:b w:val="0"/>
              <w:noProof/>
              <w:sz w:val="22"/>
              <w:lang w:eastAsia="en-AU"/>
            </w:rPr>
          </w:pPr>
          <w:hyperlink w:anchor="_Toc22048604" w:history="1">
            <w:r w:rsidRPr="002D55CC">
              <w:rPr>
                <w:rStyle w:val="Hyperlink"/>
                <w:noProof/>
              </w:rPr>
              <w:t>II. Registration time line</w:t>
            </w:r>
            <w:r>
              <w:rPr>
                <w:noProof/>
                <w:webHidden/>
              </w:rPr>
              <w:tab/>
            </w:r>
            <w:r>
              <w:rPr>
                <w:noProof/>
                <w:webHidden/>
              </w:rPr>
              <w:fldChar w:fldCharType="begin"/>
            </w:r>
            <w:r>
              <w:rPr>
                <w:noProof/>
                <w:webHidden/>
              </w:rPr>
              <w:instrText xml:space="preserve"> PAGEREF _Toc22048604 \h </w:instrText>
            </w:r>
            <w:r>
              <w:rPr>
                <w:noProof/>
                <w:webHidden/>
              </w:rPr>
            </w:r>
            <w:r>
              <w:rPr>
                <w:noProof/>
                <w:webHidden/>
              </w:rPr>
              <w:fldChar w:fldCharType="separate"/>
            </w:r>
            <w:r>
              <w:rPr>
                <w:noProof/>
                <w:webHidden/>
              </w:rPr>
              <w:t>12</w:t>
            </w:r>
            <w:r>
              <w:rPr>
                <w:noProof/>
                <w:webHidden/>
              </w:rPr>
              <w:fldChar w:fldCharType="end"/>
            </w:r>
          </w:hyperlink>
        </w:p>
        <w:p w14:paraId="1B6D4BED" w14:textId="07C2FEBD" w:rsidR="0063014B" w:rsidRDefault="0063014B">
          <w:pPr>
            <w:pStyle w:val="TOC2"/>
            <w:rPr>
              <w:rFonts w:asciiTheme="minorHAnsi" w:eastAsiaTheme="minorEastAsia" w:hAnsiTheme="minorHAnsi" w:cstheme="minorBidi"/>
              <w:b w:val="0"/>
              <w:noProof/>
              <w:sz w:val="22"/>
              <w:lang w:eastAsia="en-AU"/>
            </w:rPr>
          </w:pPr>
          <w:hyperlink w:anchor="_Toc22048605" w:history="1">
            <w:r w:rsidRPr="002D55CC">
              <w:rPr>
                <w:rStyle w:val="Hyperlink"/>
                <w:noProof/>
              </w:rPr>
              <w:t>III. Quality findings</w:t>
            </w:r>
            <w:r>
              <w:rPr>
                <w:noProof/>
                <w:webHidden/>
              </w:rPr>
              <w:tab/>
            </w:r>
            <w:r>
              <w:rPr>
                <w:noProof/>
                <w:webHidden/>
              </w:rPr>
              <w:fldChar w:fldCharType="begin"/>
            </w:r>
            <w:r>
              <w:rPr>
                <w:noProof/>
                <w:webHidden/>
              </w:rPr>
              <w:instrText xml:space="preserve"> PAGEREF _Toc22048605 \h </w:instrText>
            </w:r>
            <w:r>
              <w:rPr>
                <w:noProof/>
                <w:webHidden/>
              </w:rPr>
            </w:r>
            <w:r>
              <w:rPr>
                <w:noProof/>
                <w:webHidden/>
              </w:rPr>
              <w:fldChar w:fldCharType="separate"/>
            </w:r>
            <w:r>
              <w:rPr>
                <w:noProof/>
                <w:webHidden/>
              </w:rPr>
              <w:t>13</w:t>
            </w:r>
            <w:r>
              <w:rPr>
                <w:noProof/>
                <w:webHidden/>
              </w:rPr>
              <w:fldChar w:fldCharType="end"/>
            </w:r>
          </w:hyperlink>
        </w:p>
        <w:p w14:paraId="4B067FA4" w14:textId="4DB0F13B" w:rsidR="0063014B" w:rsidRDefault="0063014B">
          <w:pPr>
            <w:pStyle w:val="TOC2"/>
            <w:rPr>
              <w:rFonts w:asciiTheme="minorHAnsi" w:eastAsiaTheme="minorEastAsia" w:hAnsiTheme="minorHAnsi" w:cstheme="minorBidi"/>
              <w:b w:val="0"/>
              <w:noProof/>
              <w:sz w:val="22"/>
              <w:lang w:eastAsia="en-AU"/>
            </w:rPr>
          </w:pPr>
          <w:hyperlink w:anchor="_Toc22048606" w:history="1">
            <w:r w:rsidRPr="002D55CC">
              <w:rPr>
                <w:rStyle w:val="Hyperlink"/>
                <w:noProof/>
              </w:rPr>
              <w:t>IV. Nonclinical findings</w:t>
            </w:r>
            <w:r>
              <w:rPr>
                <w:noProof/>
                <w:webHidden/>
              </w:rPr>
              <w:tab/>
            </w:r>
            <w:r>
              <w:rPr>
                <w:noProof/>
                <w:webHidden/>
              </w:rPr>
              <w:fldChar w:fldCharType="begin"/>
            </w:r>
            <w:r>
              <w:rPr>
                <w:noProof/>
                <w:webHidden/>
              </w:rPr>
              <w:instrText xml:space="preserve"> PAGEREF _Toc22048606 \h </w:instrText>
            </w:r>
            <w:r>
              <w:rPr>
                <w:noProof/>
                <w:webHidden/>
              </w:rPr>
            </w:r>
            <w:r>
              <w:rPr>
                <w:noProof/>
                <w:webHidden/>
              </w:rPr>
              <w:fldChar w:fldCharType="separate"/>
            </w:r>
            <w:r>
              <w:rPr>
                <w:noProof/>
                <w:webHidden/>
              </w:rPr>
              <w:t>13</w:t>
            </w:r>
            <w:r>
              <w:rPr>
                <w:noProof/>
                <w:webHidden/>
              </w:rPr>
              <w:fldChar w:fldCharType="end"/>
            </w:r>
          </w:hyperlink>
        </w:p>
        <w:p w14:paraId="535B876D" w14:textId="22407DB4" w:rsidR="0063014B" w:rsidRDefault="0063014B">
          <w:pPr>
            <w:pStyle w:val="TOC3"/>
            <w:rPr>
              <w:rFonts w:asciiTheme="minorHAnsi" w:eastAsiaTheme="minorEastAsia" w:hAnsiTheme="minorHAnsi" w:cstheme="minorBidi"/>
              <w:noProof/>
              <w:lang w:eastAsia="en-AU"/>
            </w:rPr>
          </w:pPr>
          <w:hyperlink w:anchor="_Toc22048607" w:history="1">
            <w:r w:rsidRPr="002D55CC">
              <w:rPr>
                <w:rStyle w:val="Hyperlink"/>
                <w:noProof/>
              </w:rPr>
              <w:t>Introduction</w:t>
            </w:r>
            <w:r>
              <w:rPr>
                <w:noProof/>
                <w:webHidden/>
              </w:rPr>
              <w:tab/>
            </w:r>
            <w:r>
              <w:rPr>
                <w:noProof/>
                <w:webHidden/>
              </w:rPr>
              <w:fldChar w:fldCharType="begin"/>
            </w:r>
            <w:r>
              <w:rPr>
                <w:noProof/>
                <w:webHidden/>
              </w:rPr>
              <w:instrText xml:space="preserve"> PAGEREF _Toc22048607 \h </w:instrText>
            </w:r>
            <w:r>
              <w:rPr>
                <w:noProof/>
                <w:webHidden/>
              </w:rPr>
            </w:r>
            <w:r>
              <w:rPr>
                <w:noProof/>
                <w:webHidden/>
              </w:rPr>
              <w:fldChar w:fldCharType="separate"/>
            </w:r>
            <w:r>
              <w:rPr>
                <w:noProof/>
                <w:webHidden/>
              </w:rPr>
              <w:t>13</w:t>
            </w:r>
            <w:r>
              <w:rPr>
                <w:noProof/>
                <w:webHidden/>
              </w:rPr>
              <w:fldChar w:fldCharType="end"/>
            </w:r>
          </w:hyperlink>
        </w:p>
        <w:p w14:paraId="79673A0F" w14:textId="2E17ED1A" w:rsidR="0063014B" w:rsidRDefault="0063014B">
          <w:pPr>
            <w:pStyle w:val="TOC3"/>
            <w:rPr>
              <w:rFonts w:asciiTheme="minorHAnsi" w:eastAsiaTheme="minorEastAsia" w:hAnsiTheme="minorHAnsi" w:cstheme="minorBidi"/>
              <w:noProof/>
              <w:lang w:eastAsia="en-AU"/>
            </w:rPr>
          </w:pPr>
          <w:hyperlink w:anchor="_Toc22048608" w:history="1">
            <w:r w:rsidRPr="002D55CC">
              <w:rPr>
                <w:rStyle w:val="Hyperlink"/>
                <w:noProof/>
              </w:rPr>
              <w:t>Pharmacology</w:t>
            </w:r>
            <w:r>
              <w:rPr>
                <w:noProof/>
                <w:webHidden/>
              </w:rPr>
              <w:tab/>
            </w:r>
            <w:r>
              <w:rPr>
                <w:noProof/>
                <w:webHidden/>
              </w:rPr>
              <w:fldChar w:fldCharType="begin"/>
            </w:r>
            <w:r>
              <w:rPr>
                <w:noProof/>
                <w:webHidden/>
              </w:rPr>
              <w:instrText xml:space="preserve"> PAGEREF _Toc22048608 \h </w:instrText>
            </w:r>
            <w:r>
              <w:rPr>
                <w:noProof/>
                <w:webHidden/>
              </w:rPr>
            </w:r>
            <w:r>
              <w:rPr>
                <w:noProof/>
                <w:webHidden/>
              </w:rPr>
              <w:fldChar w:fldCharType="separate"/>
            </w:r>
            <w:r>
              <w:rPr>
                <w:noProof/>
                <w:webHidden/>
              </w:rPr>
              <w:t>14</w:t>
            </w:r>
            <w:r>
              <w:rPr>
                <w:noProof/>
                <w:webHidden/>
              </w:rPr>
              <w:fldChar w:fldCharType="end"/>
            </w:r>
          </w:hyperlink>
        </w:p>
        <w:p w14:paraId="082B4D02" w14:textId="366A18BE" w:rsidR="0063014B" w:rsidRDefault="0063014B">
          <w:pPr>
            <w:pStyle w:val="TOC3"/>
            <w:rPr>
              <w:rFonts w:asciiTheme="minorHAnsi" w:eastAsiaTheme="minorEastAsia" w:hAnsiTheme="minorHAnsi" w:cstheme="minorBidi"/>
              <w:noProof/>
              <w:lang w:eastAsia="en-AU"/>
            </w:rPr>
          </w:pPr>
          <w:hyperlink w:anchor="_Toc22048609" w:history="1">
            <w:r w:rsidRPr="002D55CC">
              <w:rPr>
                <w:rStyle w:val="Hyperlink"/>
                <w:noProof/>
              </w:rPr>
              <w:t>Pharmacokinetics</w:t>
            </w:r>
            <w:r>
              <w:rPr>
                <w:noProof/>
                <w:webHidden/>
              </w:rPr>
              <w:tab/>
            </w:r>
            <w:r>
              <w:rPr>
                <w:noProof/>
                <w:webHidden/>
              </w:rPr>
              <w:fldChar w:fldCharType="begin"/>
            </w:r>
            <w:r>
              <w:rPr>
                <w:noProof/>
                <w:webHidden/>
              </w:rPr>
              <w:instrText xml:space="preserve"> PAGEREF _Toc22048609 \h </w:instrText>
            </w:r>
            <w:r>
              <w:rPr>
                <w:noProof/>
                <w:webHidden/>
              </w:rPr>
            </w:r>
            <w:r>
              <w:rPr>
                <w:noProof/>
                <w:webHidden/>
              </w:rPr>
              <w:fldChar w:fldCharType="separate"/>
            </w:r>
            <w:r>
              <w:rPr>
                <w:noProof/>
                <w:webHidden/>
              </w:rPr>
              <w:t>19</w:t>
            </w:r>
            <w:r>
              <w:rPr>
                <w:noProof/>
                <w:webHidden/>
              </w:rPr>
              <w:fldChar w:fldCharType="end"/>
            </w:r>
          </w:hyperlink>
        </w:p>
        <w:p w14:paraId="00360D70" w14:textId="0F6C2F13" w:rsidR="0063014B" w:rsidRDefault="0063014B">
          <w:pPr>
            <w:pStyle w:val="TOC3"/>
            <w:rPr>
              <w:rFonts w:asciiTheme="minorHAnsi" w:eastAsiaTheme="minorEastAsia" w:hAnsiTheme="minorHAnsi" w:cstheme="minorBidi"/>
              <w:noProof/>
              <w:lang w:eastAsia="en-AU"/>
            </w:rPr>
          </w:pPr>
          <w:hyperlink w:anchor="_Toc22048610" w:history="1">
            <w:r w:rsidRPr="002D55CC">
              <w:rPr>
                <w:rStyle w:val="Hyperlink"/>
                <w:noProof/>
              </w:rPr>
              <w:t>Toxicology</w:t>
            </w:r>
            <w:r>
              <w:rPr>
                <w:noProof/>
                <w:webHidden/>
              </w:rPr>
              <w:tab/>
            </w:r>
            <w:r>
              <w:rPr>
                <w:noProof/>
                <w:webHidden/>
              </w:rPr>
              <w:fldChar w:fldCharType="begin"/>
            </w:r>
            <w:r>
              <w:rPr>
                <w:noProof/>
                <w:webHidden/>
              </w:rPr>
              <w:instrText xml:space="preserve"> PAGEREF _Toc22048610 \h </w:instrText>
            </w:r>
            <w:r>
              <w:rPr>
                <w:noProof/>
                <w:webHidden/>
              </w:rPr>
            </w:r>
            <w:r>
              <w:rPr>
                <w:noProof/>
                <w:webHidden/>
              </w:rPr>
              <w:fldChar w:fldCharType="separate"/>
            </w:r>
            <w:r>
              <w:rPr>
                <w:noProof/>
                <w:webHidden/>
              </w:rPr>
              <w:t>20</w:t>
            </w:r>
            <w:r>
              <w:rPr>
                <w:noProof/>
                <w:webHidden/>
              </w:rPr>
              <w:fldChar w:fldCharType="end"/>
            </w:r>
          </w:hyperlink>
        </w:p>
        <w:p w14:paraId="34AE2EA5" w14:textId="66CB84A9" w:rsidR="0063014B" w:rsidRDefault="0063014B">
          <w:pPr>
            <w:pStyle w:val="TOC3"/>
            <w:rPr>
              <w:rFonts w:asciiTheme="minorHAnsi" w:eastAsiaTheme="minorEastAsia" w:hAnsiTheme="minorHAnsi" w:cstheme="minorBidi"/>
              <w:noProof/>
              <w:lang w:eastAsia="en-AU"/>
            </w:rPr>
          </w:pPr>
          <w:hyperlink w:anchor="_Toc22048611" w:history="1">
            <w:r w:rsidRPr="002D55CC">
              <w:rPr>
                <w:rStyle w:val="Hyperlink"/>
                <w:noProof/>
              </w:rPr>
              <w:t>Nonclinical summary and conclusions</w:t>
            </w:r>
            <w:r>
              <w:rPr>
                <w:noProof/>
                <w:webHidden/>
              </w:rPr>
              <w:tab/>
            </w:r>
            <w:r>
              <w:rPr>
                <w:noProof/>
                <w:webHidden/>
              </w:rPr>
              <w:fldChar w:fldCharType="begin"/>
            </w:r>
            <w:r>
              <w:rPr>
                <w:noProof/>
                <w:webHidden/>
              </w:rPr>
              <w:instrText xml:space="preserve"> PAGEREF _Toc22048611 \h </w:instrText>
            </w:r>
            <w:r>
              <w:rPr>
                <w:noProof/>
                <w:webHidden/>
              </w:rPr>
            </w:r>
            <w:r>
              <w:rPr>
                <w:noProof/>
                <w:webHidden/>
              </w:rPr>
              <w:fldChar w:fldCharType="separate"/>
            </w:r>
            <w:r>
              <w:rPr>
                <w:noProof/>
                <w:webHidden/>
              </w:rPr>
              <w:t>20</w:t>
            </w:r>
            <w:r>
              <w:rPr>
                <w:noProof/>
                <w:webHidden/>
              </w:rPr>
              <w:fldChar w:fldCharType="end"/>
            </w:r>
          </w:hyperlink>
        </w:p>
        <w:p w14:paraId="1940492F" w14:textId="126243AC" w:rsidR="0063014B" w:rsidRDefault="0063014B">
          <w:pPr>
            <w:pStyle w:val="TOC2"/>
            <w:rPr>
              <w:rFonts w:asciiTheme="minorHAnsi" w:eastAsiaTheme="minorEastAsia" w:hAnsiTheme="minorHAnsi" w:cstheme="minorBidi"/>
              <w:b w:val="0"/>
              <w:noProof/>
              <w:sz w:val="22"/>
              <w:lang w:eastAsia="en-AU"/>
            </w:rPr>
          </w:pPr>
          <w:hyperlink w:anchor="_Toc22048612" w:history="1">
            <w:r w:rsidRPr="002D55CC">
              <w:rPr>
                <w:rStyle w:val="Hyperlink"/>
                <w:noProof/>
              </w:rPr>
              <w:t>V. Clinical findings</w:t>
            </w:r>
            <w:r>
              <w:rPr>
                <w:noProof/>
                <w:webHidden/>
              </w:rPr>
              <w:tab/>
            </w:r>
            <w:r>
              <w:rPr>
                <w:noProof/>
                <w:webHidden/>
              </w:rPr>
              <w:fldChar w:fldCharType="begin"/>
            </w:r>
            <w:r>
              <w:rPr>
                <w:noProof/>
                <w:webHidden/>
              </w:rPr>
              <w:instrText xml:space="preserve"> PAGEREF _Toc22048612 \h </w:instrText>
            </w:r>
            <w:r>
              <w:rPr>
                <w:noProof/>
                <w:webHidden/>
              </w:rPr>
            </w:r>
            <w:r>
              <w:rPr>
                <w:noProof/>
                <w:webHidden/>
              </w:rPr>
              <w:fldChar w:fldCharType="separate"/>
            </w:r>
            <w:r>
              <w:rPr>
                <w:noProof/>
                <w:webHidden/>
              </w:rPr>
              <w:t>21</w:t>
            </w:r>
            <w:r>
              <w:rPr>
                <w:noProof/>
                <w:webHidden/>
              </w:rPr>
              <w:fldChar w:fldCharType="end"/>
            </w:r>
          </w:hyperlink>
        </w:p>
        <w:p w14:paraId="52445EC0" w14:textId="27C619E0" w:rsidR="0063014B" w:rsidRDefault="0063014B">
          <w:pPr>
            <w:pStyle w:val="TOC3"/>
            <w:rPr>
              <w:rFonts w:asciiTheme="minorHAnsi" w:eastAsiaTheme="minorEastAsia" w:hAnsiTheme="minorHAnsi" w:cstheme="minorBidi"/>
              <w:noProof/>
              <w:lang w:eastAsia="en-AU"/>
            </w:rPr>
          </w:pPr>
          <w:hyperlink w:anchor="_Toc22048613" w:history="1">
            <w:r w:rsidRPr="002D55CC">
              <w:rPr>
                <w:rStyle w:val="Hyperlink"/>
                <w:noProof/>
              </w:rPr>
              <w:t>Introduction</w:t>
            </w:r>
            <w:r>
              <w:rPr>
                <w:noProof/>
                <w:webHidden/>
              </w:rPr>
              <w:tab/>
            </w:r>
            <w:r>
              <w:rPr>
                <w:noProof/>
                <w:webHidden/>
              </w:rPr>
              <w:fldChar w:fldCharType="begin"/>
            </w:r>
            <w:r>
              <w:rPr>
                <w:noProof/>
                <w:webHidden/>
              </w:rPr>
              <w:instrText xml:space="preserve"> PAGEREF _Toc22048613 \h </w:instrText>
            </w:r>
            <w:r>
              <w:rPr>
                <w:noProof/>
                <w:webHidden/>
              </w:rPr>
            </w:r>
            <w:r>
              <w:rPr>
                <w:noProof/>
                <w:webHidden/>
              </w:rPr>
              <w:fldChar w:fldCharType="separate"/>
            </w:r>
            <w:r>
              <w:rPr>
                <w:noProof/>
                <w:webHidden/>
              </w:rPr>
              <w:t>21</w:t>
            </w:r>
            <w:r>
              <w:rPr>
                <w:noProof/>
                <w:webHidden/>
              </w:rPr>
              <w:fldChar w:fldCharType="end"/>
            </w:r>
          </w:hyperlink>
        </w:p>
        <w:p w14:paraId="23F3BAF4" w14:textId="2E5FE400" w:rsidR="0063014B" w:rsidRDefault="0063014B">
          <w:pPr>
            <w:pStyle w:val="TOC3"/>
            <w:rPr>
              <w:rFonts w:asciiTheme="minorHAnsi" w:eastAsiaTheme="minorEastAsia" w:hAnsiTheme="minorHAnsi" w:cstheme="minorBidi"/>
              <w:noProof/>
              <w:lang w:eastAsia="en-AU"/>
            </w:rPr>
          </w:pPr>
          <w:hyperlink w:anchor="_Toc22048614" w:history="1">
            <w:r w:rsidRPr="002D55CC">
              <w:rPr>
                <w:rStyle w:val="Hyperlink"/>
                <w:noProof/>
              </w:rPr>
              <w:t>Pharmacokinetics</w:t>
            </w:r>
            <w:r>
              <w:rPr>
                <w:noProof/>
                <w:webHidden/>
              </w:rPr>
              <w:tab/>
            </w:r>
            <w:r>
              <w:rPr>
                <w:noProof/>
                <w:webHidden/>
              </w:rPr>
              <w:fldChar w:fldCharType="begin"/>
            </w:r>
            <w:r>
              <w:rPr>
                <w:noProof/>
                <w:webHidden/>
              </w:rPr>
              <w:instrText xml:space="preserve"> PAGEREF _Toc22048614 \h </w:instrText>
            </w:r>
            <w:r>
              <w:rPr>
                <w:noProof/>
                <w:webHidden/>
              </w:rPr>
            </w:r>
            <w:r>
              <w:rPr>
                <w:noProof/>
                <w:webHidden/>
              </w:rPr>
              <w:fldChar w:fldCharType="separate"/>
            </w:r>
            <w:r>
              <w:rPr>
                <w:noProof/>
                <w:webHidden/>
              </w:rPr>
              <w:t>23</w:t>
            </w:r>
            <w:r>
              <w:rPr>
                <w:noProof/>
                <w:webHidden/>
              </w:rPr>
              <w:fldChar w:fldCharType="end"/>
            </w:r>
          </w:hyperlink>
        </w:p>
        <w:p w14:paraId="5857D5E4" w14:textId="57332033" w:rsidR="0063014B" w:rsidRDefault="0063014B">
          <w:pPr>
            <w:pStyle w:val="TOC3"/>
            <w:rPr>
              <w:rFonts w:asciiTheme="minorHAnsi" w:eastAsiaTheme="minorEastAsia" w:hAnsiTheme="minorHAnsi" w:cstheme="minorBidi"/>
              <w:noProof/>
              <w:lang w:eastAsia="en-AU"/>
            </w:rPr>
          </w:pPr>
          <w:hyperlink w:anchor="_Toc22048615" w:history="1">
            <w:r w:rsidRPr="002D55CC">
              <w:rPr>
                <w:rStyle w:val="Hyperlink"/>
                <w:noProof/>
              </w:rPr>
              <w:t>Pharmacodynamics</w:t>
            </w:r>
            <w:r>
              <w:rPr>
                <w:noProof/>
                <w:webHidden/>
              </w:rPr>
              <w:tab/>
            </w:r>
            <w:r>
              <w:rPr>
                <w:noProof/>
                <w:webHidden/>
              </w:rPr>
              <w:fldChar w:fldCharType="begin"/>
            </w:r>
            <w:r>
              <w:rPr>
                <w:noProof/>
                <w:webHidden/>
              </w:rPr>
              <w:instrText xml:space="preserve"> PAGEREF _Toc22048615 \h </w:instrText>
            </w:r>
            <w:r>
              <w:rPr>
                <w:noProof/>
                <w:webHidden/>
              </w:rPr>
            </w:r>
            <w:r>
              <w:rPr>
                <w:noProof/>
                <w:webHidden/>
              </w:rPr>
              <w:fldChar w:fldCharType="separate"/>
            </w:r>
            <w:r>
              <w:rPr>
                <w:noProof/>
                <w:webHidden/>
              </w:rPr>
              <w:t>26</w:t>
            </w:r>
            <w:r>
              <w:rPr>
                <w:noProof/>
                <w:webHidden/>
              </w:rPr>
              <w:fldChar w:fldCharType="end"/>
            </w:r>
          </w:hyperlink>
        </w:p>
        <w:p w14:paraId="3CB56EF5" w14:textId="563CCADC" w:rsidR="0063014B" w:rsidRDefault="0063014B">
          <w:pPr>
            <w:pStyle w:val="TOC3"/>
            <w:rPr>
              <w:rFonts w:asciiTheme="minorHAnsi" w:eastAsiaTheme="minorEastAsia" w:hAnsiTheme="minorHAnsi" w:cstheme="minorBidi"/>
              <w:noProof/>
              <w:lang w:eastAsia="en-AU"/>
            </w:rPr>
          </w:pPr>
          <w:hyperlink w:anchor="_Toc22048616" w:history="1">
            <w:r w:rsidRPr="002D55CC">
              <w:rPr>
                <w:rStyle w:val="Hyperlink"/>
                <w:noProof/>
              </w:rPr>
              <w:t>Dosage selection for the pivotal studies</w:t>
            </w:r>
            <w:r>
              <w:rPr>
                <w:noProof/>
                <w:webHidden/>
              </w:rPr>
              <w:tab/>
            </w:r>
            <w:r>
              <w:rPr>
                <w:noProof/>
                <w:webHidden/>
              </w:rPr>
              <w:fldChar w:fldCharType="begin"/>
            </w:r>
            <w:r>
              <w:rPr>
                <w:noProof/>
                <w:webHidden/>
              </w:rPr>
              <w:instrText xml:space="preserve"> PAGEREF _Toc22048616 \h </w:instrText>
            </w:r>
            <w:r>
              <w:rPr>
                <w:noProof/>
                <w:webHidden/>
              </w:rPr>
            </w:r>
            <w:r>
              <w:rPr>
                <w:noProof/>
                <w:webHidden/>
              </w:rPr>
              <w:fldChar w:fldCharType="separate"/>
            </w:r>
            <w:r>
              <w:rPr>
                <w:noProof/>
                <w:webHidden/>
              </w:rPr>
              <w:t>26</w:t>
            </w:r>
            <w:r>
              <w:rPr>
                <w:noProof/>
                <w:webHidden/>
              </w:rPr>
              <w:fldChar w:fldCharType="end"/>
            </w:r>
          </w:hyperlink>
        </w:p>
        <w:p w14:paraId="176E92C2" w14:textId="07F217C9" w:rsidR="0063014B" w:rsidRDefault="0063014B">
          <w:pPr>
            <w:pStyle w:val="TOC3"/>
            <w:rPr>
              <w:rFonts w:asciiTheme="minorHAnsi" w:eastAsiaTheme="minorEastAsia" w:hAnsiTheme="minorHAnsi" w:cstheme="minorBidi"/>
              <w:noProof/>
              <w:lang w:eastAsia="en-AU"/>
            </w:rPr>
          </w:pPr>
          <w:hyperlink w:anchor="_Toc22048617" w:history="1">
            <w:r w:rsidRPr="002D55CC">
              <w:rPr>
                <w:rStyle w:val="Hyperlink"/>
                <w:noProof/>
              </w:rPr>
              <w:t>Efficacy</w:t>
            </w:r>
            <w:r>
              <w:rPr>
                <w:noProof/>
                <w:webHidden/>
              </w:rPr>
              <w:tab/>
            </w:r>
            <w:r>
              <w:rPr>
                <w:noProof/>
                <w:webHidden/>
              </w:rPr>
              <w:fldChar w:fldCharType="begin"/>
            </w:r>
            <w:r>
              <w:rPr>
                <w:noProof/>
                <w:webHidden/>
              </w:rPr>
              <w:instrText xml:space="preserve"> PAGEREF _Toc22048617 \h </w:instrText>
            </w:r>
            <w:r>
              <w:rPr>
                <w:noProof/>
                <w:webHidden/>
              </w:rPr>
            </w:r>
            <w:r>
              <w:rPr>
                <w:noProof/>
                <w:webHidden/>
              </w:rPr>
              <w:fldChar w:fldCharType="separate"/>
            </w:r>
            <w:r>
              <w:rPr>
                <w:noProof/>
                <w:webHidden/>
              </w:rPr>
              <w:t>27</w:t>
            </w:r>
            <w:r>
              <w:rPr>
                <w:noProof/>
                <w:webHidden/>
              </w:rPr>
              <w:fldChar w:fldCharType="end"/>
            </w:r>
          </w:hyperlink>
        </w:p>
        <w:p w14:paraId="0800E995" w14:textId="5E7CE66B" w:rsidR="0063014B" w:rsidRDefault="0063014B">
          <w:pPr>
            <w:pStyle w:val="TOC3"/>
            <w:rPr>
              <w:rFonts w:asciiTheme="minorHAnsi" w:eastAsiaTheme="minorEastAsia" w:hAnsiTheme="minorHAnsi" w:cstheme="minorBidi"/>
              <w:noProof/>
              <w:lang w:eastAsia="en-AU"/>
            </w:rPr>
          </w:pPr>
          <w:hyperlink w:anchor="_Toc22048618" w:history="1">
            <w:r w:rsidRPr="002D55CC">
              <w:rPr>
                <w:rStyle w:val="Hyperlink"/>
                <w:noProof/>
              </w:rPr>
              <w:t>Safety</w:t>
            </w:r>
            <w:r>
              <w:rPr>
                <w:noProof/>
                <w:webHidden/>
              </w:rPr>
              <w:tab/>
            </w:r>
            <w:r>
              <w:rPr>
                <w:noProof/>
                <w:webHidden/>
              </w:rPr>
              <w:fldChar w:fldCharType="begin"/>
            </w:r>
            <w:r>
              <w:rPr>
                <w:noProof/>
                <w:webHidden/>
              </w:rPr>
              <w:instrText xml:space="preserve"> PAGEREF _Toc22048618 \h </w:instrText>
            </w:r>
            <w:r>
              <w:rPr>
                <w:noProof/>
                <w:webHidden/>
              </w:rPr>
            </w:r>
            <w:r>
              <w:rPr>
                <w:noProof/>
                <w:webHidden/>
              </w:rPr>
              <w:fldChar w:fldCharType="separate"/>
            </w:r>
            <w:r>
              <w:rPr>
                <w:noProof/>
                <w:webHidden/>
              </w:rPr>
              <w:t>28</w:t>
            </w:r>
            <w:r>
              <w:rPr>
                <w:noProof/>
                <w:webHidden/>
              </w:rPr>
              <w:fldChar w:fldCharType="end"/>
            </w:r>
          </w:hyperlink>
        </w:p>
        <w:p w14:paraId="260DA916" w14:textId="717FAB61" w:rsidR="0063014B" w:rsidRDefault="0063014B">
          <w:pPr>
            <w:pStyle w:val="TOC3"/>
            <w:rPr>
              <w:rFonts w:asciiTheme="minorHAnsi" w:eastAsiaTheme="minorEastAsia" w:hAnsiTheme="minorHAnsi" w:cstheme="minorBidi"/>
              <w:noProof/>
              <w:lang w:eastAsia="en-AU"/>
            </w:rPr>
          </w:pPr>
          <w:hyperlink w:anchor="_Toc22048619" w:history="1">
            <w:r w:rsidRPr="002D55CC">
              <w:rPr>
                <w:rStyle w:val="Hyperlink"/>
                <w:noProof/>
              </w:rPr>
              <w:t>First round benefit-risk assessment</w:t>
            </w:r>
            <w:r>
              <w:rPr>
                <w:noProof/>
                <w:webHidden/>
              </w:rPr>
              <w:tab/>
            </w:r>
            <w:r>
              <w:rPr>
                <w:noProof/>
                <w:webHidden/>
              </w:rPr>
              <w:fldChar w:fldCharType="begin"/>
            </w:r>
            <w:r>
              <w:rPr>
                <w:noProof/>
                <w:webHidden/>
              </w:rPr>
              <w:instrText xml:space="preserve"> PAGEREF _Toc22048619 \h </w:instrText>
            </w:r>
            <w:r>
              <w:rPr>
                <w:noProof/>
                <w:webHidden/>
              </w:rPr>
            </w:r>
            <w:r>
              <w:rPr>
                <w:noProof/>
                <w:webHidden/>
              </w:rPr>
              <w:fldChar w:fldCharType="separate"/>
            </w:r>
            <w:r>
              <w:rPr>
                <w:noProof/>
                <w:webHidden/>
              </w:rPr>
              <w:t>35</w:t>
            </w:r>
            <w:r>
              <w:rPr>
                <w:noProof/>
                <w:webHidden/>
              </w:rPr>
              <w:fldChar w:fldCharType="end"/>
            </w:r>
          </w:hyperlink>
        </w:p>
        <w:p w14:paraId="751C6E0E" w14:textId="19BC31D5" w:rsidR="0063014B" w:rsidRDefault="0063014B">
          <w:pPr>
            <w:pStyle w:val="TOC3"/>
            <w:rPr>
              <w:rFonts w:asciiTheme="minorHAnsi" w:eastAsiaTheme="minorEastAsia" w:hAnsiTheme="minorHAnsi" w:cstheme="minorBidi"/>
              <w:noProof/>
              <w:lang w:eastAsia="en-AU"/>
            </w:rPr>
          </w:pPr>
          <w:hyperlink w:anchor="_Toc22048620" w:history="1">
            <w:r w:rsidRPr="002D55CC">
              <w:rPr>
                <w:rStyle w:val="Hyperlink"/>
                <w:noProof/>
              </w:rPr>
              <w:t>First round recommendation regarding authorisation</w:t>
            </w:r>
            <w:r>
              <w:rPr>
                <w:noProof/>
                <w:webHidden/>
              </w:rPr>
              <w:tab/>
            </w:r>
            <w:r>
              <w:rPr>
                <w:noProof/>
                <w:webHidden/>
              </w:rPr>
              <w:fldChar w:fldCharType="begin"/>
            </w:r>
            <w:r>
              <w:rPr>
                <w:noProof/>
                <w:webHidden/>
              </w:rPr>
              <w:instrText xml:space="preserve"> PAGEREF _Toc22048620 \h </w:instrText>
            </w:r>
            <w:r>
              <w:rPr>
                <w:noProof/>
                <w:webHidden/>
              </w:rPr>
            </w:r>
            <w:r>
              <w:rPr>
                <w:noProof/>
                <w:webHidden/>
              </w:rPr>
              <w:fldChar w:fldCharType="separate"/>
            </w:r>
            <w:r>
              <w:rPr>
                <w:noProof/>
                <w:webHidden/>
              </w:rPr>
              <w:t>37</w:t>
            </w:r>
            <w:r>
              <w:rPr>
                <w:noProof/>
                <w:webHidden/>
              </w:rPr>
              <w:fldChar w:fldCharType="end"/>
            </w:r>
          </w:hyperlink>
        </w:p>
        <w:p w14:paraId="5EB710B6" w14:textId="5A93BBC8" w:rsidR="0063014B" w:rsidRDefault="0063014B">
          <w:pPr>
            <w:pStyle w:val="TOC3"/>
            <w:rPr>
              <w:rFonts w:asciiTheme="minorHAnsi" w:eastAsiaTheme="minorEastAsia" w:hAnsiTheme="minorHAnsi" w:cstheme="minorBidi"/>
              <w:noProof/>
              <w:lang w:eastAsia="en-AU"/>
            </w:rPr>
          </w:pPr>
          <w:hyperlink w:anchor="_Toc22048621" w:history="1">
            <w:r w:rsidRPr="002D55CC">
              <w:rPr>
                <w:rStyle w:val="Hyperlink"/>
                <w:noProof/>
              </w:rPr>
              <w:t>Clinical questions and second round evaluation</w:t>
            </w:r>
            <w:r>
              <w:rPr>
                <w:noProof/>
                <w:webHidden/>
              </w:rPr>
              <w:tab/>
            </w:r>
            <w:r>
              <w:rPr>
                <w:noProof/>
                <w:webHidden/>
              </w:rPr>
              <w:fldChar w:fldCharType="begin"/>
            </w:r>
            <w:r>
              <w:rPr>
                <w:noProof/>
                <w:webHidden/>
              </w:rPr>
              <w:instrText xml:space="preserve"> PAGEREF _Toc22048621 \h </w:instrText>
            </w:r>
            <w:r>
              <w:rPr>
                <w:noProof/>
                <w:webHidden/>
              </w:rPr>
            </w:r>
            <w:r>
              <w:rPr>
                <w:noProof/>
                <w:webHidden/>
              </w:rPr>
              <w:fldChar w:fldCharType="separate"/>
            </w:r>
            <w:r>
              <w:rPr>
                <w:noProof/>
                <w:webHidden/>
              </w:rPr>
              <w:t>38</w:t>
            </w:r>
            <w:r>
              <w:rPr>
                <w:noProof/>
                <w:webHidden/>
              </w:rPr>
              <w:fldChar w:fldCharType="end"/>
            </w:r>
          </w:hyperlink>
        </w:p>
        <w:p w14:paraId="3008F940" w14:textId="251D40F7" w:rsidR="0063014B" w:rsidRDefault="0063014B">
          <w:pPr>
            <w:pStyle w:val="TOC3"/>
            <w:rPr>
              <w:rFonts w:asciiTheme="minorHAnsi" w:eastAsiaTheme="minorEastAsia" w:hAnsiTheme="minorHAnsi" w:cstheme="minorBidi"/>
              <w:noProof/>
              <w:lang w:eastAsia="en-AU"/>
            </w:rPr>
          </w:pPr>
          <w:hyperlink w:anchor="_Toc22048622" w:history="1">
            <w:r w:rsidRPr="002D55CC">
              <w:rPr>
                <w:rStyle w:val="Hyperlink"/>
                <w:noProof/>
              </w:rPr>
              <w:t>Second round benefit-risk assessment</w:t>
            </w:r>
            <w:r>
              <w:rPr>
                <w:noProof/>
                <w:webHidden/>
              </w:rPr>
              <w:tab/>
            </w:r>
            <w:r>
              <w:rPr>
                <w:noProof/>
                <w:webHidden/>
              </w:rPr>
              <w:fldChar w:fldCharType="begin"/>
            </w:r>
            <w:r>
              <w:rPr>
                <w:noProof/>
                <w:webHidden/>
              </w:rPr>
              <w:instrText xml:space="preserve"> PAGEREF _Toc22048622 \h </w:instrText>
            </w:r>
            <w:r>
              <w:rPr>
                <w:noProof/>
                <w:webHidden/>
              </w:rPr>
            </w:r>
            <w:r>
              <w:rPr>
                <w:noProof/>
                <w:webHidden/>
              </w:rPr>
              <w:fldChar w:fldCharType="separate"/>
            </w:r>
            <w:r>
              <w:rPr>
                <w:noProof/>
                <w:webHidden/>
              </w:rPr>
              <w:t>46</w:t>
            </w:r>
            <w:r>
              <w:rPr>
                <w:noProof/>
                <w:webHidden/>
              </w:rPr>
              <w:fldChar w:fldCharType="end"/>
            </w:r>
          </w:hyperlink>
        </w:p>
        <w:p w14:paraId="634ECBA3" w14:textId="58C6ADBE" w:rsidR="0063014B" w:rsidRDefault="0063014B">
          <w:pPr>
            <w:pStyle w:val="TOC2"/>
            <w:rPr>
              <w:rFonts w:asciiTheme="minorHAnsi" w:eastAsiaTheme="minorEastAsia" w:hAnsiTheme="minorHAnsi" w:cstheme="minorBidi"/>
              <w:b w:val="0"/>
              <w:noProof/>
              <w:sz w:val="22"/>
              <w:lang w:eastAsia="en-AU"/>
            </w:rPr>
          </w:pPr>
          <w:hyperlink w:anchor="_Toc22048623" w:history="1">
            <w:r w:rsidRPr="002D55CC">
              <w:rPr>
                <w:rStyle w:val="Hyperlink"/>
                <w:noProof/>
              </w:rPr>
              <w:t>VI. Pharmacovigilance findings</w:t>
            </w:r>
            <w:r>
              <w:rPr>
                <w:noProof/>
                <w:webHidden/>
              </w:rPr>
              <w:tab/>
            </w:r>
            <w:r>
              <w:rPr>
                <w:noProof/>
                <w:webHidden/>
              </w:rPr>
              <w:fldChar w:fldCharType="begin"/>
            </w:r>
            <w:r>
              <w:rPr>
                <w:noProof/>
                <w:webHidden/>
              </w:rPr>
              <w:instrText xml:space="preserve"> PAGEREF _Toc22048623 \h </w:instrText>
            </w:r>
            <w:r>
              <w:rPr>
                <w:noProof/>
                <w:webHidden/>
              </w:rPr>
            </w:r>
            <w:r>
              <w:rPr>
                <w:noProof/>
                <w:webHidden/>
              </w:rPr>
              <w:fldChar w:fldCharType="separate"/>
            </w:r>
            <w:r>
              <w:rPr>
                <w:noProof/>
                <w:webHidden/>
              </w:rPr>
              <w:t>47</w:t>
            </w:r>
            <w:r>
              <w:rPr>
                <w:noProof/>
                <w:webHidden/>
              </w:rPr>
              <w:fldChar w:fldCharType="end"/>
            </w:r>
          </w:hyperlink>
        </w:p>
        <w:p w14:paraId="60E71FAD" w14:textId="72ACF8FE" w:rsidR="0063014B" w:rsidRDefault="0063014B">
          <w:pPr>
            <w:pStyle w:val="TOC3"/>
            <w:rPr>
              <w:rFonts w:asciiTheme="minorHAnsi" w:eastAsiaTheme="minorEastAsia" w:hAnsiTheme="minorHAnsi" w:cstheme="minorBidi"/>
              <w:noProof/>
              <w:lang w:eastAsia="en-AU"/>
            </w:rPr>
          </w:pPr>
          <w:hyperlink w:anchor="_Toc22048624" w:history="1">
            <w:r w:rsidRPr="002D55CC">
              <w:rPr>
                <w:rStyle w:val="Hyperlink"/>
                <w:noProof/>
                <w:lang w:eastAsia="en-AU"/>
              </w:rPr>
              <w:t>Risk management plan</w:t>
            </w:r>
            <w:r>
              <w:rPr>
                <w:noProof/>
                <w:webHidden/>
              </w:rPr>
              <w:tab/>
            </w:r>
            <w:r>
              <w:rPr>
                <w:noProof/>
                <w:webHidden/>
              </w:rPr>
              <w:fldChar w:fldCharType="begin"/>
            </w:r>
            <w:r>
              <w:rPr>
                <w:noProof/>
                <w:webHidden/>
              </w:rPr>
              <w:instrText xml:space="preserve"> PAGEREF _Toc22048624 \h </w:instrText>
            </w:r>
            <w:r>
              <w:rPr>
                <w:noProof/>
                <w:webHidden/>
              </w:rPr>
            </w:r>
            <w:r>
              <w:rPr>
                <w:noProof/>
                <w:webHidden/>
              </w:rPr>
              <w:fldChar w:fldCharType="separate"/>
            </w:r>
            <w:r>
              <w:rPr>
                <w:noProof/>
                <w:webHidden/>
              </w:rPr>
              <w:t>47</w:t>
            </w:r>
            <w:r>
              <w:rPr>
                <w:noProof/>
                <w:webHidden/>
              </w:rPr>
              <w:fldChar w:fldCharType="end"/>
            </w:r>
          </w:hyperlink>
        </w:p>
        <w:p w14:paraId="1DB72C88" w14:textId="25480691" w:rsidR="0063014B" w:rsidRDefault="0063014B">
          <w:pPr>
            <w:pStyle w:val="TOC2"/>
            <w:rPr>
              <w:rFonts w:asciiTheme="minorHAnsi" w:eastAsiaTheme="minorEastAsia" w:hAnsiTheme="minorHAnsi" w:cstheme="minorBidi"/>
              <w:b w:val="0"/>
              <w:noProof/>
              <w:sz w:val="22"/>
              <w:lang w:eastAsia="en-AU"/>
            </w:rPr>
          </w:pPr>
          <w:hyperlink w:anchor="_Toc22048625" w:history="1">
            <w:r w:rsidRPr="002D55CC">
              <w:rPr>
                <w:rStyle w:val="Hyperlink"/>
                <w:noProof/>
              </w:rPr>
              <w:t>VII. Overall conclusion and risk/benefit assessment</w:t>
            </w:r>
            <w:r>
              <w:rPr>
                <w:noProof/>
                <w:webHidden/>
              </w:rPr>
              <w:tab/>
            </w:r>
            <w:r>
              <w:rPr>
                <w:noProof/>
                <w:webHidden/>
              </w:rPr>
              <w:fldChar w:fldCharType="begin"/>
            </w:r>
            <w:r>
              <w:rPr>
                <w:noProof/>
                <w:webHidden/>
              </w:rPr>
              <w:instrText xml:space="preserve"> PAGEREF _Toc22048625 \h </w:instrText>
            </w:r>
            <w:r>
              <w:rPr>
                <w:noProof/>
                <w:webHidden/>
              </w:rPr>
            </w:r>
            <w:r>
              <w:rPr>
                <w:noProof/>
                <w:webHidden/>
              </w:rPr>
              <w:fldChar w:fldCharType="separate"/>
            </w:r>
            <w:r>
              <w:rPr>
                <w:noProof/>
                <w:webHidden/>
              </w:rPr>
              <w:t>50</w:t>
            </w:r>
            <w:r>
              <w:rPr>
                <w:noProof/>
                <w:webHidden/>
              </w:rPr>
              <w:fldChar w:fldCharType="end"/>
            </w:r>
          </w:hyperlink>
        </w:p>
        <w:p w14:paraId="17341A7A" w14:textId="25B9F819" w:rsidR="0063014B" w:rsidRDefault="0063014B">
          <w:pPr>
            <w:pStyle w:val="TOC3"/>
            <w:rPr>
              <w:rFonts w:asciiTheme="minorHAnsi" w:eastAsiaTheme="minorEastAsia" w:hAnsiTheme="minorHAnsi" w:cstheme="minorBidi"/>
              <w:noProof/>
              <w:lang w:eastAsia="en-AU"/>
            </w:rPr>
          </w:pPr>
          <w:hyperlink w:anchor="_Toc22048626" w:history="1">
            <w:r w:rsidRPr="002D55CC">
              <w:rPr>
                <w:rStyle w:val="Hyperlink"/>
                <w:noProof/>
              </w:rPr>
              <w:t>Background</w:t>
            </w:r>
            <w:r>
              <w:rPr>
                <w:noProof/>
                <w:webHidden/>
              </w:rPr>
              <w:tab/>
            </w:r>
            <w:r>
              <w:rPr>
                <w:noProof/>
                <w:webHidden/>
              </w:rPr>
              <w:fldChar w:fldCharType="begin"/>
            </w:r>
            <w:r>
              <w:rPr>
                <w:noProof/>
                <w:webHidden/>
              </w:rPr>
              <w:instrText xml:space="preserve"> PAGEREF _Toc22048626 \h </w:instrText>
            </w:r>
            <w:r>
              <w:rPr>
                <w:noProof/>
                <w:webHidden/>
              </w:rPr>
            </w:r>
            <w:r>
              <w:rPr>
                <w:noProof/>
                <w:webHidden/>
              </w:rPr>
              <w:fldChar w:fldCharType="separate"/>
            </w:r>
            <w:r>
              <w:rPr>
                <w:noProof/>
                <w:webHidden/>
              </w:rPr>
              <w:t>50</w:t>
            </w:r>
            <w:r>
              <w:rPr>
                <w:noProof/>
                <w:webHidden/>
              </w:rPr>
              <w:fldChar w:fldCharType="end"/>
            </w:r>
          </w:hyperlink>
        </w:p>
        <w:p w14:paraId="44E86F38" w14:textId="4FA55D61" w:rsidR="0063014B" w:rsidRDefault="0063014B">
          <w:pPr>
            <w:pStyle w:val="TOC3"/>
            <w:rPr>
              <w:rFonts w:asciiTheme="minorHAnsi" w:eastAsiaTheme="minorEastAsia" w:hAnsiTheme="minorHAnsi" w:cstheme="minorBidi"/>
              <w:noProof/>
              <w:lang w:eastAsia="en-AU"/>
            </w:rPr>
          </w:pPr>
          <w:hyperlink w:anchor="_Toc22048627" w:history="1">
            <w:r w:rsidRPr="002D55CC">
              <w:rPr>
                <w:rStyle w:val="Hyperlink"/>
                <w:noProof/>
              </w:rPr>
              <w:t>Quality</w:t>
            </w:r>
            <w:r>
              <w:rPr>
                <w:noProof/>
                <w:webHidden/>
              </w:rPr>
              <w:tab/>
            </w:r>
            <w:r>
              <w:rPr>
                <w:noProof/>
                <w:webHidden/>
              </w:rPr>
              <w:fldChar w:fldCharType="begin"/>
            </w:r>
            <w:r>
              <w:rPr>
                <w:noProof/>
                <w:webHidden/>
              </w:rPr>
              <w:instrText xml:space="preserve"> PAGEREF _Toc22048627 \h </w:instrText>
            </w:r>
            <w:r>
              <w:rPr>
                <w:noProof/>
                <w:webHidden/>
              </w:rPr>
            </w:r>
            <w:r>
              <w:rPr>
                <w:noProof/>
                <w:webHidden/>
              </w:rPr>
              <w:fldChar w:fldCharType="separate"/>
            </w:r>
            <w:r>
              <w:rPr>
                <w:noProof/>
                <w:webHidden/>
              </w:rPr>
              <w:t>52</w:t>
            </w:r>
            <w:r>
              <w:rPr>
                <w:noProof/>
                <w:webHidden/>
              </w:rPr>
              <w:fldChar w:fldCharType="end"/>
            </w:r>
          </w:hyperlink>
        </w:p>
        <w:p w14:paraId="23FF9A53" w14:textId="4699A80B" w:rsidR="0063014B" w:rsidRDefault="0063014B">
          <w:pPr>
            <w:pStyle w:val="TOC3"/>
            <w:rPr>
              <w:rFonts w:asciiTheme="minorHAnsi" w:eastAsiaTheme="minorEastAsia" w:hAnsiTheme="minorHAnsi" w:cstheme="minorBidi"/>
              <w:noProof/>
              <w:lang w:eastAsia="en-AU"/>
            </w:rPr>
          </w:pPr>
          <w:hyperlink w:anchor="_Toc22048628" w:history="1">
            <w:r w:rsidRPr="002D55CC">
              <w:rPr>
                <w:rStyle w:val="Hyperlink"/>
                <w:noProof/>
              </w:rPr>
              <w:t>Nonclinical</w:t>
            </w:r>
            <w:r>
              <w:rPr>
                <w:noProof/>
                <w:webHidden/>
              </w:rPr>
              <w:tab/>
            </w:r>
            <w:r>
              <w:rPr>
                <w:noProof/>
                <w:webHidden/>
              </w:rPr>
              <w:fldChar w:fldCharType="begin"/>
            </w:r>
            <w:r>
              <w:rPr>
                <w:noProof/>
                <w:webHidden/>
              </w:rPr>
              <w:instrText xml:space="preserve"> PAGEREF _Toc22048628 \h </w:instrText>
            </w:r>
            <w:r>
              <w:rPr>
                <w:noProof/>
                <w:webHidden/>
              </w:rPr>
            </w:r>
            <w:r>
              <w:rPr>
                <w:noProof/>
                <w:webHidden/>
              </w:rPr>
              <w:fldChar w:fldCharType="separate"/>
            </w:r>
            <w:r>
              <w:rPr>
                <w:noProof/>
                <w:webHidden/>
              </w:rPr>
              <w:t>52</w:t>
            </w:r>
            <w:r>
              <w:rPr>
                <w:noProof/>
                <w:webHidden/>
              </w:rPr>
              <w:fldChar w:fldCharType="end"/>
            </w:r>
          </w:hyperlink>
        </w:p>
        <w:p w14:paraId="1FD039F8" w14:textId="7178CF89" w:rsidR="0063014B" w:rsidRDefault="0063014B">
          <w:pPr>
            <w:pStyle w:val="TOC3"/>
            <w:rPr>
              <w:rFonts w:asciiTheme="minorHAnsi" w:eastAsiaTheme="minorEastAsia" w:hAnsiTheme="minorHAnsi" w:cstheme="minorBidi"/>
              <w:noProof/>
              <w:lang w:eastAsia="en-AU"/>
            </w:rPr>
          </w:pPr>
          <w:hyperlink w:anchor="_Toc22048629" w:history="1">
            <w:r w:rsidRPr="002D55CC">
              <w:rPr>
                <w:rStyle w:val="Hyperlink"/>
                <w:noProof/>
              </w:rPr>
              <w:t>Clinical</w:t>
            </w:r>
            <w:r>
              <w:rPr>
                <w:noProof/>
                <w:webHidden/>
              </w:rPr>
              <w:tab/>
            </w:r>
            <w:r>
              <w:rPr>
                <w:noProof/>
                <w:webHidden/>
              </w:rPr>
              <w:fldChar w:fldCharType="begin"/>
            </w:r>
            <w:r>
              <w:rPr>
                <w:noProof/>
                <w:webHidden/>
              </w:rPr>
              <w:instrText xml:space="preserve"> PAGEREF _Toc22048629 \h </w:instrText>
            </w:r>
            <w:r>
              <w:rPr>
                <w:noProof/>
                <w:webHidden/>
              </w:rPr>
            </w:r>
            <w:r>
              <w:rPr>
                <w:noProof/>
                <w:webHidden/>
              </w:rPr>
              <w:fldChar w:fldCharType="separate"/>
            </w:r>
            <w:r>
              <w:rPr>
                <w:noProof/>
                <w:webHidden/>
              </w:rPr>
              <w:t>52</w:t>
            </w:r>
            <w:r>
              <w:rPr>
                <w:noProof/>
                <w:webHidden/>
              </w:rPr>
              <w:fldChar w:fldCharType="end"/>
            </w:r>
          </w:hyperlink>
        </w:p>
        <w:p w14:paraId="124CB471" w14:textId="5CD002D2" w:rsidR="0063014B" w:rsidRDefault="0063014B">
          <w:pPr>
            <w:pStyle w:val="TOC3"/>
            <w:rPr>
              <w:rFonts w:asciiTheme="minorHAnsi" w:eastAsiaTheme="minorEastAsia" w:hAnsiTheme="minorHAnsi" w:cstheme="minorBidi"/>
              <w:noProof/>
              <w:lang w:eastAsia="en-AU"/>
            </w:rPr>
          </w:pPr>
          <w:hyperlink w:anchor="_Toc22048630" w:history="1">
            <w:r w:rsidRPr="002D55CC">
              <w:rPr>
                <w:rStyle w:val="Hyperlink"/>
                <w:noProof/>
                <w:lang w:eastAsia="en-AU"/>
              </w:rPr>
              <w:t>Risk management plan</w:t>
            </w:r>
            <w:r>
              <w:rPr>
                <w:noProof/>
                <w:webHidden/>
              </w:rPr>
              <w:tab/>
            </w:r>
            <w:r>
              <w:rPr>
                <w:noProof/>
                <w:webHidden/>
              </w:rPr>
              <w:fldChar w:fldCharType="begin"/>
            </w:r>
            <w:r>
              <w:rPr>
                <w:noProof/>
                <w:webHidden/>
              </w:rPr>
              <w:instrText xml:space="preserve"> PAGEREF _Toc22048630 \h </w:instrText>
            </w:r>
            <w:r>
              <w:rPr>
                <w:noProof/>
                <w:webHidden/>
              </w:rPr>
            </w:r>
            <w:r>
              <w:rPr>
                <w:noProof/>
                <w:webHidden/>
              </w:rPr>
              <w:fldChar w:fldCharType="separate"/>
            </w:r>
            <w:r>
              <w:rPr>
                <w:noProof/>
                <w:webHidden/>
              </w:rPr>
              <w:t>58</w:t>
            </w:r>
            <w:r>
              <w:rPr>
                <w:noProof/>
                <w:webHidden/>
              </w:rPr>
              <w:fldChar w:fldCharType="end"/>
            </w:r>
          </w:hyperlink>
        </w:p>
        <w:p w14:paraId="23B30242" w14:textId="3020A593" w:rsidR="0063014B" w:rsidRDefault="0063014B">
          <w:pPr>
            <w:pStyle w:val="TOC3"/>
            <w:rPr>
              <w:rFonts w:asciiTheme="minorHAnsi" w:eastAsiaTheme="minorEastAsia" w:hAnsiTheme="minorHAnsi" w:cstheme="minorBidi"/>
              <w:noProof/>
              <w:lang w:eastAsia="en-AU"/>
            </w:rPr>
          </w:pPr>
          <w:hyperlink w:anchor="_Toc22048631" w:history="1">
            <w:r w:rsidRPr="002D55CC">
              <w:rPr>
                <w:rStyle w:val="Hyperlink"/>
                <w:noProof/>
              </w:rPr>
              <w:t>Risk-benefit analysis</w:t>
            </w:r>
            <w:r>
              <w:rPr>
                <w:noProof/>
                <w:webHidden/>
              </w:rPr>
              <w:tab/>
            </w:r>
            <w:r>
              <w:rPr>
                <w:noProof/>
                <w:webHidden/>
              </w:rPr>
              <w:fldChar w:fldCharType="begin"/>
            </w:r>
            <w:r>
              <w:rPr>
                <w:noProof/>
                <w:webHidden/>
              </w:rPr>
              <w:instrText xml:space="preserve"> PAGEREF _Toc22048631 \h </w:instrText>
            </w:r>
            <w:r>
              <w:rPr>
                <w:noProof/>
                <w:webHidden/>
              </w:rPr>
            </w:r>
            <w:r>
              <w:rPr>
                <w:noProof/>
                <w:webHidden/>
              </w:rPr>
              <w:fldChar w:fldCharType="separate"/>
            </w:r>
            <w:r>
              <w:rPr>
                <w:noProof/>
                <w:webHidden/>
              </w:rPr>
              <w:t>59</w:t>
            </w:r>
            <w:r>
              <w:rPr>
                <w:noProof/>
                <w:webHidden/>
              </w:rPr>
              <w:fldChar w:fldCharType="end"/>
            </w:r>
          </w:hyperlink>
        </w:p>
        <w:p w14:paraId="256A6217" w14:textId="1FD27337" w:rsidR="0063014B" w:rsidRDefault="0063014B">
          <w:pPr>
            <w:pStyle w:val="TOC3"/>
            <w:rPr>
              <w:rFonts w:asciiTheme="minorHAnsi" w:eastAsiaTheme="minorEastAsia" w:hAnsiTheme="minorHAnsi" w:cstheme="minorBidi"/>
              <w:noProof/>
              <w:lang w:eastAsia="en-AU"/>
            </w:rPr>
          </w:pPr>
          <w:hyperlink w:anchor="_Toc22048632" w:history="1">
            <w:r w:rsidRPr="002D55CC">
              <w:rPr>
                <w:rStyle w:val="Hyperlink"/>
                <w:noProof/>
              </w:rPr>
              <w:t>Outcome</w:t>
            </w:r>
            <w:r>
              <w:rPr>
                <w:noProof/>
                <w:webHidden/>
              </w:rPr>
              <w:tab/>
            </w:r>
            <w:r>
              <w:rPr>
                <w:noProof/>
                <w:webHidden/>
              </w:rPr>
              <w:fldChar w:fldCharType="begin"/>
            </w:r>
            <w:r>
              <w:rPr>
                <w:noProof/>
                <w:webHidden/>
              </w:rPr>
              <w:instrText xml:space="preserve"> PAGEREF _Toc22048632 \h </w:instrText>
            </w:r>
            <w:r>
              <w:rPr>
                <w:noProof/>
                <w:webHidden/>
              </w:rPr>
            </w:r>
            <w:r>
              <w:rPr>
                <w:noProof/>
                <w:webHidden/>
              </w:rPr>
              <w:fldChar w:fldCharType="separate"/>
            </w:r>
            <w:r>
              <w:rPr>
                <w:noProof/>
                <w:webHidden/>
              </w:rPr>
              <w:t>65</w:t>
            </w:r>
            <w:r>
              <w:rPr>
                <w:noProof/>
                <w:webHidden/>
              </w:rPr>
              <w:fldChar w:fldCharType="end"/>
            </w:r>
          </w:hyperlink>
        </w:p>
        <w:p w14:paraId="7D41C419" w14:textId="397CC89C" w:rsidR="0063014B" w:rsidRDefault="0063014B">
          <w:pPr>
            <w:pStyle w:val="TOC2"/>
            <w:rPr>
              <w:rFonts w:asciiTheme="minorHAnsi" w:eastAsiaTheme="minorEastAsia" w:hAnsiTheme="minorHAnsi" w:cstheme="minorBidi"/>
              <w:b w:val="0"/>
              <w:noProof/>
              <w:sz w:val="22"/>
              <w:lang w:eastAsia="en-AU"/>
            </w:rPr>
          </w:pPr>
          <w:hyperlink w:anchor="_Toc22048633" w:history="1">
            <w:r w:rsidRPr="002D55CC">
              <w:rPr>
                <w:rStyle w:val="Hyperlink"/>
                <w:noProof/>
              </w:rPr>
              <w:t>Attachment 1. Product Information</w:t>
            </w:r>
            <w:r>
              <w:rPr>
                <w:noProof/>
                <w:webHidden/>
              </w:rPr>
              <w:tab/>
            </w:r>
            <w:r>
              <w:rPr>
                <w:noProof/>
                <w:webHidden/>
              </w:rPr>
              <w:fldChar w:fldCharType="begin"/>
            </w:r>
            <w:r>
              <w:rPr>
                <w:noProof/>
                <w:webHidden/>
              </w:rPr>
              <w:instrText xml:space="preserve"> PAGEREF _Toc22048633 \h </w:instrText>
            </w:r>
            <w:r>
              <w:rPr>
                <w:noProof/>
                <w:webHidden/>
              </w:rPr>
            </w:r>
            <w:r>
              <w:rPr>
                <w:noProof/>
                <w:webHidden/>
              </w:rPr>
              <w:fldChar w:fldCharType="separate"/>
            </w:r>
            <w:r>
              <w:rPr>
                <w:noProof/>
                <w:webHidden/>
              </w:rPr>
              <w:t>66</w:t>
            </w:r>
            <w:r>
              <w:rPr>
                <w:noProof/>
                <w:webHidden/>
              </w:rPr>
              <w:fldChar w:fldCharType="end"/>
            </w:r>
          </w:hyperlink>
        </w:p>
        <w:p w14:paraId="31669AB9" w14:textId="26AEAD31" w:rsidR="003A7F6C" w:rsidRPr="00B811C6" w:rsidRDefault="00DB6124" w:rsidP="00B811C6">
          <w:pPr>
            <w:pStyle w:val="TOC2"/>
          </w:pPr>
          <w:r>
            <w:fldChar w:fldCharType="end"/>
          </w:r>
        </w:p>
      </w:sdtContent>
    </w:sdt>
    <w:bookmarkStart w:id="3" w:name="_Toc314842482" w:displacedByCustomXml="prev"/>
    <w:p w14:paraId="484A66C6" w14:textId="77777777" w:rsidR="00FD119B" w:rsidRDefault="00FD119B">
      <w:pPr>
        <w:spacing w:before="0" w:after="200" w:line="0" w:lineRule="auto"/>
      </w:pPr>
      <w:r>
        <w:br w:type="page"/>
      </w:r>
    </w:p>
    <w:p w14:paraId="6955A347" w14:textId="77777777" w:rsidR="00C52E24" w:rsidRPr="00C52E24" w:rsidRDefault="00441C3F" w:rsidP="003D1CE4">
      <w:pPr>
        <w:pStyle w:val="Heading2"/>
      </w:pPr>
      <w:bookmarkStart w:id="4" w:name="_Toc351716269"/>
      <w:bookmarkStart w:id="5" w:name="_Toc351718881"/>
      <w:bookmarkStart w:id="6" w:name="_Toc355338616"/>
      <w:bookmarkStart w:id="7" w:name="_Toc356306144"/>
      <w:bookmarkStart w:id="8" w:name="_Toc22048598"/>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532"/>
      </w:tblGrid>
      <w:tr w:rsidR="00403A18" w:rsidRPr="00FD119B" w14:paraId="725EE06B" w14:textId="77777777" w:rsidTr="003F2F0B">
        <w:trPr>
          <w:cnfStyle w:val="100000000000" w:firstRow="1" w:lastRow="0" w:firstColumn="0" w:lastColumn="0" w:oddVBand="0" w:evenVBand="0" w:oddHBand="0" w:evenHBand="0" w:firstRowFirstColumn="0" w:firstRowLastColumn="0" w:lastRowFirstColumn="0" w:lastRowLastColumn="0"/>
          <w:trHeight w:val="240"/>
        </w:trPr>
        <w:tc>
          <w:tcPr>
            <w:tcW w:w="1890" w:type="dxa"/>
          </w:tcPr>
          <w:p w14:paraId="1565C379" w14:textId="77777777" w:rsidR="00403A18" w:rsidRPr="00FD119B" w:rsidRDefault="00403A18" w:rsidP="003B0095">
            <w:pPr>
              <w:rPr>
                <w:lang w:eastAsia="en-US"/>
              </w:rPr>
            </w:pPr>
            <w:r w:rsidRPr="00FD119B">
              <w:rPr>
                <w:lang w:eastAsia="en-US"/>
              </w:rPr>
              <w:t>Abbreviation</w:t>
            </w:r>
          </w:p>
        </w:tc>
        <w:tc>
          <w:tcPr>
            <w:tcW w:w="6532" w:type="dxa"/>
          </w:tcPr>
          <w:p w14:paraId="7C08A2EA" w14:textId="77777777" w:rsidR="00403A18" w:rsidRPr="00FD119B" w:rsidRDefault="00403A18" w:rsidP="003B0095">
            <w:pPr>
              <w:rPr>
                <w:lang w:eastAsia="en-US"/>
              </w:rPr>
            </w:pPr>
            <w:r w:rsidRPr="00FD119B">
              <w:rPr>
                <w:lang w:eastAsia="en-US"/>
              </w:rPr>
              <w:t>Meaning</w:t>
            </w:r>
          </w:p>
        </w:tc>
      </w:tr>
      <w:tr w:rsidR="00403A18" w14:paraId="32A83038" w14:textId="77777777" w:rsidTr="003F2F0B">
        <w:trPr>
          <w:trHeight w:val="240"/>
        </w:trPr>
        <w:tc>
          <w:tcPr>
            <w:tcW w:w="1890" w:type="dxa"/>
          </w:tcPr>
          <w:p w14:paraId="3CD45AFD" w14:textId="77777777" w:rsidR="00403A18" w:rsidRDefault="00403A18" w:rsidP="003B0095">
            <w:r>
              <w:t>ACM</w:t>
            </w:r>
          </w:p>
        </w:tc>
        <w:tc>
          <w:tcPr>
            <w:tcW w:w="6532" w:type="dxa"/>
          </w:tcPr>
          <w:p w14:paraId="39B367F7" w14:textId="77777777" w:rsidR="00403A18" w:rsidRDefault="00403A18" w:rsidP="003B0095">
            <w:r>
              <w:t>Advisory Committee on Medicines</w:t>
            </w:r>
          </w:p>
        </w:tc>
      </w:tr>
      <w:tr w:rsidR="00403A18" w14:paraId="449CE48D" w14:textId="77777777" w:rsidTr="003F2F0B">
        <w:trPr>
          <w:trHeight w:val="240"/>
        </w:trPr>
        <w:tc>
          <w:tcPr>
            <w:tcW w:w="1890" w:type="dxa"/>
          </w:tcPr>
          <w:p w14:paraId="794EA4BD" w14:textId="77777777" w:rsidR="00403A18" w:rsidRDefault="00403A18" w:rsidP="003B0095">
            <w:r>
              <w:t>ACPM</w:t>
            </w:r>
          </w:p>
        </w:tc>
        <w:tc>
          <w:tcPr>
            <w:tcW w:w="6532" w:type="dxa"/>
          </w:tcPr>
          <w:p w14:paraId="5912E30A" w14:textId="77777777" w:rsidR="00403A18" w:rsidRDefault="00403A18" w:rsidP="003B0095">
            <w:r>
              <w:t>Advisory Committee on Prescription Medicines</w:t>
            </w:r>
          </w:p>
        </w:tc>
      </w:tr>
      <w:tr w:rsidR="00403A18" w14:paraId="23BACC4F" w14:textId="77777777" w:rsidTr="003F2F0B">
        <w:trPr>
          <w:trHeight w:val="235"/>
        </w:trPr>
        <w:tc>
          <w:tcPr>
            <w:tcW w:w="1890" w:type="dxa"/>
          </w:tcPr>
          <w:p w14:paraId="51F8E0F8" w14:textId="77777777" w:rsidR="00403A18" w:rsidRDefault="00403A18" w:rsidP="003B0095">
            <w:r>
              <w:t>ACR</w:t>
            </w:r>
          </w:p>
        </w:tc>
        <w:tc>
          <w:tcPr>
            <w:tcW w:w="6532" w:type="dxa"/>
          </w:tcPr>
          <w:p w14:paraId="53DB6B93" w14:textId="77777777" w:rsidR="00403A18" w:rsidRDefault="00403A18" w:rsidP="003B0095">
            <w:r>
              <w:t>American College of Rheumatology</w:t>
            </w:r>
          </w:p>
        </w:tc>
      </w:tr>
      <w:tr w:rsidR="00403A18" w14:paraId="5D1BDD74" w14:textId="77777777" w:rsidTr="003F2F0B">
        <w:trPr>
          <w:trHeight w:val="240"/>
        </w:trPr>
        <w:tc>
          <w:tcPr>
            <w:tcW w:w="1890" w:type="dxa"/>
          </w:tcPr>
          <w:p w14:paraId="503CA760" w14:textId="77777777" w:rsidR="00403A18" w:rsidRDefault="00403A18" w:rsidP="003B0095">
            <w:r>
              <w:t>ACR20</w:t>
            </w:r>
          </w:p>
        </w:tc>
        <w:tc>
          <w:tcPr>
            <w:tcW w:w="6532" w:type="dxa"/>
          </w:tcPr>
          <w:p w14:paraId="41EDDBF3" w14:textId="77777777" w:rsidR="00403A18" w:rsidRDefault="00403A18" w:rsidP="003B0095">
            <w:r>
              <w:t>ACR 20% improvement in disease activity criteria</w:t>
            </w:r>
          </w:p>
        </w:tc>
      </w:tr>
      <w:tr w:rsidR="00403A18" w14:paraId="1585072C" w14:textId="77777777" w:rsidTr="003F2F0B">
        <w:trPr>
          <w:trHeight w:val="240"/>
        </w:trPr>
        <w:tc>
          <w:tcPr>
            <w:tcW w:w="1890" w:type="dxa"/>
          </w:tcPr>
          <w:p w14:paraId="110BA5BA" w14:textId="77777777" w:rsidR="00403A18" w:rsidRDefault="00403A18" w:rsidP="003B0095">
            <w:r>
              <w:t>ACR50</w:t>
            </w:r>
          </w:p>
        </w:tc>
        <w:tc>
          <w:tcPr>
            <w:tcW w:w="6532" w:type="dxa"/>
          </w:tcPr>
          <w:p w14:paraId="06E18A58" w14:textId="77777777" w:rsidR="00403A18" w:rsidRDefault="00403A18" w:rsidP="003B0095">
            <w:r>
              <w:t>ACR 50% improvement in disease activity criteria</w:t>
            </w:r>
          </w:p>
        </w:tc>
      </w:tr>
      <w:tr w:rsidR="00403A18" w14:paraId="4ED89B7D" w14:textId="77777777" w:rsidTr="003F2F0B">
        <w:trPr>
          <w:trHeight w:val="240"/>
        </w:trPr>
        <w:tc>
          <w:tcPr>
            <w:tcW w:w="1890" w:type="dxa"/>
          </w:tcPr>
          <w:p w14:paraId="2B70D51D" w14:textId="77777777" w:rsidR="00403A18" w:rsidRDefault="00403A18" w:rsidP="003B0095">
            <w:r>
              <w:t>ACR70</w:t>
            </w:r>
          </w:p>
        </w:tc>
        <w:tc>
          <w:tcPr>
            <w:tcW w:w="6532" w:type="dxa"/>
          </w:tcPr>
          <w:p w14:paraId="22AC80DE" w14:textId="77777777" w:rsidR="00403A18" w:rsidRDefault="00403A18" w:rsidP="003B0095">
            <w:r>
              <w:t>ACR 70% improvement in disease activity criteria</w:t>
            </w:r>
          </w:p>
        </w:tc>
      </w:tr>
      <w:tr w:rsidR="00403A18" w14:paraId="155473EF" w14:textId="77777777" w:rsidTr="003F2F0B">
        <w:trPr>
          <w:trHeight w:val="240"/>
        </w:trPr>
        <w:tc>
          <w:tcPr>
            <w:tcW w:w="1890" w:type="dxa"/>
          </w:tcPr>
          <w:p w14:paraId="66D1F841" w14:textId="77777777" w:rsidR="00403A18" w:rsidRDefault="00403A18" w:rsidP="003B0095">
            <w:r>
              <w:t>ADRs</w:t>
            </w:r>
          </w:p>
        </w:tc>
        <w:tc>
          <w:tcPr>
            <w:tcW w:w="6532" w:type="dxa"/>
          </w:tcPr>
          <w:p w14:paraId="202DBA65" w14:textId="77777777" w:rsidR="00403A18" w:rsidRDefault="00403A18" w:rsidP="00D273EC">
            <w:r>
              <w:t>Adverse drug reactions</w:t>
            </w:r>
          </w:p>
        </w:tc>
      </w:tr>
      <w:tr w:rsidR="00403A18" w14:paraId="17730C47" w14:textId="77777777" w:rsidTr="003F2F0B">
        <w:trPr>
          <w:trHeight w:val="240"/>
        </w:trPr>
        <w:tc>
          <w:tcPr>
            <w:tcW w:w="1890" w:type="dxa"/>
          </w:tcPr>
          <w:p w14:paraId="63F056FD" w14:textId="77777777" w:rsidR="00403A18" w:rsidRDefault="00403A18" w:rsidP="003B0095">
            <w:r>
              <w:t>AE</w:t>
            </w:r>
          </w:p>
        </w:tc>
        <w:tc>
          <w:tcPr>
            <w:tcW w:w="6532" w:type="dxa"/>
          </w:tcPr>
          <w:p w14:paraId="16460679" w14:textId="77777777" w:rsidR="00403A18" w:rsidRDefault="00403A18" w:rsidP="003B0095">
            <w:r>
              <w:t>Adverse event</w:t>
            </w:r>
          </w:p>
        </w:tc>
      </w:tr>
      <w:tr w:rsidR="00403A18" w14:paraId="33C4FCB2" w14:textId="77777777" w:rsidTr="003F2F0B">
        <w:trPr>
          <w:trHeight w:val="240"/>
        </w:trPr>
        <w:tc>
          <w:tcPr>
            <w:tcW w:w="1890" w:type="dxa"/>
          </w:tcPr>
          <w:p w14:paraId="33AABBBD" w14:textId="77777777" w:rsidR="00403A18" w:rsidRDefault="00403A18" w:rsidP="003B0095">
            <w:r>
              <w:t>ALT</w:t>
            </w:r>
          </w:p>
        </w:tc>
        <w:tc>
          <w:tcPr>
            <w:tcW w:w="6532" w:type="dxa"/>
          </w:tcPr>
          <w:p w14:paraId="37F10120" w14:textId="77777777" w:rsidR="00403A18" w:rsidRDefault="00403A18" w:rsidP="003B0095">
            <w:r>
              <w:t>Alanine aminotransferase</w:t>
            </w:r>
          </w:p>
        </w:tc>
      </w:tr>
      <w:tr w:rsidR="00403A18" w14:paraId="6114204F" w14:textId="77777777" w:rsidTr="003F2F0B">
        <w:trPr>
          <w:trHeight w:val="240"/>
        </w:trPr>
        <w:tc>
          <w:tcPr>
            <w:tcW w:w="1890" w:type="dxa"/>
          </w:tcPr>
          <w:p w14:paraId="271F0ADD" w14:textId="77777777" w:rsidR="00403A18" w:rsidRDefault="00403A18" w:rsidP="003B0095">
            <w:r>
              <w:t>ANC</w:t>
            </w:r>
          </w:p>
        </w:tc>
        <w:tc>
          <w:tcPr>
            <w:tcW w:w="6532" w:type="dxa"/>
          </w:tcPr>
          <w:p w14:paraId="6CF07DB9" w14:textId="77777777" w:rsidR="00403A18" w:rsidRDefault="00403A18" w:rsidP="003B0095">
            <w:r>
              <w:t>Absolute neutrophil count</w:t>
            </w:r>
          </w:p>
        </w:tc>
      </w:tr>
      <w:tr w:rsidR="00403A18" w14:paraId="50EC93DD" w14:textId="77777777" w:rsidTr="003F2F0B">
        <w:trPr>
          <w:trHeight w:val="240"/>
        </w:trPr>
        <w:tc>
          <w:tcPr>
            <w:tcW w:w="1890" w:type="dxa"/>
          </w:tcPr>
          <w:p w14:paraId="5C286B83" w14:textId="77777777" w:rsidR="00403A18" w:rsidRDefault="00403A18" w:rsidP="003B0095">
            <w:r>
              <w:t>ANCOVA</w:t>
            </w:r>
          </w:p>
        </w:tc>
        <w:tc>
          <w:tcPr>
            <w:tcW w:w="6532" w:type="dxa"/>
          </w:tcPr>
          <w:p w14:paraId="15B16140" w14:textId="77777777" w:rsidR="00403A18" w:rsidRDefault="00403A18" w:rsidP="003B0095">
            <w:r w:rsidRPr="00AA715E">
              <w:t>Analysis of covariance</w:t>
            </w:r>
          </w:p>
        </w:tc>
      </w:tr>
      <w:tr w:rsidR="00403A18" w14:paraId="616DF314" w14:textId="77777777" w:rsidTr="003F2F0B">
        <w:trPr>
          <w:trHeight w:val="240"/>
        </w:trPr>
        <w:tc>
          <w:tcPr>
            <w:tcW w:w="1890" w:type="dxa"/>
          </w:tcPr>
          <w:p w14:paraId="1EF1674B" w14:textId="77777777" w:rsidR="00403A18" w:rsidRDefault="00403A18" w:rsidP="003B0095">
            <w:r>
              <w:t>APC</w:t>
            </w:r>
          </w:p>
        </w:tc>
        <w:tc>
          <w:tcPr>
            <w:tcW w:w="6532" w:type="dxa"/>
          </w:tcPr>
          <w:p w14:paraId="2E147234" w14:textId="77777777" w:rsidR="00403A18" w:rsidRDefault="00403A18" w:rsidP="00D674E2">
            <w:proofErr w:type="spellStart"/>
            <w:r>
              <w:t>A</w:t>
            </w:r>
            <w:r w:rsidRPr="00D674E2">
              <w:t>llophycocyanin</w:t>
            </w:r>
            <w:proofErr w:type="spellEnd"/>
          </w:p>
        </w:tc>
      </w:tr>
      <w:tr w:rsidR="00403A18" w14:paraId="5FF7026E" w14:textId="77777777" w:rsidTr="003F2F0B">
        <w:trPr>
          <w:trHeight w:val="240"/>
        </w:trPr>
        <w:tc>
          <w:tcPr>
            <w:tcW w:w="1890" w:type="dxa"/>
          </w:tcPr>
          <w:p w14:paraId="52133D53" w14:textId="77777777" w:rsidR="00403A18" w:rsidRDefault="00403A18" w:rsidP="003B0095">
            <w:r>
              <w:t>AS</w:t>
            </w:r>
          </w:p>
        </w:tc>
        <w:tc>
          <w:tcPr>
            <w:tcW w:w="6532" w:type="dxa"/>
          </w:tcPr>
          <w:p w14:paraId="47248B0B" w14:textId="77777777" w:rsidR="00403A18" w:rsidRDefault="00403A18" w:rsidP="003B0095">
            <w:r>
              <w:t>Ankylosing spondylitis</w:t>
            </w:r>
          </w:p>
        </w:tc>
      </w:tr>
      <w:tr w:rsidR="00403A18" w14:paraId="5DC86F83" w14:textId="77777777" w:rsidTr="003F2F0B">
        <w:trPr>
          <w:trHeight w:val="240"/>
        </w:trPr>
        <w:tc>
          <w:tcPr>
            <w:tcW w:w="1890" w:type="dxa"/>
          </w:tcPr>
          <w:p w14:paraId="22252335" w14:textId="77777777" w:rsidR="00403A18" w:rsidRDefault="00403A18" w:rsidP="003B0095">
            <w:r>
              <w:t>ASA</w:t>
            </w:r>
          </w:p>
        </w:tc>
        <w:tc>
          <w:tcPr>
            <w:tcW w:w="6532" w:type="dxa"/>
          </w:tcPr>
          <w:p w14:paraId="05C47BA7" w14:textId="77777777" w:rsidR="00403A18" w:rsidRDefault="00403A18" w:rsidP="003B0095">
            <w:r>
              <w:t>Australian Specific Annex</w:t>
            </w:r>
          </w:p>
        </w:tc>
      </w:tr>
      <w:tr w:rsidR="00403A18" w14:paraId="3B11D2B5" w14:textId="77777777" w:rsidTr="003F2F0B">
        <w:trPr>
          <w:trHeight w:val="240"/>
        </w:trPr>
        <w:tc>
          <w:tcPr>
            <w:tcW w:w="1890" w:type="dxa"/>
          </w:tcPr>
          <w:p w14:paraId="6D6AD71E" w14:textId="77777777" w:rsidR="00403A18" w:rsidRDefault="00403A18" w:rsidP="003B0095">
            <w:r>
              <w:t>ASAS</w:t>
            </w:r>
          </w:p>
        </w:tc>
        <w:tc>
          <w:tcPr>
            <w:tcW w:w="6532" w:type="dxa"/>
          </w:tcPr>
          <w:p w14:paraId="36CB94A2" w14:textId="77777777" w:rsidR="00403A18" w:rsidRDefault="00403A18" w:rsidP="003B0095">
            <w:r>
              <w:t xml:space="preserve">Assessment of </w:t>
            </w:r>
            <w:proofErr w:type="spellStart"/>
            <w:r>
              <w:t>SpondyloArthritis</w:t>
            </w:r>
            <w:proofErr w:type="spellEnd"/>
            <w:r>
              <w:t xml:space="preserve"> international Society</w:t>
            </w:r>
          </w:p>
        </w:tc>
      </w:tr>
      <w:tr w:rsidR="00403A18" w14:paraId="2A88CA65" w14:textId="77777777" w:rsidTr="003F2F0B">
        <w:trPr>
          <w:trHeight w:val="240"/>
        </w:trPr>
        <w:tc>
          <w:tcPr>
            <w:tcW w:w="1890" w:type="dxa"/>
          </w:tcPr>
          <w:p w14:paraId="35CD4B03" w14:textId="77777777" w:rsidR="00403A18" w:rsidRDefault="00403A18" w:rsidP="003B0095">
            <w:r>
              <w:t>AST</w:t>
            </w:r>
          </w:p>
        </w:tc>
        <w:tc>
          <w:tcPr>
            <w:tcW w:w="6532" w:type="dxa"/>
          </w:tcPr>
          <w:p w14:paraId="1FC38317" w14:textId="77777777" w:rsidR="00403A18" w:rsidRDefault="00403A18" w:rsidP="003B0095">
            <w:r>
              <w:t>Aspartate aminotransferase</w:t>
            </w:r>
          </w:p>
        </w:tc>
      </w:tr>
      <w:tr w:rsidR="00403A18" w14:paraId="72E30875" w14:textId="77777777" w:rsidTr="003F2F0B">
        <w:trPr>
          <w:trHeight w:val="240"/>
        </w:trPr>
        <w:tc>
          <w:tcPr>
            <w:tcW w:w="1890" w:type="dxa"/>
          </w:tcPr>
          <w:p w14:paraId="5CC951A4" w14:textId="77777777" w:rsidR="00403A18" w:rsidRDefault="00403A18" w:rsidP="003B0095">
            <w:r>
              <w:t>AUC</w:t>
            </w:r>
          </w:p>
        </w:tc>
        <w:tc>
          <w:tcPr>
            <w:tcW w:w="6532" w:type="dxa"/>
          </w:tcPr>
          <w:p w14:paraId="324DEF53" w14:textId="77777777" w:rsidR="00403A18" w:rsidRDefault="00403A18" w:rsidP="003B0095">
            <w:r>
              <w:t>Area under the concentration time curve</w:t>
            </w:r>
          </w:p>
        </w:tc>
      </w:tr>
      <w:tr w:rsidR="00403A18" w14:paraId="48EF6501" w14:textId="77777777" w:rsidTr="003F2F0B">
        <w:trPr>
          <w:trHeight w:val="240"/>
        </w:trPr>
        <w:tc>
          <w:tcPr>
            <w:tcW w:w="1890" w:type="dxa"/>
          </w:tcPr>
          <w:p w14:paraId="0AC87162" w14:textId="77777777" w:rsidR="00403A18" w:rsidRDefault="00403A18" w:rsidP="003B0095">
            <w:r>
              <w:t>BASDAI</w:t>
            </w:r>
          </w:p>
        </w:tc>
        <w:tc>
          <w:tcPr>
            <w:tcW w:w="6532" w:type="dxa"/>
          </w:tcPr>
          <w:p w14:paraId="46B28043" w14:textId="77777777" w:rsidR="00403A18" w:rsidRDefault="00403A18" w:rsidP="003B0095">
            <w:r>
              <w:rPr>
                <w:lang w:eastAsia="ja-JP"/>
              </w:rPr>
              <w:t>Bath Ankylosing Spondylitis Disease Activity Index</w:t>
            </w:r>
          </w:p>
        </w:tc>
      </w:tr>
      <w:tr w:rsidR="00403A18" w14:paraId="274F92BB" w14:textId="77777777" w:rsidTr="003F2F0B">
        <w:trPr>
          <w:trHeight w:val="240"/>
        </w:trPr>
        <w:tc>
          <w:tcPr>
            <w:tcW w:w="1890" w:type="dxa"/>
          </w:tcPr>
          <w:p w14:paraId="2302A8F6" w14:textId="77777777" w:rsidR="00403A18" w:rsidRDefault="00403A18" w:rsidP="003B0095">
            <w:proofErr w:type="spellStart"/>
            <w:r>
              <w:t>bDMARD</w:t>
            </w:r>
            <w:proofErr w:type="spellEnd"/>
          </w:p>
        </w:tc>
        <w:tc>
          <w:tcPr>
            <w:tcW w:w="6532" w:type="dxa"/>
          </w:tcPr>
          <w:p w14:paraId="3818B7CA" w14:textId="77777777" w:rsidR="00403A18" w:rsidRDefault="00403A18" w:rsidP="003B0095">
            <w:r>
              <w:t xml:space="preserve">Biologic DMARD </w:t>
            </w:r>
          </w:p>
        </w:tc>
      </w:tr>
      <w:tr w:rsidR="00403A18" w14:paraId="4A637270" w14:textId="77777777" w:rsidTr="003F2F0B">
        <w:trPr>
          <w:trHeight w:val="240"/>
        </w:trPr>
        <w:tc>
          <w:tcPr>
            <w:tcW w:w="1890" w:type="dxa"/>
          </w:tcPr>
          <w:p w14:paraId="32BCDB50" w14:textId="77777777" w:rsidR="00403A18" w:rsidRDefault="003A1B70" w:rsidP="003B0095">
            <w:r>
              <w:t>BD</w:t>
            </w:r>
          </w:p>
        </w:tc>
        <w:tc>
          <w:tcPr>
            <w:tcW w:w="6532" w:type="dxa"/>
          </w:tcPr>
          <w:p w14:paraId="12365B91" w14:textId="77777777" w:rsidR="00403A18" w:rsidRDefault="00403A18" w:rsidP="003F2F0B">
            <w:proofErr w:type="spellStart"/>
            <w:r>
              <w:t>Bis</w:t>
            </w:r>
            <w:proofErr w:type="spellEnd"/>
            <w:r>
              <w:t xml:space="preserve"> in die; twice daily</w:t>
            </w:r>
          </w:p>
        </w:tc>
      </w:tr>
      <w:tr w:rsidR="00403A18" w14:paraId="2769585E" w14:textId="77777777" w:rsidTr="003F2F0B">
        <w:trPr>
          <w:trHeight w:val="240"/>
        </w:trPr>
        <w:tc>
          <w:tcPr>
            <w:tcW w:w="1890" w:type="dxa"/>
          </w:tcPr>
          <w:p w14:paraId="642A0555" w14:textId="77777777" w:rsidR="00403A18" w:rsidRDefault="00403A18" w:rsidP="003B0095">
            <w:proofErr w:type="spellStart"/>
            <w:r>
              <w:t>bsDMARD</w:t>
            </w:r>
            <w:proofErr w:type="spellEnd"/>
          </w:p>
        </w:tc>
        <w:tc>
          <w:tcPr>
            <w:tcW w:w="6532" w:type="dxa"/>
          </w:tcPr>
          <w:p w14:paraId="3B1B7521" w14:textId="77777777" w:rsidR="00403A18" w:rsidRDefault="00403A18" w:rsidP="003B0095">
            <w:r>
              <w:t>Biosimilar DMARD</w:t>
            </w:r>
          </w:p>
        </w:tc>
      </w:tr>
      <w:tr w:rsidR="00403A18" w14:paraId="1DE59AF8" w14:textId="77777777" w:rsidTr="003F2F0B">
        <w:trPr>
          <w:trHeight w:val="240"/>
        </w:trPr>
        <w:tc>
          <w:tcPr>
            <w:tcW w:w="1890" w:type="dxa"/>
          </w:tcPr>
          <w:p w14:paraId="0F6FDEC6" w14:textId="77777777" w:rsidR="00403A18" w:rsidRDefault="00403A18" w:rsidP="003B0095">
            <w:r>
              <w:t>CASPAR</w:t>
            </w:r>
          </w:p>
        </w:tc>
        <w:tc>
          <w:tcPr>
            <w:tcW w:w="6532" w:type="dxa"/>
          </w:tcPr>
          <w:p w14:paraId="51C2167D" w14:textId="77777777" w:rsidR="00403A18" w:rsidRDefault="00403A18" w:rsidP="003B0095">
            <w:r>
              <w:t>Classification Criteria for Psoriatic Arthritis</w:t>
            </w:r>
          </w:p>
        </w:tc>
      </w:tr>
      <w:tr w:rsidR="00403A18" w14:paraId="782760BB" w14:textId="77777777" w:rsidTr="003F2F0B">
        <w:trPr>
          <w:trHeight w:val="240"/>
        </w:trPr>
        <w:tc>
          <w:tcPr>
            <w:tcW w:w="1890" w:type="dxa"/>
          </w:tcPr>
          <w:p w14:paraId="0C76E29B" w14:textId="77777777" w:rsidR="00403A18" w:rsidRDefault="00403A18" w:rsidP="003B0095">
            <w:r w:rsidRPr="00075298">
              <w:t>CD34+</w:t>
            </w:r>
          </w:p>
        </w:tc>
        <w:tc>
          <w:tcPr>
            <w:tcW w:w="6532" w:type="dxa"/>
          </w:tcPr>
          <w:p w14:paraId="47E004DD" w14:textId="77777777" w:rsidR="00403A18" w:rsidRDefault="00403A18" w:rsidP="008A094A">
            <w:r>
              <w:t>Cluster of differentiation 34 positive</w:t>
            </w:r>
          </w:p>
        </w:tc>
      </w:tr>
      <w:tr w:rsidR="00403A18" w14:paraId="24817926" w14:textId="77777777" w:rsidTr="003F2F0B">
        <w:trPr>
          <w:trHeight w:val="240"/>
        </w:trPr>
        <w:tc>
          <w:tcPr>
            <w:tcW w:w="1890" w:type="dxa"/>
          </w:tcPr>
          <w:p w14:paraId="19B6ECF5" w14:textId="77777777" w:rsidR="00403A18" w:rsidRDefault="00403A18" w:rsidP="003B0095">
            <w:r w:rsidRPr="003F2F0B">
              <w:t>CD4+</w:t>
            </w:r>
          </w:p>
        </w:tc>
        <w:tc>
          <w:tcPr>
            <w:tcW w:w="6532" w:type="dxa"/>
          </w:tcPr>
          <w:p w14:paraId="19AD32C5" w14:textId="77777777" w:rsidR="00403A18" w:rsidRDefault="00403A18" w:rsidP="00D518BB">
            <w:r>
              <w:t>C</w:t>
            </w:r>
            <w:r w:rsidRPr="00D518BB">
              <w:t xml:space="preserve">luster of differentiation 4 </w:t>
            </w:r>
            <w:r>
              <w:t>positive</w:t>
            </w:r>
          </w:p>
        </w:tc>
      </w:tr>
      <w:tr w:rsidR="00403A18" w14:paraId="15162EA2" w14:textId="77777777" w:rsidTr="003F2F0B">
        <w:trPr>
          <w:trHeight w:val="240"/>
        </w:trPr>
        <w:tc>
          <w:tcPr>
            <w:tcW w:w="1890" w:type="dxa"/>
          </w:tcPr>
          <w:p w14:paraId="16116885" w14:textId="77777777" w:rsidR="00403A18" w:rsidRPr="00075298" w:rsidRDefault="00403A18" w:rsidP="003B0095">
            <w:r>
              <w:t>CHMP</w:t>
            </w:r>
          </w:p>
        </w:tc>
        <w:tc>
          <w:tcPr>
            <w:tcW w:w="6532" w:type="dxa"/>
          </w:tcPr>
          <w:p w14:paraId="34E37542" w14:textId="77777777" w:rsidR="00403A18" w:rsidRDefault="00403A18" w:rsidP="008A094A">
            <w:r w:rsidRPr="00403A18">
              <w:t>Committee for Medicinal Products for Human Use</w:t>
            </w:r>
          </w:p>
        </w:tc>
      </w:tr>
      <w:tr w:rsidR="00403A18" w14:paraId="6A8F11E2" w14:textId="77777777" w:rsidTr="003F2F0B">
        <w:trPr>
          <w:trHeight w:val="240"/>
        </w:trPr>
        <w:tc>
          <w:tcPr>
            <w:tcW w:w="1890" w:type="dxa"/>
          </w:tcPr>
          <w:p w14:paraId="0F07C589" w14:textId="77777777" w:rsidR="00403A18" w:rsidRDefault="00403A18" w:rsidP="003B0095">
            <w:r>
              <w:lastRenderedPageBreak/>
              <w:t>CI</w:t>
            </w:r>
          </w:p>
        </w:tc>
        <w:tc>
          <w:tcPr>
            <w:tcW w:w="6532" w:type="dxa"/>
          </w:tcPr>
          <w:p w14:paraId="3831D397" w14:textId="77777777" w:rsidR="00403A18" w:rsidRDefault="00403A18" w:rsidP="003B0095">
            <w:r>
              <w:t>Confidence interval</w:t>
            </w:r>
          </w:p>
        </w:tc>
      </w:tr>
      <w:tr w:rsidR="00403A18" w14:paraId="231BD94C" w14:textId="77777777" w:rsidTr="003F2F0B">
        <w:trPr>
          <w:trHeight w:val="240"/>
        </w:trPr>
        <w:tc>
          <w:tcPr>
            <w:tcW w:w="1890" w:type="dxa"/>
          </w:tcPr>
          <w:p w14:paraId="0DADF6A1" w14:textId="77777777" w:rsidR="00403A18" w:rsidRDefault="00403A18" w:rsidP="003B0095">
            <w:r>
              <w:t>CK</w:t>
            </w:r>
          </w:p>
        </w:tc>
        <w:tc>
          <w:tcPr>
            <w:tcW w:w="6532" w:type="dxa"/>
          </w:tcPr>
          <w:p w14:paraId="65DB24B3" w14:textId="77777777" w:rsidR="00403A18" w:rsidRDefault="00403A18" w:rsidP="003B0095">
            <w:r>
              <w:t>Creatinine kinase</w:t>
            </w:r>
          </w:p>
        </w:tc>
      </w:tr>
      <w:tr w:rsidR="00403A18" w14:paraId="468D921D" w14:textId="77777777" w:rsidTr="003F2F0B">
        <w:trPr>
          <w:trHeight w:val="240"/>
        </w:trPr>
        <w:tc>
          <w:tcPr>
            <w:tcW w:w="1890" w:type="dxa"/>
          </w:tcPr>
          <w:p w14:paraId="7E6BEC28" w14:textId="77777777" w:rsidR="00403A18" w:rsidRDefault="00403A18" w:rsidP="003B0095">
            <w:r>
              <w:t>CL/F</w:t>
            </w:r>
          </w:p>
        </w:tc>
        <w:tc>
          <w:tcPr>
            <w:tcW w:w="6532" w:type="dxa"/>
          </w:tcPr>
          <w:p w14:paraId="0D4FB98A" w14:textId="77777777" w:rsidR="00403A18" w:rsidRDefault="00403A18" w:rsidP="003B0095">
            <w:r>
              <w:t>Apparent oral clearance</w:t>
            </w:r>
          </w:p>
        </w:tc>
      </w:tr>
      <w:tr w:rsidR="00403A18" w14:paraId="014C407C" w14:textId="77777777" w:rsidTr="003F2F0B">
        <w:trPr>
          <w:trHeight w:val="240"/>
        </w:trPr>
        <w:tc>
          <w:tcPr>
            <w:tcW w:w="1890" w:type="dxa"/>
          </w:tcPr>
          <w:p w14:paraId="402B381B" w14:textId="77777777" w:rsidR="00403A18" w:rsidRDefault="00403A18" w:rsidP="003B0095">
            <w:proofErr w:type="spellStart"/>
            <w:r>
              <w:t>CLcr</w:t>
            </w:r>
            <w:proofErr w:type="spellEnd"/>
          </w:p>
        </w:tc>
        <w:tc>
          <w:tcPr>
            <w:tcW w:w="6532" w:type="dxa"/>
          </w:tcPr>
          <w:p w14:paraId="551427EB" w14:textId="77777777" w:rsidR="00403A18" w:rsidRDefault="00403A18" w:rsidP="003B0095">
            <w:r>
              <w:t>Creatinine clearance</w:t>
            </w:r>
          </w:p>
        </w:tc>
      </w:tr>
      <w:tr w:rsidR="00403A18" w14:paraId="50347FAD" w14:textId="77777777" w:rsidTr="003F2F0B">
        <w:trPr>
          <w:trHeight w:val="240"/>
        </w:trPr>
        <w:tc>
          <w:tcPr>
            <w:tcW w:w="1890" w:type="dxa"/>
          </w:tcPr>
          <w:p w14:paraId="65528DEA" w14:textId="77777777" w:rsidR="00403A18" w:rsidRDefault="00403A18" w:rsidP="003B0095">
            <w:proofErr w:type="spellStart"/>
            <w:r>
              <w:t>C</w:t>
            </w:r>
            <w:r w:rsidRPr="008A094A">
              <w:rPr>
                <w:vertAlign w:val="subscript"/>
              </w:rPr>
              <w:t>max</w:t>
            </w:r>
            <w:proofErr w:type="spellEnd"/>
          </w:p>
        </w:tc>
        <w:tc>
          <w:tcPr>
            <w:tcW w:w="6532" w:type="dxa"/>
          </w:tcPr>
          <w:p w14:paraId="2B1B450B" w14:textId="77777777" w:rsidR="00403A18" w:rsidRDefault="00403A18" w:rsidP="003B0095">
            <w:r>
              <w:t>Maximum plasma concentration</w:t>
            </w:r>
          </w:p>
        </w:tc>
      </w:tr>
      <w:tr w:rsidR="00403A18" w14:paraId="6D798158" w14:textId="77777777" w:rsidTr="003F2F0B">
        <w:trPr>
          <w:trHeight w:val="240"/>
        </w:trPr>
        <w:tc>
          <w:tcPr>
            <w:tcW w:w="1890" w:type="dxa"/>
          </w:tcPr>
          <w:p w14:paraId="0912F109" w14:textId="77777777" w:rsidR="00403A18" w:rsidRDefault="00403A18" w:rsidP="003B0095">
            <w:r>
              <w:t>CMI</w:t>
            </w:r>
          </w:p>
        </w:tc>
        <w:tc>
          <w:tcPr>
            <w:tcW w:w="6532" w:type="dxa"/>
          </w:tcPr>
          <w:p w14:paraId="36B589F0" w14:textId="77777777" w:rsidR="00403A18" w:rsidRDefault="00403A18" w:rsidP="003B0095">
            <w:r>
              <w:t>Consumer Medicine information</w:t>
            </w:r>
          </w:p>
        </w:tc>
      </w:tr>
      <w:tr w:rsidR="00403A18" w14:paraId="6446E983" w14:textId="77777777" w:rsidTr="003F2F0B">
        <w:trPr>
          <w:trHeight w:val="240"/>
        </w:trPr>
        <w:tc>
          <w:tcPr>
            <w:tcW w:w="1890" w:type="dxa"/>
          </w:tcPr>
          <w:p w14:paraId="6963FFE8" w14:textId="77777777" w:rsidR="00403A18" w:rsidRDefault="00403A18" w:rsidP="003B0095">
            <w:r>
              <w:t>CRP</w:t>
            </w:r>
          </w:p>
        </w:tc>
        <w:tc>
          <w:tcPr>
            <w:tcW w:w="6532" w:type="dxa"/>
          </w:tcPr>
          <w:p w14:paraId="3C5D59B3" w14:textId="77777777" w:rsidR="00403A18" w:rsidRDefault="00403A18" w:rsidP="004E7F1A">
            <w:r>
              <w:t xml:space="preserve">C </w:t>
            </w:r>
            <w:r w:rsidRPr="00255C41">
              <w:t>reactive protein</w:t>
            </w:r>
          </w:p>
        </w:tc>
      </w:tr>
      <w:tr w:rsidR="00403A18" w14:paraId="071DE30A" w14:textId="77777777" w:rsidTr="003F2F0B">
        <w:trPr>
          <w:trHeight w:val="240"/>
        </w:trPr>
        <w:tc>
          <w:tcPr>
            <w:tcW w:w="1890" w:type="dxa"/>
          </w:tcPr>
          <w:p w14:paraId="0F793D5B" w14:textId="77777777" w:rsidR="00403A18" w:rsidRDefault="00403A18" w:rsidP="003B0095">
            <w:proofErr w:type="spellStart"/>
            <w:r>
              <w:t>csDMARD</w:t>
            </w:r>
            <w:proofErr w:type="spellEnd"/>
          </w:p>
        </w:tc>
        <w:tc>
          <w:tcPr>
            <w:tcW w:w="6532" w:type="dxa"/>
          </w:tcPr>
          <w:p w14:paraId="39337BB7" w14:textId="77777777" w:rsidR="00403A18" w:rsidRDefault="003A1B70" w:rsidP="003B0095">
            <w:r>
              <w:t>Conventional synthetic DMARD</w:t>
            </w:r>
          </w:p>
        </w:tc>
      </w:tr>
      <w:tr w:rsidR="00403A18" w14:paraId="4744A4BA" w14:textId="77777777" w:rsidTr="003F2F0B">
        <w:trPr>
          <w:trHeight w:val="240"/>
        </w:trPr>
        <w:tc>
          <w:tcPr>
            <w:tcW w:w="1890" w:type="dxa"/>
          </w:tcPr>
          <w:p w14:paraId="209BBC05" w14:textId="77777777" w:rsidR="00403A18" w:rsidRDefault="00403A18" w:rsidP="003B0095">
            <w:r>
              <w:t>CTSC</w:t>
            </w:r>
          </w:p>
        </w:tc>
        <w:tc>
          <w:tcPr>
            <w:tcW w:w="6532" w:type="dxa"/>
          </w:tcPr>
          <w:p w14:paraId="1188C6F0" w14:textId="77777777" w:rsidR="00403A18" w:rsidRDefault="00403A18" w:rsidP="00CA2E63">
            <w:proofErr w:type="spellStart"/>
            <w:r>
              <w:t>Cathepsin</w:t>
            </w:r>
            <w:proofErr w:type="spellEnd"/>
            <w:r>
              <w:t xml:space="preserve"> C</w:t>
            </w:r>
          </w:p>
        </w:tc>
      </w:tr>
      <w:tr w:rsidR="00403A18" w14:paraId="30E57791" w14:textId="77777777" w:rsidTr="003F2F0B">
        <w:trPr>
          <w:trHeight w:val="240"/>
        </w:trPr>
        <w:tc>
          <w:tcPr>
            <w:tcW w:w="1890" w:type="dxa"/>
          </w:tcPr>
          <w:p w14:paraId="2F704E9C" w14:textId="77777777" w:rsidR="00403A18" w:rsidRDefault="00403A18" w:rsidP="003B0095">
            <w:r>
              <w:t>CV</w:t>
            </w:r>
          </w:p>
        </w:tc>
        <w:tc>
          <w:tcPr>
            <w:tcW w:w="6532" w:type="dxa"/>
          </w:tcPr>
          <w:p w14:paraId="028484C0" w14:textId="77777777" w:rsidR="00403A18" w:rsidRDefault="00403A18" w:rsidP="003B0095">
            <w:r>
              <w:t>Cardiovascular</w:t>
            </w:r>
          </w:p>
        </w:tc>
      </w:tr>
      <w:tr w:rsidR="00403A18" w14:paraId="1161622A" w14:textId="77777777" w:rsidTr="003F2F0B">
        <w:trPr>
          <w:trHeight w:val="240"/>
        </w:trPr>
        <w:tc>
          <w:tcPr>
            <w:tcW w:w="1890" w:type="dxa"/>
          </w:tcPr>
          <w:p w14:paraId="6E28C9E5" w14:textId="77777777" w:rsidR="00403A18" w:rsidRDefault="00403A18" w:rsidP="003B0095">
            <w:r>
              <w:t>CXCL1</w:t>
            </w:r>
          </w:p>
        </w:tc>
        <w:tc>
          <w:tcPr>
            <w:tcW w:w="6532" w:type="dxa"/>
          </w:tcPr>
          <w:p w14:paraId="2DD64D54" w14:textId="77777777" w:rsidR="00403A18" w:rsidRDefault="00403A18" w:rsidP="00CA2E63">
            <w:r>
              <w:t>Chemokine (C-X-C motif) ligand 1</w:t>
            </w:r>
          </w:p>
        </w:tc>
      </w:tr>
      <w:tr w:rsidR="00403A18" w14:paraId="24C64EEA" w14:textId="77777777" w:rsidTr="003F2F0B">
        <w:trPr>
          <w:trHeight w:val="368"/>
        </w:trPr>
        <w:tc>
          <w:tcPr>
            <w:tcW w:w="1890" w:type="dxa"/>
          </w:tcPr>
          <w:p w14:paraId="5FFFA625" w14:textId="77777777" w:rsidR="00403A18" w:rsidRDefault="00403A18" w:rsidP="003B0095">
            <w:r>
              <w:t>DAS28-3 (CRP)</w:t>
            </w:r>
          </w:p>
        </w:tc>
        <w:tc>
          <w:tcPr>
            <w:tcW w:w="6532" w:type="dxa"/>
          </w:tcPr>
          <w:p w14:paraId="6D95BED1" w14:textId="77777777" w:rsidR="00403A18" w:rsidRDefault="00403A18" w:rsidP="003B0095">
            <w:r>
              <w:t>Disease Activity Score with CRP</w:t>
            </w:r>
          </w:p>
        </w:tc>
      </w:tr>
      <w:tr w:rsidR="00403A18" w14:paraId="1C6F334F" w14:textId="77777777" w:rsidTr="003F2F0B">
        <w:trPr>
          <w:trHeight w:val="240"/>
        </w:trPr>
        <w:tc>
          <w:tcPr>
            <w:tcW w:w="1890" w:type="dxa"/>
          </w:tcPr>
          <w:p w14:paraId="66CE2B91" w14:textId="77777777" w:rsidR="00403A18" w:rsidRDefault="00403A18" w:rsidP="003B0095">
            <w:r>
              <w:t>DILI</w:t>
            </w:r>
          </w:p>
        </w:tc>
        <w:tc>
          <w:tcPr>
            <w:tcW w:w="6532" w:type="dxa"/>
          </w:tcPr>
          <w:p w14:paraId="0E6A3B3C" w14:textId="77777777" w:rsidR="00403A18" w:rsidRDefault="00403A18" w:rsidP="003B0095">
            <w:r>
              <w:t>Drug induced liver injury</w:t>
            </w:r>
          </w:p>
        </w:tc>
      </w:tr>
      <w:tr w:rsidR="00403A18" w14:paraId="5CF9208B" w14:textId="77777777" w:rsidTr="003F2F0B">
        <w:trPr>
          <w:trHeight w:val="235"/>
        </w:trPr>
        <w:tc>
          <w:tcPr>
            <w:tcW w:w="1890" w:type="dxa"/>
          </w:tcPr>
          <w:p w14:paraId="71100E40" w14:textId="77777777" w:rsidR="00403A18" w:rsidRDefault="00403A18" w:rsidP="003B0095">
            <w:r>
              <w:t>DMARD</w:t>
            </w:r>
          </w:p>
        </w:tc>
        <w:tc>
          <w:tcPr>
            <w:tcW w:w="6532" w:type="dxa"/>
          </w:tcPr>
          <w:p w14:paraId="0FFFA211" w14:textId="77777777" w:rsidR="00403A18" w:rsidRDefault="00403A18" w:rsidP="003B0095">
            <w:r>
              <w:t xml:space="preserve">Disease modifying </w:t>
            </w:r>
            <w:proofErr w:type="spellStart"/>
            <w:r>
              <w:t>antirheumatic</w:t>
            </w:r>
            <w:proofErr w:type="spellEnd"/>
            <w:r>
              <w:t xml:space="preserve"> drug</w:t>
            </w:r>
          </w:p>
        </w:tc>
      </w:tr>
      <w:tr w:rsidR="00403A18" w14:paraId="6B270684" w14:textId="77777777" w:rsidTr="003F2F0B">
        <w:trPr>
          <w:trHeight w:val="240"/>
        </w:trPr>
        <w:tc>
          <w:tcPr>
            <w:tcW w:w="1890" w:type="dxa"/>
          </w:tcPr>
          <w:p w14:paraId="5C626171" w14:textId="77777777" w:rsidR="00403A18" w:rsidRDefault="00403A18" w:rsidP="003B0095">
            <w:r>
              <w:t>DSS</w:t>
            </w:r>
          </w:p>
        </w:tc>
        <w:tc>
          <w:tcPr>
            <w:tcW w:w="6532" w:type="dxa"/>
          </w:tcPr>
          <w:p w14:paraId="454109F0" w14:textId="77777777" w:rsidR="00403A18" w:rsidRDefault="00403A18" w:rsidP="003B0095">
            <w:proofErr w:type="spellStart"/>
            <w:r>
              <w:t>Dactylitis</w:t>
            </w:r>
            <w:proofErr w:type="spellEnd"/>
            <w:r>
              <w:t xml:space="preserve"> severity score</w:t>
            </w:r>
          </w:p>
        </w:tc>
      </w:tr>
      <w:tr w:rsidR="00403A18" w14:paraId="483927A2" w14:textId="77777777" w:rsidTr="003F2F0B">
        <w:trPr>
          <w:trHeight w:val="240"/>
        </w:trPr>
        <w:tc>
          <w:tcPr>
            <w:tcW w:w="1890" w:type="dxa"/>
          </w:tcPr>
          <w:p w14:paraId="5331D6FC" w14:textId="77777777" w:rsidR="00403A18" w:rsidRDefault="00403A18" w:rsidP="003B0095">
            <w:r>
              <w:t>ECG</w:t>
            </w:r>
          </w:p>
        </w:tc>
        <w:tc>
          <w:tcPr>
            <w:tcW w:w="6532" w:type="dxa"/>
          </w:tcPr>
          <w:p w14:paraId="3A116414" w14:textId="77777777" w:rsidR="00403A18" w:rsidRDefault="00403A18" w:rsidP="003B0095">
            <w:r>
              <w:t>electrocardiogram</w:t>
            </w:r>
          </w:p>
        </w:tc>
      </w:tr>
      <w:tr w:rsidR="00403A18" w14:paraId="6B065653" w14:textId="77777777" w:rsidTr="003F2F0B">
        <w:trPr>
          <w:trHeight w:val="240"/>
        </w:trPr>
        <w:tc>
          <w:tcPr>
            <w:tcW w:w="1890" w:type="dxa"/>
          </w:tcPr>
          <w:p w14:paraId="53B25FEC" w14:textId="77777777" w:rsidR="00403A18" w:rsidRDefault="00403A18" w:rsidP="003B0095">
            <w:proofErr w:type="spellStart"/>
            <w:r>
              <w:rPr>
                <w:lang w:eastAsia="ja-JP"/>
              </w:rPr>
              <w:t>eGFR</w:t>
            </w:r>
            <w:proofErr w:type="spellEnd"/>
          </w:p>
        </w:tc>
        <w:tc>
          <w:tcPr>
            <w:tcW w:w="6532" w:type="dxa"/>
          </w:tcPr>
          <w:p w14:paraId="7D16B40D" w14:textId="77777777" w:rsidR="00403A18" w:rsidRDefault="00403A18" w:rsidP="00D00E0F">
            <w:r w:rsidRPr="00D00E0F">
              <w:rPr>
                <w:lang w:eastAsia="ja-JP"/>
              </w:rPr>
              <w:t>estimated Glomerular Filtration Rate</w:t>
            </w:r>
          </w:p>
        </w:tc>
      </w:tr>
      <w:tr w:rsidR="00403A18" w14:paraId="7673DE71" w14:textId="77777777" w:rsidTr="003F2F0B">
        <w:trPr>
          <w:trHeight w:val="240"/>
        </w:trPr>
        <w:tc>
          <w:tcPr>
            <w:tcW w:w="1890" w:type="dxa"/>
          </w:tcPr>
          <w:p w14:paraId="6D2A94E0" w14:textId="77777777" w:rsidR="00403A18" w:rsidRDefault="00403A18" w:rsidP="003B0095">
            <w:r w:rsidRPr="003F2F0B">
              <w:t>ELISA</w:t>
            </w:r>
          </w:p>
        </w:tc>
        <w:tc>
          <w:tcPr>
            <w:tcW w:w="6532" w:type="dxa"/>
          </w:tcPr>
          <w:p w14:paraId="159E56C7" w14:textId="77777777" w:rsidR="00403A18" w:rsidRDefault="00403A18" w:rsidP="00D518BB">
            <w:r>
              <w:t xml:space="preserve">Enzyme </w:t>
            </w:r>
            <w:r w:rsidRPr="00D518BB">
              <w:t>linked immunosorbent assay</w:t>
            </w:r>
          </w:p>
        </w:tc>
      </w:tr>
      <w:tr w:rsidR="00403A18" w14:paraId="44E63E60" w14:textId="77777777" w:rsidTr="003F2F0B">
        <w:trPr>
          <w:trHeight w:val="240"/>
        </w:trPr>
        <w:tc>
          <w:tcPr>
            <w:tcW w:w="1890" w:type="dxa"/>
          </w:tcPr>
          <w:p w14:paraId="56298032" w14:textId="77777777" w:rsidR="00403A18" w:rsidRDefault="00403A18" w:rsidP="003B0095">
            <w:r>
              <w:t>EMA</w:t>
            </w:r>
          </w:p>
        </w:tc>
        <w:tc>
          <w:tcPr>
            <w:tcW w:w="6532" w:type="dxa"/>
          </w:tcPr>
          <w:p w14:paraId="1127F4C7" w14:textId="77777777" w:rsidR="00403A18" w:rsidRDefault="00403A18" w:rsidP="003B0095">
            <w:r>
              <w:t>European Medicines Agency</w:t>
            </w:r>
          </w:p>
        </w:tc>
      </w:tr>
      <w:tr w:rsidR="00403A18" w14:paraId="33A71C36" w14:textId="77777777" w:rsidTr="003F2F0B">
        <w:trPr>
          <w:trHeight w:val="240"/>
        </w:trPr>
        <w:tc>
          <w:tcPr>
            <w:tcW w:w="1890" w:type="dxa"/>
          </w:tcPr>
          <w:p w14:paraId="4FF3B8AC" w14:textId="77777777" w:rsidR="00403A18" w:rsidRDefault="00403A18" w:rsidP="003B0095">
            <w:proofErr w:type="spellStart"/>
            <w:r>
              <w:rPr>
                <w:lang w:eastAsia="ja-JP"/>
              </w:rPr>
              <w:t>E</w:t>
            </w:r>
            <w:r w:rsidRPr="00B5763A">
              <w:rPr>
                <w:vertAlign w:val="subscript"/>
                <w:lang w:eastAsia="ja-JP"/>
              </w:rPr>
              <w:t>max</w:t>
            </w:r>
            <w:proofErr w:type="spellEnd"/>
          </w:p>
        </w:tc>
        <w:tc>
          <w:tcPr>
            <w:tcW w:w="6532" w:type="dxa"/>
          </w:tcPr>
          <w:p w14:paraId="5400897B" w14:textId="77777777" w:rsidR="00403A18" w:rsidRDefault="00403A18" w:rsidP="00B5763A">
            <w:r>
              <w:rPr>
                <w:lang w:eastAsia="ja-JP"/>
              </w:rPr>
              <w:t>Maximum effect</w:t>
            </w:r>
          </w:p>
        </w:tc>
      </w:tr>
      <w:tr w:rsidR="00403A18" w14:paraId="4EE096F5" w14:textId="77777777" w:rsidTr="003F2F0B">
        <w:trPr>
          <w:trHeight w:val="240"/>
        </w:trPr>
        <w:tc>
          <w:tcPr>
            <w:tcW w:w="1890" w:type="dxa"/>
          </w:tcPr>
          <w:p w14:paraId="2CF20601" w14:textId="77777777" w:rsidR="00403A18" w:rsidRDefault="00403A18" w:rsidP="003B0095">
            <w:r>
              <w:t>EPO</w:t>
            </w:r>
          </w:p>
        </w:tc>
        <w:tc>
          <w:tcPr>
            <w:tcW w:w="6532" w:type="dxa"/>
          </w:tcPr>
          <w:p w14:paraId="5BDD2BA7" w14:textId="77777777" w:rsidR="00403A18" w:rsidRDefault="00403A18" w:rsidP="008A094A">
            <w:r>
              <w:t>E</w:t>
            </w:r>
            <w:r w:rsidRPr="00075298">
              <w:t>rythropoietin</w:t>
            </w:r>
          </w:p>
        </w:tc>
      </w:tr>
      <w:tr w:rsidR="00403A18" w14:paraId="7CA1589A" w14:textId="77777777" w:rsidTr="003F2F0B">
        <w:trPr>
          <w:trHeight w:val="240"/>
        </w:trPr>
        <w:tc>
          <w:tcPr>
            <w:tcW w:w="1890" w:type="dxa"/>
          </w:tcPr>
          <w:p w14:paraId="190C276C" w14:textId="77777777" w:rsidR="00403A18" w:rsidRDefault="00403A18" w:rsidP="003B0095">
            <w:r>
              <w:t>EQ-5D</w:t>
            </w:r>
          </w:p>
        </w:tc>
        <w:tc>
          <w:tcPr>
            <w:tcW w:w="6532" w:type="dxa"/>
          </w:tcPr>
          <w:p w14:paraId="02511BBA" w14:textId="77777777" w:rsidR="00403A18" w:rsidRDefault="00403A18" w:rsidP="003B0095">
            <w:r>
              <w:t>EuroQol-5 Dimension Health State Profile</w:t>
            </w:r>
          </w:p>
        </w:tc>
      </w:tr>
      <w:tr w:rsidR="00403A18" w14:paraId="1DB76475" w14:textId="77777777" w:rsidTr="003F2F0B">
        <w:trPr>
          <w:trHeight w:val="240"/>
        </w:trPr>
        <w:tc>
          <w:tcPr>
            <w:tcW w:w="1890" w:type="dxa"/>
          </w:tcPr>
          <w:p w14:paraId="54D10854" w14:textId="77777777" w:rsidR="00403A18" w:rsidRDefault="00403A18" w:rsidP="003B0095">
            <w:r>
              <w:t>ESR</w:t>
            </w:r>
          </w:p>
        </w:tc>
        <w:tc>
          <w:tcPr>
            <w:tcW w:w="6532" w:type="dxa"/>
          </w:tcPr>
          <w:p w14:paraId="72395D26" w14:textId="77777777" w:rsidR="00403A18" w:rsidRDefault="00403A18" w:rsidP="003B0095">
            <w:r>
              <w:t>Erythrocyte sedimentation rate</w:t>
            </w:r>
          </w:p>
        </w:tc>
      </w:tr>
      <w:tr w:rsidR="00403A18" w14:paraId="3954B963" w14:textId="77777777" w:rsidTr="003F2F0B">
        <w:trPr>
          <w:trHeight w:val="240"/>
        </w:trPr>
        <w:tc>
          <w:tcPr>
            <w:tcW w:w="1890" w:type="dxa"/>
          </w:tcPr>
          <w:p w14:paraId="1F95947A" w14:textId="77777777" w:rsidR="00403A18" w:rsidRDefault="00403A18" w:rsidP="003B0095">
            <w:r>
              <w:t>EU</w:t>
            </w:r>
          </w:p>
        </w:tc>
        <w:tc>
          <w:tcPr>
            <w:tcW w:w="6532" w:type="dxa"/>
          </w:tcPr>
          <w:p w14:paraId="486DDA18" w14:textId="77777777" w:rsidR="00403A18" w:rsidRDefault="00403A18" w:rsidP="003B0095">
            <w:r>
              <w:t>European Union</w:t>
            </w:r>
          </w:p>
        </w:tc>
      </w:tr>
      <w:tr w:rsidR="00403A18" w14:paraId="002042C5" w14:textId="77777777" w:rsidTr="003F2F0B">
        <w:trPr>
          <w:trHeight w:val="240"/>
        </w:trPr>
        <w:tc>
          <w:tcPr>
            <w:tcW w:w="1890" w:type="dxa"/>
          </w:tcPr>
          <w:p w14:paraId="0258EFAC" w14:textId="77777777" w:rsidR="00403A18" w:rsidRDefault="00403A18" w:rsidP="003B0095">
            <w:r>
              <w:t>EULAR</w:t>
            </w:r>
          </w:p>
        </w:tc>
        <w:tc>
          <w:tcPr>
            <w:tcW w:w="6532" w:type="dxa"/>
          </w:tcPr>
          <w:p w14:paraId="28EF51C2" w14:textId="77777777" w:rsidR="00403A18" w:rsidRDefault="00403A18" w:rsidP="003B0095">
            <w:r>
              <w:t>European League Against Rheumatism</w:t>
            </w:r>
          </w:p>
        </w:tc>
      </w:tr>
      <w:tr w:rsidR="00403A18" w14:paraId="6410000B" w14:textId="77777777" w:rsidTr="003F2F0B">
        <w:trPr>
          <w:trHeight w:val="240"/>
        </w:trPr>
        <w:tc>
          <w:tcPr>
            <w:tcW w:w="1890" w:type="dxa"/>
          </w:tcPr>
          <w:p w14:paraId="70AE2806" w14:textId="77777777" w:rsidR="00403A18" w:rsidRDefault="00403A18" w:rsidP="003B0095">
            <w:r>
              <w:lastRenderedPageBreak/>
              <w:t>FACIT-F</w:t>
            </w:r>
          </w:p>
        </w:tc>
        <w:tc>
          <w:tcPr>
            <w:tcW w:w="6532" w:type="dxa"/>
          </w:tcPr>
          <w:p w14:paraId="644271AE" w14:textId="77777777" w:rsidR="00403A18" w:rsidRDefault="00403A18" w:rsidP="003B0095">
            <w:r>
              <w:t>Functional Assessment of Chronic Illness Therapy-Fatigue</w:t>
            </w:r>
          </w:p>
        </w:tc>
      </w:tr>
      <w:tr w:rsidR="00403A18" w14:paraId="02675614" w14:textId="77777777" w:rsidTr="003F2F0B">
        <w:trPr>
          <w:trHeight w:val="240"/>
        </w:trPr>
        <w:tc>
          <w:tcPr>
            <w:tcW w:w="1890" w:type="dxa"/>
          </w:tcPr>
          <w:p w14:paraId="54DE8C0C" w14:textId="77777777" w:rsidR="00403A18" w:rsidRDefault="00403A18" w:rsidP="003B0095">
            <w:r>
              <w:t>FAS</w:t>
            </w:r>
          </w:p>
        </w:tc>
        <w:tc>
          <w:tcPr>
            <w:tcW w:w="6532" w:type="dxa"/>
          </w:tcPr>
          <w:p w14:paraId="78AF9155" w14:textId="77777777" w:rsidR="00403A18" w:rsidRDefault="00403A18" w:rsidP="003B0095">
            <w:r>
              <w:t>Full Analysis Set</w:t>
            </w:r>
          </w:p>
        </w:tc>
      </w:tr>
      <w:tr w:rsidR="00403A18" w14:paraId="27CA26E0" w14:textId="77777777" w:rsidTr="003F2F0B">
        <w:trPr>
          <w:trHeight w:val="240"/>
        </w:trPr>
        <w:tc>
          <w:tcPr>
            <w:tcW w:w="1890" w:type="dxa"/>
          </w:tcPr>
          <w:p w14:paraId="515DFBD4" w14:textId="77777777" w:rsidR="00403A18" w:rsidRDefault="00403A18" w:rsidP="003B0095">
            <w:r>
              <w:t>FDA</w:t>
            </w:r>
          </w:p>
        </w:tc>
        <w:tc>
          <w:tcPr>
            <w:tcW w:w="6532" w:type="dxa"/>
          </w:tcPr>
          <w:p w14:paraId="1D92E78F" w14:textId="77777777" w:rsidR="00403A18" w:rsidRDefault="00403A18" w:rsidP="003B0095">
            <w:r>
              <w:t>Food and Drug Administration (US)</w:t>
            </w:r>
          </w:p>
        </w:tc>
      </w:tr>
      <w:tr w:rsidR="00403A18" w14:paraId="5CE6394E" w14:textId="77777777" w:rsidTr="003F2F0B">
        <w:trPr>
          <w:trHeight w:val="240"/>
        </w:trPr>
        <w:tc>
          <w:tcPr>
            <w:tcW w:w="1890" w:type="dxa"/>
          </w:tcPr>
          <w:p w14:paraId="1142359F" w14:textId="77777777" w:rsidR="00403A18" w:rsidRDefault="00403A18" w:rsidP="003B0095">
            <w:r>
              <w:t>FITC</w:t>
            </w:r>
          </w:p>
        </w:tc>
        <w:tc>
          <w:tcPr>
            <w:tcW w:w="6532" w:type="dxa"/>
          </w:tcPr>
          <w:p w14:paraId="340FCADC" w14:textId="77777777" w:rsidR="00403A18" w:rsidRDefault="00403A18" w:rsidP="00D674E2">
            <w:r>
              <w:t>F</w:t>
            </w:r>
            <w:r w:rsidRPr="00D674E2">
              <w:t xml:space="preserve">luorescein </w:t>
            </w:r>
            <w:proofErr w:type="spellStart"/>
            <w:r w:rsidRPr="00D674E2">
              <w:t>isothiocyanate</w:t>
            </w:r>
            <w:proofErr w:type="spellEnd"/>
          </w:p>
        </w:tc>
      </w:tr>
      <w:tr w:rsidR="00403A18" w14:paraId="40E4C56A" w14:textId="77777777" w:rsidTr="003F2F0B">
        <w:trPr>
          <w:trHeight w:val="240"/>
        </w:trPr>
        <w:tc>
          <w:tcPr>
            <w:tcW w:w="1890" w:type="dxa"/>
          </w:tcPr>
          <w:p w14:paraId="073147F2" w14:textId="77777777" w:rsidR="00403A18" w:rsidRDefault="00403A18" w:rsidP="003B0095">
            <w:r>
              <w:t>GFR</w:t>
            </w:r>
          </w:p>
        </w:tc>
        <w:tc>
          <w:tcPr>
            <w:tcW w:w="6532" w:type="dxa"/>
          </w:tcPr>
          <w:p w14:paraId="08A1C3E4" w14:textId="77777777" w:rsidR="00403A18" w:rsidRDefault="00403A18" w:rsidP="003B0095">
            <w:r>
              <w:t>Glomerular filtration rate</w:t>
            </w:r>
          </w:p>
        </w:tc>
      </w:tr>
      <w:tr w:rsidR="00403A18" w14:paraId="24AB11B8" w14:textId="77777777" w:rsidTr="003F2F0B">
        <w:trPr>
          <w:trHeight w:val="240"/>
        </w:trPr>
        <w:tc>
          <w:tcPr>
            <w:tcW w:w="1890" w:type="dxa"/>
          </w:tcPr>
          <w:p w14:paraId="23764734" w14:textId="77777777" w:rsidR="00403A18" w:rsidRDefault="00403A18" w:rsidP="003B0095">
            <w:r>
              <w:t>GI</w:t>
            </w:r>
          </w:p>
        </w:tc>
        <w:tc>
          <w:tcPr>
            <w:tcW w:w="6532" w:type="dxa"/>
          </w:tcPr>
          <w:p w14:paraId="0B966B9D" w14:textId="77777777" w:rsidR="00403A18" w:rsidRDefault="00403A18" w:rsidP="003B0095">
            <w:r>
              <w:t>Gastrointestinal</w:t>
            </w:r>
          </w:p>
        </w:tc>
      </w:tr>
      <w:tr w:rsidR="00403A18" w14:paraId="0D6B7E13" w14:textId="77777777" w:rsidTr="003F2F0B">
        <w:trPr>
          <w:trHeight w:val="240"/>
        </w:trPr>
        <w:tc>
          <w:tcPr>
            <w:tcW w:w="1890" w:type="dxa"/>
          </w:tcPr>
          <w:p w14:paraId="51D395B6" w14:textId="77777777" w:rsidR="00403A18" w:rsidRDefault="00403A18" w:rsidP="003B0095">
            <w:r>
              <w:t>h</w:t>
            </w:r>
          </w:p>
        </w:tc>
        <w:tc>
          <w:tcPr>
            <w:tcW w:w="6532" w:type="dxa"/>
          </w:tcPr>
          <w:p w14:paraId="3D23471A" w14:textId="77777777" w:rsidR="00403A18" w:rsidRDefault="00403A18" w:rsidP="003B0095">
            <w:r>
              <w:t>hour/s</w:t>
            </w:r>
          </w:p>
        </w:tc>
      </w:tr>
      <w:tr w:rsidR="00403A18" w14:paraId="69E3E61F" w14:textId="77777777" w:rsidTr="003F2F0B">
        <w:trPr>
          <w:trHeight w:val="240"/>
        </w:trPr>
        <w:tc>
          <w:tcPr>
            <w:tcW w:w="1890" w:type="dxa"/>
          </w:tcPr>
          <w:p w14:paraId="6FD05945" w14:textId="77777777" w:rsidR="00403A18" w:rsidRDefault="00403A18" w:rsidP="003B0095">
            <w:r w:rsidRPr="003F2F0B">
              <w:t>H&amp;E</w:t>
            </w:r>
          </w:p>
        </w:tc>
        <w:tc>
          <w:tcPr>
            <w:tcW w:w="6532" w:type="dxa"/>
          </w:tcPr>
          <w:p w14:paraId="26FD9904" w14:textId="77777777" w:rsidR="00403A18" w:rsidRDefault="00403A18" w:rsidP="00D518BB">
            <w:r>
              <w:t>H</w:t>
            </w:r>
            <w:r w:rsidRPr="00D518BB">
              <w:t>aematoxylin and eosin</w:t>
            </w:r>
          </w:p>
        </w:tc>
      </w:tr>
      <w:tr w:rsidR="00403A18" w14:paraId="07FE209B" w14:textId="77777777" w:rsidTr="003F2F0B">
        <w:trPr>
          <w:trHeight w:val="240"/>
        </w:trPr>
        <w:tc>
          <w:tcPr>
            <w:tcW w:w="1890" w:type="dxa"/>
          </w:tcPr>
          <w:p w14:paraId="670031E3" w14:textId="77777777" w:rsidR="00403A18" w:rsidRDefault="00403A18" w:rsidP="003B0095">
            <w:r>
              <w:t>HAQ</w:t>
            </w:r>
          </w:p>
        </w:tc>
        <w:tc>
          <w:tcPr>
            <w:tcW w:w="6532" w:type="dxa"/>
          </w:tcPr>
          <w:p w14:paraId="0D86D09F" w14:textId="77777777" w:rsidR="00403A18" w:rsidRDefault="00403A18" w:rsidP="003B0095">
            <w:r>
              <w:t>Health Assessment Questionnaire</w:t>
            </w:r>
          </w:p>
        </w:tc>
      </w:tr>
      <w:tr w:rsidR="00403A18" w14:paraId="1FD58124" w14:textId="77777777" w:rsidTr="003F2F0B">
        <w:trPr>
          <w:trHeight w:val="70"/>
        </w:trPr>
        <w:tc>
          <w:tcPr>
            <w:tcW w:w="1890" w:type="dxa"/>
          </w:tcPr>
          <w:p w14:paraId="3B35A0AB" w14:textId="77777777" w:rsidR="00403A18" w:rsidRDefault="00403A18" w:rsidP="003B0095">
            <w:r>
              <w:t>HAQ-DI</w:t>
            </w:r>
          </w:p>
        </w:tc>
        <w:tc>
          <w:tcPr>
            <w:tcW w:w="6532" w:type="dxa"/>
          </w:tcPr>
          <w:p w14:paraId="1361891B" w14:textId="77777777" w:rsidR="00403A18" w:rsidRDefault="00403A18" w:rsidP="003B0095">
            <w:r>
              <w:t>Health Assessment Questionnaire - Disability Index</w:t>
            </w:r>
          </w:p>
        </w:tc>
      </w:tr>
      <w:tr w:rsidR="00403A18" w14:paraId="2E57B083" w14:textId="77777777" w:rsidTr="003F2F0B">
        <w:trPr>
          <w:trHeight w:val="70"/>
        </w:trPr>
        <w:tc>
          <w:tcPr>
            <w:tcW w:w="1890" w:type="dxa"/>
          </w:tcPr>
          <w:p w14:paraId="5CC7FB9F" w14:textId="77777777" w:rsidR="00403A18" w:rsidRDefault="00403A18" w:rsidP="003B0095">
            <w:proofErr w:type="spellStart"/>
            <w:r>
              <w:t>Hb</w:t>
            </w:r>
            <w:proofErr w:type="spellEnd"/>
          </w:p>
        </w:tc>
        <w:tc>
          <w:tcPr>
            <w:tcW w:w="6532" w:type="dxa"/>
          </w:tcPr>
          <w:p w14:paraId="7F0CEFC7" w14:textId="77777777" w:rsidR="00403A18" w:rsidRDefault="00403A18" w:rsidP="003B0095">
            <w:r>
              <w:t>Haemoglobin</w:t>
            </w:r>
          </w:p>
        </w:tc>
      </w:tr>
      <w:tr w:rsidR="00403A18" w14:paraId="543A90D1" w14:textId="77777777" w:rsidTr="003F2F0B">
        <w:trPr>
          <w:trHeight w:val="240"/>
        </w:trPr>
        <w:tc>
          <w:tcPr>
            <w:tcW w:w="1890" w:type="dxa"/>
          </w:tcPr>
          <w:p w14:paraId="751B57F2" w14:textId="77777777" w:rsidR="00403A18" w:rsidRDefault="00403A18" w:rsidP="003B0095">
            <w:r>
              <w:t>HbA1c</w:t>
            </w:r>
          </w:p>
        </w:tc>
        <w:tc>
          <w:tcPr>
            <w:tcW w:w="6532" w:type="dxa"/>
          </w:tcPr>
          <w:p w14:paraId="3509CE42" w14:textId="77777777" w:rsidR="00403A18" w:rsidRDefault="00403A18" w:rsidP="00E80EF1">
            <w:r>
              <w:t>H</w:t>
            </w:r>
            <w:r w:rsidRPr="00E80EF1">
              <w:t>aemoglobin</w:t>
            </w:r>
            <w:r>
              <w:t xml:space="preserve"> A1c</w:t>
            </w:r>
          </w:p>
        </w:tc>
      </w:tr>
      <w:tr w:rsidR="00403A18" w14:paraId="5C23DE92" w14:textId="77777777" w:rsidTr="003F2F0B">
        <w:trPr>
          <w:trHeight w:val="240"/>
        </w:trPr>
        <w:tc>
          <w:tcPr>
            <w:tcW w:w="1890" w:type="dxa"/>
          </w:tcPr>
          <w:p w14:paraId="65D28FC5" w14:textId="77777777" w:rsidR="00403A18" w:rsidRDefault="00403A18" w:rsidP="003B0095">
            <w:r>
              <w:rPr>
                <w:lang w:eastAsia="ja-JP"/>
              </w:rPr>
              <w:t>HBV</w:t>
            </w:r>
          </w:p>
        </w:tc>
        <w:tc>
          <w:tcPr>
            <w:tcW w:w="6532" w:type="dxa"/>
          </w:tcPr>
          <w:p w14:paraId="59E25D58" w14:textId="77777777" w:rsidR="00403A18" w:rsidRDefault="00403A18" w:rsidP="00AB54D0">
            <w:r>
              <w:rPr>
                <w:lang w:eastAsia="ja-JP"/>
              </w:rPr>
              <w:t>Hepatitis B</w:t>
            </w:r>
          </w:p>
        </w:tc>
      </w:tr>
      <w:tr w:rsidR="00403A18" w14:paraId="19FC417B" w14:textId="77777777" w:rsidTr="003F2F0B">
        <w:trPr>
          <w:trHeight w:val="240"/>
        </w:trPr>
        <w:tc>
          <w:tcPr>
            <w:tcW w:w="1890" w:type="dxa"/>
          </w:tcPr>
          <w:p w14:paraId="671E6C91" w14:textId="77777777" w:rsidR="00403A18" w:rsidRDefault="00403A18" w:rsidP="003B0095">
            <w:r>
              <w:rPr>
                <w:lang w:eastAsia="ja-JP"/>
              </w:rPr>
              <w:t>HCV</w:t>
            </w:r>
          </w:p>
        </w:tc>
        <w:tc>
          <w:tcPr>
            <w:tcW w:w="6532" w:type="dxa"/>
          </w:tcPr>
          <w:p w14:paraId="1537D53D" w14:textId="77777777" w:rsidR="00403A18" w:rsidRDefault="00403A18" w:rsidP="003B0095">
            <w:r>
              <w:rPr>
                <w:lang w:eastAsia="ja-JP"/>
              </w:rPr>
              <w:t>Hepatitis C</w:t>
            </w:r>
          </w:p>
        </w:tc>
      </w:tr>
      <w:tr w:rsidR="00403A18" w14:paraId="3BDFA6C9" w14:textId="77777777" w:rsidTr="003F2F0B">
        <w:trPr>
          <w:trHeight w:val="240"/>
        </w:trPr>
        <w:tc>
          <w:tcPr>
            <w:tcW w:w="1890" w:type="dxa"/>
          </w:tcPr>
          <w:p w14:paraId="7D68C79F" w14:textId="77777777" w:rsidR="00403A18" w:rsidRDefault="00403A18" w:rsidP="003B0095">
            <w:r>
              <w:t>HDL</w:t>
            </w:r>
          </w:p>
        </w:tc>
        <w:tc>
          <w:tcPr>
            <w:tcW w:w="6532" w:type="dxa"/>
          </w:tcPr>
          <w:p w14:paraId="37BF2AF4" w14:textId="77777777" w:rsidR="00403A18" w:rsidRDefault="00403A18" w:rsidP="00D674E2">
            <w:r>
              <w:t xml:space="preserve">High </w:t>
            </w:r>
            <w:r w:rsidRPr="00D674E2">
              <w:t>density lipoprotein</w:t>
            </w:r>
          </w:p>
        </w:tc>
      </w:tr>
      <w:tr w:rsidR="00403A18" w14:paraId="3304E298" w14:textId="77777777" w:rsidTr="003F2F0B">
        <w:trPr>
          <w:trHeight w:val="70"/>
        </w:trPr>
        <w:tc>
          <w:tcPr>
            <w:tcW w:w="1890" w:type="dxa"/>
          </w:tcPr>
          <w:p w14:paraId="0E0E4630" w14:textId="77777777" w:rsidR="00403A18" w:rsidRDefault="00403A18" w:rsidP="003B0095">
            <w:r>
              <w:t>HDL-C</w:t>
            </w:r>
          </w:p>
        </w:tc>
        <w:tc>
          <w:tcPr>
            <w:tcW w:w="6532" w:type="dxa"/>
          </w:tcPr>
          <w:p w14:paraId="54A758C2" w14:textId="77777777" w:rsidR="00403A18" w:rsidRDefault="00403A18" w:rsidP="003B0095">
            <w:r>
              <w:t>High density lipoprotein-cholesterol</w:t>
            </w:r>
          </w:p>
        </w:tc>
      </w:tr>
      <w:tr w:rsidR="00403A18" w14:paraId="568CC484" w14:textId="77777777" w:rsidTr="003F2F0B">
        <w:trPr>
          <w:trHeight w:val="70"/>
        </w:trPr>
        <w:tc>
          <w:tcPr>
            <w:tcW w:w="1890" w:type="dxa"/>
          </w:tcPr>
          <w:p w14:paraId="5D75AC12" w14:textId="77777777" w:rsidR="00403A18" w:rsidRDefault="00403A18" w:rsidP="003B0095">
            <w:r>
              <w:t>HLA-B27</w:t>
            </w:r>
          </w:p>
        </w:tc>
        <w:tc>
          <w:tcPr>
            <w:tcW w:w="6532" w:type="dxa"/>
          </w:tcPr>
          <w:p w14:paraId="065719FD" w14:textId="77777777" w:rsidR="00403A18" w:rsidRDefault="00403A18" w:rsidP="003B0095">
            <w:r w:rsidRPr="003B0095">
              <w:t>Human leukocyte antigen B27</w:t>
            </w:r>
          </w:p>
        </w:tc>
      </w:tr>
      <w:tr w:rsidR="00403A18" w14:paraId="3C06E0AE" w14:textId="77777777" w:rsidTr="003F2F0B">
        <w:trPr>
          <w:trHeight w:val="70"/>
        </w:trPr>
        <w:tc>
          <w:tcPr>
            <w:tcW w:w="1890" w:type="dxa"/>
          </w:tcPr>
          <w:p w14:paraId="715BF256" w14:textId="77777777" w:rsidR="00403A18" w:rsidRDefault="00403A18" w:rsidP="003B0095">
            <w:r>
              <w:t>HR</w:t>
            </w:r>
          </w:p>
        </w:tc>
        <w:tc>
          <w:tcPr>
            <w:tcW w:w="6532" w:type="dxa"/>
          </w:tcPr>
          <w:p w14:paraId="6F6CCD24" w14:textId="77777777" w:rsidR="00403A18" w:rsidRDefault="00403A18" w:rsidP="003B0095">
            <w:r>
              <w:t>Hazard ratio</w:t>
            </w:r>
          </w:p>
        </w:tc>
      </w:tr>
      <w:tr w:rsidR="00403A18" w14:paraId="4D204389" w14:textId="77777777" w:rsidTr="003F2F0B">
        <w:trPr>
          <w:trHeight w:val="70"/>
        </w:trPr>
        <w:tc>
          <w:tcPr>
            <w:tcW w:w="1890" w:type="dxa"/>
          </w:tcPr>
          <w:p w14:paraId="6EE63DC3" w14:textId="77777777" w:rsidR="00403A18" w:rsidRDefault="00403A18" w:rsidP="003B0095">
            <w:r>
              <w:t>HZ</w:t>
            </w:r>
          </w:p>
        </w:tc>
        <w:tc>
          <w:tcPr>
            <w:tcW w:w="6532" w:type="dxa"/>
          </w:tcPr>
          <w:p w14:paraId="11DC57C8" w14:textId="77777777" w:rsidR="00403A18" w:rsidRDefault="00403A18" w:rsidP="003B0095">
            <w:r>
              <w:t>Herpes zoster</w:t>
            </w:r>
          </w:p>
        </w:tc>
      </w:tr>
      <w:tr w:rsidR="00403A18" w14:paraId="2A182588" w14:textId="77777777" w:rsidTr="003F2F0B">
        <w:trPr>
          <w:trHeight w:val="70"/>
        </w:trPr>
        <w:tc>
          <w:tcPr>
            <w:tcW w:w="1890" w:type="dxa"/>
          </w:tcPr>
          <w:p w14:paraId="69CBBB3B" w14:textId="77777777" w:rsidR="00403A18" w:rsidRDefault="00403A18" w:rsidP="003B0095">
            <w:r>
              <w:t>IC</w:t>
            </w:r>
            <w:r w:rsidRPr="00C636D8">
              <w:rPr>
                <w:vertAlign w:val="subscript"/>
              </w:rPr>
              <w:t>50</w:t>
            </w:r>
          </w:p>
        </w:tc>
        <w:tc>
          <w:tcPr>
            <w:tcW w:w="6532" w:type="dxa"/>
          </w:tcPr>
          <w:p w14:paraId="47DAA5D1" w14:textId="77777777" w:rsidR="00403A18" w:rsidRDefault="00403A18" w:rsidP="003B0095">
            <w:r>
              <w:t>H</w:t>
            </w:r>
            <w:r w:rsidRPr="00C636D8">
              <w:t>alf maximal inhibitory concentration</w:t>
            </w:r>
          </w:p>
        </w:tc>
      </w:tr>
      <w:tr w:rsidR="00403A18" w14:paraId="668B934D" w14:textId="77777777" w:rsidTr="003F2F0B">
        <w:trPr>
          <w:trHeight w:val="70"/>
        </w:trPr>
        <w:tc>
          <w:tcPr>
            <w:tcW w:w="1890" w:type="dxa"/>
          </w:tcPr>
          <w:p w14:paraId="7B64ADBE" w14:textId="77777777" w:rsidR="00403A18" w:rsidRDefault="00403A18" w:rsidP="003B0095">
            <w:r w:rsidRPr="003F2F0B">
              <w:t>IHC</w:t>
            </w:r>
          </w:p>
        </w:tc>
        <w:tc>
          <w:tcPr>
            <w:tcW w:w="6532" w:type="dxa"/>
          </w:tcPr>
          <w:p w14:paraId="606A3BF8" w14:textId="77777777" w:rsidR="00403A18" w:rsidRDefault="00403A18" w:rsidP="00D518BB">
            <w:r>
              <w:t>I</w:t>
            </w:r>
            <w:r w:rsidRPr="00D518BB">
              <w:t>mmunohistochemistry</w:t>
            </w:r>
          </w:p>
        </w:tc>
      </w:tr>
      <w:tr w:rsidR="00403A18" w14:paraId="487589DD" w14:textId="77777777" w:rsidTr="003F2F0B">
        <w:trPr>
          <w:trHeight w:val="70"/>
        </w:trPr>
        <w:tc>
          <w:tcPr>
            <w:tcW w:w="1890" w:type="dxa"/>
          </w:tcPr>
          <w:p w14:paraId="139ED4A1" w14:textId="77777777" w:rsidR="00403A18" w:rsidRDefault="00403A18" w:rsidP="003B0095">
            <w:r>
              <w:t>IL-2</w:t>
            </w:r>
          </w:p>
        </w:tc>
        <w:tc>
          <w:tcPr>
            <w:tcW w:w="6532" w:type="dxa"/>
          </w:tcPr>
          <w:p w14:paraId="4F4FEE4B" w14:textId="77777777" w:rsidR="00403A18" w:rsidRDefault="00403A18" w:rsidP="00D518BB">
            <w:r>
              <w:t>Interleukin-2</w:t>
            </w:r>
          </w:p>
        </w:tc>
      </w:tr>
      <w:tr w:rsidR="00403A18" w14:paraId="5A02B44F" w14:textId="77777777" w:rsidTr="003F2F0B">
        <w:trPr>
          <w:trHeight w:val="70"/>
        </w:trPr>
        <w:tc>
          <w:tcPr>
            <w:tcW w:w="1890" w:type="dxa"/>
          </w:tcPr>
          <w:p w14:paraId="6036BC39" w14:textId="77777777" w:rsidR="00403A18" w:rsidRDefault="00403A18" w:rsidP="003B0095">
            <w:r>
              <w:t>ILD</w:t>
            </w:r>
          </w:p>
        </w:tc>
        <w:tc>
          <w:tcPr>
            <w:tcW w:w="6532" w:type="dxa"/>
          </w:tcPr>
          <w:p w14:paraId="2EDFC7DA" w14:textId="77777777" w:rsidR="00403A18" w:rsidRDefault="00403A18" w:rsidP="003B0095">
            <w:r>
              <w:t>Interstitial lung disease</w:t>
            </w:r>
          </w:p>
        </w:tc>
      </w:tr>
      <w:tr w:rsidR="00403A18" w14:paraId="69E168C0" w14:textId="77777777" w:rsidTr="003F2F0B">
        <w:trPr>
          <w:trHeight w:val="70"/>
        </w:trPr>
        <w:tc>
          <w:tcPr>
            <w:tcW w:w="1890" w:type="dxa"/>
          </w:tcPr>
          <w:p w14:paraId="34CC2ACB" w14:textId="77777777" w:rsidR="00403A18" w:rsidRDefault="00403A18" w:rsidP="003B0095">
            <w:r>
              <w:t>IP</w:t>
            </w:r>
          </w:p>
        </w:tc>
        <w:tc>
          <w:tcPr>
            <w:tcW w:w="6532" w:type="dxa"/>
          </w:tcPr>
          <w:p w14:paraId="17927D66" w14:textId="77777777" w:rsidR="00403A18" w:rsidRDefault="00403A18" w:rsidP="003B0095">
            <w:r w:rsidRPr="003F2F0B">
              <w:t>Intraperitoneal</w:t>
            </w:r>
          </w:p>
        </w:tc>
      </w:tr>
      <w:tr w:rsidR="00403A18" w14:paraId="1BCFEFFA" w14:textId="77777777" w:rsidTr="003F2F0B">
        <w:trPr>
          <w:trHeight w:val="70"/>
        </w:trPr>
        <w:tc>
          <w:tcPr>
            <w:tcW w:w="1890" w:type="dxa"/>
          </w:tcPr>
          <w:p w14:paraId="077C7E85" w14:textId="77777777" w:rsidR="00403A18" w:rsidRDefault="00403A18" w:rsidP="003B0095">
            <w:r>
              <w:t>IVRS</w:t>
            </w:r>
          </w:p>
        </w:tc>
        <w:tc>
          <w:tcPr>
            <w:tcW w:w="6532" w:type="dxa"/>
          </w:tcPr>
          <w:p w14:paraId="4E0E75F4" w14:textId="77777777" w:rsidR="00403A18" w:rsidRDefault="00403A18" w:rsidP="003B0095">
            <w:r>
              <w:t>Interactive voice response system</w:t>
            </w:r>
          </w:p>
        </w:tc>
      </w:tr>
      <w:tr w:rsidR="00403A18" w14:paraId="7178B92A" w14:textId="77777777" w:rsidTr="003F2F0B">
        <w:trPr>
          <w:trHeight w:val="70"/>
        </w:trPr>
        <w:tc>
          <w:tcPr>
            <w:tcW w:w="1890" w:type="dxa"/>
          </w:tcPr>
          <w:p w14:paraId="13361799" w14:textId="77777777" w:rsidR="00403A18" w:rsidRDefault="00403A18" w:rsidP="003B0095">
            <w:r>
              <w:t>JAK</w:t>
            </w:r>
          </w:p>
        </w:tc>
        <w:tc>
          <w:tcPr>
            <w:tcW w:w="6532" w:type="dxa"/>
          </w:tcPr>
          <w:p w14:paraId="1D3410E4" w14:textId="77777777" w:rsidR="00403A18" w:rsidRDefault="00403A18" w:rsidP="003B0095">
            <w:r>
              <w:t>Janus kinase</w:t>
            </w:r>
          </w:p>
        </w:tc>
      </w:tr>
      <w:tr w:rsidR="00403A18" w14:paraId="063BE066" w14:textId="77777777" w:rsidTr="003F2F0B">
        <w:trPr>
          <w:trHeight w:val="70"/>
        </w:trPr>
        <w:tc>
          <w:tcPr>
            <w:tcW w:w="1890" w:type="dxa"/>
          </w:tcPr>
          <w:p w14:paraId="3F648542" w14:textId="77777777" w:rsidR="00403A18" w:rsidRDefault="00403A18" w:rsidP="003B0095">
            <w:r>
              <w:lastRenderedPageBreak/>
              <w:t>LDL-C</w:t>
            </w:r>
          </w:p>
        </w:tc>
        <w:tc>
          <w:tcPr>
            <w:tcW w:w="6532" w:type="dxa"/>
          </w:tcPr>
          <w:p w14:paraId="0E58F857" w14:textId="77777777" w:rsidR="00403A18" w:rsidRDefault="00403A18" w:rsidP="003B0095">
            <w:r>
              <w:t>low density lipoprotein-cholesterol</w:t>
            </w:r>
          </w:p>
        </w:tc>
      </w:tr>
      <w:tr w:rsidR="00403A18" w14:paraId="42231BA1" w14:textId="77777777" w:rsidTr="003F2F0B">
        <w:trPr>
          <w:trHeight w:val="70"/>
        </w:trPr>
        <w:tc>
          <w:tcPr>
            <w:tcW w:w="1890" w:type="dxa"/>
          </w:tcPr>
          <w:p w14:paraId="421C64C6" w14:textId="77777777" w:rsidR="00403A18" w:rsidRDefault="00403A18" w:rsidP="003B0095">
            <w:r>
              <w:t>LEI</w:t>
            </w:r>
          </w:p>
        </w:tc>
        <w:tc>
          <w:tcPr>
            <w:tcW w:w="6532" w:type="dxa"/>
          </w:tcPr>
          <w:p w14:paraId="5652D0DA" w14:textId="77777777" w:rsidR="00403A18" w:rsidRDefault="00403A18" w:rsidP="003B0095">
            <w:r>
              <w:t xml:space="preserve">Leeds </w:t>
            </w:r>
            <w:proofErr w:type="spellStart"/>
            <w:r>
              <w:t>Enthesitis</w:t>
            </w:r>
            <w:proofErr w:type="spellEnd"/>
            <w:r>
              <w:t xml:space="preserve"> Index</w:t>
            </w:r>
          </w:p>
        </w:tc>
      </w:tr>
      <w:tr w:rsidR="00403A18" w14:paraId="6DF23E9E" w14:textId="77777777" w:rsidTr="003F2F0B">
        <w:trPr>
          <w:trHeight w:val="70"/>
        </w:trPr>
        <w:tc>
          <w:tcPr>
            <w:tcW w:w="1890" w:type="dxa"/>
          </w:tcPr>
          <w:p w14:paraId="57E7C08F" w14:textId="77777777" w:rsidR="00403A18" w:rsidRDefault="00403A18" w:rsidP="003B0095">
            <w:r>
              <w:t>LFT</w:t>
            </w:r>
          </w:p>
        </w:tc>
        <w:tc>
          <w:tcPr>
            <w:tcW w:w="6532" w:type="dxa"/>
          </w:tcPr>
          <w:p w14:paraId="70D31C51" w14:textId="77777777" w:rsidR="00403A18" w:rsidRDefault="00403A18" w:rsidP="002219D4">
            <w:r>
              <w:t>Liver function tests</w:t>
            </w:r>
          </w:p>
        </w:tc>
      </w:tr>
      <w:tr w:rsidR="00403A18" w14:paraId="0B295398" w14:textId="77777777" w:rsidTr="003F2F0B">
        <w:trPr>
          <w:trHeight w:val="70"/>
        </w:trPr>
        <w:tc>
          <w:tcPr>
            <w:tcW w:w="1890" w:type="dxa"/>
          </w:tcPr>
          <w:p w14:paraId="01592285" w14:textId="77777777" w:rsidR="00403A18" w:rsidRDefault="00403A18" w:rsidP="003B0095">
            <w:r>
              <w:t>LS</w:t>
            </w:r>
          </w:p>
        </w:tc>
        <w:tc>
          <w:tcPr>
            <w:tcW w:w="6532" w:type="dxa"/>
          </w:tcPr>
          <w:p w14:paraId="538E0A2D" w14:textId="77777777" w:rsidR="00403A18" w:rsidRDefault="00403A18" w:rsidP="003B0095">
            <w:r>
              <w:t>Least squares</w:t>
            </w:r>
          </w:p>
        </w:tc>
      </w:tr>
      <w:tr w:rsidR="00403A18" w14:paraId="3F245C8C" w14:textId="77777777" w:rsidTr="003F2F0B">
        <w:trPr>
          <w:trHeight w:val="70"/>
        </w:trPr>
        <w:tc>
          <w:tcPr>
            <w:tcW w:w="1890" w:type="dxa"/>
          </w:tcPr>
          <w:p w14:paraId="4B7894BB" w14:textId="77777777" w:rsidR="00403A18" w:rsidRDefault="00403A18" w:rsidP="003B0095">
            <w:r>
              <w:t>MACE</w:t>
            </w:r>
          </w:p>
        </w:tc>
        <w:tc>
          <w:tcPr>
            <w:tcW w:w="6532" w:type="dxa"/>
          </w:tcPr>
          <w:p w14:paraId="6BEEB1B5" w14:textId="77777777" w:rsidR="00403A18" w:rsidRDefault="00403A18" w:rsidP="003B0095">
            <w:r>
              <w:t>Major adverse cardiovascular events</w:t>
            </w:r>
          </w:p>
        </w:tc>
      </w:tr>
      <w:tr w:rsidR="00403A18" w14:paraId="7EA92820" w14:textId="77777777" w:rsidTr="003F2F0B">
        <w:trPr>
          <w:trHeight w:val="70"/>
        </w:trPr>
        <w:tc>
          <w:tcPr>
            <w:tcW w:w="1890" w:type="dxa"/>
          </w:tcPr>
          <w:p w14:paraId="70FF40FF" w14:textId="77777777" w:rsidR="00403A18" w:rsidRDefault="00403A18" w:rsidP="003B0095">
            <w:proofErr w:type="spellStart"/>
            <w:r>
              <w:t>MedDRA</w:t>
            </w:r>
            <w:proofErr w:type="spellEnd"/>
          </w:p>
        </w:tc>
        <w:tc>
          <w:tcPr>
            <w:tcW w:w="6532" w:type="dxa"/>
          </w:tcPr>
          <w:p w14:paraId="0B6D642F" w14:textId="77777777" w:rsidR="00403A18" w:rsidRDefault="00403A18" w:rsidP="003B0095">
            <w:r>
              <w:t>medical dictionary for regulatory activities</w:t>
            </w:r>
          </w:p>
        </w:tc>
      </w:tr>
      <w:tr w:rsidR="00403A18" w14:paraId="020FBA7F" w14:textId="77777777" w:rsidTr="003F2F0B">
        <w:trPr>
          <w:trHeight w:val="70"/>
        </w:trPr>
        <w:tc>
          <w:tcPr>
            <w:tcW w:w="1890" w:type="dxa"/>
          </w:tcPr>
          <w:p w14:paraId="3A7557A6" w14:textId="77777777" w:rsidR="00403A18" w:rsidRDefault="00403A18" w:rsidP="003B0095">
            <w:r>
              <w:t>MMRM</w:t>
            </w:r>
          </w:p>
        </w:tc>
        <w:tc>
          <w:tcPr>
            <w:tcW w:w="6532" w:type="dxa"/>
          </w:tcPr>
          <w:p w14:paraId="42B0573E" w14:textId="77777777" w:rsidR="00403A18" w:rsidRDefault="00403A18" w:rsidP="003B0095">
            <w:r>
              <w:rPr>
                <w:lang w:eastAsia="ja-JP"/>
              </w:rPr>
              <w:t>Mixed Model for Repeated Measures</w:t>
            </w:r>
          </w:p>
        </w:tc>
      </w:tr>
      <w:tr w:rsidR="00403A18" w14:paraId="6D435A3D" w14:textId="77777777" w:rsidTr="003F2F0B">
        <w:trPr>
          <w:trHeight w:val="70"/>
        </w:trPr>
        <w:tc>
          <w:tcPr>
            <w:tcW w:w="1890" w:type="dxa"/>
          </w:tcPr>
          <w:p w14:paraId="30724CDD" w14:textId="77777777" w:rsidR="00403A18" w:rsidRDefault="00403A18" w:rsidP="003B0095">
            <w:proofErr w:type="spellStart"/>
            <w:r>
              <w:t>mTSS</w:t>
            </w:r>
            <w:proofErr w:type="spellEnd"/>
          </w:p>
        </w:tc>
        <w:tc>
          <w:tcPr>
            <w:tcW w:w="6532" w:type="dxa"/>
          </w:tcPr>
          <w:p w14:paraId="2BFB9301" w14:textId="77777777" w:rsidR="00403A18" w:rsidRDefault="00403A18" w:rsidP="003B0095">
            <w:r>
              <w:t>modified total Sharp score</w:t>
            </w:r>
          </w:p>
        </w:tc>
      </w:tr>
      <w:tr w:rsidR="00403A18" w14:paraId="666B8C68" w14:textId="77777777" w:rsidTr="003F2F0B">
        <w:trPr>
          <w:trHeight w:val="70"/>
        </w:trPr>
        <w:tc>
          <w:tcPr>
            <w:tcW w:w="1890" w:type="dxa"/>
          </w:tcPr>
          <w:p w14:paraId="4BE9BDEF" w14:textId="77777777" w:rsidR="00403A18" w:rsidRDefault="00403A18" w:rsidP="003B0095">
            <w:r>
              <w:t>MTX</w:t>
            </w:r>
          </w:p>
        </w:tc>
        <w:tc>
          <w:tcPr>
            <w:tcW w:w="6532" w:type="dxa"/>
          </w:tcPr>
          <w:p w14:paraId="612869B1" w14:textId="77777777" w:rsidR="00403A18" w:rsidRDefault="00403A18" w:rsidP="003B0095">
            <w:r>
              <w:t>methotrexate</w:t>
            </w:r>
          </w:p>
        </w:tc>
      </w:tr>
      <w:tr w:rsidR="00403A18" w14:paraId="02E158FA" w14:textId="77777777" w:rsidTr="003F2F0B">
        <w:trPr>
          <w:trHeight w:val="70"/>
        </w:trPr>
        <w:tc>
          <w:tcPr>
            <w:tcW w:w="1890" w:type="dxa"/>
          </w:tcPr>
          <w:p w14:paraId="46F65B35" w14:textId="77777777" w:rsidR="00403A18" w:rsidRDefault="00403A18" w:rsidP="003B0095">
            <w:r>
              <w:t>NSAID</w:t>
            </w:r>
          </w:p>
        </w:tc>
        <w:tc>
          <w:tcPr>
            <w:tcW w:w="6532" w:type="dxa"/>
          </w:tcPr>
          <w:p w14:paraId="7415C988" w14:textId="77777777" w:rsidR="00403A18" w:rsidRDefault="00403A18" w:rsidP="003B0095">
            <w:r>
              <w:t>Non-steroidal anti-inflammatory drug</w:t>
            </w:r>
          </w:p>
        </w:tc>
      </w:tr>
      <w:tr w:rsidR="00403A18" w14:paraId="755798A2" w14:textId="77777777" w:rsidTr="003F2F0B">
        <w:trPr>
          <w:trHeight w:val="70"/>
        </w:trPr>
        <w:tc>
          <w:tcPr>
            <w:tcW w:w="1890" w:type="dxa"/>
          </w:tcPr>
          <w:p w14:paraId="1A1F17F5" w14:textId="77777777" w:rsidR="00403A18" w:rsidRDefault="00403A18" w:rsidP="003B0095">
            <w:r w:rsidRPr="0069655B">
              <w:t>OAT1</w:t>
            </w:r>
          </w:p>
        </w:tc>
        <w:tc>
          <w:tcPr>
            <w:tcW w:w="6532" w:type="dxa"/>
          </w:tcPr>
          <w:p w14:paraId="35E6E122" w14:textId="77777777" w:rsidR="00403A18" w:rsidRDefault="00403A18" w:rsidP="0069655B">
            <w:r>
              <w:t>Organic anion transporter 1</w:t>
            </w:r>
          </w:p>
        </w:tc>
      </w:tr>
      <w:tr w:rsidR="00403A18" w14:paraId="726D8264" w14:textId="77777777" w:rsidTr="003F2F0B">
        <w:trPr>
          <w:trHeight w:val="70"/>
        </w:trPr>
        <w:tc>
          <w:tcPr>
            <w:tcW w:w="1890" w:type="dxa"/>
          </w:tcPr>
          <w:p w14:paraId="3C878366" w14:textId="77777777" w:rsidR="00403A18" w:rsidRDefault="00403A18" w:rsidP="003B0095">
            <w:r w:rsidRPr="0069655B">
              <w:t>OATP1B1</w:t>
            </w:r>
          </w:p>
        </w:tc>
        <w:tc>
          <w:tcPr>
            <w:tcW w:w="6532" w:type="dxa"/>
          </w:tcPr>
          <w:p w14:paraId="35C8C655" w14:textId="77777777" w:rsidR="00403A18" w:rsidRDefault="00403A18" w:rsidP="0069655B">
            <w:r>
              <w:t>O</w:t>
            </w:r>
            <w:r w:rsidRPr="0069655B">
              <w:t>rganic-anion</w:t>
            </w:r>
            <w:r>
              <w:t>-transporting polypeptide 1 B1</w:t>
            </w:r>
          </w:p>
        </w:tc>
      </w:tr>
      <w:tr w:rsidR="00403A18" w14:paraId="3F6DBCDB" w14:textId="77777777" w:rsidTr="003F2F0B">
        <w:trPr>
          <w:trHeight w:val="70"/>
        </w:trPr>
        <w:tc>
          <w:tcPr>
            <w:tcW w:w="1890" w:type="dxa"/>
          </w:tcPr>
          <w:p w14:paraId="6E303C86" w14:textId="77777777" w:rsidR="00403A18" w:rsidRDefault="00403A18" w:rsidP="003B0095">
            <w:r w:rsidRPr="0069655B">
              <w:t>OCT1</w:t>
            </w:r>
          </w:p>
        </w:tc>
        <w:tc>
          <w:tcPr>
            <w:tcW w:w="6532" w:type="dxa"/>
          </w:tcPr>
          <w:p w14:paraId="4B8EC6CE" w14:textId="77777777" w:rsidR="00403A18" w:rsidRDefault="00403A18" w:rsidP="0069655B">
            <w:r>
              <w:t>Organic cation transporter 1</w:t>
            </w:r>
          </w:p>
        </w:tc>
      </w:tr>
      <w:tr w:rsidR="00403A18" w14:paraId="0A5C6114" w14:textId="77777777" w:rsidTr="003F2F0B">
        <w:trPr>
          <w:trHeight w:val="70"/>
        </w:trPr>
        <w:tc>
          <w:tcPr>
            <w:tcW w:w="1890" w:type="dxa"/>
          </w:tcPr>
          <w:p w14:paraId="6FF2E63D" w14:textId="77777777" w:rsidR="00403A18" w:rsidRDefault="00403A18" w:rsidP="003B0095">
            <w:r>
              <w:t>OPAL</w:t>
            </w:r>
          </w:p>
        </w:tc>
        <w:tc>
          <w:tcPr>
            <w:tcW w:w="6532" w:type="dxa"/>
          </w:tcPr>
          <w:p w14:paraId="54779357" w14:textId="77777777" w:rsidR="00403A18" w:rsidRDefault="00403A18" w:rsidP="003B0095">
            <w:r>
              <w:t>Optimising Patient outcome in Australian Rheumatology</w:t>
            </w:r>
          </w:p>
        </w:tc>
      </w:tr>
      <w:tr w:rsidR="00403A18" w14:paraId="3C205D10" w14:textId="77777777" w:rsidTr="003F2F0B">
        <w:trPr>
          <w:trHeight w:val="70"/>
        </w:trPr>
        <w:tc>
          <w:tcPr>
            <w:tcW w:w="1890" w:type="dxa"/>
          </w:tcPr>
          <w:p w14:paraId="1504E208" w14:textId="77777777" w:rsidR="00403A18" w:rsidRDefault="00403A18" w:rsidP="003B0095">
            <w:r>
              <w:t>PASI</w:t>
            </w:r>
          </w:p>
        </w:tc>
        <w:tc>
          <w:tcPr>
            <w:tcW w:w="6532" w:type="dxa"/>
          </w:tcPr>
          <w:p w14:paraId="7760155C" w14:textId="77777777" w:rsidR="00403A18" w:rsidRDefault="00403A18" w:rsidP="003B0095">
            <w:r>
              <w:t>Psoriasis Area and Severity Index</w:t>
            </w:r>
          </w:p>
        </w:tc>
      </w:tr>
      <w:tr w:rsidR="00403A18" w14:paraId="3F946FCE" w14:textId="77777777" w:rsidTr="003F2F0B">
        <w:trPr>
          <w:trHeight w:val="70"/>
        </w:trPr>
        <w:tc>
          <w:tcPr>
            <w:tcW w:w="1890" w:type="dxa"/>
          </w:tcPr>
          <w:p w14:paraId="409F055B" w14:textId="77777777" w:rsidR="00403A18" w:rsidRDefault="00403A18" w:rsidP="003B0095">
            <w:r>
              <w:t>PASI75</w:t>
            </w:r>
          </w:p>
        </w:tc>
        <w:tc>
          <w:tcPr>
            <w:tcW w:w="6532" w:type="dxa"/>
          </w:tcPr>
          <w:p w14:paraId="2F9D4608" w14:textId="77777777" w:rsidR="00403A18" w:rsidRDefault="00403A18" w:rsidP="003B0095">
            <w:r>
              <w:t>75% reduction in PASI score</w:t>
            </w:r>
          </w:p>
        </w:tc>
      </w:tr>
      <w:tr w:rsidR="00403A18" w14:paraId="51E01BBA" w14:textId="77777777" w:rsidTr="003F2F0B">
        <w:trPr>
          <w:trHeight w:val="70"/>
        </w:trPr>
        <w:tc>
          <w:tcPr>
            <w:tcW w:w="1890" w:type="dxa"/>
          </w:tcPr>
          <w:p w14:paraId="3C9215F1" w14:textId="77777777" w:rsidR="00403A18" w:rsidRDefault="00403A18" w:rsidP="003B0095">
            <w:r>
              <w:t>PD</w:t>
            </w:r>
          </w:p>
        </w:tc>
        <w:tc>
          <w:tcPr>
            <w:tcW w:w="6532" w:type="dxa"/>
          </w:tcPr>
          <w:p w14:paraId="4B608BCD" w14:textId="77777777" w:rsidR="00403A18" w:rsidRDefault="00403A18" w:rsidP="003B0095">
            <w:proofErr w:type="spellStart"/>
            <w:r>
              <w:t>Pharmacodynamic</w:t>
            </w:r>
            <w:proofErr w:type="spellEnd"/>
            <w:r>
              <w:t>(s)</w:t>
            </w:r>
          </w:p>
        </w:tc>
      </w:tr>
      <w:tr w:rsidR="00403A18" w14:paraId="4C739E59" w14:textId="77777777" w:rsidTr="003F2F0B">
        <w:trPr>
          <w:trHeight w:val="70"/>
        </w:trPr>
        <w:tc>
          <w:tcPr>
            <w:tcW w:w="1890" w:type="dxa"/>
          </w:tcPr>
          <w:p w14:paraId="1D9489C3" w14:textId="77777777" w:rsidR="00403A18" w:rsidRDefault="00403A18" w:rsidP="003B0095">
            <w:r>
              <w:t>PDE4</w:t>
            </w:r>
          </w:p>
        </w:tc>
        <w:tc>
          <w:tcPr>
            <w:tcW w:w="6532" w:type="dxa"/>
          </w:tcPr>
          <w:p w14:paraId="6675B37D" w14:textId="77777777" w:rsidR="00403A18" w:rsidRDefault="00403A18" w:rsidP="00591694">
            <w:r>
              <w:t>P</w:t>
            </w:r>
            <w:r w:rsidRPr="00591694">
              <w:t>hosphodiesterase 4</w:t>
            </w:r>
          </w:p>
        </w:tc>
      </w:tr>
      <w:tr w:rsidR="00403A18" w14:paraId="4B9A0E87" w14:textId="77777777" w:rsidTr="003F2F0B">
        <w:trPr>
          <w:trHeight w:val="70"/>
        </w:trPr>
        <w:tc>
          <w:tcPr>
            <w:tcW w:w="1890" w:type="dxa"/>
          </w:tcPr>
          <w:p w14:paraId="0A8E914E" w14:textId="77777777" w:rsidR="00403A18" w:rsidRDefault="00403A18" w:rsidP="003B0095">
            <w:r>
              <w:t>PE</w:t>
            </w:r>
          </w:p>
        </w:tc>
        <w:tc>
          <w:tcPr>
            <w:tcW w:w="6532" w:type="dxa"/>
          </w:tcPr>
          <w:p w14:paraId="1A691011" w14:textId="77777777" w:rsidR="00403A18" w:rsidRDefault="00403A18" w:rsidP="00D674E2">
            <w:proofErr w:type="spellStart"/>
            <w:r>
              <w:t>P</w:t>
            </w:r>
            <w:r w:rsidRPr="00D674E2">
              <w:t>hycoerythrin</w:t>
            </w:r>
            <w:proofErr w:type="spellEnd"/>
          </w:p>
        </w:tc>
      </w:tr>
      <w:tr w:rsidR="00403A18" w14:paraId="35964EF9" w14:textId="77777777" w:rsidTr="003F2F0B">
        <w:trPr>
          <w:trHeight w:val="70"/>
        </w:trPr>
        <w:tc>
          <w:tcPr>
            <w:tcW w:w="1890" w:type="dxa"/>
          </w:tcPr>
          <w:p w14:paraId="702C2D47" w14:textId="77777777" w:rsidR="00403A18" w:rsidRDefault="00403A18" w:rsidP="003B0095">
            <w:r>
              <w:t>PGA</w:t>
            </w:r>
          </w:p>
        </w:tc>
        <w:tc>
          <w:tcPr>
            <w:tcW w:w="6532" w:type="dxa"/>
          </w:tcPr>
          <w:p w14:paraId="69D1EDA2" w14:textId="77777777" w:rsidR="00403A18" w:rsidRDefault="00403A18" w:rsidP="003B0095">
            <w:r>
              <w:t>Physician’s Global assessment</w:t>
            </w:r>
          </w:p>
        </w:tc>
      </w:tr>
      <w:tr w:rsidR="00403A18" w14:paraId="40BA9DA5" w14:textId="77777777" w:rsidTr="003F2F0B">
        <w:trPr>
          <w:trHeight w:val="70"/>
        </w:trPr>
        <w:tc>
          <w:tcPr>
            <w:tcW w:w="1890" w:type="dxa"/>
          </w:tcPr>
          <w:p w14:paraId="6260683E" w14:textId="77777777" w:rsidR="00403A18" w:rsidRDefault="00403A18" w:rsidP="003B0095">
            <w:r>
              <w:t>PI</w:t>
            </w:r>
          </w:p>
        </w:tc>
        <w:tc>
          <w:tcPr>
            <w:tcW w:w="6532" w:type="dxa"/>
          </w:tcPr>
          <w:p w14:paraId="278BFECC" w14:textId="77777777" w:rsidR="00403A18" w:rsidRDefault="00403A18" w:rsidP="003B0095">
            <w:r>
              <w:t>Product Information</w:t>
            </w:r>
          </w:p>
        </w:tc>
      </w:tr>
      <w:tr w:rsidR="00403A18" w14:paraId="0658A666" w14:textId="77777777" w:rsidTr="003F2F0B">
        <w:trPr>
          <w:trHeight w:val="70"/>
        </w:trPr>
        <w:tc>
          <w:tcPr>
            <w:tcW w:w="1890" w:type="dxa"/>
          </w:tcPr>
          <w:p w14:paraId="523E8BFF" w14:textId="77777777" w:rsidR="00403A18" w:rsidRDefault="00403A18" w:rsidP="003B0095">
            <w:r>
              <w:t>PK</w:t>
            </w:r>
          </w:p>
        </w:tc>
        <w:tc>
          <w:tcPr>
            <w:tcW w:w="6532" w:type="dxa"/>
          </w:tcPr>
          <w:p w14:paraId="448D934C" w14:textId="77777777" w:rsidR="00403A18" w:rsidRDefault="00403A18" w:rsidP="003B0095">
            <w:r>
              <w:t>Pharmacokinetic(s)</w:t>
            </w:r>
          </w:p>
        </w:tc>
      </w:tr>
      <w:tr w:rsidR="00403A18" w14:paraId="7AEB6F1D" w14:textId="77777777" w:rsidTr="003F2F0B">
        <w:trPr>
          <w:trHeight w:val="70"/>
        </w:trPr>
        <w:tc>
          <w:tcPr>
            <w:tcW w:w="1890" w:type="dxa"/>
          </w:tcPr>
          <w:p w14:paraId="11F45E17" w14:textId="77777777" w:rsidR="00403A18" w:rsidRDefault="00403A18" w:rsidP="003B0095">
            <w:r w:rsidRPr="003F2F0B">
              <w:t>PO</w:t>
            </w:r>
          </w:p>
        </w:tc>
        <w:tc>
          <w:tcPr>
            <w:tcW w:w="6532" w:type="dxa"/>
          </w:tcPr>
          <w:p w14:paraId="66CA5352" w14:textId="77777777" w:rsidR="00403A18" w:rsidRDefault="00403A18" w:rsidP="003F2F0B">
            <w:r>
              <w:t xml:space="preserve">Per </w:t>
            </w:r>
            <w:proofErr w:type="spellStart"/>
            <w:r>
              <w:t>os</w:t>
            </w:r>
            <w:proofErr w:type="spellEnd"/>
            <w:r>
              <w:t>; oral</w:t>
            </w:r>
          </w:p>
        </w:tc>
      </w:tr>
      <w:tr w:rsidR="00403A18" w14:paraId="63F5EB5C" w14:textId="77777777" w:rsidTr="003F2F0B">
        <w:trPr>
          <w:trHeight w:val="70"/>
        </w:trPr>
        <w:tc>
          <w:tcPr>
            <w:tcW w:w="1890" w:type="dxa"/>
          </w:tcPr>
          <w:p w14:paraId="3512B52E" w14:textId="77777777" w:rsidR="00403A18" w:rsidRDefault="00403A18" w:rsidP="003B0095">
            <w:r>
              <w:t>PP</w:t>
            </w:r>
          </w:p>
        </w:tc>
        <w:tc>
          <w:tcPr>
            <w:tcW w:w="6532" w:type="dxa"/>
          </w:tcPr>
          <w:p w14:paraId="29BD731D" w14:textId="77777777" w:rsidR="00403A18" w:rsidRDefault="00403A18" w:rsidP="003B0095">
            <w:r>
              <w:t>Per protocol</w:t>
            </w:r>
          </w:p>
        </w:tc>
      </w:tr>
      <w:tr w:rsidR="00403A18" w14:paraId="162F84B6" w14:textId="77777777" w:rsidTr="003F2F0B">
        <w:trPr>
          <w:trHeight w:val="70"/>
        </w:trPr>
        <w:tc>
          <w:tcPr>
            <w:tcW w:w="1890" w:type="dxa"/>
          </w:tcPr>
          <w:p w14:paraId="6C5321BA" w14:textId="77777777" w:rsidR="00403A18" w:rsidRDefault="00403A18" w:rsidP="003B0095">
            <w:proofErr w:type="spellStart"/>
            <w:r>
              <w:t>PsA</w:t>
            </w:r>
            <w:proofErr w:type="spellEnd"/>
          </w:p>
        </w:tc>
        <w:tc>
          <w:tcPr>
            <w:tcW w:w="6532" w:type="dxa"/>
          </w:tcPr>
          <w:p w14:paraId="4C41DFB2" w14:textId="77777777" w:rsidR="00403A18" w:rsidRDefault="00403A18" w:rsidP="003B0095">
            <w:r>
              <w:t>Psoriatic arthritis</w:t>
            </w:r>
          </w:p>
        </w:tc>
      </w:tr>
      <w:tr w:rsidR="00403A18" w14:paraId="76C6A624" w14:textId="77777777" w:rsidTr="003F2F0B">
        <w:trPr>
          <w:trHeight w:val="70"/>
        </w:trPr>
        <w:tc>
          <w:tcPr>
            <w:tcW w:w="1890" w:type="dxa"/>
          </w:tcPr>
          <w:p w14:paraId="3802F3D0" w14:textId="77777777" w:rsidR="00403A18" w:rsidRDefault="00403A18" w:rsidP="003B0095">
            <w:proofErr w:type="spellStart"/>
            <w:r>
              <w:t>PsO</w:t>
            </w:r>
            <w:proofErr w:type="spellEnd"/>
          </w:p>
        </w:tc>
        <w:tc>
          <w:tcPr>
            <w:tcW w:w="6532" w:type="dxa"/>
          </w:tcPr>
          <w:p w14:paraId="64504728" w14:textId="77777777" w:rsidR="00403A18" w:rsidRDefault="00403A18" w:rsidP="003B0095">
            <w:r>
              <w:t>Psoriasis</w:t>
            </w:r>
          </w:p>
        </w:tc>
      </w:tr>
      <w:tr w:rsidR="00403A18" w14:paraId="6D081BD4" w14:textId="77777777" w:rsidTr="003F2F0B">
        <w:trPr>
          <w:trHeight w:val="70"/>
        </w:trPr>
        <w:tc>
          <w:tcPr>
            <w:tcW w:w="1890" w:type="dxa"/>
          </w:tcPr>
          <w:p w14:paraId="3DE0A066" w14:textId="77777777" w:rsidR="00403A18" w:rsidRDefault="00403A18" w:rsidP="003B0095">
            <w:r>
              <w:lastRenderedPageBreak/>
              <w:t>PT</w:t>
            </w:r>
          </w:p>
        </w:tc>
        <w:tc>
          <w:tcPr>
            <w:tcW w:w="6532" w:type="dxa"/>
          </w:tcPr>
          <w:p w14:paraId="6D76437E" w14:textId="5BC37673" w:rsidR="00403A18" w:rsidRDefault="00403A18" w:rsidP="003B0095">
            <w:r>
              <w:t xml:space="preserve">Preferred </w:t>
            </w:r>
            <w:r w:rsidR="00DB39F5">
              <w:t>T</w:t>
            </w:r>
            <w:r>
              <w:t>erm</w:t>
            </w:r>
          </w:p>
        </w:tc>
      </w:tr>
      <w:tr w:rsidR="00403A18" w14:paraId="6B817D55" w14:textId="77777777" w:rsidTr="003F2F0B">
        <w:trPr>
          <w:trHeight w:val="70"/>
        </w:trPr>
        <w:tc>
          <w:tcPr>
            <w:tcW w:w="1890" w:type="dxa"/>
          </w:tcPr>
          <w:p w14:paraId="6B2072F3" w14:textId="77777777" w:rsidR="00403A18" w:rsidRDefault="00403A18" w:rsidP="003B0095">
            <w:r>
              <w:t>PY</w:t>
            </w:r>
          </w:p>
        </w:tc>
        <w:tc>
          <w:tcPr>
            <w:tcW w:w="6532" w:type="dxa"/>
          </w:tcPr>
          <w:p w14:paraId="56E6B383" w14:textId="77777777" w:rsidR="00403A18" w:rsidRDefault="00403A18" w:rsidP="003B0095">
            <w:r>
              <w:t>Patient years</w:t>
            </w:r>
          </w:p>
        </w:tc>
      </w:tr>
      <w:tr w:rsidR="00403A18" w14:paraId="660529B3" w14:textId="77777777" w:rsidTr="003F2F0B">
        <w:trPr>
          <w:trHeight w:val="70"/>
        </w:trPr>
        <w:tc>
          <w:tcPr>
            <w:tcW w:w="1890" w:type="dxa"/>
          </w:tcPr>
          <w:p w14:paraId="61B2106D" w14:textId="77777777" w:rsidR="00403A18" w:rsidRDefault="00403A18" w:rsidP="003B0095">
            <w:proofErr w:type="spellStart"/>
            <w:r>
              <w:t>QTc</w:t>
            </w:r>
            <w:proofErr w:type="spellEnd"/>
          </w:p>
        </w:tc>
        <w:tc>
          <w:tcPr>
            <w:tcW w:w="6532" w:type="dxa"/>
          </w:tcPr>
          <w:p w14:paraId="072D0AD4" w14:textId="77777777" w:rsidR="00403A18" w:rsidRDefault="00403A18" w:rsidP="003B0095">
            <w:r>
              <w:t>Corrected QT interval of the ECG</w:t>
            </w:r>
          </w:p>
        </w:tc>
      </w:tr>
      <w:tr w:rsidR="00403A18" w14:paraId="2C56C939" w14:textId="77777777" w:rsidTr="003F2F0B">
        <w:trPr>
          <w:trHeight w:val="70"/>
        </w:trPr>
        <w:tc>
          <w:tcPr>
            <w:tcW w:w="1890" w:type="dxa"/>
          </w:tcPr>
          <w:p w14:paraId="6F1DAB31" w14:textId="77777777" w:rsidR="00403A18" w:rsidRDefault="00403A18" w:rsidP="003B0095">
            <w:r>
              <w:t>RA</w:t>
            </w:r>
          </w:p>
        </w:tc>
        <w:tc>
          <w:tcPr>
            <w:tcW w:w="6532" w:type="dxa"/>
          </w:tcPr>
          <w:p w14:paraId="603D579B" w14:textId="77777777" w:rsidR="00403A18" w:rsidRDefault="00403A18" w:rsidP="003B0095">
            <w:r>
              <w:t>Rheumatoid arthritis</w:t>
            </w:r>
          </w:p>
        </w:tc>
      </w:tr>
      <w:tr w:rsidR="00403A18" w14:paraId="0CC35DE9" w14:textId="77777777" w:rsidTr="003F2F0B">
        <w:trPr>
          <w:trHeight w:val="70"/>
        </w:trPr>
        <w:tc>
          <w:tcPr>
            <w:tcW w:w="1890" w:type="dxa"/>
          </w:tcPr>
          <w:p w14:paraId="18726979" w14:textId="77777777" w:rsidR="00403A18" w:rsidRDefault="00403A18" w:rsidP="003B0095">
            <w:r>
              <w:t>RBC</w:t>
            </w:r>
          </w:p>
        </w:tc>
        <w:tc>
          <w:tcPr>
            <w:tcW w:w="6532" w:type="dxa"/>
          </w:tcPr>
          <w:p w14:paraId="784511A8" w14:textId="77777777" w:rsidR="00403A18" w:rsidRDefault="00403A18" w:rsidP="003B0095">
            <w:r>
              <w:t>Red blood cells</w:t>
            </w:r>
          </w:p>
        </w:tc>
      </w:tr>
      <w:tr w:rsidR="00403A18" w14:paraId="058C38B6" w14:textId="77777777" w:rsidTr="003F2F0B">
        <w:trPr>
          <w:trHeight w:val="70"/>
        </w:trPr>
        <w:tc>
          <w:tcPr>
            <w:tcW w:w="1890" w:type="dxa"/>
          </w:tcPr>
          <w:p w14:paraId="3DF65B22" w14:textId="77777777" w:rsidR="00403A18" w:rsidRDefault="00403A18" w:rsidP="003B0095">
            <w:r>
              <w:t>rmIL-23</w:t>
            </w:r>
          </w:p>
        </w:tc>
        <w:tc>
          <w:tcPr>
            <w:tcW w:w="6532" w:type="dxa"/>
          </w:tcPr>
          <w:p w14:paraId="2F12F6A1" w14:textId="77777777" w:rsidR="00403A18" w:rsidRDefault="00403A18" w:rsidP="00D518BB">
            <w:r>
              <w:t>Recombinant mouse IL-23</w:t>
            </w:r>
          </w:p>
        </w:tc>
      </w:tr>
      <w:tr w:rsidR="00403A18" w14:paraId="645C5FBF" w14:textId="77777777" w:rsidTr="003F2F0B">
        <w:trPr>
          <w:trHeight w:val="70"/>
        </w:trPr>
        <w:tc>
          <w:tcPr>
            <w:tcW w:w="1890" w:type="dxa"/>
          </w:tcPr>
          <w:p w14:paraId="6F6856C3" w14:textId="77777777" w:rsidR="00403A18" w:rsidRDefault="00403A18" w:rsidP="003B0095">
            <w:r>
              <w:t>RMP</w:t>
            </w:r>
          </w:p>
        </w:tc>
        <w:tc>
          <w:tcPr>
            <w:tcW w:w="6532" w:type="dxa"/>
          </w:tcPr>
          <w:p w14:paraId="10D55CF8" w14:textId="77777777" w:rsidR="00403A18" w:rsidRDefault="00403A18" w:rsidP="003B0095">
            <w:r>
              <w:t>Risk Management Plan</w:t>
            </w:r>
          </w:p>
        </w:tc>
      </w:tr>
      <w:tr w:rsidR="00403A18" w14:paraId="31077779" w14:textId="77777777" w:rsidTr="003F2F0B">
        <w:trPr>
          <w:trHeight w:val="70"/>
        </w:trPr>
        <w:tc>
          <w:tcPr>
            <w:tcW w:w="1890" w:type="dxa"/>
          </w:tcPr>
          <w:p w14:paraId="46D2116E" w14:textId="77777777" w:rsidR="00403A18" w:rsidRDefault="00403A18" w:rsidP="003B0095">
            <w:r>
              <w:t>RNA</w:t>
            </w:r>
          </w:p>
        </w:tc>
        <w:tc>
          <w:tcPr>
            <w:tcW w:w="6532" w:type="dxa"/>
          </w:tcPr>
          <w:p w14:paraId="03F38A26" w14:textId="77777777" w:rsidR="00403A18" w:rsidRDefault="00403A18" w:rsidP="003B0095">
            <w:r>
              <w:t>Ribonucleic acid</w:t>
            </w:r>
          </w:p>
        </w:tc>
      </w:tr>
      <w:tr w:rsidR="00403A18" w14:paraId="55750539" w14:textId="77777777" w:rsidTr="003F2F0B">
        <w:trPr>
          <w:trHeight w:val="70"/>
        </w:trPr>
        <w:tc>
          <w:tcPr>
            <w:tcW w:w="1890" w:type="dxa"/>
          </w:tcPr>
          <w:p w14:paraId="067F221F" w14:textId="77777777" w:rsidR="00403A18" w:rsidRDefault="00403A18" w:rsidP="003B0095">
            <w:r w:rsidRPr="003F2F0B">
              <w:t>RT PCR</w:t>
            </w:r>
          </w:p>
        </w:tc>
        <w:tc>
          <w:tcPr>
            <w:tcW w:w="6532" w:type="dxa"/>
          </w:tcPr>
          <w:p w14:paraId="564CA579" w14:textId="77777777" w:rsidR="00403A18" w:rsidRDefault="00403A18" w:rsidP="00D518BB">
            <w:r>
              <w:t>R</w:t>
            </w:r>
            <w:r w:rsidRPr="00D518BB">
              <w:t>everse transcription polymerase chain reaction</w:t>
            </w:r>
          </w:p>
        </w:tc>
      </w:tr>
      <w:tr w:rsidR="00403A18" w14:paraId="49C75DB0" w14:textId="77777777" w:rsidTr="003F2F0B">
        <w:trPr>
          <w:trHeight w:val="70"/>
        </w:trPr>
        <w:tc>
          <w:tcPr>
            <w:tcW w:w="1890" w:type="dxa"/>
          </w:tcPr>
          <w:p w14:paraId="055635A0" w14:textId="77777777" w:rsidR="00403A18" w:rsidRPr="003F2F0B" w:rsidRDefault="00403A18" w:rsidP="003B0095">
            <w:r>
              <w:t>S100A8</w:t>
            </w:r>
          </w:p>
        </w:tc>
        <w:tc>
          <w:tcPr>
            <w:tcW w:w="6532" w:type="dxa"/>
          </w:tcPr>
          <w:p w14:paraId="5753ED67" w14:textId="77777777" w:rsidR="00403A18" w:rsidRDefault="00403A18" w:rsidP="00CA2E63">
            <w:r w:rsidRPr="00CA2E63">
              <w:t>S100 calcium-binding protein A8</w:t>
            </w:r>
          </w:p>
        </w:tc>
      </w:tr>
      <w:tr w:rsidR="00403A18" w14:paraId="570C9A85" w14:textId="77777777" w:rsidTr="003F2F0B">
        <w:trPr>
          <w:trHeight w:val="70"/>
        </w:trPr>
        <w:tc>
          <w:tcPr>
            <w:tcW w:w="1890" w:type="dxa"/>
          </w:tcPr>
          <w:p w14:paraId="0061F78B" w14:textId="77777777" w:rsidR="00403A18" w:rsidRDefault="00403A18" w:rsidP="003B0095">
            <w:r>
              <w:t>SAE</w:t>
            </w:r>
          </w:p>
        </w:tc>
        <w:tc>
          <w:tcPr>
            <w:tcW w:w="6532" w:type="dxa"/>
          </w:tcPr>
          <w:p w14:paraId="4962315D" w14:textId="77777777" w:rsidR="00403A18" w:rsidRDefault="00403A18" w:rsidP="003B0095">
            <w:r>
              <w:t>serious adverse event</w:t>
            </w:r>
          </w:p>
        </w:tc>
      </w:tr>
      <w:tr w:rsidR="00403A18" w14:paraId="6548E246" w14:textId="77777777" w:rsidTr="003F2F0B">
        <w:trPr>
          <w:trHeight w:val="70"/>
        </w:trPr>
        <w:tc>
          <w:tcPr>
            <w:tcW w:w="1890" w:type="dxa"/>
          </w:tcPr>
          <w:p w14:paraId="1990D176" w14:textId="77777777" w:rsidR="00403A18" w:rsidRDefault="00403A18" w:rsidP="003B0095">
            <w:r>
              <w:t>SD</w:t>
            </w:r>
          </w:p>
        </w:tc>
        <w:tc>
          <w:tcPr>
            <w:tcW w:w="6532" w:type="dxa"/>
          </w:tcPr>
          <w:p w14:paraId="63C059FB" w14:textId="77777777" w:rsidR="00403A18" w:rsidRDefault="00403A18" w:rsidP="003B0095">
            <w:r>
              <w:t>standard deviation</w:t>
            </w:r>
          </w:p>
        </w:tc>
      </w:tr>
      <w:tr w:rsidR="00403A18" w14:paraId="7478F3F0" w14:textId="77777777" w:rsidTr="003F2F0B">
        <w:trPr>
          <w:trHeight w:val="70"/>
        </w:trPr>
        <w:tc>
          <w:tcPr>
            <w:tcW w:w="1890" w:type="dxa"/>
          </w:tcPr>
          <w:p w14:paraId="381D8D71" w14:textId="77777777" w:rsidR="00403A18" w:rsidRDefault="00403A18" w:rsidP="003B0095">
            <w:r>
              <w:t>SMQ</w:t>
            </w:r>
          </w:p>
        </w:tc>
        <w:tc>
          <w:tcPr>
            <w:tcW w:w="6532" w:type="dxa"/>
          </w:tcPr>
          <w:p w14:paraId="60C8051C" w14:textId="77777777" w:rsidR="00403A18" w:rsidRDefault="00403A18" w:rsidP="003B0095">
            <w:r>
              <w:t xml:space="preserve">Standard </w:t>
            </w:r>
            <w:proofErr w:type="spellStart"/>
            <w:r>
              <w:t>MedDRA</w:t>
            </w:r>
            <w:proofErr w:type="spellEnd"/>
            <w:r>
              <w:t xml:space="preserve"> query</w:t>
            </w:r>
          </w:p>
        </w:tc>
      </w:tr>
      <w:tr w:rsidR="00403A18" w14:paraId="47E4C2B5" w14:textId="77777777" w:rsidTr="003F2F0B">
        <w:trPr>
          <w:trHeight w:val="70"/>
        </w:trPr>
        <w:tc>
          <w:tcPr>
            <w:tcW w:w="1890" w:type="dxa"/>
          </w:tcPr>
          <w:p w14:paraId="5F332630" w14:textId="77777777" w:rsidR="00403A18" w:rsidRDefault="00403A18" w:rsidP="003B0095">
            <w:r>
              <w:t>SOC</w:t>
            </w:r>
          </w:p>
        </w:tc>
        <w:tc>
          <w:tcPr>
            <w:tcW w:w="6532" w:type="dxa"/>
          </w:tcPr>
          <w:p w14:paraId="484CDDC6" w14:textId="77777777" w:rsidR="00403A18" w:rsidRDefault="00403A18" w:rsidP="00D273EC">
            <w:r>
              <w:t>System organ class</w:t>
            </w:r>
          </w:p>
        </w:tc>
      </w:tr>
      <w:tr w:rsidR="00403A18" w14:paraId="148FBCCE" w14:textId="77777777" w:rsidTr="003F2F0B">
        <w:trPr>
          <w:trHeight w:val="70"/>
        </w:trPr>
        <w:tc>
          <w:tcPr>
            <w:tcW w:w="1890" w:type="dxa"/>
          </w:tcPr>
          <w:p w14:paraId="2E0E6210" w14:textId="77777777" w:rsidR="00403A18" w:rsidRDefault="00403A18" w:rsidP="003B0095">
            <w:r>
              <w:t>STAT</w:t>
            </w:r>
          </w:p>
        </w:tc>
        <w:tc>
          <w:tcPr>
            <w:tcW w:w="6532" w:type="dxa"/>
          </w:tcPr>
          <w:p w14:paraId="78D4BE26" w14:textId="77777777" w:rsidR="00403A18" w:rsidRDefault="00403A18" w:rsidP="003B0095">
            <w:r>
              <w:t>Signal transducer and activator of transcription</w:t>
            </w:r>
          </w:p>
        </w:tc>
      </w:tr>
      <w:tr w:rsidR="00403A18" w14:paraId="07BDDA83" w14:textId="77777777" w:rsidTr="003F2F0B">
        <w:trPr>
          <w:trHeight w:val="70"/>
        </w:trPr>
        <w:tc>
          <w:tcPr>
            <w:tcW w:w="1890" w:type="dxa"/>
          </w:tcPr>
          <w:p w14:paraId="694AEE32" w14:textId="77777777" w:rsidR="00403A18" w:rsidRDefault="00403A18" w:rsidP="003B0095">
            <w:r>
              <w:t>TB</w:t>
            </w:r>
          </w:p>
        </w:tc>
        <w:tc>
          <w:tcPr>
            <w:tcW w:w="6532" w:type="dxa"/>
          </w:tcPr>
          <w:p w14:paraId="7AA0D950" w14:textId="77777777" w:rsidR="00403A18" w:rsidRDefault="00403A18" w:rsidP="003B0095">
            <w:r>
              <w:t>tuberculosis</w:t>
            </w:r>
          </w:p>
        </w:tc>
      </w:tr>
      <w:tr w:rsidR="00403A18" w14:paraId="20445720" w14:textId="77777777" w:rsidTr="003F2F0B">
        <w:trPr>
          <w:trHeight w:val="70"/>
        </w:trPr>
        <w:tc>
          <w:tcPr>
            <w:tcW w:w="1890" w:type="dxa"/>
          </w:tcPr>
          <w:p w14:paraId="19747E3A" w14:textId="77777777" w:rsidR="00403A18" w:rsidRDefault="00403A18" w:rsidP="003B0095">
            <w:r>
              <w:t>TEAE</w:t>
            </w:r>
          </w:p>
        </w:tc>
        <w:tc>
          <w:tcPr>
            <w:tcW w:w="6532" w:type="dxa"/>
          </w:tcPr>
          <w:p w14:paraId="251B381C" w14:textId="77777777" w:rsidR="00403A18" w:rsidRDefault="00403A18" w:rsidP="003B0095">
            <w:r>
              <w:t>treatment emergent adverse event</w:t>
            </w:r>
          </w:p>
        </w:tc>
      </w:tr>
      <w:tr w:rsidR="00403A18" w14:paraId="40D8A4DC" w14:textId="77777777" w:rsidTr="003F2F0B">
        <w:trPr>
          <w:trHeight w:val="70"/>
        </w:trPr>
        <w:tc>
          <w:tcPr>
            <w:tcW w:w="1890" w:type="dxa"/>
          </w:tcPr>
          <w:p w14:paraId="78CF2F01" w14:textId="77777777" w:rsidR="00403A18" w:rsidRDefault="00403A18" w:rsidP="003B0095">
            <w:r>
              <w:t>TNF</w:t>
            </w:r>
          </w:p>
        </w:tc>
        <w:tc>
          <w:tcPr>
            <w:tcW w:w="6532" w:type="dxa"/>
          </w:tcPr>
          <w:p w14:paraId="3F4B2509" w14:textId="77777777" w:rsidR="00403A18" w:rsidRDefault="00403A18" w:rsidP="003B0095">
            <w:r>
              <w:t>Tumour Necrosis Factor (alpha unless otherwise stated)</w:t>
            </w:r>
          </w:p>
        </w:tc>
      </w:tr>
      <w:tr w:rsidR="00403A18" w14:paraId="0EAD722E" w14:textId="77777777" w:rsidTr="003F2F0B">
        <w:trPr>
          <w:trHeight w:val="70"/>
        </w:trPr>
        <w:tc>
          <w:tcPr>
            <w:tcW w:w="1890" w:type="dxa"/>
          </w:tcPr>
          <w:p w14:paraId="5239568D" w14:textId="77777777" w:rsidR="00403A18" w:rsidRDefault="00403A18" w:rsidP="003B0095">
            <w:r>
              <w:t>TNFI</w:t>
            </w:r>
          </w:p>
        </w:tc>
        <w:tc>
          <w:tcPr>
            <w:tcW w:w="6532" w:type="dxa"/>
          </w:tcPr>
          <w:p w14:paraId="7CBA35C3" w14:textId="77777777" w:rsidR="00403A18" w:rsidRDefault="00403A18" w:rsidP="003B0095">
            <w:r>
              <w:t>TNF inhibitor</w:t>
            </w:r>
          </w:p>
        </w:tc>
      </w:tr>
      <w:tr w:rsidR="00403A18" w14:paraId="443A244E" w14:textId="77777777" w:rsidTr="003F2F0B">
        <w:trPr>
          <w:trHeight w:val="240"/>
        </w:trPr>
        <w:tc>
          <w:tcPr>
            <w:tcW w:w="1890" w:type="dxa"/>
          </w:tcPr>
          <w:p w14:paraId="2F01F766" w14:textId="77777777" w:rsidR="00403A18" w:rsidRDefault="00403A18" w:rsidP="003B0095">
            <w:proofErr w:type="spellStart"/>
            <w:r>
              <w:t>tsDMARD</w:t>
            </w:r>
            <w:proofErr w:type="spellEnd"/>
          </w:p>
        </w:tc>
        <w:tc>
          <w:tcPr>
            <w:tcW w:w="6532" w:type="dxa"/>
          </w:tcPr>
          <w:p w14:paraId="797CCFBB" w14:textId="77777777" w:rsidR="00403A18" w:rsidRDefault="00403A18" w:rsidP="003B0095">
            <w:r>
              <w:t>Targeted synthetic DMARD</w:t>
            </w:r>
          </w:p>
        </w:tc>
      </w:tr>
      <w:tr w:rsidR="00403A18" w14:paraId="3D3402CE" w14:textId="77777777" w:rsidTr="003F2F0B">
        <w:trPr>
          <w:trHeight w:val="70"/>
        </w:trPr>
        <w:tc>
          <w:tcPr>
            <w:tcW w:w="1890" w:type="dxa"/>
          </w:tcPr>
          <w:p w14:paraId="058FA96B" w14:textId="77777777" w:rsidR="00403A18" w:rsidRDefault="00403A18" w:rsidP="003B0095">
            <w:r>
              <w:t>TYK2</w:t>
            </w:r>
          </w:p>
        </w:tc>
        <w:tc>
          <w:tcPr>
            <w:tcW w:w="6532" w:type="dxa"/>
          </w:tcPr>
          <w:p w14:paraId="7363229E" w14:textId="77777777" w:rsidR="00403A18" w:rsidRDefault="00403A18" w:rsidP="008A094A">
            <w:r>
              <w:t>Tyrosine kinase 2</w:t>
            </w:r>
          </w:p>
        </w:tc>
      </w:tr>
      <w:tr w:rsidR="00403A18" w14:paraId="45420E86" w14:textId="77777777" w:rsidTr="003F2F0B">
        <w:trPr>
          <w:trHeight w:val="70"/>
        </w:trPr>
        <w:tc>
          <w:tcPr>
            <w:tcW w:w="1890" w:type="dxa"/>
          </w:tcPr>
          <w:p w14:paraId="0F5C78F9" w14:textId="77777777" w:rsidR="00403A18" w:rsidRDefault="00403A18" w:rsidP="003B0095">
            <w:r>
              <w:t>ULN</w:t>
            </w:r>
          </w:p>
        </w:tc>
        <w:tc>
          <w:tcPr>
            <w:tcW w:w="6532" w:type="dxa"/>
          </w:tcPr>
          <w:p w14:paraId="69999DA7" w14:textId="77777777" w:rsidR="00403A18" w:rsidRDefault="00403A18" w:rsidP="003B0095">
            <w:r>
              <w:t>Upper limit of normal</w:t>
            </w:r>
          </w:p>
        </w:tc>
      </w:tr>
      <w:tr w:rsidR="00403A18" w14:paraId="1A4D1F4F" w14:textId="77777777" w:rsidTr="003F2F0B">
        <w:trPr>
          <w:trHeight w:val="70"/>
        </w:trPr>
        <w:tc>
          <w:tcPr>
            <w:tcW w:w="1890" w:type="dxa"/>
          </w:tcPr>
          <w:p w14:paraId="1233F204" w14:textId="77777777" w:rsidR="00403A18" w:rsidRDefault="00403A18" w:rsidP="003B0095">
            <w:r>
              <w:t>URTI</w:t>
            </w:r>
          </w:p>
        </w:tc>
        <w:tc>
          <w:tcPr>
            <w:tcW w:w="6532" w:type="dxa"/>
          </w:tcPr>
          <w:p w14:paraId="6DD833EE" w14:textId="77777777" w:rsidR="00403A18" w:rsidRDefault="00403A18" w:rsidP="003B0095">
            <w:r>
              <w:t>Upper respiratory tract infection</w:t>
            </w:r>
          </w:p>
        </w:tc>
      </w:tr>
      <w:tr w:rsidR="00403A18" w14:paraId="441E1606" w14:textId="77777777" w:rsidTr="003F2F0B">
        <w:trPr>
          <w:trHeight w:val="70"/>
        </w:trPr>
        <w:tc>
          <w:tcPr>
            <w:tcW w:w="1890" w:type="dxa"/>
          </w:tcPr>
          <w:p w14:paraId="1BB6D844" w14:textId="77777777" w:rsidR="00403A18" w:rsidRDefault="00403A18" w:rsidP="003B0095">
            <w:r>
              <w:t>UTI</w:t>
            </w:r>
          </w:p>
        </w:tc>
        <w:tc>
          <w:tcPr>
            <w:tcW w:w="6532" w:type="dxa"/>
          </w:tcPr>
          <w:p w14:paraId="509375E1" w14:textId="77777777" w:rsidR="00403A18" w:rsidRDefault="00403A18" w:rsidP="003B0095">
            <w:r>
              <w:t>Urinary tract infection</w:t>
            </w:r>
          </w:p>
        </w:tc>
      </w:tr>
      <w:tr w:rsidR="00403A18" w14:paraId="00F9A1D2" w14:textId="77777777" w:rsidTr="003F2F0B">
        <w:trPr>
          <w:trHeight w:val="70"/>
        </w:trPr>
        <w:tc>
          <w:tcPr>
            <w:tcW w:w="1890" w:type="dxa"/>
          </w:tcPr>
          <w:p w14:paraId="513FC37D" w14:textId="77777777" w:rsidR="00403A18" w:rsidRDefault="00403A18" w:rsidP="003B0095">
            <w:r>
              <w:rPr>
                <w:lang w:eastAsia="ja-JP"/>
              </w:rPr>
              <w:t>VAS</w:t>
            </w:r>
          </w:p>
        </w:tc>
        <w:tc>
          <w:tcPr>
            <w:tcW w:w="6532" w:type="dxa"/>
          </w:tcPr>
          <w:p w14:paraId="163B6E0D" w14:textId="77777777" w:rsidR="00403A18" w:rsidRDefault="00403A18" w:rsidP="005E088D">
            <w:r>
              <w:rPr>
                <w:lang w:eastAsia="ja-JP"/>
              </w:rPr>
              <w:t>Visual Analog Scale</w:t>
            </w:r>
          </w:p>
        </w:tc>
      </w:tr>
    </w:tbl>
    <w:p w14:paraId="03C1B881" w14:textId="77777777" w:rsidR="00FD119B" w:rsidRDefault="00FD119B" w:rsidP="00FD119B"/>
    <w:p w14:paraId="39CFDDB8" w14:textId="77777777" w:rsidR="00FD119B" w:rsidRPr="00FD119B" w:rsidRDefault="00FD119B" w:rsidP="00FD119B">
      <w:pPr>
        <w:spacing w:before="0" w:after="200" w:line="0" w:lineRule="auto"/>
        <w:rPr>
          <w:b/>
          <w:i/>
          <w:sz w:val="24"/>
          <w:szCs w:val="24"/>
        </w:rPr>
      </w:pPr>
      <w:r w:rsidRPr="00FD119B">
        <w:rPr>
          <w:b/>
          <w:i/>
          <w:sz w:val="24"/>
          <w:szCs w:val="24"/>
        </w:rPr>
        <w:br w:type="page"/>
      </w:r>
    </w:p>
    <w:p w14:paraId="7679AB4C" w14:textId="77777777" w:rsidR="008E7846" w:rsidRDefault="00F53C07" w:rsidP="008E7846">
      <w:pPr>
        <w:pStyle w:val="Heading2"/>
      </w:pPr>
      <w:bookmarkStart w:id="9" w:name="_Toc22048599"/>
      <w:r>
        <w:lastRenderedPageBreak/>
        <w:t>I.</w:t>
      </w:r>
      <w:r w:rsidR="008E7846">
        <w:t xml:space="preserve"> Introduction to product submission</w:t>
      </w:r>
      <w:bookmarkEnd w:id="0"/>
      <w:bookmarkEnd w:id="3"/>
      <w:bookmarkEnd w:id="9"/>
    </w:p>
    <w:p w14:paraId="34AD8031" w14:textId="77777777" w:rsidR="008E7846" w:rsidRDefault="008E7846" w:rsidP="008E7846">
      <w:pPr>
        <w:pStyle w:val="Heading3"/>
        <w:rPr>
          <w:lang w:eastAsia="en-AU"/>
        </w:rPr>
      </w:pPr>
      <w:bookmarkStart w:id="10" w:name="_Toc247691502"/>
      <w:bookmarkStart w:id="11" w:name="_Toc314842483"/>
      <w:bookmarkStart w:id="12" w:name="_Toc22048600"/>
      <w:r>
        <w:rPr>
          <w:lang w:eastAsia="en-AU"/>
        </w:rPr>
        <w:t>Submission details</w:t>
      </w:r>
      <w:bookmarkEnd w:id="10"/>
      <w:bookmarkEnd w:id="11"/>
      <w:bookmarkEnd w:id="12"/>
    </w:p>
    <w:tbl>
      <w:tblPr>
        <w:tblW w:w="8637" w:type="dxa"/>
        <w:tblInd w:w="108" w:type="dxa"/>
        <w:tblLook w:val="01E0" w:firstRow="1" w:lastRow="1" w:firstColumn="1" w:lastColumn="1" w:noHBand="0" w:noVBand="0"/>
      </w:tblPr>
      <w:tblGrid>
        <w:gridCol w:w="2725"/>
        <w:gridCol w:w="5912"/>
      </w:tblGrid>
      <w:tr w:rsidR="008E7846" w:rsidRPr="003D1E62" w14:paraId="09C452B8" w14:textId="77777777" w:rsidTr="00F04F3B">
        <w:tc>
          <w:tcPr>
            <w:tcW w:w="2725" w:type="dxa"/>
          </w:tcPr>
          <w:p w14:paraId="7F1B9BC2" w14:textId="77777777" w:rsidR="008E7846" w:rsidRPr="003D1E62" w:rsidRDefault="001B5C90" w:rsidP="001B5C90">
            <w:pPr>
              <w:rPr>
                <w:i/>
              </w:rPr>
            </w:pPr>
            <w:r>
              <w:rPr>
                <w:i/>
              </w:rPr>
              <w:t>Type of s</w:t>
            </w:r>
            <w:r w:rsidR="008E7846" w:rsidRPr="003D1E62">
              <w:rPr>
                <w:i/>
              </w:rPr>
              <w:t>ubmission</w:t>
            </w:r>
            <w:r>
              <w:rPr>
                <w:i/>
              </w:rPr>
              <w:t>:</w:t>
            </w:r>
          </w:p>
        </w:tc>
        <w:tc>
          <w:tcPr>
            <w:tcW w:w="5912" w:type="dxa"/>
          </w:tcPr>
          <w:p w14:paraId="61335803" w14:textId="77777777" w:rsidR="008E7846" w:rsidRPr="003D1E62" w:rsidRDefault="00A54F5C" w:rsidP="001B5C90">
            <w:r>
              <w:t>Extension of indications</w:t>
            </w:r>
          </w:p>
        </w:tc>
      </w:tr>
      <w:tr w:rsidR="008E7846" w:rsidRPr="003D1E62" w14:paraId="33E0298F" w14:textId="77777777" w:rsidTr="00F04F3B">
        <w:tc>
          <w:tcPr>
            <w:tcW w:w="2725" w:type="dxa"/>
          </w:tcPr>
          <w:p w14:paraId="4BA61856" w14:textId="77777777" w:rsidR="008E7846" w:rsidRPr="003D1E62" w:rsidRDefault="008E7846" w:rsidP="003D1E62">
            <w:r w:rsidRPr="003D1E62">
              <w:rPr>
                <w:i/>
              </w:rPr>
              <w:t>Decision</w:t>
            </w:r>
            <w:r w:rsidRPr="003D1E62">
              <w:t>:</w:t>
            </w:r>
          </w:p>
        </w:tc>
        <w:tc>
          <w:tcPr>
            <w:tcW w:w="5912" w:type="dxa"/>
          </w:tcPr>
          <w:p w14:paraId="3E007DA0" w14:textId="77777777" w:rsidR="008E7846" w:rsidRPr="003D1E62" w:rsidRDefault="00A54F5C" w:rsidP="00A54F5C">
            <w:r>
              <w:t>Approved</w:t>
            </w:r>
          </w:p>
        </w:tc>
      </w:tr>
      <w:tr w:rsidR="008E7846" w:rsidRPr="003D1E62" w14:paraId="068F3FE9" w14:textId="77777777" w:rsidTr="00F04F3B">
        <w:tc>
          <w:tcPr>
            <w:tcW w:w="2725" w:type="dxa"/>
          </w:tcPr>
          <w:p w14:paraId="39A722E6"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5912" w:type="dxa"/>
          </w:tcPr>
          <w:p w14:paraId="5BF2A420" w14:textId="77777777" w:rsidR="008E7846" w:rsidRPr="003D1E62" w:rsidRDefault="00A54F5C" w:rsidP="001B5C90">
            <w:r>
              <w:t>8 November 2018</w:t>
            </w:r>
          </w:p>
        </w:tc>
      </w:tr>
      <w:tr w:rsidR="00ED2922" w:rsidRPr="003D1E62" w14:paraId="6896445C" w14:textId="77777777" w:rsidTr="00F04F3B">
        <w:tc>
          <w:tcPr>
            <w:tcW w:w="2725" w:type="dxa"/>
          </w:tcPr>
          <w:p w14:paraId="409390C8" w14:textId="77777777" w:rsidR="00ED2922" w:rsidRPr="00441C3F" w:rsidRDefault="00ED2922" w:rsidP="001B5C90">
            <w:pPr>
              <w:rPr>
                <w:i/>
              </w:rPr>
            </w:pPr>
            <w:r w:rsidRPr="00441C3F">
              <w:rPr>
                <w:i/>
              </w:rPr>
              <w:t>Date of entry onto ARTG</w:t>
            </w:r>
            <w:r w:rsidR="00500337">
              <w:rPr>
                <w:i/>
              </w:rPr>
              <w:t>:</w:t>
            </w:r>
          </w:p>
        </w:tc>
        <w:tc>
          <w:tcPr>
            <w:tcW w:w="5912" w:type="dxa"/>
          </w:tcPr>
          <w:p w14:paraId="782618E7" w14:textId="77777777" w:rsidR="00ED2922" w:rsidRPr="00441C3F" w:rsidRDefault="00A54F5C" w:rsidP="00D153D8">
            <w:pPr>
              <w:rPr>
                <w:i/>
              </w:rPr>
            </w:pPr>
            <w:r>
              <w:t>13 November 2018</w:t>
            </w:r>
          </w:p>
        </w:tc>
      </w:tr>
      <w:tr w:rsidR="00500337" w:rsidRPr="003D1E62" w14:paraId="12D8B5EF" w14:textId="77777777" w:rsidTr="00F04F3B">
        <w:tc>
          <w:tcPr>
            <w:tcW w:w="2725" w:type="dxa"/>
          </w:tcPr>
          <w:p w14:paraId="67C973BB" w14:textId="77777777" w:rsidR="00500337" w:rsidRPr="00441C3F" w:rsidRDefault="006E0F16" w:rsidP="001B5C90">
            <w:pPr>
              <w:rPr>
                <w:i/>
              </w:rPr>
            </w:pPr>
            <w:r>
              <w:rPr>
                <w:i/>
              </w:rPr>
              <w:t>ARTG numbers</w:t>
            </w:r>
            <w:r w:rsidR="00500337">
              <w:rPr>
                <w:i/>
              </w:rPr>
              <w:t>:</w:t>
            </w:r>
          </w:p>
        </w:tc>
        <w:tc>
          <w:tcPr>
            <w:tcW w:w="5912" w:type="dxa"/>
          </w:tcPr>
          <w:p w14:paraId="3669C5DE" w14:textId="77777777" w:rsidR="00500337" w:rsidRPr="00441C3F" w:rsidRDefault="005D2715" w:rsidP="00EC463D">
            <w:r>
              <w:t>196987, 233439</w:t>
            </w:r>
          </w:p>
        </w:tc>
      </w:tr>
      <w:tr w:rsidR="003735BC" w:rsidRPr="003D1E62" w14:paraId="51FF387B" w14:textId="77777777" w:rsidTr="00F04F3B">
        <w:tc>
          <w:tcPr>
            <w:tcW w:w="2725" w:type="dxa"/>
          </w:tcPr>
          <w:p w14:paraId="1EC854F6"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5912" w:type="dxa"/>
          </w:tcPr>
          <w:p w14:paraId="192C427B" w14:textId="31FA39DB" w:rsidR="003735BC" w:rsidRPr="00487162" w:rsidRDefault="00A54F5C" w:rsidP="00F04F3B">
            <w:r>
              <w:t>No</w:t>
            </w:r>
          </w:p>
        </w:tc>
      </w:tr>
      <w:tr w:rsidR="008E7846" w:rsidRPr="00487162" w14:paraId="710CCCA6" w14:textId="77777777" w:rsidTr="00F04F3B">
        <w:trPr>
          <w:trHeight w:val="498"/>
        </w:trPr>
        <w:tc>
          <w:tcPr>
            <w:tcW w:w="2725" w:type="dxa"/>
          </w:tcPr>
          <w:p w14:paraId="327B48BD" w14:textId="77777777" w:rsidR="008E7846" w:rsidRPr="00487162" w:rsidRDefault="00AF30A1" w:rsidP="00E45619">
            <w:pPr>
              <w:rPr>
                <w:i/>
              </w:rPr>
            </w:pPr>
            <w:r>
              <w:rPr>
                <w:i/>
              </w:rPr>
              <w:t>Active ingredient</w:t>
            </w:r>
            <w:r w:rsidR="001B5C90">
              <w:rPr>
                <w:i/>
              </w:rPr>
              <w:t>:</w:t>
            </w:r>
          </w:p>
        </w:tc>
        <w:tc>
          <w:tcPr>
            <w:tcW w:w="5912" w:type="dxa"/>
          </w:tcPr>
          <w:p w14:paraId="3EA23D0C" w14:textId="77777777" w:rsidR="008E7846" w:rsidRPr="00487162" w:rsidRDefault="00AF30A1" w:rsidP="00AF30A1">
            <w:r>
              <w:t>T</w:t>
            </w:r>
            <w:r w:rsidRPr="00AF30A1">
              <w:t>ofacitinib</w:t>
            </w:r>
            <w:r w:rsidR="00512856">
              <w:t xml:space="preserve"> (as citrate)</w:t>
            </w:r>
          </w:p>
        </w:tc>
      </w:tr>
      <w:tr w:rsidR="008E7846" w:rsidRPr="00487162" w14:paraId="483378B4" w14:textId="77777777" w:rsidTr="00F04F3B">
        <w:trPr>
          <w:trHeight w:val="498"/>
        </w:trPr>
        <w:tc>
          <w:tcPr>
            <w:tcW w:w="2725" w:type="dxa"/>
          </w:tcPr>
          <w:p w14:paraId="1313ED99" w14:textId="77777777" w:rsidR="008E7846" w:rsidRPr="00487162" w:rsidRDefault="008E7846" w:rsidP="001B5C90">
            <w:pPr>
              <w:rPr>
                <w:i/>
              </w:rPr>
            </w:pPr>
            <w:r w:rsidRPr="00487162">
              <w:rPr>
                <w:i/>
              </w:rPr>
              <w:t>Product</w:t>
            </w:r>
            <w:r w:rsidR="00AF30A1">
              <w:rPr>
                <w:i/>
              </w:rPr>
              <w:t xml:space="preserve"> name</w:t>
            </w:r>
            <w:r w:rsidR="001B5C90">
              <w:rPr>
                <w:i/>
              </w:rPr>
              <w:t>:</w:t>
            </w:r>
          </w:p>
        </w:tc>
        <w:tc>
          <w:tcPr>
            <w:tcW w:w="5912" w:type="dxa"/>
          </w:tcPr>
          <w:p w14:paraId="7E8ED2A1" w14:textId="77777777" w:rsidR="008E7846" w:rsidRPr="00487162" w:rsidRDefault="00AF30A1" w:rsidP="00E45619">
            <w:r>
              <w:t>Xeljanz</w:t>
            </w:r>
          </w:p>
        </w:tc>
      </w:tr>
      <w:tr w:rsidR="008E7846" w:rsidRPr="00487162" w14:paraId="391F190B" w14:textId="77777777" w:rsidTr="00F04F3B">
        <w:trPr>
          <w:trHeight w:val="1263"/>
        </w:trPr>
        <w:tc>
          <w:tcPr>
            <w:tcW w:w="2725" w:type="dxa"/>
          </w:tcPr>
          <w:p w14:paraId="79AA61EF"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5912" w:type="dxa"/>
          </w:tcPr>
          <w:p w14:paraId="187C1825" w14:textId="77777777" w:rsidR="008E7846" w:rsidRDefault="00A54F5C" w:rsidP="00E45619">
            <w:r>
              <w:t>Pfizer Australia Pty Ltd</w:t>
            </w:r>
          </w:p>
          <w:p w14:paraId="6BB702E7" w14:textId="77777777" w:rsidR="00A54F5C" w:rsidRDefault="00A54F5C" w:rsidP="00E45619">
            <w:r>
              <w:t>Level 17 151 Clarence Street</w:t>
            </w:r>
          </w:p>
          <w:p w14:paraId="66F75259" w14:textId="77777777" w:rsidR="00A54F5C" w:rsidRPr="00487162" w:rsidRDefault="00A54F5C" w:rsidP="00E45619">
            <w:r>
              <w:t>Sydney, NSW, 2000</w:t>
            </w:r>
          </w:p>
        </w:tc>
      </w:tr>
      <w:tr w:rsidR="008E7846" w:rsidRPr="00487162" w14:paraId="384F9213" w14:textId="77777777" w:rsidTr="00F04F3B">
        <w:trPr>
          <w:trHeight w:val="498"/>
        </w:trPr>
        <w:tc>
          <w:tcPr>
            <w:tcW w:w="2725" w:type="dxa"/>
          </w:tcPr>
          <w:p w14:paraId="7910865F" w14:textId="77777777" w:rsidR="008E7846" w:rsidRPr="00487162" w:rsidRDefault="001B5C90" w:rsidP="00E45619">
            <w:pPr>
              <w:rPr>
                <w:i/>
              </w:rPr>
            </w:pPr>
            <w:r>
              <w:rPr>
                <w:i/>
              </w:rPr>
              <w:t xml:space="preserve">Dose </w:t>
            </w:r>
            <w:r w:rsidR="00C8568D">
              <w:rPr>
                <w:i/>
              </w:rPr>
              <w:t>form</w:t>
            </w:r>
            <w:r>
              <w:rPr>
                <w:i/>
              </w:rPr>
              <w:t>:</w:t>
            </w:r>
          </w:p>
        </w:tc>
        <w:tc>
          <w:tcPr>
            <w:tcW w:w="5912" w:type="dxa"/>
          </w:tcPr>
          <w:p w14:paraId="09FFE061" w14:textId="77777777" w:rsidR="008E7846" w:rsidRPr="00487162" w:rsidRDefault="00C8568D" w:rsidP="00E45619">
            <w:r>
              <w:t>Tablet, film coated</w:t>
            </w:r>
          </w:p>
        </w:tc>
      </w:tr>
      <w:tr w:rsidR="008E7846" w:rsidRPr="00487162" w14:paraId="0CAAC663" w14:textId="77777777" w:rsidTr="00F04F3B">
        <w:trPr>
          <w:trHeight w:val="498"/>
        </w:trPr>
        <w:tc>
          <w:tcPr>
            <w:tcW w:w="2725" w:type="dxa"/>
          </w:tcPr>
          <w:p w14:paraId="5FA3BC84" w14:textId="77777777" w:rsidR="008E7846" w:rsidRPr="00487162" w:rsidRDefault="00C8568D" w:rsidP="00E45619">
            <w:pPr>
              <w:rPr>
                <w:i/>
              </w:rPr>
            </w:pPr>
            <w:r>
              <w:rPr>
                <w:i/>
              </w:rPr>
              <w:t>Strength:</w:t>
            </w:r>
          </w:p>
        </w:tc>
        <w:tc>
          <w:tcPr>
            <w:tcW w:w="5912" w:type="dxa"/>
          </w:tcPr>
          <w:p w14:paraId="2783F716" w14:textId="77777777" w:rsidR="008E7846" w:rsidRPr="00487162" w:rsidRDefault="00C8568D" w:rsidP="00E45619">
            <w:r>
              <w:t>5 mg</w:t>
            </w:r>
          </w:p>
        </w:tc>
      </w:tr>
      <w:tr w:rsidR="008E7846" w:rsidRPr="00487162" w14:paraId="547E702F" w14:textId="77777777" w:rsidTr="00F04F3B">
        <w:trPr>
          <w:trHeight w:val="510"/>
        </w:trPr>
        <w:tc>
          <w:tcPr>
            <w:tcW w:w="2725" w:type="dxa"/>
          </w:tcPr>
          <w:p w14:paraId="0E896AB5" w14:textId="77777777" w:rsidR="008E7846" w:rsidRPr="00487162" w:rsidRDefault="00C8568D" w:rsidP="00E45619">
            <w:pPr>
              <w:rPr>
                <w:i/>
              </w:rPr>
            </w:pPr>
            <w:r>
              <w:rPr>
                <w:i/>
              </w:rPr>
              <w:t>Containers</w:t>
            </w:r>
            <w:r w:rsidR="008E7846" w:rsidRPr="00487162">
              <w:rPr>
                <w:i/>
              </w:rPr>
              <w:t>:</w:t>
            </w:r>
          </w:p>
        </w:tc>
        <w:tc>
          <w:tcPr>
            <w:tcW w:w="5912" w:type="dxa"/>
          </w:tcPr>
          <w:p w14:paraId="48CF51B5" w14:textId="77777777" w:rsidR="008E7846" w:rsidRPr="00487162" w:rsidRDefault="00C8568D" w:rsidP="00E45619">
            <w:r>
              <w:t>Bottle and blister pack</w:t>
            </w:r>
          </w:p>
        </w:tc>
      </w:tr>
      <w:tr w:rsidR="008E7846" w:rsidRPr="00487162" w14:paraId="2638E806" w14:textId="77777777" w:rsidTr="00F04F3B">
        <w:trPr>
          <w:trHeight w:val="881"/>
        </w:trPr>
        <w:tc>
          <w:tcPr>
            <w:tcW w:w="2725" w:type="dxa"/>
          </w:tcPr>
          <w:p w14:paraId="11A29657" w14:textId="77777777" w:rsidR="008E7846" w:rsidRPr="00487162" w:rsidRDefault="00C8568D" w:rsidP="00E45619">
            <w:pPr>
              <w:rPr>
                <w:i/>
              </w:rPr>
            </w:pPr>
            <w:r>
              <w:rPr>
                <w:i/>
              </w:rPr>
              <w:t>Pack sizes</w:t>
            </w:r>
            <w:r w:rsidR="008E7846" w:rsidRPr="00487162">
              <w:rPr>
                <w:i/>
              </w:rPr>
              <w:t>:</w:t>
            </w:r>
          </w:p>
        </w:tc>
        <w:tc>
          <w:tcPr>
            <w:tcW w:w="5912" w:type="dxa"/>
          </w:tcPr>
          <w:p w14:paraId="256E4439" w14:textId="77777777" w:rsidR="00C8568D" w:rsidRDefault="00C8568D" w:rsidP="00E45619">
            <w:r>
              <w:t>Bottle: 60 and 180 tablets</w:t>
            </w:r>
          </w:p>
          <w:p w14:paraId="123C1687" w14:textId="77777777" w:rsidR="008E7846" w:rsidRPr="00487162" w:rsidRDefault="00C8568D" w:rsidP="00C8568D">
            <w:r>
              <w:t>Blister pack: 14 (sample size) and 56 tablets</w:t>
            </w:r>
          </w:p>
        </w:tc>
      </w:tr>
      <w:tr w:rsidR="008E7846" w:rsidRPr="00487162" w14:paraId="79675002" w14:textId="77777777" w:rsidTr="00F04F3B">
        <w:trPr>
          <w:trHeight w:val="1657"/>
        </w:trPr>
        <w:tc>
          <w:tcPr>
            <w:tcW w:w="2725" w:type="dxa"/>
          </w:tcPr>
          <w:p w14:paraId="702A03BF"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5912" w:type="dxa"/>
          </w:tcPr>
          <w:p w14:paraId="16DEA0DD" w14:textId="77777777" w:rsidR="00512856" w:rsidRPr="00512856" w:rsidRDefault="00512856" w:rsidP="00512856">
            <w:pPr>
              <w:rPr>
                <w:i/>
              </w:rPr>
            </w:pPr>
            <w:r w:rsidRPr="00512856">
              <w:rPr>
                <w:i/>
              </w:rPr>
              <w:t>Psoriatic Arthritis</w:t>
            </w:r>
          </w:p>
          <w:p w14:paraId="75CDF61B" w14:textId="77777777" w:rsidR="008E7846" w:rsidRPr="00512856" w:rsidRDefault="00512856" w:rsidP="00512856">
            <w:r w:rsidRPr="00512856">
              <w:rPr>
                <w:i/>
              </w:rPr>
              <w:t xml:space="preserve">Xeljanz in combination with conventional synthetic disease-modifying </w:t>
            </w:r>
            <w:proofErr w:type="spellStart"/>
            <w:r w:rsidRPr="00512856">
              <w:rPr>
                <w:i/>
              </w:rPr>
              <w:t>antirheumatic</w:t>
            </w:r>
            <w:proofErr w:type="spellEnd"/>
            <w:r w:rsidRPr="00512856">
              <w:rPr>
                <w:i/>
              </w:rPr>
              <w:t xml:space="preserve"> drugs (DMARDs) is indicated for the treatment of active psoriatic arthritis in adult patients who have had an inadequate response to a prior DMARD therapy.</w:t>
            </w:r>
          </w:p>
        </w:tc>
      </w:tr>
      <w:tr w:rsidR="008E7846" w:rsidRPr="00487162" w14:paraId="0C0FCF2C" w14:textId="77777777" w:rsidTr="00F04F3B">
        <w:trPr>
          <w:trHeight w:val="498"/>
        </w:trPr>
        <w:tc>
          <w:tcPr>
            <w:tcW w:w="2725" w:type="dxa"/>
          </w:tcPr>
          <w:p w14:paraId="0B7553A4" w14:textId="77777777" w:rsidR="008E7846" w:rsidRPr="00487162" w:rsidRDefault="00C8568D" w:rsidP="00E45619">
            <w:pPr>
              <w:rPr>
                <w:i/>
              </w:rPr>
            </w:pPr>
            <w:r>
              <w:rPr>
                <w:i/>
              </w:rPr>
              <w:t>Route</w:t>
            </w:r>
            <w:r w:rsidR="008E7846" w:rsidRPr="00487162">
              <w:rPr>
                <w:i/>
              </w:rPr>
              <w:t xml:space="preserve"> of administration:</w:t>
            </w:r>
          </w:p>
        </w:tc>
        <w:tc>
          <w:tcPr>
            <w:tcW w:w="5912" w:type="dxa"/>
          </w:tcPr>
          <w:p w14:paraId="2F16783F" w14:textId="77777777" w:rsidR="008E7846" w:rsidRPr="00487162" w:rsidRDefault="00C8568D" w:rsidP="00E45619">
            <w:r>
              <w:t>Oral</w:t>
            </w:r>
          </w:p>
        </w:tc>
      </w:tr>
      <w:tr w:rsidR="008E7846" w:rsidRPr="00487162" w14:paraId="3FC9AB3E" w14:textId="77777777" w:rsidTr="00F04F3B">
        <w:trPr>
          <w:trHeight w:val="1020"/>
        </w:trPr>
        <w:tc>
          <w:tcPr>
            <w:tcW w:w="2725" w:type="dxa"/>
          </w:tcPr>
          <w:p w14:paraId="558B8CFF" w14:textId="77777777" w:rsidR="008E7846" w:rsidRPr="00487162" w:rsidRDefault="008E7846" w:rsidP="00E45619">
            <w:pPr>
              <w:rPr>
                <w:i/>
              </w:rPr>
            </w:pPr>
            <w:r w:rsidRPr="00487162">
              <w:rPr>
                <w:i/>
              </w:rPr>
              <w:t>Dosage:</w:t>
            </w:r>
          </w:p>
        </w:tc>
        <w:tc>
          <w:tcPr>
            <w:tcW w:w="5912" w:type="dxa"/>
          </w:tcPr>
          <w:p w14:paraId="65ACED73" w14:textId="77777777" w:rsidR="008E7846" w:rsidRDefault="00512856" w:rsidP="00512856">
            <w:r>
              <w:t xml:space="preserve">5 mg administered twice daily used in combination with </w:t>
            </w:r>
            <w:r w:rsidRPr="00512856">
              <w:t>conventional synthetic</w:t>
            </w:r>
            <w:r>
              <w:t xml:space="preserve"> </w:t>
            </w:r>
            <w:r w:rsidRPr="00512856">
              <w:t xml:space="preserve">disease-modifying </w:t>
            </w:r>
            <w:proofErr w:type="spellStart"/>
            <w:r w:rsidRPr="00512856">
              <w:t>antirheumatic</w:t>
            </w:r>
            <w:proofErr w:type="spellEnd"/>
            <w:r w:rsidRPr="00512856">
              <w:t xml:space="preserve"> drugs</w:t>
            </w:r>
            <w:r>
              <w:t xml:space="preserve"> (</w:t>
            </w:r>
            <w:proofErr w:type="spellStart"/>
            <w:r>
              <w:t>csDMARDs</w:t>
            </w:r>
            <w:proofErr w:type="spellEnd"/>
            <w:r>
              <w:t>).</w:t>
            </w:r>
          </w:p>
          <w:p w14:paraId="361E3450" w14:textId="486D0AB9" w:rsidR="00512856" w:rsidRPr="00487162" w:rsidRDefault="00512856" w:rsidP="00512856">
            <w:r>
              <w:t>For further details refer to the Product Information</w:t>
            </w:r>
            <w:r w:rsidR="00C54528">
              <w:t xml:space="preserve"> (PI)</w:t>
            </w:r>
            <w:r>
              <w:t>.</w:t>
            </w:r>
          </w:p>
        </w:tc>
      </w:tr>
    </w:tbl>
    <w:p w14:paraId="36BB3C9F" w14:textId="77777777" w:rsidR="008E7846" w:rsidRDefault="008E7846" w:rsidP="008E7846">
      <w:pPr>
        <w:pStyle w:val="Heading3"/>
      </w:pPr>
      <w:bookmarkStart w:id="13" w:name="_Toc247691503"/>
      <w:bookmarkStart w:id="14" w:name="_Toc314842484"/>
      <w:bookmarkStart w:id="15" w:name="_Toc22048601"/>
      <w:r>
        <w:t>Product background</w:t>
      </w:r>
      <w:bookmarkEnd w:id="13"/>
      <w:bookmarkEnd w:id="14"/>
      <w:bookmarkEnd w:id="15"/>
    </w:p>
    <w:p w14:paraId="48116419" w14:textId="77777777" w:rsidR="008E7846" w:rsidRDefault="00940A89" w:rsidP="00940A89">
      <w:r w:rsidRPr="00940A89">
        <w:t xml:space="preserve">This AusPAR describes the application by </w:t>
      </w:r>
      <w:r w:rsidR="00AD29FD">
        <w:t>Pfizer Australia Pty Ltd (</w:t>
      </w:r>
      <w:r w:rsidRPr="00940A89">
        <w:t>the sponsor</w:t>
      </w:r>
      <w:r w:rsidR="00AD29FD">
        <w:t>)</w:t>
      </w:r>
      <w:r w:rsidRPr="00940A89">
        <w:t xml:space="preserve"> to register </w:t>
      </w:r>
      <w:r w:rsidR="006E0F16">
        <w:t>Xeljanz (</w:t>
      </w:r>
      <w:proofErr w:type="spellStart"/>
      <w:r w:rsidR="006E0F16">
        <w:t>tofacitinib</w:t>
      </w:r>
      <w:proofErr w:type="spellEnd"/>
      <w:r w:rsidR="00AD29FD">
        <w:t>,</w:t>
      </w:r>
      <w:r w:rsidR="006E0F16">
        <w:t xml:space="preserve"> as citrate) 5 mg tablets</w:t>
      </w:r>
      <w:r w:rsidRPr="00940A89">
        <w:t xml:space="preserve"> f</w:t>
      </w:r>
      <w:r w:rsidR="006E0F16">
        <w:t>or the following indication:</w:t>
      </w:r>
    </w:p>
    <w:p w14:paraId="5E39DFBB" w14:textId="77777777" w:rsidR="00940A89" w:rsidRPr="00D64F76" w:rsidRDefault="006E0F16" w:rsidP="00D64F76">
      <w:pPr>
        <w:ind w:left="720"/>
        <w:rPr>
          <w:i/>
        </w:rPr>
      </w:pPr>
      <w:r w:rsidRPr="006E0F16">
        <w:rPr>
          <w:i/>
        </w:rPr>
        <w:lastRenderedPageBreak/>
        <w:t>Xeljanz is indicated for the treatment of active psoriatic arthritis in adult patients who have had an inadequate response or who have been intolerant to a prior DMARD therapy.</w:t>
      </w:r>
    </w:p>
    <w:p w14:paraId="6D49022A" w14:textId="1D4F3704" w:rsidR="006E0F16" w:rsidRDefault="004C06EF" w:rsidP="00940A89">
      <w:r>
        <w:t>Psoriatic arthritis (</w:t>
      </w:r>
      <w:proofErr w:type="spellStart"/>
      <w:r>
        <w:t>PsA</w:t>
      </w:r>
      <w:proofErr w:type="spellEnd"/>
      <w:r>
        <w:t>)</w:t>
      </w:r>
      <w:r w:rsidR="006E0F16" w:rsidRPr="006E0F16">
        <w:t xml:space="preserve"> is a chronic inflammatory rheumatoid disease associated with painful joint swelling, characteristically affecting the distal phalanges, psoriasis (skin and nails), </w:t>
      </w:r>
      <w:proofErr w:type="spellStart"/>
      <w:r w:rsidR="006E0F16" w:rsidRPr="006E0F16">
        <w:t>enthesitis</w:t>
      </w:r>
      <w:proofErr w:type="spellEnd"/>
      <w:r w:rsidR="006E0F16" w:rsidRPr="006E0F16">
        <w:t xml:space="preserve">, </w:t>
      </w:r>
      <w:proofErr w:type="spellStart"/>
      <w:r w:rsidR="006E0F16" w:rsidRPr="006E0F16">
        <w:t>dactylitis</w:t>
      </w:r>
      <w:proofErr w:type="spellEnd"/>
      <w:r w:rsidR="006E0F16" w:rsidRPr="006E0F16">
        <w:t xml:space="preserve"> and spondylitis, leading to progressive damage, disability and adve</w:t>
      </w:r>
      <w:r>
        <w:t>rse effects on quality of life.</w:t>
      </w:r>
      <w:r w:rsidR="00BD1BB5">
        <w:t xml:space="preserve"> </w:t>
      </w:r>
      <w:r w:rsidR="006E0F16" w:rsidRPr="006E0F16">
        <w:t xml:space="preserve">The disease is incurable and therapy is directed at long-term symptom control and prevention of joint destruction. </w:t>
      </w:r>
      <w:r w:rsidR="00BD1BB5">
        <w:t>Psoriasis</w:t>
      </w:r>
      <w:r w:rsidR="000E38D0">
        <w:t xml:space="preserve"> is</w:t>
      </w:r>
      <w:r w:rsidR="00BD1BB5">
        <w:t xml:space="preserve"> a chronic skin condition</w:t>
      </w:r>
      <w:r w:rsidR="009917DE">
        <w:t xml:space="preserve"> affect</w:t>
      </w:r>
      <w:r w:rsidR="000E38D0">
        <w:t>ing</w:t>
      </w:r>
      <w:r w:rsidR="009917DE">
        <w:t xml:space="preserve"> approximately 2 to </w:t>
      </w:r>
      <w:r w:rsidRPr="006E0F16">
        <w:t>3% of the</w:t>
      </w:r>
      <w:r w:rsidR="00C54528">
        <w:t xml:space="preserve"> overall</w:t>
      </w:r>
      <w:r w:rsidRPr="006E0F16">
        <w:t xml:space="preserve"> population. </w:t>
      </w:r>
      <w:proofErr w:type="spellStart"/>
      <w:r w:rsidRPr="006E0F16">
        <w:t>PsA</w:t>
      </w:r>
      <w:proofErr w:type="spellEnd"/>
      <w:r w:rsidRPr="006E0F16">
        <w:t xml:space="preserve"> is usually associated with psoriasis but onl</w:t>
      </w:r>
      <w:r w:rsidR="003B0095">
        <w:t xml:space="preserve">y 10 to </w:t>
      </w:r>
      <w:r w:rsidRPr="006E0F16">
        <w:t xml:space="preserve">20% of patients </w:t>
      </w:r>
      <w:r>
        <w:t xml:space="preserve">with psoriasis will develop </w:t>
      </w:r>
      <w:proofErr w:type="spellStart"/>
      <w:r>
        <w:t>PsA.</w:t>
      </w:r>
      <w:proofErr w:type="spellEnd"/>
      <w:r>
        <w:t xml:space="preserve"> </w:t>
      </w:r>
      <w:r w:rsidR="006E0F16" w:rsidRPr="006E0F16">
        <w:t xml:space="preserve">There are no reliable epidemiological data relating to </w:t>
      </w:r>
      <w:proofErr w:type="spellStart"/>
      <w:r w:rsidR="006E0F16" w:rsidRPr="006E0F16">
        <w:t>PsA</w:t>
      </w:r>
      <w:proofErr w:type="spellEnd"/>
      <w:r w:rsidR="006E0F16" w:rsidRPr="006E0F16">
        <w:t xml:space="preserve"> in Australia. The best estimate of </w:t>
      </w:r>
      <w:proofErr w:type="spellStart"/>
      <w:r w:rsidR="006E0F16" w:rsidRPr="006E0F16">
        <w:t>PsA</w:t>
      </w:r>
      <w:proofErr w:type="spellEnd"/>
      <w:r w:rsidR="006E0F16" w:rsidRPr="006E0F16">
        <w:t xml:space="preserve"> diagnosed by rheumatologists is approximately 9,300 cases compared with 26,700 cases of </w:t>
      </w:r>
      <w:r w:rsidR="00C636D8">
        <w:t>rheumatoid arthritis (RA</w:t>
      </w:r>
      <w:r w:rsidR="000E38D0">
        <w:t>) as</w:t>
      </w:r>
      <w:r w:rsidR="00C636D8">
        <w:t xml:space="preserve"> </w:t>
      </w:r>
      <w:r w:rsidR="006E0F16" w:rsidRPr="006E0F16">
        <w:t xml:space="preserve">derived from the </w:t>
      </w:r>
      <w:r w:rsidR="00403A18">
        <w:t>Optimising Patient outcome in Australian Rheumatology</w:t>
      </w:r>
      <w:r w:rsidR="00403A18" w:rsidRPr="006E0F16">
        <w:t xml:space="preserve"> </w:t>
      </w:r>
      <w:r w:rsidR="00403A18">
        <w:t>(</w:t>
      </w:r>
      <w:r w:rsidR="006E0F16" w:rsidRPr="006E0F16">
        <w:t>OPAL</w:t>
      </w:r>
      <w:r w:rsidR="00403A18">
        <w:t>)</w:t>
      </w:r>
      <w:r w:rsidR="006E0F16" w:rsidRPr="006E0F16">
        <w:t xml:space="preserve"> database).</w:t>
      </w:r>
    </w:p>
    <w:p w14:paraId="24E5016A" w14:textId="16DAD7A5" w:rsidR="006E0F16" w:rsidRDefault="006E0F16" w:rsidP="00940A89">
      <w:r w:rsidRPr="006E0F16">
        <w:t xml:space="preserve">The current </w:t>
      </w:r>
      <w:r w:rsidR="00403A18">
        <w:t>European League Against Rheumatism</w:t>
      </w:r>
      <w:r w:rsidR="00403A18" w:rsidRPr="006E0F16">
        <w:t xml:space="preserve"> </w:t>
      </w:r>
      <w:r w:rsidR="00403A18">
        <w:t>(</w:t>
      </w:r>
      <w:r w:rsidRPr="006E0F16">
        <w:t>EULAR</w:t>
      </w:r>
      <w:r w:rsidR="00403A18">
        <w:t>)</w:t>
      </w:r>
      <w:r w:rsidRPr="006E0F16">
        <w:t xml:space="preserve"> guideline for </w:t>
      </w:r>
      <w:proofErr w:type="spellStart"/>
      <w:r w:rsidRPr="006E0F16">
        <w:t>PsA</w:t>
      </w:r>
      <w:proofErr w:type="spellEnd"/>
      <w:r w:rsidRPr="006E0F16">
        <w:t xml:space="preserve"> recommends starting treatment with </w:t>
      </w:r>
      <w:r w:rsidR="000E38D0">
        <w:t>non-steroidal anti-inflammatory drugs (</w:t>
      </w:r>
      <w:r w:rsidRPr="006E0F16">
        <w:t>NSAIDs</w:t>
      </w:r>
      <w:r w:rsidR="000E38D0">
        <w:t>)</w:t>
      </w:r>
      <w:r w:rsidRPr="006E0F16">
        <w:t>, followed by a non-biologic</w:t>
      </w:r>
      <w:r w:rsidR="000E38D0">
        <w:t xml:space="preserve"> (conventional synthetic)</w:t>
      </w:r>
      <w:r w:rsidRPr="006E0F16">
        <w:t xml:space="preserve"> </w:t>
      </w:r>
      <w:r w:rsidR="000E38D0">
        <w:t xml:space="preserve">disease modifying anti-rheumatic drugs </w:t>
      </w:r>
      <w:r w:rsidRPr="006E0F16">
        <w:t>(</w:t>
      </w:r>
      <w:proofErr w:type="spellStart"/>
      <w:r w:rsidRPr="006E0F16">
        <w:t>csDMARD</w:t>
      </w:r>
      <w:proofErr w:type="spellEnd"/>
      <w:r w:rsidRPr="006E0F16">
        <w:t>)</w:t>
      </w:r>
      <w:r w:rsidR="00BD1BB5">
        <w:t>, usually methotrexate (MTX)</w:t>
      </w:r>
      <w:r w:rsidR="000E38D0">
        <w:t xml:space="preserve"> if the response is inadequate</w:t>
      </w:r>
      <w:r w:rsidRPr="006E0F16">
        <w:t xml:space="preserve">. If the clinical response is </w:t>
      </w:r>
      <w:r w:rsidR="000E38D0">
        <w:t xml:space="preserve">again </w:t>
      </w:r>
      <w:r w:rsidRPr="006E0F16">
        <w:t>inadequate, a biological DMARD (</w:t>
      </w:r>
      <w:proofErr w:type="spellStart"/>
      <w:r w:rsidRPr="006E0F16">
        <w:t>bDMARD</w:t>
      </w:r>
      <w:proofErr w:type="spellEnd"/>
      <w:r w:rsidRPr="006E0F16">
        <w:t xml:space="preserve">) may </w:t>
      </w:r>
      <w:r w:rsidR="000E38D0">
        <w:t xml:space="preserve">be </w:t>
      </w:r>
      <w:r w:rsidRPr="006E0F16">
        <w:t>prescribed, typically a TNF inhibitor (TNFI). TNFIs are usually prescribed with MTX but may be given as monotherapy if MTX is not</w:t>
      </w:r>
      <w:r w:rsidR="003B0095">
        <w:t xml:space="preserve"> tolerated or contra</w:t>
      </w:r>
      <w:r w:rsidR="000E38D0">
        <w:noBreakHyphen/>
      </w:r>
      <w:r w:rsidR="003B0095">
        <w:t>indicated.</w:t>
      </w:r>
    </w:p>
    <w:p w14:paraId="0074189A" w14:textId="2924C7FE" w:rsidR="006E0F16" w:rsidRDefault="006E0F16" w:rsidP="006E0F16">
      <w:r>
        <w:t xml:space="preserve">In rheumatoid diseases, there is overproduction of a number of pro-inflammatory cytokines </w:t>
      </w:r>
      <w:r w:rsidR="00AD29FD">
        <w:t xml:space="preserve">including interleukins and </w:t>
      </w:r>
      <w:r w:rsidR="000E38D0">
        <w:t>tumour necrosis factor (</w:t>
      </w:r>
      <w:r w:rsidR="00AD29FD">
        <w:t>TNF</w:t>
      </w:r>
      <w:r w:rsidR="000E38D0">
        <w:t>)</w:t>
      </w:r>
      <w:r w:rsidR="00AD29FD">
        <w:t>.</w:t>
      </w:r>
      <w:r>
        <w:t xml:space="preserve"> In the last 20 years, numerous </w:t>
      </w:r>
      <w:proofErr w:type="spellStart"/>
      <w:r>
        <w:t>bDMARDs</w:t>
      </w:r>
      <w:proofErr w:type="spellEnd"/>
      <w:r>
        <w:t xml:space="preserve"> have proved effective in </w:t>
      </w:r>
      <w:r w:rsidR="00AD29FD">
        <w:t>rheumatoid arthritis (</w:t>
      </w:r>
      <w:r>
        <w:t>RA</w:t>
      </w:r>
      <w:r w:rsidR="00AD29FD">
        <w:t>)</w:t>
      </w:r>
      <w:r>
        <w:t xml:space="preserve">, and in related conditions including </w:t>
      </w:r>
      <w:proofErr w:type="spellStart"/>
      <w:r>
        <w:t>PsA</w:t>
      </w:r>
      <w:proofErr w:type="spellEnd"/>
      <w:r>
        <w:t xml:space="preserve">, ankylosing spondylitis and juvenile arthritis. Tofacitinib is a first in class </w:t>
      </w:r>
      <w:proofErr w:type="spellStart"/>
      <w:r w:rsidR="008A094A">
        <w:t>j</w:t>
      </w:r>
      <w:r w:rsidR="008A094A" w:rsidRPr="008A094A">
        <w:t>anus</w:t>
      </w:r>
      <w:proofErr w:type="spellEnd"/>
      <w:r w:rsidR="008A094A" w:rsidRPr="008A094A">
        <w:t xml:space="preserve"> kinase </w:t>
      </w:r>
      <w:r w:rsidR="008A094A">
        <w:t>(</w:t>
      </w:r>
      <w:r>
        <w:t>JAK</w:t>
      </w:r>
      <w:r w:rsidR="008A094A">
        <w:t>)</w:t>
      </w:r>
      <w:r>
        <w:t xml:space="preserve"> inhibitor which reduces immune and inflammatory processes in rheumatoid arthritis. It is a targeted synthetic DMARD (</w:t>
      </w:r>
      <w:proofErr w:type="spellStart"/>
      <w:r>
        <w:t>tsDMARD</w:t>
      </w:r>
      <w:proofErr w:type="spellEnd"/>
      <w:r>
        <w:t xml:space="preserve">) which preferentially inhibits JAK3/JAK1 heterodimeric complexes on the inner aspects of the cell surface membrane. Inhibition of JAK3/JAK1 blocks cytokine signalling affecting inflammation and immune responses, primarily </w:t>
      </w:r>
      <w:r w:rsidR="00D518BB">
        <w:t>interleukin-2 (</w:t>
      </w:r>
      <w:r>
        <w:t>IL-2</w:t>
      </w:r>
      <w:r w:rsidR="00D518BB">
        <w:t>)</w:t>
      </w:r>
      <w:r>
        <w:t>, IL-4, IL-7, IL-9, IL-15 and IL-21. In addition, JAK2 and tyrosine kinase</w:t>
      </w:r>
      <w:r w:rsidR="000E38D0">
        <w:t xml:space="preserve"> </w:t>
      </w:r>
      <w:r>
        <w:t xml:space="preserve">2 inhibition affects signalling for several hormones, particularly </w:t>
      </w:r>
      <w:r w:rsidR="000E38D0">
        <w:t>erythropoietin (</w:t>
      </w:r>
      <w:r>
        <w:t>EPO</w:t>
      </w:r>
      <w:r w:rsidR="000E38D0">
        <w:t>)</w:t>
      </w:r>
      <w:r>
        <w:t xml:space="preserve"> and pro-inflammatory cytokines such as IL-6 </w:t>
      </w:r>
      <w:r w:rsidR="00AD29FD">
        <w:t xml:space="preserve">and type I and II interferons. Tofacitinib </w:t>
      </w:r>
      <w:r>
        <w:t>is approved for use i</w:t>
      </w:r>
      <w:r w:rsidR="00BD1BB5">
        <w:t>n RA in more than 50 countries.</w:t>
      </w:r>
    </w:p>
    <w:p w14:paraId="00E07E4D" w14:textId="77777777" w:rsidR="008E7846" w:rsidRPr="003F31A2" w:rsidRDefault="00386150" w:rsidP="008E7846">
      <w:pPr>
        <w:pStyle w:val="Heading3"/>
      </w:pPr>
      <w:bookmarkStart w:id="16" w:name="_Toc314842485"/>
      <w:bookmarkStart w:id="17" w:name="_Toc247691504"/>
      <w:bookmarkStart w:id="18" w:name="_Toc22048602"/>
      <w:r>
        <w:t>Regulatory s</w:t>
      </w:r>
      <w:r w:rsidR="008E7846">
        <w:t>tatus</w:t>
      </w:r>
      <w:bookmarkEnd w:id="16"/>
      <w:bookmarkEnd w:id="17"/>
      <w:bookmarkEnd w:id="18"/>
    </w:p>
    <w:p w14:paraId="3F5A05D9" w14:textId="77777777" w:rsidR="00997B75" w:rsidRDefault="00997B75" w:rsidP="00997B75">
      <w:bookmarkStart w:id="19" w:name="_Toc247691505"/>
      <w:bookmarkStart w:id="20" w:name="_Toc314842486"/>
      <w:r w:rsidRPr="00940A89">
        <w:t>The product received initial registration on the Australian Register</w:t>
      </w:r>
      <w:r>
        <w:t xml:space="preserve"> of Therapeutic Goods (ARTG, Submission PM-2012-00788-3-3) as a 5 mg tablet blister pack (ARTG 196987) and bottle (ARTG 233439) on 5 February 2015 for the following indication:</w:t>
      </w:r>
    </w:p>
    <w:p w14:paraId="7B9F2BCE" w14:textId="77777777" w:rsidR="00997B75" w:rsidRPr="004E24BB" w:rsidRDefault="00997B75" w:rsidP="00997B75">
      <w:pPr>
        <w:ind w:left="720"/>
        <w:rPr>
          <w:i/>
        </w:rPr>
      </w:pPr>
      <w:r w:rsidRPr="004E24BB">
        <w:rPr>
          <w:i/>
        </w:rPr>
        <w:t xml:space="preserve">Xeljanz is indicated for the treatment of the signs and symptoms of moderate to severe active rheumatoid arthritis in adults who have had an inadequate response or are intolerant to methotrexate. Xeljanz con be used alone or </w:t>
      </w:r>
      <w:r>
        <w:rPr>
          <w:i/>
        </w:rPr>
        <w:t>in combination with non-biologica</w:t>
      </w:r>
      <w:r w:rsidRPr="004E24BB">
        <w:rPr>
          <w:i/>
        </w:rPr>
        <w:t xml:space="preserve">l </w:t>
      </w:r>
      <w:r>
        <w:rPr>
          <w:i/>
        </w:rPr>
        <w:t>d</w:t>
      </w:r>
      <w:r w:rsidRPr="00565B30">
        <w:rPr>
          <w:i/>
        </w:rPr>
        <w:t>isease-modifying anti</w:t>
      </w:r>
      <w:r>
        <w:rPr>
          <w:i/>
        </w:rPr>
        <w:t>-</w:t>
      </w:r>
      <w:r w:rsidRPr="00565B30">
        <w:rPr>
          <w:i/>
        </w:rPr>
        <w:t>rheumatic drugs</w:t>
      </w:r>
      <w:r>
        <w:rPr>
          <w:i/>
        </w:rPr>
        <w:t xml:space="preserve"> (</w:t>
      </w:r>
      <w:r w:rsidRPr="004E24BB">
        <w:rPr>
          <w:i/>
        </w:rPr>
        <w:t>DMARDs</w:t>
      </w:r>
      <w:r>
        <w:rPr>
          <w:i/>
        </w:rPr>
        <w:t>)</w:t>
      </w:r>
      <w:r w:rsidRPr="004E24BB">
        <w:rPr>
          <w:i/>
        </w:rPr>
        <w:t>, including methotrexate.</w:t>
      </w:r>
    </w:p>
    <w:p w14:paraId="24608ADA" w14:textId="77777777" w:rsidR="00997B75" w:rsidRPr="004E24BB" w:rsidRDefault="00997B75" w:rsidP="00997B75">
      <w:pPr>
        <w:ind w:left="720"/>
        <w:rPr>
          <w:i/>
        </w:rPr>
      </w:pPr>
      <w:r w:rsidRPr="004E24BB">
        <w:rPr>
          <w:i/>
        </w:rPr>
        <w:t>Therapy with Xeljanz should be initiated and monitored by a rheumatologist or specialist physician with expertise in the management of rheumatoid arthritis.</w:t>
      </w:r>
    </w:p>
    <w:p w14:paraId="26BBA157" w14:textId="77777777" w:rsidR="00997B75" w:rsidRDefault="00997B75" w:rsidP="00997B75">
      <w:r>
        <w:t>On 1 June 2017 (Submission PM-2016-00757-1-3) the following changed indications were approved:</w:t>
      </w:r>
    </w:p>
    <w:p w14:paraId="07295FC6" w14:textId="77777777" w:rsidR="00997B75" w:rsidRPr="00565B30" w:rsidRDefault="00997B75" w:rsidP="00997B75">
      <w:pPr>
        <w:ind w:left="720"/>
        <w:rPr>
          <w:i/>
        </w:rPr>
      </w:pPr>
      <w:r w:rsidRPr="00565B30">
        <w:rPr>
          <w:i/>
        </w:rPr>
        <w:t xml:space="preserve">Xeljanz is indicated for the treatment of moderate to severe active rheumatoid arthritis in adults who have had an inadequate response or are intolerant to </w:t>
      </w:r>
      <w:r w:rsidRPr="00565B30">
        <w:rPr>
          <w:i/>
        </w:rPr>
        <w:lastRenderedPageBreak/>
        <w:t xml:space="preserve">methotrexate. </w:t>
      </w:r>
      <w:r>
        <w:rPr>
          <w:i/>
        </w:rPr>
        <w:t>Xeljanz</w:t>
      </w:r>
      <w:r w:rsidRPr="00565B30">
        <w:rPr>
          <w:i/>
        </w:rPr>
        <w:t xml:space="preserve"> can be used alone or in combination with non</w:t>
      </w:r>
      <w:r>
        <w:rPr>
          <w:i/>
        </w:rPr>
        <w:t>-</w:t>
      </w:r>
      <w:r w:rsidRPr="00565B30">
        <w:rPr>
          <w:i/>
        </w:rPr>
        <w:t>biological DMARDs, including methotrexate.</w:t>
      </w:r>
    </w:p>
    <w:p w14:paraId="594BE840" w14:textId="77777777" w:rsidR="00997B75" w:rsidRPr="00565B30" w:rsidRDefault="00997B75" w:rsidP="00997B75">
      <w:pPr>
        <w:ind w:left="720"/>
        <w:rPr>
          <w:i/>
        </w:rPr>
      </w:pPr>
      <w:r w:rsidRPr="00565B30">
        <w:rPr>
          <w:i/>
        </w:rPr>
        <w:t>Therapy with Xeljanz should be initiated and monitored by a rheumatologist or specialist physician with expertise in the management of rheumatoid arthritis.</w:t>
      </w:r>
    </w:p>
    <w:p w14:paraId="5019B75D" w14:textId="77777777" w:rsidR="00940A89" w:rsidRDefault="00940A89" w:rsidP="00940A89">
      <w:r w:rsidRPr="00940A89">
        <w:t xml:space="preserve">At the time the TGA considered this application, a similar application had been approved </w:t>
      </w:r>
      <w:r w:rsidR="00FE7527">
        <w:t>in the United States of America (USA)</w:t>
      </w:r>
      <w:r w:rsidRPr="00940A89">
        <w:t xml:space="preserve"> </w:t>
      </w:r>
      <w:r w:rsidR="00FE7527">
        <w:t xml:space="preserve">14 December 2017 and European Union (EU), centralised procedure 25 June 2018, and </w:t>
      </w:r>
      <w:r w:rsidRPr="00940A89">
        <w:t>was under co</w:t>
      </w:r>
      <w:r w:rsidR="00FE7527">
        <w:t>nsideration in Canada</w:t>
      </w:r>
      <w:r w:rsidR="00997B75">
        <w:t xml:space="preserve"> (</w:t>
      </w:r>
      <w:r w:rsidR="00997B75">
        <w:fldChar w:fldCharType="begin"/>
      </w:r>
      <w:r w:rsidR="00997B75">
        <w:instrText xml:space="preserve"> REF _Ref16062668 \h </w:instrText>
      </w:r>
      <w:r w:rsidR="00997B75">
        <w:fldChar w:fldCharType="separate"/>
      </w:r>
      <w:r w:rsidR="00997B75">
        <w:t xml:space="preserve">Table </w:t>
      </w:r>
      <w:r w:rsidR="00997B75">
        <w:rPr>
          <w:noProof/>
        </w:rPr>
        <w:t>1</w:t>
      </w:r>
      <w:r w:rsidR="00997B75">
        <w:fldChar w:fldCharType="end"/>
      </w:r>
      <w:r w:rsidR="00997B75">
        <w:t>)</w:t>
      </w:r>
      <w:r>
        <w:t>.</w:t>
      </w:r>
    </w:p>
    <w:p w14:paraId="059C5C01" w14:textId="77777777" w:rsidR="007A6505" w:rsidRDefault="00997B75" w:rsidP="00997B75">
      <w:pPr>
        <w:pStyle w:val="TableTitle"/>
      </w:pPr>
      <w:bookmarkStart w:id="21" w:name="_Ref16062668"/>
      <w:r>
        <w:t xml:space="preserve">Table </w:t>
      </w:r>
      <w:fldSimple w:instr=" SEQ Table \* ARABIC ">
        <w:r w:rsidR="0061158C">
          <w:rPr>
            <w:noProof/>
          </w:rPr>
          <w:t>1</w:t>
        </w:r>
      </w:fldSimple>
      <w:bookmarkEnd w:id="21"/>
      <w:r>
        <w:t>: International regulatory status as of 18 September 2018</w:t>
      </w:r>
    </w:p>
    <w:tbl>
      <w:tblPr>
        <w:tblStyle w:val="TableTGAblue"/>
        <w:tblW w:w="0" w:type="auto"/>
        <w:tblLook w:val="04A0" w:firstRow="1" w:lastRow="0" w:firstColumn="1" w:lastColumn="0" w:noHBand="0" w:noVBand="1"/>
      </w:tblPr>
      <w:tblGrid>
        <w:gridCol w:w="1705"/>
        <w:gridCol w:w="1725"/>
        <w:gridCol w:w="1640"/>
        <w:gridCol w:w="3650"/>
      </w:tblGrid>
      <w:tr w:rsidR="00FE7527" w:rsidRPr="00FE7527" w14:paraId="52CE87F0" w14:textId="77777777" w:rsidTr="00FE7527">
        <w:trPr>
          <w:cnfStyle w:val="100000000000" w:firstRow="1" w:lastRow="0" w:firstColumn="0" w:lastColumn="0" w:oddVBand="0" w:evenVBand="0" w:oddHBand="0" w:evenHBand="0" w:firstRowFirstColumn="0" w:firstRowLastColumn="0" w:lastRowFirstColumn="0" w:lastRowLastColumn="0"/>
        </w:trPr>
        <w:tc>
          <w:tcPr>
            <w:tcW w:w="1705" w:type="dxa"/>
          </w:tcPr>
          <w:p w14:paraId="5A825772" w14:textId="77777777" w:rsidR="00FE7527" w:rsidRPr="00FE7527" w:rsidRDefault="00FE7527" w:rsidP="00FE7527">
            <w:pPr>
              <w:ind w:left="0" w:right="0"/>
              <w:rPr>
                <w:sz w:val="20"/>
                <w:szCs w:val="20"/>
              </w:rPr>
            </w:pPr>
            <w:r w:rsidRPr="00FE7527">
              <w:rPr>
                <w:sz w:val="20"/>
                <w:szCs w:val="20"/>
              </w:rPr>
              <w:t>Region</w:t>
            </w:r>
          </w:p>
        </w:tc>
        <w:tc>
          <w:tcPr>
            <w:tcW w:w="1725" w:type="dxa"/>
          </w:tcPr>
          <w:p w14:paraId="55619C62" w14:textId="77777777" w:rsidR="00FE7527" w:rsidRPr="00FE7527" w:rsidRDefault="00FE7527" w:rsidP="00FE7527">
            <w:pPr>
              <w:ind w:left="0" w:right="0"/>
              <w:rPr>
                <w:sz w:val="20"/>
                <w:szCs w:val="20"/>
              </w:rPr>
            </w:pPr>
            <w:r w:rsidRPr="00FE7527">
              <w:rPr>
                <w:sz w:val="20"/>
                <w:szCs w:val="20"/>
              </w:rPr>
              <w:t>Submission date</w:t>
            </w:r>
          </w:p>
        </w:tc>
        <w:tc>
          <w:tcPr>
            <w:tcW w:w="1640" w:type="dxa"/>
          </w:tcPr>
          <w:p w14:paraId="1CB951FE" w14:textId="77777777" w:rsidR="00FE7527" w:rsidRPr="00FE7527" w:rsidRDefault="00FE7527" w:rsidP="00FE7527">
            <w:pPr>
              <w:ind w:left="0" w:right="0"/>
              <w:rPr>
                <w:sz w:val="20"/>
                <w:szCs w:val="20"/>
              </w:rPr>
            </w:pPr>
            <w:r w:rsidRPr="00FE7527">
              <w:rPr>
                <w:sz w:val="20"/>
                <w:szCs w:val="20"/>
              </w:rPr>
              <w:t>Status</w:t>
            </w:r>
          </w:p>
        </w:tc>
        <w:tc>
          <w:tcPr>
            <w:tcW w:w="3650" w:type="dxa"/>
          </w:tcPr>
          <w:p w14:paraId="0C8B3074" w14:textId="77777777" w:rsidR="00FE7527" w:rsidRPr="00FE7527" w:rsidRDefault="00FE7527" w:rsidP="00FE7527">
            <w:pPr>
              <w:ind w:left="0" w:right="0"/>
              <w:rPr>
                <w:sz w:val="20"/>
                <w:szCs w:val="20"/>
              </w:rPr>
            </w:pPr>
            <w:r w:rsidRPr="00FE7527">
              <w:rPr>
                <w:sz w:val="20"/>
                <w:szCs w:val="20"/>
              </w:rPr>
              <w:t>Indications</w:t>
            </w:r>
          </w:p>
        </w:tc>
      </w:tr>
      <w:tr w:rsidR="00FE7527" w:rsidRPr="00FE7527" w14:paraId="1754E5EE" w14:textId="77777777" w:rsidTr="00FE7527">
        <w:tc>
          <w:tcPr>
            <w:tcW w:w="1705" w:type="dxa"/>
          </w:tcPr>
          <w:p w14:paraId="5841EC0F" w14:textId="77777777" w:rsidR="00FE7527" w:rsidRPr="00FE7527" w:rsidRDefault="00FE7527" w:rsidP="00FE7527">
            <w:pPr>
              <w:ind w:left="0" w:right="0"/>
              <w:rPr>
                <w:sz w:val="20"/>
                <w:szCs w:val="20"/>
              </w:rPr>
            </w:pPr>
            <w:r>
              <w:rPr>
                <w:sz w:val="20"/>
                <w:szCs w:val="20"/>
              </w:rPr>
              <w:t>USA</w:t>
            </w:r>
          </w:p>
        </w:tc>
        <w:tc>
          <w:tcPr>
            <w:tcW w:w="1725" w:type="dxa"/>
          </w:tcPr>
          <w:p w14:paraId="7409EE89" w14:textId="767F895E" w:rsidR="00FE7527" w:rsidRPr="00FE7527" w:rsidRDefault="000969F9" w:rsidP="00FE7527">
            <w:pPr>
              <w:ind w:left="0" w:right="0"/>
              <w:rPr>
                <w:sz w:val="20"/>
                <w:szCs w:val="20"/>
              </w:rPr>
            </w:pPr>
            <w:r>
              <w:rPr>
                <w:sz w:val="20"/>
                <w:szCs w:val="20"/>
              </w:rPr>
              <w:t>[Information redacted]</w:t>
            </w:r>
          </w:p>
        </w:tc>
        <w:tc>
          <w:tcPr>
            <w:tcW w:w="1640" w:type="dxa"/>
          </w:tcPr>
          <w:p w14:paraId="3C10FDF9" w14:textId="77777777" w:rsidR="00FE7527" w:rsidRPr="00FE7527" w:rsidRDefault="00FE7527" w:rsidP="00FE7527">
            <w:pPr>
              <w:ind w:left="0" w:right="0"/>
              <w:rPr>
                <w:sz w:val="20"/>
                <w:szCs w:val="20"/>
              </w:rPr>
            </w:pPr>
            <w:r w:rsidRPr="00FE7527">
              <w:rPr>
                <w:sz w:val="20"/>
                <w:szCs w:val="20"/>
              </w:rPr>
              <w:t>Approved</w:t>
            </w:r>
          </w:p>
          <w:p w14:paraId="72EC0B33" w14:textId="77777777" w:rsidR="00FE7527" w:rsidRPr="00FE7527" w:rsidRDefault="00FE7527" w:rsidP="00FE7527">
            <w:pPr>
              <w:ind w:left="0" w:right="0"/>
              <w:rPr>
                <w:sz w:val="20"/>
                <w:szCs w:val="20"/>
              </w:rPr>
            </w:pPr>
            <w:r w:rsidRPr="00FE7527">
              <w:rPr>
                <w:sz w:val="20"/>
                <w:szCs w:val="20"/>
              </w:rPr>
              <w:t>14 December 2017</w:t>
            </w:r>
          </w:p>
        </w:tc>
        <w:tc>
          <w:tcPr>
            <w:tcW w:w="3650" w:type="dxa"/>
          </w:tcPr>
          <w:p w14:paraId="6476AA3F" w14:textId="77777777" w:rsidR="00FE7527" w:rsidRPr="009917DE" w:rsidRDefault="00FE7527" w:rsidP="00FE7527">
            <w:pPr>
              <w:ind w:left="0" w:right="0"/>
              <w:rPr>
                <w:i/>
                <w:sz w:val="20"/>
                <w:szCs w:val="20"/>
              </w:rPr>
            </w:pPr>
            <w:r w:rsidRPr="009917DE">
              <w:rPr>
                <w:i/>
                <w:sz w:val="20"/>
                <w:szCs w:val="20"/>
              </w:rPr>
              <w:t>Xeljanz/Xeljanz XR (</w:t>
            </w:r>
            <w:proofErr w:type="spellStart"/>
            <w:r w:rsidRPr="009917DE">
              <w:rPr>
                <w:i/>
                <w:sz w:val="20"/>
                <w:szCs w:val="20"/>
              </w:rPr>
              <w:t>tofacitinib</w:t>
            </w:r>
            <w:proofErr w:type="spellEnd"/>
            <w:r w:rsidRPr="009917DE">
              <w:rPr>
                <w:i/>
                <w:sz w:val="20"/>
                <w:szCs w:val="20"/>
              </w:rPr>
              <w:t xml:space="preserve">) is indicated for the treatment of adult patients with active psoriatic arthritis who have had an inadequate response or intolerance to methotrexate or other disease-modifying </w:t>
            </w:r>
            <w:proofErr w:type="spellStart"/>
            <w:r w:rsidRPr="009917DE">
              <w:rPr>
                <w:i/>
                <w:sz w:val="20"/>
                <w:szCs w:val="20"/>
              </w:rPr>
              <w:t>antirheumatic</w:t>
            </w:r>
            <w:proofErr w:type="spellEnd"/>
            <w:r w:rsidRPr="009917DE">
              <w:rPr>
                <w:i/>
                <w:sz w:val="20"/>
                <w:szCs w:val="20"/>
              </w:rPr>
              <w:t xml:space="preserve"> drugs (DMARDs).</w:t>
            </w:r>
          </w:p>
          <w:p w14:paraId="376E2381" w14:textId="77777777" w:rsidR="00FE7527" w:rsidRPr="00FE7527" w:rsidRDefault="00FE7527" w:rsidP="00FE7527">
            <w:pPr>
              <w:ind w:left="0" w:right="0"/>
              <w:rPr>
                <w:sz w:val="20"/>
                <w:szCs w:val="20"/>
              </w:rPr>
            </w:pPr>
            <w:r w:rsidRPr="009917DE">
              <w:rPr>
                <w:i/>
                <w:sz w:val="20"/>
                <w:szCs w:val="20"/>
              </w:rPr>
              <w:t xml:space="preserve">Limitations of Use: Use of Xeljanz/Xeljanz XR in combination with biologic DMARDs or with potent </w:t>
            </w:r>
            <w:proofErr w:type="spellStart"/>
            <w:r w:rsidRPr="009917DE">
              <w:rPr>
                <w:i/>
                <w:sz w:val="20"/>
                <w:szCs w:val="20"/>
              </w:rPr>
              <w:t>immunosuppressants</w:t>
            </w:r>
            <w:proofErr w:type="spellEnd"/>
            <w:r w:rsidRPr="009917DE">
              <w:rPr>
                <w:i/>
                <w:sz w:val="20"/>
                <w:szCs w:val="20"/>
              </w:rPr>
              <w:t xml:space="preserve"> such as azathioprine and cyclosporine is not recommended.</w:t>
            </w:r>
          </w:p>
        </w:tc>
      </w:tr>
      <w:tr w:rsidR="00FE7527" w:rsidRPr="00FE7527" w14:paraId="33882C2B" w14:textId="77777777" w:rsidTr="00FE7527">
        <w:tc>
          <w:tcPr>
            <w:tcW w:w="1705" w:type="dxa"/>
          </w:tcPr>
          <w:p w14:paraId="2F059BAD" w14:textId="77777777" w:rsidR="00FE7527" w:rsidRPr="00FE7527" w:rsidRDefault="00997B75" w:rsidP="00FE7527">
            <w:pPr>
              <w:ind w:left="0" w:right="0"/>
              <w:rPr>
                <w:sz w:val="20"/>
                <w:szCs w:val="20"/>
              </w:rPr>
            </w:pPr>
            <w:r>
              <w:rPr>
                <w:sz w:val="20"/>
                <w:szCs w:val="20"/>
              </w:rPr>
              <w:t>EU</w:t>
            </w:r>
            <w:r w:rsidR="00FE7527" w:rsidRPr="00FE7527">
              <w:rPr>
                <w:sz w:val="20"/>
                <w:szCs w:val="20"/>
              </w:rPr>
              <w:t xml:space="preserve"> (centralised procedure)</w:t>
            </w:r>
          </w:p>
          <w:p w14:paraId="053208E1" w14:textId="77777777" w:rsidR="00FE7527" w:rsidRPr="00FE7527" w:rsidRDefault="00FE7527" w:rsidP="00FE7527">
            <w:pPr>
              <w:ind w:left="0" w:right="0"/>
              <w:rPr>
                <w:sz w:val="20"/>
                <w:szCs w:val="20"/>
              </w:rPr>
            </w:pPr>
            <w:r w:rsidRPr="00FE7527">
              <w:rPr>
                <w:sz w:val="20"/>
                <w:szCs w:val="20"/>
              </w:rPr>
              <w:t>Rapporteur: United Kingdom</w:t>
            </w:r>
          </w:p>
          <w:p w14:paraId="6B8B48B9" w14:textId="77777777" w:rsidR="00FE7527" w:rsidRPr="00FE7527" w:rsidRDefault="00FE7527" w:rsidP="00FE7527">
            <w:pPr>
              <w:ind w:left="0" w:right="0"/>
              <w:rPr>
                <w:sz w:val="20"/>
                <w:szCs w:val="20"/>
              </w:rPr>
            </w:pPr>
            <w:r w:rsidRPr="00FE7527">
              <w:rPr>
                <w:sz w:val="20"/>
                <w:szCs w:val="20"/>
              </w:rPr>
              <w:t>Co-rapporteur: Italy</w:t>
            </w:r>
          </w:p>
        </w:tc>
        <w:tc>
          <w:tcPr>
            <w:tcW w:w="1725" w:type="dxa"/>
          </w:tcPr>
          <w:p w14:paraId="5971C8C2" w14:textId="6998B25E" w:rsidR="00FE7527" w:rsidRPr="00FE7527" w:rsidRDefault="000969F9" w:rsidP="00FE7527">
            <w:pPr>
              <w:ind w:left="0" w:right="0"/>
              <w:rPr>
                <w:sz w:val="20"/>
                <w:szCs w:val="20"/>
              </w:rPr>
            </w:pPr>
            <w:r>
              <w:rPr>
                <w:sz w:val="20"/>
                <w:szCs w:val="20"/>
              </w:rPr>
              <w:t>[Information redacted]</w:t>
            </w:r>
          </w:p>
        </w:tc>
        <w:tc>
          <w:tcPr>
            <w:tcW w:w="1640" w:type="dxa"/>
          </w:tcPr>
          <w:p w14:paraId="7D2F9583" w14:textId="77777777" w:rsidR="00FE7527" w:rsidRPr="00FE7527" w:rsidRDefault="00FE7527" w:rsidP="00FE7527">
            <w:pPr>
              <w:ind w:left="0" w:right="0"/>
              <w:rPr>
                <w:sz w:val="20"/>
                <w:szCs w:val="20"/>
              </w:rPr>
            </w:pPr>
            <w:r w:rsidRPr="00FE7527">
              <w:rPr>
                <w:sz w:val="20"/>
                <w:szCs w:val="20"/>
              </w:rPr>
              <w:t>Approved</w:t>
            </w:r>
          </w:p>
          <w:p w14:paraId="2587B708" w14:textId="77777777" w:rsidR="00FE7527" w:rsidRPr="00FE7527" w:rsidRDefault="00FE7527" w:rsidP="00FE7527">
            <w:pPr>
              <w:ind w:left="0" w:right="0"/>
              <w:rPr>
                <w:sz w:val="20"/>
                <w:szCs w:val="20"/>
              </w:rPr>
            </w:pPr>
            <w:r w:rsidRPr="00FE7527">
              <w:rPr>
                <w:sz w:val="20"/>
                <w:szCs w:val="20"/>
              </w:rPr>
              <w:t>25 June 2018</w:t>
            </w:r>
          </w:p>
        </w:tc>
        <w:tc>
          <w:tcPr>
            <w:tcW w:w="3650" w:type="dxa"/>
          </w:tcPr>
          <w:p w14:paraId="62856BDF" w14:textId="77777777" w:rsidR="00FE7527" w:rsidRPr="009917DE" w:rsidRDefault="00FE7527" w:rsidP="00FE7527">
            <w:pPr>
              <w:ind w:left="0" w:right="0"/>
              <w:rPr>
                <w:i/>
                <w:sz w:val="20"/>
                <w:szCs w:val="20"/>
              </w:rPr>
            </w:pPr>
            <w:r w:rsidRPr="009917DE">
              <w:rPr>
                <w:i/>
                <w:sz w:val="20"/>
                <w:szCs w:val="20"/>
              </w:rPr>
              <w:t>Xeljanz in combination with methotrexate (MTX) is indicated for the treatment of active psoriatic arthritis (</w:t>
            </w:r>
            <w:proofErr w:type="spellStart"/>
            <w:r w:rsidRPr="009917DE">
              <w:rPr>
                <w:i/>
                <w:sz w:val="20"/>
                <w:szCs w:val="20"/>
              </w:rPr>
              <w:t>PsA</w:t>
            </w:r>
            <w:proofErr w:type="spellEnd"/>
            <w:r w:rsidRPr="009917DE">
              <w:rPr>
                <w:i/>
                <w:sz w:val="20"/>
                <w:szCs w:val="20"/>
              </w:rPr>
              <w:t xml:space="preserve">) in adult patients who have had an inadequate response or who have been intolerant to a prior disease-modifying </w:t>
            </w:r>
            <w:proofErr w:type="spellStart"/>
            <w:r w:rsidRPr="009917DE">
              <w:rPr>
                <w:i/>
                <w:sz w:val="20"/>
                <w:szCs w:val="20"/>
              </w:rPr>
              <w:t>antirheumatic</w:t>
            </w:r>
            <w:proofErr w:type="spellEnd"/>
            <w:r w:rsidRPr="009917DE">
              <w:rPr>
                <w:i/>
                <w:sz w:val="20"/>
                <w:szCs w:val="20"/>
              </w:rPr>
              <w:t xml:space="preserve"> drug (DMARD) therapy (see section 5.1)</w:t>
            </w:r>
          </w:p>
        </w:tc>
      </w:tr>
      <w:tr w:rsidR="00FE7527" w:rsidRPr="00FE7527" w14:paraId="293C4071" w14:textId="77777777" w:rsidTr="00FE7527">
        <w:tc>
          <w:tcPr>
            <w:tcW w:w="1705" w:type="dxa"/>
          </w:tcPr>
          <w:p w14:paraId="0A134584" w14:textId="77777777" w:rsidR="00FE7527" w:rsidRPr="00FE7527" w:rsidRDefault="00FE7527" w:rsidP="00FE7527">
            <w:pPr>
              <w:ind w:left="0" w:right="0"/>
              <w:rPr>
                <w:sz w:val="20"/>
                <w:szCs w:val="20"/>
              </w:rPr>
            </w:pPr>
            <w:r w:rsidRPr="00FE7527">
              <w:rPr>
                <w:sz w:val="20"/>
                <w:szCs w:val="20"/>
              </w:rPr>
              <w:t>Canada</w:t>
            </w:r>
          </w:p>
        </w:tc>
        <w:tc>
          <w:tcPr>
            <w:tcW w:w="1725" w:type="dxa"/>
          </w:tcPr>
          <w:p w14:paraId="205E8EE7" w14:textId="55C6C85A" w:rsidR="00FE7527" w:rsidRPr="00FE7527" w:rsidRDefault="000969F9" w:rsidP="00FE7527">
            <w:pPr>
              <w:ind w:left="0" w:right="0"/>
              <w:rPr>
                <w:sz w:val="20"/>
                <w:szCs w:val="20"/>
              </w:rPr>
            </w:pPr>
            <w:r>
              <w:rPr>
                <w:sz w:val="20"/>
                <w:szCs w:val="20"/>
              </w:rPr>
              <w:t>[Information redacted]</w:t>
            </w:r>
          </w:p>
        </w:tc>
        <w:tc>
          <w:tcPr>
            <w:tcW w:w="1640" w:type="dxa"/>
          </w:tcPr>
          <w:p w14:paraId="669D055D" w14:textId="77777777" w:rsidR="00FE7527" w:rsidRPr="00FE7527" w:rsidRDefault="00FE7527" w:rsidP="00FE7527">
            <w:pPr>
              <w:ind w:left="0" w:right="0"/>
              <w:rPr>
                <w:sz w:val="20"/>
                <w:szCs w:val="20"/>
              </w:rPr>
            </w:pPr>
            <w:r w:rsidRPr="00FE7527">
              <w:rPr>
                <w:sz w:val="20"/>
                <w:szCs w:val="20"/>
              </w:rPr>
              <w:t>Under evaluation</w:t>
            </w:r>
          </w:p>
        </w:tc>
        <w:tc>
          <w:tcPr>
            <w:tcW w:w="3650" w:type="dxa"/>
          </w:tcPr>
          <w:p w14:paraId="30E3ABA2" w14:textId="77777777" w:rsidR="00FE7527" w:rsidRPr="00FE7527" w:rsidRDefault="00FE7527" w:rsidP="00FE7527">
            <w:pPr>
              <w:ind w:left="0" w:right="0"/>
              <w:rPr>
                <w:sz w:val="20"/>
                <w:szCs w:val="20"/>
              </w:rPr>
            </w:pPr>
            <w:r w:rsidRPr="00FE7527">
              <w:rPr>
                <w:sz w:val="20"/>
                <w:szCs w:val="20"/>
              </w:rPr>
              <w:t>Under evaluation</w:t>
            </w:r>
          </w:p>
        </w:tc>
      </w:tr>
    </w:tbl>
    <w:p w14:paraId="79F75EC0" w14:textId="77777777" w:rsidR="008E7846" w:rsidRDefault="008E7846" w:rsidP="00940A89">
      <w:pPr>
        <w:pStyle w:val="Heading3"/>
      </w:pPr>
      <w:bookmarkStart w:id="22" w:name="_Toc22048603"/>
      <w:r>
        <w:t>Product Information</w:t>
      </w:r>
      <w:bookmarkEnd w:id="19"/>
      <w:bookmarkEnd w:id="20"/>
      <w:bookmarkEnd w:id="22"/>
    </w:p>
    <w:p w14:paraId="21FAE416" w14:textId="77777777" w:rsidR="00940A89" w:rsidRDefault="006136D7" w:rsidP="00940A89">
      <w:bookmarkStart w:id="23" w:name="_Toc247691506"/>
      <w:bookmarkStart w:id="24"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14:paraId="310CEF0B" w14:textId="77777777" w:rsidR="00500337" w:rsidRDefault="00500337" w:rsidP="00500337">
      <w:pPr>
        <w:pStyle w:val="Heading2"/>
      </w:pPr>
      <w:bookmarkStart w:id="25" w:name="_Toc504480011"/>
      <w:bookmarkStart w:id="26" w:name="_Toc22048604"/>
      <w:r>
        <w:t>II. Registration time line</w:t>
      </w:r>
      <w:bookmarkEnd w:id="25"/>
      <w:bookmarkEnd w:id="26"/>
    </w:p>
    <w:p w14:paraId="583B44AC" w14:textId="77777777" w:rsidR="006A58A8" w:rsidRDefault="005D4FE2" w:rsidP="005D4FE2">
      <w:r>
        <w:fldChar w:fldCharType="begin"/>
      </w:r>
      <w:r>
        <w:instrText xml:space="preserve"> REF _Ref16063350 \h </w:instrText>
      </w:r>
      <w:r>
        <w:fldChar w:fldCharType="separate"/>
      </w:r>
      <w:r>
        <w:t xml:space="preserve">Table </w:t>
      </w:r>
      <w:r>
        <w:rPr>
          <w:noProof/>
        </w:rPr>
        <w:t>2</w:t>
      </w:r>
      <w:r>
        <w:fldChar w:fldCharType="end"/>
      </w:r>
      <w:r>
        <w:t xml:space="preserve"> </w:t>
      </w:r>
      <w:r w:rsidR="00500337">
        <w:t>captures the key steps and dates for this application and which are detail</w:t>
      </w:r>
      <w:r>
        <w:t>ed and discussed in this AusPAR.</w:t>
      </w:r>
    </w:p>
    <w:p w14:paraId="74C665DB" w14:textId="77777777" w:rsidR="00500337" w:rsidRPr="00377BD4" w:rsidRDefault="005D4FE2" w:rsidP="005D4FE2">
      <w:pPr>
        <w:pStyle w:val="TableTitle"/>
      </w:pPr>
      <w:bookmarkStart w:id="27" w:name="_Ref16063350"/>
      <w:r>
        <w:lastRenderedPageBreak/>
        <w:t xml:space="preserve">Table </w:t>
      </w:r>
      <w:fldSimple w:instr=" SEQ Table \* ARABIC ">
        <w:r w:rsidR="0061158C">
          <w:rPr>
            <w:noProof/>
          </w:rPr>
          <w:t>2</w:t>
        </w:r>
      </w:fldSimple>
      <w:bookmarkEnd w:id="27"/>
      <w:r>
        <w:t xml:space="preserve">: </w:t>
      </w:r>
      <w:r w:rsidR="006A58A8" w:rsidRPr="006A58A8">
        <w:t>Timeline f</w:t>
      </w:r>
      <w:r>
        <w:t>or Submission PM-2017-03802-1-3</w:t>
      </w:r>
    </w:p>
    <w:tbl>
      <w:tblPr>
        <w:tblStyle w:val="TableTGAblue"/>
        <w:tblW w:w="0" w:type="auto"/>
        <w:tblLook w:val="04A0" w:firstRow="1" w:lastRow="0" w:firstColumn="1" w:lastColumn="0" w:noHBand="0" w:noVBand="1"/>
      </w:tblPr>
      <w:tblGrid>
        <w:gridCol w:w="5353"/>
        <w:gridCol w:w="2963"/>
      </w:tblGrid>
      <w:tr w:rsidR="00500337" w14:paraId="781808BE" w14:textId="77777777" w:rsidTr="00AD29FD">
        <w:trPr>
          <w:cnfStyle w:val="100000000000" w:firstRow="1" w:lastRow="0" w:firstColumn="0" w:lastColumn="0" w:oddVBand="0" w:evenVBand="0" w:oddHBand="0" w:evenHBand="0" w:firstRowFirstColumn="0" w:firstRowLastColumn="0" w:lastRowFirstColumn="0" w:lastRowLastColumn="0"/>
          <w:cantSplit/>
          <w:trHeight w:val="500"/>
        </w:trPr>
        <w:tc>
          <w:tcPr>
            <w:tcW w:w="5353" w:type="dxa"/>
          </w:tcPr>
          <w:p w14:paraId="7A3E678F" w14:textId="77777777" w:rsidR="00500337" w:rsidRDefault="00500337" w:rsidP="00500337">
            <w:pPr>
              <w:ind w:left="0" w:right="0"/>
            </w:pPr>
            <w:r>
              <w:t>Description</w:t>
            </w:r>
          </w:p>
        </w:tc>
        <w:tc>
          <w:tcPr>
            <w:tcW w:w="2963" w:type="dxa"/>
          </w:tcPr>
          <w:p w14:paraId="4717D375" w14:textId="77777777" w:rsidR="00500337" w:rsidRDefault="00500337" w:rsidP="00500337">
            <w:pPr>
              <w:ind w:left="0" w:right="0"/>
            </w:pPr>
            <w:r>
              <w:t>Date</w:t>
            </w:r>
          </w:p>
        </w:tc>
      </w:tr>
      <w:tr w:rsidR="00500337" w14:paraId="2F1D6871" w14:textId="77777777" w:rsidTr="00AD29FD">
        <w:trPr>
          <w:trHeight w:val="755"/>
        </w:trPr>
        <w:tc>
          <w:tcPr>
            <w:tcW w:w="5353" w:type="dxa"/>
          </w:tcPr>
          <w:p w14:paraId="4D1447AD" w14:textId="77777777" w:rsidR="00500337" w:rsidRDefault="00500337" w:rsidP="00500337">
            <w:pPr>
              <w:ind w:left="0" w:right="0"/>
            </w:pPr>
            <w:r>
              <w:t>Submission dossier accepted and first round evaluation commenced</w:t>
            </w:r>
          </w:p>
        </w:tc>
        <w:tc>
          <w:tcPr>
            <w:tcW w:w="2963" w:type="dxa"/>
          </w:tcPr>
          <w:p w14:paraId="1E0E8BFF" w14:textId="77777777" w:rsidR="00500337" w:rsidRDefault="00997B75" w:rsidP="00500337">
            <w:pPr>
              <w:ind w:left="0" w:right="0"/>
            </w:pPr>
            <w:r>
              <w:t>30 November 2017</w:t>
            </w:r>
          </w:p>
        </w:tc>
      </w:tr>
      <w:tr w:rsidR="00500337" w14:paraId="1D171F58" w14:textId="77777777" w:rsidTr="00AD29FD">
        <w:trPr>
          <w:trHeight w:val="500"/>
        </w:trPr>
        <w:tc>
          <w:tcPr>
            <w:tcW w:w="5353" w:type="dxa"/>
          </w:tcPr>
          <w:p w14:paraId="163C7060" w14:textId="77777777" w:rsidR="00500337" w:rsidRDefault="00500337" w:rsidP="00500337">
            <w:pPr>
              <w:ind w:left="0" w:right="0"/>
            </w:pPr>
            <w:r>
              <w:t>First round evaluation completed</w:t>
            </w:r>
          </w:p>
        </w:tc>
        <w:tc>
          <w:tcPr>
            <w:tcW w:w="2963" w:type="dxa"/>
          </w:tcPr>
          <w:p w14:paraId="27AFC4A1" w14:textId="77777777" w:rsidR="00500337" w:rsidRDefault="00997B75" w:rsidP="00500337">
            <w:pPr>
              <w:ind w:left="0" w:right="0"/>
            </w:pPr>
            <w:r>
              <w:t>2 May 2018</w:t>
            </w:r>
          </w:p>
        </w:tc>
      </w:tr>
      <w:tr w:rsidR="00500337" w14:paraId="0F701AB1" w14:textId="77777777" w:rsidTr="00AD29FD">
        <w:trPr>
          <w:trHeight w:val="766"/>
        </w:trPr>
        <w:tc>
          <w:tcPr>
            <w:tcW w:w="5353" w:type="dxa"/>
          </w:tcPr>
          <w:p w14:paraId="1B1A380E" w14:textId="77777777" w:rsidR="00500337" w:rsidRDefault="00500337" w:rsidP="00500337">
            <w:pPr>
              <w:ind w:left="0" w:right="0"/>
            </w:pPr>
            <w:r>
              <w:t>Sponsor provides responses on questions raised in first round evaluation</w:t>
            </w:r>
          </w:p>
        </w:tc>
        <w:tc>
          <w:tcPr>
            <w:tcW w:w="2963" w:type="dxa"/>
          </w:tcPr>
          <w:p w14:paraId="57E536B1" w14:textId="77777777" w:rsidR="00500337" w:rsidRDefault="00997B75" w:rsidP="00500337">
            <w:pPr>
              <w:ind w:left="0" w:right="0"/>
            </w:pPr>
            <w:r>
              <w:t>2 July 2018</w:t>
            </w:r>
          </w:p>
        </w:tc>
      </w:tr>
      <w:tr w:rsidR="00500337" w14:paraId="3228AF8F" w14:textId="77777777" w:rsidTr="00AD29FD">
        <w:trPr>
          <w:trHeight w:val="500"/>
        </w:trPr>
        <w:tc>
          <w:tcPr>
            <w:tcW w:w="5353" w:type="dxa"/>
          </w:tcPr>
          <w:p w14:paraId="5ABCAB7A" w14:textId="77777777" w:rsidR="00500337" w:rsidRDefault="00500337" w:rsidP="00500337">
            <w:pPr>
              <w:ind w:left="0" w:right="0"/>
            </w:pPr>
            <w:r>
              <w:t>Second round evaluation completed</w:t>
            </w:r>
          </w:p>
        </w:tc>
        <w:tc>
          <w:tcPr>
            <w:tcW w:w="2963" w:type="dxa"/>
          </w:tcPr>
          <w:p w14:paraId="130B437C" w14:textId="77777777" w:rsidR="00500337" w:rsidRDefault="00997B75" w:rsidP="00500337">
            <w:pPr>
              <w:ind w:left="0" w:right="0"/>
            </w:pPr>
            <w:r>
              <w:t>1 August 2018</w:t>
            </w:r>
          </w:p>
        </w:tc>
      </w:tr>
      <w:tr w:rsidR="00500337" w14:paraId="12D6149D" w14:textId="77777777" w:rsidTr="00AD29FD">
        <w:trPr>
          <w:trHeight w:val="755"/>
        </w:trPr>
        <w:tc>
          <w:tcPr>
            <w:tcW w:w="5353" w:type="dxa"/>
          </w:tcPr>
          <w:p w14:paraId="5DE3CDAD" w14:textId="77777777" w:rsidR="00500337" w:rsidRDefault="00500337" w:rsidP="00500337">
            <w:pPr>
              <w:ind w:left="0" w:right="0"/>
            </w:pPr>
            <w:r>
              <w:t>Delegate’s Overall benefit-risk assessment and request for Advisory Committee advice</w:t>
            </w:r>
          </w:p>
        </w:tc>
        <w:tc>
          <w:tcPr>
            <w:tcW w:w="2963" w:type="dxa"/>
          </w:tcPr>
          <w:p w14:paraId="07563FB1" w14:textId="77777777" w:rsidR="00500337" w:rsidRDefault="00997B75" w:rsidP="00500337">
            <w:pPr>
              <w:ind w:left="0" w:right="0"/>
            </w:pPr>
            <w:r>
              <w:t>31 August 2018</w:t>
            </w:r>
          </w:p>
        </w:tc>
      </w:tr>
      <w:tr w:rsidR="00500337" w14:paraId="1F5E1D63" w14:textId="77777777" w:rsidTr="00AD29FD">
        <w:trPr>
          <w:trHeight w:val="755"/>
        </w:trPr>
        <w:tc>
          <w:tcPr>
            <w:tcW w:w="5353" w:type="dxa"/>
          </w:tcPr>
          <w:p w14:paraId="39E17E10" w14:textId="77777777" w:rsidR="00500337" w:rsidRDefault="00500337" w:rsidP="00500337">
            <w:pPr>
              <w:ind w:left="0" w:right="0"/>
            </w:pPr>
            <w:r>
              <w:t>Sponsor’s pre-Advisory Committee response</w:t>
            </w:r>
          </w:p>
        </w:tc>
        <w:tc>
          <w:tcPr>
            <w:tcW w:w="2963" w:type="dxa"/>
          </w:tcPr>
          <w:p w14:paraId="1AADFA0A" w14:textId="77777777" w:rsidR="00500337" w:rsidRDefault="00997B75" w:rsidP="00500337">
            <w:pPr>
              <w:ind w:left="0" w:right="0"/>
            </w:pPr>
            <w:r>
              <w:t>18 September 2018</w:t>
            </w:r>
          </w:p>
        </w:tc>
      </w:tr>
      <w:tr w:rsidR="00500337" w14:paraId="19AAB6EC" w14:textId="77777777" w:rsidTr="00AD29FD">
        <w:trPr>
          <w:trHeight w:val="500"/>
        </w:trPr>
        <w:tc>
          <w:tcPr>
            <w:tcW w:w="5353" w:type="dxa"/>
          </w:tcPr>
          <w:p w14:paraId="789A2AF0" w14:textId="77777777" w:rsidR="00500337" w:rsidRDefault="00500337" w:rsidP="00500337">
            <w:pPr>
              <w:ind w:left="0" w:right="0"/>
            </w:pPr>
            <w:r>
              <w:t>Advisory Committee meeting</w:t>
            </w:r>
          </w:p>
        </w:tc>
        <w:tc>
          <w:tcPr>
            <w:tcW w:w="2963" w:type="dxa"/>
          </w:tcPr>
          <w:p w14:paraId="4D6E406F" w14:textId="77777777" w:rsidR="00500337" w:rsidRDefault="005D4FE2" w:rsidP="00500337">
            <w:pPr>
              <w:ind w:left="0" w:right="0"/>
            </w:pPr>
            <w:r>
              <w:t>4 October 2018</w:t>
            </w:r>
          </w:p>
        </w:tc>
      </w:tr>
      <w:tr w:rsidR="00500337" w14:paraId="6143CA3A" w14:textId="77777777" w:rsidTr="00AD29FD">
        <w:trPr>
          <w:trHeight w:val="500"/>
        </w:trPr>
        <w:tc>
          <w:tcPr>
            <w:tcW w:w="5353" w:type="dxa"/>
          </w:tcPr>
          <w:p w14:paraId="453831FC" w14:textId="77777777" w:rsidR="00500337" w:rsidRDefault="00500337" w:rsidP="00500337">
            <w:pPr>
              <w:ind w:left="0" w:right="0"/>
            </w:pPr>
            <w:r>
              <w:t>Registration decision (Outcome)</w:t>
            </w:r>
          </w:p>
        </w:tc>
        <w:tc>
          <w:tcPr>
            <w:tcW w:w="2963" w:type="dxa"/>
          </w:tcPr>
          <w:p w14:paraId="17E25782" w14:textId="77777777" w:rsidR="00500337" w:rsidRDefault="00997B75" w:rsidP="00500337">
            <w:pPr>
              <w:ind w:left="0" w:right="0"/>
            </w:pPr>
            <w:r>
              <w:t>8 November 2018</w:t>
            </w:r>
          </w:p>
        </w:tc>
      </w:tr>
      <w:tr w:rsidR="00500337" w14:paraId="7886FD88" w14:textId="77777777" w:rsidTr="00AD29FD">
        <w:trPr>
          <w:trHeight w:val="766"/>
        </w:trPr>
        <w:tc>
          <w:tcPr>
            <w:tcW w:w="5353" w:type="dxa"/>
          </w:tcPr>
          <w:p w14:paraId="00B1EF29" w14:textId="77777777" w:rsidR="00500337" w:rsidRDefault="00500337" w:rsidP="00500337">
            <w:pPr>
              <w:ind w:left="0" w:right="0"/>
            </w:pPr>
            <w:r>
              <w:t>Completion of administrative activities and registration on ARTG</w:t>
            </w:r>
          </w:p>
        </w:tc>
        <w:tc>
          <w:tcPr>
            <w:tcW w:w="2963" w:type="dxa"/>
          </w:tcPr>
          <w:p w14:paraId="4530B470" w14:textId="77777777" w:rsidR="00500337" w:rsidRDefault="005D4FE2" w:rsidP="00500337">
            <w:pPr>
              <w:ind w:left="0" w:right="0"/>
            </w:pPr>
            <w:r>
              <w:t>13 November 2018</w:t>
            </w:r>
          </w:p>
        </w:tc>
      </w:tr>
      <w:tr w:rsidR="00500337" w14:paraId="3F81651F" w14:textId="77777777" w:rsidTr="00AD29FD">
        <w:trPr>
          <w:trHeight w:val="766"/>
        </w:trPr>
        <w:tc>
          <w:tcPr>
            <w:tcW w:w="5353" w:type="dxa"/>
          </w:tcPr>
          <w:p w14:paraId="6DB955B2" w14:textId="77777777" w:rsidR="00500337" w:rsidRDefault="00500337" w:rsidP="00500337">
            <w:pPr>
              <w:ind w:left="0" w:right="0"/>
            </w:pPr>
            <w:r>
              <w:t>Number of working days from submission dossier acceptance to registration decision*</w:t>
            </w:r>
          </w:p>
        </w:tc>
        <w:tc>
          <w:tcPr>
            <w:tcW w:w="2963" w:type="dxa"/>
          </w:tcPr>
          <w:p w14:paraId="7A198146" w14:textId="77777777" w:rsidR="00500337" w:rsidRDefault="005D4FE2" w:rsidP="00500337">
            <w:pPr>
              <w:ind w:left="0" w:right="0"/>
            </w:pPr>
            <w:r>
              <w:t>193</w:t>
            </w:r>
          </w:p>
        </w:tc>
      </w:tr>
    </w:tbl>
    <w:p w14:paraId="6211387E"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49B118A2" w14:textId="77777777" w:rsidR="00500337" w:rsidRDefault="00500337" w:rsidP="00500337">
      <w:r>
        <w:t>Evaluations included under Quality findings and Nonclinical findings incorporate both the firs</w:t>
      </w:r>
      <w:r w:rsidR="001908D6">
        <w:t>t and second round evaluations.</w:t>
      </w:r>
    </w:p>
    <w:p w14:paraId="2A0AD70B" w14:textId="77777777" w:rsidR="008E7846" w:rsidRPr="003602A9" w:rsidRDefault="00500337" w:rsidP="008E7846">
      <w:pPr>
        <w:pStyle w:val="Heading2"/>
        <w:ind w:left="-11"/>
      </w:pPr>
      <w:bookmarkStart w:id="28" w:name="_Toc22048605"/>
      <w:r>
        <w:t>I</w:t>
      </w:r>
      <w:r w:rsidR="008E7846">
        <w:t>II. Quality</w:t>
      </w:r>
      <w:bookmarkEnd w:id="1"/>
      <w:r w:rsidR="008E7846">
        <w:t xml:space="preserve"> findings</w:t>
      </w:r>
      <w:bookmarkEnd w:id="23"/>
      <w:bookmarkEnd w:id="24"/>
      <w:bookmarkEnd w:id="28"/>
    </w:p>
    <w:p w14:paraId="7CE892D0" w14:textId="77777777" w:rsidR="00940A89" w:rsidRPr="00940A89" w:rsidRDefault="00940A89" w:rsidP="00940A89">
      <w:bookmarkStart w:id="29" w:name="_Toc247691507"/>
      <w:bookmarkStart w:id="30" w:name="_Toc314842488"/>
      <w:r w:rsidRPr="00940A89">
        <w:t>There was no requirement for a quality evaluation in a submission of this type.</w:t>
      </w:r>
    </w:p>
    <w:p w14:paraId="01554342" w14:textId="77777777" w:rsidR="008E7846" w:rsidRDefault="008E7846" w:rsidP="008E7846">
      <w:pPr>
        <w:pStyle w:val="Heading2"/>
      </w:pPr>
      <w:bookmarkStart w:id="31" w:name="_Toc196046439"/>
      <w:bookmarkStart w:id="32" w:name="_Toc247691510"/>
      <w:bookmarkStart w:id="33" w:name="_Toc314842494"/>
      <w:bookmarkStart w:id="34" w:name="_Toc22048606"/>
      <w:bookmarkEnd w:id="29"/>
      <w:bookmarkEnd w:id="30"/>
      <w:r>
        <w:t>I</w:t>
      </w:r>
      <w:r w:rsidR="00500337">
        <w:t>V</w:t>
      </w:r>
      <w:r>
        <w:t>. Nonclinical</w:t>
      </w:r>
      <w:bookmarkEnd w:id="31"/>
      <w:r>
        <w:t xml:space="preserve"> findings</w:t>
      </w:r>
      <w:bookmarkEnd w:id="32"/>
      <w:bookmarkEnd w:id="33"/>
      <w:bookmarkEnd w:id="34"/>
    </w:p>
    <w:p w14:paraId="3F01DAAC" w14:textId="77777777" w:rsidR="008E7846" w:rsidRDefault="008E7846" w:rsidP="00940A89">
      <w:pPr>
        <w:pStyle w:val="Heading3"/>
      </w:pPr>
      <w:bookmarkStart w:id="35" w:name="_Toc247691511"/>
      <w:bookmarkStart w:id="36" w:name="_Toc314842495"/>
      <w:bookmarkStart w:id="37" w:name="_Toc22048607"/>
      <w:r>
        <w:t>Introduction</w:t>
      </w:r>
      <w:bookmarkEnd w:id="35"/>
      <w:bookmarkEnd w:id="36"/>
      <w:bookmarkEnd w:id="37"/>
    </w:p>
    <w:p w14:paraId="452ECBF5" w14:textId="77777777" w:rsidR="00082C7C" w:rsidRPr="004A22BA" w:rsidRDefault="00AD29FD" w:rsidP="00082C7C">
      <w:r>
        <w:t>The sponsor</w:t>
      </w:r>
      <w:r w:rsidR="00082C7C" w:rsidRPr="004A22BA">
        <w:t xml:space="preserve"> has applied </w:t>
      </w:r>
      <w:r w:rsidR="00082C7C">
        <w:t>for an extension of indications for</w:t>
      </w:r>
      <w:r w:rsidR="00082C7C" w:rsidRPr="004A22BA">
        <w:t xml:space="preserve"> </w:t>
      </w:r>
      <w:r w:rsidR="00082C7C">
        <w:t>X</w:t>
      </w:r>
      <w:r w:rsidR="00082C7C" w:rsidRPr="00082C7C">
        <w:t>eljanz</w:t>
      </w:r>
      <w:r w:rsidR="00082C7C" w:rsidRPr="004A22BA">
        <w:t xml:space="preserve">, an oral formulation of </w:t>
      </w:r>
      <w:proofErr w:type="spellStart"/>
      <w:r w:rsidR="00082C7C" w:rsidRPr="004A22BA">
        <w:t>tofacitinib</w:t>
      </w:r>
      <w:proofErr w:type="spellEnd"/>
      <w:r w:rsidR="00082C7C" w:rsidRPr="004A22BA">
        <w:t xml:space="preserve"> (as citrate). Tofacitinib is currently registered under the name </w:t>
      </w:r>
      <w:r w:rsidR="00082C7C">
        <w:t>X</w:t>
      </w:r>
      <w:r w:rsidR="00082C7C" w:rsidRPr="00082C7C">
        <w:t>eljanz</w:t>
      </w:r>
      <w:r w:rsidR="00082C7C" w:rsidRPr="004A22BA">
        <w:t xml:space="preserve">, as a treatment for moderate to severe active rheumatoid arthritis in adults who have had an inadequate response or are intolerant to methotrexate. The current dose regimen is 5 mg twice daily as monotherapy or in combination with methotrexate </w:t>
      </w:r>
      <w:r w:rsidR="00082C7C">
        <w:t>or other non</w:t>
      </w:r>
      <w:r w:rsidR="008320E6">
        <w:t>-</w:t>
      </w:r>
      <w:r w:rsidR="00082C7C">
        <w:t>biological DMARDs. X</w:t>
      </w:r>
      <w:r w:rsidR="00082C7C" w:rsidRPr="00082C7C">
        <w:t>eljanz</w:t>
      </w:r>
      <w:r w:rsidR="00082C7C" w:rsidRPr="004A22BA">
        <w:t xml:space="preserve"> treatment should be interrupted if a patient develops a serious infection until the infection is controlled. </w:t>
      </w:r>
      <w:r w:rsidR="00082C7C">
        <w:t>X</w:t>
      </w:r>
      <w:r w:rsidR="00082C7C" w:rsidRPr="00082C7C">
        <w:t>eljanz</w:t>
      </w:r>
      <w:r w:rsidR="00082C7C" w:rsidRPr="004A22BA">
        <w:t xml:space="preserve"> is given orally with or without food.</w:t>
      </w:r>
    </w:p>
    <w:p w14:paraId="2F534248" w14:textId="77777777" w:rsidR="00082C7C" w:rsidRPr="004A22BA" w:rsidRDefault="00082C7C" w:rsidP="00082C7C">
      <w:r w:rsidRPr="004A22BA">
        <w:t xml:space="preserve">The new indication </w:t>
      </w:r>
      <w:r>
        <w:t>is</w:t>
      </w:r>
      <w:r w:rsidRPr="004A22BA">
        <w:t xml:space="preserve"> the treatment of active psoriatic arthritis in adult patients who have had inadequate response or who have been intolerant to a prior DMARD therapy.</w:t>
      </w:r>
    </w:p>
    <w:p w14:paraId="28229A8D" w14:textId="77777777" w:rsidR="004334C7" w:rsidRDefault="00082C7C" w:rsidP="00082C7C">
      <w:r>
        <w:lastRenderedPageBreak/>
        <w:t>No change to the formulation has been proposed with this submission.</w:t>
      </w:r>
    </w:p>
    <w:p w14:paraId="528FD742" w14:textId="77777777" w:rsidR="00082C7C" w:rsidRDefault="00082C7C" w:rsidP="00082C7C">
      <w:r>
        <w:t>Xeljanz</w:t>
      </w:r>
      <w:r w:rsidRPr="00B06651">
        <w:t xml:space="preserve"> is proposed to be used for the treatment of active </w:t>
      </w:r>
      <w:r>
        <w:t xml:space="preserve">psoriatic arthritis in adult patients who have had inadequate response or who have been intolerant to a prior </w:t>
      </w:r>
      <w:r w:rsidR="00110AA9">
        <w:t>DMARD</w:t>
      </w:r>
      <w:r>
        <w:t xml:space="preserve"> therapy.</w:t>
      </w:r>
    </w:p>
    <w:p w14:paraId="7341D61E" w14:textId="77777777" w:rsidR="00082C7C" w:rsidRPr="008320E6" w:rsidRDefault="00082C7C" w:rsidP="00082C7C">
      <w:r>
        <w:t>The proposed standard recommended dosage is 5 mg twice daily used in combination with conventional synthetic disease modifying anti-rheumatic drug.</w:t>
      </w:r>
    </w:p>
    <w:p w14:paraId="3FC02041" w14:textId="77777777" w:rsidR="008E7846" w:rsidRPr="008320E6" w:rsidRDefault="008E7846" w:rsidP="008E7846">
      <w:pPr>
        <w:pStyle w:val="Heading3"/>
      </w:pPr>
      <w:bookmarkStart w:id="38" w:name="_Toc247691512"/>
      <w:bookmarkStart w:id="39" w:name="_Toc314842496"/>
      <w:bookmarkStart w:id="40" w:name="_Toc22048608"/>
      <w:r w:rsidRPr="008320E6">
        <w:t>Pharmacology</w:t>
      </w:r>
      <w:bookmarkEnd w:id="38"/>
      <w:bookmarkEnd w:id="39"/>
      <w:bookmarkEnd w:id="40"/>
    </w:p>
    <w:p w14:paraId="48A2320F" w14:textId="77777777" w:rsidR="00082C7C" w:rsidRPr="008320E6" w:rsidRDefault="00082C7C" w:rsidP="00082C7C">
      <w:pPr>
        <w:pStyle w:val="Heading4"/>
      </w:pPr>
      <w:bookmarkStart w:id="41" w:name="_Toc499628938"/>
      <w:r w:rsidRPr="008320E6">
        <w:rPr>
          <w:i/>
        </w:rPr>
        <w:t>In vitro</w:t>
      </w:r>
      <w:r w:rsidRPr="008320E6">
        <w:t xml:space="preserve"> studies</w:t>
      </w:r>
      <w:bookmarkEnd w:id="41"/>
    </w:p>
    <w:p w14:paraId="11673821" w14:textId="77777777" w:rsidR="00075298" w:rsidRDefault="008320E6" w:rsidP="00075298">
      <w:pPr>
        <w:pStyle w:val="Heading5"/>
      </w:pPr>
      <w:r>
        <w:t>Study</w:t>
      </w:r>
      <w:r w:rsidR="00075298">
        <w:t xml:space="preserve"> </w:t>
      </w:r>
      <w:r w:rsidR="00075298" w:rsidRPr="00432AA8">
        <w:t>CP-690550_17Dec12_140707</w:t>
      </w:r>
    </w:p>
    <w:p w14:paraId="3FE0F2D3" w14:textId="77777777" w:rsidR="00075298" w:rsidRPr="00075298" w:rsidRDefault="00075298" w:rsidP="00075298">
      <w:pPr>
        <w:pStyle w:val="Heading6"/>
      </w:pPr>
      <w:r w:rsidRPr="00075298">
        <w:t>Study details</w:t>
      </w:r>
    </w:p>
    <w:p w14:paraId="33D06245" w14:textId="3B92635C" w:rsidR="00075298" w:rsidRDefault="00075298" w:rsidP="008A094A">
      <w:r w:rsidRPr="00075298">
        <w:rPr>
          <w:i/>
        </w:rPr>
        <w:t>In vitro</w:t>
      </w:r>
      <w:r>
        <w:t xml:space="preserve"> activity of CP-690550;</w:t>
      </w:r>
      <w:r w:rsidR="00197578">
        <w:rPr>
          <w:rStyle w:val="FootnoteReference"/>
        </w:rPr>
        <w:footnoteReference w:id="1"/>
      </w:r>
      <w:r>
        <w:t xml:space="preserve"> effects on cytokine-dependent </w:t>
      </w:r>
      <w:r w:rsidR="008A094A">
        <w:t>signal transducer and activator of transcription (</w:t>
      </w:r>
      <w:r>
        <w:t>STAT</w:t>
      </w:r>
      <w:r w:rsidR="008A094A">
        <w:t>)</w:t>
      </w:r>
      <w:r>
        <w:t xml:space="preserve"> phosphorylation with leukocyte populations in human whole blood</w:t>
      </w:r>
      <w:r w:rsidR="00197578">
        <w:t>; dated</w:t>
      </w:r>
      <w:r>
        <w:t>17 December 2012.</w:t>
      </w:r>
    </w:p>
    <w:p w14:paraId="5C56ADD5" w14:textId="77777777" w:rsidR="00075298" w:rsidRPr="00075298" w:rsidRDefault="00075298" w:rsidP="00075298">
      <w:pPr>
        <w:pStyle w:val="ListBullet"/>
      </w:pPr>
      <w:r w:rsidRPr="00075298">
        <w:t xml:space="preserve">Cells: human whole blood, human bone marrow </w:t>
      </w:r>
      <w:r w:rsidR="008A094A">
        <w:t>cluster of differentiation 34 positive (</w:t>
      </w:r>
      <w:r w:rsidRPr="00075298">
        <w:t>CD34+</w:t>
      </w:r>
      <w:r w:rsidR="008A094A">
        <w:t>)</w:t>
      </w:r>
      <w:r>
        <w:t>.</w:t>
      </w:r>
    </w:p>
    <w:p w14:paraId="0457AA23" w14:textId="77777777" w:rsidR="00075298" w:rsidRPr="00075298" w:rsidRDefault="00075298" w:rsidP="00075298">
      <w:pPr>
        <w:pStyle w:val="ListBullet"/>
      </w:pPr>
      <w:r w:rsidRPr="00075298">
        <w:t>Test item: CP-690550 (</w:t>
      </w:r>
      <w:proofErr w:type="spellStart"/>
      <w:r w:rsidRPr="00075298">
        <w:t>tofacitinib</w:t>
      </w:r>
      <w:proofErr w:type="spellEnd"/>
      <w:r w:rsidRPr="00075298">
        <w:t>)</w:t>
      </w:r>
      <w:r>
        <w:t>.</w:t>
      </w:r>
    </w:p>
    <w:p w14:paraId="3226A774" w14:textId="77777777" w:rsidR="00075298" w:rsidRPr="00075298" w:rsidRDefault="00075298" w:rsidP="00075298">
      <w:pPr>
        <w:pStyle w:val="ListBullet"/>
      </w:pPr>
      <w:r w:rsidRPr="00075298">
        <w:t>Cytokines: IL-12, IL-23, IL 27 and erythropoietin</w:t>
      </w:r>
      <w:r w:rsidR="008A094A">
        <w:t xml:space="preserve"> (EPO)</w:t>
      </w:r>
      <w:r>
        <w:t>.</w:t>
      </w:r>
    </w:p>
    <w:p w14:paraId="0FF2E376" w14:textId="77777777" w:rsidR="00075298" w:rsidRDefault="00075298" w:rsidP="00075298">
      <w:pPr>
        <w:pStyle w:val="ListBullet"/>
      </w:pPr>
      <w:r w:rsidRPr="00075298">
        <w:t xml:space="preserve">Flow cytometry: IL-12, IL 23 and IL-27 stimulation of lymphocyte population was gated for </w:t>
      </w:r>
      <w:proofErr w:type="spellStart"/>
      <w:r w:rsidRPr="00075298">
        <w:t>pSTATs</w:t>
      </w:r>
      <w:proofErr w:type="spellEnd"/>
      <w:r w:rsidRPr="00075298">
        <w:t xml:space="preserve">; EPO stimulation of entire populations were gated for </w:t>
      </w:r>
      <w:r w:rsidR="008A094A">
        <w:t>phosphorylated STAT5 (</w:t>
      </w:r>
      <w:r w:rsidRPr="00075298">
        <w:t>pSTAT5</w:t>
      </w:r>
      <w:r w:rsidR="008A094A">
        <w:t>)</w:t>
      </w:r>
      <w:r w:rsidRPr="00075298">
        <w:t>.</w:t>
      </w:r>
    </w:p>
    <w:p w14:paraId="740CE2EE" w14:textId="77777777" w:rsidR="00075298" w:rsidRDefault="00075298" w:rsidP="00B02FFF">
      <w:pPr>
        <w:pStyle w:val="Heading6"/>
      </w:pPr>
      <w:r>
        <w:t>Results</w:t>
      </w:r>
    </w:p>
    <w:p w14:paraId="2D6AC617" w14:textId="77777777" w:rsidR="00075298" w:rsidRDefault="00075298" w:rsidP="00075298">
      <w:pPr>
        <w:pStyle w:val="ListBullet"/>
      </w:pPr>
      <w:r>
        <w:t xml:space="preserve">In lymphocytes from human whole blood, </w:t>
      </w:r>
      <w:proofErr w:type="spellStart"/>
      <w:r>
        <w:t>tofacitinib</w:t>
      </w:r>
      <w:proofErr w:type="spellEnd"/>
      <w:r>
        <w:t xml:space="preserve"> inhibited phosphorylation of</w:t>
      </w:r>
      <w:r w:rsidR="008320E6">
        <w:t>:</w:t>
      </w:r>
    </w:p>
    <w:p w14:paraId="743E1D1F" w14:textId="77777777" w:rsidR="00075298" w:rsidRDefault="00075298" w:rsidP="00C636D8">
      <w:pPr>
        <w:pStyle w:val="ListBullet2"/>
      </w:pPr>
      <w:r>
        <w:t>STAT3 induced by IL-23 (JAK2/</w:t>
      </w:r>
      <w:r w:rsidR="008A094A">
        <w:t>tyrosine kinase 2 (</w:t>
      </w:r>
      <w:r>
        <w:t>TYK2</w:t>
      </w:r>
      <w:r w:rsidR="008A094A">
        <w:t>)</w:t>
      </w:r>
      <w:r>
        <w:t>-dependent) a</w:t>
      </w:r>
      <w:r w:rsidR="00C636D8">
        <w:t xml:space="preserve">nd IL-27 (JAK1/JAK2-dependent; </w:t>
      </w:r>
      <w:r>
        <w:t xml:space="preserve">see </w:t>
      </w:r>
      <w:r w:rsidR="00C636D8" w:rsidRPr="00C636D8">
        <w:t xml:space="preserve">half maximal inhibitory concentration </w:t>
      </w:r>
      <w:r w:rsidR="00C636D8">
        <w:t>(</w:t>
      </w:r>
      <w:r>
        <w:t>IC</w:t>
      </w:r>
      <w:r w:rsidRPr="00FF2B8D">
        <w:rPr>
          <w:vertAlign w:val="subscript"/>
        </w:rPr>
        <w:t>50</w:t>
      </w:r>
      <w:r w:rsidR="00C636D8">
        <w:t>)</w:t>
      </w:r>
      <w:r>
        <w:t xml:space="preserve"> in</w:t>
      </w:r>
      <w:r w:rsidR="00C636D8">
        <w:t xml:space="preserve"> </w:t>
      </w:r>
      <w:r w:rsidR="00C636D8">
        <w:fldChar w:fldCharType="begin"/>
      </w:r>
      <w:r w:rsidR="00C636D8">
        <w:instrText xml:space="preserve"> REF _Ref16523485 \h </w:instrText>
      </w:r>
      <w:r w:rsidR="00C636D8">
        <w:fldChar w:fldCharType="separate"/>
      </w:r>
      <w:r w:rsidR="00C636D8">
        <w:t xml:space="preserve">Table </w:t>
      </w:r>
      <w:r w:rsidR="00C636D8">
        <w:rPr>
          <w:noProof/>
        </w:rPr>
        <w:t>3</w:t>
      </w:r>
      <w:r w:rsidR="00C636D8">
        <w:fldChar w:fldCharType="end"/>
      </w:r>
      <w:r>
        <w:t>).</w:t>
      </w:r>
    </w:p>
    <w:p w14:paraId="0DF01405" w14:textId="77777777" w:rsidR="00075298" w:rsidRDefault="00075298" w:rsidP="00075298">
      <w:pPr>
        <w:pStyle w:val="ListBullet2"/>
      </w:pPr>
      <w:r>
        <w:t>STAT4 induced by IL 12 (JAK2/TYK2-dependent) (see IC</w:t>
      </w:r>
      <w:r w:rsidRPr="00FF2B8D">
        <w:rPr>
          <w:vertAlign w:val="subscript"/>
        </w:rPr>
        <w:t>50</w:t>
      </w:r>
      <w:r w:rsidR="008A094A">
        <w:t xml:space="preserve"> in </w:t>
      </w:r>
      <w:r w:rsidR="008A094A">
        <w:fldChar w:fldCharType="begin"/>
      </w:r>
      <w:r w:rsidR="008A094A">
        <w:instrText xml:space="preserve"> REF _Ref16523485 \h </w:instrText>
      </w:r>
      <w:r w:rsidR="008A094A">
        <w:fldChar w:fldCharType="separate"/>
      </w:r>
      <w:r w:rsidR="008A094A">
        <w:t xml:space="preserve">Table </w:t>
      </w:r>
      <w:r w:rsidR="008A094A">
        <w:rPr>
          <w:noProof/>
        </w:rPr>
        <w:t>3</w:t>
      </w:r>
      <w:r w:rsidR="008A094A">
        <w:fldChar w:fldCharType="end"/>
      </w:r>
      <w:r>
        <w:t>).</w:t>
      </w:r>
    </w:p>
    <w:p w14:paraId="4E3CAAB4" w14:textId="1354F285" w:rsidR="008320E6" w:rsidRDefault="008320E6" w:rsidP="008320E6">
      <w:pPr>
        <w:pStyle w:val="TableTitle"/>
      </w:pPr>
      <w:bookmarkStart w:id="42" w:name="_Ref16523485"/>
      <w:r>
        <w:t xml:space="preserve">Table </w:t>
      </w:r>
      <w:fldSimple w:instr=" SEQ Table \* ARABIC ">
        <w:r w:rsidR="0061158C">
          <w:rPr>
            <w:noProof/>
          </w:rPr>
          <w:t>3</w:t>
        </w:r>
      </w:fldSimple>
      <w:bookmarkEnd w:id="42"/>
      <w:r>
        <w:t xml:space="preserve">: Study </w:t>
      </w:r>
      <w:r w:rsidRPr="00432AA8">
        <w:t>CP-690550_17Dec12_140707</w:t>
      </w:r>
      <w:r>
        <w:t xml:space="preserve"> Inhibitory activity of CP-690550 in human whole blood</w:t>
      </w:r>
    </w:p>
    <w:p w14:paraId="086D9FA6" w14:textId="77777777" w:rsidR="00075298" w:rsidRDefault="00075298" w:rsidP="00075298">
      <w:r>
        <w:rPr>
          <w:noProof/>
          <w:lang w:eastAsia="en-AU"/>
        </w:rPr>
        <w:drawing>
          <wp:inline distT="0" distB="0" distL="0" distR="0" wp14:anchorId="3D466715" wp14:editId="50ED65E6">
            <wp:extent cx="4085704" cy="2003058"/>
            <wp:effectExtent l="0" t="0" r="0" b="0"/>
            <wp:docPr id="3" name="Picture 3" descr="Study CP-690550_17Dec12_140707: Inhibitory activity of CP-690550 in human whole blo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6777" cy="2018292"/>
                    </a:xfrm>
                    <a:prstGeom prst="rect">
                      <a:avLst/>
                    </a:prstGeom>
                    <a:noFill/>
                    <a:ln>
                      <a:noFill/>
                    </a:ln>
                  </pic:spPr>
                </pic:pic>
              </a:graphicData>
            </a:graphic>
          </wp:inline>
        </w:drawing>
      </w:r>
    </w:p>
    <w:p w14:paraId="70925820" w14:textId="06FBBCA8" w:rsidR="00075298" w:rsidRDefault="00075298" w:rsidP="00075298">
      <w:pPr>
        <w:pStyle w:val="ListBullet"/>
      </w:pPr>
      <w:r>
        <w:lastRenderedPageBreak/>
        <w:t>Tofacitinib inhibited erythropoietin-induced STAT5 phosphorylation (JAK2/JAK2 dependent) (see</w:t>
      </w:r>
      <w:r w:rsidR="00197578">
        <w:t xml:space="preserve"> half maximal inhibitory concentration</w:t>
      </w:r>
      <w:r>
        <w:t xml:space="preserve"> </w:t>
      </w:r>
      <w:r w:rsidR="00197578">
        <w:t>(</w:t>
      </w:r>
      <w:r>
        <w:t>IC</w:t>
      </w:r>
      <w:r w:rsidRPr="008A094A">
        <w:rPr>
          <w:vertAlign w:val="subscript"/>
        </w:rPr>
        <w:t>50</w:t>
      </w:r>
      <w:r w:rsidR="00197578">
        <w:t xml:space="preserve">) data </w:t>
      </w:r>
      <w:r w:rsidR="008A094A">
        <w:t xml:space="preserve">in </w:t>
      </w:r>
      <w:r w:rsidR="008A094A">
        <w:fldChar w:fldCharType="begin"/>
      </w:r>
      <w:r w:rsidR="008A094A">
        <w:instrText xml:space="preserve"> REF _Ref16523485 \h </w:instrText>
      </w:r>
      <w:r w:rsidR="008A094A">
        <w:fldChar w:fldCharType="separate"/>
      </w:r>
      <w:r w:rsidR="008A094A">
        <w:t xml:space="preserve">Table </w:t>
      </w:r>
      <w:r w:rsidR="008A094A">
        <w:rPr>
          <w:noProof/>
        </w:rPr>
        <w:t>3</w:t>
      </w:r>
      <w:r w:rsidR="008A094A">
        <w:fldChar w:fldCharType="end"/>
      </w:r>
      <w:r>
        <w:t>).</w:t>
      </w:r>
    </w:p>
    <w:p w14:paraId="394BC600" w14:textId="77777777" w:rsidR="00075298" w:rsidRDefault="008320E6" w:rsidP="00797316">
      <w:pPr>
        <w:pStyle w:val="Heading5"/>
      </w:pPr>
      <w:r>
        <w:t xml:space="preserve">Study </w:t>
      </w:r>
      <w:r w:rsidR="00797316">
        <w:t>CP-690550_17Dec12_140806</w:t>
      </w:r>
    </w:p>
    <w:p w14:paraId="2AF7C9F0" w14:textId="77777777" w:rsidR="00797316" w:rsidRDefault="00797316" w:rsidP="00797316">
      <w:pPr>
        <w:pStyle w:val="Heading6"/>
      </w:pPr>
      <w:r w:rsidRPr="00075298">
        <w:t>Study details</w:t>
      </w:r>
    </w:p>
    <w:p w14:paraId="7F0AD127" w14:textId="36D13AC2" w:rsidR="00797316" w:rsidRDefault="00797316" w:rsidP="008A094A">
      <w:r w:rsidRPr="00DE118A">
        <w:rPr>
          <w:i/>
        </w:rPr>
        <w:t>In vitro</w:t>
      </w:r>
      <w:r>
        <w:t xml:space="preserve"> activity of CP-690550</w:t>
      </w:r>
      <w:r w:rsidR="00197578">
        <w:t xml:space="preserve">; </w:t>
      </w:r>
      <w:r>
        <w:t xml:space="preserve">effects on cytokine-dependent STAT phosphorylation with leukocyte populations in human peripheral blood mononuclear cells. </w:t>
      </w:r>
      <w:r w:rsidR="00197578">
        <w:t>Dated:</w:t>
      </w:r>
      <w:r w:rsidR="00F04F3B">
        <w:t xml:space="preserve"> </w:t>
      </w:r>
      <w:r>
        <w:t>17</w:t>
      </w:r>
      <w:r w:rsidR="00F04F3B">
        <w:t xml:space="preserve"> </w:t>
      </w:r>
      <w:r>
        <w:t>December 2012.</w:t>
      </w:r>
    </w:p>
    <w:p w14:paraId="5D06C49F" w14:textId="77777777" w:rsidR="00797316" w:rsidRDefault="00797316" w:rsidP="00797316">
      <w:pPr>
        <w:pStyle w:val="ListBullet"/>
      </w:pPr>
      <w:r>
        <w:t>Cells: human peripheral blood mononuclear cells and bone marrow CD34+.</w:t>
      </w:r>
    </w:p>
    <w:p w14:paraId="67B1E08D" w14:textId="77777777" w:rsidR="00797316" w:rsidRDefault="00797316" w:rsidP="00797316">
      <w:pPr>
        <w:pStyle w:val="ListBullet"/>
      </w:pPr>
      <w:r>
        <w:t>Test item: CP-690550 (</w:t>
      </w:r>
      <w:proofErr w:type="spellStart"/>
      <w:r>
        <w:t>tofacitinib</w:t>
      </w:r>
      <w:proofErr w:type="spellEnd"/>
      <w:r>
        <w:t>).</w:t>
      </w:r>
    </w:p>
    <w:p w14:paraId="2E00646E" w14:textId="77777777" w:rsidR="00797316" w:rsidRDefault="00797316" w:rsidP="00797316">
      <w:pPr>
        <w:pStyle w:val="ListBullet"/>
      </w:pPr>
      <w:r>
        <w:t>Cytokines: IL-10, IL-15, IL 2, IL 21, IL-23 and erythropoietin.</w:t>
      </w:r>
    </w:p>
    <w:p w14:paraId="60199651" w14:textId="77777777" w:rsidR="00797316" w:rsidRDefault="00797316" w:rsidP="00797316">
      <w:pPr>
        <w:pStyle w:val="ListBullet"/>
      </w:pPr>
      <w:r>
        <w:t>Flow cytometry: IL-2, IL 10, IL-15, IL-21 and IL-23 stimulation of lymphocyte population was gated for pSTAT3 or pSTAT5; EPO stimulation of entire populations were gated for pSTAT5.</w:t>
      </w:r>
    </w:p>
    <w:p w14:paraId="50A890C5" w14:textId="77777777" w:rsidR="00797316" w:rsidRDefault="00797316" w:rsidP="00797316">
      <w:pPr>
        <w:pStyle w:val="Heading6"/>
      </w:pPr>
      <w:r>
        <w:t>Results</w:t>
      </w:r>
    </w:p>
    <w:p w14:paraId="6DC6AC42" w14:textId="77777777" w:rsidR="00797316" w:rsidRDefault="00797316" w:rsidP="00797316">
      <w:pPr>
        <w:pStyle w:val="ListBullet"/>
      </w:pPr>
      <w:r>
        <w:t xml:space="preserve">In lymphocytes from peripheral blood mononuclear cells, </w:t>
      </w:r>
      <w:proofErr w:type="spellStart"/>
      <w:r>
        <w:t>tofacitinib</w:t>
      </w:r>
      <w:proofErr w:type="spellEnd"/>
      <w:r>
        <w:t xml:space="preserve"> inhibited phosphorylation of:</w:t>
      </w:r>
    </w:p>
    <w:p w14:paraId="79CB3FE2" w14:textId="4C16354D" w:rsidR="00797316" w:rsidRDefault="00797316" w:rsidP="00797316">
      <w:pPr>
        <w:pStyle w:val="ListBullet2"/>
      </w:pPr>
      <w:r>
        <w:t>STAT3 induced by IL-10 (JAK1/TYK2-dependent), IL-21 (JAK1/JAK3-dependent) and IL-23 (JAK2/TYK2) (see IC</w:t>
      </w:r>
      <w:r w:rsidRPr="008A094A">
        <w:rPr>
          <w:vertAlign w:val="subscript"/>
        </w:rPr>
        <w:t>50</w:t>
      </w:r>
      <w:r w:rsidR="00197578">
        <w:t xml:space="preserve"> data</w:t>
      </w:r>
      <w:r w:rsidR="00BD60C9">
        <w:t xml:space="preserve"> in </w:t>
      </w:r>
      <w:r w:rsidR="00BD60C9">
        <w:fldChar w:fldCharType="begin"/>
      </w:r>
      <w:r w:rsidR="00BD60C9">
        <w:instrText xml:space="preserve"> REF _Ref16523668 \h </w:instrText>
      </w:r>
      <w:r w:rsidR="00BD60C9">
        <w:fldChar w:fldCharType="separate"/>
      </w:r>
      <w:r w:rsidR="00BD60C9">
        <w:t xml:space="preserve">Table </w:t>
      </w:r>
      <w:r w:rsidR="00BD60C9">
        <w:rPr>
          <w:noProof/>
        </w:rPr>
        <w:t>4</w:t>
      </w:r>
      <w:r w:rsidR="00BD60C9">
        <w:fldChar w:fldCharType="end"/>
      </w:r>
      <w:r>
        <w:t>)</w:t>
      </w:r>
      <w:r w:rsidR="008A094A">
        <w:t>.</w:t>
      </w:r>
    </w:p>
    <w:p w14:paraId="055EAE20" w14:textId="164FF261" w:rsidR="00797316" w:rsidRDefault="00797316" w:rsidP="00797316">
      <w:pPr>
        <w:pStyle w:val="ListBullet2"/>
      </w:pPr>
      <w:r>
        <w:t>STAT5 induced by IL-2 and IL-15 (JAK1/JAK3-dependent) (see IC</w:t>
      </w:r>
      <w:r w:rsidRPr="008A094A">
        <w:rPr>
          <w:vertAlign w:val="subscript"/>
        </w:rPr>
        <w:t>50</w:t>
      </w:r>
      <w:r w:rsidR="00197578">
        <w:t xml:space="preserve"> data</w:t>
      </w:r>
      <w:r>
        <w:t xml:space="preserve"> in</w:t>
      </w:r>
      <w:r w:rsidR="008A094A">
        <w:t xml:space="preserve"> </w:t>
      </w:r>
      <w:r w:rsidR="008A094A">
        <w:fldChar w:fldCharType="begin"/>
      </w:r>
      <w:r w:rsidR="008A094A">
        <w:instrText xml:space="preserve"> REF _Ref16523668 \h </w:instrText>
      </w:r>
      <w:r w:rsidR="008A094A">
        <w:fldChar w:fldCharType="separate"/>
      </w:r>
      <w:r w:rsidR="008A094A">
        <w:t>Table</w:t>
      </w:r>
      <w:r w:rsidR="00197578">
        <w:t> </w:t>
      </w:r>
      <w:r w:rsidR="008A094A">
        <w:rPr>
          <w:noProof/>
        </w:rPr>
        <w:t>4</w:t>
      </w:r>
      <w:r w:rsidR="008A094A">
        <w:fldChar w:fldCharType="end"/>
      </w:r>
      <w:r>
        <w:t>)</w:t>
      </w:r>
      <w:r w:rsidR="008A094A">
        <w:t>.</w:t>
      </w:r>
    </w:p>
    <w:p w14:paraId="1C4AC031" w14:textId="2A745E2C" w:rsidR="00797316" w:rsidRDefault="00797316" w:rsidP="00797316">
      <w:pPr>
        <w:pStyle w:val="ListBullet"/>
      </w:pPr>
      <w:r>
        <w:t>Tofacitinib inhibited erythropoietin-induced STAT5 phosphorylation (JAK2/JAK2 dependent) in bone marrow-derived CD34+ progenitor cells (se</w:t>
      </w:r>
      <w:r w:rsidR="00197578">
        <w:t>e</w:t>
      </w:r>
      <w:r>
        <w:t xml:space="preserve"> IC</w:t>
      </w:r>
      <w:r w:rsidRPr="008A094A">
        <w:rPr>
          <w:vertAlign w:val="subscript"/>
        </w:rPr>
        <w:t>50</w:t>
      </w:r>
      <w:r>
        <w:t xml:space="preserve"> </w:t>
      </w:r>
      <w:r w:rsidR="00197578">
        <w:t xml:space="preserve">data </w:t>
      </w:r>
      <w:r>
        <w:t>in</w:t>
      </w:r>
      <w:r w:rsidR="008A094A">
        <w:t xml:space="preserve"> </w:t>
      </w:r>
      <w:r w:rsidR="008A094A">
        <w:fldChar w:fldCharType="begin"/>
      </w:r>
      <w:r w:rsidR="008A094A">
        <w:instrText xml:space="preserve"> REF _Ref16523668 \h </w:instrText>
      </w:r>
      <w:r w:rsidR="008A094A">
        <w:fldChar w:fldCharType="separate"/>
      </w:r>
      <w:r w:rsidR="008A094A">
        <w:t xml:space="preserve">Table </w:t>
      </w:r>
      <w:r w:rsidR="008A094A">
        <w:rPr>
          <w:noProof/>
        </w:rPr>
        <w:t>4</w:t>
      </w:r>
      <w:r w:rsidR="008A094A">
        <w:fldChar w:fldCharType="end"/>
      </w:r>
      <w:r>
        <w:t>).</w:t>
      </w:r>
    </w:p>
    <w:p w14:paraId="7ABBE4F9" w14:textId="2E338682" w:rsidR="008320E6" w:rsidRDefault="008320E6" w:rsidP="008320E6">
      <w:pPr>
        <w:pStyle w:val="TableTitle"/>
      </w:pPr>
      <w:bookmarkStart w:id="43" w:name="_Ref16523668"/>
      <w:r>
        <w:t xml:space="preserve">Table </w:t>
      </w:r>
      <w:fldSimple w:instr=" SEQ Table \* ARABIC ">
        <w:r w:rsidR="0061158C">
          <w:rPr>
            <w:noProof/>
          </w:rPr>
          <w:t>4</w:t>
        </w:r>
      </w:fldSimple>
      <w:bookmarkEnd w:id="43"/>
      <w:r>
        <w:t>: Study CP-690550_17Dec12_140806 Inhibitory activity of CP-690550 in human whole blood</w:t>
      </w:r>
    </w:p>
    <w:p w14:paraId="154C281C" w14:textId="77777777" w:rsidR="002C57FB" w:rsidRDefault="00797316" w:rsidP="009917DE">
      <w:pPr>
        <w:pStyle w:val="ListBullet"/>
        <w:numPr>
          <w:ilvl w:val="0"/>
          <w:numId w:val="0"/>
        </w:numPr>
        <w:ind w:left="360"/>
      </w:pPr>
      <w:r>
        <w:rPr>
          <w:noProof/>
          <w:lang w:eastAsia="en-AU"/>
        </w:rPr>
        <w:drawing>
          <wp:inline distT="0" distB="0" distL="0" distR="0" wp14:anchorId="3E6AF728" wp14:editId="289881C4">
            <wp:extent cx="3992074" cy="2285163"/>
            <wp:effectExtent l="0" t="0" r="8890" b="1270"/>
            <wp:docPr id="4" name="Picture 4" descr="Study CP-690550_17Dec12_140806: Inhibitory activity of CP-690550 in human whole b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91059" cy="2284582"/>
                    </a:xfrm>
                    <a:prstGeom prst="rect">
                      <a:avLst/>
                    </a:prstGeom>
                    <a:noFill/>
                    <a:ln>
                      <a:noFill/>
                    </a:ln>
                  </pic:spPr>
                </pic:pic>
              </a:graphicData>
            </a:graphic>
          </wp:inline>
        </w:drawing>
      </w:r>
    </w:p>
    <w:p w14:paraId="25AB7332" w14:textId="77777777" w:rsidR="00A307DE" w:rsidRPr="003F2F0B" w:rsidRDefault="00A307DE" w:rsidP="00A307DE">
      <w:pPr>
        <w:pStyle w:val="Heading4"/>
      </w:pPr>
      <w:r w:rsidRPr="003F2F0B">
        <w:rPr>
          <w:i/>
        </w:rPr>
        <w:t>In vivo</w:t>
      </w:r>
      <w:r w:rsidRPr="003F2F0B">
        <w:t xml:space="preserve"> studies</w:t>
      </w:r>
    </w:p>
    <w:p w14:paraId="3D6F0168" w14:textId="77777777" w:rsidR="00BA68F1" w:rsidRPr="003F2F0B" w:rsidRDefault="00BA68F1" w:rsidP="00BA68F1">
      <w:pPr>
        <w:pStyle w:val="Heading5"/>
      </w:pPr>
      <w:r w:rsidRPr="003F2F0B">
        <w:t>Study No CP-690,550_29MAY14_184149</w:t>
      </w:r>
    </w:p>
    <w:p w14:paraId="6695CE1E" w14:textId="77777777" w:rsidR="00A307DE" w:rsidRPr="003F2F0B" w:rsidRDefault="00BA68F1" w:rsidP="00BA68F1">
      <w:pPr>
        <w:pStyle w:val="Heading6"/>
      </w:pPr>
      <w:r w:rsidRPr="003F2F0B">
        <w:t>Study details</w:t>
      </w:r>
    </w:p>
    <w:p w14:paraId="1C113ED9" w14:textId="5F8AC6B9" w:rsidR="00BA68F1" w:rsidRPr="003F2F0B" w:rsidRDefault="00BA68F1" w:rsidP="008A094A">
      <w:r w:rsidRPr="003F2F0B">
        <w:t xml:space="preserve">Tofacitinib reduces inflammation in </w:t>
      </w:r>
      <w:proofErr w:type="spellStart"/>
      <w:r w:rsidRPr="003F2F0B">
        <w:t>imiquimod</w:t>
      </w:r>
      <w:proofErr w:type="spellEnd"/>
      <w:r w:rsidRPr="003F2F0B">
        <w:t xml:space="preserve">-induced skin inflammation model. </w:t>
      </w:r>
      <w:r w:rsidR="00197578">
        <w:t>Dated: </w:t>
      </w:r>
      <w:r w:rsidRPr="003F2F0B">
        <w:t>29 May 2014</w:t>
      </w:r>
      <w:r w:rsidR="008A094A" w:rsidRPr="003F2F0B">
        <w:t>.</w:t>
      </w:r>
    </w:p>
    <w:p w14:paraId="5CA4DE87" w14:textId="77777777" w:rsidR="00BA68F1" w:rsidRPr="003F2F0B" w:rsidRDefault="00BA68F1" w:rsidP="00BA68F1">
      <w:pPr>
        <w:pStyle w:val="ListBullet"/>
      </w:pPr>
      <w:r w:rsidRPr="003F2F0B">
        <w:t xml:space="preserve">Animals: Mice, </w:t>
      </w:r>
      <w:r w:rsidR="008A094A" w:rsidRPr="003F2F0B">
        <w:rPr>
          <w:rFonts w:ascii="Times New Roman" w:hAnsi="Times New Roman"/>
        </w:rPr>
        <w:t>female</w:t>
      </w:r>
      <w:r w:rsidR="003F2F0B">
        <w:t>; BALB/c.</w:t>
      </w:r>
    </w:p>
    <w:p w14:paraId="3BF9B6C3" w14:textId="77777777" w:rsidR="00BA68F1" w:rsidRPr="003F2F0B" w:rsidRDefault="00BA68F1" w:rsidP="00BA68F1">
      <w:pPr>
        <w:pStyle w:val="ListBullet"/>
      </w:pPr>
      <w:r w:rsidRPr="003F2F0B">
        <w:lastRenderedPageBreak/>
        <w:t>A</w:t>
      </w:r>
      <w:r w:rsidR="003F2F0B">
        <w:t>ge</w:t>
      </w:r>
      <w:r w:rsidR="008A094A" w:rsidRPr="003F2F0B">
        <w:t>:</w:t>
      </w:r>
      <w:r w:rsidR="003F2F0B">
        <w:t xml:space="preserve"> </w:t>
      </w:r>
      <w:r w:rsidR="008A094A" w:rsidRPr="003F2F0B">
        <w:t xml:space="preserve">8 to </w:t>
      </w:r>
      <w:r w:rsidR="003F2F0B">
        <w:t xml:space="preserve">10 weeks, n = 8 per </w:t>
      </w:r>
      <w:r w:rsidRPr="003F2F0B">
        <w:t>group</w:t>
      </w:r>
      <w:r w:rsidR="003F2F0B">
        <w:t>.</w:t>
      </w:r>
    </w:p>
    <w:p w14:paraId="75E528E2" w14:textId="77777777" w:rsidR="00BA68F1" w:rsidRPr="003F2F0B" w:rsidRDefault="00BA68F1" w:rsidP="00BA68F1">
      <w:pPr>
        <w:pStyle w:val="ListBullet"/>
      </w:pPr>
      <w:r w:rsidRPr="003F2F0B">
        <w:t xml:space="preserve">Test items: </w:t>
      </w:r>
      <w:proofErr w:type="spellStart"/>
      <w:r w:rsidRPr="003F2F0B">
        <w:t>tofacitinib</w:t>
      </w:r>
      <w:proofErr w:type="spellEnd"/>
      <w:r w:rsidRPr="003F2F0B">
        <w:t>, vehicle (2% Tween 80, 0.5% methylcellulose in purified water), anti-p40 antibody</w:t>
      </w:r>
      <w:r w:rsidR="003F2F0B">
        <w:t>.</w:t>
      </w:r>
    </w:p>
    <w:p w14:paraId="735E6254" w14:textId="77777777" w:rsidR="00BA68F1" w:rsidRPr="003F2F0B" w:rsidRDefault="00BA68F1" w:rsidP="003F2F0B">
      <w:pPr>
        <w:pStyle w:val="ListBullet"/>
      </w:pPr>
      <w:r w:rsidRPr="003F2F0B">
        <w:t xml:space="preserve">Dose range: </w:t>
      </w:r>
      <w:proofErr w:type="spellStart"/>
      <w:r w:rsidRPr="003F2F0B">
        <w:t>tofacitinib</w:t>
      </w:r>
      <w:proofErr w:type="spellEnd"/>
      <w:r w:rsidRPr="003F2F0B">
        <w:t xml:space="preserve"> 30 mg/kg and vehicle </w:t>
      </w:r>
      <w:r w:rsidR="003F2F0B">
        <w:t xml:space="preserve">per </w:t>
      </w:r>
      <w:proofErr w:type="spellStart"/>
      <w:r w:rsidR="003F2F0B">
        <w:t>os</w:t>
      </w:r>
      <w:proofErr w:type="spellEnd"/>
      <w:r w:rsidR="003F2F0B">
        <w:t xml:space="preserve"> (</w:t>
      </w:r>
      <w:r w:rsidRPr="003F2F0B">
        <w:t>PO</w:t>
      </w:r>
      <w:r w:rsidR="003F2F0B">
        <w:t>; oral)</w:t>
      </w:r>
      <w:r w:rsidRPr="003F2F0B">
        <w:t xml:space="preserve">, </w:t>
      </w:r>
      <w:proofErr w:type="spellStart"/>
      <w:r w:rsidR="003F2F0B">
        <w:t>bis</w:t>
      </w:r>
      <w:proofErr w:type="spellEnd"/>
      <w:r w:rsidR="003F2F0B">
        <w:t xml:space="preserve"> in die (</w:t>
      </w:r>
      <w:r w:rsidR="003A1B70">
        <w:t>BD</w:t>
      </w:r>
      <w:r w:rsidR="003F2F0B">
        <w:t>; twice daily)</w:t>
      </w:r>
      <w:r w:rsidRPr="003F2F0B">
        <w:t xml:space="preserve">. Anti-p40 antibody 16 mg/kg </w:t>
      </w:r>
      <w:r w:rsidR="003F2F0B">
        <w:t>i</w:t>
      </w:r>
      <w:r w:rsidR="003F2F0B" w:rsidRPr="003F2F0B">
        <w:t xml:space="preserve">ntraperitoneal </w:t>
      </w:r>
      <w:r w:rsidR="003F2F0B">
        <w:t>(</w:t>
      </w:r>
      <w:r w:rsidRPr="003F2F0B">
        <w:t>IP</w:t>
      </w:r>
      <w:r w:rsidR="003F2F0B">
        <w:t>)</w:t>
      </w:r>
      <w:r w:rsidRPr="003F2F0B">
        <w:t>, twice weekly. Study duration: 5 days</w:t>
      </w:r>
      <w:r w:rsidR="003F2F0B">
        <w:t>.</w:t>
      </w:r>
    </w:p>
    <w:p w14:paraId="06EF3704" w14:textId="77777777" w:rsidR="00BA68F1" w:rsidRPr="003F2F0B" w:rsidRDefault="00BA68F1" w:rsidP="00BA68F1">
      <w:pPr>
        <w:pStyle w:val="ListBullet"/>
      </w:pPr>
      <w:proofErr w:type="spellStart"/>
      <w:r w:rsidRPr="003F2F0B">
        <w:t>Imiquimod</w:t>
      </w:r>
      <w:proofErr w:type="spellEnd"/>
      <w:r w:rsidRPr="003F2F0B">
        <w:t xml:space="preserve"> inflammation: daily topical dose of </w:t>
      </w:r>
      <w:proofErr w:type="spellStart"/>
      <w:r w:rsidRPr="003F2F0B">
        <w:t>imiquimod</w:t>
      </w:r>
      <w:proofErr w:type="spellEnd"/>
      <w:r w:rsidRPr="003F2F0B">
        <w:t xml:space="preserve"> (5% cream commercially available) on animals shaved back and left ear for 3 consecutive days (= 1.56 mg of active compound)</w:t>
      </w:r>
      <w:r w:rsidR="003F2F0B">
        <w:t>.</w:t>
      </w:r>
    </w:p>
    <w:p w14:paraId="221E49BB" w14:textId="77777777" w:rsidR="00BA68F1" w:rsidRPr="003F2F0B" w:rsidRDefault="00BA68F1" w:rsidP="00D518BB">
      <w:pPr>
        <w:pStyle w:val="ListBullet"/>
      </w:pPr>
      <w:r w:rsidRPr="003F2F0B">
        <w:t>Measurements/</w:t>
      </w:r>
      <w:r w:rsidR="00D518BB">
        <w:t xml:space="preserve">histology: ear thickness (Day 1 to </w:t>
      </w:r>
      <w:r w:rsidRPr="003F2F0B">
        <w:t xml:space="preserve">5) in triplicate; ear sections </w:t>
      </w:r>
      <w:r w:rsidR="00D518BB" w:rsidRPr="00D518BB">
        <w:t>haematoxylin and eosin</w:t>
      </w:r>
      <w:r w:rsidR="00D518BB">
        <w:t xml:space="preserve"> (</w:t>
      </w:r>
      <w:r w:rsidRPr="003F2F0B">
        <w:t>H&amp;E</w:t>
      </w:r>
      <w:r w:rsidR="00D518BB">
        <w:t>)</w:t>
      </w:r>
      <w:r w:rsidRPr="003F2F0B">
        <w:t xml:space="preserve"> and pSTAT3 </w:t>
      </w:r>
      <w:r w:rsidR="00D518BB">
        <w:t>i</w:t>
      </w:r>
      <w:r w:rsidR="00D518BB" w:rsidRPr="00D518BB">
        <w:t xml:space="preserve">mmunohistochemistry </w:t>
      </w:r>
      <w:r w:rsidR="00D518BB">
        <w:t>(</w:t>
      </w:r>
      <w:r w:rsidRPr="003F2F0B">
        <w:t>IHC</w:t>
      </w:r>
      <w:r w:rsidR="00D518BB">
        <w:t>)</w:t>
      </w:r>
      <w:r w:rsidRPr="003F2F0B">
        <w:t xml:space="preserve">; </w:t>
      </w:r>
      <w:r w:rsidR="00D518BB" w:rsidRPr="00D518BB">
        <w:t xml:space="preserve">cluster of differentiation 4 </w:t>
      </w:r>
      <w:r w:rsidR="00D518BB">
        <w:t>positive (</w:t>
      </w:r>
      <w:r w:rsidRPr="003F2F0B">
        <w:t>CD4+</w:t>
      </w:r>
      <w:r w:rsidR="00D518BB">
        <w:t>)</w:t>
      </w:r>
      <w:r w:rsidRPr="003F2F0B">
        <w:t xml:space="preserve"> lymphocyte population from whole blood was gated for pSTAT3 staining, </w:t>
      </w:r>
      <w:r w:rsidR="00D518BB">
        <w:t>r</w:t>
      </w:r>
      <w:r w:rsidR="00D518BB" w:rsidRPr="00D518BB">
        <w:t>everse transcription polymerase chain reaction</w:t>
      </w:r>
      <w:r w:rsidR="00D518BB">
        <w:t xml:space="preserve"> (</w:t>
      </w:r>
      <w:r w:rsidRPr="003F2F0B">
        <w:t>RT PCR</w:t>
      </w:r>
      <w:r w:rsidR="00D518BB">
        <w:t>)</w:t>
      </w:r>
      <w:r w:rsidRPr="003F2F0B">
        <w:t xml:space="preserve">, </w:t>
      </w:r>
      <w:r w:rsidR="00D518BB">
        <w:t xml:space="preserve">enzyme </w:t>
      </w:r>
      <w:r w:rsidR="00D518BB" w:rsidRPr="00D518BB">
        <w:t xml:space="preserve">linked immunosorbent assay </w:t>
      </w:r>
      <w:r w:rsidR="00D518BB">
        <w:t>(</w:t>
      </w:r>
      <w:r w:rsidRPr="003F2F0B">
        <w:t>ELISA</w:t>
      </w:r>
      <w:r w:rsidR="00D518BB">
        <w:t>)</w:t>
      </w:r>
      <w:r w:rsidRPr="003F2F0B">
        <w:t>.</w:t>
      </w:r>
    </w:p>
    <w:p w14:paraId="7EFF4407" w14:textId="77777777" w:rsidR="00BA68F1" w:rsidRDefault="00BA68F1" w:rsidP="00BA68F1">
      <w:pPr>
        <w:pStyle w:val="Heading6"/>
      </w:pPr>
      <w:r>
        <w:t>Results</w:t>
      </w:r>
    </w:p>
    <w:p w14:paraId="21E1AA1E" w14:textId="77777777" w:rsidR="00BA68F1" w:rsidRDefault="00D518BB" w:rsidP="00BA68F1">
      <w:pPr>
        <w:pStyle w:val="ListBullet"/>
      </w:pPr>
      <w:r>
        <w:t>Tofacitinib significantly decreased</w:t>
      </w:r>
      <w:r w:rsidR="00BA68F1">
        <w:t xml:space="preserve"> ear swelling (79.2%) at Day 3, compared to vehicle control group. This difference was not statistically significant by Day 5 (29%).</w:t>
      </w:r>
    </w:p>
    <w:p w14:paraId="69481830" w14:textId="77777777" w:rsidR="00BA68F1" w:rsidRDefault="00BA68F1" w:rsidP="00BA68F1">
      <w:pPr>
        <w:pStyle w:val="ListBullet"/>
      </w:pPr>
      <w:r>
        <w:t>A</w:t>
      </w:r>
      <w:r w:rsidR="00D518BB">
        <w:t xml:space="preserve">nti-p40 antibody significantly decreased ear swelling in a time </w:t>
      </w:r>
      <w:r>
        <w:t>dependent manner (Day3: 52.6%; D</w:t>
      </w:r>
      <w:r w:rsidR="00D518BB">
        <w:t xml:space="preserve">ay 5: 83%), compared to vehicle </w:t>
      </w:r>
      <w:r>
        <w:t>treated animals. Four independent additional s</w:t>
      </w:r>
      <w:r w:rsidR="00D518BB">
        <w:t xml:space="preserve">tudies showed that </w:t>
      </w:r>
      <w:proofErr w:type="spellStart"/>
      <w:r w:rsidR="00D518BB">
        <w:t>tofacitinib</w:t>
      </w:r>
      <w:proofErr w:type="spellEnd"/>
      <w:r w:rsidR="00D518BB">
        <w:t xml:space="preserve"> decreased </w:t>
      </w:r>
      <w:r>
        <w:t>ear swelli</w:t>
      </w:r>
      <w:r w:rsidR="00D518BB">
        <w:t xml:space="preserve">ng on Day 5 by 28 to </w:t>
      </w:r>
      <w:r>
        <w:t>48%, compared to controls.</w:t>
      </w:r>
    </w:p>
    <w:p w14:paraId="0DD4DABC" w14:textId="77777777" w:rsidR="00BA68F1" w:rsidRDefault="00BA68F1" w:rsidP="00BA68F1">
      <w:pPr>
        <w:pStyle w:val="ListBullet"/>
      </w:pPr>
      <w:r>
        <w:t>Tofacitinib and a</w:t>
      </w:r>
      <w:r w:rsidR="00D518BB">
        <w:t>nti-p40 antibody significantly decreased</w:t>
      </w:r>
      <w:r>
        <w:t xml:space="preserve"> ear oedema, compared to their control littermates, but had no significant effect on ear epidermal hyperplasia.</w:t>
      </w:r>
    </w:p>
    <w:p w14:paraId="39D803FD" w14:textId="77777777" w:rsidR="00BA68F1" w:rsidRDefault="00BA68F1" w:rsidP="00BA68F1">
      <w:pPr>
        <w:pStyle w:val="ListBullet"/>
      </w:pPr>
      <w:r>
        <w:t>A</w:t>
      </w:r>
      <w:r w:rsidR="00D518BB">
        <w:t>nti-p40 antibody significantly decreased</w:t>
      </w:r>
      <w:r>
        <w:t xml:space="preserve"> ear inflammation, compared to controls. This w</w:t>
      </w:r>
      <w:r w:rsidR="00D518BB">
        <w:t xml:space="preserve">as not the case for </w:t>
      </w:r>
      <w:proofErr w:type="spellStart"/>
      <w:r w:rsidR="00D518BB">
        <w:t>tofacitinib</w:t>
      </w:r>
      <w:proofErr w:type="spellEnd"/>
      <w:r w:rsidR="00D518BB">
        <w:t xml:space="preserve"> </w:t>
      </w:r>
      <w:r>
        <w:t>treated mice (inflammation comparable to controls).</w:t>
      </w:r>
    </w:p>
    <w:p w14:paraId="2F1DC266" w14:textId="77777777" w:rsidR="00BA68F1" w:rsidRDefault="00BA68F1" w:rsidP="00BA68F1">
      <w:pPr>
        <w:pStyle w:val="ListBullet"/>
      </w:pPr>
      <w:r>
        <w:t>Tofacitinib and a</w:t>
      </w:r>
      <w:r w:rsidR="00D518BB">
        <w:t>nti-p40 antibody significantly decreased</w:t>
      </w:r>
      <w:r>
        <w:t xml:space="preserve"> pSTAT3 in the epidermis</w:t>
      </w:r>
      <w:r w:rsidR="00D518BB">
        <w:t xml:space="preserve"> and dermis relative to vehicle </w:t>
      </w:r>
      <w:r>
        <w:t>treated animals. Tofacitinib signific</w:t>
      </w:r>
      <w:r w:rsidR="00D518BB">
        <w:t xml:space="preserve">antly decreased </w:t>
      </w:r>
      <w:r>
        <w:t>pSTAT3 staining in w</w:t>
      </w:r>
      <w:r w:rsidR="00D518BB">
        <w:t xml:space="preserve">hole blood, compared to vehicle </w:t>
      </w:r>
      <w:r>
        <w:t>treated mice.</w:t>
      </w:r>
    </w:p>
    <w:p w14:paraId="23B79374" w14:textId="77777777" w:rsidR="00BA68F1" w:rsidRDefault="00BA68F1" w:rsidP="00CA2E63">
      <w:pPr>
        <w:pStyle w:val="ListBullet"/>
      </w:pPr>
      <w:r>
        <w:t xml:space="preserve">RT PCR data showed </w:t>
      </w:r>
      <w:r w:rsidR="00D518BB">
        <w:t xml:space="preserve">that </w:t>
      </w:r>
      <w:proofErr w:type="spellStart"/>
      <w:r w:rsidR="00D518BB">
        <w:t>tofacitinib</w:t>
      </w:r>
      <w:proofErr w:type="spellEnd"/>
      <w:r w:rsidR="00D518BB">
        <w:t xml:space="preserve"> significantly decreased</w:t>
      </w:r>
      <w:r>
        <w:t xml:space="preserve"> IL-22, IL-22R, IL-6 and </w:t>
      </w:r>
      <w:r w:rsidR="00CA2E63" w:rsidRPr="00CA2E63">
        <w:t>S100 calcium-binding protein A8</w:t>
      </w:r>
      <w:r w:rsidR="00CA2E63">
        <w:t xml:space="preserve"> (</w:t>
      </w:r>
      <w:r>
        <w:t>S100A8</w:t>
      </w:r>
      <w:r w:rsidR="00CA2E63">
        <w:t>)</w:t>
      </w:r>
      <w:r>
        <w:t xml:space="preserve"> mRNA levels in the ear, compared to controls; while a</w:t>
      </w:r>
      <w:r w:rsidR="00D518BB">
        <w:t>nti-p40 antibody significantly decreased</w:t>
      </w:r>
      <w:r>
        <w:t xml:space="preserve"> IL-6, IL-1β, IL 22, IL-7, IP10, S100A8, IL-21R and IL-22R mRNA levels.</w:t>
      </w:r>
    </w:p>
    <w:p w14:paraId="54A09F28" w14:textId="77777777" w:rsidR="00BA68F1" w:rsidRDefault="00BA68F1" w:rsidP="00BA68F1">
      <w:pPr>
        <w:pStyle w:val="ListBullet"/>
      </w:pPr>
      <w:r>
        <w:t>ELISA data showed that a</w:t>
      </w:r>
      <w:r w:rsidR="00D518BB">
        <w:t>nti-p40 antibody significantly decreased</w:t>
      </w:r>
      <w:r>
        <w:t xml:space="preserve"> secretion of IL-17, IL-22 and IL-6 in the ear, compared to controls. Tofacitinib only significantly inhibited IL-6 secretion.</w:t>
      </w:r>
    </w:p>
    <w:p w14:paraId="3106AF74" w14:textId="77777777" w:rsidR="00BA68F1" w:rsidRDefault="00BA68F1" w:rsidP="00BA68F1">
      <w:pPr>
        <w:pStyle w:val="Heading5"/>
      </w:pPr>
      <w:r>
        <w:t>Study No CP-690,550_29May14_184337</w:t>
      </w:r>
    </w:p>
    <w:p w14:paraId="6885BA86" w14:textId="77777777" w:rsidR="00BA68F1" w:rsidRDefault="00BA68F1" w:rsidP="00BA68F1">
      <w:pPr>
        <w:pStyle w:val="Heading6"/>
      </w:pPr>
      <w:r>
        <w:t>Study details</w:t>
      </w:r>
    </w:p>
    <w:p w14:paraId="6D518829" w14:textId="79BA8699" w:rsidR="00BA68F1" w:rsidRDefault="00BA68F1" w:rsidP="00DE118A">
      <w:r>
        <w:t xml:space="preserve">Evaluation of </w:t>
      </w:r>
      <w:proofErr w:type="spellStart"/>
      <w:r>
        <w:t>tofacitinib</w:t>
      </w:r>
      <w:proofErr w:type="spellEnd"/>
      <w:r>
        <w:t xml:space="preserve"> in the IL-23 induced skin inflammation model. </w:t>
      </w:r>
      <w:r w:rsidR="00197578">
        <w:t>Dated: </w:t>
      </w:r>
      <w:r>
        <w:t>29</w:t>
      </w:r>
      <w:r w:rsidR="00197578">
        <w:t> </w:t>
      </w:r>
      <w:r>
        <w:t>May 2014</w:t>
      </w:r>
    </w:p>
    <w:p w14:paraId="6BE172CB" w14:textId="77777777" w:rsidR="00BA68F1" w:rsidRDefault="00BA68F1" w:rsidP="00BA68F1">
      <w:pPr>
        <w:pStyle w:val="ListBullet"/>
      </w:pPr>
      <w:r>
        <w:t xml:space="preserve">Animals: Mice, </w:t>
      </w:r>
      <w:r w:rsidR="00D518BB">
        <w:rPr>
          <w:rFonts w:ascii="Times New Roman" w:hAnsi="Times New Roman"/>
        </w:rPr>
        <w:t>female</w:t>
      </w:r>
      <w:r w:rsidR="00D518BB">
        <w:t>; BALB/c.</w:t>
      </w:r>
    </w:p>
    <w:p w14:paraId="42FDD726" w14:textId="77777777" w:rsidR="00BA68F1" w:rsidRDefault="00D518BB" w:rsidP="00BA68F1">
      <w:pPr>
        <w:pStyle w:val="ListBullet"/>
      </w:pPr>
      <w:r>
        <w:t xml:space="preserve">Age: 8 to 10 weeks, n = 7 per </w:t>
      </w:r>
      <w:r w:rsidR="00BA68F1">
        <w:t>group</w:t>
      </w:r>
      <w:r>
        <w:t>.</w:t>
      </w:r>
    </w:p>
    <w:p w14:paraId="1F339AF5" w14:textId="77777777" w:rsidR="00BA68F1" w:rsidRDefault="00BA68F1" w:rsidP="00BA68F1">
      <w:pPr>
        <w:pStyle w:val="ListBullet"/>
      </w:pPr>
      <w:r>
        <w:t xml:space="preserve">Test items: </w:t>
      </w:r>
      <w:proofErr w:type="spellStart"/>
      <w:r>
        <w:t>tofacitinib</w:t>
      </w:r>
      <w:proofErr w:type="spellEnd"/>
      <w:r>
        <w:t>, vehicle (2% Tween 80, 0.5% methylcellulose in purified water), anti-p40 antibody</w:t>
      </w:r>
      <w:r w:rsidR="00D518BB">
        <w:t>.</w:t>
      </w:r>
    </w:p>
    <w:p w14:paraId="19CC6DCA" w14:textId="77777777" w:rsidR="00BA68F1" w:rsidRDefault="00BA68F1" w:rsidP="00BA68F1">
      <w:pPr>
        <w:pStyle w:val="ListBullet"/>
      </w:pPr>
      <w:r>
        <w:lastRenderedPageBreak/>
        <w:t xml:space="preserve">Dose range: </w:t>
      </w:r>
      <w:proofErr w:type="spellStart"/>
      <w:r>
        <w:t>tofacitinib</w:t>
      </w:r>
      <w:proofErr w:type="spellEnd"/>
      <w:r>
        <w:t>: 30, 10, 3 mg/kg and vehicl</w:t>
      </w:r>
      <w:r w:rsidR="00D518BB">
        <w:t xml:space="preserve">e PO, </w:t>
      </w:r>
      <w:r w:rsidR="003A1B70">
        <w:t>BD</w:t>
      </w:r>
      <w:r w:rsidR="00D518BB">
        <w:t>. Anti-p40 antibody 20 </w:t>
      </w:r>
      <w:r>
        <w:t>mg/kg IP, once/week. Study duration: 14 days</w:t>
      </w:r>
      <w:r w:rsidR="00D518BB">
        <w:t>.</w:t>
      </w:r>
    </w:p>
    <w:p w14:paraId="529CAE7B" w14:textId="77777777" w:rsidR="00BA68F1" w:rsidRDefault="00BA68F1" w:rsidP="00BA68F1">
      <w:pPr>
        <w:pStyle w:val="ListBullet"/>
      </w:pPr>
      <w:r>
        <w:t xml:space="preserve">IL-23 injection: </w:t>
      </w:r>
      <w:r w:rsidR="00D518BB">
        <w:t xml:space="preserve">recombinant mouse IL-23 (rmIL-23; </w:t>
      </w:r>
      <w:r>
        <w:t>150 ng in saline)</w:t>
      </w:r>
      <w:r w:rsidR="000C129E">
        <w:t xml:space="preserve"> or saline (vehicle) intradermal</w:t>
      </w:r>
      <w:r>
        <w:t xml:space="preserve"> in the ears for 7 challenges</w:t>
      </w:r>
      <w:r w:rsidR="00D518BB">
        <w:t>.</w:t>
      </w:r>
    </w:p>
    <w:p w14:paraId="5FDE8531" w14:textId="77777777" w:rsidR="00BA68F1" w:rsidRDefault="00BA68F1" w:rsidP="00BA68F1">
      <w:pPr>
        <w:pStyle w:val="ListBullet"/>
      </w:pPr>
      <w:r>
        <w:t>Measurements/histology: ear thickness; ear sections H&amp;E and pSTAT3 IHC</w:t>
      </w:r>
      <w:r w:rsidR="00D518BB">
        <w:t>.</w:t>
      </w:r>
    </w:p>
    <w:p w14:paraId="76A880D7" w14:textId="77777777" w:rsidR="00BA68F1" w:rsidRDefault="00BA68F1" w:rsidP="00BA68F1">
      <w:pPr>
        <w:pStyle w:val="Heading6"/>
      </w:pPr>
      <w:r>
        <w:t>Results</w:t>
      </w:r>
    </w:p>
    <w:p w14:paraId="3963A25B" w14:textId="77777777" w:rsidR="00BA68F1" w:rsidRDefault="002D6420" w:rsidP="00BA68F1">
      <w:pPr>
        <w:pStyle w:val="ListBullet"/>
      </w:pPr>
      <w:r>
        <w:t>According to the s</w:t>
      </w:r>
      <w:r w:rsidR="00BA68F1">
        <w:t xml:space="preserve">ponsor ‘mice treated with </w:t>
      </w:r>
      <w:proofErr w:type="spellStart"/>
      <w:r w:rsidR="00BA68F1">
        <w:t>tofacitinib</w:t>
      </w:r>
      <w:proofErr w:type="spellEnd"/>
      <w:r w:rsidR="00BA68F1">
        <w:t xml:space="preserve"> or anti-p40 antibody experienced significant reduction in ear thickness when compared to vehicle treated control. Additionally, mice that received </w:t>
      </w:r>
      <w:proofErr w:type="spellStart"/>
      <w:r w:rsidR="00BA68F1">
        <w:t>tofacitinib</w:t>
      </w:r>
      <w:proofErr w:type="spellEnd"/>
      <w:r w:rsidR="00BA68F1">
        <w:t xml:space="preserve"> exhibited a dose depende</w:t>
      </w:r>
      <w:r w:rsidR="000C129E">
        <w:t>nt inhibition of ear swelling’.</w:t>
      </w:r>
    </w:p>
    <w:p w14:paraId="3E58466A" w14:textId="77777777" w:rsidR="00BA68F1" w:rsidRDefault="00BA68F1" w:rsidP="00BA68F1">
      <w:pPr>
        <w:pStyle w:val="ListBullet"/>
      </w:pPr>
      <w:r>
        <w:t xml:space="preserve">Tofacitinib at 30 mg/kg significantly </w:t>
      </w:r>
      <w:r w:rsidR="000C129E">
        <w:t>decreased</w:t>
      </w:r>
      <w:r>
        <w:t xml:space="preserve"> skin inflammation (67.06% inhibition compared to vehicle control). While </w:t>
      </w:r>
      <w:proofErr w:type="spellStart"/>
      <w:r>
        <w:t>tofacitinib</w:t>
      </w:r>
      <w:proofErr w:type="spellEnd"/>
      <w:r>
        <w:t xml:space="preserve"> at 10 mg/kg and the anti-p40 antibody treatment inhibited inflam</w:t>
      </w:r>
      <w:r w:rsidR="000C129E">
        <w:t>mation by 40.8% (significant compared to</w:t>
      </w:r>
      <w:r>
        <w:t xml:space="preserve"> control) and 35.16% (significant compared to controls), respectively. Tofacitinib at 3 mg/kg had no effect on inflammation (&lt;</w:t>
      </w:r>
      <w:r w:rsidR="000C129E">
        <w:t xml:space="preserve"> 0% inhibition).</w:t>
      </w:r>
    </w:p>
    <w:p w14:paraId="5B9223AD" w14:textId="77777777" w:rsidR="00BA68F1" w:rsidRDefault="00BA68F1" w:rsidP="00BA68F1">
      <w:pPr>
        <w:pStyle w:val="ListBullet"/>
      </w:pPr>
      <w:r>
        <w:t>Additional studies show</w:t>
      </w:r>
      <w:r w:rsidR="000C129E">
        <w:t xml:space="preserve">ed that </w:t>
      </w:r>
      <w:proofErr w:type="spellStart"/>
      <w:r w:rsidR="000C129E">
        <w:t>tofacitinib</w:t>
      </w:r>
      <w:proofErr w:type="spellEnd"/>
      <w:r w:rsidR="000C129E">
        <w:t xml:space="preserve"> (30 mg/kg) decreased</w:t>
      </w:r>
      <w:r>
        <w:t xml:space="preserve"> I</w:t>
      </w:r>
      <w:r w:rsidR="000C129E">
        <w:t xml:space="preserve">L-23 induced ear swelling by 49 to 63% compared to controls (56 to </w:t>
      </w:r>
      <w:r>
        <w:t>62% for anti-p40 antibody).</w:t>
      </w:r>
    </w:p>
    <w:p w14:paraId="106F9584" w14:textId="77777777" w:rsidR="00BA68F1" w:rsidRDefault="00BA68F1" w:rsidP="00BA68F1">
      <w:pPr>
        <w:pStyle w:val="ListBullet"/>
      </w:pPr>
      <w:r>
        <w:t>Tof</w:t>
      </w:r>
      <w:r w:rsidR="000C129E">
        <w:t>acitinib decreased</w:t>
      </w:r>
      <w:r>
        <w:t xml:space="preserve"> pSTAT3 positive cells (at 1</w:t>
      </w:r>
      <w:r w:rsidR="000C129E">
        <w:t>0 mg/kg and significantly at 30 </w:t>
      </w:r>
      <w:r>
        <w:t>mg/kg, compared to vehicle controls. This effect was not visible in animals treated with anti-p40 antibody.</w:t>
      </w:r>
    </w:p>
    <w:p w14:paraId="23C7B17C" w14:textId="0267BC0C" w:rsidR="00BA68F1" w:rsidRDefault="00BA68F1" w:rsidP="00110AA9">
      <w:pPr>
        <w:pStyle w:val="Heading5"/>
      </w:pPr>
      <w:r>
        <w:t xml:space="preserve">Study </w:t>
      </w:r>
      <w:r w:rsidRPr="00432AA8">
        <w:t>CP-690550_02Jun14_11332</w:t>
      </w:r>
      <w:r>
        <w:t>3</w:t>
      </w:r>
    </w:p>
    <w:p w14:paraId="3EF0B54B" w14:textId="77777777" w:rsidR="00110AA9" w:rsidRDefault="00110AA9" w:rsidP="00110AA9">
      <w:pPr>
        <w:pStyle w:val="Heading6"/>
      </w:pPr>
      <w:r>
        <w:t>Study details</w:t>
      </w:r>
    </w:p>
    <w:p w14:paraId="3367D085" w14:textId="407D47FF" w:rsidR="00110AA9" w:rsidRDefault="00110AA9" w:rsidP="00DE118A">
      <w:r>
        <w:t>Evaluation</w:t>
      </w:r>
      <w:r w:rsidR="000C129E">
        <w:t xml:space="preserve"> of </w:t>
      </w:r>
      <w:proofErr w:type="spellStart"/>
      <w:r w:rsidR="000C129E">
        <w:t>tofacitinib</w:t>
      </w:r>
      <w:proofErr w:type="spellEnd"/>
      <w:r w:rsidR="000C129E">
        <w:t xml:space="preserve"> in the murine T </w:t>
      </w:r>
      <w:r>
        <w:t xml:space="preserve">cell transfer model of psoriasis. </w:t>
      </w:r>
      <w:r w:rsidR="00197578">
        <w:t>Dated: </w:t>
      </w:r>
      <w:r>
        <w:t>2 June 2014</w:t>
      </w:r>
      <w:r w:rsidR="000C129E">
        <w:t>.</w:t>
      </w:r>
    </w:p>
    <w:p w14:paraId="30B742BA" w14:textId="77777777" w:rsidR="00110AA9" w:rsidRDefault="00110AA9" w:rsidP="000C129E">
      <w:pPr>
        <w:pStyle w:val="ListBullet"/>
      </w:pPr>
      <w:r>
        <w:t xml:space="preserve">Animals: Mice, </w:t>
      </w:r>
      <w:r w:rsidR="000C129E">
        <w:rPr>
          <w:rFonts w:ascii="Times New Roman" w:hAnsi="Times New Roman"/>
        </w:rPr>
        <w:t>female</w:t>
      </w:r>
      <w:r>
        <w:t>; BALB/c, BALB/</w:t>
      </w:r>
      <w:proofErr w:type="spellStart"/>
      <w:r>
        <w:t>cBy</w:t>
      </w:r>
      <w:proofErr w:type="spellEnd"/>
      <w:r>
        <w:t>, and NOD.CB17-Prkdc</w:t>
      </w:r>
      <w:r w:rsidR="000C129E">
        <w:t>scid/J (recipient mice); age:</w:t>
      </w:r>
      <w:r w:rsidR="00D674E2">
        <w:t xml:space="preserve"> </w:t>
      </w:r>
      <w:r w:rsidR="000C129E">
        <w:t xml:space="preserve">6 to </w:t>
      </w:r>
      <w:r>
        <w:t>8 weeks</w:t>
      </w:r>
      <w:r w:rsidR="000C129E">
        <w:t>.</w:t>
      </w:r>
    </w:p>
    <w:p w14:paraId="0187AD32" w14:textId="77777777" w:rsidR="00110AA9" w:rsidRDefault="00110AA9" w:rsidP="000C129E">
      <w:pPr>
        <w:pStyle w:val="ListBullet"/>
      </w:pPr>
      <w:r>
        <w:t xml:space="preserve">Test item: </w:t>
      </w:r>
      <w:proofErr w:type="spellStart"/>
      <w:r>
        <w:t>tofacitinib</w:t>
      </w:r>
      <w:proofErr w:type="spellEnd"/>
      <w:r>
        <w:t xml:space="preserve"> (in 0.5% methylcellulose and 0.25% Tween 80)</w:t>
      </w:r>
      <w:r w:rsidR="000C129E">
        <w:t>.</w:t>
      </w:r>
    </w:p>
    <w:p w14:paraId="4D0BFF8D" w14:textId="77777777" w:rsidR="00110AA9" w:rsidRDefault="00110AA9" w:rsidP="000C129E">
      <w:pPr>
        <w:pStyle w:val="ListBullet"/>
      </w:pPr>
      <w:r>
        <w:t xml:space="preserve">Dose range: </w:t>
      </w:r>
      <w:proofErr w:type="spellStart"/>
      <w:r>
        <w:t>tofacitinib</w:t>
      </w:r>
      <w:proofErr w:type="spellEnd"/>
      <w:r w:rsidR="000C129E">
        <w:t xml:space="preserve"> </w:t>
      </w:r>
      <w:r>
        <w:t xml:space="preserve">30 mg/kg, </w:t>
      </w:r>
      <w:r w:rsidR="003A1B70">
        <w:t>BD</w:t>
      </w:r>
      <w:r>
        <w:t xml:space="preserve">, PO; vehicle: 10 mL/kg, </w:t>
      </w:r>
      <w:r w:rsidR="003A1B70">
        <w:t>BD</w:t>
      </w:r>
      <w:r>
        <w:t>, PO</w:t>
      </w:r>
      <w:r w:rsidR="000C129E">
        <w:t xml:space="preserve"> </w:t>
      </w:r>
      <w:r>
        <w:t xml:space="preserve">(therapeutic </w:t>
      </w:r>
      <w:r w:rsidR="000C129E">
        <w:t>(</w:t>
      </w:r>
      <w:r>
        <w:t>started when inflammation score reached 2</w:t>
      </w:r>
      <w:r w:rsidR="000C129E">
        <w:t>)</w:t>
      </w:r>
      <w:r>
        <w:t xml:space="preserve"> and prophylactic </w:t>
      </w:r>
      <w:r w:rsidR="000C129E">
        <w:t>(</w:t>
      </w:r>
      <w:r>
        <w:t>started day from cell transfer</w:t>
      </w:r>
      <w:r w:rsidR="000C129E">
        <w:t>)</w:t>
      </w:r>
      <w:r>
        <w:t xml:space="preserve"> administrations)</w:t>
      </w:r>
      <w:r w:rsidR="000C129E">
        <w:t>.</w:t>
      </w:r>
    </w:p>
    <w:p w14:paraId="60579A64" w14:textId="77777777" w:rsidR="00110AA9" w:rsidRDefault="000C129E" w:rsidP="00D674E2">
      <w:pPr>
        <w:pStyle w:val="ListBullet"/>
      </w:pPr>
      <w:r>
        <w:t xml:space="preserve">Skin inflammation model: CD4+T </w:t>
      </w:r>
      <w:r w:rsidR="00110AA9">
        <w:t>cells enriched from BALB/</w:t>
      </w:r>
      <w:proofErr w:type="spellStart"/>
      <w:r w:rsidR="00110AA9">
        <w:t>cBy</w:t>
      </w:r>
      <w:proofErr w:type="spellEnd"/>
      <w:r w:rsidR="00110AA9">
        <w:t xml:space="preserve"> </w:t>
      </w:r>
      <w:proofErr w:type="spellStart"/>
      <w:r w:rsidR="00110AA9">
        <w:t>splenocytes</w:t>
      </w:r>
      <w:proofErr w:type="spellEnd"/>
      <w:r w:rsidR="00110AA9">
        <w:t xml:space="preserve"> labelled with </w:t>
      </w:r>
      <w:proofErr w:type="spellStart"/>
      <w:r w:rsidR="00D674E2">
        <w:t>p</w:t>
      </w:r>
      <w:r w:rsidR="00D674E2" w:rsidRPr="00D674E2">
        <w:t>hycoerythrin</w:t>
      </w:r>
      <w:proofErr w:type="spellEnd"/>
      <w:r w:rsidR="00D674E2" w:rsidRPr="00D674E2">
        <w:t xml:space="preserve"> </w:t>
      </w:r>
      <w:r w:rsidR="00D674E2">
        <w:t>(</w:t>
      </w:r>
      <w:r w:rsidR="00110AA9">
        <w:t>PE</w:t>
      </w:r>
      <w:r w:rsidR="00D674E2">
        <w:t>)</w:t>
      </w:r>
      <w:r w:rsidR="00110AA9">
        <w:t xml:space="preserve"> conjugated anti-CD4, </w:t>
      </w:r>
      <w:r w:rsidR="00D674E2">
        <w:t>f</w:t>
      </w:r>
      <w:r w:rsidR="00D674E2" w:rsidRPr="00D674E2">
        <w:t xml:space="preserve">luorescein </w:t>
      </w:r>
      <w:proofErr w:type="spellStart"/>
      <w:r w:rsidR="00D674E2" w:rsidRPr="00D674E2">
        <w:t>isothiocyanate</w:t>
      </w:r>
      <w:proofErr w:type="spellEnd"/>
      <w:r w:rsidR="00D674E2" w:rsidRPr="00D674E2">
        <w:t xml:space="preserve"> </w:t>
      </w:r>
      <w:r w:rsidR="00D674E2">
        <w:t>(</w:t>
      </w:r>
      <w:r w:rsidR="00110AA9">
        <w:t>FITC</w:t>
      </w:r>
      <w:r w:rsidR="00D674E2">
        <w:t>)</w:t>
      </w:r>
      <w:r w:rsidR="00110AA9">
        <w:t xml:space="preserve"> conjugated anti-CD45RB, and </w:t>
      </w:r>
      <w:proofErr w:type="spellStart"/>
      <w:r w:rsidR="00D674E2" w:rsidRPr="00D674E2">
        <w:t>allophycocyanin</w:t>
      </w:r>
      <w:proofErr w:type="spellEnd"/>
      <w:r w:rsidR="00D674E2" w:rsidRPr="00D674E2">
        <w:t xml:space="preserve"> </w:t>
      </w:r>
      <w:r w:rsidR="00D674E2">
        <w:t>(</w:t>
      </w:r>
      <w:r w:rsidR="00110AA9">
        <w:t>APC</w:t>
      </w:r>
      <w:r w:rsidR="00D674E2">
        <w:t>)</w:t>
      </w:r>
      <w:r w:rsidR="00110AA9">
        <w:t xml:space="preserve"> conjugated anti-CD25 antibodies. CD4+</w:t>
      </w:r>
      <w:r w:rsidR="00D674E2">
        <w:t>-</w:t>
      </w:r>
      <w:r w:rsidR="00110AA9">
        <w:t>CD45RB</w:t>
      </w:r>
      <w:r w:rsidR="00D674E2">
        <w:t>-</w:t>
      </w:r>
      <w:r w:rsidR="00110AA9">
        <w:t xml:space="preserve">highCD25- cells isolated, purified </w:t>
      </w:r>
      <w:r w:rsidR="00D674E2">
        <w:t>cells injected IP into NOD.CB17</w:t>
      </w:r>
      <w:r w:rsidR="00D674E2">
        <w:noBreakHyphen/>
      </w:r>
      <w:r w:rsidR="00110AA9">
        <w:t>Prkdcscid/J mice</w:t>
      </w:r>
      <w:r w:rsidR="00D674E2">
        <w:t>.</w:t>
      </w:r>
    </w:p>
    <w:p w14:paraId="1BCACF4A" w14:textId="77777777" w:rsidR="00110AA9" w:rsidRDefault="00110AA9" w:rsidP="000C129E">
      <w:pPr>
        <w:pStyle w:val="ListBullet"/>
      </w:pPr>
      <w:r>
        <w:t>Measurements/histology: disease severity scoring, ear sections H&amp;E and pSTAT3 IHC, CD4+ lymphocyte population from whole blood was gated for pSTAT3 staini</w:t>
      </w:r>
      <w:r w:rsidR="00D674E2">
        <w:t>ng, RT </w:t>
      </w:r>
      <w:r>
        <w:t>PCR, lipid level analysis</w:t>
      </w:r>
      <w:r w:rsidR="00D674E2">
        <w:t>.</w:t>
      </w:r>
    </w:p>
    <w:p w14:paraId="4E7EFF02" w14:textId="77777777" w:rsidR="00110AA9" w:rsidRDefault="00110AA9" w:rsidP="00110AA9">
      <w:pPr>
        <w:pStyle w:val="Heading6"/>
      </w:pPr>
      <w:r>
        <w:t>Results</w:t>
      </w:r>
    </w:p>
    <w:p w14:paraId="7909C13F" w14:textId="77777777" w:rsidR="00110AA9" w:rsidRDefault="00110AA9" w:rsidP="00110AA9">
      <w:pPr>
        <w:pStyle w:val="ListBullet"/>
      </w:pPr>
      <w:r>
        <w:t xml:space="preserve">Compared to vehicle controls, prophylactic administration of </w:t>
      </w:r>
      <w:proofErr w:type="spellStart"/>
      <w:r>
        <w:t>tofacitinib</w:t>
      </w:r>
      <w:proofErr w:type="spellEnd"/>
      <w:r>
        <w:t xml:space="preserve"> induced significant</w:t>
      </w:r>
      <w:r w:rsidR="00D674E2">
        <w:t>:</w:t>
      </w:r>
    </w:p>
    <w:p w14:paraId="06477FB5" w14:textId="77777777" w:rsidR="00110AA9" w:rsidRDefault="00D674E2" w:rsidP="00110AA9">
      <w:pPr>
        <w:pStyle w:val="ListBullet2"/>
      </w:pPr>
      <w:r>
        <w:t xml:space="preserve">Decrease in disease severity, from Day 27 post </w:t>
      </w:r>
      <w:r w:rsidR="00110AA9">
        <w:t xml:space="preserve">transfer until study termination (see </w:t>
      </w:r>
      <w:r>
        <w:fldChar w:fldCharType="begin"/>
      </w:r>
      <w:r>
        <w:instrText xml:space="preserve"> REF _Ref17095993 \h </w:instrText>
      </w:r>
      <w:r>
        <w:fldChar w:fldCharType="separate"/>
      </w:r>
      <w:r w:rsidR="00BD60C9">
        <w:t xml:space="preserve">Figure </w:t>
      </w:r>
      <w:r w:rsidR="00BD60C9">
        <w:rPr>
          <w:noProof/>
        </w:rPr>
        <w:t>1</w:t>
      </w:r>
      <w:r>
        <w:fldChar w:fldCharType="end"/>
      </w:r>
      <w:r>
        <w:t xml:space="preserve"> </w:t>
      </w:r>
      <w:r w:rsidR="00110AA9">
        <w:t>left panel)</w:t>
      </w:r>
      <w:r>
        <w:t>.</w:t>
      </w:r>
    </w:p>
    <w:p w14:paraId="7FFAF2EE" w14:textId="77777777" w:rsidR="00110AA9" w:rsidRDefault="00D674E2" w:rsidP="00110AA9">
      <w:pPr>
        <w:pStyle w:val="ListBullet2"/>
      </w:pPr>
      <w:r>
        <w:t>Decrease</w:t>
      </w:r>
      <w:r w:rsidR="00110AA9">
        <w:t xml:space="preserve"> in ear dermal inflammation and epidermal hyperplasia</w:t>
      </w:r>
      <w:r>
        <w:t>.</w:t>
      </w:r>
    </w:p>
    <w:p w14:paraId="59468CCB" w14:textId="77777777" w:rsidR="00110AA9" w:rsidRDefault="00D674E2" w:rsidP="00D674E2">
      <w:pPr>
        <w:pStyle w:val="ListBullet2"/>
      </w:pPr>
      <w:r>
        <w:t>Increase</w:t>
      </w:r>
      <w:r w:rsidR="00110AA9">
        <w:t xml:space="preserve"> in cholesterol and </w:t>
      </w:r>
      <w:r>
        <w:t xml:space="preserve">high </w:t>
      </w:r>
      <w:r w:rsidRPr="00D674E2">
        <w:t xml:space="preserve">density lipoprotein </w:t>
      </w:r>
      <w:r>
        <w:t>(</w:t>
      </w:r>
      <w:r w:rsidR="00110AA9">
        <w:t>HDL</w:t>
      </w:r>
      <w:r>
        <w:t>)</w:t>
      </w:r>
      <w:r w:rsidR="00110AA9">
        <w:t xml:space="preserve"> levels</w:t>
      </w:r>
      <w:r>
        <w:t>.</w:t>
      </w:r>
    </w:p>
    <w:p w14:paraId="02943D2A" w14:textId="77777777" w:rsidR="00110AA9" w:rsidRDefault="00D674E2" w:rsidP="00CA2E63">
      <w:pPr>
        <w:pStyle w:val="ListBullet2"/>
      </w:pPr>
      <w:r>
        <w:lastRenderedPageBreak/>
        <w:t>Decrease in</w:t>
      </w:r>
      <w:r w:rsidR="00110AA9">
        <w:t xml:space="preserve"> </w:t>
      </w:r>
      <w:r w:rsidR="00403A18">
        <w:t>ribonucleic acid (</w:t>
      </w:r>
      <w:r w:rsidR="00110AA9">
        <w:t>RNA</w:t>
      </w:r>
      <w:r w:rsidR="00403A18">
        <w:t>)</w:t>
      </w:r>
      <w:r w:rsidR="00110AA9">
        <w:t xml:space="preserve"> expression of IL-12 (p35 and p40), IL-23a, S100A8, </w:t>
      </w:r>
      <w:r w:rsidR="00CA2E63" w:rsidRPr="00CA2E63">
        <w:t xml:space="preserve">chemokine (C-X-C motif) ligand 1 </w:t>
      </w:r>
      <w:r w:rsidR="00CA2E63">
        <w:t>(</w:t>
      </w:r>
      <w:r w:rsidR="00110AA9">
        <w:t>CXCL1</w:t>
      </w:r>
      <w:r w:rsidR="00CA2E63">
        <w:t>)</w:t>
      </w:r>
      <w:r w:rsidR="00110AA9">
        <w:t>, CXCL10 and IL-6 in the ear</w:t>
      </w:r>
      <w:r w:rsidR="00CA2E63">
        <w:t>.</w:t>
      </w:r>
    </w:p>
    <w:p w14:paraId="0BFB1993" w14:textId="77777777" w:rsidR="00110AA9" w:rsidRDefault="00110AA9" w:rsidP="00110AA9">
      <w:pPr>
        <w:pStyle w:val="ListBullet"/>
      </w:pPr>
      <w:r>
        <w:t xml:space="preserve">Prophylactic treatment with </w:t>
      </w:r>
      <w:proofErr w:type="spellStart"/>
      <w:r>
        <w:t>tofacitinib</w:t>
      </w:r>
      <w:proofErr w:type="spellEnd"/>
      <w:r>
        <w:t xml:space="preserve"> did not affect pSTAT3 blood expression (in CD34+ cells).</w:t>
      </w:r>
    </w:p>
    <w:p w14:paraId="3B10E16A" w14:textId="77777777" w:rsidR="00110AA9" w:rsidRDefault="00110AA9" w:rsidP="00110AA9">
      <w:pPr>
        <w:pStyle w:val="ListBullet"/>
      </w:pPr>
      <w:r>
        <w:t xml:space="preserve">Compared to vehicle controls, therapeutic administration of </w:t>
      </w:r>
      <w:proofErr w:type="spellStart"/>
      <w:r>
        <w:t>tofacitinib</w:t>
      </w:r>
      <w:proofErr w:type="spellEnd"/>
      <w:r>
        <w:t xml:space="preserve"> induced significant</w:t>
      </w:r>
      <w:r w:rsidR="00CA2E63">
        <w:t>:</w:t>
      </w:r>
    </w:p>
    <w:p w14:paraId="11A47525" w14:textId="77777777" w:rsidR="00110AA9" w:rsidRDefault="00CA2E63" w:rsidP="00110AA9">
      <w:pPr>
        <w:pStyle w:val="ListBullet2"/>
      </w:pPr>
      <w:r>
        <w:t xml:space="preserve">Decrease in disease score 11 days post </w:t>
      </w:r>
      <w:r w:rsidR="00110AA9">
        <w:t xml:space="preserve">initiation of the treatment (corresponding to 49 days post-transfer; see </w:t>
      </w:r>
      <w:r>
        <w:fldChar w:fldCharType="begin"/>
      </w:r>
      <w:r>
        <w:instrText xml:space="preserve"> REF _Ref17095993 \h </w:instrText>
      </w:r>
      <w:r>
        <w:fldChar w:fldCharType="separate"/>
      </w:r>
      <w:r w:rsidR="00BD60C9">
        <w:t xml:space="preserve">Figure </w:t>
      </w:r>
      <w:r w:rsidR="00BD60C9">
        <w:rPr>
          <w:noProof/>
        </w:rPr>
        <w:t>1</w:t>
      </w:r>
      <w:r>
        <w:fldChar w:fldCharType="end"/>
      </w:r>
      <w:r>
        <w:t xml:space="preserve"> </w:t>
      </w:r>
      <w:r w:rsidR="00110AA9">
        <w:t>right panel)</w:t>
      </w:r>
      <w:r>
        <w:t>.</w:t>
      </w:r>
    </w:p>
    <w:p w14:paraId="6D2EC83B" w14:textId="77777777" w:rsidR="00110AA9" w:rsidRDefault="00CA2E63" w:rsidP="00110AA9">
      <w:pPr>
        <w:pStyle w:val="ListBullet2"/>
      </w:pPr>
      <w:r>
        <w:t>Decrease in</w:t>
      </w:r>
      <w:r w:rsidR="00110AA9">
        <w:t xml:space="preserve"> inflammatory cell infiltrates and epidermal thickening (data not provided)</w:t>
      </w:r>
      <w:r>
        <w:t>.</w:t>
      </w:r>
    </w:p>
    <w:p w14:paraId="36C47DB0" w14:textId="77777777" w:rsidR="00110AA9" w:rsidRDefault="00CA2E63" w:rsidP="00110AA9">
      <w:pPr>
        <w:pStyle w:val="ListBullet2"/>
      </w:pPr>
      <w:r>
        <w:t>Decrease</w:t>
      </w:r>
      <w:r w:rsidR="00110AA9">
        <w:t xml:space="preserve"> in pSTAT3 expression in ear dermis and epidermis</w:t>
      </w:r>
      <w:r>
        <w:t>.</w:t>
      </w:r>
    </w:p>
    <w:p w14:paraId="2B16A553" w14:textId="77777777" w:rsidR="00110AA9" w:rsidRDefault="00110AA9" w:rsidP="00110AA9">
      <w:pPr>
        <w:pStyle w:val="ListBullet"/>
      </w:pPr>
      <w:r>
        <w:t xml:space="preserve">Therapeutic treatment with </w:t>
      </w:r>
      <w:proofErr w:type="spellStart"/>
      <w:r>
        <w:t>tofacitinib</w:t>
      </w:r>
      <w:proofErr w:type="spellEnd"/>
      <w:r>
        <w:t xml:space="preserve"> did not affect IL-12 (p35 and p40), IL-23a and S100A8 RNA expression.</w:t>
      </w:r>
    </w:p>
    <w:p w14:paraId="1ED13992" w14:textId="3A490009" w:rsidR="008320E6" w:rsidRDefault="00D674E2" w:rsidP="00D674E2">
      <w:pPr>
        <w:pStyle w:val="FigureTitle"/>
      </w:pPr>
      <w:bookmarkStart w:id="44" w:name="_Ref17095993"/>
      <w:r>
        <w:t xml:space="preserve">Figure </w:t>
      </w:r>
      <w:fldSimple w:instr=" SEQ Figure \* ARABIC ">
        <w:r w:rsidR="009B7AE8">
          <w:rPr>
            <w:noProof/>
          </w:rPr>
          <w:t>1</w:t>
        </w:r>
      </w:fldSimple>
      <w:bookmarkEnd w:id="44"/>
      <w:r w:rsidR="00292C7E">
        <w:t xml:space="preserve">: </w:t>
      </w:r>
      <w:r w:rsidR="00197578">
        <w:t xml:space="preserve">Study </w:t>
      </w:r>
      <w:r w:rsidR="00197578" w:rsidRPr="00197578">
        <w:t>CP-690550_02Jun14_113323</w:t>
      </w:r>
      <w:r w:rsidR="00197578">
        <w:t xml:space="preserve"> </w:t>
      </w:r>
      <w:r w:rsidR="008320E6">
        <w:t>Effects of prophylactic (left) and therapeutic (right)</w:t>
      </w:r>
      <w:r w:rsidR="00292C7E">
        <w:t xml:space="preserve"> dosing with 30 mg/kg </w:t>
      </w:r>
      <w:proofErr w:type="spellStart"/>
      <w:r w:rsidR="00292C7E">
        <w:t>tofacitinib</w:t>
      </w:r>
      <w:proofErr w:type="spellEnd"/>
    </w:p>
    <w:p w14:paraId="5B9A5667" w14:textId="77777777" w:rsidR="00110AA9" w:rsidRDefault="00110AA9" w:rsidP="00110AA9">
      <w:r>
        <w:rPr>
          <w:noProof/>
          <w:lang w:eastAsia="en-AU"/>
        </w:rPr>
        <w:drawing>
          <wp:inline distT="0" distB="0" distL="0" distR="0" wp14:anchorId="7DB6F392" wp14:editId="6EAB3128">
            <wp:extent cx="4981651" cy="2136894"/>
            <wp:effectExtent l="0" t="0" r="0" b="0"/>
            <wp:docPr id="2" name="Picture 2" descr="Effects of prophylactic (left) and therapeutic (right) dosing with 30 mg/kg tofaciti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982964" cy="2137457"/>
                    </a:xfrm>
                    <a:prstGeom prst="rect">
                      <a:avLst/>
                    </a:prstGeom>
                  </pic:spPr>
                </pic:pic>
              </a:graphicData>
            </a:graphic>
          </wp:inline>
        </w:drawing>
      </w:r>
    </w:p>
    <w:p w14:paraId="4AF18861" w14:textId="4B7EA0E0" w:rsidR="00110AA9" w:rsidRDefault="00B02FFF" w:rsidP="00110AA9">
      <w:pPr>
        <w:pStyle w:val="Heading5"/>
      </w:pPr>
      <w:r>
        <w:t>Study</w:t>
      </w:r>
      <w:r w:rsidR="00110AA9">
        <w:t xml:space="preserve"> CP-690550_02Jun14_113429 </w:t>
      </w:r>
      <w:r w:rsidR="00197578">
        <w:t>(</w:t>
      </w:r>
      <w:r w:rsidR="00110AA9">
        <w:t>Amendment</w:t>
      </w:r>
      <w:r w:rsidR="00197578">
        <w:t>)</w:t>
      </w:r>
    </w:p>
    <w:p w14:paraId="2F09DEB6" w14:textId="77777777" w:rsidR="00110AA9" w:rsidRDefault="00110AA9" w:rsidP="00110AA9">
      <w:pPr>
        <w:pStyle w:val="Heading6"/>
      </w:pPr>
      <w:r>
        <w:t>Study details</w:t>
      </w:r>
    </w:p>
    <w:p w14:paraId="28B1AE0E" w14:textId="4E6DA8D8" w:rsidR="00110AA9" w:rsidRDefault="00110AA9" w:rsidP="00DE118A">
      <w:r>
        <w:t xml:space="preserve">The effect of </w:t>
      </w:r>
      <w:proofErr w:type="spellStart"/>
      <w:r>
        <w:t>tofacitinib</w:t>
      </w:r>
      <w:proofErr w:type="spellEnd"/>
      <w:r>
        <w:t xml:space="preserve"> in a xenograft model of psoriasis in mice</w:t>
      </w:r>
      <w:r w:rsidR="00197578">
        <w:t>. Dated: </w:t>
      </w:r>
      <w:r>
        <w:t>2</w:t>
      </w:r>
      <w:r w:rsidR="00197578">
        <w:t> </w:t>
      </w:r>
      <w:r>
        <w:t>June</w:t>
      </w:r>
      <w:r w:rsidR="00197578">
        <w:t> </w:t>
      </w:r>
      <w:r>
        <w:t>2014</w:t>
      </w:r>
      <w:r w:rsidR="00CA2E63">
        <w:t>.</w:t>
      </w:r>
    </w:p>
    <w:p w14:paraId="436F22EE" w14:textId="58C39D59" w:rsidR="00110AA9" w:rsidRDefault="00110AA9" w:rsidP="00110AA9">
      <w:pPr>
        <w:pStyle w:val="ListBullet"/>
      </w:pPr>
      <w:r>
        <w:t xml:space="preserve">Psoriasis and </w:t>
      </w:r>
      <w:proofErr w:type="spellStart"/>
      <w:r>
        <w:t>keratome</w:t>
      </w:r>
      <w:proofErr w:type="spellEnd"/>
      <w:r>
        <w:t xml:space="preserve"> samples: human psoriatic plaque </w:t>
      </w:r>
      <w:proofErr w:type="spellStart"/>
      <w:r>
        <w:t>keratome</w:t>
      </w:r>
      <w:proofErr w:type="spellEnd"/>
      <w:r>
        <w:t xml:space="preserve"> skin (n = 5), one</w:t>
      </w:r>
      <w:r w:rsidR="00197578">
        <w:t> </w:t>
      </w:r>
      <w:proofErr w:type="spellStart"/>
      <w:r>
        <w:t>keratome</w:t>
      </w:r>
      <w:proofErr w:type="spellEnd"/>
      <w:r>
        <w:t xml:space="preserve"> biopsy for 12 recipient mice</w:t>
      </w:r>
      <w:r w:rsidR="00CA2E63">
        <w:t>.</w:t>
      </w:r>
    </w:p>
    <w:p w14:paraId="199BE81E" w14:textId="17DE5890" w:rsidR="00110AA9" w:rsidRDefault="00110AA9" w:rsidP="00110AA9">
      <w:pPr>
        <w:pStyle w:val="ListBullet"/>
      </w:pPr>
      <w:r>
        <w:t xml:space="preserve">Animals: Mice; </w:t>
      </w:r>
      <w:r w:rsidR="00FF128A">
        <w:rPr>
          <w:rFonts w:ascii="Times New Roman" w:hAnsi="Times New Roman"/>
        </w:rPr>
        <w:t>female</w:t>
      </w:r>
      <w:r w:rsidR="00CA2E63">
        <w:t xml:space="preserve">; C.B-17 SCID; age: 6 to </w:t>
      </w:r>
      <w:r>
        <w:t>8 weeks</w:t>
      </w:r>
      <w:r w:rsidR="00CA2E63">
        <w:t>.</w:t>
      </w:r>
    </w:p>
    <w:p w14:paraId="0D2490B5" w14:textId="77777777" w:rsidR="00110AA9" w:rsidRDefault="00110AA9" w:rsidP="00110AA9">
      <w:pPr>
        <w:pStyle w:val="ListBullet"/>
      </w:pPr>
      <w:r>
        <w:t xml:space="preserve">Test item: </w:t>
      </w:r>
      <w:proofErr w:type="spellStart"/>
      <w:r>
        <w:t>tofacitinib</w:t>
      </w:r>
      <w:proofErr w:type="spellEnd"/>
      <w:r>
        <w:t xml:space="preserve">, vehicle (0.5% methylcellulose, 0.25% Tween 80), </w:t>
      </w:r>
      <w:proofErr w:type="spellStart"/>
      <w:r>
        <w:t>ustekinumab</w:t>
      </w:r>
      <w:proofErr w:type="spellEnd"/>
      <w:r w:rsidR="00CA2E63">
        <w:t>.</w:t>
      </w:r>
    </w:p>
    <w:p w14:paraId="4ED02002" w14:textId="77777777" w:rsidR="00110AA9" w:rsidRDefault="00110AA9" w:rsidP="00110AA9">
      <w:pPr>
        <w:pStyle w:val="ListBullet"/>
      </w:pPr>
      <w:r>
        <w:t xml:space="preserve">Dose range: </w:t>
      </w:r>
      <w:proofErr w:type="spellStart"/>
      <w:r>
        <w:t>tofacitinib</w:t>
      </w:r>
      <w:proofErr w:type="spellEnd"/>
      <w:r>
        <w:t xml:space="preserve">: 30 mg/kg, vehicle, PO, </w:t>
      </w:r>
      <w:r w:rsidR="003A1B70">
        <w:t>BD</w:t>
      </w:r>
      <w:r>
        <w:t xml:space="preserve"> for 3 weeks; </w:t>
      </w:r>
      <w:proofErr w:type="spellStart"/>
      <w:r>
        <w:t>ustekinumab</w:t>
      </w:r>
      <w:proofErr w:type="spellEnd"/>
      <w:r>
        <w:t xml:space="preserve"> 9 mg/kg, IP, once weekly for 3 weeks</w:t>
      </w:r>
      <w:r w:rsidR="00CA2E63">
        <w:t>.</w:t>
      </w:r>
    </w:p>
    <w:p w14:paraId="2168C5AB" w14:textId="77777777" w:rsidR="00110AA9" w:rsidRDefault="00110AA9" w:rsidP="00110AA9">
      <w:pPr>
        <w:pStyle w:val="Heading6"/>
      </w:pPr>
      <w:r>
        <w:t>Results</w:t>
      </w:r>
    </w:p>
    <w:p w14:paraId="4B73FBE6" w14:textId="77777777" w:rsidR="00110AA9" w:rsidRDefault="00110AA9" w:rsidP="00110AA9">
      <w:pPr>
        <w:pStyle w:val="ListBullet"/>
      </w:pPr>
      <w:r>
        <w:t xml:space="preserve">Treatment with </w:t>
      </w:r>
      <w:proofErr w:type="spellStart"/>
      <w:r>
        <w:t>tofa</w:t>
      </w:r>
      <w:r w:rsidR="00CA2E63">
        <w:t>citinib</w:t>
      </w:r>
      <w:proofErr w:type="spellEnd"/>
      <w:r w:rsidR="00CA2E63">
        <w:t xml:space="preserve"> or </w:t>
      </w:r>
      <w:proofErr w:type="spellStart"/>
      <w:r w:rsidR="00CA2E63">
        <w:t>ustekinumab</w:t>
      </w:r>
      <w:proofErr w:type="spellEnd"/>
      <w:r w:rsidR="00CA2E63">
        <w:t xml:space="preserve"> decreased</w:t>
      </w:r>
      <w:r>
        <w:t xml:space="preserve"> psoriatic scores by D</w:t>
      </w:r>
      <w:r w:rsidR="00CA2E63">
        <w:t xml:space="preserve">ay </w:t>
      </w:r>
      <w:r>
        <w:t>7 until the end of the study, c</w:t>
      </w:r>
      <w:r w:rsidR="00CA2E63">
        <w:t xml:space="preserve">ompared to control (treatment versus control scores at 3 </w:t>
      </w:r>
      <w:r>
        <w:t xml:space="preserve">weeks were statistically significant: </w:t>
      </w:r>
      <w:proofErr w:type="spellStart"/>
      <w:r>
        <w:t>tofacitinib</w:t>
      </w:r>
      <w:proofErr w:type="spellEnd"/>
      <w:r>
        <w:t xml:space="preserve"> 0.9 ± 0.7, </w:t>
      </w:r>
      <w:proofErr w:type="spellStart"/>
      <w:r>
        <w:t>ustek</w:t>
      </w:r>
      <w:r w:rsidR="00CA2E63">
        <w:t>inumab</w:t>
      </w:r>
      <w:proofErr w:type="spellEnd"/>
      <w:r w:rsidR="00CA2E63">
        <w:t xml:space="preserve"> 1.3 ± 0.6, control 2.1 ± </w:t>
      </w:r>
      <w:r>
        <w:t>0.7).</w:t>
      </w:r>
    </w:p>
    <w:p w14:paraId="3B938B09" w14:textId="77777777" w:rsidR="00110AA9" w:rsidRDefault="00110AA9" w:rsidP="00CA2E63">
      <w:pPr>
        <w:pStyle w:val="ListBullet"/>
      </w:pPr>
      <w:r>
        <w:t xml:space="preserve">Tofacitinib treatment </w:t>
      </w:r>
      <w:r w:rsidR="00CA2E63">
        <w:t>significantly decreased</w:t>
      </w:r>
      <w:r>
        <w:t xml:space="preserve"> epidermal thickness of the grafted skin (178 ± 70 </w:t>
      </w:r>
      <w:proofErr w:type="spellStart"/>
      <w:r>
        <w:t>μm</w:t>
      </w:r>
      <w:proofErr w:type="spellEnd"/>
      <w:r>
        <w:t xml:space="preserve">) compared to control group (348 ± 103 </w:t>
      </w:r>
      <w:proofErr w:type="spellStart"/>
      <w:r>
        <w:t>μm</w:t>
      </w:r>
      <w:proofErr w:type="spellEnd"/>
      <w:r>
        <w:t>)</w:t>
      </w:r>
      <w:r w:rsidR="00CA2E63">
        <w:t>.</w:t>
      </w:r>
      <w:proofErr w:type="spellStart"/>
      <w:r w:rsidR="00CA2E63">
        <w:t>Ustekinumab</w:t>
      </w:r>
      <w:proofErr w:type="spellEnd"/>
      <w:r w:rsidR="00CA2E63">
        <w:t>: 293 ± 116 </w:t>
      </w:r>
      <w:proofErr w:type="spellStart"/>
      <w:r w:rsidR="00CA2E63">
        <w:t>μm</w:t>
      </w:r>
      <w:proofErr w:type="spellEnd"/>
      <w:r>
        <w:t>.</w:t>
      </w:r>
    </w:p>
    <w:p w14:paraId="2649A200" w14:textId="77777777" w:rsidR="00110AA9" w:rsidRDefault="00CA2E63" w:rsidP="00110AA9">
      <w:pPr>
        <w:pStyle w:val="ListBullet"/>
      </w:pPr>
      <w:r>
        <w:lastRenderedPageBreak/>
        <w:t xml:space="preserve">Histology scores (see </w:t>
      </w:r>
      <w:r>
        <w:fldChar w:fldCharType="begin"/>
      </w:r>
      <w:r>
        <w:instrText xml:space="preserve"> REF _Ref17096732 \h </w:instrText>
      </w:r>
      <w:r>
        <w:fldChar w:fldCharType="separate"/>
      </w:r>
      <w:r>
        <w:t xml:space="preserve">Table </w:t>
      </w:r>
      <w:r>
        <w:rPr>
          <w:noProof/>
        </w:rPr>
        <w:t>5</w:t>
      </w:r>
      <w:r>
        <w:fldChar w:fldCharType="end"/>
      </w:r>
      <w:r w:rsidR="00110AA9">
        <w:t xml:space="preserve">) were significantly improved in </w:t>
      </w:r>
      <w:proofErr w:type="spellStart"/>
      <w:r w:rsidR="00110AA9">
        <w:t>tofacitinib</w:t>
      </w:r>
      <w:proofErr w:type="spellEnd"/>
      <w:r w:rsidR="00110AA9">
        <w:t xml:space="preserve"> treated animals compared to control mice.</w:t>
      </w:r>
    </w:p>
    <w:p w14:paraId="71D8A9A5" w14:textId="77777777" w:rsidR="00110AA9" w:rsidRDefault="00110AA9" w:rsidP="00110AA9">
      <w:pPr>
        <w:pStyle w:val="ListBullet"/>
      </w:pPr>
      <w:r>
        <w:t>pSTAT</w:t>
      </w:r>
      <w:r w:rsidR="00CA2E63">
        <w:t>3 expression was significantly decreased</w:t>
      </w:r>
      <w:r>
        <w:t xml:space="preserve"> in epider</w:t>
      </w:r>
      <w:r w:rsidR="00CA2E63">
        <w:t xml:space="preserve">mis and dermis from </w:t>
      </w:r>
      <w:proofErr w:type="spellStart"/>
      <w:r w:rsidR="00CA2E63">
        <w:t>tofacitinib</w:t>
      </w:r>
      <w:proofErr w:type="spellEnd"/>
      <w:r w:rsidR="00CA2E63">
        <w:t xml:space="preserve"> </w:t>
      </w:r>
      <w:r>
        <w:t>treated mice compared to control mice.</w:t>
      </w:r>
      <w:r w:rsidR="00CA2E63">
        <w:t xml:space="preserve"> </w:t>
      </w:r>
      <w:proofErr w:type="spellStart"/>
      <w:r w:rsidR="00CA2E63">
        <w:t>Ustekinumab</w:t>
      </w:r>
      <w:proofErr w:type="spellEnd"/>
      <w:r w:rsidR="00CA2E63">
        <w:t xml:space="preserve"> treatment did not decrease</w:t>
      </w:r>
      <w:r>
        <w:t xml:space="preserve"> pSTAT3 expression.</w:t>
      </w:r>
    </w:p>
    <w:p w14:paraId="1FF1225E" w14:textId="77777777" w:rsidR="00110AA9" w:rsidRDefault="00110AA9" w:rsidP="00110AA9">
      <w:pPr>
        <w:pStyle w:val="ListBullet"/>
      </w:pPr>
      <w:r>
        <w:t>Tofac</w:t>
      </w:r>
      <w:r w:rsidR="00CA2E63">
        <w:t>itinib treatment significantly decreased</w:t>
      </w:r>
      <w:r>
        <w:t xml:space="preserve"> skin gene expression of </w:t>
      </w:r>
      <w:proofErr w:type="spellStart"/>
      <w:r w:rsidR="00CA2E63">
        <w:t>cathepsin</w:t>
      </w:r>
      <w:proofErr w:type="spellEnd"/>
      <w:r w:rsidR="00CA2E63">
        <w:t xml:space="preserve"> C (</w:t>
      </w:r>
      <w:r>
        <w:t>CTSC</w:t>
      </w:r>
      <w:r w:rsidR="00CA2E63">
        <w:t>)</w:t>
      </w:r>
      <w:r>
        <w:t xml:space="preserve">, CXCL1 (chemokine), IL-12Rβ1, IL-15, compared to controls. No </w:t>
      </w:r>
      <w:proofErr w:type="spellStart"/>
      <w:r>
        <w:t>ustekinumad</w:t>
      </w:r>
      <w:proofErr w:type="spellEnd"/>
      <w:r>
        <w:t>-related effects on gene expression observed.</w:t>
      </w:r>
    </w:p>
    <w:p w14:paraId="00C03AB5" w14:textId="77777777" w:rsidR="00110AA9" w:rsidRDefault="00110AA9" w:rsidP="00110AA9">
      <w:pPr>
        <w:pStyle w:val="ListBullet"/>
      </w:pPr>
      <w:r>
        <w:t>There were no treatment-related effects on body weight (data not provided).</w:t>
      </w:r>
    </w:p>
    <w:p w14:paraId="6998DAF6" w14:textId="77C2A92A" w:rsidR="00110AA9" w:rsidRDefault="00B02FFF" w:rsidP="00B02FFF">
      <w:pPr>
        <w:pStyle w:val="TableTitle"/>
      </w:pPr>
      <w:bookmarkStart w:id="45" w:name="_Ref17096732"/>
      <w:r>
        <w:t xml:space="preserve">Table </w:t>
      </w:r>
      <w:fldSimple w:instr=" SEQ Table \* ARABIC ">
        <w:r w:rsidR="0061158C">
          <w:rPr>
            <w:noProof/>
          </w:rPr>
          <w:t>5</w:t>
        </w:r>
      </w:fldSimple>
      <w:bookmarkEnd w:id="45"/>
      <w:r>
        <w:t>: Study CP-690550_02Jun14_113429</w:t>
      </w:r>
      <w:r w:rsidR="00197578">
        <w:t xml:space="preserve"> (</w:t>
      </w:r>
      <w:r>
        <w:t>Amendment</w:t>
      </w:r>
      <w:r w:rsidR="00197578">
        <w:t>)</w:t>
      </w:r>
      <w:r>
        <w:t xml:space="preserve"> Histology scores</w:t>
      </w:r>
    </w:p>
    <w:p w14:paraId="28150BD3" w14:textId="77777777" w:rsidR="00110AA9" w:rsidRDefault="00B02FFF" w:rsidP="00110AA9">
      <w:r>
        <w:rPr>
          <w:noProof/>
          <w:lang w:eastAsia="en-AU"/>
        </w:rPr>
        <w:drawing>
          <wp:inline distT="0" distB="0" distL="0" distR="0" wp14:anchorId="3889B4F5" wp14:editId="15EFE45D">
            <wp:extent cx="5400040" cy="2114439"/>
            <wp:effectExtent l="0" t="0" r="0" b="635"/>
            <wp:docPr id="1" name="Picture 1" descr="Study CP-690550_02Jun14_113429 – Amendment: Histology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2114439"/>
                    </a:xfrm>
                    <a:prstGeom prst="rect">
                      <a:avLst/>
                    </a:prstGeom>
                  </pic:spPr>
                </pic:pic>
              </a:graphicData>
            </a:graphic>
          </wp:inline>
        </w:drawing>
      </w:r>
    </w:p>
    <w:p w14:paraId="4A7377A4" w14:textId="20DA8052" w:rsidR="00110AA9" w:rsidRPr="00110AA9" w:rsidRDefault="00110AA9" w:rsidP="003A1B70">
      <w:pPr>
        <w:pStyle w:val="TableDescription"/>
      </w:pPr>
      <w:r w:rsidRPr="00110AA9">
        <w:t xml:space="preserve">Data for </w:t>
      </w:r>
      <w:proofErr w:type="spellStart"/>
      <w:r w:rsidRPr="00110AA9">
        <w:t>tofacitinib</w:t>
      </w:r>
      <w:proofErr w:type="spellEnd"/>
      <w:r w:rsidRPr="00110AA9">
        <w:t xml:space="preserve"> and </w:t>
      </w:r>
      <w:proofErr w:type="spellStart"/>
      <w:r w:rsidRPr="00110AA9">
        <w:t>ustekinumab</w:t>
      </w:r>
      <w:proofErr w:type="spellEnd"/>
      <w:r w:rsidRPr="00110AA9">
        <w:t xml:space="preserve"> presented in this table are all statistically significant compared to control except when NS (not significant compared to control group).</w:t>
      </w:r>
      <w:r w:rsidR="00197578">
        <w:t xml:space="preserve"> SEM = standard error of the mean.</w:t>
      </w:r>
    </w:p>
    <w:p w14:paraId="4AC1AE30" w14:textId="77777777" w:rsidR="002C57FB" w:rsidRDefault="008E7846" w:rsidP="002C57FB">
      <w:pPr>
        <w:pStyle w:val="Heading3"/>
      </w:pPr>
      <w:bookmarkStart w:id="46" w:name="_Toc247691513"/>
      <w:bookmarkStart w:id="47" w:name="_Toc314842497"/>
      <w:bookmarkStart w:id="48" w:name="_Toc22048609"/>
      <w:r>
        <w:t>Pharmacokinetics</w:t>
      </w:r>
      <w:bookmarkStart w:id="49" w:name="_Toc247691514"/>
      <w:bookmarkStart w:id="50" w:name="_Toc314842498"/>
      <w:bookmarkEnd w:id="46"/>
      <w:bookmarkEnd w:id="47"/>
      <w:bookmarkEnd w:id="48"/>
    </w:p>
    <w:p w14:paraId="03443897" w14:textId="77777777" w:rsidR="004334C7" w:rsidRDefault="002C57FB" w:rsidP="002C57FB">
      <w:pPr>
        <w:pStyle w:val="TableTitle"/>
      </w:pPr>
      <w:r>
        <w:t xml:space="preserve">Table </w:t>
      </w:r>
      <w:fldSimple w:instr=" SEQ Table \* ARABIC ">
        <w:r w:rsidR="0061158C">
          <w:rPr>
            <w:noProof/>
          </w:rPr>
          <w:t>6</w:t>
        </w:r>
      </w:fldSimple>
      <w:r>
        <w:t>:</w:t>
      </w:r>
      <w:bookmarkStart w:id="51" w:name="_Toc499628941"/>
      <w:r w:rsidRPr="002C57FB">
        <w:t xml:space="preserve"> </w:t>
      </w:r>
      <w:r>
        <w:t>Pharmacokinetic drug interactions</w:t>
      </w:r>
      <w:bookmarkEnd w:id="51"/>
    </w:p>
    <w:tbl>
      <w:tblPr>
        <w:tblStyle w:val="TableTGAblue"/>
        <w:tblW w:w="0" w:type="auto"/>
        <w:tblLayout w:type="fixed"/>
        <w:tblLook w:val="04A0" w:firstRow="1" w:lastRow="0" w:firstColumn="1" w:lastColumn="0" w:noHBand="0" w:noVBand="1"/>
      </w:tblPr>
      <w:tblGrid>
        <w:gridCol w:w="1384"/>
        <w:gridCol w:w="1559"/>
        <w:gridCol w:w="1701"/>
        <w:gridCol w:w="1560"/>
        <w:gridCol w:w="2326"/>
      </w:tblGrid>
      <w:tr w:rsidR="002C57FB" w:rsidRPr="002C57FB" w14:paraId="1F873484" w14:textId="77777777" w:rsidTr="0063014B">
        <w:trPr>
          <w:cnfStyle w:val="100000000000" w:firstRow="1" w:lastRow="0" w:firstColumn="0" w:lastColumn="0" w:oddVBand="0" w:evenVBand="0" w:oddHBand="0" w:evenHBand="0" w:firstRowFirstColumn="0" w:firstRowLastColumn="0" w:lastRowFirstColumn="0" w:lastRowLastColumn="0"/>
          <w:trHeight w:val="994"/>
        </w:trPr>
        <w:tc>
          <w:tcPr>
            <w:tcW w:w="1384" w:type="dxa"/>
          </w:tcPr>
          <w:p w14:paraId="6B3BA177" w14:textId="77777777" w:rsidR="002C57FB" w:rsidRPr="002C57FB" w:rsidRDefault="002C57FB" w:rsidP="002C57FB">
            <w:pPr>
              <w:ind w:left="0" w:right="0"/>
              <w:rPr>
                <w:sz w:val="20"/>
                <w:szCs w:val="20"/>
              </w:rPr>
            </w:pPr>
            <w:r w:rsidRPr="002C57FB">
              <w:rPr>
                <w:sz w:val="20"/>
                <w:szCs w:val="20"/>
              </w:rPr>
              <w:t>Study No.</w:t>
            </w:r>
          </w:p>
        </w:tc>
        <w:tc>
          <w:tcPr>
            <w:tcW w:w="1559" w:type="dxa"/>
          </w:tcPr>
          <w:p w14:paraId="69AE3D4E" w14:textId="77777777" w:rsidR="002C57FB" w:rsidRPr="002C57FB" w:rsidRDefault="002C57FB" w:rsidP="002C57FB">
            <w:pPr>
              <w:ind w:left="0" w:right="0"/>
              <w:rPr>
                <w:sz w:val="20"/>
                <w:szCs w:val="20"/>
              </w:rPr>
            </w:pPr>
            <w:r w:rsidRPr="002C57FB">
              <w:rPr>
                <w:sz w:val="20"/>
                <w:szCs w:val="20"/>
              </w:rPr>
              <w:t>Purpose</w:t>
            </w:r>
          </w:p>
        </w:tc>
        <w:tc>
          <w:tcPr>
            <w:tcW w:w="1701" w:type="dxa"/>
          </w:tcPr>
          <w:p w14:paraId="5C72B978" w14:textId="77777777" w:rsidR="002C57FB" w:rsidRPr="002C57FB" w:rsidRDefault="002C57FB" w:rsidP="002C57FB">
            <w:pPr>
              <w:ind w:left="0" w:right="0"/>
              <w:rPr>
                <w:sz w:val="20"/>
                <w:szCs w:val="20"/>
              </w:rPr>
            </w:pPr>
            <w:r w:rsidRPr="002C57FB">
              <w:rPr>
                <w:sz w:val="20"/>
                <w:szCs w:val="20"/>
              </w:rPr>
              <w:t>Experimental system</w:t>
            </w:r>
          </w:p>
        </w:tc>
        <w:tc>
          <w:tcPr>
            <w:tcW w:w="1560" w:type="dxa"/>
          </w:tcPr>
          <w:p w14:paraId="38420C28" w14:textId="77777777" w:rsidR="002C57FB" w:rsidRPr="002C57FB" w:rsidRDefault="002C57FB" w:rsidP="002C57FB">
            <w:pPr>
              <w:ind w:left="0" w:right="0"/>
              <w:rPr>
                <w:sz w:val="20"/>
                <w:szCs w:val="20"/>
              </w:rPr>
            </w:pPr>
            <w:r w:rsidRPr="002C57FB">
              <w:rPr>
                <w:sz w:val="20"/>
                <w:szCs w:val="20"/>
              </w:rPr>
              <w:t>Test concentration range</w:t>
            </w:r>
          </w:p>
        </w:tc>
        <w:tc>
          <w:tcPr>
            <w:tcW w:w="2326" w:type="dxa"/>
          </w:tcPr>
          <w:p w14:paraId="58D93305" w14:textId="77777777" w:rsidR="002C57FB" w:rsidRPr="002C57FB" w:rsidRDefault="002C57FB" w:rsidP="002C57FB">
            <w:pPr>
              <w:ind w:left="0" w:right="0"/>
              <w:rPr>
                <w:sz w:val="20"/>
                <w:szCs w:val="20"/>
              </w:rPr>
            </w:pPr>
            <w:r w:rsidRPr="002C57FB">
              <w:rPr>
                <w:sz w:val="20"/>
                <w:szCs w:val="20"/>
              </w:rPr>
              <w:t>Results</w:t>
            </w:r>
          </w:p>
        </w:tc>
      </w:tr>
      <w:tr w:rsidR="002C57FB" w:rsidRPr="002C57FB" w14:paraId="3A3BB0B1" w14:textId="77777777" w:rsidTr="0063014B">
        <w:trPr>
          <w:trHeight w:val="1618"/>
        </w:trPr>
        <w:tc>
          <w:tcPr>
            <w:tcW w:w="1384" w:type="dxa"/>
          </w:tcPr>
          <w:p w14:paraId="2644D5CF" w14:textId="2CCDDC03" w:rsidR="002C57FB" w:rsidRPr="002C57FB" w:rsidRDefault="002C57FB" w:rsidP="0063014B">
            <w:pPr>
              <w:ind w:left="0" w:right="0"/>
              <w:rPr>
                <w:sz w:val="20"/>
                <w:szCs w:val="20"/>
              </w:rPr>
            </w:pPr>
            <w:r w:rsidRPr="002C57FB">
              <w:rPr>
                <w:sz w:val="20"/>
                <w:szCs w:val="20"/>
              </w:rPr>
              <w:t>CP-690550_</w:t>
            </w:r>
            <w:r w:rsidR="0063014B">
              <w:rPr>
                <w:sz w:val="20"/>
                <w:szCs w:val="20"/>
              </w:rPr>
              <w:t xml:space="preserve"> </w:t>
            </w:r>
            <w:r w:rsidRPr="002C57FB">
              <w:rPr>
                <w:sz w:val="20"/>
                <w:szCs w:val="20"/>
              </w:rPr>
              <w:t>30Nov16_014154</w:t>
            </w:r>
          </w:p>
        </w:tc>
        <w:tc>
          <w:tcPr>
            <w:tcW w:w="1559" w:type="dxa"/>
          </w:tcPr>
          <w:p w14:paraId="39CB249D" w14:textId="77777777" w:rsidR="002C57FB" w:rsidRPr="002C57FB" w:rsidRDefault="002C57FB" w:rsidP="002C57FB">
            <w:pPr>
              <w:ind w:left="0" w:right="0"/>
              <w:rPr>
                <w:sz w:val="20"/>
                <w:szCs w:val="20"/>
              </w:rPr>
            </w:pPr>
            <w:r w:rsidRPr="002C57FB">
              <w:rPr>
                <w:sz w:val="20"/>
                <w:szCs w:val="20"/>
              </w:rPr>
              <w:t xml:space="preserve">Substrate affinity for human </w:t>
            </w:r>
            <w:r w:rsidR="0069655B" w:rsidRPr="0069655B">
              <w:rPr>
                <w:sz w:val="20"/>
                <w:szCs w:val="20"/>
              </w:rPr>
              <w:t xml:space="preserve">organic cation transporter 1 </w:t>
            </w:r>
            <w:r w:rsidR="0069655B">
              <w:rPr>
                <w:sz w:val="20"/>
                <w:szCs w:val="20"/>
              </w:rPr>
              <w:t>(</w:t>
            </w:r>
            <w:r w:rsidRPr="002C57FB">
              <w:rPr>
                <w:sz w:val="20"/>
                <w:szCs w:val="20"/>
              </w:rPr>
              <w:t>OCT1</w:t>
            </w:r>
            <w:r w:rsidR="0069655B">
              <w:rPr>
                <w:sz w:val="20"/>
                <w:szCs w:val="20"/>
              </w:rPr>
              <w:t>)</w:t>
            </w:r>
          </w:p>
        </w:tc>
        <w:tc>
          <w:tcPr>
            <w:tcW w:w="1701" w:type="dxa"/>
          </w:tcPr>
          <w:p w14:paraId="414880A3" w14:textId="77777777" w:rsidR="002C57FB" w:rsidRPr="002C57FB" w:rsidRDefault="002C57FB" w:rsidP="002C57FB">
            <w:pPr>
              <w:ind w:left="0" w:right="0"/>
              <w:rPr>
                <w:sz w:val="20"/>
                <w:szCs w:val="20"/>
              </w:rPr>
            </w:pPr>
            <w:r w:rsidRPr="002C57FB">
              <w:rPr>
                <w:sz w:val="20"/>
                <w:szCs w:val="20"/>
              </w:rPr>
              <w:t>OCT1-transfected HEK 293 cells</w:t>
            </w:r>
          </w:p>
        </w:tc>
        <w:tc>
          <w:tcPr>
            <w:tcW w:w="1560" w:type="dxa"/>
          </w:tcPr>
          <w:p w14:paraId="157BD2BF" w14:textId="77777777" w:rsidR="002C57FB" w:rsidRPr="002C57FB" w:rsidRDefault="002C57FB" w:rsidP="002C57FB">
            <w:pPr>
              <w:ind w:left="0" w:right="0"/>
              <w:rPr>
                <w:sz w:val="20"/>
                <w:szCs w:val="20"/>
              </w:rPr>
            </w:pPr>
            <w:r w:rsidRPr="002C57FB">
              <w:rPr>
                <w:i/>
                <w:sz w:val="20"/>
                <w:szCs w:val="20"/>
              </w:rPr>
              <w:t>In vitro</w:t>
            </w:r>
          </w:p>
          <w:p w14:paraId="4A50A195" w14:textId="77777777" w:rsidR="002C57FB" w:rsidRPr="002C57FB" w:rsidRDefault="003D1CE4" w:rsidP="002C57FB">
            <w:pPr>
              <w:ind w:left="0" w:right="0"/>
              <w:rPr>
                <w:sz w:val="20"/>
                <w:szCs w:val="20"/>
              </w:rPr>
            </w:pPr>
            <w:r>
              <w:rPr>
                <w:sz w:val="20"/>
                <w:szCs w:val="20"/>
              </w:rPr>
              <w:t xml:space="preserve">0.03 to </w:t>
            </w:r>
            <w:r w:rsidR="002C57FB" w:rsidRPr="002C57FB">
              <w:rPr>
                <w:sz w:val="20"/>
                <w:szCs w:val="20"/>
              </w:rPr>
              <w:t xml:space="preserve">0.15 </w:t>
            </w:r>
            <w:proofErr w:type="spellStart"/>
            <w:r w:rsidR="002C57FB" w:rsidRPr="002C57FB">
              <w:rPr>
                <w:sz w:val="20"/>
                <w:szCs w:val="20"/>
              </w:rPr>
              <w:t>μM</w:t>
            </w:r>
            <w:proofErr w:type="spellEnd"/>
          </w:p>
        </w:tc>
        <w:tc>
          <w:tcPr>
            <w:tcW w:w="2326" w:type="dxa"/>
          </w:tcPr>
          <w:p w14:paraId="1253B3D0" w14:textId="77777777" w:rsidR="002C57FB" w:rsidRPr="002C57FB" w:rsidRDefault="002C57FB" w:rsidP="002C57FB">
            <w:pPr>
              <w:ind w:left="0" w:right="0"/>
              <w:rPr>
                <w:rFonts w:asciiTheme="minorHAnsi" w:hAnsiTheme="minorHAnsi"/>
                <w:sz w:val="20"/>
                <w:szCs w:val="20"/>
              </w:rPr>
            </w:pPr>
            <w:r w:rsidRPr="002C57FB">
              <w:rPr>
                <w:rFonts w:asciiTheme="minorHAnsi" w:hAnsiTheme="minorHAnsi"/>
                <w:sz w:val="20"/>
                <w:szCs w:val="20"/>
              </w:rPr>
              <w:t>Tofacitinib is not a substrate for OCT1 at low substrate concentration.</w:t>
            </w:r>
          </w:p>
          <w:p w14:paraId="3025EE82" w14:textId="77777777" w:rsidR="002C57FB" w:rsidRPr="002C57FB" w:rsidRDefault="002C57FB" w:rsidP="002C57FB">
            <w:pPr>
              <w:ind w:left="0" w:right="0"/>
              <w:rPr>
                <w:rFonts w:asciiTheme="minorHAnsi" w:hAnsiTheme="minorHAnsi"/>
                <w:sz w:val="20"/>
                <w:szCs w:val="20"/>
              </w:rPr>
            </w:pPr>
            <w:r w:rsidRPr="002C57FB">
              <w:rPr>
                <w:rFonts w:asciiTheme="minorHAnsi" w:hAnsiTheme="minorHAnsi"/>
                <w:sz w:val="20"/>
                <w:szCs w:val="20"/>
              </w:rPr>
              <w:t xml:space="preserve">Consistent with previously </w:t>
            </w:r>
            <w:r>
              <w:rPr>
                <w:rFonts w:asciiTheme="minorHAnsi" w:hAnsiTheme="minorHAnsi"/>
                <w:sz w:val="20"/>
                <w:szCs w:val="20"/>
              </w:rPr>
              <w:t>assessed studies</w:t>
            </w:r>
          </w:p>
        </w:tc>
      </w:tr>
      <w:tr w:rsidR="002C57FB" w:rsidRPr="002C57FB" w14:paraId="0D6AD687" w14:textId="77777777" w:rsidTr="0063014B">
        <w:trPr>
          <w:trHeight w:val="1618"/>
        </w:trPr>
        <w:tc>
          <w:tcPr>
            <w:tcW w:w="1384" w:type="dxa"/>
          </w:tcPr>
          <w:p w14:paraId="698FF0B5" w14:textId="1F935C1E" w:rsidR="002C57FB" w:rsidRPr="002C57FB" w:rsidRDefault="002C57FB" w:rsidP="0063014B">
            <w:pPr>
              <w:ind w:left="0" w:right="0"/>
              <w:rPr>
                <w:sz w:val="20"/>
                <w:szCs w:val="20"/>
              </w:rPr>
            </w:pPr>
            <w:r w:rsidRPr="002C57FB">
              <w:rPr>
                <w:sz w:val="20"/>
                <w:szCs w:val="20"/>
              </w:rPr>
              <w:t>CP-690550_</w:t>
            </w:r>
            <w:r w:rsidR="0063014B">
              <w:rPr>
                <w:sz w:val="20"/>
                <w:szCs w:val="20"/>
              </w:rPr>
              <w:t xml:space="preserve"> </w:t>
            </w:r>
            <w:r w:rsidRPr="002C57FB">
              <w:rPr>
                <w:sz w:val="20"/>
                <w:szCs w:val="20"/>
              </w:rPr>
              <w:t>01Dec16_011352</w:t>
            </w:r>
          </w:p>
        </w:tc>
        <w:tc>
          <w:tcPr>
            <w:tcW w:w="1559" w:type="dxa"/>
          </w:tcPr>
          <w:p w14:paraId="5212338F" w14:textId="77777777" w:rsidR="002C57FB" w:rsidRPr="002C57FB" w:rsidRDefault="002C57FB" w:rsidP="002C57FB">
            <w:pPr>
              <w:ind w:left="0" w:right="0"/>
              <w:rPr>
                <w:sz w:val="20"/>
                <w:szCs w:val="20"/>
              </w:rPr>
            </w:pPr>
            <w:r w:rsidRPr="002C57FB">
              <w:rPr>
                <w:sz w:val="20"/>
                <w:szCs w:val="20"/>
              </w:rPr>
              <w:t xml:space="preserve">Substrate affinity for human </w:t>
            </w:r>
            <w:r w:rsidR="0069655B" w:rsidRPr="0069655B">
              <w:rPr>
                <w:sz w:val="20"/>
                <w:szCs w:val="20"/>
              </w:rPr>
              <w:t>organic-anion-transporting polypeptide</w:t>
            </w:r>
            <w:r w:rsidR="0069655B">
              <w:rPr>
                <w:sz w:val="20"/>
                <w:szCs w:val="20"/>
              </w:rPr>
              <w:t xml:space="preserve"> 1 B1 (</w:t>
            </w:r>
            <w:r w:rsidRPr="002C57FB">
              <w:rPr>
                <w:sz w:val="20"/>
                <w:szCs w:val="20"/>
              </w:rPr>
              <w:t>OATP1B1</w:t>
            </w:r>
            <w:r w:rsidR="0069655B">
              <w:rPr>
                <w:sz w:val="20"/>
                <w:szCs w:val="20"/>
              </w:rPr>
              <w:t>)</w:t>
            </w:r>
            <w:r w:rsidRPr="002C57FB">
              <w:rPr>
                <w:sz w:val="20"/>
                <w:szCs w:val="20"/>
              </w:rPr>
              <w:t xml:space="preserve"> and OATP1B3</w:t>
            </w:r>
          </w:p>
        </w:tc>
        <w:tc>
          <w:tcPr>
            <w:tcW w:w="1701" w:type="dxa"/>
          </w:tcPr>
          <w:p w14:paraId="1F50CCB1" w14:textId="77777777" w:rsidR="002C57FB" w:rsidRPr="002C57FB" w:rsidRDefault="0069655B" w:rsidP="002C57FB">
            <w:pPr>
              <w:ind w:left="0" w:right="0"/>
              <w:rPr>
                <w:sz w:val="20"/>
                <w:szCs w:val="20"/>
              </w:rPr>
            </w:pPr>
            <w:r>
              <w:rPr>
                <w:sz w:val="20"/>
                <w:szCs w:val="20"/>
              </w:rPr>
              <w:t>OATP1B1 or OATP1B3-transfected HEK </w:t>
            </w:r>
            <w:r w:rsidR="002C57FB" w:rsidRPr="002C57FB">
              <w:rPr>
                <w:sz w:val="20"/>
                <w:szCs w:val="20"/>
              </w:rPr>
              <w:t>293 cells</w:t>
            </w:r>
          </w:p>
        </w:tc>
        <w:tc>
          <w:tcPr>
            <w:tcW w:w="1560" w:type="dxa"/>
          </w:tcPr>
          <w:p w14:paraId="79C970AC" w14:textId="77777777" w:rsidR="002C57FB" w:rsidRPr="002C57FB" w:rsidRDefault="002C57FB" w:rsidP="002C57FB">
            <w:pPr>
              <w:ind w:left="0" w:right="0"/>
              <w:rPr>
                <w:sz w:val="20"/>
                <w:szCs w:val="20"/>
              </w:rPr>
            </w:pPr>
            <w:r w:rsidRPr="002C57FB">
              <w:rPr>
                <w:i/>
                <w:sz w:val="20"/>
                <w:szCs w:val="20"/>
              </w:rPr>
              <w:t>In vitro</w:t>
            </w:r>
          </w:p>
          <w:p w14:paraId="3FF4768A" w14:textId="77777777" w:rsidR="002C57FB" w:rsidRPr="002C57FB" w:rsidRDefault="003D1CE4" w:rsidP="003D1CE4">
            <w:pPr>
              <w:ind w:left="0" w:right="0"/>
              <w:rPr>
                <w:rFonts w:asciiTheme="minorHAnsi" w:hAnsiTheme="minorHAnsi"/>
                <w:sz w:val="20"/>
                <w:szCs w:val="20"/>
              </w:rPr>
            </w:pPr>
            <w:r>
              <w:rPr>
                <w:sz w:val="20"/>
                <w:szCs w:val="20"/>
              </w:rPr>
              <w:t xml:space="preserve">0.03 to </w:t>
            </w:r>
            <w:r w:rsidR="002C57FB" w:rsidRPr="002C57FB">
              <w:rPr>
                <w:sz w:val="20"/>
                <w:szCs w:val="20"/>
              </w:rPr>
              <w:t xml:space="preserve">0.15 </w:t>
            </w:r>
            <w:proofErr w:type="spellStart"/>
            <w:r w:rsidR="002C57FB" w:rsidRPr="002C57FB">
              <w:rPr>
                <w:sz w:val="20"/>
                <w:szCs w:val="20"/>
              </w:rPr>
              <w:t>μM</w:t>
            </w:r>
            <w:proofErr w:type="spellEnd"/>
          </w:p>
        </w:tc>
        <w:tc>
          <w:tcPr>
            <w:tcW w:w="2326" w:type="dxa"/>
          </w:tcPr>
          <w:p w14:paraId="20744FF2" w14:textId="77777777" w:rsidR="002C57FB" w:rsidRPr="002C57FB" w:rsidRDefault="002C57FB" w:rsidP="002C57FB">
            <w:pPr>
              <w:ind w:left="0" w:right="0"/>
              <w:rPr>
                <w:rFonts w:asciiTheme="minorHAnsi" w:hAnsiTheme="minorHAnsi"/>
                <w:sz w:val="20"/>
                <w:szCs w:val="20"/>
              </w:rPr>
            </w:pPr>
            <w:r w:rsidRPr="002C57FB">
              <w:rPr>
                <w:rFonts w:asciiTheme="minorHAnsi" w:hAnsiTheme="minorHAnsi"/>
                <w:sz w:val="20"/>
                <w:szCs w:val="20"/>
              </w:rPr>
              <w:t xml:space="preserve">Tofacitinib is not a substrate for </w:t>
            </w:r>
            <w:r w:rsidRPr="002C57FB">
              <w:rPr>
                <w:sz w:val="20"/>
                <w:szCs w:val="20"/>
              </w:rPr>
              <w:t>OATP1B1 or OATP1B3</w:t>
            </w:r>
            <w:r w:rsidRPr="002C57FB">
              <w:rPr>
                <w:rFonts w:asciiTheme="minorHAnsi" w:hAnsiTheme="minorHAnsi"/>
                <w:sz w:val="20"/>
                <w:szCs w:val="20"/>
              </w:rPr>
              <w:t xml:space="preserve"> at low substrate concentration.</w:t>
            </w:r>
          </w:p>
          <w:p w14:paraId="292BB927" w14:textId="77777777" w:rsidR="002C57FB" w:rsidRPr="002C57FB" w:rsidRDefault="002C57FB" w:rsidP="002C57FB">
            <w:pPr>
              <w:ind w:left="0" w:right="0"/>
              <w:rPr>
                <w:rFonts w:asciiTheme="minorHAnsi" w:hAnsiTheme="minorHAnsi"/>
                <w:sz w:val="20"/>
                <w:szCs w:val="20"/>
              </w:rPr>
            </w:pPr>
            <w:r w:rsidRPr="002C57FB">
              <w:rPr>
                <w:rFonts w:asciiTheme="minorHAnsi" w:hAnsiTheme="minorHAnsi"/>
                <w:sz w:val="20"/>
                <w:szCs w:val="20"/>
              </w:rPr>
              <w:t>Consistent w</w:t>
            </w:r>
            <w:r>
              <w:rPr>
                <w:rFonts w:asciiTheme="minorHAnsi" w:hAnsiTheme="minorHAnsi"/>
                <w:sz w:val="20"/>
                <w:szCs w:val="20"/>
              </w:rPr>
              <w:t>ith previously assessed studies.</w:t>
            </w:r>
          </w:p>
        </w:tc>
      </w:tr>
      <w:tr w:rsidR="002C57FB" w:rsidRPr="002C57FB" w14:paraId="0B9914F2" w14:textId="77777777" w:rsidTr="0063014B">
        <w:trPr>
          <w:trHeight w:val="1246"/>
        </w:trPr>
        <w:tc>
          <w:tcPr>
            <w:tcW w:w="1384" w:type="dxa"/>
          </w:tcPr>
          <w:p w14:paraId="6B4B677F" w14:textId="391BB94B" w:rsidR="002C57FB" w:rsidRPr="002C57FB" w:rsidRDefault="002C57FB" w:rsidP="0063014B">
            <w:pPr>
              <w:ind w:left="0" w:right="0"/>
              <w:rPr>
                <w:sz w:val="20"/>
                <w:szCs w:val="20"/>
              </w:rPr>
            </w:pPr>
            <w:r w:rsidRPr="002C57FB">
              <w:rPr>
                <w:sz w:val="20"/>
                <w:szCs w:val="20"/>
              </w:rPr>
              <w:lastRenderedPageBreak/>
              <w:t>CP-690550_</w:t>
            </w:r>
            <w:r w:rsidR="0063014B">
              <w:rPr>
                <w:sz w:val="20"/>
                <w:szCs w:val="20"/>
              </w:rPr>
              <w:t xml:space="preserve"> </w:t>
            </w:r>
            <w:r w:rsidRPr="002C57FB">
              <w:rPr>
                <w:sz w:val="20"/>
                <w:szCs w:val="20"/>
              </w:rPr>
              <w:t>01Feb17_110227</w:t>
            </w:r>
          </w:p>
        </w:tc>
        <w:tc>
          <w:tcPr>
            <w:tcW w:w="1559" w:type="dxa"/>
          </w:tcPr>
          <w:p w14:paraId="46CE6208" w14:textId="77777777" w:rsidR="002C57FB" w:rsidRPr="002C57FB" w:rsidRDefault="002C57FB" w:rsidP="002C57FB">
            <w:pPr>
              <w:ind w:left="0" w:right="0"/>
              <w:rPr>
                <w:sz w:val="20"/>
                <w:szCs w:val="20"/>
              </w:rPr>
            </w:pPr>
            <w:r w:rsidRPr="002C57FB">
              <w:rPr>
                <w:sz w:val="20"/>
                <w:szCs w:val="20"/>
              </w:rPr>
              <w:t xml:space="preserve">Inhibition potential for human </w:t>
            </w:r>
            <w:r w:rsidR="0069655B">
              <w:rPr>
                <w:sz w:val="20"/>
                <w:szCs w:val="20"/>
              </w:rPr>
              <w:t>o</w:t>
            </w:r>
            <w:r w:rsidR="0069655B" w:rsidRPr="0069655B">
              <w:rPr>
                <w:sz w:val="20"/>
                <w:szCs w:val="20"/>
              </w:rPr>
              <w:t>rganic anion transporter 1</w:t>
            </w:r>
            <w:r w:rsidR="0069655B">
              <w:rPr>
                <w:sz w:val="20"/>
                <w:szCs w:val="20"/>
              </w:rPr>
              <w:t xml:space="preserve"> (</w:t>
            </w:r>
            <w:r w:rsidRPr="002C57FB">
              <w:rPr>
                <w:sz w:val="20"/>
                <w:szCs w:val="20"/>
              </w:rPr>
              <w:t>OAT1</w:t>
            </w:r>
            <w:r w:rsidR="0069655B">
              <w:rPr>
                <w:sz w:val="20"/>
                <w:szCs w:val="20"/>
              </w:rPr>
              <w:t>)</w:t>
            </w:r>
            <w:r w:rsidRPr="002C57FB">
              <w:rPr>
                <w:sz w:val="20"/>
                <w:szCs w:val="20"/>
              </w:rPr>
              <w:t xml:space="preserve"> and OAT3</w:t>
            </w:r>
          </w:p>
        </w:tc>
        <w:tc>
          <w:tcPr>
            <w:tcW w:w="1701" w:type="dxa"/>
          </w:tcPr>
          <w:p w14:paraId="7693A026" w14:textId="77777777" w:rsidR="002C57FB" w:rsidRPr="002C57FB" w:rsidRDefault="0069655B" w:rsidP="002C57FB">
            <w:pPr>
              <w:ind w:left="0" w:right="0"/>
              <w:rPr>
                <w:rFonts w:asciiTheme="minorHAnsi" w:hAnsiTheme="minorHAnsi"/>
                <w:sz w:val="20"/>
                <w:szCs w:val="20"/>
              </w:rPr>
            </w:pPr>
            <w:r>
              <w:rPr>
                <w:rFonts w:asciiTheme="minorHAnsi" w:hAnsiTheme="minorHAnsi"/>
                <w:sz w:val="20"/>
                <w:szCs w:val="20"/>
              </w:rPr>
              <w:t>OAT1- and OAT3-transfected HEK </w:t>
            </w:r>
            <w:r w:rsidR="002C57FB" w:rsidRPr="002C57FB">
              <w:rPr>
                <w:rFonts w:asciiTheme="minorHAnsi" w:hAnsiTheme="minorHAnsi"/>
                <w:sz w:val="20"/>
                <w:szCs w:val="20"/>
              </w:rPr>
              <w:t>293 cells</w:t>
            </w:r>
          </w:p>
        </w:tc>
        <w:tc>
          <w:tcPr>
            <w:tcW w:w="1560" w:type="dxa"/>
          </w:tcPr>
          <w:p w14:paraId="1873CA71" w14:textId="77777777" w:rsidR="002C57FB" w:rsidRPr="002C57FB" w:rsidRDefault="002C57FB" w:rsidP="002C57FB">
            <w:pPr>
              <w:ind w:left="0" w:right="0"/>
              <w:rPr>
                <w:sz w:val="20"/>
                <w:szCs w:val="20"/>
              </w:rPr>
            </w:pPr>
            <w:r w:rsidRPr="002C57FB">
              <w:rPr>
                <w:i/>
                <w:sz w:val="20"/>
                <w:szCs w:val="20"/>
              </w:rPr>
              <w:t>In vitro</w:t>
            </w:r>
          </w:p>
          <w:p w14:paraId="2D2A159D" w14:textId="77777777" w:rsidR="002C57FB" w:rsidRPr="002C57FB" w:rsidRDefault="003D1CE4" w:rsidP="002C57FB">
            <w:pPr>
              <w:ind w:left="0" w:right="0"/>
              <w:rPr>
                <w:rFonts w:asciiTheme="minorHAnsi" w:hAnsiTheme="minorHAnsi"/>
                <w:sz w:val="20"/>
                <w:szCs w:val="20"/>
              </w:rPr>
            </w:pPr>
            <w:r>
              <w:rPr>
                <w:sz w:val="20"/>
                <w:szCs w:val="20"/>
              </w:rPr>
              <w:t>0.0244 to 100 </w:t>
            </w:r>
            <w:proofErr w:type="spellStart"/>
            <w:r w:rsidR="002C57FB" w:rsidRPr="002C57FB">
              <w:rPr>
                <w:sz w:val="20"/>
                <w:szCs w:val="20"/>
              </w:rPr>
              <w:t>μM</w:t>
            </w:r>
            <w:proofErr w:type="spellEnd"/>
          </w:p>
        </w:tc>
        <w:tc>
          <w:tcPr>
            <w:tcW w:w="2326" w:type="dxa"/>
          </w:tcPr>
          <w:p w14:paraId="428BE33B" w14:textId="77777777" w:rsidR="002C57FB" w:rsidRPr="002C57FB" w:rsidRDefault="002C57FB" w:rsidP="002C57FB">
            <w:pPr>
              <w:ind w:left="0" w:right="0"/>
              <w:rPr>
                <w:sz w:val="20"/>
                <w:szCs w:val="20"/>
              </w:rPr>
            </w:pPr>
            <w:r w:rsidRPr="002C57FB">
              <w:rPr>
                <w:sz w:val="20"/>
                <w:szCs w:val="20"/>
              </w:rPr>
              <w:t>IC</w:t>
            </w:r>
            <w:r w:rsidRPr="002C57FB">
              <w:rPr>
                <w:sz w:val="20"/>
                <w:szCs w:val="20"/>
                <w:vertAlign w:val="subscript"/>
              </w:rPr>
              <w:t>50</w:t>
            </w:r>
            <w:r w:rsidRPr="002C57FB">
              <w:rPr>
                <w:sz w:val="20"/>
                <w:szCs w:val="20"/>
              </w:rPr>
              <w:t xml:space="preserve"> &gt; 100 </w:t>
            </w:r>
            <w:proofErr w:type="spellStart"/>
            <w:r w:rsidRPr="002C57FB">
              <w:rPr>
                <w:sz w:val="20"/>
                <w:szCs w:val="20"/>
              </w:rPr>
              <w:t>μM</w:t>
            </w:r>
            <w:proofErr w:type="spellEnd"/>
            <w:r w:rsidRPr="002C57FB">
              <w:rPr>
                <w:sz w:val="20"/>
                <w:szCs w:val="20"/>
              </w:rPr>
              <w:t xml:space="preserve"> for both OAT1 and OAT3. Inhibition at 100 </w:t>
            </w:r>
            <w:proofErr w:type="spellStart"/>
            <w:r w:rsidRPr="002C57FB">
              <w:rPr>
                <w:sz w:val="20"/>
                <w:szCs w:val="20"/>
              </w:rPr>
              <w:t>μM</w:t>
            </w:r>
            <w:proofErr w:type="spellEnd"/>
            <w:r w:rsidRPr="002C57FB">
              <w:rPr>
                <w:sz w:val="20"/>
                <w:szCs w:val="20"/>
              </w:rPr>
              <w:t xml:space="preserve"> was 12.4 and 1.67%, respectively.</w:t>
            </w:r>
          </w:p>
        </w:tc>
      </w:tr>
      <w:tr w:rsidR="002C57FB" w:rsidRPr="002C57FB" w14:paraId="4421CEFD" w14:textId="77777777" w:rsidTr="0063014B">
        <w:trPr>
          <w:trHeight w:val="1259"/>
        </w:trPr>
        <w:tc>
          <w:tcPr>
            <w:tcW w:w="1384" w:type="dxa"/>
          </w:tcPr>
          <w:p w14:paraId="0AC53879" w14:textId="77777777" w:rsidR="002C57FB" w:rsidRPr="002C57FB" w:rsidRDefault="002C57FB" w:rsidP="002C57FB">
            <w:pPr>
              <w:ind w:left="0" w:right="0"/>
              <w:rPr>
                <w:sz w:val="20"/>
                <w:szCs w:val="20"/>
              </w:rPr>
            </w:pPr>
            <w:r w:rsidRPr="002C57FB">
              <w:rPr>
                <w:sz w:val="20"/>
                <w:szCs w:val="20"/>
              </w:rPr>
              <w:t>17GR019 and CP-690550_23Jan17_033801</w:t>
            </w:r>
          </w:p>
        </w:tc>
        <w:tc>
          <w:tcPr>
            <w:tcW w:w="1559" w:type="dxa"/>
          </w:tcPr>
          <w:p w14:paraId="4B14220B" w14:textId="77777777" w:rsidR="002C57FB" w:rsidRPr="002C57FB" w:rsidRDefault="002C57FB" w:rsidP="002C57FB">
            <w:pPr>
              <w:ind w:left="0" w:right="0"/>
              <w:rPr>
                <w:sz w:val="20"/>
                <w:szCs w:val="20"/>
              </w:rPr>
            </w:pPr>
            <w:r w:rsidRPr="002C57FB">
              <w:rPr>
                <w:sz w:val="20"/>
                <w:szCs w:val="20"/>
              </w:rPr>
              <w:t xml:space="preserve">Inhibition potential for human </w:t>
            </w:r>
            <w:r w:rsidR="00C636D8">
              <w:rPr>
                <w:sz w:val="20"/>
                <w:szCs w:val="20"/>
              </w:rPr>
              <w:t>m</w:t>
            </w:r>
            <w:r w:rsidR="00C636D8" w:rsidRPr="00C636D8">
              <w:rPr>
                <w:sz w:val="20"/>
                <w:szCs w:val="20"/>
              </w:rPr>
              <w:t>ultidrug resistance-associated protein 2</w:t>
            </w:r>
            <w:r w:rsidR="00C636D8">
              <w:rPr>
                <w:sz w:val="20"/>
                <w:szCs w:val="20"/>
              </w:rPr>
              <w:t xml:space="preserve"> (</w:t>
            </w:r>
            <w:r w:rsidRPr="002C57FB">
              <w:rPr>
                <w:sz w:val="20"/>
                <w:szCs w:val="20"/>
              </w:rPr>
              <w:t>MRP2</w:t>
            </w:r>
            <w:r w:rsidR="00C636D8">
              <w:rPr>
                <w:sz w:val="20"/>
                <w:szCs w:val="20"/>
              </w:rPr>
              <w:t>)</w:t>
            </w:r>
          </w:p>
        </w:tc>
        <w:tc>
          <w:tcPr>
            <w:tcW w:w="1701" w:type="dxa"/>
          </w:tcPr>
          <w:p w14:paraId="5E6AE0A7" w14:textId="77777777" w:rsidR="002C57FB" w:rsidRPr="002C57FB" w:rsidRDefault="002C57FB" w:rsidP="002C57FB">
            <w:pPr>
              <w:ind w:left="0" w:right="0"/>
              <w:rPr>
                <w:rFonts w:asciiTheme="minorHAnsi" w:hAnsiTheme="minorHAnsi"/>
                <w:sz w:val="20"/>
                <w:szCs w:val="20"/>
              </w:rPr>
            </w:pPr>
            <w:r w:rsidRPr="002C57FB">
              <w:rPr>
                <w:rFonts w:asciiTheme="minorHAnsi" w:hAnsiTheme="minorHAnsi"/>
                <w:sz w:val="20"/>
                <w:szCs w:val="20"/>
              </w:rPr>
              <w:t xml:space="preserve">Vesicular transport assay (MRP2-mediated </w:t>
            </w:r>
            <w:proofErr w:type="spellStart"/>
            <w:r w:rsidR="00C636D8">
              <w:rPr>
                <w:rFonts w:asciiTheme="minorHAnsi" w:hAnsiTheme="minorHAnsi"/>
                <w:sz w:val="20"/>
                <w:szCs w:val="20"/>
              </w:rPr>
              <w:t>e</w:t>
            </w:r>
            <w:r w:rsidR="00C636D8" w:rsidRPr="00C636D8">
              <w:rPr>
                <w:rFonts w:asciiTheme="minorHAnsi" w:hAnsiTheme="minorHAnsi"/>
                <w:sz w:val="20"/>
                <w:szCs w:val="20"/>
              </w:rPr>
              <w:t>stradiol</w:t>
            </w:r>
            <w:proofErr w:type="spellEnd"/>
            <w:r w:rsidR="00C636D8" w:rsidRPr="00C636D8">
              <w:rPr>
                <w:rFonts w:asciiTheme="minorHAnsi" w:hAnsiTheme="minorHAnsi"/>
                <w:sz w:val="20"/>
                <w:szCs w:val="20"/>
              </w:rPr>
              <w:t xml:space="preserve"> glucuronide </w:t>
            </w:r>
            <w:r w:rsidR="00C636D8">
              <w:rPr>
                <w:rFonts w:asciiTheme="minorHAnsi" w:hAnsiTheme="minorHAnsi"/>
                <w:sz w:val="20"/>
                <w:szCs w:val="20"/>
              </w:rPr>
              <w:t>(</w:t>
            </w:r>
            <w:r w:rsidRPr="002C57FB">
              <w:rPr>
                <w:rFonts w:asciiTheme="minorHAnsi" w:hAnsiTheme="minorHAnsi"/>
                <w:sz w:val="20"/>
                <w:szCs w:val="20"/>
              </w:rPr>
              <w:t>E217βG</w:t>
            </w:r>
            <w:r w:rsidR="00C636D8">
              <w:rPr>
                <w:rFonts w:asciiTheme="minorHAnsi" w:hAnsiTheme="minorHAnsi"/>
                <w:sz w:val="20"/>
                <w:szCs w:val="20"/>
              </w:rPr>
              <w:t>)</w:t>
            </w:r>
            <w:r w:rsidRPr="002C57FB">
              <w:rPr>
                <w:rFonts w:asciiTheme="minorHAnsi" w:hAnsiTheme="minorHAnsi"/>
                <w:sz w:val="20"/>
                <w:szCs w:val="20"/>
              </w:rPr>
              <w:t xml:space="preserve"> transport)</w:t>
            </w:r>
          </w:p>
        </w:tc>
        <w:tc>
          <w:tcPr>
            <w:tcW w:w="1560" w:type="dxa"/>
          </w:tcPr>
          <w:p w14:paraId="45394CA5" w14:textId="77777777" w:rsidR="002C57FB" w:rsidRPr="002C57FB" w:rsidRDefault="002C57FB" w:rsidP="002C57FB">
            <w:pPr>
              <w:ind w:left="0" w:right="0"/>
              <w:rPr>
                <w:sz w:val="20"/>
                <w:szCs w:val="20"/>
              </w:rPr>
            </w:pPr>
            <w:r w:rsidRPr="002C57FB">
              <w:rPr>
                <w:i/>
                <w:sz w:val="20"/>
                <w:szCs w:val="20"/>
              </w:rPr>
              <w:t>In vitro</w:t>
            </w:r>
          </w:p>
          <w:p w14:paraId="423E37F3" w14:textId="77777777" w:rsidR="002C57FB" w:rsidRPr="002C57FB" w:rsidRDefault="003D1CE4" w:rsidP="002C57FB">
            <w:pPr>
              <w:ind w:left="0" w:right="0"/>
              <w:rPr>
                <w:rFonts w:asciiTheme="minorHAnsi" w:hAnsiTheme="minorHAnsi"/>
                <w:sz w:val="20"/>
                <w:szCs w:val="20"/>
              </w:rPr>
            </w:pPr>
            <w:r>
              <w:rPr>
                <w:sz w:val="20"/>
                <w:szCs w:val="20"/>
              </w:rPr>
              <w:t>0.09 to 66.67 </w:t>
            </w:r>
            <w:proofErr w:type="spellStart"/>
            <w:r w:rsidR="002C57FB" w:rsidRPr="002C57FB">
              <w:rPr>
                <w:sz w:val="20"/>
                <w:szCs w:val="20"/>
              </w:rPr>
              <w:t>μM</w:t>
            </w:r>
            <w:proofErr w:type="spellEnd"/>
          </w:p>
        </w:tc>
        <w:tc>
          <w:tcPr>
            <w:tcW w:w="2326" w:type="dxa"/>
          </w:tcPr>
          <w:p w14:paraId="67F52F3B" w14:textId="77777777" w:rsidR="002C57FB" w:rsidRPr="002C57FB" w:rsidRDefault="002C57FB" w:rsidP="002C57FB">
            <w:pPr>
              <w:ind w:left="0" w:right="0"/>
              <w:rPr>
                <w:sz w:val="20"/>
                <w:szCs w:val="20"/>
              </w:rPr>
            </w:pPr>
            <w:r w:rsidRPr="002C57FB">
              <w:rPr>
                <w:sz w:val="20"/>
                <w:szCs w:val="20"/>
              </w:rPr>
              <w:t>Tofacitinib did not affect MRP2-mediated transport of E217βG. IC</w:t>
            </w:r>
            <w:r w:rsidRPr="002C57FB">
              <w:rPr>
                <w:sz w:val="20"/>
                <w:szCs w:val="20"/>
                <w:vertAlign w:val="subscript"/>
              </w:rPr>
              <w:t>50</w:t>
            </w:r>
            <w:r w:rsidRPr="002C57FB">
              <w:rPr>
                <w:sz w:val="20"/>
                <w:szCs w:val="20"/>
              </w:rPr>
              <w:t xml:space="preserve"> not calculated.</w:t>
            </w:r>
          </w:p>
        </w:tc>
      </w:tr>
    </w:tbl>
    <w:p w14:paraId="29CE7C34" w14:textId="77777777" w:rsidR="001B5C90" w:rsidRDefault="008E7846" w:rsidP="001B5C90">
      <w:pPr>
        <w:pStyle w:val="Heading3"/>
      </w:pPr>
      <w:bookmarkStart w:id="52" w:name="_Toc22048610"/>
      <w:r>
        <w:t>Toxicology</w:t>
      </w:r>
      <w:bookmarkEnd w:id="49"/>
      <w:bookmarkEnd w:id="50"/>
      <w:bookmarkEnd w:id="52"/>
    </w:p>
    <w:p w14:paraId="717F8DF6" w14:textId="77777777" w:rsidR="002C57FB" w:rsidRDefault="002C57FB" w:rsidP="002C57FB">
      <w:pPr>
        <w:pStyle w:val="Heading4"/>
      </w:pPr>
      <w:r w:rsidRPr="003A1B70">
        <w:rPr>
          <w:i/>
        </w:rPr>
        <w:t xml:space="preserve">In </w:t>
      </w:r>
      <w:proofErr w:type="spellStart"/>
      <w:r w:rsidRPr="003A1B70">
        <w:rPr>
          <w:i/>
        </w:rPr>
        <w:t>silico</w:t>
      </w:r>
      <w:proofErr w:type="spellEnd"/>
      <w:r>
        <w:t xml:space="preserve"> mutagenicity studies</w:t>
      </w:r>
    </w:p>
    <w:p w14:paraId="4576039D" w14:textId="54DC41A5" w:rsidR="00C9747E" w:rsidRDefault="002C57FB" w:rsidP="002C57FB">
      <w:r>
        <w:t xml:space="preserve">The impurities PF-05211077 and PF-05198213 were previously assessed for general toxicity (juvenile </w:t>
      </w:r>
      <w:proofErr w:type="spellStart"/>
      <w:r w:rsidR="002D32F5">
        <w:t>cynomolgus</w:t>
      </w:r>
      <w:proofErr w:type="spellEnd"/>
      <w:r w:rsidR="002D32F5">
        <w:t xml:space="preserve"> </w:t>
      </w:r>
      <w:r>
        <w:t xml:space="preserve">monkey toxicity study) and potential </w:t>
      </w:r>
      <w:proofErr w:type="spellStart"/>
      <w:r>
        <w:t>genotoxicity</w:t>
      </w:r>
      <w:proofErr w:type="spellEnd"/>
      <w:r>
        <w:t xml:space="preserve"> (in </w:t>
      </w:r>
      <w:proofErr w:type="spellStart"/>
      <w:r>
        <w:t>silico</w:t>
      </w:r>
      <w:proofErr w:type="spellEnd"/>
      <w:r>
        <w:t xml:space="preserve"> using Deductive Estimation of</w:t>
      </w:r>
      <w:r w:rsidR="00726684">
        <w:t xml:space="preserve"> Risk from Existing Knowledge (</w:t>
      </w:r>
      <w:r>
        <w:t>DEREK</w:t>
      </w:r>
      <w:r w:rsidR="00726684">
        <w:t>)</w:t>
      </w:r>
      <w:r>
        <w:t xml:space="preserve">). The evaluation report concluded that ‘on balance, the weight of evidence suggests that neither PF-05198213 nor PF 05211077 pose either a general or </w:t>
      </w:r>
      <w:proofErr w:type="spellStart"/>
      <w:r>
        <w:t>genotoxicity</w:t>
      </w:r>
      <w:proofErr w:type="spellEnd"/>
      <w:r>
        <w:t xml:space="preserve"> concerns.’ at the specification level of </w:t>
      </w:r>
      <w:r w:rsidR="00726684">
        <w:t>not more than</w:t>
      </w:r>
      <w:r>
        <w:t xml:space="preserve"> 0.2%. A later evaluation report considered these impurities adequately qualified at the specification level of ≤ 0.3%. The present application does not propose to increase the specification limits for these impurities. I</w:t>
      </w:r>
      <w:r w:rsidR="002D6420">
        <w:t>n the current application, the s</w:t>
      </w:r>
      <w:r>
        <w:t xml:space="preserve">ponsor has submitted </w:t>
      </w:r>
      <w:r w:rsidRPr="003A1B70">
        <w:rPr>
          <w:i/>
        </w:rPr>
        <w:t xml:space="preserve">in </w:t>
      </w:r>
      <w:proofErr w:type="spellStart"/>
      <w:r w:rsidRPr="003A1B70">
        <w:rPr>
          <w:i/>
        </w:rPr>
        <w:t>silico</w:t>
      </w:r>
      <w:proofErr w:type="spellEnd"/>
      <w:r>
        <w:t xml:space="preserve"> studies for prediction of mutagenicity using the most recent version of the software (Derek Nexus, Sarah Nexus and </w:t>
      </w:r>
      <w:proofErr w:type="spellStart"/>
      <w:r>
        <w:t>Leadscope</w:t>
      </w:r>
      <w:proofErr w:type="spellEnd"/>
      <w:r>
        <w:t>) using identical comparative methods as previously evaluated. Briefly, no alerts were identified for PF-05211077</w:t>
      </w:r>
      <w:r w:rsidR="002D32F5">
        <w:t>.</w:t>
      </w:r>
      <w:r w:rsidR="002D32F5">
        <w:rPr>
          <w:rStyle w:val="FootnoteReference"/>
        </w:rPr>
        <w:footnoteReference w:id="2"/>
      </w:r>
      <w:r>
        <w:t xml:space="preserve"> Based on th</w:t>
      </w:r>
      <w:r w:rsidR="003A1B70">
        <w:t>e above, it is concluded the PF</w:t>
      </w:r>
      <w:r w:rsidR="003A1B70">
        <w:noBreakHyphen/>
      </w:r>
      <w:r>
        <w:t>05211077 and PF-05198213 are not mutagenic.</w:t>
      </w:r>
    </w:p>
    <w:p w14:paraId="5B757194" w14:textId="77777777" w:rsidR="008E7846" w:rsidRDefault="008E7846" w:rsidP="008E7846">
      <w:pPr>
        <w:pStyle w:val="Heading3"/>
      </w:pPr>
      <w:bookmarkStart w:id="53" w:name="_Toc247691515"/>
      <w:bookmarkStart w:id="54" w:name="_Toc314842499"/>
      <w:bookmarkStart w:id="55" w:name="_Toc22048611"/>
      <w:r>
        <w:t>Nonclinical summary and conclusions</w:t>
      </w:r>
      <w:bookmarkEnd w:id="53"/>
      <w:bookmarkEnd w:id="54"/>
      <w:bookmarkEnd w:id="55"/>
    </w:p>
    <w:p w14:paraId="439328E9" w14:textId="77777777" w:rsidR="00082C7C" w:rsidRPr="009226DE" w:rsidRDefault="00082C7C" w:rsidP="00082C7C">
      <w:pPr>
        <w:pStyle w:val="ListBullet"/>
        <w:rPr>
          <w:kern w:val="2"/>
        </w:rPr>
      </w:pPr>
      <w:r w:rsidRPr="009226DE">
        <w:rPr>
          <w:i/>
          <w:kern w:val="2"/>
        </w:rPr>
        <w:t>In vitro</w:t>
      </w:r>
      <w:r>
        <w:rPr>
          <w:i/>
          <w:kern w:val="2"/>
        </w:rPr>
        <w:t xml:space="preserve"> </w:t>
      </w:r>
      <w:r w:rsidRPr="002B4B65">
        <w:rPr>
          <w:kern w:val="2"/>
        </w:rPr>
        <w:t>and</w:t>
      </w:r>
      <w:r>
        <w:rPr>
          <w:kern w:val="2"/>
        </w:rPr>
        <w:t xml:space="preserve"> </w:t>
      </w:r>
      <w:r w:rsidRPr="009226DE">
        <w:rPr>
          <w:i/>
          <w:kern w:val="2"/>
        </w:rPr>
        <w:t>in vivo</w:t>
      </w:r>
      <w:r>
        <w:rPr>
          <w:kern w:val="2"/>
        </w:rPr>
        <w:t xml:space="preserve"> </w:t>
      </w:r>
      <w:r>
        <w:t>pharmacology and pharmacokinetic studies</w:t>
      </w:r>
      <w:r w:rsidRPr="00B51DF6">
        <w:t xml:space="preserve"> </w:t>
      </w:r>
      <w:r>
        <w:t xml:space="preserve">as well as </w:t>
      </w:r>
      <w:r w:rsidRPr="00A86BF4">
        <w:rPr>
          <w:i/>
        </w:rPr>
        <w:t xml:space="preserve">in </w:t>
      </w:r>
      <w:proofErr w:type="spellStart"/>
      <w:r w:rsidRPr="00A86BF4">
        <w:rPr>
          <w:i/>
        </w:rPr>
        <w:t>silico</w:t>
      </w:r>
      <w:proofErr w:type="spellEnd"/>
      <w:r>
        <w:t xml:space="preserve"> impurity studies were submitted in the nonclinical dossier.</w:t>
      </w:r>
    </w:p>
    <w:p w14:paraId="7F954CEE" w14:textId="77777777" w:rsidR="00082C7C" w:rsidRDefault="00082C7C" w:rsidP="00082C7C">
      <w:pPr>
        <w:pStyle w:val="ListBullet"/>
        <w:rPr>
          <w:kern w:val="2"/>
        </w:rPr>
      </w:pPr>
      <w:r w:rsidRPr="00530EC3">
        <w:rPr>
          <w:i/>
          <w:kern w:val="2"/>
        </w:rPr>
        <w:t xml:space="preserve">In vitro </w:t>
      </w:r>
      <w:r>
        <w:rPr>
          <w:kern w:val="2"/>
        </w:rPr>
        <w:t xml:space="preserve">pharmacology studies demonstrated that </w:t>
      </w:r>
      <w:proofErr w:type="spellStart"/>
      <w:r>
        <w:rPr>
          <w:kern w:val="2"/>
        </w:rPr>
        <w:t>tofacitinib</w:t>
      </w:r>
      <w:proofErr w:type="spellEnd"/>
      <w:r>
        <w:rPr>
          <w:kern w:val="2"/>
        </w:rPr>
        <w:t xml:space="preserve"> inhibited interleukin-induced STATs phosphorylation (JAK/JAK or JAK/TYK mediated).</w:t>
      </w:r>
    </w:p>
    <w:p w14:paraId="1DB541F2" w14:textId="77777777" w:rsidR="00082C7C" w:rsidRPr="00FC151D" w:rsidRDefault="00082C7C" w:rsidP="00082C7C">
      <w:pPr>
        <w:pStyle w:val="ListBullet"/>
        <w:rPr>
          <w:kern w:val="2"/>
        </w:rPr>
      </w:pPr>
      <w:r w:rsidRPr="008909FB">
        <w:rPr>
          <w:kern w:val="2"/>
        </w:rPr>
        <w:t xml:space="preserve">Tofacitinib given PO displayed </w:t>
      </w:r>
      <w:r>
        <w:rPr>
          <w:kern w:val="2"/>
        </w:rPr>
        <w:t xml:space="preserve">efficacy </w:t>
      </w:r>
      <w:r w:rsidRPr="008909FB">
        <w:rPr>
          <w:i/>
          <w:kern w:val="2"/>
        </w:rPr>
        <w:t>in vivo</w:t>
      </w:r>
      <w:r>
        <w:rPr>
          <w:kern w:val="2"/>
        </w:rPr>
        <w:t xml:space="preserve"> in mouse models of induced skin inflammation, </w:t>
      </w:r>
      <w:r w:rsidR="00C636D8">
        <w:t xml:space="preserve">T </w:t>
      </w:r>
      <w:r>
        <w:t xml:space="preserve">cell transfer and xenograft models of psoriasis. These models showed reduction in disease severity, swelling, oedema, tissue thickness, skin inflammation, </w:t>
      </w:r>
      <w:r>
        <w:lastRenderedPageBreak/>
        <w:t>epidermal hyperplasia, histology scores (incl</w:t>
      </w:r>
      <w:r w:rsidR="00C636D8">
        <w:t>uding</w:t>
      </w:r>
      <w:r>
        <w:t xml:space="preserve"> psoriasis pattern, parakeratosis, angiogenesi</w:t>
      </w:r>
      <w:r w:rsidR="00C636D8">
        <w:t xml:space="preserve">s, granulocyte and lymphocyte). </w:t>
      </w:r>
      <w:r>
        <w:t>Tofacitinib induced decreases in phosphorylated STAT3 protein expression and decreased IL-6, IL-12, IL</w:t>
      </w:r>
      <w:r>
        <w:noBreakHyphen/>
        <w:t>12Rβ1, IL-15, IL</w:t>
      </w:r>
      <w:r>
        <w:noBreakHyphen/>
        <w:t>22, IL-22R, IL-23a, S100A8, CXCL1, CXCL10 gene expression and IL-6 secretion in psoriatic skin.</w:t>
      </w:r>
    </w:p>
    <w:p w14:paraId="4DAFA194" w14:textId="77777777" w:rsidR="00082C7C" w:rsidRDefault="00082C7C" w:rsidP="00082C7C">
      <w:pPr>
        <w:pStyle w:val="ListBullet"/>
        <w:rPr>
          <w:kern w:val="2"/>
        </w:rPr>
      </w:pPr>
      <w:r>
        <w:rPr>
          <w:kern w:val="2"/>
        </w:rPr>
        <w:t>Tofacitinib is not a substrate for the uptake transporters: OCT1, OATP1B1 and OATP1B3.</w:t>
      </w:r>
    </w:p>
    <w:p w14:paraId="65D67B3D" w14:textId="77777777" w:rsidR="00082C7C" w:rsidRDefault="00082C7C" w:rsidP="00082C7C">
      <w:pPr>
        <w:pStyle w:val="ListBullet"/>
        <w:rPr>
          <w:kern w:val="2"/>
        </w:rPr>
      </w:pPr>
      <w:r>
        <w:rPr>
          <w:kern w:val="2"/>
        </w:rPr>
        <w:t>Tofacitinib is not an inhibitor for the efflux transporter pump MRP2. Tofacitinib had only minimal inhibitory effects on OAT1 and OAT3.</w:t>
      </w:r>
    </w:p>
    <w:p w14:paraId="7042B025" w14:textId="77777777" w:rsidR="00082C7C" w:rsidRDefault="00082C7C" w:rsidP="00082C7C">
      <w:pPr>
        <w:pStyle w:val="ListBullet"/>
        <w:rPr>
          <w:kern w:val="2"/>
        </w:rPr>
      </w:pPr>
      <w:r>
        <w:rPr>
          <w:kern w:val="2"/>
        </w:rPr>
        <w:t xml:space="preserve">There are no nonclinical objections to the proposed extension of indications for </w:t>
      </w:r>
      <w:proofErr w:type="spellStart"/>
      <w:r>
        <w:rPr>
          <w:kern w:val="2"/>
        </w:rPr>
        <w:t>tofacitinib</w:t>
      </w:r>
      <w:proofErr w:type="spellEnd"/>
      <w:r>
        <w:rPr>
          <w:kern w:val="2"/>
        </w:rPr>
        <w:t xml:space="preserve"> citrate (</w:t>
      </w:r>
      <w:r w:rsidRPr="00075298">
        <w:t>Xeljanz</w:t>
      </w:r>
      <w:r>
        <w:rPr>
          <w:kern w:val="2"/>
        </w:rPr>
        <w:t>).</w:t>
      </w:r>
    </w:p>
    <w:p w14:paraId="496C653D" w14:textId="77777777" w:rsidR="00082C7C" w:rsidRPr="0065766C" w:rsidRDefault="00082C7C" w:rsidP="00082C7C">
      <w:pPr>
        <w:pStyle w:val="ListBullet"/>
        <w:rPr>
          <w:kern w:val="2"/>
        </w:rPr>
      </w:pPr>
      <w:r>
        <w:rPr>
          <w:kern w:val="2"/>
        </w:rPr>
        <w:t>The draft Product Information does not require amendment.</w:t>
      </w:r>
    </w:p>
    <w:p w14:paraId="5E74C148" w14:textId="77777777" w:rsidR="008E7846" w:rsidRPr="00254787" w:rsidRDefault="008E7846" w:rsidP="008E7846">
      <w:pPr>
        <w:pStyle w:val="Heading2"/>
      </w:pPr>
      <w:bookmarkStart w:id="56" w:name="_Toc196046462"/>
      <w:bookmarkStart w:id="57" w:name="_Toc247691516"/>
      <w:bookmarkStart w:id="58" w:name="_Toc314842500"/>
      <w:bookmarkStart w:id="59" w:name="_Toc163441353"/>
      <w:bookmarkStart w:id="60" w:name="_Toc163441348"/>
      <w:bookmarkStart w:id="61" w:name="_Toc22048612"/>
      <w:r>
        <w:t xml:space="preserve">V. </w:t>
      </w:r>
      <w:r w:rsidRPr="00254787">
        <w:t>Clinical</w:t>
      </w:r>
      <w:bookmarkEnd w:id="56"/>
      <w:r>
        <w:t xml:space="preserve"> </w:t>
      </w:r>
      <w:r w:rsidR="003A7F6C">
        <w:t>f</w:t>
      </w:r>
      <w:r>
        <w:t>indings</w:t>
      </w:r>
      <w:bookmarkEnd w:id="57"/>
      <w:bookmarkEnd w:id="58"/>
      <w:bookmarkEnd w:id="61"/>
    </w:p>
    <w:p w14:paraId="4027C51E" w14:textId="77777777" w:rsidR="00C80137" w:rsidRDefault="00C80137" w:rsidP="00D425BB">
      <w:bookmarkStart w:id="62" w:name="_Toc196046463"/>
      <w:r>
        <w:t xml:space="preserve">A summary of the </w:t>
      </w:r>
      <w:r w:rsidRPr="00FD70B8">
        <w:t>clinical findings is presented in this section.</w:t>
      </w:r>
    </w:p>
    <w:p w14:paraId="50C1E132" w14:textId="77777777" w:rsidR="008E7846" w:rsidRDefault="008E7846" w:rsidP="008E7846">
      <w:pPr>
        <w:pStyle w:val="Heading3"/>
      </w:pPr>
      <w:bookmarkStart w:id="63" w:name="_Toc247691517"/>
      <w:bookmarkStart w:id="64" w:name="_Toc314842501"/>
      <w:bookmarkStart w:id="65" w:name="_Toc22048613"/>
      <w:r w:rsidRPr="00254787">
        <w:t>Introduction</w:t>
      </w:r>
      <w:bookmarkEnd w:id="62"/>
      <w:bookmarkEnd w:id="63"/>
      <w:bookmarkEnd w:id="64"/>
      <w:bookmarkEnd w:id="65"/>
    </w:p>
    <w:p w14:paraId="38E91813" w14:textId="77777777" w:rsidR="0065766C" w:rsidRDefault="0065766C" w:rsidP="0065766C">
      <w:pPr>
        <w:pStyle w:val="Heading4"/>
      </w:pPr>
      <w:r>
        <w:t>Information on the condition being treated</w:t>
      </w:r>
    </w:p>
    <w:p w14:paraId="614D73BB" w14:textId="77777777" w:rsidR="0065766C" w:rsidRDefault="0065766C" w:rsidP="003B0095">
      <w:r>
        <w:t>Ps</w:t>
      </w:r>
      <w:r w:rsidR="003B0095">
        <w:t xml:space="preserve">oriasis affects approximately 2 to </w:t>
      </w:r>
      <w:r>
        <w:t xml:space="preserve">3% of the population. </w:t>
      </w:r>
      <w:proofErr w:type="spellStart"/>
      <w:r>
        <w:t>PsA</w:t>
      </w:r>
      <w:proofErr w:type="spellEnd"/>
      <w:r>
        <w:t xml:space="preserve"> is usually associated with </w:t>
      </w:r>
      <w:r w:rsidR="003B0095">
        <w:t xml:space="preserve">psoriasis but only 10 to </w:t>
      </w:r>
      <w:r>
        <w:t xml:space="preserve">20% of patients with psoriasis will develop </w:t>
      </w:r>
      <w:proofErr w:type="spellStart"/>
      <w:r>
        <w:t>PsA.</w:t>
      </w:r>
      <w:proofErr w:type="spellEnd"/>
      <w:r>
        <w:t xml:space="preserve"> The disease is associated with the </w:t>
      </w:r>
      <w:r w:rsidR="003B0095">
        <w:t>h</w:t>
      </w:r>
      <w:r w:rsidR="003B0095" w:rsidRPr="003B0095">
        <w:t>uman leukocyte antigen B27</w:t>
      </w:r>
      <w:r w:rsidR="003B0095">
        <w:t xml:space="preserve"> (</w:t>
      </w:r>
      <w:r>
        <w:t>HLA-B27</w:t>
      </w:r>
      <w:r w:rsidR="003B0095">
        <w:t>)</w:t>
      </w:r>
      <w:r>
        <w:t xml:space="preserve"> gene but only a minority of subjects with the gene develop </w:t>
      </w:r>
      <w:proofErr w:type="spellStart"/>
      <w:r>
        <w:t>PsA.</w:t>
      </w:r>
      <w:proofErr w:type="spellEnd"/>
      <w:r>
        <w:t xml:space="preserve"> </w:t>
      </w:r>
      <w:proofErr w:type="spellStart"/>
      <w:r>
        <w:t>PsA</w:t>
      </w:r>
      <w:proofErr w:type="spellEnd"/>
      <w:r>
        <w:t xml:space="preserve"> is a chronic inflammatory rheumatoid disease associated with painful joint swelling, characteristically affecting the distal phalanges, psoriasis (skin and nails), </w:t>
      </w:r>
      <w:proofErr w:type="spellStart"/>
      <w:r>
        <w:t>enthesitis</w:t>
      </w:r>
      <w:proofErr w:type="spellEnd"/>
      <w:r>
        <w:t xml:space="preserve">, </w:t>
      </w:r>
      <w:proofErr w:type="spellStart"/>
      <w:r>
        <w:t>dactylitis</w:t>
      </w:r>
      <w:proofErr w:type="spellEnd"/>
      <w:r>
        <w:t xml:space="preserve"> and spondylitis, leading to progressive damage, disability and adverse effects on quality of life. It is typically associated with exacerbations and remissions, but approximately 5% of patients with </w:t>
      </w:r>
      <w:proofErr w:type="spellStart"/>
      <w:r>
        <w:t>PsA</w:t>
      </w:r>
      <w:proofErr w:type="spellEnd"/>
      <w:r>
        <w:t xml:space="preserve"> develop severe disease with joint destruction and deformity in the hands and feet. The disease is incurable and therapy is directed at long-term symptom control and prevention of joint destruction. There are no reliable epidemiological data relating to </w:t>
      </w:r>
      <w:proofErr w:type="spellStart"/>
      <w:r>
        <w:t>PsA</w:t>
      </w:r>
      <w:proofErr w:type="spellEnd"/>
      <w:r>
        <w:t xml:space="preserve"> in Australia. The best estimate of </w:t>
      </w:r>
      <w:proofErr w:type="spellStart"/>
      <w:r>
        <w:t>PsA</w:t>
      </w:r>
      <w:proofErr w:type="spellEnd"/>
      <w:r>
        <w:t xml:space="preserve"> diagnosed by rheumatologists is approximately 9,300 cases compared with 26,700 cases of RA (d</w:t>
      </w:r>
      <w:r w:rsidR="003B0095">
        <w:t>erived from the OPAL database).</w:t>
      </w:r>
    </w:p>
    <w:p w14:paraId="735DBD2C" w14:textId="77777777" w:rsidR="0065766C" w:rsidRDefault="0065766C" w:rsidP="0065766C">
      <w:pPr>
        <w:pStyle w:val="Heading4"/>
      </w:pPr>
      <w:r>
        <w:t>Current treatment options</w:t>
      </w:r>
    </w:p>
    <w:p w14:paraId="6E2F44EE" w14:textId="77777777" w:rsidR="0065766C" w:rsidRPr="0065766C" w:rsidRDefault="0065766C" w:rsidP="0065766C">
      <w:r>
        <w:t xml:space="preserve">The treatment of RA and related rheumatoid diseases is evolving rapidly and guidelines require frequent updates based on literature reviews, clinical experience and regulatory frameworks. The current EULAR guideline for </w:t>
      </w:r>
      <w:proofErr w:type="spellStart"/>
      <w:r>
        <w:t>PsA</w:t>
      </w:r>
      <w:proofErr w:type="spellEnd"/>
      <w:r>
        <w:t xml:space="preserve"> recommends starting treatment with NSAIDs, followed by a </w:t>
      </w:r>
      <w:proofErr w:type="spellStart"/>
      <w:r w:rsidR="00C636D8">
        <w:t>csDMARD</w:t>
      </w:r>
      <w:proofErr w:type="spellEnd"/>
      <w:r>
        <w:t xml:space="preserve"> if the respon</w:t>
      </w:r>
      <w:r w:rsidR="00C636D8">
        <w:t>se is inadequate. MTX</w:t>
      </w:r>
      <w:r>
        <w:t xml:space="preserve"> is considered the </w:t>
      </w:r>
      <w:proofErr w:type="spellStart"/>
      <w:r>
        <w:t>csDMARD</w:t>
      </w:r>
      <w:proofErr w:type="spellEnd"/>
      <w:r>
        <w:t xml:space="preserve"> of choice, but other options include </w:t>
      </w:r>
      <w:proofErr w:type="spellStart"/>
      <w:r>
        <w:t>sulphasalazine</w:t>
      </w:r>
      <w:proofErr w:type="spellEnd"/>
      <w:r>
        <w:t xml:space="preserve"> or </w:t>
      </w:r>
      <w:proofErr w:type="spellStart"/>
      <w:r>
        <w:t>leflunomide</w:t>
      </w:r>
      <w:proofErr w:type="spellEnd"/>
      <w:r>
        <w:t xml:space="preserve"> if MTX is not tolerated or contraindicated. Low dose oral corticosteroids and intra-articular injections may be used at any stage. If the clinical response is </w:t>
      </w:r>
      <w:r w:rsidR="00C636D8">
        <w:t xml:space="preserve">inadequate, a </w:t>
      </w:r>
      <w:proofErr w:type="spellStart"/>
      <w:r w:rsidR="00C636D8">
        <w:t>bDMARD</w:t>
      </w:r>
      <w:proofErr w:type="spellEnd"/>
      <w:r>
        <w:t xml:space="preserve"> may prescri</w:t>
      </w:r>
      <w:r w:rsidR="00C636D8">
        <w:t>bed, typically a TNFI</w:t>
      </w:r>
      <w:r>
        <w:t xml:space="preserve">. In Australia, several TNFIs are approved for use in </w:t>
      </w:r>
      <w:proofErr w:type="spellStart"/>
      <w:r>
        <w:t>PsA</w:t>
      </w:r>
      <w:proofErr w:type="spellEnd"/>
      <w:r>
        <w:t xml:space="preserve">, including </w:t>
      </w:r>
      <w:proofErr w:type="spellStart"/>
      <w:r>
        <w:t>ada</w:t>
      </w:r>
      <w:r w:rsidR="003B0095">
        <w:t>limumab</w:t>
      </w:r>
      <w:proofErr w:type="spellEnd"/>
      <w:r w:rsidR="003B0095">
        <w:t xml:space="preserve"> (</w:t>
      </w:r>
      <w:proofErr w:type="spellStart"/>
      <w:r w:rsidR="003B0095">
        <w:t>Humira</w:t>
      </w:r>
      <w:proofErr w:type="spellEnd"/>
      <w:r w:rsidR="003B0095">
        <w:t xml:space="preserve">), </w:t>
      </w:r>
      <w:proofErr w:type="spellStart"/>
      <w:r w:rsidR="003B0095">
        <w:t>certolizumab</w:t>
      </w:r>
      <w:proofErr w:type="spellEnd"/>
      <w:r w:rsidR="003B0095">
        <w:t xml:space="preserve"> (Cimzia), </w:t>
      </w:r>
      <w:proofErr w:type="spellStart"/>
      <w:r w:rsidR="003B0095">
        <w:t>etanercept</w:t>
      </w:r>
      <w:proofErr w:type="spellEnd"/>
      <w:r w:rsidR="003B0095">
        <w:t xml:space="preserve"> (</w:t>
      </w:r>
      <w:proofErr w:type="spellStart"/>
      <w:r w:rsidR="003B0095">
        <w:t>Embrel</w:t>
      </w:r>
      <w:proofErr w:type="spellEnd"/>
      <w:r w:rsidR="003B0095">
        <w:t xml:space="preserve">), </w:t>
      </w:r>
      <w:proofErr w:type="spellStart"/>
      <w:r w:rsidR="003B0095">
        <w:t>golimumab</w:t>
      </w:r>
      <w:proofErr w:type="spellEnd"/>
      <w:r w:rsidR="003B0095">
        <w:t xml:space="preserve"> (</w:t>
      </w:r>
      <w:proofErr w:type="spellStart"/>
      <w:r w:rsidR="003B0095">
        <w:t>Simponi</w:t>
      </w:r>
      <w:proofErr w:type="spellEnd"/>
      <w:r w:rsidR="003B0095">
        <w:t>) and infliximab (</w:t>
      </w:r>
      <w:proofErr w:type="spellStart"/>
      <w:r w:rsidR="003B0095">
        <w:t>Remicade</w:t>
      </w:r>
      <w:proofErr w:type="spellEnd"/>
      <w:r>
        <w:t xml:space="preserve">). Switching between TNFIs is often employed if one loses effectiveness. An increasing number of TNFI </w:t>
      </w:r>
      <w:proofErr w:type="spellStart"/>
      <w:r>
        <w:t>biosimilars</w:t>
      </w:r>
      <w:proofErr w:type="spellEnd"/>
      <w:r>
        <w:t xml:space="preserve"> (</w:t>
      </w:r>
      <w:proofErr w:type="spellStart"/>
      <w:r>
        <w:t>bsDMARDs</w:t>
      </w:r>
      <w:proofErr w:type="spellEnd"/>
      <w:r>
        <w:t xml:space="preserve">) are also being registered, including several infliximab </w:t>
      </w:r>
      <w:proofErr w:type="spellStart"/>
      <w:r>
        <w:t>biosimilars</w:t>
      </w:r>
      <w:proofErr w:type="spellEnd"/>
      <w:r>
        <w:t xml:space="preserve">. TNFIs are usually prescribed with MTX but may be given as monotherapy if MTX is not tolerated or contra-indicated. DMARDs targeting other pathways have also been approved. These include the IL-12/23 </w:t>
      </w:r>
      <w:r>
        <w:lastRenderedPageBreak/>
        <w:t>inhibito</w:t>
      </w:r>
      <w:r w:rsidR="003B0095">
        <w:t xml:space="preserve">r </w:t>
      </w:r>
      <w:proofErr w:type="spellStart"/>
      <w:r w:rsidR="003B0095">
        <w:t>ustekinumab</w:t>
      </w:r>
      <w:proofErr w:type="spellEnd"/>
      <w:r w:rsidR="003B0095">
        <w:t xml:space="preserve"> (</w:t>
      </w:r>
      <w:proofErr w:type="spellStart"/>
      <w:r w:rsidR="00E72BDF">
        <w:t>Stelara</w:t>
      </w:r>
      <w:proofErr w:type="spellEnd"/>
      <w:r>
        <w:t xml:space="preserve">), the IL-17 </w:t>
      </w:r>
      <w:r w:rsidR="003B0095">
        <w:t xml:space="preserve">inhibitor </w:t>
      </w:r>
      <w:proofErr w:type="spellStart"/>
      <w:r w:rsidR="003B0095">
        <w:t>secukinumab</w:t>
      </w:r>
      <w:proofErr w:type="spellEnd"/>
      <w:r w:rsidR="003B0095">
        <w:t xml:space="preserve"> (</w:t>
      </w:r>
      <w:proofErr w:type="spellStart"/>
      <w:r w:rsidR="00E72BDF">
        <w:t>Cosentyx</w:t>
      </w:r>
      <w:proofErr w:type="spellEnd"/>
      <w:r>
        <w:t xml:space="preserve">) and the </w:t>
      </w:r>
      <w:r w:rsidR="00591694">
        <w:t>p</w:t>
      </w:r>
      <w:r w:rsidR="00591694" w:rsidRPr="00591694">
        <w:t>hosphodiesterase 4</w:t>
      </w:r>
      <w:r w:rsidR="00591694">
        <w:t xml:space="preserve"> (</w:t>
      </w:r>
      <w:r>
        <w:t>PD</w:t>
      </w:r>
      <w:r w:rsidR="003B0095">
        <w:t>E4</w:t>
      </w:r>
      <w:r w:rsidR="00591694">
        <w:t>)</w:t>
      </w:r>
      <w:r w:rsidR="003B0095">
        <w:t xml:space="preserve"> inhibitor </w:t>
      </w:r>
      <w:proofErr w:type="spellStart"/>
      <w:r w:rsidR="003B0095">
        <w:t>apremilast</w:t>
      </w:r>
      <w:proofErr w:type="spellEnd"/>
      <w:r w:rsidR="003B0095">
        <w:t xml:space="preserve"> (</w:t>
      </w:r>
      <w:proofErr w:type="spellStart"/>
      <w:r w:rsidR="00E72BDF">
        <w:t>Otezla</w:t>
      </w:r>
      <w:proofErr w:type="spellEnd"/>
      <w:r>
        <w:t>). They may be</w:t>
      </w:r>
      <w:r w:rsidR="003A1B70">
        <w:t xml:space="preserve"> given as alternatives to TNFIs</w:t>
      </w:r>
      <w:r>
        <w:t xml:space="preserve"> or as monotherapy when treatment with MTX is inappropriate. Numerous other products are in development.</w:t>
      </w:r>
    </w:p>
    <w:p w14:paraId="267459B8" w14:textId="77777777" w:rsidR="00605AD4" w:rsidRDefault="00605AD4" w:rsidP="00605AD4">
      <w:pPr>
        <w:pStyle w:val="Heading4"/>
      </w:pPr>
      <w:bookmarkStart w:id="66" w:name="_Toc196046464"/>
      <w:bookmarkStart w:id="67" w:name="_Toc247691518"/>
      <w:bookmarkStart w:id="68" w:name="_Toc314842502"/>
      <w:r w:rsidRPr="00605AD4">
        <w:t xml:space="preserve">Clinical </w:t>
      </w:r>
      <w:r w:rsidR="00EF59DC">
        <w:t>r</w:t>
      </w:r>
      <w:r w:rsidRPr="00605AD4">
        <w:t>ationale</w:t>
      </w:r>
    </w:p>
    <w:p w14:paraId="58A2BA0A" w14:textId="77777777" w:rsidR="0065766C" w:rsidRDefault="0065766C" w:rsidP="0065766C">
      <w:pPr>
        <w:rPr>
          <w:lang w:eastAsia="ja-JP"/>
        </w:rPr>
      </w:pPr>
      <w:r>
        <w:rPr>
          <w:lang w:eastAsia="ja-JP"/>
        </w:rPr>
        <w:t>In rheumatoid diseases, there is overproduction of a number of pro-inflammatory cytokines i</w:t>
      </w:r>
      <w:r w:rsidR="00E72BDF">
        <w:rPr>
          <w:lang w:eastAsia="ja-JP"/>
        </w:rPr>
        <w:t xml:space="preserve">ncluding interleukins and TNF. </w:t>
      </w:r>
      <w:r>
        <w:rPr>
          <w:lang w:eastAsia="ja-JP"/>
        </w:rPr>
        <w:t xml:space="preserve">In the last 20 years, numerous </w:t>
      </w:r>
      <w:proofErr w:type="spellStart"/>
      <w:r>
        <w:rPr>
          <w:lang w:eastAsia="ja-JP"/>
        </w:rPr>
        <w:t>bDMARDs</w:t>
      </w:r>
      <w:proofErr w:type="spellEnd"/>
      <w:r>
        <w:rPr>
          <w:lang w:eastAsia="ja-JP"/>
        </w:rPr>
        <w:t xml:space="preserve"> have proved effective in RA, and in related conditions including </w:t>
      </w:r>
      <w:proofErr w:type="spellStart"/>
      <w:r>
        <w:rPr>
          <w:lang w:eastAsia="ja-JP"/>
        </w:rPr>
        <w:t>PsA</w:t>
      </w:r>
      <w:proofErr w:type="spellEnd"/>
      <w:r>
        <w:rPr>
          <w:lang w:eastAsia="ja-JP"/>
        </w:rPr>
        <w:t xml:space="preserve">, ankylosing spondylitis and juvenile arthritis. Tofacitinib is a first in class JAK inhibitor which reduces immune and inflammatory processes in rheumatoid arthritis. It is a </w:t>
      </w:r>
      <w:proofErr w:type="spellStart"/>
      <w:r w:rsidR="00591694">
        <w:rPr>
          <w:lang w:eastAsia="ja-JP"/>
        </w:rPr>
        <w:t>tsDMARD</w:t>
      </w:r>
      <w:proofErr w:type="spellEnd"/>
      <w:r>
        <w:rPr>
          <w:lang w:eastAsia="ja-JP"/>
        </w:rPr>
        <w:t xml:space="preserve"> which preferentially inhibits JAK3/JAK1 </w:t>
      </w:r>
      <w:r w:rsidRPr="006F4F09">
        <w:rPr>
          <w:lang w:eastAsia="ja-JP"/>
        </w:rPr>
        <w:t xml:space="preserve">heterodimeric complexes on the inner aspects of the cell surface membrane. Inhibition of JAK3/JAK1 blocks cytokine signalling affecting inflammation and immune responses, </w:t>
      </w:r>
      <w:r>
        <w:rPr>
          <w:lang w:eastAsia="ja-JP"/>
        </w:rPr>
        <w:t>primarily</w:t>
      </w:r>
      <w:r w:rsidRPr="006F4F09">
        <w:rPr>
          <w:lang w:eastAsia="ja-JP"/>
        </w:rPr>
        <w:t xml:space="preserve"> IL-2, IL-4, IL-7, IL-9, IL-15</w:t>
      </w:r>
      <w:r>
        <w:rPr>
          <w:lang w:eastAsia="ja-JP"/>
        </w:rPr>
        <w:t xml:space="preserve"> and</w:t>
      </w:r>
      <w:r w:rsidRPr="006F4F09">
        <w:rPr>
          <w:lang w:eastAsia="ja-JP"/>
        </w:rPr>
        <w:t xml:space="preserve"> IL-21. </w:t>
      </w:r>
      <w:r>
        <w:rPr>
          <w:lang w:eastAsia="ja-JP"/>
        </w:rPr>
        <w:t xml:space="preserve">In addition, </w:t>
      </w:r>
      <w:r w:rsidRPr="006F4F09">
        <w:rPr>
          <w:lang w:eastAsia="ja-JP"/>
        </w:rPr>
        <w:t>JAK2 and tyrosine kinase</w:t>
      </w:r>
      <w:r>
        <w:rPr>
          <w:lang w:eastAsia="ja-JP"/>
        </w:rPr>
        <w:t>2</w:t>
      </w:r>
      <w:r w:rsidRPr="006F4F09">
        <w:rPr>
          <w:lang w:eastAsia="ja-JP"/>
        </w:rPr>
        <w:t xml:space="preserve"> inhibition affects signalling for several hormones</w:t>
      </w:r>
      <w:r>
        <w:rPr>
          <w:lang w:eastAsia="ja-JP"/>
        </w:rPr>
        <w:t xml:space="preserve">, particularly </w:t>
      </w:r>
      <w:r w:rsidRPr="006F4F09">
        <w:rPr>
          <w:lang w:eastAsia="ja-JP"/>
        </w:rPr>
        <w:t>EPO</w:t>
      </w:r>
      <w:r>
        <w:rPr>
          <w:lang w:eastAsia="ja-JP"/>
        </w:rPr>
        <w:t xml:space="preserve"> and pro-inflammatory cytokines such as IL-6 and </w:t>
      </w:r>
      <w:r w:rsidRPr="006F4F09">
        <w:rPr>
          <w:lang w:eastAsia="ja-JP"/>
        </w:rPr>
        <w:t xml:space="preserve">type </w:t>
      </w:r>
      <w:r>
        <w:rPr>
          <w:lang w:eastAsia="ja-JP"/>
        </w:rPr>
        <w:t>I</w:t>
      </w:r>
      <w:r w:rsidRPr="006F4F09">
        <w:rPr>
          <w:lang w:eastAsia="ja-JP"/>
        </w:rPr>
        <w:t xml:space="preserve"> </w:t>
      </w:r>
      <w:r>
        <w:rPr>
          <w:lang w:eastAsia="ja-JP"/>
        </w:rPr>
        <w:t xml:space="preserve">and II </w:t>
      </w:r>
      <w:r w:rsidRPr="006F4F09">
        <w:rPr>
          <w:lang w:eastAsia="ja-JP"/>
        </w:rPr>
        <w:t>interferons</w:t>
      </w:r>
      <w:r w:rsidR="00E72BDF">
        <w:rPr>
          <w:lang w:eastAsia="ja-JP"/>
        </w:rPr>
        <w:t>.</w:t>
      </w:r>
    </w:p>
    <w:p w14:paraId="75C7F56F" w14:textId="77777777" w:rsidR="00500337" w:rsidRPr="00500337" w:rsidRDefault="0065766C" w:rsidP="00500337">
      <w:pPr>
        <w:rPr>
          <w:lang w:eastAsia="ja-JP"/>
        </w:rPr>
      </w:pPr>
      <w:r>
        <w:rPr>
          <w:lang w:eastAsia="ja-JP"/>
        </w:rPr>
        <w:t xml:space="preserve">Tofacitinib is a novel, orally administered </w:t>
      </w:r>
      <w:proofErr w:type="spellStart"/>
      <w:r>
        <w:rPr>
          <w:lang w:eastAsia="ja-JP"/>
        </w:rPr>
        <w:t>tsDMARD</w:t>
      </w:r>
      <w:proofErr w:type="spellEnd"/>
      <w:r>
        <w:rPr>
          <w:lang w:eastAsia="ja-JP"/>
        </w:rPr>
        <w:t xml:space="preserve"> which is approved for use in RA in more than 50 countries. The sponsor has conducted clinical studies to d</w:t>
      </w:r>
      <w:r w:rsidR="00E72BDF">
        <w:rPr>
          <w:lang w:eastAsia="ja-JP"/>
        </w:rPr>
        <w:t xml:space="preserve">emonstrate efficacy and safety in patients with </w:t>
      </w:r>
      <w:proofErr w:type="spellStart"/>
      <w:r w:rsidR="00E72BDF">
        <w:rPr>
          <w:lang w:eastAsia="ja-JP"/>
        </w:rPr>
        <w:t>PsA.</w:t>
      </w:r>
      <w:proofErr w:type="spellEnd"/>
    </w:p>
    <w:p w14:paraId="131FA16E" w14:textId="77777777" w:rsidR="00605AD4" w:rsidRDefault="00605AD4" w:rsidP="00605AD4">
      <w:pPr>
        <w:pStyle w:val="Heading4"/>
      </w:pPr>
      <w:r w:rsidRPr="00605AD4">
        <w:t>Guidance</w:t>
      </w:r>
    </w:p>
    <w:p w14:paraId="3F80C769" w14:textId="3BECD71B" w:rsidR="0065766C" w:rsidRDefault="00E72BDF" w:rsidP="0065766C">
      <w:r>
        <w:t>The design of the Phase III</w:t>
      </w:r>
      <w:r w:rsidR="0065766C">
        <w:t xml:space="preserve"> programme was based on extensive guidance from the </w:t>
      </w:r>
      <w:r w:rsidR="00403A18">
        <w:t>European Medicines Agency (</w:t>
      </w:r>
      <w:r w:rsidR="0065766C">
        <w:t>EMA</w:t>
      </w:r>
      <w:r w:rsidR="00403A18">
        <w:t>)</w:t>
      </w:r>
      <w:r w:rsidR="0065766C">
        <w:t xml:space="preserve"> </w:t>
      </w:r>
      <w:r w:rsidR="00403A18" w:rsidRPr="00403A18">
        <w:t xml:space="preserve">Committee for Medicinal Products for Human Use </w:t>
      </w:r>
      <w:r w:rsidR="00403A18">
        <w:t>(</w:t>
      </w:r>
      <w:r w:rsidR="0065766C">
        <w:t>CHMP</w:t>
      </w:r>
      <w:r w:rsidR="00403A18">
        <w:t>)</w:t>
      </w:r>
      <w:r>
        <w:t>.</w:t>
      </w:r>
      <w:r w:rsidR="0065766C">
        <w:t xml:space="preserve"> Similar guidance from the US </w:t>
      </w:r>
      <w:r w:rsidR="002D32F5">
        <w:t>Food and Drug Administration (</w:t>
      </w:r>
      <w:r w:rsidR="0065766C">
        <w:t>FDA</w:t>
      </w:r>
      <w:r w:rsidR="002D32F5">
        <w:t>)</w:t>
      </w:r>
      <w:r w:rsidR="0065766C">
        <w:t xml:space="preserve"> </w:t>
      </w:r>
      <w:r w:rsidR="003A1B70">
        <w:t>was provided</w:t>
      </w:r>
      <w:r w:rsidR="00EA3CE4">
        <w:t>.</w:t>
      </w:r>
      <w:r w:rsidR="0065766C">
        <w:t xml:space="preserve"> The key outcomes were:</w:t>
      </w:r>
    </w:p>
    <w:p w14:paraId="4A6EE7CD" w14:textId="77777777" w:rsidR="0065766C" w:rsidRPr="00E72BDF" w:rsidRDefault="0065766C" w:rsidP="00E72BDF">
      <w:pPr>
        <w:pStyle w:val="ListBullet"/>
      </w:pPr>
      <w:r w:rsidRPr="00E72BDF">
        <w:t>The overall study programme was considered appropriate.</w:t>
      </w:r>
    </w:p>
    <w:p w14:paraId="1BBF8974" w14:textId="77777777" w:rsidR="00E72BDF" w:rsidRDefault="0065766C" w:rsidP="00E72BDF">
      <w:pPr>
        <w:pStyle w:val="ListBullet"/>
      </w:pPr>
      <w:r w:rsidRPr="00E72BDF">
        <w:t xml:space="preserve">Mandatory background </w:t>
      </w:r>
      <w:proofErr w:type="spellStart"/>
      <w:r w:rsidRPr="00E72BDF">
        <w:t>csDMARD</w:t>
      </w:r>
      <w:proofErr w:type="spellEnd"/>
      <w:r w:rsidRPr="00E72BDF">
        <w:t xml:space="preserve"> therapy was required for the pivotal studies.</w:t>
      </w:r>
    </w:p>
    <w:p w14:paraId="1E08E2C9" w14:textId="77777777" w:rsidR="00E72BDF" w:rsidRDefault="0065766C" w:rsidP="0065766C">
      <w:r>
        <w:t xml:space="preserve">The initial protocol included an option for </w:t>
      </w:r>
      <w:proofErr w:type="spellStart"/>
      <w:r>
        <w:t>tofacitinib</w:t>
      </w:r>
      <w:proofErr w:type="spellEnd"/>
      <w:r>
        <w:t xml:space="preserve"> monotherapy but this was considered unacceptable.</w:t>
      </w:r>
    </w:p>
    <w:p w14:paraId="55F102F9" w14:textId="77777777" w:rsidR="0065766C" w:rsidRDefault="0065766C" w:rsidP="00E72BDF">
      <w:pPr>
        <w:pStyle w:val="ListBullet"/>
      </w:pPr>
      <w:r>
        <w:t>The treatment durations for the two pivotal efficacy studies were approved.</w:t>
      </w:r>
    </w:p>
    <w:p w14:paraId="1A0BEF03" w14:textId="77777777" w:rsidR="0065766C" w:rsidRDefault="0065766C" w:rsidP="00E72BDF">
      <w:pPr>
        <w:pStyle w:val="ListBullet"/>
      </w:pPr>
      <w:r>
        <w:t>The study endpoints were approved (</w:t>
      </w:r>
      <w:r w:rsidR="00E72BDF">
        <w:t>American College of Rheumatology 20% improvement in disease activity criteria (</w:t>
      </w:r>
      <w:r>
        <w:t>ACR20</w:t>
      </w:r>
      <w:r w:rsidR="00E72BDF">
        <w:t>)</w:t>
      </w:r>
      <w:r>
        <w:t xml:space="preserve"> and </w:t>
      </w:r>
      <w:r w:rsidR="00E72BDF">
        <w:t>Health Assessment Questionnaire - Disability Index (</w:t>
      </w:r>
      <w:r>
        <w:t>HAQ-DI</w:t>
      </w:r>
      <w:r w:rsidR="00E72BDF">
        <w:t>)</w:t>
      </w:r>
      <w:r>
        <w:t xml:space="preserve"> at Month 3).</w:t>
      </w:r>
    </w:p>
    <w:p w14:paraId="56DD16C9" w14:textId="77777777" w:rsidR="0065766C" w:rsidRDefault="0065766C" w:rsidP="00E72BDF">
      <w:pPr>
        <w:pStyle w:val="ListBullet"/>
      </w:pPr>
      <w:proofErr w:type="spellStart"/>
      <w:r>
        <w:t>Adalimumab</w:t>
      </w:r>
      <w:proofErr w:type="spellEnd"/>
      <w:r>
        <w:t xml:space="preserve"> was agreed as a positiv</w:t>
      </w:r>
      <w:r w:rsidR="00E72BDF">
        <w:t>e control in S</w:t>
      </w:r>
      <w:r>
        <w:t>tudy A3921091.</w:t>
      </w:r>
    </w:p>
    <w:p w14:paraId="7AC00EE8" w14:textId="77777777" w:rsidR="0065766C" w:rsidRDefault="0065766C" w:rsidP="00E72BDF">
      <w:pPr>
        <w:pStyle w:val="ListBullet"/>
      </w:pPr>
      <w:r>
        <w:t>The ration</w:t>
      </w:r>
      <w:r w:rsidR="00E72BDF">
        <w:t>ale for not conducting a Phase II</w:t>
      </w:r>
      <w:r>
        <w:t xml:space="preserve"> dose ranging study in patients with </w:t>
      </w:r>
      <w:proofErr w:type="spellStart"/>
      <w:r>
        <w:t>PsA</w:t>
      </w:r>
      <w:proofErr w:type="spellEnd"/>
      <w:r>
        <w:t xml:space="preserve"> was accepted. Only the 5 mg </w:t>
      </w:r>
      <w:r w:rsidR="003A1B70">
        <w:t>BD</w:t>
      </w:r>
      <w:r>
        <w:t xml:space="preserve"> dose has been prog</w:t>
      </w:r>
      <w:r w:rsidR="00E72BDF">
        <w:t>ressed (at the sponsor’s risk).</w:t>
      </w:r>
    </w:p>
    <w:p w14:paraId="3508DE15" w14:textId="77777777" w:rsidR="00500337" w:rsidRPr="00500337" w:rsidRDefault="0065766C" w:rsidP="0065766C">
      <w:r>
        <w:t>Questions relating to aspects of the proposed new indication must be assessed in the context of the regulatory guidance provided. Required b</w:t>
      </w:r>
      <w:r w:rsidR="00E72BDF">
        <w:t xml:space="preserve">ackground </w:t>
      </w:r>
      <w:proofErr w:type="spellStart"/>
      <w:r w:rsidR="00E72BDF">
        <w:t>csDMARD</w:t>
      </w:r>
      <w:proofErr w:type="spellEnd"/>
      <w:r w:rsidR="00E72BDF">
        <w:t xml:space="preserve"> treatment in S</w:t>
      </w:r>
      <w:r>
        <w:t>tudies A3921091 and A3921125 was based on the FDA concer</w:t>
      </w:r>
      <w:r w:rsidR="00E72BDF">
        <w:t>ns for use of pure placebo (that is,</w:t>
      </w:r>
      <w:r>
        <w:t xml:space="preserve"> without background treatment) for 3 months, in patients that are at increased risk of accruing structural damage </w:t>
      </w:r>
      <w:r w:rsidR="00E72BDF">
        <w:t xml:space="preserve">as described in this document. </w:t>
      </w:r>
      <w:r>
        <w:t xml:space="preserve">There was no stated intent to position </w:t>
      </w:r>
      <w:proofErr w:type="spellStart"/>
      <w:r>
        <w:t>tofac</w:t>
      </w:r>
      <w:r w:rsidR="00E72BDF">
        <w:t>itinib</w:t>
      </w:r>
      <w:proofErr w:type="spellEnd"/>
      <w:r w:rsidR="00E72BDF">
        <w:t xml:space="preserve"> as seco</w:t>
      </w:r>
      <w:r w:rsidR="00E44C3F">
        <w:t>nd line therapy.</w:t>
      </w:r>
    </w:p>
    <w:p w14:paraId="303C9296" w14:textId="77777777" w:rsidR="00605AD4" w:rsidRDefault="00605AD4" w:rsidP="00605AD4">
      <w:pPr>
        <w:pStyle w:val="Heading4"/>
      </w:pPr>
      <w:r w:rsidRPr="00605AD4">
        <w:t>Contents of the clinical dossier</w:t>
      </w:r>
    </w:p>
    <w:p w14:paraId="1ED05EDC" w14:textId="77777777" w:rsidR="0065766C" w:rsidRDefault="00E72BDF" w:rsidP="0065766C">
      <w:r>
        <w:t>Three pivotal Phase III</w:t>
      </w:r>
      <w:r w:rsidR="0065766C">
        <w:t xml:space="preserve"> studies have been submitted:</w:t>
      </w:r>
    </w:p>
    <w:p w14:paraId="3AD3D3A5" w14:textId="7898073B" w:rsidR="0065766C" w:rsidRDefault="002D32F5" w:rsidP="00E72BDF">
      <w:pPr>
        <w:pStyle w:val="ListBullet"/>
      </w:pPr>
      <w:r>
        <w:t xml:space="preserve">Study </w:t>
      </w:r>
      <w:r w:rsidR="00B25535">
        <w:t>A3921091</w:t>
      </w:r>
      <w:r>
        <w:t xml:space="preserve"> was</w:t>
      </w:r>
      <w:r w:rsidR="00B25535">
        <w:t xml:space="preserve"> </w:t>
      </w:r>
      <w:r>
        <w:t>a</w:t>
      </w:r>
      <w:r w:rsidR="00B25535">
        <w:t xml:space="preserve"> randomised, double blind, placebo </w:t>
      </w:r>
      <w:r w:rsidR="0065766C">
        <w:t xml:space="preserve">controlled study of the efficacy and safety of two doses of </w:t>
      </w:r>
      <w:proofErr w:type="spellStart"/>
      <w:r w:rsidR="0065766C">
        <w:t>tofacitinib</w:t>
      </w:r>
      <w:proofErr w:type="spellEnd"/>
      <w:r w:rsidR="0065766C">
        <w:t xml:space="preserve"> (5 mg </w:t>
      </w:r>
      <w:r w:rsidR="003A1B70">
        <w:t>BD</w:t>
      </w:r>
      <w:r w:rsidR="0065766C">
        <w:t xml:space="preserve"> or 10 mg </w:t>
      </w:r>
      <w:r w:rsidR="003A1B70">
        <w:t>BD</w:t>
      </w:r>
      <w:r w:rsidR="0065766C">
        <w:t xml:space="preserve">) or </w:t>
      </w:r>
      <w:proofErr w:type="spellStart"/>
      <w:r w:rsidR="0065766C">
        <w:t>adalimumab</w:t>
      </w:r>
      <w:proofErr w:type="spellEnd"/>
      <w:r w:rsidR="0065766C">
        <w:t xml:space="preserve"> in </w:t>
      </w:r>
      <w:r w:rsidR="0065766C">
        <w:lastRenderedPageBreak/>
        <w:t xml:space="preserve">patients with active </w:t>
      </w:r>
      <w:proofErr w:type="spellStart"/>
      <w:r w:rsidR="0065766C">
        <w:t>PsA.</w:t>
      </w:r>
      <w:proofErr w:type="spellEnd"/>
      <w:r w:rsidR="0065766C">
        <w:t xml:space="preserve"> The study duration was 12 months, and the primary endpoints were ACR20 response rates and changes in HAQ-DI at Month 3.Patients were required to have had an inadequate response to at least one </w:t>
      </w:r>
      <w:proofErr w:type="spellStart"/>
      <w:r w:rsidR="0065766C">
        <w:t>csDMARD</w:t>
      </w:r>
      <w:proofErr w:type="spellEnd"/>
      <w:r w:rsidR="0065766C">
        <w:t xml:space="preserve"> and to be TNF inhibitor naïve. Tofacitinib was added to previous stable </w:t>
      </w:r>
      <w:proofErr w:type="spellStart"/>
      <w:r w:rsidR="0065766C">
        <w:t>csDMARD</w:t>
      </w:r>
      <w:proofErr w:type="spellEnd"/>
      <w:r w:rsidR="0065766C">
        <w:t xml:space="preserve"> therapy and monotherapy was not allowed. </w:t>
      </w:r>
      <w:proofErr w:type="spellStart"/>
      <w:r w:rsidR="0065766C">
        <w:t>Adalimumab</w:t>
      </w:r>
      <w:proofErr w:type="spellEnd"/>
      <w:r w:rsidR="0065766C">
        <w:t xml:space="preserve"> was </w:t>
      </w:r>
      <w:r w:rsidR="00B25535">
        <w:t>included as a positive control.</w:t>
      </w:r>
    </w:p>
    <w:p w14:paraId="6B6B43D8" w14:textId="61041945" w:rsidR="0065766C" w:rsidRDefault="002D32F5" w:rsidP="00E72BDF">
      <w:pPr>
        <w:pStyle w:val="ListBullet"/>
      </w:pPr>
      <w:r>
        <w:t xml:space="preserve">Study </w:t>
      </w:r>
      <w:r w:rsidR="00B25535">
        <w:t>A3921125</w:t>
      </w:r>
      <w:r>
        <w:t xml:space="preserve"> was a</w:t>
      </w:r>
      <w:r w:rsidR="00B25535">
        <w:t xml:space="preserve"> randomised, double blind, placebo </w:t>
      </w:r>
      <w:r w:rsidR="0065766C">
        <w:t xml:space="preserve">controlled, study of the efficacy and safety of two doses of </w:t>
      </w:r>
      <w:proofErr w:type="spellStart"/>
      <w:r w:rsidR="0065766C">
        <w:t>tofacitinib</w:t>
      </w:r>
      <w:proofErr w:type="spellEnd"/>
      <w:r w:rsidR="0065766C">
        <w:t xml:space="preserve"> (5 mg </w:t>
      </w:r>
      <w:r w:rsidR="003A1B70">
        <w:t>BD</w:t>
      </w:r>
      <w:r w:rsidR="0065766C">
        <w:t xml:space="preserve"> or 10 mg </w:t>
      </w:r>
      <w:r w:rsidR="003A1B70">
        <w:t>BD</w:t>
      </w:r>
      <w:r w:rsidR="0065766C">
        <w:t xml:space="preserve">) in patients with active </w:t>
      </w:r>
      <w:proofErr w:type="spellStart"/>
      <w:r w:rsidR="0065766C">
        <w:t>PsA</w:t>
      </w:r>
      <w:proofErr w:type="spellEnd"/>
      <w:r w:rsidR="0065766C">
        <w:t xml:space="preserve"> and an inadequate response to at least one TNF inhi</w:t>
      </w:r>
      <w:r w:rsidR="00B25535">
        <w:t>bitor. The study duration was 6 </w:t>
      </w:r>
      <w:r w:rsidR="0065766C">
        <w:t>months, and the primary endpoints were ACR20 re</w:t>
      </w:r>
      <w:r w:rsidR="00B25535">
        <w:t>sponse rates and changes in HAQ</w:t>
      </w:r>
      <w:r w:rsidR="00B25535">
        <w:noBreakHyphen/>
      </w:r>
      <w:r w:rsidR="0065766C">
        <w:t xml:space="preserve">DI at Month 3. Tofacitinib was added to previous stable </w:t>
      </w:r>
      <w:proofErr w:type="spellStart"/>
      <w:r w:rsidR="0065766C">
        <w:t>csDMARD</w:t>
      </w:r>
      <w:proofErr w:type="spellEnd"/>
      <w:r w:rsidR="0065766C">
        <w:t xml:space="preserve"> therapy and monotherapy was not allowed.</w:t>
      </w:r>
    </w:p>
    <w:p w14:paraId="0D16ACAF" w14:textId="02C798A0" w:rsidR="0065766C" w:rsidRDefault="002D32F5" w:rsidP="00E72BDF">
      <w:pPr>
        <w:pStyle w:val="ListBullet"/>
      </w:pPr>
      <w:r>
        <w:t xml:space="preserve">Study </w:t>
      </w:r>
      <w:r w:rsidR="00350F2C">
        <w:t>A3921092</w:t>
      </w:r>
      <w:r>
        <w:t xml:space="preserve"> is</w:t>
      </w:r>
      <w:r w:rsidR="00DE118A">
        <w:t xml:space="preserve"> a</w:t>
      </w:r>
      <w:r w:rsidR="00350F2C">
        <w:t>n on</w:t>
      </w:r>
      <w:r w:rsidR="00B25535">
        <w:t xml:space="preserve">going, open </w:t>
      </w:r>
      <w:r w:rsidR="0065766C">
        <w:t>la</w:t>
      </w:r>
      <w:r w:rsidR="00B25535">
        <w:t>bel</w:t>
      </w:r>
      <w:r w:rsidR="0065766C">
        <w:t>,</w:t>
      </w:r>
      <w:r w:rsidR="00B25535">
        <w:t xml:space="preserve"> long term extension study</w:t>
      </w:r>
      <w:r w:rsidR="0065766C">
        <w:t xml:space="preserve"> of </w:t>
      </w:r>
      <w:proofErr w:type="spellStart"/>
      <w:r w:rsidR="0065766C">
        <w:t>tofacitinib</w:t>
      </w:r>
      <w:proofErr w:type="spellEnd"/>
      <w:r w:rsidR="0065766C">
        <w:t xml:space="preserve"> in patients with active </w:t>
      </w:r>
      <w:proofErr w:type="spellStart"/>
      <w:r w:rsidR="0065766C">
        <w:t>PsA</w:t>
      </w:r>
      <w:proofErr w:type="spellEnd"/>
      <w:r w:rsidR="0065766C">
        <w:t xml:space="preserve"> who were previously</w:t>
      </w:r>
      <w:r w:rsidR="00B25535">
        <w:t xml:space="preserve"> enrolled in the pivotal Phase III</w:t>
      </w:r>
      <w:r w:rsidR="0065766C">
        <w:t xml:space="preserve"> studies. The primary objective is safety and tolerability measured by the incidence and severity of </w:t>
      </w:r>
      <w:r w:rsidR="002219D4">
        <w:t>adverse events (</w:t>
      </w:r>
      <w:r w:rsidR="0065766C">
        <w:t>AE</w:t>
      </w:r>
      <w:r w:rsidR="002219D4">
        <w:t>)</w:t>
      </w:r>
      <w:r w:rsidR="0065766C">
        <w:t xml:space="preserve"> and laboratory abnormalities. The pla</w:t>
      </w:r>
      <w:r w:rsidR="002D6420">
        <w:t>nned study duration is 3 </w:t>
      </w:r>
      <w:r w:rsidR="00350F2C">
        <w:t>years.</w:t>
      </w:r>
    </w:p>
    <w:p w14:paraId="39EB68C0" w14:textId="77777777" w:rsidR="0065766C" w:rsidRDefault="0065766C" w:rsidP="0065766C">
      <w:r>
        <w:t>Three supportive clinical studies have been submitted:</w:t>
      </w:r>
    </w:p>
    <w:p w14:paraId="171E69EA" w14:textId="197C16F1" w:rsidR="0065766C" w:rsidRDefault="002D32F5" w:rsidP="00E72BDF">
      <w:pPr>
        <w:pStyle w:val="ListBullet"/>
      </w:pPr>
      <w:r>
        <w:t xml:space="preserve">Study </w:t>
      </w:r>
      <w:r w:rsidR="0065766C">
        <w:t>A3921137</w:t>
      </w:r>
      <w:r>
        <w:t xml:space="preserve"> was</w:t>
      </w:r>
      <w:r w:rsidR="0065766C">
        <w:t xml:space="preserve"> </w:t>
      </w:r>
      <w:r>
        <w:t>a</w:t>
      </w:r>
      <w:r w:rsidR="0065766C">
        <w:t>n uncontrolled, study in Japanese patients with psoriasis (</w:t>
      </w:r>
      <w:proofErr w:type="spellStart"/>
      <w:r w:rsidR="0065766C">
        <w:t>PsO</w:t>
      </w:r>
      <w:proofErr w:type="spellEnd"/>
      <w:r w:rsidR="0065766C">
        <w:t xml:space="preserve">) and/or </w:t>
      </w:r>
      <w:proofErr w:type="spellStart"/>
      <w:r w:rsidR="0065766C">
        <w:t>PsA.</w:t>
      </w:r>
      <w:proofErr w:type="spellEnd"/>
    </w:p>
    <w:p w14:paraId="04D1F986" w14:textId="3E6768C0" w:rsidR="0065766C" w:rsidRDefault="002D32F5" w:rsidP="00E72BDF">
      <w:pPr>
        <w:pStyle w:val="ListBullet"/>
      </w:pPr>
      <w:r>
        <w:t xml:space="preserve">Study </w:t>
      </w:r>
      <w:r w:rsidR="00350F2C">
        <w:t>A3921119</w:t>
      </w:r>
      <w:r>
        <w:t xml:space="preserve"> was a</w:t>
      </w:r>
      <w:r w:rsidR="00350F2C">
        <w:t xml:space="preserve"> Phase II, double blind, placebo </w:t>
      </w:r>
      <w:r w:rsidR="0065766C">
        <w:t>controlled, dose</w:t>
      </w:r>
      <w:r w:rsidR="00350F2C">
        <w:t xml:space="preserve"> </w:t>
      </w:r>
      <w:r w:rsidR="0065766C">
        <w:t>ranging study in patients with active ankylosing spondylitis (AS).</w:t>
      </w:r>
    </w:p>
    <w:p w14:paraId="065E300C" w14:textId="46FEB548" w:rsidR="00500337" w:rsidRPr="00500337" w:rsidRDefault="00350F2C" w:rsidP="00E72BDF">
      <w:pPr>
        <w:pStyle w:val="ListBullet"/>
      </w:pPr>
      <w:r>
        <w:t>PMAR-EQDD-A392j-sNDA-601</w:t>
      </w:r>
      <w:r w:rsidR="002D32F5">
        <w:t xml:space="preserve"> is</w:t>
      </w:r>
      <w:r>
        <w:t xml:space="preserve"> </w:t>
      </w:r>
      <w:r w:rsidR="002D32F5">
        <w:t>a</w:t>
      </w:r>
      <w:r>
        <w:t xml:space="preserve"> p</w:t>
      </w:r>
      <w:r w:rsidR="0065766C">
        <w:t>op</w:t>
      </w:r>
      <w:r>
        <w:t xml:space="preserve">ulation </w:t>
      </w:r>
      <w:r w:rsidR="002D32F5">
        <w:t>pharmacokinetic (</w:t>
      </w:r>
      <w:r w:rsidR="0065766C">
        <w:t>PK</w:t>
      </w:r>
      <w:r w:rsidR="002D32F5">
        <w:t>)</w:t>
      </w:r>
      <w:r w:rsidR="0065766C">
        <w:t xml:space="preserve"> analysis in patients with </w:t>
      </w:r>
      <w:proofErr w:type="spellStart"/>
      <w:r w:rsidR="0065766C">
        <w:t>PsA.</w:t>
      </w:r>
      <w:proofErr w:type="spellEnd"/>
    </w:p>
    <w:p w14:paraId="6665EFD5" w14:textId="77777777" w:rsidR="00605AD4" w:rsidRDefault="00605AD4" w:rsidP="00605AD4">
      <w:pPr>
        <w:pStyle w:val="Heading4"/>
      </w:pPr>
      <w:r w:rsidRPr="00605AD4">
        <w:t>Paediatric data</w:t>
      </w:r>
    </w:p>
    <w:p w14:paraId="6FAEB669" w14:textId="77777777" w:rsidR="00500337" w:rsidRPr="00500337" w:rsidRDefault="0065766C" w:rsidP="00350F2C">
      <w:pPr>
        <w:rPr>
          <w:lang w:eastAsia="ja-JP"/>
        </w:rPr>
      </w:pPr>
      <w:r>
        <w:rPr>
          <w:lang w:eastAsia="ja-JP"/>
        </w:rPr>
        <w:t>No paediatric data have been submitted.</w:t>
      </w:r>
    </w:p>
    <w:p w14:paraId="1C98D9E6" w14:textId="77777777" w:rsidR="00605AD4" w:rsidRDefault="00605AD4" w:rsidP="00605AD4">
      <w:pPr>
        <w:pStyle w:val="Heading4"/>
      </w:pPr>
      <w:r w:rsidRPr="00605AD4">
        <w:t>Good clinical practice</w:t>
      </w:r>
    </w:p>
    <w:p w14:paraId="2EEC1ADB" w14:textId="0A9650BA" w:rsidR="00500337" w:rsidRPr="00500337" w:rsidRDefault="0065766C" w:rsidP="00350F2C">
      <w:pPr>
        <w:rPr>
          <w:lang w:eastAsia="ja-JP"/>
        </w:rPr>
      </w:pPr>
      <w:r>
        <w:rPr>
          <w:lang w:eastAsia="ja-JP"/>
        </w:rPr>
        <w:t xml:space="preserve">The pivotal studies were performed according to the principles of </w:t>
      </w:r>
      <w:r w:rsidR="002D32F5">
        <w:rPr>
          <w:lang w:eastAsia="ja-JP"/>
        </w:rPr>
        <w:t>Good Clinical Practice (</w:t>
      </w:r>
      <w:r>
        <w:rPr>
          <w:lang w:eastAsia="ja-JP"/>
        </w:rPr>
        <w:t>GCP</w:t>
      </w:r>
      <w:r w:rsidR="002D32F5">
        <w:rPr>
          <w:lang w:eastAsia="ja-JP"/>
        </w:rPr>
        <w:t>)</w:t>
      </w:r>
      <w:r>
        <w:rPr>
          <w:lang w:eastAsia="ja-JP"/>
        </w:rPr>
        <w:t>.</w:t>
      </w:r>
    </w:p>
    <w:p w14:paraId="32CF1648" w14:textId="77777777" w:rsidR="008E7846" w:rsidRDefault="008E7846" w:rsidP="00605AD4">
      <w:pPr>
        <w:pStyle w:val="Heading3"/>
      </w:pPr>
      <w:bookmarkStart w:id="69" w:name="_Toc22048614"/>
      <w:r w:rsidRPr="00254787">
        <w:t>Pharmacokinetics</w:t>
      </w:r>
      <w:bookmarkEnd w:id="59"/>
      <w:bookmarkEnd w:id="66"/>
      <w:bookmarkEnd w:id="67"/>
      <w:bookmarkEnd w:id="68"/>
      <w:bookmarkEnd w:id="69"/>
    </w:p>
    <w:p w14:paraId="4D969003" w14:textId="77777777" w:rsidR="00605AD4" w:rsidRDefault="00605AD4" w:rsidP="00605AD4">
      <w:pPr>
        <w:pStyle w:val="Heading4"/>
      </w:pPr>
      <w:r>
        <w:t>Studies</w:t>
      </w:r>
      <w:r w:rsidR="00500337">
        <w:t xml:space="preserve"> providing pharmacokinetic data</w:t>
      </w:r>
    </w:p>
    <w:p w14:paraId="241FA459" w14:textId="77777777" w:rsidR="0065766C" w:rsidRDefault="0065766C" w:rsidP="0065766C">
      <w:pPr>
        <w:pStyle w:val="Heading5"/>
      </w:pPr>
      <w:r>
        <w:t>Pop</w:t>
      </w:r>
      <w:r w:rsidR="00350F2C">
        <w:t xml:space="preserve">ulation </w:t>
      </w:r>
      <w:r>
        <w:t>PK Study PMAR-EQDD-A392j-sNDA-601</w:t>
      </w:r>
    </w:p>
    <w:p w14:paraId="6CF0BB54" w14:textId="77777777" w:rsidR="00500337" w:rsidRDefault="00E44C3F" w:rsidP="0065766C">
      <w:r>
        <w:t xml:space="preserve">This population </w:t>
      </w:r>
      <w:r w:rsidR="0065766C">
        <w:t xml:space="preserve">PK analysis was undertaken to characterise </w:t>
      </w:r>
      <w:proofErr w:type="spellStart"/>
      <w:r w:rsidR="0065766C">
        <w:t>tofacitinib</w:t>
      </w:r>
      <w:proofErr w:type="spellEnd"/>
      <w:r w:rsidR="0065766C">
        <w:t xml:space="preserve"> PKs in patients with active </w:t>
      </w:r>
      <w:proofErr w:type="spellStart"/>
      <w:r w:rsidR="0065766C">
        <w:t>PsA</w:t>
      </w:r>
      <w:proofErr w:type="spellEnd"/>
      <w:r w:rsidR="0065766C">
        <w:t xml:space="preserve"> to examine covariate effects on </w:t>
      </w:r>
      <w:proofErr w:type="spellStart"/>
      <w:r w:rsidR="0065766C">
        <w:t>tofacitinib</w:t>
      </w:r>
      <w:proofErr w:type="spellEnd"/>
      <w:r w:rsidR="0065766C">
        <w:t xml:space="preserve"> exposure</w:t>
      </w:r>
      <w:r w:rsidR="00710D96">
        <w:t>, details below</w:t>
      </w:r>
      <w:r w:rsidR="0065766C">
        <w:t>. Nonlinear mixed effects mod</w:t>
      </w:r>
      <w:r w:rsidR="00255C41">
        <w:t xml:space="preserve">elling was used to develop a population </w:t>
      </w:r>
      <w:r w:rsidR="0065766C">
        <w:t>PK model based on 3</w:t>
      </w:r>
      <w:r w:rsidR="00255C41">
        <w:t>,</w:t>
      </w:r>
      <w:r w:rsidR="0065766C">
        <w:t xml:space="preserve">252 PK observations obtained from 650 patients with active </w:t>
      </w:r>
      <w:proofErr w:type="spellStart"/>
      <w:r w:rsidR="0065766C">
        <w:t>PsA</w:t>
      </w:r>
      <w:proofErr w:type="spellEnd"/>
      <w:r w:rsidR="00710D96">
        <w:t xml:space="preserve"> who participated in two Phase III</w:t>
      </w:r>
      <w:r w:rsidR="0065766C">
        <w:t xml:space="preserve"> studies (</w:t>
      </w:r>
      <w:r w:rsidR="00710D96">
        <w:fldChar w:fldCharType="begin"/>
      </w:r>
      <w:r w:rsidR="00710D96">
        <w:instrText xml:space="preserve"> REF _Ref17099974 \h </w:instrText>
      </w:r>
      <w:r w:rsidR="00710D96">
        <w:fldChar w:fldCharType="separate"/>
      </w:r>
      <w:r w:rsidR="00710D96">
        <w:t xml:space="preserve">Table </w:t>
      </w:r>
      <w:r w:rsidR="00710D96">
        <w:rPr>
          <w:noProof/>
        </w:rPr>
        <w:t>7</w:t>
      </w:r>
      <w:r w:rsidR="00710D96">
        <w:fldChar w:fldCharType="end"/>
      </w:r>
      <w:r w:rsidR="0065766C">
        <w:t xml:space="preserve">). Two doses of </w:t>
      </w:r>
      <w:proofErr w:type="spellStart"/>
      <w:r w:rsidR="0065766C">
        <w:t>tofacitinib</w:t>
      </w:r>
      <w:proofErr w:type="spellEnd"/>
      <w:r w:rsidR="0065766C">
        <w:t xml:space="preserve"> (5 mg and 10 mg) were used in both studies, and samples were taken at Months 1 and Month 4 or 6 in both studies (</w:t>
      </w:r>
      <w:r w:rsidR="00255C41">
        <w:fldChar w:fldCharType="begin"/>
      </w:r>
      <w:r w:rsidR="00255C41">
        <w:instrText xml:space="preserve"> REF _Ref17100202 \h </w:instrText>
      </w:r>
      <w:r w:rsidR="00255C41">
        <w:fldChar w:fldCharType="separate"/>
      </w:r>
      <w:r w:rsidR="00255C41">
        <w:t xml:space="preserve">Table </w:t>
      </w:r>
      <w:r w:rsidR="00255C41">
        <w:rPr>
          <w:noProof/>
        </w:rPr>
        <w:t>8</w:t>
      </w:r>
      <w:r w:rsidR="00255C41">
        <w:fldChar w:fldCharType="end"/>
      </w:r>
      <w:r w:rsidR="0065766C">
        <w:t xml:space="preserve">). Covariates in the study included race, gender, ethnicity (Hispanic or non-Hispanic), and continuous covariates including baseline age, body weight, creatinine clearance and </w:t>
      </w:r>
      <w:r w:rsidR="00403A18">
        <w:t>C </w:t>
      </w:r>
      <w:r w:rsidR="00255C41" w:rsidRPr="00255C41">
        <w:t xml:space="preserve">reactive protein </w:t>
      </w:r>
      <w:r w:rsidR="00255C41">
        <w:t>(</w:t>
      </w:r>
      <w:r w:rsidR="0065766C">
        <w:t>CRP</w:t>
      </w:r>
      <w:r w:rsidR="00255C41">
        <w:t>)</w:t>
      </w:r>
      <w:r w:rsidR="0065766C">
        <w:t xml:space="preserve"> were used to predict oral clearance (CL/F). Baseline age and body weight were assessed as potential predictors of volume of distribution (VF). The results were normalised to a reference White, Hispanic, 50 year old, male patient with body weight 83.3 kg, baseline creatinine clearance 1</w:t>
      </w:r>
      <w:r w:rsidR="004E7F1A">
        <w:t>20 mL/min and baseline CRP 0.49 </w:t>
      </w:r>
      <w:r w:rsidR="0065766C">
        <w:t>mg/</w:t>
      </w:r>
      <w:proofErr w:type="spellStart"/>
      <w:r w:rsidR="0065766C">
        <w:t>dL</w:t>
      </w:r>
      <w:proofErr w:type="spellEnd"/>
      <w:r w:rsidR="0065766C">
        <w:t xml:space="preserve">. </w:t>
      </w:r>
      <w:r w:rsidR="0065766C">
        <w:lastRenderedPageBreak/>
        <w:t xml:space="preserve">With the exception of creatinine clearance, point estimates of </w:t>
      </w:r>
      <w:r w:rsidR="004E7F1A">
        <w:t>area under the time concentration curve (</w:t>
      </w:r>
      <w:r w:rsidR="0065766C">
        <w:t>AUC</w:t>
      </w:r>
      <w:r w:rsidR="004E7F1A">
        <w:t>)</w:t>
      </w:r>
      <w:r w:rsidR="0065766C">
        <w:t xml:space="preserve"> and </w:t>
      </w:r>
      <w:r w:rsidR="004E7F1A">
        <w:t>maximum plasma concentration (</w:t>
      </w:r>
      <w:proofErr w:type="spellStart"/>
      <w:r w:rsidR="0065766C">
        <w:t>C</w:t>
      </w:r>
      <w:r w:rsidR="0065766C" w:rsidRPr="004E7F1A">
        <w:rPr>
          <w:vertAlign w:val="subscript"/>
        </w:rPr>
        <w:t>max</w:t>
      </w:r>
      <w:proofErr w:type="spellEnd"/>
      <w:r w:rsidR="004E7F1A">
        <w:t>)</w:t>
      </w:r>
      <w:r w:rsidR="0065766C">
        <w:t xml:space="preserve"> ratios ranged between 0.88 and 1.10 and between 0.89 and 1.16, respectively. For a patient with a creatinine clearance of 50 mL/min, AUC was estimated to be 32% higher compared to a reference patient with creatinine clearance of 120 mL/min (</w:t>
      </w:r>
      <w:r w:rsidR="00255C41">
        <w:fldChar w:fldCharType="begin"/>
      </w:r>
      <w:r w:rsidR="00255C41">
        <w:instrText xml:space="preserve"> REF _Ref17100536 \h </w:instrText>
      </w:r>
      <w:r w:rsidR="00255C41">
        <w:fldChar w:fldCharType="separate"/>
      </w:r>
      <w:r w:rsidR="00BD60C9">
        <w:t xml:space="preserve">Figure </w:t>
      </w:r>
      <w:r w:rsidR="00BD60C9">
        <w:rPr>
          <w:noProof/>
        </w:rPr>
        <w:t>2</w:t>
      </w:r>
      <w:r w:rsidR="00255C41">
        <w:fldChar w:fldCharType="end"/>
      </w:r>
      <w:r w:rsidR="0065766C">
        <w:t>). Based on these data, dosage adjustments are not required except in patients with impaired renal function.</w:t>
      </w:r>
    </w:p>
    <w:p w14:paraId="6A4F6CEA" w14:textId="77777777" w:rsidR="00E44C3F" w:rsidRDefault="00E44C3F" w:rsidP="00E44C3F">
      <w:pPr>
        <w:pStyle w:val="Heading6"/>
      </w:pPr>
      <w:r>
        <w:t>Study PMAR-EQDD-A392j-sNDA-601 (PMAR-601)</w:t>
      </w:r>
    </w:p>
    <w:p w14:paraId="04124054" w14:textId="77777777" w:rsidR="00E44C3F" w:rsidRDefault="00E44C3F" w:rsidP="00E44C3F">
      <w:pPr>
        <w:pStyle w:val="Heading7"/>
      </w:pPr>
      <w:r>
        <w:t>Objectives</w:t>
      </w:r>
    </w:p>
    <w:p w14:paraId="4B3A7888" w14:textId="77777777" w:rsidR="00E44C3F" w:rsidRPr="004E7F1A" w:rsidRDefault="00E44C3F" w:rsidP="004E7F1A">
      <w:pPr>
        <w:pStyle w:val="ListBullet"/>
      </w:pPr>
      <w:r w:rsidRPr="004E7F1A">
        <w:t xml:space="preserve">To characterise </w:t>
      </w:r>
      <w:proofErr w:type="spellStart"/>
      <w:r w:rsidRPr="004E7F1A">
        <w:t>tofacitinib</w:t>
      </w:r>
      <w:proofErr w:type="spellEnd"/>
      <w:r w:rsidRPr="004E7F1A">
        <w:t xml:space="preserve"> PK in patients with active </w:t>
      </w:r>
      <w:proofErr w:type="spellStart"/>
      <w:r w:rsidRPr="004E7F1A">
        <w:t>PsA.</w:t>
      </w:r>
      <w:proofErr w:type="spellEnd"/>
    </w:p>
    <w:p w14:paraId="1D2EE515" w14:textId="77777777" w:rsidR="00E44C3F" w:rsidRPr="004E7F1A" w:rsidRDefault="00E44C3F" w:rsidP="004E7F1A">
      <w:pPr>
        <w:pStyle w:val="ListBullet"/>
      </w:pPr>
      <w:r w:rsidRPr="004E7F1A">
        <w:t xml:space="preserve">To identify intrinsic and extrinsic factors that impact </w:t>
      </w:r>
      <w:proofErr w:type="spellStart"/>
      <w:r w:rsidRPr="004E7F1A">
        <w:t>tofacitinib</w:t>
      </w:r>
      <w:proofErr w:type="spellEnd"/>
      <w:r w:rsidRPr="004E7F1A">
        <w:t xml:space="preserve"> PK in this population.</w:t>
      </w:r>
    </w:p>
    <w:p w14:paraId="2B170AC8" w14:textId="77777777" w:rsidR="00E44C3F" w:rsidRPr="004E7F1A" w:rsidRDefault="00E44C3F" w:rsidP="004E7F1A">
      <w:pPr>
        <w:pStyle w:val="ListBullet"/>
      </w:pPr>
      <w:r w:rsidRPr="004E7F1A">
        <w:t>To obtain individual steady state exposures for exposure-response analyses.</w:t>
      </w:r>
    </w:p>
    <w:p w14:paraId="2E055E51" w14:textId="77777777" w:rsidR="00E44C3F" w:rsidRDefault="00E44C3F" w:rsidP="00E44C3F">
      <w:pPr>
        <w:pStyle w:val="Heading7"/>
      </w:pPr>
      <w:r>
        <w:t>Methods</w:t>
      </w:r>
    </w:p>
    <w:p w14:paraId="1F002417" w14:textId="77777777" w:rsidR="00E44C3F" w:rsidRDefault="00E44C3F" w:rsidP="00E44C3F">
      <w:r>
        <w:t>The full dataset used for model development included PK samples obtained from 290 males and 360 females who participated in two Phase III studies (</w:t>
      </w:r>
      <w:r w:rsidR="00255C41">
        <w:fldChar w:fldCharType="begin"/>
      </w:r>
      <w:r w:rsidR="00255C41">
        <w:instrText xml:space="preserve"> REF _Ref17099974 \h </w:instrText>
      </w:r>
      <w:r w:rsidR="00255C41">
        <w:fldChar w:fldCharType="separate"/>
      </w:r>
      <w:r w:rsidR="00255C41">
        <w:t xml:space="preserve">Table </w:t>
      </w:r>
      <w:r w:rsidR="00255C41">
        <w:rPr>
          <w:noProof/>
        </w:rPr>
        <w:t>7</w:t>
      </w:r>
      <w:r w:rsidR="00255C41">
        <w:fldChar w:fldCharType="end"/>
      </w:r>
      <w:r>
        <w:t xml:space="preserve">). Two </w:t>
      </w:r>
      <w:proofErr w:type="spellStart"/>
      <w:r>
        <w:t>tofacitinib</w:t>
      </w:r>
      <w:proofErr w:type="spellEnd"/>
      <w:r>
        <w:t xml:space="preserve"> doses (5 mg </w:t>
      </w:r>
      <w:r w:rsidR="003A1B70">
        <w:t>BD</w:t>
      </w:r>
      <w:r>
        <w:t xml:space="preserve"> and 10 mg </w:t>
      </w:r>
      <w:r w:rsidR="003A1B70">
        <w:t>BD</w:t>
      </w:r>
      <w:r>
        <w:t>) were evaluated in both studies.</w:t>
      </w:r>
    </w:p>
    <w:p w14:paraId="637557F3" w14:textId="03803650" w:rsidR="00E44C3F" w:rsidRDefault="00E44C3F" w:rsidP="00E44C3F">
      <w:pPr>
        <w:pStyle w:val="TableTitle"/>
      </w:pPr>
      <w:bookmarkStart w:id="70" w:name="_Ref17099974"/>
      <w:r>
        <w:t xml:space="preserve">Table </w:t>
      </w:r>
      <w:fldSimple w:instr=" SEQ Table \* ARABIC ">
        <w:r w:rsidR="0061158C">
          <w:rPr>
            <w:noProof/>
          </w:rPr>
          <w:t>7</w:t>
        </w:r>
      </w:fldSimple>
      <w:bookmarkEnd w:id="70"/>
      <w:r>
        <w:t>: Study PMAR-601 Phase III</w:t>
      </w:r>
      <w:r w:rsidRPr="00E44C3F">
        <w:t xml:space="preserve"> studies for PK modelling</w:t>
      </w:r>
    </w:p>
    <w:p w14:paraId="27BBFE10" w14:textId="77777777" w:rsidR="00E44C3F" w:rsidRDefault="00E44C3F" w:rsidP="00E44C3F">
      <w:r>
        <w:rPr>
          <w:noProof/>
          <w:lang w:eastAsia="en-AU"/>
        </w:rPr>
        <w:drawing>
          <wp:inline distT="0" distB="0" distL="0" distR="0" wp14:anchorId="2F187098" wp14:editId="57A44285">
            <wp:extent cx="5400040" cy="2016361"/>
            <wp:effectExtent l="0" t="0" r="0" b="3175"/>
            <wp:docPr id="6" name="Picture 6" descr="Study PMAR-601: Phase III studies for PK mod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2016361"/>
                    </a:xfrm>
                    <a:prstGeom prst="rect">
                      <a:avLst/>
                    </a:prstGeom>
                  </pic:spPr>
                </pic:pic>
              </a:graphicData>
            </a:graphic>
          </wp:inline>
        </w:drawing>
      </w:r>
    </w:p>
    <w:p w14:paraId="720E7E28" w14:textId="77777777" w:rsidR="00710D96" w:rsidRDefault="00710D96" w:rsidP="00E44C3F">
      <w:r>
        <w:t>The Phase III</w:t>
      </w:r>
      <w:r w:rsidRPr="00710D96">
        <w:t xml:space="preserve"> dataset consisted of 3</w:t>
      </w:r>
      <w:r>
        <w:t>,</w:t>
      </w:r>
      <w:r w:rsidRPr="00710D96">
        <w:t>252 PK samples from 650 patients, of whom 93.9% were White, 3.1% Asian, 0.46% Black and 2.6% ‘Others’. The median weight of all subjects included in the ana</w:t>
      </w:r>
      <w:r w:rsidR="00255C41">
        <w:t xml:space="preserve">lysis was 83.4 kg (range 38.1 to </w:t>
      </w:r>
      <w:r w:rsidRPr="00710D96">
        <w:t>1</w:t>
      </w:r>
      <w:r w:rsidR="00255C41">
        <w:t>59.7 kg). The median age was 50 </w:t>
      </w:r>
      <w:r w:rsidRPr="00710D96">
        <w:t>y</w:t>
      </w:r>
      <w:r w:rsidR="00255C41">
        <w:t xml:space="preserve">ears (range 18 to </w:t>
      </w:r>
      <w:r w:rsidRPr="00710D96">
        <w:t>78 years). Sampling was performed at Months 1 and Month 4 or Month 6 in both studies. The PK sampling schedule with treatments, doses and number of patients in each data set is shown in</w:t>
      </w:r>
      <w:r w:rsidR="00255C41">
        <w:t xml:space="preserve"> </w:t>
      </w:r>
      <w:r w:rsidR="00255C41">
        <w:fldChar w:fldCharType="begin"/>
      </w:r>
      <w:r w:rsidR="00255C41">
        <w:instrText xml:space="preserve"> REF _Ref17100202 \h </w:instrText>
      </w:r>
      <w:r w:rsidR="00255C41">
        <w:fldChar w:fldCharType="separate"/>
      </w:r>
      <w:r w:rsidR="00255C41">
        <w:t xml:space="preserve">Table </w:t>
      </w:r>
      <w:r w:rsidR="00255C41">
        <w:rPr>
          <w:noProof/>
        </w:rPr>
        <w:t>8</w:t>
      </w:r>
      <w:r w:rsidR="00255C41">
        <w:fldChar w:fldCharType="end"/>
      </w:r>
      <w:r w:rsidRPr="00710D96">
        <w:t>.</w:t>
      </w:r>
    </w:p>
    <w:p w14:paraId="310AB646" w14:textId="752AB803" w:rsidR="00255C41" w:rsidRDefault="00255C41" w:rsidP="00255C41">
      <w:pPr>
        <w:pStyle w:val="TableTitle"/>
      </w:pPr>
      <w:bookmarkStart w:id="71" w:name="_Ref17100202"/>
      <w:r>
        <w:lastRenderedPageBreak/>
        <w:t xml:space="preserve">Table </w:t>
      </w:r>
      <w:fldSimple w:instr=" SEQ Table \* ARABIC ">
        <w:r w:rsidR="0061158C">
          <w:rPr>
            <w:noProof/>
          </w:rPr>
          <w:t>8</w:t>
        </w:r>
      </w:fldSimple>
      <w:bookmarkEnd w:id="71"/>
      <w:r>
        <w:t xml:space="preserve">: </w:t>
      </w:r>
      <w:r w:rsidRPr="00DD5543">
        <w:t xml:space="preserve">Study PMAR-601 </w:t>
      </w:r>
      <w:r w:rsidR="00022F7F">
        <w:t>P</w:t>
      </w:r>
      <w:r>
        <w:t>atient n</w:t>
      </w:r>
      <w:r w:rsidRPr="00DD5543">
        <w:t>umber</w:t>
      </w:r>
      <w:r>
        <w:t>s b</w:t>
      </w:r>
      <w:r w:rsidRPr="00DD5543">
        <w:t xml:space="preserve">y </w:t>
      </w:r>
      <w:r>
        <w:t>study and dose</w:t>
      </w:r>
    </w:p>
    <w:p w14:paraId="02FF6B15" w14:textId="77777777" w:rsidR="00255C41" w:rsidRDefault="00255C41" w:rsidP="00E44C3F">
      <w:r>
        <w:rPr>
          <w:noProof/>
          <w:lang w:eastAsia="en-AU"/>
        </w:rPr>
        <w:drawing>
          <wp:inline distT="0" distB="0" distL="0" distR="0" wp14:anchorId="5398D736" wp14:editId="298505DD">
            <wp:extent cx="5400040" cy="3432718"/>
            <wp:effectExtent l="0" t="0" r="0" b="0"/>
            <wp:docPr id="8" name="Picture 8" descr="Study PMAR-601 patient numbers by study and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3432718"/>
                    </a:xfrm>
                    <a:prstGeom prst="rect">
                      <a:avLst/>
                    </a:prstGeom>
                  </pic:spPr>
                </pic:pic>
              </a:graphicData>
            </a:graphic>
          </wp:inline>
        </w:drawing>
      </w:r>
    </w:p>
    <w:p w14:paraId="1BBBBB54" w14:textId="77777777" w:rsidR="00255C41" w:rsidRDefault="00255C41" w:rsidP="00255C41">
      <w:pPr>
        <w:pStyle w:val="FigureTitle"/>
      </w:pPr>
      <w:bookmarkStart w:id="72" w:name="_Ref17100536"/>
      <w:r>
        <w:t xml:space="preserve">Figure </w:t>
      </w:r>
      <w:fldSimple w:instr=" SEQ Figure \* ARABIC ">
        <w:r w:rsidR="009B7AE8">
          <w:rPr>
            <w:noProof/>
          </w:rPr>
          <w:t>2</w:t>
        </w:r>
      </w:fldSimple>
      <w:bookmarkEnd w:id="72"/>
      <w:r>
        <w:t xml:space="preserve">: </w:t>
      </w:r>
      <w:r w:rsidRPr="00255C41">
        <w:t xml:space="preserve">Impact of covariates on the PK of </w:t>
      </w:r>
      <w:proofErr w:type="spellStart"/>
      <w:r w:rsidRPr="00255C41">
        <w:t>tofacitinib</w:t>
      </w:r>
      <w:proofErr w:type="spellEnd"/>
      <w:r w:rsidRPr="00255C41">
        <w:t xml:space="preserve"> in </w:t>
      </w:r>
      <w:proofErr w:type="spellStart"/>
      <w:r w:rsidRPr="00255C41">
        <w:t>PsA</w:t>
      </w:r>
      <w:proofErr w:type="spellEnd"/>
      <w:r w:rsidRPr="00255C41">
        <w:t xml:space="preserve"> patients</w:t>
      </w:r>
    </w:p>
    <w:p w14:paraId="0C0E4FED" w14:textId="77777777" w:rsidR="00255C41" w:rsidRPr="00255C41" w:rsidRDefault="00255C41" w:rsidP="00255C41">
      <w:r>
        <w:rPr>
          <w:noProof/>
          <w:lang w:eastAsia="en-AU"/>
        </w:rPr>
        <w:drawing>
          <wp:inline distT="0" distB="0" distL="0" distR="0" wp14:anchorId="6F3EC18E" wp14:editId="55944F5C">
            <wp:extent cx="4346101" cy="4557370"/>
            <wp:effectExtent l="0" t="0" r="0" b="0"/>
            <wp:docPr id="10" name="Picture 10" descr="Impact of covariates on the PK of tofacitinib in PsA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47247" cy="4558571"/>
                    </a:xfrm>
                    <a:prstGeom prst="rect">
                      <a:avLst/>
                    </a:prstGeom>
                  </pic:spPr>
                </pic:pic>
              </a:graphicData>
            </a:graphic>
          </wp:inline>
        </w:drawing>
      </w:r>
    </w:p>
    <w:p w14:paraId="1C1CE961" w14:textId="77777777" w:rsidR="00605AD4" w:rsidRDefault="00605AD4" w:rsidP="00605AD4">
      <w:pPr>
        <w:pStyle w:val="Heading4"/>
      </w:pPr>
      <w:r>
        <w:lastRenderedPageBreak/>
        <w:t>Evaluator’s conclusions on pharmacokinetics</w:t>
      </w:r>
    </w:p>
    <w:p w14:paraId="1C31DD25" w14:textId="77777777" w:rsidR="0065766C" w:rsidRDefault="0065766C" w:rsidP="0065766C">
      <w:pPr>
        <w:rPr>
          <w:lang w:eastAsia="ja-JP"/>
        </w:rPr>
      </w:pPr>
      <w:r>
        <w:t>The great maj</w:t>
      </w:r>
      <w:r w:rsidR="004E7F1A">
        <w:t>ority of patients in the Phase III</w:t>
      </w:r>
      <w:r>
        <w:t xml:space="preserve"> studies were White and racial differences could not be excluded. </w:t>
      </w:r>
      <w:r w:rsidR="004E7F1A">
        <w:t xml:space="preserve">However, the results of this population </w:t>
      </w:r>
      <w:r>
        <w:t>P</w:t>
      </w:r>
      <w:r w:rsidR="004E7F1A">
        <w:t xml:space="preserve">K study were consistent with population </w:t>
      </w:r>
      <w:r>
        <w:t>PK stud</w:t>
      </w:r>
      <w:r w:rsidR="004E7F1A">
        <w:t xml:space="preserve">ies in RA patients, and in a population </w:t>
      </w:r>
      <w:r>
        <w:t>PK study conducted in Black patients with psoriasis (</w:t>
      </w:r>
      <w:r w:rsidRPr="00163154">
        <w:rPr>
          <w:lang w:eastAsia="ja-JP"/>
        </w:rPr>
        <w:t>PMAR-EQDD-A392g-DP3-112</w:t>
      </w:r>
      <w:r>
        <w:rPr>
          <w:lang w:eastAsia="ja-JP"/>
        </w:rPr>
        <w:t xml:space="preserve">). Overall, no major differences in </w:t>
      </w:r>
      <w:proofErr w:type="spellStart"/>
      <w:r>
        <w:rPr>
          <w:lang w:eastAsia="ja-JP"/>
        </w:rPr>
        <w:t>tofacitinib</w:t>
      </w:r>
      <w:proofErr w:type="spellEnd"/>
      <w:r>
        <w:rPr>
          <w:lang w:eastAsia="ja-JP"/>
        </w:rPr>
        <w:t xml:space="preserve"> exposure were identified based on race, ethnici</w:t>
      </w:r>
      <w:r w:rsidR="00743598">
        <w:rPr>
          <w:lang w:eastAsia="ja-JP"/>
        </w:rPr>
        <w:t>ty, gender, age or body weight.</w:t>
      </w:r>
    </w:p>
    <w:p w14:paraId="3FFDA30B" w14:textId="77777777" w:rsidR="00500337" w:rsidRPr="0065766C" w:rsidRDefault="004E7F1A" w:rsidP="00500337">
      <w:pPr>
        <w:rPr>
          <w:rFonts w:asciiTheme="minorHAnsi" w:hAnsiTheme="minorHAnsi"/>
          <w:lang w:eastAsia="ja-JP"/>
        </w:rPr>
      </w:pPr>
      <w:r>
        <w:rPr>
          <w:rFonts w:asciiTheme="minorHAnsi" w:hAnsiTheme="minorHAnsi" w:cs="Calibri"/>
        </w:rPr>
        <w:t>No patients in the Phase III</w:t>
      </w:r>
      <w:r w:rsidR="0065766C">
        <w:rPr>
          <w:rFonts w:asciiTheme="minorHAnsi" w:hAnsiTheme="minorHAnsi" w:cs="Calibri"/>
        </w:rPr>
        <w:t xml:space="preserve"> studies had significant renal impairment as a baseline creatinine clearance of ≥</w:t>
      </w:r>
      <w:r>
        <w:rPr>
          <w:rFonts w:asciiTheme="minorHAnsi" w:hAnsiTheme="minorHAnsi" w:cs="Calibri"/>
        </w:rPr>
        <w:t xml:space="preserve"> </w:t>
      </w:r>
      <w:r w:rsidR="0065766C">
        <w:rPr>
          <w:rFonts w:asciiTheme="minorHAnsi" w:hAnsiTheme="minorHAnsi" w:cs="Calibri"/>
        </w:rPr>
        <w:t>50 mL/min was required for entry. For patients with renal impairment, recommendations for dose</w:t>
      </w:r>
      <w:r>
        <w:rPr>
          <w:rFonts w:asciiTheme="minorHAnsi" w:hAnsiTheme="minorHAnsi" w:cs="Calibri"/>
        </w:rPr>
        <w:t xml:space="preserve"> reductions are based on Phase I data from Studies </w:t>
      </w:r>
      <w:r w:rsidR="0065766C">
        <w:rPr>
          <w:rFonts w:asciiTheme="minorHAnsi" w:hAnsiTheme="minorHAnsi" w:cs="Calibri"/>
        </w:rPr>
        <w:t xml:space="preserve">A3921004 and A3921006 which have been evaluated previously. In line with FDA guidance, the recommendations in the current PI for RA patients have been adopted for the proposed PI for </w:t>
      </w:r>
      <w:proofErr w:type="spellStart"/>
      <w:r w:rsidR="0065766C">
        <w:rPr>
          <w:rFonts w:asciiTheme="minorHAnsi" w:hAnsiTheme="minorHAnsi" w:cs="Calibri"/>
        </w:rPr>
        <w:t>PsA</w:t>
      </w:r>
      <w:proofErr w:type="spellEnd"/>
      <w:r w:rsidR="0065766C">
        <w:rPr>
          <w:rFonts w:asciiTheme="minorHAnsi" w:hAnsiTheme="minorHAnsi" w:cs="Calibri"/>
        </w:rPr>
        <w:t xml:space="preserve"> patients. No dosage reductions are recommended for patients </w:t>
      </w:r>
      <w:r>
        <w:rPr>
          <w:rFonts w:asciiTheme="minorHAnsi" w:hAnsiTheme="minorHAnsi" w:cs="Calibri"/>
        </w:rPr>
        <w:t>with mild renal impairment (creatinine clearance</w:t>
      </w:r>
      <w:r w:rsidR="0065766C">
        <w:rPr>
          <w:rFonts w:asciiTheme="minorHAnsi" w:hAnsiTheme="minorHAnsi" w:cs="Calibri"/>
        </w:rPr>
        <w:t xml:space="preserve"> ≥</w:t>
      </w:r>
      <w:r>
        <w:rPr>
          <w:rFonts w:asciiTheme="minorHAnsi" w:hAnsiTheme="minorHAnsi" w:cs="Calibri"/>
        </w:rPr>
        <w:t xml:space="preserve"> </w:t>
      </w:r>
      <w:r w:rsidR="0065766C">
        <w:rPr>
          <w:rFonts w:asciiTheme="minorHAnsi" w:hAnsiTheme="minorHAnsi" w:cs="Calibri"/>
        </w:rPr>
        <w:t>60 and &lt;</w:t>
      </w:r>
      <w:r>
        <w:rPr>
          <w:rFonts w:asciiTheme="minorHAnsi" w:hAnsiTheme="minorHAnsi" w:cs="Calibri"/>
        </w:rPr>
        <w:t xml:space="preserve"> 90 mL</w:t>
      </w:r>
      <w:r w:rsidR="0065766C">
        <w:rPr>
          <w:rFonts w:asciiTheme="minorHAnsi" w:hAnsiTheme="minorHAnsi" w:cs="Calibri"/>
        </w:rPr>
        <w:t>/min), while halving the dose is recommended for patients with moderate or severe renal impairment.</w:t>
      </w:r>
      <w:r w:rsidR="00255C41">
        <w:rPr>
          <w:rFonts w:asciiTheme="minorHAnsi" w:hAnsiTheme="minorHAnsi" w:cs="Calibri"/>
        </w:rPr>
        <w:t xml:space="preserve"> This approach is satisfactory.</w:t>
      </w:r>
    </w:p>
    <w:p w14:paraId="0064A53B" w14:textId="77777777" w:rsidR="008E7846" w:rsidRDefault="008E7846" w:rsidP="008E7846">
      <w:pPr>
        <w:pStyle w:val="Heading3"/>
      </w:pPr>
      <w:bookmarkStart w:id="73" w:name="_Toc196046481"/>
      <w:bookmarkStart w:id="74" w:name="_Toc247691520"/>
      <w:bookmarkStart w:id="75" w:name="_Toc314842503"/>
      <w:bookmarkStart w:id="76" w:name="_Toc22048615"/>
      <w:r w:rsidRPr="00254787">
        <w:t>Pharmacodynamics</w:t>
      </w:r>
      <w:bookmarkEnd w:id="60"/>
      <w:bookmarkEnd w:id="73"/>
      <w:bookmarkEnd w:id="74"/>
      <w:bookmarkEnd w:id="75"/>
      <w:bookmarkEnd w:id="76"/>
    </w:p>
    <w:p w14:paraId="30237FCF" w14:textId="77777777" w:rsidR="00605AD4" w:rsidRDefault="00605AD4" w:rsidP="00605AD4">
      <w:pPr>
        <w:pStyle w:val="Heading4"/>
      </w:pPr>
      <w:r>
        <w:t xml:space="preserve">Studies providing </w:t>
      </w:r>
      <w:proofErr w:type="spellStart"/>
      <w:r>
        <w:t>pharmacodynamic</w:t>
      </w:r>
      <w:proofErr w:type="spellEnd"/>
      <w:r>
        <w:t xml:space="preserve"> data</w:t>
      </w:r>
    </w:p>
    <w:p w14:paraId="5CEAE497" w14:textId="77777777" w:rsidR="00500337" w:rsidRPr="00500337" w:rsidRDefault="0065766C" w:rsidP="0065766C">
      <w:pPr>
        <w:rPr>
          <w:lang w:eastAsia="ja-JP"/>
        </w:rPr>
      </w:pPr>
      <w:r>
        <w:rPr>
          <w:lang w:eastAsia="ja-JP"/>
        </w:rPr>
        <w:t>No new data submitted.</w:t>
      </w:r>
    </w:p>
    <w:p w14:paraId="3A506C84" w14:textId="77777777" w:rsidR="008E7846" w:rsidRDefault="00605AD4" w:rsidP="00605AD4">
      <w:pPr>
        <w:pStyle w:val="Heading3"/>
      </w:pPr>
      <w:bookmarkStart w:id="77" w:name="_Toc22048616"/>
      <w:r>
        <w:t>Dosage selection for the pivotal studies</w:t>
      </w:r>
      <w:bookmarkEnd w:id="77"/>
    </w:p>
    <w:p w14:paraId="3A5FE0DD" w14:textId="77777777" w:rsidR="0065766C" w:rsidRPr="00545B14" w:rsidRDefault="0065766C" w:rsidP="0065766C">
      <w:pPr>
        <w:pStyle w:val="Heading4"/>
      </w:pPr>
      <w:bookmarkStart w:id="78" w:name="_Toc416353695"/>
      <w:bookmarkStart w:id="79" w:name="_Toc421005262"/>
      <w:bookmarkStart w:id="80" w:name="_Toc432079144"/>
      <w:bookmarkStart w:id="81" w:name="_Toc432080717"/>
      <w:bookmarkStart w:id="82" w:name="_Toc522871005"/>
      <w:r w:rsidRPr="005C1900">
        <w:t>Pharmacokinetics</w:t>
      </w:r>
      <w:r>
        <w:t xml:space="preserve"> and pharmacodynamics: dos</w:t>
      </w:r>
      <w:r w:rsidRPr="00545B14">
        <w:t xml:space="preserve">e </w:t>
      </w:r>
      <w:r>
        <w:t>finding</w:t>
      </w:r>
      <w:r w:rsidRPr="00545B14">
        <w:t xml:space="preserve"> </w:t>
      </w:r>
      <w:r>
        <w:t>s</w:t>
      </w:r>
      <w:r w:rsidRPr="00545B14">
        <w:t>tudies</w:t>
      </w:r>
      <w:bookmarkEnd w:id="78"/>
      <w:bookmarkEnd w:id="79"/>
      <w:bookmarkEnd w:id="80"/>
      <w:bookmarkEnd w:id="81"/>
      <w:bookmarkEnd w:id="82"/>
    </w:p>
    <w:p w14:paraId="0B42611E" w14:textId="77777777" w:rsidR="0065766C" w:rsidRDefault="0065766C" w:rsidP="0065766C">
      <w:pPr>
        <w:rPr>
          <w:lang w:eastAsia="ja-JP"/>
        </w:rPr>
      </w:pPr>
      <w:r>
        <w:rPr>
          <w:lang w:eastAsia="ja-JP"/>
        </w:rPr>
        <w:t>No new data submitted.</w:t>
      </w:r>
    </w:p>
    <w:p w14:paraId="0C9485C8" w14:textId="77777777" w:rsidR="0065766C" w:rsidRPr="00545B14" w:rsidRDefault="0065766C" w:rsidP="0065766C">
      <w:pPr>
        <w:pStyle w:val="Heading4"/>
      </w:pPr>
      <w:bookmarkStart w:id="83" w:name="_Toc416353696"/>
      <w:bookmarkStart w:id="84" w:name="_Toc421005263"/>
      <w:bookmarkStart w:id="85" w:name="_Toc432079145"/>
      <w:bookmarkStart w:id="86" w:name="_Toc432080718"/>
      <w:bookmarkStart w:id="87" w:name="_Toc522871006"/>
      <w:r w:rsidRPr="005C1900">
        <w:t>Phase</w:t>
      </w:r>
      <w:r w:rsidRPr="00545B14">
        <w:t xml:space="preserve"> II </w:t>
      </w:r>
      <w:r>
        <w:t>d</w:t>
      </w:r>
      <w:r w:rsidRPr="00545B14">
        <w:t xml:space="preserve">ose </w:t>
      </w:r>
      <w:r>
        <w:t>finding</w:t>
      </w:r>
      <w:r w:rsidRPr="00545B14">
        <w:t xml:space="preserve"> </w:t>
      </w:r>
      <w:r>
        <w:t>s</w:t>
      </w:r>
      <w:r w:rsidRPr="00545B14">
        <w:t>tudies</w:t>
      </w:r>
      <w:bookmarkEnd w:id="83"/>
      <w:bookmarkEnd w:id="84"/>
      <w:bookmarkEnd w:id="85"/>
      <w:bookmarkEnd w:id="86"/>
      <w:bookmarkEnd w:id="87"/>
    </w:p>
    <w:p w14:paraId="38DD00E1" w14:textId="77777777" w:rsidR="0065766C" w:rsidRDefault="004E7F1A" w:rsidP="0065766C">
      <w:r>
        <w:t xml:space="preserve">No dose </w:t>
      </w:r>
      <w:r w:rsidR="0065766C">
        <w:t xml:space="preserve">ranging studies have been conducted in the </w:t>
      </w:r>
      <w:proofErr w:type="spellStart"/>
      <w:r w:rsidR="0065766C">
        <w:t>PsA</w:t>
      </w:r>
      <w:proofErr w:type="spellEnd"/>
      <w:r w:rsidR="0065766C">
        <w:t xml:space="preserve"> program. Dose selection for the </w:t>
      </w:r>
      <w:proofErr w:type="spellStart"/>
      <w:r w:rsidR="0065766C">
        <w:t>PsA</w:t>
      </w:r>
      <w:proofErr w:type="spellEnd"/>
      <w:r w:rsidR="0065766C">
        <w:t xml:space="preserve"> program was based on the RA and </w:t>
      </w:r>
      <w:proofErr w:type="spellStart"/>
      <w:r w:rsidR="0065766C">
        <w:t>PsO</w:t>
      </w:r>
      <w:proofErr w:type="spellEnd"/>
      <w:r w:rsidR="0065766C">
        <w:t xml:space="preserve"> development programs, </w:t>
      </w:r>
      <w:r>
        <w:t>in line with regulatory advice.</w:t>
      </w:r>
    </w:p>
    <w:p w14:paraId="11778C8F" w14:textId="32FC4D68" w:rsidR="0065766C" w:rsidRDefault="0065766C" w:rsidP="0065766C">
      <w:r w:rsidRPr="008F7B4C">
        <w:t>Study A3921119</w:t>
      </w:r>
      <w:r>
        <w:t xml:space="preserve"> </w:t>
      </w:r>
      <w:r w:rsidR="004E7F1A">
        <w:t xml:space="preserve">was a Phase II, dose </w:t>
      </w:r>
      <w:r w:rsidRPr="008F7B4C">
        <w:t xml:space="preserve">ranging study of </w:t>
      </w:r>
      <w:proofErr w:type="spellStart"/>
      <w:r w:rsidRPr="008F7B4C">
        <w:t>tofacitinib</w:t>
      </w:r>
      <w:proofErr w:type="spellEnd"/>
      <w:r w:rsidRPr="008F7B4C">
        <w:t xml:space="preserve"> in patients with active </w:t>
      </w:r>
      <w:r>
        <w:t>AS</w:t>
      </w:r>
      <w:r w:rsidRPr="008F7B4C">
        <w:t xml:space="preserve"> (</w:t>
      </w:r>
      <w:r>
        <w:t xml:space="preserve">see </w:t>
      </w:r>
      <w:r w:rsidR="004E7F1A" w:rsidRPr="00022F7F">
        <w:t>Section</w:t>
      </w:r>
      <w:r w:rsidR="00022F7F" w:rsidRPr="00DE118A">
        <w:rPr>
          <w:i/>
        </w:rPr>
        <w:t>: Efficacy</w:t>
      </w:r>
      <w:r w:rsidR="00022F7F">
        <w:t xml:space="preserve">, </w:t>
      </w:r>
      <w:r w:rsidR="004E7F1A">
        <w:t>below).</w:t>
      </w:r>
    </w:p>
    <w:p w14:paraId="3258151A" w14:textId="77777777" w:rsidR="0065766C" w:rsidRPr="00670FF0" w:rsidRDefault="0065766C" w:rsidP="0065766C">
      <w:pPr>
        <w:pStyle w:val="Heading4"/>
      </w:pPr>
      <w:bookmarkStart w:id="88" w:name="_Toc416353712"/>
      <w:bookmarkStart w:id="89" w:name="_Toc421005265"/>
      <w:bookmarkStart w:id="90" w:name="_Toc432079147"/>
      <w:bookmarkStart w:id="91" w:name="_Toc432080720"/>
      <w:bookmarkStart w:id="92" w:name="_Toc522871007"/>
      <w:r w:rsidRPr="00670FF0">
        <w:t>Phase III pivotal studies investigating more than one dose regimen</w:t>
      </w:r>
      <w:bookmarkEnd w:id="88"/>
      <w:bookmarkEnd w:id="89"/>
      <w:bookmarkEnd w:id="90"/>
      <w:bookmarkEnd w:id="91"/>
      <w:bookmarkEnd w:id="92"/>
    </w:p>
    <w:p w14:paraId="782E6766" w14:textId="77777777" w:rsidR="0065766C" w:rsidRPr="00210A89" w:rsidRDefault="004E7F1A" w:rsidP="0065766C">
      <w:pPr>
        <w:rPr>
          <w:lang w:eastAsia="ja-JP"/>
        </w:rPr>
      </w:pPr>
      <w:r>
        <w:rPr>
          <w:lang w:eastAsia="ja-JP"/>
        </w:rPr>
        <w:t>Both pivotal Phase III S</w:t>
      </w:r>
      <w:r w:rsidR="0065766C">
        <w:rPr>
          <w:lang w:eastAsia="ja-JP"/>
        </w:rPr>
        <w:t>tudies (</w:t>
      </w:r>
      <w:r w:rsidR="0065766C" w:rsidRPr="00210A89">
        <w:rPr>
          <w:lang w:eastAsia="ja-JP"/>
        </w:rPr>
        <w:t>A3921091</w:t>
      </w:r>
      <w:r w:rsidR="0065766C">
        <w:rPr>
          <w:b/>
          <w:lang w:eastAsia="ja-JP"/>
        </w:rPr>
        <w:t xml:space="preserve"> </w:t>
      </w:r>
      <w:r w:rsidR="0065766C" w:rsidRPr="00210A89">
        <w:rPr>
          <w:lang w:eastAsia="ja-JP"/>
        </w:rPr>
        <w:t xml:space="preserve">and A3921125) included </w:t>
      </w:r>
      <w:proofErr w:type="spellStart"/>
      <w:r w:rsidR="0065766C">
        <w:rPr>
          <w:lang w:eastAsia="ja-JP"/>
        </w:rPr>
        <w:t>tofacitinib</w:t>
      </w:r>
      <w:proofErr w:type="spellEnd"/>
      <w:r w:rsidR="0065766C" w:rsidRPr="00210A89">
        <w:rPr>
          <w:lang w:eastAsia="ja-JP"/>
        </w:rPr>
        <w:t xml:space="preserve"> 5 mg </w:t>
      </w:r>
      <w:r w:rsidR="003A1B70">
        <w:rPr>
          <w:lang w:eastAsia="ja-JP"/>
        </w:rPr>
        <w:t>BD</w:t>
      </w:r>
      <w:r w:rsidR="0065766C" w:rsidRPr="00210A89">
        <w:rPr>
          <w:lang w:eastAsia="ja-JP"/>
        </w:rPr>
        <w:t xml:space="preserve"> and 10 mg </w:t>
      </w:r>
      <w:r w:rsidR="003A1B70">
        <w:rPr>
          <w:lang w:eastAsia="ja-JP"/>
        </w:rPr>
        <w:t>BD</w:t>
      </w:r>
      <w:r>
        <w:rPr>
          <w:lang w:eastAsia="ja-JP"/>
        </w:rPr>
        <w:t xml:space="preserve"> treatment arms.</w:t>
      </w:r>
    </w:p>
    <w:p w14:paraId="2741B5E8" w14:textId="77777777" w:rsidR="002608ED" w:rsidRDefault="002608ED" w:rsidP="002608ED">
      <w:pPr>
        <w:pStyle w:val="Heading4"/>
      </w:pPr>
      <w:bookmarkStart w:id="93" w:name="_Toc416353713"/>
      <w:bookmarkStart w:id="94" w:name="_Toc421005266"/>
      <w:bookmarkStart w:id="95" w:name="_Toc432079148"/>
      <w:bookmarkStart w:id="96" w:name="_Toc432080721"/>
      <w:bookmarkStart w:id="97" w:name="_Toc522871008"/>
      <w:r>
        <w:t>Evaluator’s conclusions on dos</w:t>
      </w:r>
      <w:r w:rsidRPr="00670FF0">
        <w:t>e finding for the pivotal studies</w:t>
      </w:r>
      <w:bookmarkEnd w:id="93"/>
      <w:bookmarkEnd w:id="94"/>
      <w:bookmarkEnd w:id="95"/>
      <w:bookmarkEnd w:id="96"/>
      <w:bookmarkEnd w:id="97"/>
    </w:p>
    <w:p w14:paraId="1EEC56E1" w14:textId="77777777" w:rsidR="0065766C" w:rsidRPr="0065766C" w:rsidRDefault="002608ED" w:rsidP="0065766C">
      <w:pPr>
        <w:rPr>
          <w:lang w:eastAsia="ja-JP"/>
        </w:rPr>
      </w:pPr>
      <w:r>
        <w:rPr>
          <w:lang w:eastAsia="ja-JP"/>
        </w:rPr>
        <w:t>Dose selection for the pivotal studies was based on extensive data from the RA development program. This approach is satisfactory.</w:t>
      </w:r>
    </w:p>
    <w:p w14:paraId="6BCDC828" w14:textId="77777777" w:rsidR="008E7846" w:rsidRPr="00254787" w:rsidRDefault="008E7846" w:rsidP="008E7846">
      <w:pPr>
        <w:pStyle w:val="Heading3"/>
      </w:pPr>
      <w:bookmarkStart w:id="98" w:name="_Toc163441372"/>
      <w:bookmarkStart w:id="99" w:name="_Toc196046485"/>
      <w:bookmarkStart w:id="100" w:name="_Toc247691521"/>
      <w:bookmarkStart w:id="101" w:name="_Toc314842504"/>
      <w:bookmarkStart w:id="102" w:name="_Toc22048617"/>
      <w:r w:rsidRPr="00254787">
        <w:lastRenderedPageBreak/>
        <w:t>Efficacy</w:t>
      </w:r>
      <w:bookmarkEnd w:id="98"/>
      <w:bookmarkEnd w:id="99"/>
      <w:bookmarkEnd w:id="100"/>
      <w:bookmarkEnd w:id="101"/>
      <w:bookmarkEnd w:id="102"/>
    </w:p>
    <w:p w14:paraId="50849F3D" w14:textId="77777777" w:rsidR="00605AD4" w:rsidRDefault="00605AD4" w:rsidP="00605AD4">
      <w:pPr>
        <w:pStyle w:val="Heading4"/>
      </w:pPr>
      <w:bookmarkStart w:id="103" w:name="_Toc184439992"/>
      <w:bookmarkStart w:id="104" w:name="_Toc184440279"/>
      <w:bookmarkStart w:id="105" w:name="_Toc184444657"/>
      <w:bookmarkStart w:id="106" w:name="_Toc196046487"/>
      <w:r>
        <w:t>Studies providing efficacy data</w:t>
      </w:r>
    </w:p>
    <w:p w14:paraId="0ADDD8FB" w14:textId="77777777" w:rsidR="002608ED" w:rsidRPr="005632DC" w:rsidRDefault="002608ED" w:rsidP="002608ED">
      <w:pPr>
        <w:pStyle w:val="Heading5"/>
      </w:pPr>
      <w:bookmarkStart w:id="107" w:name="_Toc522871011"/>
      <w:r w:rsidRPr="005632DC">
        <w:t>Pivotal or main efficacy studies</w:t>
      </w:r>
      <w:bookmarkEnd w:id="107"/>
    </w:p>
    <w:p w14:paraId="7BD9C549" w14:textId="77777777" w:rsidR="002608ED" w:rsidRPr="005632DC" w:rsidRDefault="002608ED" w:rsidP="003A1B70">
      <w:pPr>
        <w:pStyle w:val="ListBullet"/>
      </w:pPr>
      <w:bookmarkStart w:id="108" w:name="_Ref243301615"/>
      <w:bookmarkStart w:id="109" w:name="_Ref271040927"/>
      <w:bookmarkStart w:id="110" w:name="_Ref271040932"/>
      <w:bookmarkStart w:id="111" w:name="_Toc272414653"/>
      <w:bookmarkStart w:id="112" w:name="_Toc290888501"/>
      <w:bookmarkStart w:id="113" w:name="_Toc416353717"/>
      <w:bookmarkStart w:id="114" w:name="_Toc522871012"/>
      <w:r w:rsidRPr="005632DC">
        <w:t xml:space="preserve">Study </w:t>
      </w:r>
      <w:bookmarkEnd w:id="108"/>
      <w:bookmarkEnd w:id="109"/>
      <w:bookmarkEnd w:id="110"/>
      <w:bookmarkEnd w:id="111"/>
      <w:bookmarkEnd w:id="112"/>
      <w:bookmarkEnd w:id="113"/>
      <w:r>
        <w:t>A3921091</w:t>
      </w:r>
      <w:bookmarkEnd w:id="114"/>
    </w:p>
    <w:p w14:paraId="6C7272E2" w14:textId="77777777" w:rsidR="002608ED" w:rsidRPr="005632DC" w:rsidRDefault="002608ED" w:rsidP="003A1B70">
      <w:pPr>
        <w:pStyle w:val="ListBullet"/>
      </w:pPr>
      <w:bookmarkStart w:id="115" w:name="_Toc522871013"/>
      <w:r w:rsidRPr="005632DC">
        <w:t xml:space="preserve">Study </w:t>
      </w:r>
      <w:r>
        <w:t>A3921125</w:t>
      </w:r>
      <w:bookmarkEnd w:id="115"/>
    </w:p>
    <w:p w14:paraId="7DAE418F" w14:textId="77777777" w:rsidR="002608ED" w:rsidRPr="00300796" w:rsidRDefault="002608ED" w:rsidP="002608ED">
      <w:pPr>
        <w:pStyle w:val="Heading5"/>
      </w:pPr>
      <w:bookmarkStart w:id="116" w:name="_Ref271037188"/>
      <w:bookmarkStart w:id="117" w:name="_Ref271037210"/>
      <w:bookmarkStart w:id="118" w:name="_Toc272414655"/>
      <w:bookmarkStart w:id="119" w:name="_Toc290888503"/>
      <w:bookmarkStart w:id="120" w:name="_Toc416353719"/>
      <w:bookmarkStart w:id="121" w:name="_Toc421005270"/>
      <w:bookmarkStart w:id="122" w:name="_Toc432079152"/>
      <w:bookmarkStart w:id="123" w:name="_Toc432080725"/>
      <w:bookmarkStart w:id="124" w:name="_Toc522871014"/>
      <w:bookmarkStart w:id="125" w:name="_Toc241374311"/>
      <w:bookmarkStart w:id="126" w:name="_Ref243294291"/>
      <w:r w:rsidRPr="00300796">
        <w:t>Other efficacy studies</w:t>
      </w:r>
      <w:bookmarkEnd w:id="116"/>
      <w:bookmarkEnd w:id="117"/>
      <w:bookmarkEnd w:id="118"/>
      <w:bookmarkEnd w:id="119"/>
      <w:bookmarkEnd w:id="120"/>
      <w:bookmarkEnd w:id="121"/>
      <w:bookmarkEnd w:id="122"/>
      <w:bookmarkEnd w:id="123"/>
      <w:bookmarkEnd w:id="124"/>
    </w:p>
    <w:p w14:paraId="2115F5B9" w14:textId="77777777" w:rsidR="002608ED" w:rsidRDefault="002608ED" w:rsidP="003A1B70">
      <w:pPr>
        <w:pStyle w:val="ListBullet"/>
      </w:pPr>
      <w:bookmarkStart w:id="127" w:name="_Toc290888504"/>
      <w:bookmarkStart w:id="128" w:name="_Toc416353720"/>
      <w:bookmarkStart w:id="129" w:name="_Toc522871015"/>
      <w:bookmarkEnd w:id="125"/>
      <w:bookmarkEnd w:id="126"/>
      <w:r w:rsidRPr="00300796">
        <w:t>Study</w:t>
      </w:r>
      <w:bookmarkEnd w:id="127"/>
      <w:r w:rsidRPr="00300796">
        <w:t xml:space="preserve"> </w:t>
      </w:r>
      <w:r w:rsidRPr="00592C3C">
        <w:t>A3921092</w:t>
      </w:r>
      <w:bookmarkEnd w:id="128"/>
      <w:bookmarkEnd w:id="129"/>
    </w:p>
    <w:p w14:paraId="62808DE6" w14:textId="77777777" w:rsidR="002608ED" w:rsidRDefault="002608ED" w:rsidP="003A1B70">
      <w:pPr>
        <w:pStyle w:val="ListBullet"/>
      </w:pPr>
      <w:bookmarkStart w:id="130" w:name="_Toc522871016"/>
      <w:r>
        <w:t>Study A3921137</w:t>
      </w:r>
      <w:bookmarkEnd w:id="130"/>
    </w:p>
    <w:p w14:paraId="78D0ACA2" w14:textId="77777777" w:rsidR="002608ED" w:rsidRPr="00300796" w:rsidRDefault="002608ED" w:rsidP="003A1B70">
      <w:pPr>
        <w:pStyle w:val="ListBullet"/>
      </w:pPr>
      <w:bookmarkStart w:id="131" w:name="_Toc290888506"/>
      <w:bookmarkStart w:id="132" w:name="_Toc416353722"/>
      <w:bookmarkStart w:id="133" w:name="_Toc522871017"/>
      <w:r>
        <w:t>S</w:t>
      </w:r>
      <w:r w:rsidRPr="00300796">
        <w:t xml:space="preserve">tudy </w:t>
      </w:r>
      <w:bookmarkEnd w:id="131"/>
      <w:bookmarkEnd w:id="132"/>
      <w:r>
        <w:t>A3921119</w:t>
      </w:r>
      <w:bookmarkEnd w:id="133"/>
    </w:p>
    <w:p w14:paraId="787BBB42" w14:textId="77777777" w:rsidR="002608ED" w:rsidRPr="005632DC" w:rsidRDefault="002608ED" w:rsidP="002608ED">
      <w:pPr>
        <w:pStyle w:val="Heading5"/>
      </w:pPr>
      <w:bookmarkStart w:id="134" w:name="_Toc241374312"/>
      <w:bookmarkStart w:id="135" w:name="_Toc272414656"/>
      <w:bookmarkStart w:id="136" w:name="_Toc290888507"/>
      <w:bookmarkStart w:id="137" w:name="_Toc416353723"/>
      <w:bookmarkStart w:id="138" w:name="_Toc421005271"/>
      <w:bookmarkStart w:id="139" w:name="_Toc432079153"/>
      <w:bookmarkStart w:id="140" w:name="_Toc432080726"/>
      <w:bookmarkStart w:id="141" w:name="_Toc522871019"/>
      <w:r w:rsidRPr="005632DC">
        <w:t>Analyses performed</w:t>
      </w:r>
      <w:r>
        <w:t xml:space="preserve"> across trials: pooled </w:t>
      </w:r>
      <w:r w:rsidRPr="005632DC">
        <w:t>analyses</w:t>
      </w:r>
      <w:bookmarkEnd w:id="134"/>
      <w:bookmarkEnd w:id="135"/>
      <w:bookmarkEnd w:id="136"/>
      <w:bookmarkEnd w:id="137"/>
      <w:bookmarkEnd w:id="138"/>
      <w:bookmarkEnd w:id="139"/>
      <w:bookmarkEnd w:id="140"/>
      <w:bookmarkEnd w:id="141"/>
    </w:p>
    <w:p w14:paraId="3DCBCF48" w14:textId="77777777" w:rsidR="002608ED" w:rsidRDefault="002608ED" w:rsidP="003A1B70">
      <w:pPr>
        <w:rPr>
          <w:lang w:eastAsia="ja-JP"/>
        </w:rPr>
      </w:pPr>
      <w:bookmarkStart w:id="142" w:name="_Ref271126605"/>
      <w:bookmarkStart w:id="143" w:name="_Toc272414657"/>
      <w:bookmarkStart w:id="144" w:name="_Toc290888508"/>
      <w:bookmarkStart w:id="145" w:name="_Toc416353724"/>
      <w:bookmarkStart w:id="146" w:name="_Toc421005272"/>
      <w:bookmarkStart w:id="147" w:name="_Toc432079154"/>
      <w:bookmarkStart w:id="148" w:name="_Toc432080727"/>
      <w:r>
        <w:rPr>
          <w:lang w:eastAsia="ja-JP"/>
        </w:rPr>
        <w:t xml:space="preserve">A number of pooled supportive analyses of the pivotal studies were performed, including the placebo treatment group up to 3 months but excluding the placebo to </w:t>
      </w:r>
      <w:proofErr w:type="spellStart"/>
      <w:r>
        <w:rPr>
          <w:lang w:eastAsia="ja-JP"/>
        </w:rPr>
        <w:t>tofacitinib</w:t>
      </w:r>
      <w:proofErr w:type="spellEnd"/>
      <w:r>
        <w:rPr>
          <w:lang w:eastAsia="ja-JP"/>
        </w:rPr>
        <w:t xml:space="preserve"> tre</w:t>
      </w:r>
      <w:r w:rsidR="003A1B70">
        <w:rPr>
          <w:lang w:eastAsia="ja-JP"/>
        </w:rPr>
        <w:t>atment sequences after Month 3.</w:t>
      </w:r>
    </w:p>
    <w:p w14:paraId="4EDBE42F" w14:textId="77777777" w:rsidR="002608ED" w:rsidRDefault="002608ED" w:rsidP="002608ED">
      <w:pPr>
        <w:pStyle w:val="Heading4"/>
      </w:pPr>
      <w:bookmarkStart w:id="149" w:name="_Toc522871020"/>
      <w:r w:rsidRPr="005632DC">
        <w:t>Evaluator’s conclusions on clinical efficacy</w:t>
      </w:r>
      <w:bookmarkEnd w:id="142"/>
      <w:bookmarkEnd w:id="143"/>
      <w:bookmarkEnd w:id="144"/>
      <w:bookmarkEnd w:id="145"/>
      <w:bookmarkEnd w:id="146"/>
      <w:bookmarkEnd w:id="147"/>
      <w:bookmarkEnd w:id="148"/>
      <w:bookmarkEnd w:id="149"/>
    </w:p>
    <w:p w14:paraId="64CDAF8C" w14:textId="47DD72D4" w:rsidR="002608ED" w:rsidRDefault="00B5763A" w:rsidP="002608ED">
      <w:pPr>
        <w:rPr>
          <w:lang w:eastAsia="ja-JP"/>
        </w:rPr>
      </w:pPr>
      <w:r>
        <w:rPr>
          <w:lang w:eastAsia="ja-JP"/>
        </w:rPr>
        <w:t>The Phase III</w:t>
      </w:r>
      <w:r w:rsidR="002608ED">
        <w:rPr>
          <w:lang w:eastAsia="ja-JP"/>
        </w:rPr>
        <w:t xml:space="preserve"> program was based on two pivotal efficacy studies in 816 adult patients with active </w:t>
      </w:r>
      <w:proofErr w:type="spellStart"/>
      <w:r w:rsidR="002608ED">
        <w:rPr>
          <w:lang w:eastAsia="ja-JP"/>
        </w:rPr>
        <w:t>PsA.</w:t>
      </w:r>
      <w:proofErr w:type="spellEnd"/>
      <w:r w:rsidR="002608ED">
        <w:rPr>
          <w:lang w:eastAsia="ja-JP"/>
        </w:rPr>
        <w:t xml:space="preserve"> The studies were designed in line with regulatory advice from the FDA and EMA. Mandatory background </w:t>
      </w:r>
      <w:proofErr w:type="spellStart"/>
      <w:r w:rsidR="002608ED">
        <w:rPr>
          <w:lang w:eastAsia="ja-JP"/>
        </w:rPr>
        <w:t>csDMARD</w:t>
      </w:r>
      <w:proofErr w:type="spellEnd"/>
      <w:r w:rsidR="002608ED">
        <w:rPr>
          <w:lang w:eastAsia="ja-JP"/>
        </w:rPr>
        <w:t xml:space="preserve"> therapy was required in both studies. Patients in </w:t>
      </w:r>
      <w:r w:rsidR="00022F7F">
        <w:rPr>
          <w:lang w:eastAsia="ja-JP"/>
        </w:rPr>
        <w:t xml:space="preserve">Study </w:t>
      </w:r>
      <w:r w:rsidR="002608ED">
        <w:rPr>
          <w:lang w:eastAsia="ja-JP"/>
        </w:rPr>
        <w:t xml:space="preserve">A3921091were TNFI-naïve and patients in </w:t>
      </w:r>
      <w:r w:rsidR="00022F7F">
        <w:rPr>
          <w:lang w:eastAsia="ja-JP"/>
        </w:rPr>
        <w:t xml:space="preserve">Study </w:t>
      </w:r>
      <w:r w:rsidR="002608ED">
        <w:rPr>
          <w:lang w:eastAsia="ja-JP"/>
        </w:rPr>
        <w:t xml:space="preserve">A3921125 had an inadequate response to previous TFNI therapy. </w:t>
      </w:r>
      <w:r>
        <w:rPr>
          <w:lang w:eastAsia="ja-JP"/>
        </w:rPr>
        <w:t xml:space="preserve">Both studies were placebo </w:t>
      </w:r>
      <w:r w:rsidR="002608ED">
        <w:rPr>
          <w:lang w:eastAsia="ja-JP"/>
        </w:rPr>
        <w:t xml:space="preserve">controlled for the first three months, and </w:t>
      </w:r>
      <w:r w:rsidR="00022F7F">
        <w:rPr>
          <w:lang w:eastAsia="ja-JP"/>
        </w:rPr>
        <w:t xml:space="preserve">Study </w:t>
      </w:r>
      <w:r w:rsidR="002608ED">
        <w:rPr>
          <w:lang w:eastAsia="ja-JP"/>
        </w:rPr>
        <w:t xml:space="preserve">A3921091 had an </w:t>
      </w:r>
      <w:proofErr w:type="spellStart"/>
      <w:r w:rsidR="002608ED">
        <w:rPr>
          <w:lang w:eastAsia="ja-JP"/>
        </w:rPr>
        <w:t>adalimumab</w:t>
      </w:r>
      <w:proofErr w:type="spellEnd"/>
      <w:r w:rsidR="002608ED">
        <w:rPr>
          <w:lang w:eastAsia="ja-JP"/>
        </w:rPr>
        <w:t xml:space="preserve"> active control arm. The doses of </w:t>
      </w:r>
      <w:proofErr w:type="spellStart"/>
      <w:r w:rsidR="002608ED">
        <w:rPr>
          <w:lang w:eastAsia="ja-JP"/>
        </w:rPr>
        <w:t>tofacitinib</w:t>
      </w:r>
      <w:proofErr w:type="spellEnd"/>
      <w:r w:rsidR="002608ED">
        <w:rPr>
          <w:lang w:eastAsia="ja-JP"/>
        </w:rPr>
        <w:t xml:space="preserve"> (5 mg </w:t>
      </w:r>
      <w:r w:rsidR="003A1B70">
        <w:rPr>
          <w:lang w:eastAsia="ja-JP"/>
        </w:rPr>
        <w:t>BD</w:t>
      </w:r>
      <w:r w:rsidR="002608ED">
        <w:rPr>
          <w:lang w:eastAsia="ja-JP"/>
        </w:rPr>
        <w:t xml:space="preserve"> and 10 mg </w:t>
      </w:r>
      <w:r w:rsidR="003A1B70">
        <w:rPr>
          <w:lang w:eastAsia="ja-JP"/>
        </w:rPr>
        <w:t>BD</w:t>
      </w:r>
      <w:r w:rsidR="002608ED">
        <w:rPr>
          <w:lang w:eastAsia="ja-JP"/>
        </w:rPr>
        <w:t xml:space="preserve">) selected for the </w:t>
      </w:r>
      <w:proofErr w:type="spellStart"/>
      <w:r w:rsidR="002608ED">
        <w:rPr>
          <w:lang w:eastAsia="ja-JP"/>
        </w:rPr>
        <w:t>PsA</w:t>
      </w:r>
      <w:proofErr w:type="spellEnd"/>
      <w:r w:rsidR="002608ED">
        <w:rPr>
          <w:lang w:eastAsia="ja-JP"/>
        </w:rPr>
        <w:t xml:space="preserve"> program were based on the RA and </w:t>
      </w:r>
      <w:proofErr w:type="spellStart"/>
      <w:r w:rsidR="002608ED">
        <w:rPr>
          <w:lang w:eastAsia="ja-JP"/>
        </w:rPr>
        <w:t>PsO</w:t>
      </w:r>
      <w:proofErr w:type="spellEnd"/>
      <w:r w:rsidR="002608ED">
        <w:rPr>
          <w:lang w:eastAsia="ja-JP"/>
        </w:rPr>
        <w:t xml:space="preserve"> programs, an approach accepted by the FDA and EMA. The primary endpoints and treatment durations were also approved by the regula</w:t>
      </w:r>
      <w:r>
        <w:rPr>
          <w:lang w:eastAsia="ja-JP"/>
        </w:rPr>
        <w:t xml:space="preserve">tors (ACR20 response rates and change in </w:t>
      </w:r>
      <w:r w:rsidR="002608ED">
        <w:rPr>
          <w:lang w:eastAsia="ja-JP"/>
        </w:rPr>
        <w:t>HAQ-DI at Month 3). The pivotal studies were conducted in compliance with the TGA adopted EMEA Guidelines for Evaluation of Medicinal Products in Treatment of Psoriatic Arthritis.</w:t>
      </w:r>
      <w:bookmarkStart w:id="150" w:name="_Ref17356873"/>
      <w:r>
        <w:rPr>
          <w:rStyle w:val="FootnoteReference"/>
          <w:lang w:eastAsia="ja-JP"/>
        </w:rPr>
        <w:footnoteReference w:id="3"/>
      </w:r>
      <w:bookmarkEnd w:id="150"/>
    </w:p>
    <w:p w14:paraId="41D46AD8" w14:textId="0A7A0E46" w:rsidR="002608ED" w:rsidRDefault="002608ED" w:rsidP="002608ED">
      <w:pPr>
        <w:rPr>
          <w:lang w:eastAsia="ja-JP"/>
        </w:rPr>
      </w:pPr>
      <w:r>
        <w:rPr>
          <w:lang w:eastAsia="ja-JP"/>
        </w:rPr>
        <w:t xml:space="preserve">In both pivotal studies, there was a significant benefit in favour of </w:t>
      </w:r>
      <w:proofErr w:type="spellStart"/>
      <w:r>
        <w:rPr>
          <w:lang w:eastAsia="ja-JP"/>
        </w:rPr>
        <w:t>tofacitinib</w:t>
      </w:r>
      <w:proofErr w:type="spellEnd"/>
      <w:r>
        <w:rPr>
          <w:lang w:eastAsia="ja-JP"/>
        </w:rPr>
        <w:t xml:space="preserve"> 5 mg </w:t>
      </w:r>
      <w:r w:rsidR="003A1B70">
        <w:rPr>
          <w:lang w:eastAsia="ja-JP"/>
        </w:rPr>
        <w:t>BD</w:t>
      </w:r>
      <w:r>
        <w:rPr>
          <w:lang w:eastAsia="ja-JP"/>
        </w:rPr>
        <w:t xml:space="preserve"> and 10 mg </w:t>
      </w:r>
      <w:r w:rsidR="003A1B70">
        <w:rPr>
          <w:lang w:eastAsia="ja-JP"/>
        </w:rPr>
        <w:t>BD</w:t>
      </w:r>
      <w:r>
        <w:rPr>
          <w:lang w:eastAsia="ja-JP"/>
        </w:rPr>
        <w:t xml:space="preserve"> compared with placebo. In the pooled analysis of ACR20 response rates at Month 3, the treatment difference in favour of </w:t>
      </w:r>
      <w:proofErr w:type="spellStart"/>
      <w:r>
        <w:rPr>
          <w:lang w:eastAsia="ja-JP"/>
        </w:rPr>
        <w:t>tofacitinib</w:t>
      </w:r>
      <w:proofErr w:type="spellEnd"/>
      <w:r>
        <w:rPr>
          <w:lang w:eastAsia="ja-JP"/>
        </w:rPr>
        <w:t xml:space="preserve"> 5 mg </w:t>
      </w:r>
      <w:r w:rsidR="003A1B70">
        <w:rPr>
          <w:lang w:eastAsia="ja-JP"/>
        </w:rPr>
        <w:t>BD</w:t>
      </w:r>
      <w:r>
        <w:rPr>
          <w:lang w:eastAsia="ja-JP"/>
        </w:rPr>
        <w:t xml:space="preserve"> compared with placebo was 22.01% (95% CI: 13.48, 30.54; p</w:t>
      </w:r>
      <w:r w:rsidR="00403A18">
        <w:rPr>
          <w:lang w:eastAsia="ja-JP"/>
        </w:rPr>
        <w:t xml:space="preserve"> </w:t>
      </w:r>
      <w:r>
        <w:rPr>
          <w:lang w:eastAsia="ja-JP"/>
        </w:rPr>
        <w:t>&lt;</w:t>
      </w:r>
      <w:r w:rsidR="00403A18">
        <w:rPr>
          <w:lang w:eastAsia="ja-JP"/>
        </w:rPr>
        <w:t xml:space="preserve"> </w:t>
      </w:r>
      <w:r>
        <w:rPr>
          <w:lang w:eastAsia="ja-JP"/>
        </w:rPr>
        <w:t xml:space="preserve">0.0001). The treatment difference in favour of </w:t>
      </w:r>
      <w:proofErr w:type="spellStart"/>
      <w:r>
        <w:rPr>
          <w:lang w:eastAsia="ja-JP"/>
        </w:rPr>
        <w:t>tofacitinib</w:t>
      </w:r>
      <w:proofErr w:type="spellEnd"/>
      <w:r>
        <w:rPr>
          <w:lang w:eastAsia="ja-JP"/>
        </w:rPr>
        <w:t xml:space="preserve"> 10 mg </w:t>
      </w:r>
      <w:r w:rsidR="003A1B70">
        <w:rPr>
          <w:lang w:eastAsia="ja-JP"/>
        </w:rPr>
        <w:t>BD</w:t>
      </w:r>
      <w:r>
        <w:rPr>
          <w:lang w:eastAsia="ja-JP"/>
        </w:rPr>
        <w:t xml:space="preserve"> compared with placebo was 25.05% (95% CI: 16.55, 33.55; p</w:t>
      </w:r>
      <w:r w:rsidR="00403A18">
        <w:rPr>
          <w:lang w:eastAsia="ja-JP"/>
        </w:rPr>
        <w:t> </w:t>
      </w:r>
      <w:r>
        <w:rPr>
          <w:lang w:eastAsia="ja-JP"/>
        </w:rPr>
        <w:t>&lt;</w:t>
      </w:r>
      <w:r w:rsidR="00403A18">
        <w:rPr>
          <w:lang w:eastAsia="ja-JP"/>
        </w:rPr>
        <w:t> </w:t>
      </w:r>
      <w:r>
        <w:rPr>
          <w:lang w:eastAsia="ja-JP"/>
        </w:rPr>
        <w:t xml:space="preserve">0.0001). There were no meaningful differences in ACR20 response rates between the </w:t>
      </w:r>
      <w:proofErr w:type="spellStart"/>
      <w:r>
        <w:rPr>
          <w:lang w:eastAsia="ja-JP"/>
        </w:rPr>
        <w:t>tofacitinib</w:t>
      </w:r>
      <w:proofErr w:type="spellEnd"/>
      <w:r>
        <w:rPr>
          <w:lang w:eastAsia="ja-JP"/>
        </w:rPr>
        <w:t xml:space="preserve"> 5 mg </w:t>
      </w:r>
      <w:r w:rsidR="003A1B70">
        <w:rPr>
          <w:lang w:eastAsia="ja-JP"/>
        </w:rPr>
        <w:t>BD</w:t>
      </w:r>
      <w:r>
        <w:rPr>
          <w:lang w:eastAsia="ja-JP"/>
        </w:rPr>
        <w:t xml:space="preserve"> and 10 mg </w:t>
      </w:r>
      <w:r w:rsidR="003A1B70">
        <w:rPr>
          <w:lang w:eastAsia="ja-JP"/>
        </w:rPr>
        <w:t>BD</w:t>
      </w:r>
      <w:r>
        <w:rPr>
          <w:lang w:eastAsia="ja-JP"/>
        </w:rPr>
        <w:t xml:space="preserve"> groups, or compared with the </w:t>
      </w:r>
      <w:proofErr w:type="spellStart"/>
      <w:r>
        <w:rPr>
          <w:lang w:eastAsia="ja-JP"/>
        </w:rPr>
        <w:t>adalimumab</w:t>
      </w:r>
      <w:proofErr w:type="spellEnd"/>
      <w:r>
        <w:rPr>
          <w:lang w:eastAsia="ja-JP"/>
        </w:rPr>
        <w:t xml:space="preserve"> ac</w:t>
      </w:r>
      <w:r w:rsidR="00403A18">
        <w:rPr>
          <w:lang w:eastAsia="ja-JP"/>
        </w:rPr>
        <w:t xml:space="preserve">tive control group. The pooled </w:t>
      </w:r>
      <w:r>
        <w:rPr>
          <w:lang w:eastAsia="ja-JP"/>
        </w:rPr>
        <w:t xml:space="preserve">HAQ-DI changes at Month 3 were comparable. The treatment difference in favour of </w:t>
      </w:r>
      <w:proofErr w:type="spellStart"/>
      <w:r>
        <w:rPr>
          <w:lang w:eastAsia="ja-JP"/>
        </w:rPr>
        <w:t>tofacitinib</w:t>
      </w:r>
      <w:proofErr w:type="spellEnd"/>
      <w:r>
        <w:rPr>
          <w:lang w:eastAsia="ja-JP"/>
        </w:rPr>
        <w:t xml:space="preserve"> 5 mg </w:t>
      </w:r>
      <w:r w:rsidR="003A1B70">
        <w:rPr>
          <w:lang w:eastAsia="ja-JP"/>
        </w:rPr>
        <w:t>BD</w:t>
      </w:r>
      <w:r>
        <w:rPr>
          <w:lang w:eastAsia="ja-JP"/>
        </w:rPr>
        <w:t xml:space="preserve"> compared wit</w:t>
      </w:r>
      <w:r w:rsidR="00403A18">
        <w:rPr>
          <w:lang w:eastAsia="ja-JP"/>
        </w:rPr>
        <w:t xml:space="preserve">h placebo was -0.2181 (95% CI: </w:t>
      </w:r>
      <w:r w:rsidR="00403A18">
        <w:rPr>
          <w:lang w:eastAsia="ja-JP"/>
        </w:rPr>
        <w:noBreakHyphen/>
      </w:r>
      <w:r>
        <w:rPr>
          <w:lang w:eastAsia="ja-JP"/>
        </w:rPr>
        <w:t>0.3057, -0.1305; p</w:t>
      </w:r>
      <w:r w:rsidR="00403A18">
        <w:rPr>
          <w:lang w:eastAsia="ja-JP"/>
        </w:rPr>
        <w:t xml:space="preserve"> </w:t>
      </w:r>
      <w:r>
        <w:rPr>
          <w:lang w:eastAsia="ja-JP"/>
        </w:rPr>
        <w:t>&lt;</w:t>
      </w:r>
      <w:r w:rsidR="00403A18">
        <w:rPr>
          <w:lang w:eastAsia="ja-JP"/>
        </w:rPr>
        <w:t xml:space="preserve"> </w:t>
      </w:r>
      <w:r>
        <w:rPr>
          <w:lang w:eastAsia="ja-JP"/>
        </w:rPr>
        <w:t xml:space="preserve">0.0001). The treatment difference in favour of </w:t>
      </w:r>
      <w:proofErr w:type="spellStart"/>
      <w:r>
        <w:rPr>
          <w:lang w:eastAsia="ja-JP"/>
        </w:rPr>
        <w:t>tofacitinib</w:t>
      </w:r>
      <w:proofErr w:type="spellEnd"/>
      <w:r>
        <w:rPr>
          <w:lang w:eastAsia="ja-JP"/>
        </w:rPr>
        <w:t xml:space="preserve"> 10 mg </w:t>
      </w:r>
      <w:r w:rsidR="003A1B70">
        <w:rPr>
          <w:lang w:eastAsia="ja-JP"/>
        </w:rPr>
        <w:t>BD</w:t>
      </w:r>
      <w:r>
        <w:rPr>
          <w:lang w:eastAsia="ja-JP"/>
        </w:rPr>
        <w:t xml:space="preserve"> compared with placebo was -0.2190 (95% CI: -0.3067, -0.1312; p</w:t>
      </w:r>
      <w:r w:rsidR="00403A18">
        <w:rPr>
          <w:lang w:eastAsia="ja-JP"/>
        </w:rPr>
        <w:t xml:space="preserve"> </w:t>
      </w:r>
      <w:r>
        <w:rPr>
          <w:lang w:eastAsia="ja-JP"/>
        </w:rPr>
        <w:t>&lt;</w:t>
      </w:r>
      <w:r w:rsidR="00403A18">
        <w:rPr>
          <w:lang w:eastAsia="ja-JP"/>
        </w:rPr>
        <w:t xml:space="preserve"> </w:t>
      </w:r>
      <w:r>
        <w:rPr>
          <w:lang w:eastAsia="ja-JP"/>
        </w:rPr>
        <w:t>0.0001). There wer</w:t>
      </w:r>
      <w:r w:rsidR="00403A18">
        <w:rPr>
          <w:lang w:eastAsia="ja-JP"/>
        </w:rPr>
        <w:t xml:space="preserve">e no meaningful differences in change in </w:t>
      </w:r>
      <w:r>
        <w:rPr>
          <w:lang w:eastAsia="ja-JP"/>
        </w:rPr>
        <w:t xml:space="preserve">HAQ-DI between the </w:t>
      </w:r>
      <w:proofErr w:type="spellStart"/>
      <w:r>
        <w:rPr>
          <w:lang w:eastAsia="ja-JP"/>
        </w:rPr>
        <w:t>tofacitinib</w:t>
      </w:r>
      <w:proofErr w:type="spellEnd"/>
      <w:r>
        <w:rPr>
          <w:lang w:eastAsia="ja-JP"/>
        </w:rPr>
        <w:t xml:space="preserve"> 5 mg </w:t>
      </w:r>
      <w:r w:rsidR="003A1B70">
        <w:rPr>
          <w:lang w:eastAsia="ja-JP"/>
        </w:rPr>
        <w:t>BD</w:t>
      </w:r>
      <w:r>
        <w:rPr>
          <w:lang w:eastAsia="ja-JP"/>
        </w:rPr>
        <w:t xml:space="preserve">, </w:t>
      </w:r>
      <w:proofErr w:type="spellStart"/>
      <w:r>
        <w:rPr>
          <w:lang w:eastAsia="ja-JP"/>
        </w:rPr>
        <w:t>tofacitinib</w:t>
      </w:r>
      <w:proofErr w:type="spellEnd"/>
      <w:r>
        <w:rPr>
          <w:lang w:eastAsia="ja-JP"/>
        </w:rPr>
        <w:t xml:space="preserve"> 10 mg </w:t>
      </w:r>
      <w:r w:rsidR="003A1B70">
        <w:rPr>
          <w:lang w:eastAsia="ja-JP"/>
        </w:rPr>
        <w:t>BD</w:t>
      </w:r>
      <w:r>
        <w:rPr>
          <w:lang w:eastAsia="ja-JP"/>
        </w:rPr>
        <w:t xml:space="preserve"> and </w:t>
      </w:r>
      <w:proofErr w:type="spellStart"/>
      <w:r>
        <w:rPr>
          <w:lang w:eastAsia="ja-JP"/>
        </w:rPr>
        <w:t>adalimumab</w:t>
      </w:r>
      <w:proofErr w:type="spellEnd"/>
      <w:r>
        <w:rPr>
          <w:lang w:eastAsia="ja-JP"/>
        </w:rPr>
        <w:t xml:space="preserve"> groups. The ACR20 response rate</w:t>
      </w:r>
      <w:r w:rsidR="00403A18">
        <w:rPr>
          <w:lang w:eastAsia="ja-JP"/>
        </w:rPr>
        <w:t xml:space="preserve">s and change in </w:t>
      </w:r>
      <w:r>
        <w:rPr>
          <w:lang w:eastAsia="ja-JP"/>
        </w:rPr>
        <w:t xml:space="preserve">HAQ-DI were sustained to Months 6 and 12 with no evidence of tolerance. Withdrawal rates due to lack of efficacy in the </w:t>
      </w:r>
      <w:proofErr w:type="spellStart"/>
      <w:r>
        <w:rPr>
          <w:lang w:eastAsia="ja-JP"/>
        </w:rPr>
        <w:t>tofacitinib</w:t>
      </w:r>
      <w:proofErr w:type="spellEnd"/>
      <w:r>
        <w:rPr>
          <w:lang w:eastAsia="ja-JP"/>
        </w:rPr>
        <w:t xml:space="preserve"> groups were low. The statistical analysis was corrected for missing data and repeated measures, and sensitivity analyses were </w:t>
      </w:r>
      <w:r>
        <w:rPr>
          <w:lang w:eastAsia="ja-JP"/>
        </w:rPr>
        <w:lastRenderedPageBreak/>
        <w:t xml:space="preserve">consistent with the primary analysis. Improved outcomes were comparable in the </w:t>
      </w:r>
      <w:proofErr w:type="spellStart"/>
      <w:r>
        <w:rPr>
          <w:lang w:eastAsia="ja-JP"/>
        </w:rPr>
        <w:t>tofacitinib</w:t>
      </w:r>
      <w:proofErr w:type="spellEnd"/>
      <w:r>
        <w:rPr>
          <w:lang w:eastAsia="ja-JP"/>
        </w:rPr>
        <w:t xml:space="preserve"> 5 mg </w:t>
      </w:r>
      <w:r w:rsidR="003A1B70">
        <w:rPr>
          <w:lang w:eastAsia="ja-JP"/>
        </w:rPr>
        <w:t>BD</w:t>
      </w:r>
      <w:r>
        <w:rPr>
          <w:lang w:eastAsia="ja-JP"/>
        </w:rPr>
        <w:t xml:space="preserve"> and </w:t>
      </w:r>
      <w:proofErr w:type="spellStart"/>
      <w:r>
        <w:rPr>
          <w:lang w:eastAsia="ja-JP"/>
        </w:rPr>
        <w:t>tofacitinib</w:t>
      </w:r>
      <w:proofErr w:type="spellEnd"/>
      <w:r>
        <w:rPr>
          <w:lang w:eastAsia="ja-JP"/>
        </w:rPr>
        <w:t xml:space="preserve"> 10 mg </w:t>
      </w:r>
      <w:r w:rsidR="003A1B70">
        <w:rPr>
          <w:lang w:eastAsia="ja-JP"/>
        </w:rPr>
        <w:t>BD</w:t>
      </w:r>
      <w:r>
        <w:rPr>
          <w:lang w:eastAsia="ja-JP"/>
        </w:rPr>
        <w:t xml:space="preserve"> groups. Any differences were small, inconsistent, and not clinically meaningful. Efficacy was comparable to </w:t>
      </w:r>
      <w:proofErr w:type="spellStart"/>
      <w:r>
        <w:rPr>
          <w:lang w:eastAsia="ja-JP"/>
        </w:rPr>
        <w:t>adalimumab</w:t>
      </w:r>
      <w:proofErr w:type="spellEnd"/>
      <w:r>
        <w:rPr>
          <w:lang w:eastAsia="ja-JP"/>
        </w:rPr>
        <w:t>, a standard of care TNFI.</w:t>
      </w:r>
      <w:r w:rsidRPr="00F83738">
        <w:rPr>
          <w:lang w:eastAsia="ja-JP"/>
        </w:rPr>
        <w:t xml:space="preserve"> </w:t>
      </w:r>
      <w:r>
        <w:rPr>
          <w:lang w:eastAsia="ja-JP"/>
        </w:rPr>
        <w:t xml:space="preserve">In addition, in patients with </w:t>
      </w:r>
      <w:proofErr w:type="spellStart"/>
      <w:r>
        <w:rPr>
          <w:lang w:eastAsia="ja-JP"/>
        </w:rPr>
        <w:t>PsA</w:t>
      </w:r>
      <w:proofErr w:type="spellEnd"/>
      <w:r>
        <w:rPr>
          <w:lang w:eastAsia="ja-JP"/>
        </w:rPr>
        <w:t xml:space="preserve">, </w:t>
      </w:r>
      <w:proofErr w:type="spellStart"/>
      <w:r>
        <w:rPr>
          <w:lang w:eastAsia="ja-JP"/>
        </w:rPr>
        <w:t>tofacitinib</w:t>
      </w:r>
      <w:proofErr w:type="spellEnd"/>
      <w:r>
        <w:rPr>
          <w:lang w:eastAsia="ja-JP"/>
        </w:rPr>
        <w:t xml:space="preserve"> was highly effective against the plaque psoriasis with significant reductions in </w:t>
      </w:r>
      <w:r w:rsidR="00022F7F" w:rsidRPr="00022F7F">
        <w:rPr>
          <w:lang w:eastAsia="ja-JP"/>
        </w:rPr>
        <w:t>Psoriasis Area and Severity Index</w:t>
      </w:r>
      <w:r w:rsidR="00022F7F">
        <w:rPr>
          <w:lang w:eastAsia="ja-JP"/>
        </w:rPr>
        <w:t xml:space="preserve"> (</w:t>
      </w:r>
      <w:r>
        <w:rPr>
          <w:lang w:eastAsia="ja-JP"/>
        </w:rPr>
        <w:t>PASI</w:t>
      </w:r>
      <w:r w:rsidR="00022F7F">
        <w:rPr>
          <w:lang w:eastAsia="ja-JP"/>
        </w:rPr>
        <w:t>)</w:t>
      </w:r>
      <w:r>
        <w:rPr>
          <w:lang w:eastAsia="ja-JP"/>
        </w:rPr>
        <w:t xml:space="preserve"> scores.</w:t>
      </w:r>
    </w:p>
    <w:p w14:paraId="0D13CA45" w14:textId="28BE964B" w:rsidR="00500337" w:rsidRPr="00500337" w:rsidRDefault="002608ED" w:rsidP="00500337">
      <w:pPr>
        <w:rPr>
          <w:lang w:eastAsia="ja-JP"/>
        </w:rPr>
      </w:pPr>
      <w:r>
        <w:rPr>
          <w:lang w:eastAsia="ja-JP"/>
        </w:rPr>
        <w:t xml:space="preserve">Efficacy was comparable in all subgroups including age, gender, race and body weight. Analyses of multiple secondary endpoints, including ACR50, ACR70, physician reported outcomes, </w:t>
      </w:r>
      <w:r w:rsidR="00022F7F" w:rsidRPr="00022F7F">
        <w:rPr>
          <w:lang w:eastAsia="ja-JP"/>
        </w:rPr>
        <w:t xml:space="preserve">Leeds </w:t>
      </w:r>
      <w:proofErr w:type="spellStart"/>
      <w:r w:rsidR="00022F7F" w:rsidRPr="00022F7F">
        <w:rPr>
          <w:lang w:eastAsia="ja-JP"/>
        </w:rPr>
        <w:t>Enthesitis</w:t>
      </w:r>
      <w:proofErr w:type="spellEnd"/>
      <w:r w:rsidR="00022F7F" w:rsidRPr="00022F7F">
        <w:rPr>
          <w:lang w:eastAsia="ja-JP"/>
        </w:rPr>
        <w:t xml:space="preserve"> Index</w:t>
      </w:r>
      <w:r w:rsidR="00022F7F">
        <w:rPr>
          <w:lang w:eastAsia="ja-JP"/>
        </w:rPr>
        <w:t xml:space="preserve"> (</w:t>
      </w:r>
      <w:r>
        <w:rPr>
          <w:lang w:eastAsia="ja-JP"/>
        </w:rPr>
        <w:t>LEI</w:t>
      </w:r>
      <w:r w:rsidR="00022F7F">
        <w:rPr>
          <w:lang w:eastAsia="ja-JP"/>
        </w:rPr>
        <w:t>)</w:t>
      </w:r>
      <w:r>
        <w:rPr>
          <w:lang w:eastAsia="ja-JP"/>
        </w:rPr>
        <w:t xml:space="preserve">, </w:t>
      </w:r>
      <w:proofErr w:type="spellStart"/>
      <w:r w:rsidR="00022F7F" w:rsidRPr="00022F7F">
        <w:rPr>
          <w:lang w:eastAsia="ja-JP"/>
        </w:rPr>
        <w:t>Dactylitis</w:t>
      </w:r>
      <w:proofErr w:type="spellEnd"/>
      <w:r w:rsidR="00022F7F" w:rsidRPr="00022F7F">
        <w:rPr>
          <w:lang w:eastAsia="ja-JP"/>
        </w:rPr>
        <w:t xml:space="preserve"> Severity Score </w:t>
      </w:r>
      <w:r w:rsidR="00022F7F">
        <w:rPr>
          <w:lang w:eastAsia="ja-JP"/>
        </w:rPr>
        <w:t>(</w:t>
      </w:r>
      <w:r>
        <w:rPr>
          <w:lang w:eastAsia="ja-JP"/>
        </w:rPr>
        <w:t>DSS</w:t>
      </w:r>
      <w:r w:rsidR="00022F7F">
        <w:rPr>
          <w:lang w:eastAsia="ja-JP"/>
        </w:rPr>
        <w:t>)</w:t>
      </w:r>
      <w:r>
        <w:rPr>
          <w:lang w:eastAsia="ja-JP"/>
        </w:rPr>
        <w:t xml:space="preserve"> and patient reported outcomes were consistent with the primary analysis. Persistence of eff</w:t>
      </w:r>
      <w:r w:rsidR="00403A18">
        <w:rPr>
          <w:lang w:eastAsia="ja-JP"/>
        </w:rPr>
        <w:t>ect is being assessed in the on</w:t>
      </w:r>
      <w:r>
        <w:rPr>
          <w:lang w:eastAsia="ja-JP"/>
        </w:rPr>
        <w:t xml:space="preserve">going </w:t>
      </w:r>
      <w:r w:rsidR="00403A18">
        <w:rPr>
          <w:lang w:eastAsia="ja-JP"/>
        </w:rPr>
        <w:t>open label long term extension</w:t>
      </w:r>
      <w:r>
        <w:rPr>
          <w:lang w:eastAsia="ja-JP"/>
        </w:rPr>
        <w:t xml:space="preserve"> </w:t>
      </w:r>
      <w:r w:rsidR="00403A18">
        <w:rPr>
          <w:lang w:eastAsia="ja-JP"/>
        </w:rPr>
        <w:t>S</w:t>
      </w:r>
      <w:r w:rsidRPr="004E4457">
        <w:t>tudy A3921092</w:t>
      </w:r>
      <w:r>
        <w:t xml:space="preserve">, enrolling patients from </w:t>
      </w:r>
      <w:r w:rsidR="00403A18">
        <w:rPr>
          <w:lang w:eastAsia="ja-JP"/>
        </w:rPr>
        <w:t>S</w:t>
      </w:r>
      <w:r>
        <w:rPr>
          <w:lang w:eastAsia="ja-JP"/>
        </w:rPr>
        <w:t>tudies A3921091 and A3921125. A total of 680 patients have received treatment for a median duration of 175 days (range 3 to 754 days). In the interim analysis, effectiveness has been sustained with few withdrawals due to inadequate resp</w:t>
      </w:r>
      <w:r w:rsidR="00403A18">
        <w:rPr>
          <w:lang w:eastAsia="ja-JP"/>
        </w:rPr>
        <w:t>onse.</w:t>
      </w:r>
      <w:r>
        <w:rPr>
          <w:lang w:eastAsia="ja-JP"/>
        </w:rPr>
        <w:t xml:space="preserve"> Overall, the evidence strongly supports the use </w:t>
      </w:r>
      <w:proofErr w:type="spellStart"/>
      <w:r>
        <w:rPr>
          <w:lang w:eastAsia="ja-JP"/>
        </w:rPr>
        <w:t>tofacitinib</w:t>
      </w:r>
      <w:proofErr w:type="spellEnd"/>
      <w:r>
        <w:rPr>
          <w:lang w:eastAsia="ja-JP"/>
        </w:rPr>
        <w:t xml:space="preserve"> 5 mg </w:t>
      </w:r>
      <w:r w:rsidR="003A1B70">
        <w:rPr>
          <w:lang w:eastAsia="ja-JP"/>
        </w:rPr>
        <w:t>BD</w:t>
      </w:r>
      <w:r>
        <w:rPr>
          <w:lang w:eastAsia="ja-JP"/>
        </w:rPr>
        <w:t xml:space="preserve"> in patients with active </w:t>
      </w:r>
      <w:proofErr w:type="spellStart"/>
      <w:r>
        <w:rPr>
          <w:lang w:eastAsia="ja-JP"/>
        </w:rPr>
        <w:t>PsA</w:t>
      </w:r>
      <w:proofErr w:type="spellEnd"/>
      <w:r>
        <w:rPr>
          <w:lang w:eastAsia="ja-JP"/>
        </w:rPr>
        <w:t xml:space="preserve">, including those with an inadequate response to previous TNFI therapies. However, no studies have been submitted to support the use of </w:t>
      </w:r>
      <w:proofErr w:type="spellStart"/>
      <w:r>
        <w:rPr>
          <w:lang w:eastAsia="ja-JP"/>
        </w:rPr>
        <w:t>tofacitinib</w:t>
      </w:r>
      <w:proofErr w:type="spellEnd"/>
      <w:r>
        <w:rPr>
          <w:lang w:eastAsia="ja-JP"/>
        </w:rPr>
        <w:t xml:space="preserve"> in patients intolerant to </w:t>
      </w:r>
      <w:proofErr w:type="spellStart"/>
      <w:r>
        <w:rPr>
          <w:lang w:eastAsia="ja-JP"/>
        </w:rPr>
        <w:t>csDMARDs</w:t>
      </w:r>
      <w:proofErr w:type="spellEnd"/>
      <w:r>
        <w:rPr>
          <w:lang w:eastAsia="ja-JP"/>
        </w:rPr>
        <w:t>.</w:t>
      </w:r>
    </w:p>
    <w:p w14:paraId="4B437ED3" w14:textId="77777777" w:rsidR="008E7846" w:rsidRPr="002E238E" w:rsidRDefault="008E7846" w:rsidP="008E7846">
      <w:pPr>
        <w:pStyle w:val="Heading3"/>
      </w:pPr>
      <w:bookmarkStart w:id="151" w:name="_Toc163441378"/>
      <w:bookmarkStart w:id="152" w:name="_Toc196046495"/>
      <w:bookmarkStart w:id="153" w:name="_Toc247691522"/>
      <w:bookmarkStart w:id="154" w:name="_Toc314842505"/>
      <w:bookmarkStart w:id="155" w:name="_Toc22048618"/>
      <w:bookmarkEnd w:id="103"/>
      <w:bookmarkEnd w:id="104"/>
      <w:bookmarkEnd w:id="105"/>
      <w:bookmarkEnd w:id="106"/>
      <w:r w:rsidRPr="002E238E">
        <w:t>Safety</w:t>
      </w:r>
      <w:bookmarkEnd w:id="151"/>
      <w:bookmarkEnd w:id="152"/>
      <w:bookmarkEnd w:id="153"/>
      <w:bookmarkEnd w:id="154"/>
      <w:bookmarkEnd w:id="155"/>
    </w:p>
    <w:p w14:paraId="7765429C" w14:textId="77777777" w:rsidR="00605AD4" w:rsidRDefault="00605AD4" w:rsidP="00605AD4">
      <w:pPr>
        <w:pStyle w:val="Heading4"/>
      </w:pPr>
      <w:bookmarkStart w:id="156" w:name="_Toc247691524"/>
      <w:bookmarkStart w:id="157" w:name="_Toc314842508"/>
      <w:bookmarkStart w:id="158" w:name="_Toc196046504"/>
      <w:bookmarkStart w:id="159" w:name="_Toc163441390"/>
      <w:r w:rsidRPr="00605AD4">
        <w:t>Studies providing safety data</w:t>
      </w:r>
    </w:p>
    <w:p w14:paraId="02B95256" w14:textId="77777777" w:rsidR="007A55D9" w:rsidRDefault="007A55D9" w:rsidP="00124F51">
      <w:pPr>
        <w:pStyle w:val="Heading5"/>
      </w:pPr>
      <w:r>
        <w:t>Pivotal and/or main efficacy studies</w:t>
      </w:r>
    </w:p>
    <w:p w14:paraId="1A9863DE" w14:textId="77777777" w:rsidR="007A55D9" w:rsidRDefault="003A1B70" w:rsidP="00124F51">
      <w:r>
        <w:t xml:space="preserve">Studies </w:t>
      </w:r>
      <w:r w:rsidR="007A55D9">
        <w:t>A3921091 and A3921125</w:t>
      </w:r>
      <w:r>
        <w:t>.</w:t>
      </w:r>
    </w:p>
    <w:p w14:paraId="633BFF16" w14:textId="77777777" w:rsidR="007A55D9" w:rsidRDefault="007A55D9" w:rsidP="00124F51">
      <w:pPr>
        <w:pStyle w:val="Heading5"/>
      </w:pPr>
      <w:r>
        <w:t>Other studies</w:t>
      </w:r>
    </w:p>
    <w:p w14:paraId="0FB5CBC2" w14:textId="77777777" w:rsidR="007A55D9" w:rsidRDefault="007A55D9" w:rsidP="00124F51">
      <w:pPr>
        <w:pStyle w:val="Heading6"/>
      </w:pPr>
      <w:r>
        <w:t>Other efficacy studies</w:t>
      </w:r>
    </w:p>
    <w:p w14:paraId="4C568002" w14:textId="77777777" w:rsidR="00124F51" w:rsidRDefault="003A1B70" w:rsidP="00124F51">
      <w:r>
        <w:t xml:space="preserve">Studies A3921092 and </w:t>
      </w:r>
      <w:r w:rsidR="007A55D9">
        <w:t>A3921137</w:t>
      </w:r>
      <w:r>
        <w:t>.</w:t>
      </w:r>
    </w:p>
    <w:p w14:paraId="2D799ED9" w14:textId="77777777" w:rsidR="007A55D9" w:rsidRDefault="007A55D9" w:rsidP="00124F51">
      <w:pPr>
        <w:pStyle w:val="Heading6"/>
      </w:pPr>
      <w:r>
        <w:t>Studies evaluable for safety only</w:t>
      </w:r>
    </w:p>
    <w:p w14:paraId="2DCFC7AB" w14:textId="77777777" w:rsidR="00500337" w:rsidRPr="00500337" w:rsidRDefault="003A1B70" w:rsidP="00124F51">
      <w:r>
        <w:t xml:space="preserve">Study </w:t>
      </w:r>
      <w:r w:rsidR="007A55D9">
        <w:t>A3921119</w:t>
      </w:r>
      <w:r>
        <w:t>.</w:t>
      </w:r>
    </w:p>
    <w:p w14:paraId="172BC6FC" w14:textId="77777777" w:rsidR="00605AD4" w:rsidRDefault="00605AD4" w:rsidP="00605AD4">
      <w:pPr>
        <w:pStyle w:val="Heading4"/>
      </w:pPr>
      <w:r w:rsidRPr="00605AD4">
        <w:t>Patient exposure</w:t>
      </w:r>
    </w:p>
    <w:p w14:paraId="057D7F8D" w14:textId="77777777" w:rsidR="00500337" w:rsidRDefault="007A55D9" w:rsidP="00500337">
      <w:r w:rsidRPr="007A55D9">
        <w:t xml:space="preserve">The overall exposure to </w:t>
      </w:r>
      <w:proofErr w:type="spellStart"/>
      <w:r w:rsidRPr="007A55D9">
        <w:t>tofacitinib</w:t>
      </w:r>
      <w:proofErr w:type="spellEnd"/>
      <w:r w:rsidRPr="007A55D9">
        <w:t xml:space="preserve"> in the </w:t>
      </w:r>
      <w:proofErr w:type="spellStart"/>
      <w:r w:rsidRPr="007A55D9">
        <w:t>PsA</w:t>
      </w:r>
      <w:proofErr w:type="spellEnd"/>
      <w:r w:rsidRPr="007A55D9">
        <w:t xml:space="preserve">, RA and </w:t>
      </w:r>
      <w:proofErr w:type="spellStart"/>
      <w:r w:rsidRPr="007A55D9">
        <w:t>PsO</w:t>
      </w:r>
      <w:proofErr w:type="spellEnd"/>
      <w:r w:rsidRPr="007A55D9">
        <w:t xml:space="preserve"> datasets is shown in</w:t>
      </w:r>
      <w:r w:rsidR="003E3C30">
        <w:t xml:space="preserve"> </w:t>
      </w:r>
      <w:r w:rsidR="002D540D">
        <w:fldChar w:fldCharType="begin"/>
      </w:r>
      <w:r w:rsidR="002D540D">
        <w:instrText xml:space="preserve"> REF _Ref17182256 \h </w:instrText>
      </w:r>
      <w:r w:rsidR="002D540D">
        <w:fldChar w:fldCharType="separate"/>
      </w:r>
      <w:r w:rsidR="00BD60C9">
        <w:t xml:space="preserve">Table </w:t>
      </w:r>
      <w:r w:rsidR="00BD60C9">
        <w:rPr>
          <w:noProof/>
        </w:rPr>
        <w:t>9</w:t>
      </w:r>
      <w:r w:rsidR="002D540D">
        <w:fldChar w:fldCharType="end"/>
      </w:r>
      <w:r w:rsidRPr="007A55D9">
        <w:t xml:space="preserve">. In the </w:t>
      </w:r>
      <w:proofErr w:type="spellStart"/>
      <w:r w:rsidRPr="007A55D9">
        <w:t>PsA</w:t>
      </w:r>
      <w:proofErr w:type="spellEnd"/>
      <w:r w:rsidRPr="007A55D9">
        <w:t xml:space="preserve"> dataset, a total of 783 patients received </w:t>
      </w:r>
      <w:proofErr w:type="spellStart"/>
      <w:r w:rsidRPr="007A55D9">
        <w:t>tofacitinib</w:t>
      </w:r>
      <w:proofErr w:type="spellEnd"/>
      <w:r w:rsidRPr="007A55D9">
        <w:t xml:space="preserve"> for a total of 1237.89 patient years. A total of 635 patients received </w:t>
      </w:r>
      <w:proofErr w:type="spellStart"/>
      <w:r w:rsidRPr="007A55D9">
        <w:t>tofacitinib</w:t>
      </w:r>
      <w:proofErr w:type="spellEnd"/>
      <w:r w:rsidRPr="007A55D9">
        <w:t xml:space="preserve"> for ≥</w:t>
      </w:r>
      <w:r w:rsidR="002D540D">
        <w:t xml:space="preserve"> </w:t>
      </w:r>
      <w:r w:rsidRPr="007A55D9">
        <w:t xml:space="preserve">12 months and 335 patients received </w:t>
      </w:r>
      <w:proofErr w:type="spellStart"/>
      <w:r w:rsidRPr="007A55D9">
        <w:t>tofacitinib</w:t>
      </w:r>
      <w:proofErr w:type="spellEnd"/>
      <w:r w:rsidRPr="007A55D9">
        <w:t xml:space="preserve"> for ≥</w:t>
      </w:r>
      <w:r w:rsidR="002D540D">
        <w:t xml:space="preserve"> </w:t>
      </w:r>
      <w:r w:rsidRPr="007A55D9">
        <w:t xml:space="preserve">24 months. During the placebo-controlled period, 238, 236, 236 and 106 patients, respectively, received </w:t>
      </w:r>
      <w:proofErr w:type="spellStart"/>
      <w:r w:rsidRPr="007A55D9">
        <w:t>tofacitinib</w:t>
      </w:r>
      <w:proofErr w:type="spellEnd"/>
      <w:r w:rsidRPr="007A55D9">
        <w:t xml:space="preserve"> 5 mg </w:t>
      </w:r>
      <w:r w:rsidR="003A1B70">
        <w:t>BD</w:t>
      </w:r>
      <w:r w:rsidRPr="007A55D9">
        <w:t xml:space="preserve">, </w:t>
      </w:r>
      <w:proofErr w:type="spellStart"/>
      <w:r w:rsidRPr="007A55D9">
        <w:t>tofacitinib</w:t>
      </w:r>
      <w:proofErr w:type="spellEnd"/>
      <w:r w:rsidRPr="007A55D9">
        <w:t xml:space="preserve"> 10 mg </w:t>
      </w:r>
      <w:r w:rsidR="003A1B70">
        <w:t>BD</w:t>
      </w:r>
      <w:r w:rsidRPr="007A55D9">
        <w:t xml:space="preserve">, placebo and </w:t>
      </w:r>
      <w:proofErr w:type="spellStart"/>
      <w:r w:rsidRPr="007A55D9">
        <w:t>adalimumab</w:t>
      </w:r>
      <w:proofErr w:type="spellEnd"/>
      <w:r w:rsidRPr="007A55D9">
        <w:t xml:space="preserve"> (</w:t>
      </w:r>
      <w:r w:rsidR="00A8332B">
        <w:fldChar w:fldCharType="begin"/>
      </w:r>
      <w:r w:rsidR="00A8332B">
        <w:instrText xml:space="preserve"> REF _Ref17181433 \h </w:instrText>
      </w:r>
      <w:r w:rsidR="00A8332B">
        <w:fldChar w:fldCharType="separate"/>
      </w:r>
      <w:r w:rsidR="00BD60C9">
        <w:t xml:space="preserve">Table </w:t>
      </w:r>
      <w:r w:rsidR="00BD60C9">
        <w:rPr>
          <w:noProof/>
        </w:rPr>
        <w:t>10</w:t>
      </w:r>
      <w:r w:rsidR="00A8332B">
        <w:fldChar w:fldCharType="end"/>
      </w:r>
      <w:r w:rsidRPr="007A55D9">
        <w:t>).</w:t>
      </w:r>
    </w:p>
    <w:p w14:paraId="3A92FB12" w14:textId="77777777" w:rsidR="00124F51" w:rsidRDefault="00A8332B" w:rsidP="00A8332B">
      <w:pPr>
        <w:pStyle w:val="TableTitle"/>
      </w:pPr>
      <w:bookmarkStart w:id="160" w:name="_Ref17182256"/>
      <w:r>
        <w:lastRenderedPageBreak/>
        <w:t xml:space="preserve">Table </w:t>
      </w:r>
      <w:fldSimple w:instr=" SEQ Table \* ARABIC ">
        <w:r w:rsidR="00BD60C9">
          <w:rPr>
            <w:noProof/>
          </w:rPr>
          <w:t>9</w:t>
        </w:r>
      </w:fldSimple>
      <w:bookmarkEnd w:id="160"/>
      <w:r>
        <w:t xml:space="preserve">: Exposure to </w:t>
      </w:r>
      <w:proofErr w:type="spellStart"/>
      <w:r>
        <w:t>tofacitinib</w:t>
      </w:r>
      <w:proofErr w:type="spellEnd"/>
      <w:r>
        <w:t xml:space="preserve"> in the </w:t>
      </w:r>
      <w:proofErr w:type="spellStart"/>
      <w:r>
        <w:t>PsA</w:t>
      </w:r>
      <w:proofErr w:type="spellEnd"/>
      <w:r>
        <w:t xml:space="preserve">, RA and </w:t>
      </w:r>
      <w:proofErr w:type="spellStart"/>
      <w:r>
        <w:t>PsO</w:t>
      </w:r>
      <w:proofErr w:type="spellEnd"/>
      <w:r>
        <w:t xml:space="preserve"> datasets</w:t>
      </w:r>
    </w:p>
    <w:p w14:paraId="33B6B9E1" w14:textId="77777777" w:rsidR="00124F51" w:rsidRDefault="00124F51" w:rsidP="00500337">
      <w:r>
        <w:rPr>
          <w:noProof/>
          <w:lang w:eastAsia="en-AU"/>
        </w:rPr>
        <w:drawing>
          <wp:inline distT="0" distB="0" distL="0" distR="0" wp14:anchorId="35B5501E" wp14:editId="07CF649F">
            <wp:extent cx="5400040" cy="2338287"/>
            <wp:effectExtent l="0" t="0" r="0" b="5080"/>
            <wp:docPr id="20" name="Picture 20" descr="Exposure to tofacitinib in the PsA, RA and PsO data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2338287"/>
                    </a:xfrm>
                    <a:prstGeom prst="rect">
                      <a:avLst/>
                    </a:prstGeom>
                  </pic:spPr>
                </pic:pic>
              </a:graphicData>
            </a:graphic>
          </wp:inline>
        </w:drawing>
      </w:r>
    </w:p>
    <w:p w14:paraId="0405CC80" w14:textId="77777777" w:rsidR="00A8332B" w:rsidRDefault="00A8332B" w:rsidP="00A8332B">
      <w:pPr>
        <w:pStyle w:val="TableTitle"/>
      </w:pPr>
      <w:bookmarkStart w:id="161" w:name="_Ref17181433"/>
      <w:r>
        <w:t xml:space="preserve">Table </w:t>
      </w:r>
      <w:fldSimple w:instr=" SEQ Table \* ARABIC ">
        <w:r w:rsidR="00BD60C9">
          <w:rPr>
            <w:noProof/>
          </w:rPr>
          <w:t>10</w:t>
        </w:r>
      </w:fldSimple>
      <w:bookmarkEnd w:id="161"/>
      <w:r>
        <w:t>: Exposure to study treatments during the placebo controlled period</w:t>
      </w:r>
    </w:p>
    <w:p w14:paraId="6D830338" w14:textId="77777777" w:rsidR="00A8332B" w:rsidRPr="00500337" w:rsidRDefault="00A8332B" w:rsidP="00500337">
      <w:r>
        <w:rPr>
          <w:noProof/>
          <w:lang w:eastAsia="en-AU"/>
        </w:rPr>
        <w:drawing>
          <wp:inline distT="0" distB="0" distL="0" distR="0" wp14:anchorId="3A53D372" wp14:editId="3CE39248">
            <wp:extent cx="5400040" cy="1911937"/>
            <wp:effectExtent l="0" t="0" r="0" b="0"/>
            <wp:docPr id="23" name="Picture 23" descr="Exposure to study treatments during the placebo controlled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1911937"/>
                    </a:xfrm>
                    <a:prstGeom prst="rect">
                      <a:avLst/>
                    </a:prstGeom>
                  </pic:spPr>
                </pic:pic>
              </a:graphicData>
            </a:graphic>
          </wp:inline>
        </w:drawing>
      </w:r>
    </w:p>
    <w:p w14:paraId="561F6870" w14:textId="77777777" w:rsidR="00605AD4" w:rsidRDefault="00605AD4" w:rsidP="00605AD4">
      <w:pPr>
        <w:pStyle w:val="Heading4"/>
      </w:pPr>
      <w:r w:rsidRPr="00605AD4">
        <w:t>Safety issues with the potential for major regulatory impact</w:t>
      </w:r>
    </w:p>
    <w:p w14:paraId="0DF67C83" w14:textId="77777777" w:rsidR="007A55D9" w:rsidRDefault="007A55D9" w:rsidP="00A8332B">
      <w:pPr>
        <w:pStyle w:val="Heading5"/>
      </w:pPr>
      <w:r>
        <w:t>Liver function and liver toxicity</w:t>
      </w:r>
    </w:p>
    <w:p w14:paraId="44136FAD" w14:textId="77777777" w:rsidR="007A55D9" w:rsidRDefault="007A55D9" w:rsidP="00A8332B">
      <w:pPr>
        <w:pStyle w:val="Heading6"/>
      </w:pPr>
      <w:r>
        <w:t>Integrated safety analyses</w:t>
      </w:r>
    </w:p>
    <w:p w14:paraId="38B021A1" w14:textId="629A86EF" w:rsidR="007A55D9" w:rsidRDefault="007A55D9" w:rsidP="007A55D9">
      <w:r>
        <w:t xml:space="preserve">Potential cases of liver injury were reviewed and adjudicated by an independent, external committee. Four hepatic events in the </w:t>
      </w:r>
      <w:proofErr w:type="spellStart"/>
      <w:r>
        <w:t>PsA</w:t>
      </w:r>
      <w:proofErr w:type="spellEnd"/>
      <w:r>
        <w:t xml:space="preserve"> program met criteria for adjudication. One event was assessed as possible </w:t>
      </w:r>
      <w:r w:rsidR="00022F7F">
        <w:t>drug-induced liver injury (</w:t>
      </w:r>
      <w:r>
        <w:t>DILI</w:t>
      </w:r>
      <w:r w:rsidR="00022F7F">
        <w:t>) event</w:t>
      </w:r>
      <w:r>
        <w:t xml:space="preserve">, but none met </w:t>
      </w:r>
      <w:proofErr w:type="spellStart"/>
      <w:r>
        <w:t>Hy’s</w:t>
      </w:r>
      <w:proofErr w:type="spellEnd"/>
      <w:r>
        <w:t xml:space="preserve"> Law criteria.</w:t>
      </w:r>
      <w:r w:rsidR="00317963">
        <w:rPr>
          <w:rStyle w:val="FootnoteReference"/>
        </w:rPr>
        <w:footnoteReference w:id="4"/>
      </w:r>
    </w:p>
    <w:p w14:paraId="5806F8E6" w14:textId="6BBF241F" w:rsidR="007A55D9" w:rsidRDefault="002219D4" w:rsidP="007A55D9">
      <w:r>
        <w:t xml:space="preserve">In </w:t>
      </w:r>
      <w:r w:rsidR="00317963">
        <w:t>C</w:t>
      </w:r>
      <w:r>
        <w:t>ohort 2 o</w:t>
      </w:r>
      <w:r w:rsidR="007A55D9">
        <w:t xml:space="preserve">nly one patient receiving </w:t>
      </w:r>
      <w:proofErr w:type="spellStart"/>
      <w:r w:rsidR="007A55D9">
        <w:t>tofacitinib</w:t>
      </w:r>
      <w:proofErr w:type="spellEnd"/>
      <w:r w:rsidR="007A55D9">
        <w:t xml:space="preserve"> 5 mg </w:t>
      </w:r>
      <w:r w:rsidR="003A1B70">
        <w:t>BD</w:t>
      </w:r>
      <w:r w:rsidR="007A55D9">
        <w:t xml:space="preserve"> had an </w:t>
      </w:r>
      <w:r w:rsidR="00022F7F">
        <w:t>alanine transaminase (</w:t>
      </w:r>
      <w:r w:rsidR="007A55D9">
        <w:t>ALT</w:t>
      </w:r>
      <w:r w:rsidR="00022F7F">
        <w:t>)</w:t>
      </w:r>
      <w:r w:rsidR="007A55D9">
        <w:t xml:space="preserve"> elevation ≥</w:t>
      </w:r>
      <w:r>
        <w:t xml:space="preserve"> </w:t>
      </w:r>
      <w:r w:rsidR="007A55D9">
        <w:t xml:space="preserve">3 x </w:t>
      </w:r>
      <w:r w:rsidR="00022F7F">
        <w:t xml:space="preserve">the upper </w:t>
      </w:r>
      <w:proofErr w:type="spellStart"/>
      <w:r w:rsidR="00022F7F">
        <w:t>limity</w:t>
      </w:r>
      <w:proofErr w:type="spellEnd"/>
      <w:r w:rsidR="00022F7F">
        <w:t xml:space="preserve"> of normal (</w:t>
      </w:r>
      <w:r w:rsidR="007A55D9">
        <w:t>ULN</w:t>
      </w:r>
      <w:r w:rsidR="00022F7F">
        <w:t>)</w:t>
      </w:r>
      <w:r w:rsidR="007A55D9">
        <w:t>, and there were no cases of bilirubin elevations ≥</w:t>
      </w:r>
      <w:r>
        <w:t xml:space="preserve"> </w:t>
      </w:r>
      <w:r w:rsidR="007A55D9">
        <w:t>2 x ULN. Similar results were observed in Cohort 1. In Cohort 3, six (0.8%) patients had two consecutive ALT ≥</w:t>
      </w:r>
      <w:r>
        <w:t xml:space="preserve"> </w:t>
      </w:r>
      <w:r w:rsidR="007A55D9">
        <w:t>3 x ULN. Two patients had elevated ALT</w:t>
      </w:r>
      <w:r w:rsidR="00022F7F">
        <w:t> </w:t>
      </w:r>
      <w:r w:rsidR="007A55D9">
        <w:t>≥</w:t>
      </w:r>
      <w:r w:rsidR="00022F7F">
        <w:t> </w:t>
      </w:r>
      <w:r w:rsidR="007A55D9">
        <w:t>5</w:t>
      </w:r>
      <w:r w:rsidR="00022F7F">
        <w:t> </w:t>
      </w:r>
      <w:r w:rsidR="007A55D9">
        <w:t>x</w:t>
      </w:r>
      <w:r w:rsidR="00022F7F">
        <w:t> </w:t>
      </w:r>
      <w:r w:rsidR="007A55D9">
        <w:t>ULN, and one patient had ALT ≥</w:t>
      </w:r>
      <w:r>
        <w:t xml:space="preserve"> </w:t>
      </w:r>
      <w:r w:rsidR="007A55D9">
        <w:t xml:space="preserve">10 x ULN. There were no treatment discontinuations due to abnormal </w:t>
      </w:r>
      <w:r>
        <w:t>liver function tests (</w:t>
      </w:r>
      <w:r w:rsidR="007A55D9">
        <w:t>LFTs</w:t>
      </w:r>
      <w:r>
        <w:t>)</w:t>
      </w:r>
      <w:r w:rsidR="007A55D9">
        <w:t xml:space="preserve"> in patients treated with </w:t>
      </w:r>
      <w:proofErr w:type="spellStart"/>
      <w:r w:rsidR="007A55D9">
        <w:t>tofacitinib</w:t>
      </w:r>
      <w:proofErr w:type="spellEnd"/>
      <w:r w:rsidR="007A55D9">
        <w:t xml:space="preserve">, compared with two patients receiving </w:t>
      </w:r>
      <w:proofErr w:type="spellStart"/>
      <w:r w:rsidR="007A55D9">
        <w:t>adalimumab</w:t>
      </w:r>
      <w:proofErr w:type="spellEnd"/>
      <w:r w:rsidR="007A55D9">
        <w:t>, and one patient receiving placebo.</w:t>
      </w:r>
    </w:p>
    <w:p w14:paraId="1E878079" w14:textId="77777777" w:rsidR="007A55D9" w:rsidRDefault="007A55D9" w:rsidP="007A55D9">
      <w:r>
        <w:t>The number of pa</w:t>
      </w:r>
      <w:r w:rsidR="002219D4">
        <w:t xml:space="preserve">tients with hepatic AEs was low. </w:t>
      </w:r>
      <w:r>
        <w:t xml:space="preserve">In Cohort 3, the most common event was hepatic steatosis reported in 1.1% of patients receiving </w:t>
      </w:r>
      <w:proofErr w:type="spellStart"/>
      <w:r>
        <w:t>tofacitinib</w:t>
      </w:r>
      <w:proofErr w:type="spellEnd"/>
      <w:r>
        <w:t>.</w:t>
      </w:r>
    </w:p>
    <w:p w14:paraId="4F587188" w14:textId="77777777" w:rsidR="007A55D9" w:rsidRDefault="007A55D9" w:rsidP="007A55D9">
      <w:r>
        <w:t>No safety signals related to hepatic events were identified.</w:t>
      </w:r>
    </w:p>
    <w:p w14:paraId="0F084481" w14:textId="77777777" w:rsidR="007A55D9" w:rsidRDefault="007A55D9" w:rsidP="00A8332B">
      <w:pPr>
        <w:pStyle w:val="Heading5"/>
      </w:pPr>
      <w:r>
        <w:lastRenderedPageBreak/>
        <w:t>Renal function and renal toxicity</w:t>
      </w:r>
    </w:p>
    <w:p w14:paraId="4B38B106" w14:textId="77777777" w:rsidR="007A55D9" w:rsidRDefault="00A8332B" w:rsidP="00A8332B">
      <w:pPr>
        <w:pStyle w:val="Heading6"/>
      </w:pPr>
      <w:r>
        <w:t>I</w:t>
      </w:r>
      <w:r w:rsidR="007A55D9">
        <w:t>ntegrated safety analyses</w:t>
      </w:r>
    </w:p>
    <w:p w14:paraId="58EC1ACE" w14:textId="309614D1" w:rsidR="007A55D9" w:rsidRPr="00E80EF1" w:rsidRDefault="007A55D9" w:rsidP="007A55D9">
      <w:r w:rsidRPr="00E80EF1">
        <w:t xml:space="preserve">In the RA program, small, reversible increases in serum creatinine were associated with small decreases in measured </w:t>
      </w:r>
      <w:r w:rsidR="00022F7F">
        <w:t>glomerular filtration rate (</w:t>
      </w:r>
      <w:r w:rsidRPr="00E80EF1">
        <w:t>GFR</w:t>
      </w:r>
      <w:r w:rsidR="00022F7F">
        <w:t>)</w:t>
      </w:r>
      <w:r w:rsidRPr="00E80EF1">
        <w:t xml:space="preserve">. In the </w:t>
      </w:r>
      <w:proofErr w:type="spellStart"/>
      <w:r w:rsidRPr="00E80EF1">
        <w:t>PsA</w:t>
      </w:r>
      <w:proofErr w:type="spellEnd"/>
      <w:r w:rsidRPr="00E80EF1">
        <w:t xml:space="preserve"> program</w:t>
      </w:r>
      <w:r w:rsidR="002219D4" w:rsidRPr="00E80EF1">
        <w:t>, there were small, rapid, dose </w:t>
      </w:r>
      <w:r w:rsidRPr="00E80EF1">
        <w:t xml:space="preserve">dependent mean increases in serum creatinine </w:t>
      </w:r>
      <w:r w:rsidR="00317963">
        <w:t>from Baseline</w:t>
      </w:r>
      <w:r w:rsidRPr="00E80EF1">
        <w:t>. At Month 3, median increases in serum creatinine wer</w:t>
      </w:r>
      <w:r w:rsidR="002219D4" w:rsidRPr="00E80EF1">
        <w:t>e 0.011 mg/</w:t>
      </w:r>
      <w:proofErr w:type="spellStart"/>
      <w:r w:rsidR="002219D4" w:rsidRPr="00E80EF1">
        <w:t>dL</w:t>
      </w:r>
      <w:proofErr w:type="spellEnd"/>
      <w:r w:rsidR="002219D4" w:rsidRPr="00E80EF1">
        <w:t>, and 0.034 mg/</w:t>
      </w:r>
      <w:proofErr w:type="spellStart"/>
      <w:r w:rsidR="002219D4" w:rsidRPr="00E80EF1">
        <w:t>dL</w:t>
      </w:r>
      <w:proofErr w:type="spellEnd"/>
      <w:r w:rsidR="002219D4" w:rsidRPr="00E80EF1">
        <w:t xml:space="preserve"> </w:t>
      </w:r>
      <w:r w:rsidRPr="00E80EF1">
        <w:t xml:space="preserve">in the </w:t>
      </w:r>
      <w:proofErr w:type="spellStart"/>
      <w:r w:rsidRPr="00E80EF1">
        <w:t>tofacitinib</w:t>
      </w:r>
      <w:proofErr w:type="spellEnd"/>
      <w:r w:rsidRPr="00E80EF1">
        <w:t xml:space="preserve"> 5 mg </w:t>
      </w:r>
      <w:r w:rsidR="003A1B70">
        <w:t>BD</w:t>
      </w:r>
      <w:r w:rsidRPr="00E80EF1">
        <w:t xml:space="preserve"> and </w:t>
      </w:r>
      <w:proofErr w:type="spellStart"/>
      <w:r w:rsidRPr="00E80EF1">
        <w:t>tofacitinib</w:t>
      </w:r>
      <w:proofErr w:type="spellEnd"/>
      <w:r w:rsidRPr="00E80EF1">
        <w:t xml:space="preserve"> 10 mg </w:t>
      </w:r>
      <w:r w:rsidR="003A1B70">
        <w:t>BD</w:t>
      </w:r>
      <w:r w:rsidRPr="00E80EF1">
        <w:t xml:space="preserve"> groups, respectively. There were no median changes in the placebo and </w:t>
      </w:r>
      <w:proofErr w:type="spellStart"/>
      <w:r w:rsidRPr="00E80EF1">
        <w:t>adalimumab</w:t>
      </w:r>
      <w:proofErr w:type="spellEnd"/>
      <w:r w:rsidRPr="00E80EF1">
        <w:t xml:space="preserve"> groups. The mean changes in Cohort 2 are shown in</w:t>
      </w:r>
      <w:r w:rsidR="009B7AE8" w:rsidRPr="00E80EF1">
        <w:t xml:space="preserve"> </w:t>
      </w:r>
      <w:r w:rsidR="00A83509" w:rsidRPr="00E80EF1">
        <w:fldChar w:fldCharType="begin"/>
      </w:r>
      <w:r w:rsidR="00A83509" w:rsidRPr="00E80EF1">
        <w:instrText xml:space="preserve"> REF _Ref17193376 \h  \* MERGEFORMAT </w:instrText>
      </w:r>
      <w:r w:rsidR="00A83509" w:rsidRPr="00E80EF1">
        <w:fldChar w:fldCharType="separate"/>
      </w:r>
      <w:r w:rsidR="00BD60C9" w:rsidRPr="00E80EF1">
        <w:t xml:space="preserve">Figure </w:t>
      </w:r>
      <w:r w:rsidR="00BD60C9">
        <w:rPr>
          <w:noProof/>
        </w:rPr>
        <w:t>3</w:t>
      </w:r>
      <w:r w:rsidR="00A83509" w:rsidRPr="00E80EF1">
        <w:fldChar w:fldCharType="end"/>
      </w:r>
      <w:r w:rsidRPr="00E80EF1">
        <w:t xml:space="preserve">. In Cohort 3, AEs reported as acute renal failure </w:t>
      </w:r>
      <w:r w:rsidR="00E80EF1">
        <w:t>s</w:t>
      </w:r>
      <w:r w:rsidR="00E80EF1" w:rsidRPr="00E80EF1">
        <w:t xml:space="preserve">tandard </w:t>
      </w:r>
      <w:proofErr w:type="spellStart"/>
      <w:r w:rsidR="00E80EF1" w:rsidRPr="00E80EF1">
        <w:t>MedDRA</w:t>
      </w:r>
      <w:proofErr w:type="spellEnd"/>
      <w:r w:rsidR="00E80EF1" w:rsidRPr="00E80EF1">
        <w:t xml:space="preserve"> query </w:t>
      </w:r>
      <w:r w:rsidR="00E80EF1">
        <w:t>(</w:t>
      </w:r>
      <w:r w:rsidRPr="00E80EF1">
        <w:t>SMQ</w:t>
      </w:r>
      <w:r w:rsidR="00E80EF1">
        <w:t>)</w:t>
      </w:r>
      <w:r w:rsidRPr="00E80EF1">
        <w:t xml:space="preserve"> occurred in only 0.4% of patients, an inc</w:t>
      </w:r>
      <w:r w:rsidR="009B7AE8" w:rsidRPr="00E80EF1">
        <w:t xml:space="preserve">idence rate of 0.24 per 100 </w:t>
      </w:r>
      <w:r w:rsidR="00E80EF1">
        <w:t>patient years (</w:t>
      </w:r>
      <w:r w:rsidR="009B7AE8" w:rsidRPr="00E80EF1">
        <w:t>PY</w:t>
      </w:r>
      <w:r w:rsidR="00E80EF1">
        <w:t>)</w:t>
      </w:r>
      <w:r w:rsidR="009B7AE8" w:rsidRPr="00E80EF1">
        <w:t>.</w:t>
      </w:r>
    </w:p>
    <w:p w14:paraId="74CD32B0" w14:textId="41D194E7" w:rsidR="009B7AE8" w:rsidRDefault="009B7AE8" w:rsidP="009B7AE8">
      <w:pPr>
        <w:pStyle w:val="FigureTitle"/>
      </w:pPr>
      <w:bookmarkStart w:id="162" w:name="_Ref17193376"/>
      <w:r w:rsidRPr="00E80EF1">
        <w:t xml:space="preserve">Figure </w:t>
      </w:r>
      <w:fldSimple w:instr=" SEQ Figure \* ARABIC ">
        <w:r w:rsidR="00BD60C9">
          <w:rPr>
            <w:noProof/>
          </w:rPr>
          <w:t>3</w:t>
        </w:r>
      </w:fldSimple>
      <w:bookmarkEnd w:id="162"/>
      <w:r w:rsidRPr="00E80EF1">
        <w:t>: Integrated safety analysis</w:t>
      </w:r>
      <w:r w:rsidR="00022F7F">
        <w:t>;</w:t>
      </w:r>
      <w:r w:rsidRPr="00E80EF1">
        <w:t xml:space="preserve"> </w:t>
      </w:r>
      <w:r w:rsidR="00022F7F">
        <w:t>c</w:t>
      </w:r>
      <w:r w:rsidRPr="00E80EF1">
        <w:t>hanges in serum creatinine in Cohort 2</w:t>
      </w:r>
    </w:p>
    <w:p w14:paraId="7F1E92AE" w14:textId="77777777" w:rsidR="00B10CCB" w:rsidRDefault="00B10CCB" w:rsidP="007A55D9">
      <w:r>
        <w:rPr>
          <w:noProof/>
          <w:lang w:eastAsia="en-AU"/>
        </w:rPr>
        <w:drawing>
          <wp:inline distT="0" distB="0" distL="0" distR="0" wp14:anchorId="016FB425" wp14:editId="355E96B4">
            <wp:extent cx="5032857" cy="3422988"/>
            <wp:effectExtent l="0" t="0" r="0" b="6350"/>
            <wp:docPr id="24" name="Picture 24" descr="Integrated safety analysis: Changes in serum creatinine in Coho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34184" cy="3423890"/>
                    </a:xfrm>
                    <a:prstGeom prst="rect">
                      <a:avLst/>
                    </a:prstGeom>
                  </pic:spPr>
                </pic:pic>
              </a:graphicData>
            </a:graphic>
          </wp:inline>
        </w:drawing>
      </w:r>
    </w:p>
    <w:p w14:paraId="52EE0A15" w14:textId="77777777" w:rsidR="007A55D9" w:rsidRDefault="007A55D9" w:rsidP="007A55D9">
      <w:r>
        <w:t xml:space="preserve">No significant safety signals relating to renal function were identified. Minor increases in serum creatinine are reversible if </w:t>
      </w:r>
      <w:proofErr w:type="spellStart"/>
      <w:r>
        <w:t>tofacitinib</w:t>
      </w:r>
      <w:proofErr w:type="spellEnd"/>
      <w:r>
        <w:t xml:space="preserve"> treatment is discontinued.</w:t>
      </w:r>
    </w:p>
    <w:p w14:paraId="11059EA0" w14:textId="77777777" w:rsidR="007A55D9" w:rsidRDefault="007A55D9" w:rsidP="00A8332B">
      <w:pPr>
        <w:pStyle w:val="Heading5"/>
      </w:pPr>
      <w:r>
        <w:t>Other clinical chemistry</w:t>
      </w:r>
    </w:p>
    <w:p w14:paraId="1FA30F2F" w14:textId="77777777" w:rsidR="007A55D9" w:rsidRDefault="007A55D9" w:rsidP="00A8332B">
      <w:pPr>
        <w:pStyle w:val="Heading6"/>
      </w:pPr>
      <w:r>
        <w:t>Integrated safety analyses</w:t>
      </w:r>
    </w:p>
    <w:p w14:paraId="4D8A343F" w14:textId="77777777" w:rsidR="007A55D9" w:rsidRDefault="007A55D9" w:rsidP="007A55D9">
      <w:r>
        <w:t xml:space="preserve">Data relating to only selected clinical chemistry parameters are presented in the </w:t>
      </w:r>
      <w:r w:rsidR="00E80EF1">
        <w:t>clinical study report</w:t>
      </w:r>
      <w:r>
        <w:t xml:space="preserve"> (haematological, serum creatinine, </w:t>
      </w:r>
      <w:r w:rsidR="00E80EF1">
        <w:t>creatinine kinase (</w:t>
      </w:r>
      <w:r>
        <w:t>CK</w:t>
      </w:r>
      <w:r w:rsidR="00E80EF1">
        <w:t>)</w:t>
      </w:r>
      <w:r>
        <w:t xml:space="preserve">, LFTs, </w:t>
      </w:r>
      <w:r w:rsidR="00E80EF1" w:rsidRPr="00E80EF1">
        <w:t xml:space="preserve">haemoglobin A1c </w:t>
      </w:r>
      <w:r w:rsidR="00E80EF1">
        <w:t>(</w:t>
      </w:r>
      <w:r>
        <w:t>HbA1c</w:t>
      </w:r>
      <w:r w:rsidR="00E80EF1">
        <w:t>)</w:t>
      </w:r>
      <w:r>
        <w:t xml:space="preserve"> and lipids). No safety issues were identified relating to CK, HbA1c, lipids or for any other clinical chemistry parameters.</w:t>
      </w:r>
    </w:p>
    <w:p w14:paraId="4A033B3D" w14:textId="77777777" w:rsidR="00E80EF1" w:rsidRDefault="00E80EF1" w:rsidP="00E80EF1">
      <w:pPr>
        <w:pStyle w:val="Heading7"/>
      </w:pPr>
      <w:proofErr w:type="spellStart"/>
      <w:r>
        <w:t>Creatine</w:t>
      </w:r>
      <w:proofErr w:type="spellEnd"/>
      <w:r>
        <w:t xml:space="preserve"> kinase</w:t>
      </w:r>
    </w:p>
    <w:p w14:paraId="790471A4" w14:textId="418C122F" w:rsidR="007A55D9" w:rsidRDefault="007A55D9" w:rsidP="007A55D9">
      <w:r>
        <w:t xml:space="preserve">There were modest and sustained increases in CK in both </w:t>
      </w:r>
      <w:proofErr w:type="spellStart"/>
      <w:r>
        <w:t>tofacitinib</w:t>
      </w:r>
      <w:proofErr w:type="spellEnd"/>
      <w:r>
        <w:t xml:space="preserve"> treatment groups. At Month 3, the median CK increase </w:t>
      </w:r>
      <w:r w:rsidR="00317963">
        <w:t>from Baseline</w:t>
      </w:r>
      <w:r>
        <w:t xml:space="preserve"> in the </w:t>
      </w:r>
      <w:proofErr w:type="spellStart"/>
      <w:r>
        <w:t>tofacitinib</w:t>
      </w:r>
      <w:proofErr w:type="spellEnd"/>
      <w:r>
        <w:t xml:space="preserve"> 5 mg </w:t>
      </w:r>
      <w:r w:rsidR="003A1B70">
        <w:t>BD</w:t>
      </w:r>
      <w:r w:rsidR="00E80EF1">
        <w:t xml:space="preserve"> group was 31 U/L. </w:t>
      </w:r>
      <w:r>
        <w:t>However, there were no reports of rha</w:t>
      </w:r>
      <w:r w:rsidR="00E80EF1">
        <w:t xml:space="preserve">bdomyolysis in the </w:t>
      </w:r>
      <w:proofErr w:type="spellStart"/>
      <w:r w:rsidR="00E80EF1">
        <w:t>PsA</w:t>
      </w:r>
      <w:proofErr w:type="spellEnd"/>
      <w:r w:rsidR="00E80EF1">
        <w:t xml:space="preserve"> program.</w:t>
      </w:r>
    </w:p>
    <w:p w14:paraId="3A88A2A7" w14:textId="77777777" w:rsidR="00E80EF1" w:rsidRDefault="00E80EF1" w:rsidP="00E80EF1">
      <w:pPr>
        <w:pStyle w:val="Heading7"/>
      </w:pPr>
      <w:r>
        <w:t>Lipids</w:t>
      </w:r>
    </w:p>
    <w:p w14:paraId="26D4C719" w14:textId="5BCE898F" w:rsidR="007A55D9" w:rsidRDefault="007A55D9" w:rsidP="007A55D9">
      <w:r>
        <w:t xml:space="preserve">There were modest increases </w:t>
      </w:r>
      <w:r w:rsidR="00317963">
        <w:t>from Baseline</w:t>
      </w:r>
      <w:r>
        <w:t xml:space="preserve"> in total cholesterol levels in the </w:t>
      </w:r>
      <w:proofErr w:type="spellStart"/>
      <w:r>
        <w:t>tofacitinib</w:t>
      </w:r>
      <w:proofErr w:type="spellEnd"/>
      <w:r>
        <w:t xml:space="preserve"> and </w:t>
      </w:r>
      <w:proofErr w:type="spellStart"/>
      <w:r>
        <w:t>adalimumab</w:t>
      </w:r>
      <w:proofErr w:type="spellEnd"/>
      <w:r>
        <w:t xml:space="preserve"> groups compared with minimal changes in the placebo group. The mean changes at Month 3 were 8.48%, 12.13%, 1.87% and 9.88% in the </w:t>
      </w:r>
      <w:proofErr w:type="spellStart"/>
      <w:r>
        <w:t>tofacitinib</w:t>
      </w:r>
      <w:proofErr w:type="spellEnd"/>
      <w:r>
        <w:t xml:space="preserve"> 5 mg </w:t>
      </w:r>
      <w:r w:rsidR="003A1B70">
        <w:t>BD</w:t>
      </w:r>
      <w:r>
        <w:t xml:space="preserve">, </w:t>
      </w:r>
      <w:proofErr w:type="spellStart"/>
      <w:r>
        <w:lastRenderedPageBreak/>
        <w:t>tofacitinib</w:t>
      </w:r>
      <w:proofErr w:type="spellEnd"/>
      <w:r>
        <w:t xml:space="preserve"> 10 mg </w:t>
      </w:r>
      <w:r w:rsidR="003A1B70">
        <w:t>BD</w:t>
      </w:r>
      <w:r>
        <w:t xml:space="preserve">, placebo and </w:t>
      </w:r>
      <w:proofErr w:type="spellStart"/>
      <w:r>
        <w:t>adalimumab</w:t>
      </w:r>
      <w:proofErr w:type="spellEnd"/>
      <w:r>
        <w:t xml:space="preserve"> groups, respectively. The changes in the active treatment groups were sustained through Month 6. There were comparable increases </w:t>
      </w:r>
      <w:r w:rsidR="00317963">
        <w:t>from Baseline</w:t>
      </w:r>
      <w:r>
        <w:t xml:space="preserve"> in </w:t>
      </w:r>
      <w:r w:rsidR="00E80EF1">
        <w:t>low density lipoprotein-cholesterol (</w:t>
      </w:r>
      <w:r>
        <w:t>LDL-c</w:t>
      </w:r>
      <w:r w:rsidR="00E80EF1">
        <w:t>)</w:t>
      </w:r>
      <w:r>
        <w:t xml:space="preserve"> levels in the </w:t>
      </w:r>
      <w:proofErr w:type="spellStart"/>
      <w:r>
        <w:t>tofacitinib</w:t>
      </w:r>
      <w:proofErr w:type="spellEnd"/>
      <w:r>
        <w:t xml:space="preserve"> and </w:t>
      </w:r>
      <w:proofErr w:type="spellStart"/>
      <w:r>
        <w:t>adalimumab</w:t>
      </w:r>
      <w:proofErr w:type="spellEnd"/>
      <w:r>
        <w:t xml:space="preserve"> groups compared with minimal changes in the placebo group. The mean changes at Month 3 were 9.20%, 14.03%, 3.98%</w:t>
      </w:r>
      <w:r w:rsidR="00E80EF1">
        <w:t xml:space="preserve"> and 9.17% in the </w:t>
      </w:r>
      <w:proofErr w:type="spellStart"/>
      <w:r w:rsidR="00E80EF1">
        <w:t>tofacitinib</w:t>
      </w:r>
      <w:proofErr w:type="spellEnd"/>
      <w:r w:rsidR="00E80EF1">
        <w:t xml:space="preserve"> 5 </w:t>
      </w:r>
      <w:r>
        <w:t xml:space="preserve">mg </w:t>
      </w:r>
      <w:r w:rsidR="003A1B70">
        <w:t>BD</w:t>
      </w:r>
      <w:r>
        <w:t xml:space="preserve">, </w:t>
      </w:r>
      <w:proofErr w:type="spellStart"/>
      <w:r>
        <w:t>tofacitinib</w:t>
      </w:r>
      <w:proofErr w:type="spellEnd"/>
      <w:r>
        <w:t xml:space="preserve"> 10 mg </w:t>
      </w:r>
      <w:r w:rsidR="003A1B70">
        <w:t>BD</w:t>
      </w:r>
      <w:r>
        <w:t xml:space="preserve">, placebo and </w:t>
      </w:r>
      <w:proofErr w:type="spellStart"/>
      <w:r>
        <w:t>adalimumab</w:t>
      </w:r>
      <w:proofErr w:type="spellEnd"/>
      <w:r>
        <w:t xml:space="preserve"> groups, respectively. The changes in the active treatment groups were sustained through Month 6. There were also increases </w:t>
      </w:r>
      <w:r w:rsidR="00317963">
        <w:t>from Baseline</w:t>
      </w:r>
      <w:r>
        <w:t xml:space="preserve"> in </w:t>
      </w:r>
      <w:r w:rsidR="00E80EF1">
        <w:t>high density lipoprotein-cholesterol (</w:t>
      </w:r>
      <w:r>
        <w:t>HDL-c</w:t>
      </w:r>
      <w:r w:rsidR="00E80EF1">
        <w:t>)</w:t>
      </w:r>
      <w:r>
        <w:t xml:space="preserve"> levels in the </w:t>
      </w:r>
      <w:proofErr w:type="spellStart"/>
      <w:r>
        <w:t>tofacitinib</w:t>
      </w:r>
      <w:proofErr w:type="spellEnd"/>
      <w:r>
        <w:t xml:space="preserve"> and </w:t>
      </w:r>
      <w:proofErr w:type="spellStart"/>
      <w:r>
        <w:t>adalimumab</w:t>
      </w:r>
      <w:proofErr w:type="spellEnd"/>
      <w:r>
        <w:t xml:space="preserve"> groups compared with minimal changes in the placebo group. The mean changes at Month 3 were 10.02%, 13.95%, -0.81% and 6.91% in the </w:t>
      </w:r>
      <w:proofErr w:type="spellStart"/>
      <w:r>
        <w:t>tofacitinib</w:t>
      </w:r>
      <w:proofErr w:type="spellEnd"/>
      <w:r>
        <w:t xml:space="preserve"> 5 mg </w:t>
      </w:r>
      <w:r w:rsidR="003A1B70">
        <w:t>BD</w:t>
      </w:r>
      <w:r>
        <w:t xml:space="preserve">, </w:t>
      </w:r>
      <w:proofErr w:type="spellStart"/>
      <w:r>
        <w:t>tofacitinib</w:t>
      </w:r>
      <w:proofErr w:type="spellEnd"/>
      <w:r>
        <w:t xml:space="preserve"> 10 mg </w:t>
      </w:r>
      <w:r w:rsidR="003A1B70">
        <w:t>BD</w:t>
      </w:r>
      <w:r>
        <w:t xml:space="preserve">, placebo and </w:t>
      </w:r>
      <w:proofErr w:type="spellStart"/>
      <w:r>
        <w:t>adalimumab</w:t>
      </w:r>
      <w:proofErr w:type="spellEnd"/>
      <w:r>
        <w:t xml:space="preserve"> groups, respectively. The changes in the active treatment groups were sustained through Month 6</w:t>
      </w:r>
      <w:r w:rsidR="00E80EF1">
        <w:t>.</w:t>
      </w:r>
    </w:p>
    <w:p w14:paraId="4BE6C92C" w14:textId="77777777" w:rsidR="007A55D9" w:rsidRDefault="007A55D9" w:rsidP="007A55D9">
      <w:r>
        <w:t xml:space="preserve">Inflammatory conditions are associated with low lipid levels which increase as inflammation is controlled with pharmacological treatments. In the </w:t>
      </w:r>
      <w:proofErr w:type="spellStart"/>
      <w:r>
        <w:t>PsA</w:t>
      </w:r>
      <w:proofErr w:type="spellEnd"/>
      <w:r>
        <w:t xml:space="preserve"> studies, </w:t>
      </w:r>
      <w:r w:rsidR="00E80EF1">
        <w:t>cardiovascular (</w:t>
      </w:r>
      <w:r>
        <w:t>CV</w:t>
      </w:r>
      <w:r w:rsidR="00E80EF1">
        <w:t>)</w:t>
      </w:r>
      <w:r>
        <w:t xml:space="preserve"> risk measured by changes in HDL/LDL ratios remained stable as reported in the other </w:t>
      </w:r>
      <w:proofErr w:type="spellStart"/>
      <w:r>
        <w:t>tofacitini</w:t>
      </w:r>
      <w:r w:rsidR="00E80EF1">
        <w:t>b</w:t>
      </w:r>
      <w:proofErr w:type="spellEnd"/>
      <w:r w:rsidR="00E80EF1">
        <w:t xml:space="preserve"> programs.</w:t>
      </w:r>
    </w:p>
    <w:p w14:paraId="6FC07493" w14:textId="77777777" w:rsidR="007A55D9" w:rsidRDefault="007A55D9" w:rsidP="00A8332B">
      <w:pPr>
        <w:pStyle w:val="Heading5"/>
      </w:pPr>
      <w:r>
        <w:t>Haematology and haematological toxicity</w:t>
      </w:r>
    </w:p>
    <w:p w14:paraId="45451234" w14:textId="77777777" w:rsidR="007A55D9" w:rsidRDefault="007A55D9" w:rsidP="00A8332B">
      <w:pPr>
        <w:pStyle w:val="Heading6"/>
      </w:pPr>
      <w:r>
        <w:t>Integrated safety analyses</w:t>
      </w:r>
    </w:p>
    <w:p w14:paraId="05D836D3" w14:textId="2D8CFC53" w:rsidR="007A55D9" w:rsidRDefault="007A55D9" w:rsidP="007A55D9">
      <w:r>
        <w:t xml:space="preserve">Up to Month 3, there were modest, dose-dependent decreases in median </w:t>
      </w:r>
      <w:r w:rsidR="00E80EF1">
        <w:t>haemoglobin (</w:t>
      </w:r>
      <w:proofErr w:type="spellStart"/>
      <w:r>
        <w:t>Hb</w:t>
      </w:r>
      <w:proofErr w:type="spellEnd"/>
      <w:r w:rsidR="00E80EF1">
        <w:t>)</w:t>
      </w:r>
      <w:r>
        <w:t xml:space="preserve"> levels in patients receiving </w:t>
      </w:r>
      <w:proofErr w:type="spellStart"/>
      <w:r>
        <w:t>tofacitinib</w:t>
      </w:r>
      <w:proofErr w:type="spellEnd"/>
      <w:r>
        <w:t xml:space="preserve">. At Month 3, median </w:t>
      </w:r>
      <w:proofErr w:type="spellStart"/>
      <w:r>
        <w:t>Hb</w:t>
      </w:r>
      <w:proofErr w:type="spellEnd"/>
      <w:r>
        <w:t xml:space="preserve"> levels decreases w</w:t>
      </w:r>
      <w:r w:rsidR="00E80EF1">
        <w:t xml:space="preserve">ere </w:t>
      </w:r>
      <w:r w:rsidR="00E80EF1">
        <w:noBreakHyphen/>
      </w:r>
      <w:r>
        <w:t>0.05 g/</w:t>
      </w:r>
      <w:proofErr w:type="spellStart"/>
      <w:r>
        <w:t>dL</w:t>
      </w:r>
      <w:proofErr w:type="spellEnd"/>
      <w:r>
        <w:t xml:space="preserve"> in the </w:t>
      </w:r>
      <w:proofErr w:type="spellStart"/>
      <w:r>
        <w:t>tofacitinib</w:t>
      </w:r>
      <w:proofErr w:type="spellEnd"/>
      <w:r>
        <w:t xml:space="preserve"> 5 mg </w:t>
      </w:r>
      <w:r w:rsidR="003A1B70">
        <w:t>BD</w:t>
      </w:r>
      <w:r>
        <w:t xml:space="preserve"> group and -0.3 g/</w:t>
      </w:r>
      <w:proofErr w:type="spellStart"/>
      <w:r>
        <w:t>dL</w:t>
      </w:r>
      <w:proofErr w:type="spellEnd"/>
      <w:r>
        <w:t xml:space="preserve"> in the </w:t>
      </w:r>
      <w:proofErr w:type="spellStart"/>
      <w:r>
        <w:t>tofacitinib</w:t>
      </w:r>
      <w:proofErr w:type="spellEnd"/>
      <w:r>
        <w:t xml:space="preserve"> 10 mg </w:t>
      </w:r>
      <w:r w:rsidR="003A1B70">
        <w:t>BD</w:t>
      </w:r>
      <w:r>
        <w:t xml:space="preserve"> group. There were no median decreases in the placebo or </w:t>
      </w:r>
      <w:proofErr w:type="spellStart"/>
      <w:r>
        <w:t>adalimumab</w:t>
      </w:r>
      <w:proofErr w:type="spellEnd"/>
      <w:r>
        <w:t xml:space="preserve"> groups (0 and 0.5 g/</w:t>
      </w:r>
      <w:proofErr w:type="spellStart"/>
      <w:r>
        <w:t>dL</w:t>
      </w:r>
      <w:proofErr w:type="spellEnd"/>
      <w:r>
        <w:t xml:space="preserve">, respectively). The changes in each group were sustained through Month 6. In Cohort 3, the median change </w:t>
      </w:r>
      <w:r w:rsidR="00317963">
        <w:t>from Baseline</w:t>
      </w:r>
      <w:r>
        <w:t xml:space="preserve"> to last visit for</w:t>
      </w:r>
      <w:r w:rsidR="00E80EF1">
        <w:t xml:space="preserve"> all </w:t>
      </w:r>
      <w:proofErr w:type="spellStart"/>
      <w:r w:rsidR="00E80EF1">
        <w:t>tofacitinib</w:t>
      </w:r>
      <w:proofErr w:type="spellEnd"/>
      <w:r w:rsidR="00E80EF1">
        <w:t xml:space="preserve"> doses was </w:t>
      </w:r>
      <w:r w:rsidR="00E80EF1">
        <w:noBreakHyphen/>
        <w:t>0.1 </w:t>
      </w:r>
      <w:r>
        <w:t>g/</w:t>
      </w:r>
      <w:proofErr w:type="spellStart"/>
      <w:r>
        <w:t>dL</w:t>
      </w:r>
      <w:proofErr w:type="spellEnd"/>
      <w:r>
        <w:t xml:space="preserve">. In Cohort 3, 1.4% of patients had confirmed </w:t>
      </w:r>
      <w:proofErr w:type="spellStart"/>
      <w:r>
        <w:t>Hb</w:t>
      </w:r>
      <w:proofErr w:type="spellEnd"/>
      <w:r>
        <w:t xml:space="preserve"> decreases of 3 g/</w:t>
      </w:r>
      <w:proofErr w:type="spellStart"/>
      <w:r>
        <w:t>dL</w:t>
      </w:r>
      <w:proofErr w:type="spellEnd"/>
      <w:r>
        <w:t xml:space="preserve"> or an </w:t>
      </w:r>
      <w:proofErr w:type="spellStart"/>
      <w:r>
        <w:t>Hb</w:t>
      </w:r>
      <w:proofErr w:type="spellEnd"/>
      <w:r>
        <w:t xml:space="preserve"> value &lt; 7 g/</w:t>
      </w:r>
      <w:proofErr w:type="spellStart"/>
      <w:r>
        <w:t>dL</w:t>
      </w:r>
      <w:proofErr w:type="spellEnd"/>
      <w:r>
        <w:t>. AEs of anaemia were reported in 1.7% of patients, none of which were severe. One patient d</w:t>
      </w:r>
      <w:r w:rsidR="00E80EF1">
        <w:t>iscontinued because of anaemia.</w:t>
      </w:r>
    </w:p>
    <w:p w14:paraId="52BBFFA3" w14:textId="77777777" w:rsidR="007A55D9" w:rsidRDefault="007A55D9" w:rsidP="007A55D9">
      <w:r>
        <w:t xml:space="preserve">Dose-dependent reductions in </w:t>
      </w:r>
      <w:r w:rsidR="00E80EF1">
        <w:t>red blood cells (</w:t>
      </w:r>
      <w:r>
        <w:t>RBC</w:t>
      </w:r>
      <w:r w:rsidR="00E80EF1">
        <w:t>)</w:t>
      </w:r>
      <w:r>
        <w:t xml:space="preserve">, </w:t>
      </w:r>
      <w:proofErr w:type="spellStart"/>
      <w:r>
        <w:t>Hb</w:t>
      </w:r>
      <w:proofErr w:type="spellEnd"/>
      <w:r>
        <w:t xml:space="preserve"> and haematocrit have been observed in pre-clinical studies, possibly mediated by inhibition of </w:t>
      </w:r>
      <w:r w:rsidR="00E80EF1" w:rsidRPr="00E80EF1">
        <w:t xml:space="preserve">erythropoietin </w:t>
      </w:r>
      <w:r w:rsidR="00E80EF1">
        <w:t>(</w:t>
      </w:r>
      <w:r>
        <w:t>EPO</w:t>
      </w:r>
      <w:r w:rsidR="00E80EF1">
        <w:t>) activity via inhibition of JAK</w:t>
      </w:r>
      <w:r>
        <w:t xml:space="preserve">2 signalling. The dose-dependent decreases in </w:t>
      </w:r>
      <w:proofErr w:type="spellStart"/>
      <w:r>
        <w:t>Hb</w:t>
      </w:r>
      <w:proofErr w:type="spellEnd"/>
      <w:r>
        <w:t xml:space="preserve"> were comparable to those in the RA and </w:t>
      </w:r>
      <w:proofErr w:type="spellStart"/>
      <w:r>
        <w:t>PsO</w:t>
      </w:r>
      <w:proofErr w:type="spellEnd"/>
      <w:r>
        <w:t xml:space="preserve"> development programs. The changes are generally minor, predictable, and reversible once treatment is stopped.</w:t>
      </w:r>
    </w:p>
    <w:p w14:paraId="114AF8E5" w14:textId="59859FC4" w:rsidR="007A55D9" w:rsidRDefault="007A55D9" w:rsidP="007A55D9">
      <w:r>
        <w:t xml:space="preserve">The mean change </w:t>
      </w:r>
      <w:r w:rsidR="00317963">
        <w:t>from Baseline</w:t>
      </w:r>
      <w:r>
        <w:t xml:space="preserve"> in ANC in Cohort 2 </w:t>
      </w:r>
      <w:r w:rsidR="00E80EF1">
        <w:t>shows that a</w:t>
      </w:r>
      <w:r>
        <w:t xml:space="preserve">t Month 1, there were modest reductions in mean </w:t>
      </w:r>
      <w:r w:rsidR="00E80EF1">
        <w:t>absolute neutrophil count (</w:t>
      </w:r>
      <w:r>
        <w:t>ANC</w:t>
      </w:r>
      <w:r w:rsidR="00E80EF1">
        <w:t>)</w:t>
      </w:r>
      <w:r>
        <w:t xml:space="preserve"> in each treatment group, least in the </w:t>
      </w:r>
      <w:proofErr w:type="spellStart"/>
      <w:r>
        <w:t>tofacitinib</w:t>
      </w:r>
      <w:proofErr w:type="spellEnd"/>
      <w:r>
        <w:t xml:space="preserve"> 5 mg </w:t>
      </w:r>
      <w:r w:rsidR="003A1B70">
        <w:t>BD</w:t>
      </w:r>
      <w:r>
        <w:t xml:space="preserve"> group. No further reductions were observed up to Month 6. ANC below 0.8 x LLN were reported in 3.8%, 5.5% and 4.7% of the </w:t>
      </w:r>
      <w:proofErr w:type="spellStart"/>
      <w:r>
        <w:t>tofacitinib</w:t>
      </w:r>
      <w:proofErr w:type="spellEnd"/>
      <w:r>
        <w:t xml:space="preserve"> 5 mg </w:t>
      </w:r>
      <w:r w:rsidR="003A1B70">
        <w:t>BD</w:t>
      </w:r>
      <w:r>
        <w:t xml:space="preserve">, </w:t>
      </w:r>
      <w:proofErr w:type="spellStart"/>
      <w:r>
        <w:t>tofacitinib</w:t>
      </w:r>
      <w:proofErr w:type="spellEnd"/>
      <w:r>
        <w:t xml:space="preserve"> 10 mg </w:t>
      </w:r>
      <w:r w:rsidR="003A1B70">
        <w:t>BD</w:t>
      </w:r>
      <w:r>
        <w:t xml:space="preserve"> and </w:t>
      </w:r>
      <w:proofErr w:type="spellStart"/>
      <w:r>
        <w:t>adalimumab</w:t>
      </w:r>
      <w:proofErr w:type="spellEnd"/>
      <w:r>
        <w:t xml:space="preserve"> groups, respectively. There was no evidence that low ANC wa</w:t>
      </w:r>
      <w:r w:rsidR="00E80EF1">
        <w:t xml:space="preserve">s related to serious infections. </w:t>
      </w:r>
      <w:r>
        <w:t>There were initial transient rises in lymphocyte counts followed by a modest decline thereafter. There was no association between the rates of serious infectio</w:t>
      </w:r>
      <w:r w:rsidR="00E80EF1">
        <w:t xml:space="preserve">n and absolute lymphocyte count. </w:t>
      </w:r>
      <w:r>
        <w:t>No safety signals related to platelets were observed. There were only three events of</w:t>
      </w:r>
      <w:r w:rsidR="00E80EF1">
        <w:t xml:space="preserve"> </w:t>
      </w:r>
      <w:proofErr w:type="spellStart"/>
      <w:r w:rsidR="00E80EF1">
        <w:t>thrombocytopaenia</w:t>
      </w:r>
      <w:proofErr w:type="spellEnd"/>
      <w:r w:rsidR="00E80EF1">
        <w:t xml:space="preserve"> in Cohort 3.</w:t>
      </w:r>
    </w:p>
    <w:p w14:paraId="043B1328" w14:textId="77777777" w:rsidR="007A55D9" w:rsidRDefault="007A55D9" w:rsidP="00A8332B">
      <w:pPr>
        <w:pStyle w:val="Heading5"/>
      </w:pPr>
      <w:r>
        <w:t>Other laboratory tests</w:t>
      </w:r>
    </w:p>
    <w:p w14:paraId="695A8E37" w14:textId="77777777" w:rsidR="007A55D9" w:rsidRDefault="007A55D9" w:rsidP="007A55D9">
      <w:r>
        <w:t>Not applicable.</w:t>
      </w:r>
    </w:p>
    <w:p w14:paraId="520EC605" w14:textId="77777777" w:rsidR="007A55D9" w:rsidRDefault="007A55D9" w:rsidP="00A8332B">
      <w:pPr>
        <w:pStyle w:val="Heading5"/>
      </w:pPr>
      <w:r>
        <w:t>Electrocardiograph findings and cardiovascular safety</w:t>
      </w:r>
    </w:p>
    <w:p w14:paraId="1BCF9931" w14:textId="77777777" w:rsidR="007A55D9" w:rsidRDefault="007A55D9" w:rsidP="00A8332B">
      <w:pPr>
        <w:pStyle w:val="Heading6"/>
      </w:pPr>
      <w:r>
        <w:t>Integrated safety analyses</w:t>
      </w:r>
    </w:p>
    <w:p w14:paraId="0634AB72" w14:textId="3ABD645B" w:rsidR="007A55D9" w:rsidRDefault="007A55D9" w:rsidP="007A55D9">
      <w:r>
        <w:t xml:space="preserve">No clinically meaningful changes in heart rate were observed in either </w:t>
      </w:r>
      <w:proofErr w:type="spellStart"/>
      <w:r>
        <w:t>tofacitinib</w:t>
      </w:r>
      <w:proofErr w:type="spellEnd"/>
      <w:r>
        <w:t xml:space="preserve"> treatment group. There were no clinically meaningful </w:t>
      </w:r>
      <w:r w:rsidR="0036216D">
        <w:t>electrocardiograph (</w:t>
      </w:r>
      <w:r>
        <w:t>ECG</w:t>
      </w:r>
      <w:r w:rsidR="0036216D">
        <w:t>)</w:t>
      </w:r>
      <w:r>
        <w:t xml:space="preserve"> changes apart from one patient who had an increase</w:t>
      </w:r>
      <w:r w:rsidR="0036216D">
        <w:t xml:space="preserve"> length</w:t>
      </w:r>
      <w:r>
        <w:t xml:space="preserve"> in </w:t>
      </w:r>
      <w:r w:rsidR="00E80EF1">
        <w:t>corrected QT</w:t>
      </w:r>
      <w:r w:rsidR="00FF128A">
        <w:t xml:space="preserve"> </w:t>
      </w:r>
      <w:r w:rsidR="00E80EF1">
        <w:t xml:space="preserve">interval </w:t>
      </w:r>
      <w:r w:rsidR="0036216D">
        <w:t>(</w:t>
      </w:r>
      <w:proofErr w:type="spellStart"/>
      <w:r w:rsidR="0036216D">
        <w:t>QTc</w:t>
      </w:r>
      <w:proofErr w:type="spellEnd"/>
      <w:r w:rsidR="0036216D">
        <w:t xml:space="preserve">) </w:t>
      </w:r>
      <w:r w:rsidR="00E80EF1">
        <w:t>o</w:t>
      </w:r>
      <w:r w:rsidR="0036216D">
        <w:t>n</w:t>
      </w:r>
      <w:r w:rsidR="00E80EF1">
        <w:t xml:space="preserve"> ECG (</w:t>
      </w:r>
      <w:proofErr w:type="spellStart"/>
      <w:r>
        <w:t>QTc</w:t>
      </w:r>
      <w:proofErr w:type="spellEnd"/>
      <w:r w:rsidR="00E80EF1">
        <w:t>)</w:t>
      </w:r>
      <w:r w:rsidR="0036216D">
        <w:t>,</w:t>
      </w:r>
      <w:r>
        <w:t xml:space="preserve"> considered unrelated to study drug.</w:t>
      </w:r>
    </w:p>
    <w:p w14:paraId="2DA1E232" w14:textId="77777777" w:rsidR="007A55D9" w:rsidRDefault="007A55D9" w:rsidP="00A8332B">
      <w:pPr>
        <w:pStyle w:val="Heading5"/>
      </w:pPr>
      <w:r>
        <w:lastRenderedPageBreak/>
        <w:t>Vital signs and clinical examination findings</w:t>
      </w:r>
    </w:p>
    <w:p w14:paraId="366F7154" w14:textId="77777777" w:rsidR="007A55D9" w:rsidRDefault="007A55D9" w:rsidP="00A8332B">
      <w:pPr>
        <w:pStyle w:val="Heading6"/>
      </w:pPr>
      <w:r>
        <w:t>Integrated safety analyses</w:t>
      </w:r>
    </w:p>
    <w:p w14:paraId="6C5B8332" w14:textId="77777777" w:rsidR="007A55D9" w:rsidRDefault="007A55D9" w:rsidP="007A55D9">
      <w:r>
        <w:t>No issues related to vital signs were identified.</w:t>
      </w:r>
    </w:p>
    <w:p w14:paraId="0DC513A5" w14:textId="77777777" w:rsidR="007A55D9" w:rsidRDefault="007A55D9" w:rsidP="00A8332B">
      <w:pPr>
        <w:pStyle w:val="Heading5"/>
      </w:pPr>
      <w:r>
        <w:t>Immunogenicity and immunological events</w:t>
      </w:r>
    </w:p>
    <w:p w14:paraId="5C8F6BCB" w14:textId="77777777" w:rsidR="007A55D9" w:rsidRDefault="007A55D9" w:rsidP="00A8332B">
      <w:pPr>
        <w:pStyle w:val="Heading6"/>
      </w:pPr>
      <w:r>
        <w:t>Integrated safety analyses</w:t>
      </w:r>
    </w:p>
    <w:p w14:paraId="05273632" w14:textId="77777777" w:rsidR="007A55D9" w:rsidRDefault="00A8332B" w:rsidP="007A55D9">
      <w:r>
        <w:t>Not applicable.</w:t>
      </w:r>
    </w:p>
    <w:p w14:paraId="4C56E1C6" w14:textId="77777777" w:rsidR="00A8332B" w:rsidRDefault="007A55D9" w:rsidP="00A8332B">
      <w:pPr>
        <w:pStyle w:val="Heading5"/>
      </w:pPr>
      <w:r>
        <w:t>Serious skin reactions</w:t>
      </w:r>
    </w:p>
    <w:p w14:paraId="3C2038F4" w14:textId="77777777" w:rsidR="007A55D9" w:rsidRDefault="007A55D9" w:rsidP="00A8332B">
      <w:pPr>
        <w:pStyle w:val="Heading6"/>
      </w:pPr>
      <w:r>
        <w:t>Integrated safety analyses</w:t>
      </w:r>
    </w:p>
    <w:p w14:paraId="3B35C22E" w14:textId="77777777" w:rsidR="007A55D9" w:rsidRDefault="007A55D9" w:rsidP="007A55D9">
      <w:r>
        <w:t xml:space="preserve">No serious skin reactions were reported in the </w:t>
      </w:r>
      <w:proofErr w:type="spellStart"/>
      <w:r>
        <w:t>PsA</w:t>
      </w:r>
      <w:proofErr w:type="spellEnd"/>
      <w:r>
        <w:t xml:space="preserve"> program.</w:t>
      </w:r>
    </w:p>
    <w:p w14:paraId="18673AE0" w14:textId="77777777" w:rsidR="007A55D9" w:rsidRDefault="007A55D9" w:rsidP="00A8332B">
      <w:pPr>
        <w:pStyle w:val="Heading5"/>
      </w:pPr>
      <w:r>
        <w:t>AEs of special interest</w:t>
      </w:r>
    </w:p>
    <w:p w14:paraId="4B4A66E3" w14:textId="77777777" w:rsidR="007A55D9" w:rsidRDefault="007A55D9" w:rsidP="00A8332B">
      <w:r>
        <w:t xml:space="preserve">AEs of special interest were defined based on pre-clinical data, the development programs for other indications (RA, </w:t>
      </w:r>
      <w:proofErr w:type="spellStart"/>
      <w:r>
        <w:t>PsO</w:t>
      </w:r>
      <w:proofErr w:type="spellEnd"/>
      <w:r>
        <w:t xml:space="preserve"> and renal transplantation), the mechanism of action of </w:t>
      </w:r>
      <w:proofErr w:type="spellStart"/>
      <w:r>
        <w:t>tofacitinib</w:t>
      </w:r>
      <w:proofErr w:type="spellEnd"/>
      <w:r>
        <w:t xml:space="preserve">, and the known risks in the </w:t>
      </w:r>
      <w:proofErr w:type="spellStart"/>
      <w:r>
        <w:t>PsA</w:t>
      </w:r>
      <w:proofErr w:type="spellEnd"/>
      <w:r>
        <w:t xml:space="preserve"> population. These were:</w:t>
      </w:r>
    </w:p>
    <w:p w14:paraId="0059DF32" w14:textId="440CA249" w:rsidR="007A55D9" w:rsidRDefault="007A55D9" w:rsidP="00E80EF1">
      <w:pPr>
        <w:pStyle w:val="ListBullet"/>
      </w:pPr>
      <w:r>
        <w:t>Serious infections (SI)</w:t>
      </w:r>
      <w:r w:rsidR="00A8332B">
        <w:t>.</w:t>
      </w:r>
    </w:p>
    <w:p w14:paraId="12D434A5" w14:textId="77777777" w:rsidR="007A55D9" w:rsidRDefault="007A55D9" w:rsidP="00E80EF1">
      <w:pPr>
        <w:pStyle w:val="ListBullet"/>
      </w:pPr>
      <w:r>
        <w:t>Herpes zoster (HZ)</w:t>
      </w:r>
      <w:r w:rsidR="00A8332B">
        <w:t>.</w:t>
      </w:r>
    </w:p>
    <w:p w14:paraId="71F44940" w14:textId="6725D81A" w:rsidR="007A55D9" w:rsidRDefault="007A55D9" w:rsidP="00E80EF1">
      <w:pPr>
        <w:pStyle w:val="ListBullet"/>
      </w:pPr>
      <w:r>
        <w:t xml:space="preserve">Adjudicated opportunistic infections (excluding </w:t>
      </w:r>
      <w:r w:rsidR="0036216D">
        <w:t>tuberculosis (</w:t>
      </w:r>
      <w:r>
        <w:t>TB)</w:t>
      </w:r>
      <w:r w:rsidR="0036216D">
        <w:t>)</w:t>
      </w:r>
      <w:r w:rsidR="00A8332B">
        <w:t>.</w:t>
      </w:r>
    </w:p>
    <w:p w14:paraId="43AB0402" w14:textId="77777777" w:rsidR="007A55D9" w:rsidRDefault="007A55D9" w:rsidP="00E80EF1">
      <w:pPr>
        <w:pStyle w:val="ListBullet"/>
      </w:pPr>
      <w:r>
        <w:t>Haematological events</w:t>
      </w:r>
      <w:r w:rsidR="00A8332B">
        <w:t>.</w:t>
      </w:r>
    </w:p>
    <w:p w14:paraId="12C59207" w14:textId="77777777" w:rsidR="007A55D9" w:rsidRDefault="007A55D9" w:rsidP="00E80EF1">
      <w:pPr>
        <w:pStyle w:val="ListBullet"/>
      </w:pPr>
      <w:r>
        <w:t>Adjudicated malignancies</w:t>
      </w:r>
      <w:r w:rsidR="00A8332B">
        <w:t>.</w:t>
      </w:r>
    </w:p>
    <w:p w14:paraId="407FCD17" w14:textId="77777777" w:rsidR="007A55D9" w:rsidRDefault="007A55D9" w:rsidP="00E80EF1">
      <w:pPr>
        <w:pStyle w:val="ListBullet"/>
      </w:pPr>
      <w:r>
        <w:t>Adjudicated major adverse cardiovascular events (MACE)</w:t>
      </w:r>
      <w:r w:rsidR="00A8332B">
        <w:t>.</w:t>
      </w:r>
    </w:p>
    <w:p w14:paraId="01EBCE31" w14:textId="77777777" w:rsidR="007A55D9" w:rsidRDefault="007A55D9" w:rsidP="00E80EF1">
      <w:pPr>
        <w:pStyle w:val="ListBullet"/>
      </w:pPr>
      <w:r>
        <w:t>Adjudicated DILI and other hepatic events</w:t>
      </w:r>
      <w:r w:rsidR="00A8332B">
        <w:t>.</w:t>
      </w:r>
    </w:p>
    <w:p w14:paraId="4E51D151" w14:textId="77777777" w:rsidR="007A55D9" w:rsidRDefault="007A55D9" w:rsidP="00E80EF1">
      <w:pPr>
        <w:pStyle w:val="ListBullet"/>
      </w:pPr>
      <w:r>
        <w:t>Renal events</w:t>
      </w:r>
      <w:r w:rsidR="00A8332B">
        <w:t>.</w:t>
      </w:r>
    </w:p>
    <w:p w14:paraId="33D7EE04" w14:textId="07391DB2" w:rsidR="007A55D9" w:rsidRDefault="007A55D9" w:rsidP="00E80EF1">
      <w:pPr>
        <w:pStyle w:val="ListBullet"/>
      </w:pPr>
      <w:r>
        <w:t xml:space="preserve">Adjudicated </w:t>
      </w:r>
      <w:r w:rsidR="0036216D">
        <w:t>gastrointestinal (</w:t>
      </w:r>
      <w:r>
        <w:t>GI</w:t>
      </w:r>
      <w:r w:rsidR="0036216D">
        <w:t>)</w:t>
      </w:r>
      <w:r>
        <w:t xml:space="preserve"> perforations</w:t>
      </w:r>
      <w:r w:rsidR="00A8332B">
        <w:t>.</w:t>
      </w:r>
    </w:p>
    <w:p w14:paraId="7DD2D4E9" w14:textId="77777777" w:rsidR="007A55D9" w:rsidRDefault="007A55D9" w:rsidP="00E80EF1">
      <w:pPr>
        <w:pStyle w:val="ListBullet"/>
      </w:pPr>
      <w:r>
        <w:t>Adjudicated interstitial lung disease (ILD)</w:t>
      </w:r>
      <w:r w:rsidR="00A8332B">
        <w:t>.</w:t>
      </w:r>
    </w:p>
    <w:p w14:paraId="1C3ED719" w14:textId="77777777" w:rsidR="007A55D9" w:rsidRDefault="007A55D9" w:rsidP="007A55D9">
      <w:r>
        <w:t>AEs relating to haematological, hepatic and renal events are desc</w:t>
      </w:r>
      <w:r w:rsidR="00E80EF1">
        <w:t>ribed in the relevant sections.</w:t>
      </w:r>
    </w:p>
    <w:p w14:paraId="31CE95A7" w14:textId="77777777" w:rsidR="00A8332B" w:rsidRDefault="00A8332B" w:rsidP="00A8332B">
      <w:pPr>
        <w:pStyle w:val="Heading6"/>
      </w:pPr>
      <w:r>
        <w:t>Serious infections (SI)</w:t>
      </w:r>
    </w:p>
    <w:p w14:paraId="5D4FEAA7" w14:textId="77777777" w:rsidR="007A55D9" w:rsidRDefault="007A55D9" w:rsidP="007A55D9">
      <w:r>
        <w:t xml:space="preserve">In Cohort 1, there were two SIs, both in the </w:t>
      </w:r>
      <w:proofErr w:type="spellStart"/>
      <w:r>
        <w:t>tofacitinib</w:t>
      </w:r>
      <w:proofErr w:type="spellEnd"/>
      <w:r>
        <w:t xml:space="preserve"> 10 mg </w:t>
      </w:r>
      <w:r w:rsidR="003A1B70">
        <w:t>BD</w:t>
      </w:r>
      <w:r>
        <w:t xml:space="preserve"> group. There were no events in the </w:t>
      </w:r>
      <w:proofErr w:type="spellStart"/>
      <w:r>
        <w:t>tofacitinib</w:t>
      </w:r>
      <w:proofErr w:type="spellEnd"/>
      <w:r>
        <w:t xml:space="preserve"> 5 mg </w:t>
      </w:r>
      <w:r w:rsidR="003A1B70">
        <w:t>BD</w:t>
      </w:r>
      <w:r>
        <w:t xml:space="preserve"> or </w:t>
      </w:r>
      <w:proofErr w:type="spellStart"/>
      <w:r>
        <w:t>adalimumab</w:t>
      </w:r>
      <w:proofErr w:type="spellEnd"/>
      <w:r>
        <w:t xml:space="preserve"> groups. In the Cohort 2a pooled analysis, there were four cases (1.2%) in the </w:t>
      </w:r>
      <w:proofErr w:type="spellStart"/>
      <w:r>
        <w:t>tofacitinib</w:t>
      </w:r>
      <w:proofErr w:type="spellEnd"/>
      <w:r>
        <w:t xml:space="preserve"> 5 mg </w:t>
      </w:r>
      <w:r w:rsidR="003A1B70">
        <w:t>BD</w:t>
      </w:r>
      <w:r>
        <w:t xml:space="preserve"> group, and three cases (0.9%) in the </w:t>
      </w:r>
      <w:proofErr w:type="spellStart"/>
      <w:r>
        <w:t>tofacitinib</w:t>
      </w:r>
      <w:proofErr w:type="spellEnd"/>
      <w:r>
        <w:t xml:space="preserve"> 10 mg </w:t>
      </w:r>
      <w:r w:rsidR="003A1B70">
        <w:t>BD</w:t>
      </w:r>
      <w:r>
        <w:t xml:space="preserve"> group. The incidence </w:t>
      </w:r>
      <w:r w:rsidR="00E80EF1">
        <w:t xml:space="preserve">of SIs in Cohort 3 </w:t>
      </w:r>
      <w:r>
        <w:t xml:space="preserve">for all doses of </w:t>
      </w:r>
      <w:proofErr w:type="spellStart"/>
      <w:r>
        <w:t>tofacitinib</w:t>
      </w:r>
      <w:proofErr w:type="spellEnd"/>
      <w:r>
        <w:t xml:space="preserve"> was 2.3% with an incidence rate of 1.43</w:t>
      </w:r>
      <w:r w:rsidR="00E80EF1">
        <w:t xml:space="preserve"> out of </w:t>
      </w:r>
      <w:r>
        <w:t>100 PY, comparable to the r</w:t>
      </w:r>
      <w:r w:rsidR="00E80EF1">
        <w:t xml:space="preserve">ates in the RA and </w:t>
      </w:r>
      <w:proofErr w:type="spellStart"/>
      <w:r w:rsidR="00E80EF1">
        <w:t>PsO</w:t>
      </w:r>
      <w:proofErr w:type="spellEnd"/>
      <w:r w:rsidR="00E80EF1">
        <w:t xml:space="preserve"> programs. </w:t>
      </w:r>
      <w:r>
        <w:t>A total of 18 SIs were reported, most commonly pneumonia.</w:t>
      </w:r>
    </w:p>
    <w:p w14:paraId="5DE9F157" w14:textId="77777777" w:rsidR="007A55D9" w:rsidRDefault="007A55D9" w:rsidP="007A55D9">
      <w:r>
        <w:t xml:space="preserve">Overall, the incidence of SIs was low and no deaths were reported. A Medline and EMBASE search provided by the sponsor showed that the incidence of SIs was comparable to those reported for numerous </w:t>
      </w:r>
      <w:proofErr w:type="spellStart"/>
      <w:r>
        <w:t>PsA</w:t>
      </w:r>
      <w:proofErr w:type="spellEnd"/>
      <w:r>
        <w:t xml:space="preserve"> studies with other agents, including TNFIs.</w:t>
      </w:r>
    </w:p>
    <w:p w14:paraId="72DC8D4A" w14:textId="77777777" w:rsidR="003E3C30" w:rsidRPr="00BB1CE2" w:rsidRDefault="003E3C30" w:rsidP="003E3C30">
      <w:pPr>
        <w:pStyle w:val="Heading6"/>
      </w:pPr>
      <w:r w:rsidRPr="00BB1CE2">
        <w:t>Herpes zoster (HZ)</w:t>
      </w:r>
    </w:p>
    <w:p w14:paraId="1225454C" w14:textId="77777777" w:rsidR="007A55D9" w:rsidRPr="00BB1CE2" w:rsidRDefault="007A55D9" w:rsidP="007A55D9">
      <w:r w:rsidRPr="00BB1CE2">
        <w:t xml:space="preserve">In Cohort 1, there were two HZ events in the </w:t>
      </w:r>
      <w:proofErr w:type="spellStart"/>
      <w:r w:rsidRPr="00BB1CE2">
        <w:t>tofacitinib</w:t>
      </w:r>
      <w:proofErr w:type="spellEnd"/>
      <w:r w:rsidRPr="00BB1CE2">
        <w:t xml:space="preserve"> 5 mg </w:t>
      </w:r>
      <w:r w:rsidR="003A1B70">
        <w:t>BD</w:t>
      </w:r>
      <w:r w:rsidRPr="00BB1CE2">
        <w:t xml:space="preserve"> group, and one event in the </w:t>
      </w:r>
      <w:proofErr w:type="spellStart"/>
      <w:r w:rsidRPr="00BB1CE2">
        <w:t>tofacitinib</w:t>
      </w:r>
      <w:proofErr w:type="spellEnd"/>
      <w:r w:rsidRPr="00BB1CE2">
        <w:t xml:space="preserve"> 10 mg </w:t>
      </w:r>
      <w:r w:rsidR="003A1B70">
        <w:t>BD</w:t>
      </w:r>
      <w:r w:rsidRPr="00BB1CE2">
        <w:t xml:space="preserve"> group. One e</w:t>
      </w:r>
      <w:r w:rsidR="00BB1CE2">
        <w:t>vent (facial) was reported as a</w:t>
      </w:r>
      <w:r w:rsidRPr="00BB1CE2">
        <w:t xml:space="preserve"> </w:t>
      </w:r>
      <w:r w:rsidR="00E80EF1" w:rsidRPr="00BB1CE2">
        <w:t>serious adverse event (</w:t>
      </w:r>
      <w:r w:rsidRPr="00BB1CE2">
        <w:t>SAE</w:t>
      </w:r>
      <w:r w:rsidR="00E80EF1" w:rsidRPr="00BB1CE2">
        <w:t>)</w:t>
      </w:r>
      <w:r w:rsidRPr="00BB1CE2">
        <w:t xml:space="preserve">. No events were reported in the placebo or </w:t>
      </w:r>
      <w:proofErr w:type="spellStart"/>
      <w:r w:rsidRPr="00BB1CE2">
        <w:t>adalimumab</w:t>
      </w:r>
      <w:proofErr w:type="spellEnd"/>
      <w:r w:rsidRPr="00BB1CE2">
        <w:t xml:space="preserve"> groups. In the Cohort 2a pooled analysis, there were seven events, three (1.3%) in the </w:t>
      </w:r>
      <w:proofErr w:type="spellStart"/>
      <w:r w:rsidRPr="00BB1CE2">
        <w:t>tofacitinib</w:t>
      </w:r>
      <w:proofErr w:type="spellEnd"/>
      <w:r w:rsidRPr="00BB1CE2">
        <w:t xml:space="preserve"> 5 mg </w:t>
      </w:r>
      <w:r w:rsidR="003A1B70">
        <w:t>BD</w:t>
      </w:r>
      <w:r w:rsidRPr="00BB1CE2">
        <w:t xml:space="preserve"> group and four (1.7%) in the </w:t>
      </w:r>
      <w:proofErr w:type="spellStart"/>
      <w:r w:rsidRPr="00BB1CE2">
        <w:t>tofacitinib</w:t>
      </w:r>
      <w:proofErr w:type="spellEnd"/>
      <w:r w:rsidRPr="00BB1CE2">
        <w:t xml:space="preserve"> 10 mg </w:t>
      </w:r>
      <w:r w:rsidR="003A1B70">
        <w:t>BD</w:t>
      </w:r>
      <w:r w:rsidRPr="00BB1CE2">
        <w:t xml:space="preserve"> group. A total of 26 HZ events were reported</w:t>
      </w:r>
      <w:r w:rsidR="00BB1CE2">
        <w:t xml:space="preserve"> </w:t>
      </w:r>
      <w:r w:rsidR="00BB1CE2">
        <w:lastRenderedPageBreak/>
        <w:t>in Cohort 3</w:t>
      </w:r>
      <w:r w:rsidRPr="00BB1CE2">
        <w:t xml:space="preserve">. The incidence for all doses of </w:t>
      </w:r>
      <w:proofErr w:type="spellStart"/>
      <w:r w:rsidRPr="00BB1CE2">
        <w:t>tofacitinib</w:t>
      </w:r>
      <w:proofErr w:type="spellEnd"/>
      <w:r w:rsidRPr="00BB1CE2">
        <w:t xml:space="preserve"> was 3.3%</w:t>
      </w:r>
      <w:r w:rsidR="00BB1CE2">
        <w:t xml:space="preserve"> with an incidence rate of 2.10 out of </w:t>
      </w:r>
      <w:r w:rsidRPr="00BB1CE2">
        <w:t xml:space="preserve">100 PY, comparable to the rates in the RA and </w:t>
      </w:r>
      <w:proofErr w:type="spellStart"/>
      <w:r w:rsidRPr="00BB1CE2">
        <w:t>PsO</w:t>
      </w:r>
      <w:proofErr w:type="spellEnd"/>
      <w:r w:rsidRPr="00BB1CE2">
        <w:t xml:space="preserve"> programs</w:t>
      </w:r>
      <w:r w:rsidR="00BB1CE2">
        <w:t>.</w:t>
      </w:r>
    </w:p>
    <w:p w14:paraId="3AE0405D" w14:textId="77777777" w:rsidR="007A55D9" w:rsidRPr="00BB1CE2" w:rsidRDefault="007A55D9" w:rsidP="007A55D9">
      <w:r w:rsidRPr="00BB1CE2">
        <w:t xml:space="preserve">HZ occurs with increased frequency in patients treated with immunomodulatory agents. Events were reported in 3.3% of </w:t>
      </w:r>
      <w:proofErr w:type="spellStart"/>
      <w:r w:rsidRPr="00BB1CE2">
        <w:t>PsA</w:t>
      </w:r>
      <w:proofErr w:type="spellEnd"/>
      <w:r w:rsidRPr="00BB1CE2">
        <w:t xml:space="preserve"> patients given any dose of </w:t>
      </w:r>
      <w:proofErr w:type="spellStart"/>
      <w:r w:rsidRPr="00BB1CE2">
        <w:t>tofacitinib</w:t>
      </w:r>
      <w:proofErr w:type="spellEnd"/>
      <w:r w:rsidRPr="00BB1CE2">
        <w:t xml:space="preserve">, comparable to rates observed in the RA and </w:t>
      </w:r>
      <w:proofErr w:type="spellStart"/>
      <w:r w:rsidRPr="00BB1CE2">
        <w:t>PsO</w:t>
      </w:r>
      <w:proofErr w:type="spellEnd"/>
      <w:r w:rsidRPr="00BB1CE2">
        <w:t xml:space="preserve"> populations. A literature search conducted by the sponsor yielded no satisfactory comparative data in </w:t>
      </w:r>
      <w:proofErr w:type="spellStart"/>
      <w:r w:rsidRPr="00BB1CE2">
        <w:t>PsA</w:t>
      </w:r>
      <w:proofErr w:type="spellEnd"/>
      <w:r w:rsidRPr="00BB1CE2">
        <w:t xml:space="preserve"> pati</w:t>
      </w:r>
      <w:r w:rsidR="003E29C1" w:rsidRPr="00BB1CE2">
        <w:t>ents treated with other agents.</w:t>
      </w:r>
    </w:p>
    <w:p w14:paraId="4811FBC3" w14:textId="77777777" w:rsidR="003E3C30" w:rsidRPr="00BB1CE2" w:rsidRDefault="003E3C30" w:rsidP="003E3C30">
      <w:pPr>
        <w:pStyle w:val="Heading6"/>
      </w:pPr>
      <w:r w:rsidRPr="00BB1CE2">
        <w:t>Opportunistic infections (OI)</w:t>
      </w:r>
    </w:p>
    <w:p w14:paraId="74F448B8" w14:textId="77777777" w:rsidR="007A55D9" w:rsidRPr="00BB1CE2" w:rsidRDefault="007A55D9" w:rsidP="007A55D9">
      <w:r w:rsidRPr="00BB1CE2">
        <w:t xml:space="preserve">The incidence rate of OIs was low with three events reported in Cohort 3. Each event was HZ, classified as OIs by the adjudicating committee. The incidence for all doses of </w:t>
      </w:r>
      <w:proofErr w:type="spellStart"/>
      <w:r w:rsidRPr="00BB1CE2">
        <w:t>tofacitinib</w:t>
      </w:r>
      <w:proofErr w:type="spellEnd"/>
      <w:r w:rsidRPr="00BB1CE2">
        <w:t xml:space="preserve"> was 0.4%</w:t>
      </w:r>
      <w:r w:rsidR="00BB1CE2">
        <w:t xml:space="preserve"> with an incidence rate of 0.24 out of </w:t>
      </w:r>
      <w:r w:rsidRPr="00BB1CE2">
        <w:t xml:space="preserve">100 PY, comparable to the rates in the RA and </w:t>
      </w:r>
      <w:proofErr w:type="spellStart"/>
      <w:r w:rsidRPr="00BB1CE2">
        <w:t>PsO</w:t>
      </w:r>
      <w:proofErr w:type="spellEnd"/>
      <w:r w:rsidRPr="00BB1CE2">
        <w:t xml:space="preserve"> programs. No cases of act</w:t>
      </w:r>
      <w:r w:rsidR="00BB1CE2">
        <w:t>ive TB infection were reported.</w:t>
      </w:r>
    </w:p>
    <w:p w14:paraId="5A96B5BA" w14:textId="77777777" w:rsidR="007A55D9" w:rsidRDefault="007A55D9" w:rsidP="007A55D9">
      <w:r w:rsidRPr="00BB1CE2">
        <w:t>OIs are defined as infections with bacterial, viral, fungal or protozoan organisms which do not normally cause disease in healthy subjects. No events other than HZ were reported. A literature search yielded no comparative data.</w:t>
      </w:r>
    </w:p>
    <w:p w14:paraId="62C67636" w14:textId="77777777" w:rsidR="003E3C30" w:rsidRDefault="003E3C30" w:rsidP="003E3C30">
      <w:pPr>
        <w:pStyle w:val="Heading6"/>
      </w:pPr>
      <w:r>
        <w:t>Malignancies</w:t>
      </w:r>
    </w:p>
    <w:p w14:paraId="72B1E70E" w14:textId="77777777" w:rsidR="007A55D9" w:rsidRDefault="007A55D9" w:rsidP="007A55D9">
      <w:r>
        <w:t xml:space="preserve">The incidence rate of malignancies was low with nine events reported in Cohort 3. The incidence for all doses of </w:t>
      </w:r>
      <w:proofErr w:type="spellStart"/>
      <w:r>
        <w:t>tofacitinib</w:t>
      </w:r>
      <w:proofErr w:type="spellEnd"/>
      <w:r>
        <w:t xml:space="preserve"> was 1.1%</w:t>
      </w:r>
      <w:r w:rsidR="009C5CD8">
        <w:t xml:space="preserve"> with an incidence rate of 0.72 out of </w:t>
      </w:r>
      <w:r>
        <w:t xml:space="preserve">100 PY, comparable to the rates in the RA and </w:t>
      </w:r>
      <w:proofErr w:type="spellStart"/>
      <w:r>
        <w:t>PsO</w:t>
      </w:r>
      <w:proofErr w:type="spellEnd"/>
      <w:r>
        <w:t xml:space="preserve"> programs. The most commonly reported malignancies were bladder (2) and thyroid (2).</w:t>
      </w:r>
    </w:p>
    <w:p w14:paraId="2DFA0471" w14:textId="77777777" w:rsidR="007A55D9" w:rsidRDefault="007A55D9" w:rsidP="007A55D9">
      <w:proofErr w:type="spellStart"/>
      <w:r>
        <w:t>Rheumatological</w:t>
      </w:r>
      <w:proofErr w:type="spellEnd"/>
      <w:r>
        <w:t xml:space="preserve"> diseases are associated with an increased risk of malignancies, including haematological malignancies and lung cancers. There is no consensus on the possible risks associated with MTX and TNFIs. No new safety signals were identified in the </w:t>
      </w:r>
      <w:proofErr w:type="spellStart"/>
      <w:r>
        <w:t>PsA</w:t>
      </w:r>
      <w:proofErr w:type="spellEnd"/>
      <w:r>
        <w:t xml:space="preserve"> program.</w:t>
      </w:r>
    </w:p>
    <w:p w14:paraId="6B891C5E" w14:textId="77777777" w:rsidR="003E3C30" w:rsidRDefault="007A55D9" w:rsidP="003E3C30">
      <w:pPr>
        <w:pStyle w:val="Heading6"/>
      </w:pPr>
      <w:r>
        <w:t>Major advers</w:t>
      </w:r>
      <w:r w:rsidR="003E3C30">
        <w:t>e cardiovascular events (MACE)</w:t>
      </w:r>
    </w:p>
    <w:p w14:paraId="061240A2" w14:textId="77777777" w:rsidR="007A55D9" w:rsidRDefault="007A55D9" w:rsidP="007A55D9">
      <w:r>
        <w:t xml:space="preserve">The incidence rate of adjudicated MACE was low with three events reported in Cohort 3 during the 28 day risk period. The incidence for all doses of </w:t>
      </w:r>
      <w:proofErr w:type="spellStart"/>
      <w:r>
        <w:t>tofacitinib</w:t>
      </w:r>
      <w:proofErr w:type="spellEnd"/>
      <w:r>
        <w:t xml:space="preserve"> was 0.4%</w:t>
      </w:r>
      <w:r w:rsidR="009C5CD8">
        <w:t xml:space="preserve"> with an incidence rate of 0.24 out of </w:t>
      </w:r>
      <w:r>
        <w:t xml:space="preserve">100 PY, comparable to the rates in the RA and </w:t>
      </w:r>
      <w:proofErr w:type="spellStart"/>
      <w:r>
        <w:t>PsO</w:t>
      </w:r>
      <w:proofErr w:type="spellEnd"/>
      <w:r>
        <w:t xml:space="preserve"> programs. The three events were sudden cardiac death, ischaemic st</w:t>
      </w:r>
      <w:r w:rsidR="009C5CD8">
        <w:t>roke and myocardial infarction.</w:t>
      </w:r>
    </w:p>
    <w:p w14:paraId="05462B58" w14:textId="77777777" w:rsidR="007A55D9" w:rsidRDefault="007A55D9" w:rsidP="007A55D9">
      <w:r>
        <w:t xml:space="preserve">The incidence of MACE was low and consistent with the other </w:t>
      </w:r>
      <w:proofErr w:type="spellStart"/>
      <w:r>
        <w:t>tofacitinib</w:t>
      </w:r>
      <w:proofErr w:type="spellEnd"/>
      <w:r>
        <w:t xml:space="preserve"> programs and with the </w:t>
      </w:r>
      <w:proofErr w:type="spellStart"/>
      <w:r>
        <w:t>PsA</w:t>
      </w:r>
      <w:proofErr w:type="spellEnd"/>
      <w:r>
        <w:t xml:space="preserve"> published literature.</w:t>
      </w:r>
    </w:p>
    <w:p w14:paraId="6FF9940D" w14:textId="77777777" w:rsidR="003E3C30" w:rsidRDefault="003E3C30" w:rsidP="003E3C30">
      <w:pPr>
        <w:pStyle w:val="Heading6"/>
      </w:pPr>
      <w:r>
        <w:t>GI perforations</w:t>
      </w:r>
    </w:p>
    <w:p w14:paraId="54B1A2B2" w14:textId="77777777" w:rsidR="007A55D9" w:rsidRDefault="007A55D9" w:rsidP="007A55D9">
      <w:r>
        <w:t xml:space="preserve">A single event of adjudicated GI perforation was reported in a patient who had received </w:t>
      </w:r>
      <w:proofErr w:type="spellStart"/>
      <w:r>
        <w:t>tofacitinib</w:t>
      </w:r>
      <w:proofErr w:type="spellEnd"/>
      <w:r>
        <w:t xml:space="preserve"> 5 mg </w:t>
      </w:r>
      <w:r w:rsidR="003A1B70">
        <w:t>BD</w:t>
      </w:r>
      <w:r>
        <w:t xml:space="preserve"> for 18 days. The event was peritonitis due to a ruptured appendix.</w:t>
      </w:r>
    </w:p>
    <w:p w14:paraId="3DBB56C3" w14:textId="77777777" w:rsidR="009C5CD8" w:rsidRDefault="007A55D9" w:rsidP="009C5CD8">
      <w:pPr>
        <w:pStyle w:val="Heading6"/>
      </w:pPr>
      <w:r>
        <w:t>I</w:t>
      </w:r>
      <w:r w:rsidR="009C5CD8">
        <w:t>nterstitial lung disease (ILD)</w:t>
      </w:r>
    </w:p>
    <w:p w14:paraId="56FC5759" w14:textId="77777777" w:rsidR="007A55D9" w:rsidRDefault="007A55D9" w:rsidP="007A55D9">
      <w:r>
        <w:t xml:space="preserve">No cases of ILD were reported in the </w:t>
      </w:r>
      <w:proofErr w:type="spellStart"/>
      <w:r>
        <w:t>PsA</w:t>
      </w:r>
      <w:proofErr w:type="spellEnd"/>
      <w:r>
        <w:t xml:space="preserve"> program.</w:t>
      </w:r>
    </w:p>
    <w:p w14:paraId="29AFC960" w14:textId="77777777" w:rsidR="007A55D9" w:rsidRDefault="007A55D9" w:rsidP="003E3C30">
      <w:pPr>
        <w:pStyle w:val="Heading4"/>
      </w:pPr>
      <w:r>
        <w:t>Other safety issues</w:t>
      </w:r>
    </w:p>
    <w:p w14:paraId="57CD2BC2" w14:textId="77777777" w:rsidR="007A55D9" w:rsidRDefault="007A55D9" w:rsidP="003E3C30">
      <w:pPr>
        <w:pStyle w:val="Heading5"/>
      </w:pPr>
      <w:r>
        <w:t>Safety in special populations</w:t>
      </w:r>
    </w:p>
    <w:p w14:paraId="7514A10B" w14:textId="77777777" w:rsidR="003E3C30" w:rsidRDefault="003E3C30" w:rsidP="003E3C30">
      <w:pPr>
        <w:pStyle w:val="Heading6"/>
      </w:pPr>
      <w:r>
        <w:t>Age</w:t>
      </w:r>
    </w:p>
    <w:p w14:paraId="33730E98" w14:textId="77777777" w:rsidR="007A55D9" w:rsidRDefault="007A55D9" w:rsidP="007A55D9">
      <w:r>
        <w:t>Compared with younger patients, patients aged ≥</w:t>
      </w:r>
      <w:r w:rsidR="009C5CD8">
        <w:t xml:space="preserve"> </w:t>
      </w:r>
      <w:r>
        <w:t>65 years had a higher percentage of AEs, SAEs, severe AEs and</w:t>
      </w:r>
      <w:r w:rsidR="009C5CD8">
        <w:t xml:space="preserve"> AEs leading to discontinuation. </w:t>
      </w:r>
      <w:r>
        <w:t xml:space="preserve">In patients receiving </w:t>
      </w:r>
      <w:proofErr w:type="spellStart"/>
      <w:r>
        <w:t>tofacitinib</w:t>
      </w:r>
      <w:proofErr w:type="spellEnd"/>
      <w:r>
        <w:t>, serious infections, herpes zoster, and CV events (MACE) were reported notably more commonly in older patients compared with younger patients.</w:t>
      </w:r>
    </w:p>
    <w:p w14:paraId="6003B0C3" w14:textId="77777777" w:rsidR="003E3C30" w:rsidRDefault="003E3C30" w:rsidP="003E3C30">
      <w:pPr>
        <w:pStyle w:val="Heading6"/>
      </w:pPr>
      <w:r>
        <w:lastRenderedPageBreak/>
        <w:t>Gender</w:t>
      </w:r>
    </w:p>
    <w:p w14:paraId="08A116FD" w14:textId="77777777" w:rsidR="007A55D9" w:rsidRDefault="007A55D9" w:rsidP="007A55D9">
      <w:r>
        <w:t>AEs, SAEs, severe AEs and AEs leading to discontinuation were marginally more common in females compared with males but the differences were not clinically meaningful.</w:t>
      </w:r>
    </w:p>
    <w:p w14:paraId="26FB9BD6" w14:textId="77777777" w:rsidR="003E3C30" w:rsidRDefault="003E3C30" w:rsidP="003E3C30">
      <w:pPr>
        <w:pStyle w:val="Heading6"/>
      </w:pPr>
      <w:r>
        <w:t>Race</w:t>
      </w:r>
    </w:p>
    <w:p w14:paraId="1D9635DD" w14:textId="77777777" w:rsidR="007A55D9" w:rsidRDefault="007A55D9" w:rsidP="007A55D9">
      <w:r>
        <w:t>The large majority of patients in the program were White. There were too few patients of other races to allow meaningful comparisons.</w:t>
      </w:r>
    </w:p>
    <w:p w14:paraId="269D1FF3" w14:textId="77777777" w:rsidR="003E3C30" w:rsidRDefault="003E3C30" w:rsidP="003E3C30">
      <w:pPr>
        <w:pStyle w:val="Heading6"/>
      </w:pPr>
      <w:r>
        <w:t>Other</w:t>
      </w:r>
    </w:p>
    <w:p w14:paraId="74DF7DBF" w14:textId="4B482B95" w:rsidR="007A55D9" w:rsidRDefault="007A55D9" w:rsidP="007A55D9">
      <w:r>
        <w:t xml:space="preserve">There were no other meaningful differences in groups based on geographical region, body weight and baseline disease severity. Overall, there were no meaningful differences in groups based on prior DMARD treatment, or previous experience with TNFI therapy (see </w:t>
      </w:r>
      <w:r w:rsidR="0036216D">
        <w:t xml:space="preserve">Section: </w:t>
      </w:r>
      <w:r w:rsidRPr="00DE118A">
        <w:rPr>
          <w:i/>
        </w:rPr>
        <w:t>Clinical Questions</w:t>
      </w:r>
      <w:r w:rsidR="0036216D">
        <w:t>, below</w:t>
      </w:r>
      <w:r>
        <w:t>).</w:t>
      </w:r>
    </w:p>
    <w:p w14:paraId="3CE80BBD" w14:textId="77777777" w:rsidR="007A55D9" w:rsidRDefault="007A55D9" w:rsidP="003E3C30">
      <w:pPr>
        <w:pStyle w:val="Heading5"/>
      </w:pPr>
      <w:r>
        <w:t>Pregnancies</w:t>
      </w:r>
    </w:p>
    <w:p w14:paraId="2D17152C" w14:textId="77777777" w:rsidR="007A55D9" w:rsidRDefault="007A55D9" w:rsidP="007A55D9">
      <w:r>
        <w:t xml:space="preserve">There were seven cases (four maternal/ three paternal) of exposure during pregnancy to </w:t>
      </w:r>
      <w:proofErr w:type="spellStart"/>
      <w:r>
        <w:t>tofacitinib</w:t>
      </w:r>
      <w:proofErr w:type="spellEnd"/>
      <w:r>
        <w:t xml:space="preserve"> during the </w:t>
      </w:r>
      <w:proofErr w:type="spellStart"/>
      <w:r>
        <w:t>PsA</w:t>
      </w:r>
      <w:proofErr w:type="spellEnd"/>
      <w:r>
        <w:t xml:space="preserve"> program, each during the first trimester. The outcomes of the four maternal cases were spontaneous abortion, elective abortion, premature birth and a normal delivery (one event each).</w:t>
      </w:r>
    </w:p>
    <w:p w14:paraId="699405B5" w14:textId="77777777" w:rsidR="007A55D9" w:rsidRDefault="007A55D9" w:rsidP="003E3C30">
      <w:pPr>
        <w:pStyle w:val="Heading5"/>
      </w:pPr>
      <w:r>
        <w:t>Safety related to drug-drug interactions and other interactions</w:t>
      </w:r>
    </w:p>
    <w:p w14:paraId="6EABF0F4" w14:textId="77777777" w:rsidR="00500337" w:rsidRPr="00500337" w:rsidRDefault="009C5CD8" w:rsidP="007A55D9">
      <w:r>
        <w:t>No new data has</w:t>
      </w:r>
      <w:r w:rsidR="007A55D9">
        <w:t xml:space="preserve"> been submitted.</w:t>
      </w:r>
    </w:p>
    <w:p w14:paraId="5547B8AD" w14:textId="77777777" w:rsidR="00605AD4" w:rsidRDefault="003E3C30" w:rsidP="00605AD4">
      <w:pPr>
        <w:pStyle w:val="Heading4"/>
      </w:pPr>
      <w:r w:rsidRPr="00605AD4">
        <w:t>Post marketing</w:t>
      </w:r>
      <w:r w:rsidR="00605AD4" w:rsidRPr="00605AD4">
        <w:t xml:space="preserve"> data</w:t>
      </w:r>
    </w:p>
    <w:p w14:paraId="3B849E63" w14:textId="77777777" w:rsidR="007A55D9" w:rsidRDefault="007A55D9" w:rsidP="007A55D9">
      <w:r>
        <w:t xml:space="preserve">Tofacitinib was first approved in the USA on 6 November 2012 for adults with RA. Up until 5 November 2016, exposure to </w:t>
      </w:r>
      <w:proofErr w:type="spellStart"/>
      <w:r>
        <w:t>tofacitinib</w:t>
      </w:r>
      <w:proofErr w:type="spellEnd"/>
      <w:r>
        <w:t xml:space="preserve"> has been approximately 61,043 PY. A total of 20,074 case reports were received by the Marketing Au</w:t>
      </w:r>
      <w:r w:rsidR="00D273EC">
        <w:t>thorisation Holder during the 4 </w:t>
      </w:r>
      <w:r>
        <w:t xml:space="preserve">year period. A total of 55,462 AEs have been reported of which 54,966 were spontaneous. Of the 55,462 AEs, 82.6% were non-serious and 17.4% were SAEs. The most commonly reported AEs in the 20,074 cases were: drug ineffective (14.0%), headache (8.2%), condition aggravated (7.1%), arthralgia (6.5%), pain (6.2%), fatigue (5.9%), nausea (5.4%), diarrhoea (5.4%), pain in extremity (4.8%), product use issue (4.8%), malaise (4.1%), RA (3.9%), </w:t>
      </w:r>
      <w:proofErr w:type="spellStart"/>
      <w:r>
        <w:t>nasopharyngitis</w:t>
      </w:r>
      <w:proofErr w:type="spellEnd"/>
      <w:r>
        <w:t xml:space="preserve"> (3.7%), peripheral swelling (3.6%), joint swelling (3.2%), HZ (2.9%), abdominal discomfort (2.8%), abdominal pain upper (2.7%), cough (2.7%), dizziness (2.7%), musculoskeletal stiffness (2.5%), drug dose omission (2.5%), drug effect incomplete (2.4%), sinusitis (2.3%), pneumonia (2.3%), </w:t>
      </w:r>
      <w:r w:rsidR="00D273EC">
        <w:t xml:space="preserve">urinary tract infection (UTI; </w:t>
      </w:r>
      <w:r>
        <w:t>2.3%), rash (2.2%), weight increased (2.2%), dyspnoea (2.1%) and pyrexia (2.0%). The most common SAEs reported in the same case reports were RA (3.9%), condition aggravat</w:t>
      </w:r>
      <w:r w:rsidR="00D273EC">
        <w:t>ed (3.3%) and pneumonia (2.3%).</w:t>
      </w:r>
    </w:p>
    <w:p w14:paraId="69BD1820" w14:textId="77777777" w:rsidR="00500337" w:rsidRPr="00500337" w:rsidRDefault="007A55D9" w:rsidP="007A55D9">
      <w:r>
        <w:t xml:space="preserve">The usual caveats apply when interpreting spontaneous reports. However, no new safety signals have been detected in the 4 year period since marketing approval was given. The pattern of AEs in the </w:t>
      </w:r>
      <w:proofErr w:type="spellStart"/>
      <w:r>
        <w:t>PsA</w:t>
      </w:r>
      <w:proofErr w:type="spellEnd"/>
      <w:r>
        <w:t xml:space="preserve"> program was consistent with the post-marketing experience in RA.</w:t>
      </w:r>
    </w:p>
    <w:p w14:paraId="16536D80" w14:textId="77777777" w:rsidR="00605AD4" w:rsidRPr="00605AD4" w:rsidRDefault="00605AD4" w:rsidP="00605AD4">
      <w:pPr>
        <w:pStyle w:val="Heading4"/>
      </w:pPr>
      <w:r w:rsidRPr="00605AD4">
        <w:t>Evaluator’s conclusions on safety</w:t>
      </w:r>
    </w:p>
    <w:p w14:paraId="199C943B" w14:textId="11AFE8F8" w:rsidR="007A55D9" w:rsidRDefault="007A55D9" w:rsidP="007A55D9">
      <w:r>
        <w:t xml:space="preserve">The safety profile of </w:t>
      </w:r>
      <w:proofErr w:type="spellStart"/>
      <w:r>
        <w:t>tofacitinib</w:t>
      </w:r>
      <w:proofErr w:type="spellEnd"/>
      <w:r>
        <w:t xml:space="preserve"> in patients with </w:t>
      </w:r>
      <w:proofErr w:type="spellStart"/>
      <w:r>
        <w:t>PsA</w:t>
      </w:r>
      <w:proofErr w:type="spellEnd"/>
      <w:r>
        <w:t xml:space="preserve"> was assessed in the two pivotal studies and in an ongoing, open-label </w:t>
      </w:r>
      <w:r w:rsidR="00D273EC">
        <w:t>long term extension</w:t>
      </w:r>
      <w:r>
        <w:t xml:space="preserve"> study. A total of 238, 236, 236 and 106 patients were included in the </w:t>
      </w:r>
      <w:proofErr w:type="spellStart"/>
      <w:r>
        <w:t>tofacitinib</w:t>
      </w:r>
      <w:proofErr w:type="spellEnd"/>
      <w:r>
        <w:t xml:space="preserve"> 5 mg </w:t>
      </w:r>
      <w:r w:rsidR="003A1B70">
        <w:t>BD</w:t>
      </w:r>
      <w:r>
        <w:t xml:space="preserve">, </w:t>
      </w:r>
      <w:proofErr w:type="spellStart"/>
      <w:r>
        <w:t>tofacitinib</w:t>
      </w:r>
      <w:proofErr w:type="spellEnd"/>
      <w:r>
        <w:t xml:space="preserve"> 10 mg </w:t>
      </w:r>
      <w:r w:rsidR="003A1B70">
        <w:t>BD</w:t>
      </w:r>
      <w:r>
        <w:t xml:space="preserve">, placebo and </w:t>
      </w:r>
      <w:proofErr w:type="spellStart"/>
      <w:r>
        <w:t>adalimumab</w:t>
      </w:r>
      <w:proofErr w:type="spellEnd"/>
      <w:r>
        <w:t xml:space="preserve"> group</w:t>
      </w:r>
      <w:r w:rsidR="00D273EC">
        <w:t xml:space="preserve">s, respectively. In the placebo </w:t>
      </w:r>
      <w:r>
        <w:t>controlled period, in</w:t>
      </w:r>
      <w:r w:rsidR="00D273EC">
        <w:t>tegrated data from the pivotal S</w:t>
      </w:r>
      <w:r>
        <w:t xml:space="preserve">tudies A3921091 and A3921125 compared the safety profiles of </w:t>
      </w:r>
      <w:proofErr w:type="spellStart"/>
      <w:r>
        <w:t>tofacitinib</w:t>
      </w:r>
      <w:proofErr w:type="spellEnd"/>
      <w:r>
        <w:t xml:space="preserve"> 5 mg </w:t>
      </w:r>
      <w:r w:rsidR="003A1B70">
        <w:t>BD</w:t>
      </w:r>
      <w:r>
        <w:t xml:space="preserve">, </w:t>
      </w:r>
      <w:proofErr w:type="spellStart"/>
      <w:r>
        <w:t>tofacitinib</w:t>
      </w:r>
      <w:proofErr w:type="spellEnd"/>
      <w:r>
        <w:t xml:space="preserve"> 10 mg </w:t>
      </w:r>
      <w:r w:rsidR="003A1B70">
        <w:t>BD</w:t>
      </w:r>
      <w:r>
        <w:t xml:space="preserve">, placebo and </w:t>
      </w:r>
      <w:proofErr w:type="spellStart"/>
      <w:r>
        <w:t>adalimumab</w:t>
      </w:r>
      <w:proofErr w:type="spellEnd"/>
      <w:r>
        <w:t xml:space="preserve">, and compared the two doses of </w:t>
      </w:r>
      <w:proofErr w:type="spellStart"/>
      <w:r>
        <w:t>tofacitinib</w:t>
      </w:r>
      <w:proofErr w:type="spellEnd"/>
      <w:r>
        <w:t xml:space="preserve"> </w:t>
      </w:r>
      <w:r w:rsidR="00317963">
        <w:t>from Baseline</w:t>
      </w:r>
      <w:r>
        <w:t xml:space="preserve"> to Month 3 (Cohort 1). Integrated data from six months </w:t>
      </w:r>
      <w:r>
        <w:lastRenderedPageBreak/>
        <w:t xml:space="preserve">of treatment compared the two doses of </w:t>
      </w:r>
      <w:proofErr w:type="spellStart"/>
      <w:r>
        <w:t>tofacitinib</w:t>
      </w:r>
      <w:proofErr w:type="spellEnd"/>
      <w:r>
        <w:t xml:space="preserve"> and </w:t>
      </w:r>
      <w:proofErr w:type="spellStart"/>
      <w:r>
        <w:t>adalimumab</w:t>
      </w:r>
      <w:proofErr w:type="spellEnd"/>
      <w:r>
        <w:t>. The analysis excluded patients randomised to the placebo/</w:t>
      </w:r>
      <w:proofErr w:type="spellStart"/>
      <w:r>
        <w:t>tofacitinib</w:t>
      </w:r>
      <w:proofErr w:type="spellEnd"/>
      <w:r>
        <w:t xml:space="preserve"> 5 mg </w:t>
      </w:r>
      <w:r w:rsidR="003A1B70">
        <w:t>BD</w:t>
      </w:r>
      <w:r>
        <w:t xml:space="preserve"> and placebo/</w:t>
      </w:r>
      <w:proofErr w:type="spellStart"/>
      <w:r>
        <w:t>tofacitinib</w:t>
      </w:r>
      <w:proofErr w:type="spellEnd"/>
      <w:r>
        <w:t xml:space="preserve"> 10 mg </w:t>
      </w:r>
      <w:r w:rsidR="003A1B70">
        <w:t>BD</w:t>
      </w:r>
      <w:r>
        <w:t xml:space="preserve"> groups (Cohort 2). Integrated data from 12 months of treatment compared patients randomised to </w:t>
      </w:r>
      <w:proofErr w:type="spellStart"/>
      <w:r>
        <w:t>tofacitinib</w:t>
      </w:r>
      <w:proofErr w:type="spellEnd"/>
      <w:r>
        <w:t xml:space="preserve"> 5 mg </w:t>
      </w:r>
      <w:r w:rsidR="003A1B70">
        <w:t>BD</w:t>
      </w:r>
      <w:r>
        <w:t xml:space="preserve">, </w:t>
      </w:r>
      <w:proofErr w:type="spellStart"/>
      <w:r>
        <w:t>tofacitinib</w:t>
      </w:r>
      <w:proofErr w:type="spellEnd"/>
      <w:r>
        <w:t xml:space="preserve"> 10 mg </w:t>
      </w:r>
      <w:r w:rsidR="003A1B70">
        <w:t>BD</w:t>
      </w:r>
      <w:r>
        <w:t xml:space="preserve"> and </w:t>
      </w:r>
      <w:proofErr w:type="spellStart"/>
      <w:r>
        <w:t>adalimumab</w:t>
      </w:r>
      <w:proofErr w:type="spellEnd"/>
      <w:r>
        <w:t xml:space="preserve"> (Cohort 2a). Integrated data from all patients who received </w:t>
      </w:r>
      <w:proofErr w:type="spellStart"/>
      <w:r>
        <w:t>tofacitinib</w:t>
      </w:r>
      <w:proofErr w:type="spellEnd"/>
      <w:r>
        <w:t xml:space="preserve"> in </w:t>
      </w:r>
      <w:r w:rsidR="00D273EC">
        <w:t xml:space="preserve">the </w:t>
      </w:r>
      <w:proofErr w:type="spellStart"/>
      <w:r w:rsidR="00D273EC">
        <w:t>PsA</w:t>
      </w:r>
      <w:proofErr w:type="spellEnd"/>
      <w:r w:rsidR="00D273EC">
        <w:t xml:space="preserve"> program (pivotal and long term extension</w:t>
      </w:r>
      <w:r>
        <w:t xml:space="preserve"> studies) were analysed. The patient numbers and treatment duration were adequate in the c</w:t>
      </w:r>
      <w:r w:rsidR="00D273EC">
        <w:t xml:space="preserve">ontrolled studies, and the open </w:t>
      </w:r>
      <w:r>
        <w:t xml:space="preserve">label </w:t>
      </w:r>
      <w:r w:rsidR="00D273EC">
        <w:t>long term extension</w:t>
      </w:r>
      <w:r>
        <w:t xml:space="preserve"> study is on-going with data up to 3 years.</w:t>
      </w:r>
    </w:p>
    <w:p w14:paraId="26EF4EE9" w14:textId="77777777" w:rsidR="007A55D9" w:rsidRDefault="007A55D9" w:rsidP="007A55D9">
      <w:r>
        <w:t xml:space="preserve">In Cohort 1, the frequency of AEs was comparable across all treatment groups, including placebo; and in Cohort 2, including patients receiving </w:t>
      </w:r>
      <w:proofErr w:type="spellStart"/>
      <w:r>
        <w:t>adalimumab</w:t>
      </w:r>
      <w:proofErr w:type="spellEnd"/>
      <w:r>
        <w:t xml:space="preserve">. Compared with placebo, AEs reported at least 1% more frequently in patients receiving </w:t>
      </w:r>
      <w:proofErr w:type="spellStart"/>
      <w:r>
        <w:t>tofacitinib</w:t>
      </w:r>
      <w:proofErr w:type="spellEnd"/>
      <w:r>
        <w:t xml:space="preserve"> were bronchitis, diarrhoea, dyspepsia, fatigue, headache, </w:t>
      </w:r>
      <w:proofErr w:type="spellStart"/>
      <w:r>
        <w:t>nasopharyngitis</w:t>
      </w:r>
      <w:proofErr w:type="spellEnd"/>
      <w:r>
        <w:t xml:space="preserve"> and pharyngitis. Differences between the </w:t>
      </w:r>
      <w:proofErr w:type="spellStart"/>
      <w:r>
        <w:t>tofacitinib</w:t>
      </w:r>
      <w:proofErr w:type="spellEnd"/>
      <w:r>
        <w:t xml:space="preserve"> 5 mg </w:t>
      </w:r>
      <w:r w:rsidR="003A1B70">
        <w:t>BD</w:t>
      </w:r>
      <w:r>
        <w:t xml:space="preserve"> and </w:t>
      </w:r>
      <w:proofErr w:type="spellStart"/>
      <w:r>
        <w:t>tofacitinib</w:t>
      </w:r>
      <w:proofErr w:type="spellEnd"/>
      <w:r>
        <w:t xml:space="preserve"> 10 mg </w:t>
      </w:r>
      <w:r w:rsidR="003A1B70">
        <w:t>BD</w:t>
      </w:r>
      <w:r>
        <w:t xml:space="preserve"> groups were inconsistent. Severe AEs and SAEs were infrequent in all treatment groups with no meaningful treatment differences. There were few AEs of special interest, including serious infections, opportunistic infections and malignancies, and no new safety signals were identified. Herpes zoster was reported in 26 cases but the incidence rate was comparable to those seen in the RA program. AEs were reported more commonly in patients aged ≥</w:t>
      </w:r>
      <w:r w:rsidR="00D273EC">
        <w:t xml:space="preserve"> </w:t>
      </w:r>
      <w:r>
        <w:t>65 years but there were no meaningf</w:t>
      </w:r>
      <w:r w:rsidR="00D273EC">
        <w:t>ul differences based on gender.</w:t>
      </w:r>
    </w:p>
    <w:p w14:paraId="45B31251" w14:textId="003FD315" w:rsidR="00605AD4" w:rsidRPr="00605AD4" w:rsidRDefault="007A55D9" w:rsidP="007A55D9">
      <w:r>
        <w:t xml:space="preserve">There are some weaknesses in the safety analyses presented. The </w:t>
      </w:r>
      <w:proofErr w:type="spellStart"/>
      <w:r>
        <w:t>PsA</w:t>
      </w:r>
      <w:proofErr w:type="spellEnd"/>
      <w:r>
        <w:t xml:space="preserve"> safety set is limited by relatively small patient numbers, particularly for racial groups other than White. </w:t>
      </w:r>
      <w:r w:rsidR="00D273EC">
        <w:t>Adverse drug reactions (</w:t>
      </w:r>
      <w:r>
        <w:t>ADR</w:t>
      </w:r>
      <w:r w:rsidR="00D273EC">
        <w:t>)</w:t>
      </w:r>
      <w:r>
        <w:t xml:space="preserve"> have not been reported in the </w:t>
      </w:r>
      <w:r w:rsidR="00D273EC">
        <w:t>clinical study reports</w:t>
      </w:r>
      <w:r>
        <w:t xml:space="preserve"> or integrated analyses and the reason for this omission is not stated (see Clinical Questions). AEs are reported in detail by </w:t>
      </w:r>
      <w:r w:rsidR="00317963">
        <w:t>S</w:t>
      </w:r>
      <w:r w:rsidR="00D273EC">
        <w:t xml:space="preserve">ystem </w:t>
      </w:r>
      <w:r w:rsidR="00317963">
        <w:t>O</w:t>
      </w:r>
      <w:r w:rsidR="00D273EC">
        <w:t xml:space="preserve">rgan </w:t>
      </w:r>
      <w:r w:rsidR="00317963">
        <w:t>C</w:t>
      </w:r>
      <w:r w:rsidR="00D273EC">
        <w:t>lass (</w:t>
      </w:r>
      <w:r>
        <w:t>SOC</w:t>
      </w:r>
      <w:r w:rsidR="00D273EC">
        <w:t>)</w:t>
      </w:r>
      <w:r>
        <w:t xml:space="preserve"> but reports by </w:t>
      </w:r>
      <w:r w:rsidR="00DB39F5">
        <w:t>P</w:t>
      </w:r>
      <w:r w:rsidR="00D273EC">
        <w:t xml:space="preserve">referred </w:t>
      </w:r>
      <w:r w:rsidR="00DB39F5">
        <w:t>T</w:t>
      </w:r>
      <w:r w:rsidR="00D273EC">
        <w:t>erm (</w:t>
      </w:r>
      <w:r>
        <w:t>PT</w:t>
      </w:r>
      <w:r w:rsidR="00D273EC">
        <w:t>)</w:t>
      </w:r>
      <w:r>
        <w:t xml:space="preserve"> are sparse. Despite these weaknesses, the 5 mg </w:t>
      </w:r>
      <w:r w:rsidR="003A1B70">
        <w:t>BD</w:t>
      </w:r>
      <w:r>
        <w:t xml:space="preserve"> dose of </w:t>
      </w:r>
      <w:proofErr w:type="spellStart"/>
      <w:r>
        <w:t>tofacitinib</w:t>
      </w:r>
      <w:proofErr w:type="spellEnd"/>
      <w:r>
        <w:t xml:space="preserve"> had an acceptable safety profile consistent with the RA 5 mg </w:t>
      </w:r>
      <w:r w:rsidR="003A1B70">
        <w:t>BD</w:t>
      </w:r>
      <w:r>
        <w:t xml:space="preserve"> development program, as detailed in the approved PI. No new safety signals have been identified in the </w:t>
      </w:r>
      <w:proofErr w:type="spellStart"/>
      <w:r>
        <w:t>PsA</w:t>
      </w:r>
      <w:proofErr w:type="spellEnd"/>
      <w:r>
        <w:t xml:space="preserve"> program, or in post-marketing surveillance to date. However, A</w:t>
      </w:r>
      <w:r w:rsidR="00D273EC">
        <w:t>DRs were not reported in the clinical study report</w:t>
      </w:r>
      <w:r>
        <w:t xml:space="preserve"> (see Clinical Questions).</w:t>
      </w:r>
    </w:p>
    <w:p w14:paraId="01D286D2" w14:textId="2B30C626" w:rsidR="00605AD4" w:rsidRPr="00605AD4" w:rsidRDefault="00605AD4" w:rsidP="00605AD4">
      <w:pPr>
        <w:pStyle w:val="Heading3"/>
        <w:rPr>
          <w:rFonts w:eastAsia="Cambria"/>
        </w:rPr>
      </w:pPr>
      <w:bookmarkStart w:id="163" w:name="_Toc22048619"/>
      <w:r w:rsidRPr="00605AD4">
        <w:rPr>
          <w:rFonts w:eastAsia="Cambria"/>
        </w:rPr>
        <w:t xml:space="preserve">First </w:t>
      </w:r>
      <w:r w:rsidR="0063014B" w:rsidRPr="00605AD4">
        <w:rPr>
          <w:rFonts w:eastAsia="Cambria"/>
        </w:rPr>
        <w:t>round benefit-risk assessment</w:t>
      </w:r>
      <w:bookmarkEnd w:id="163"/>
    </w:p>
    <w:p w14:paraId="048ACE28" w14:textId="3C07D57E" w:rsidR="00605AD4" w:rsidRDefault="00605AD4" w:rsidP="00605AD4">
      <w:pPr>
        <w:pStyle w:val="Heading4"/>
      </w:pPr>
      <w:r w:rsidRPr="00605AD4">
        <w:t>First round assessment of benefits</w:t>
      </w:r>
    </w:p>
    <w:p w14:paraId="13960CA8" w14:textId="1512AB5A" w:rsidR="00317963" w:rsidRPr="00317963" w:rsidRDefault="00317963" w:rsidP="00317963">
      <w:r>
        <w:fldChar w:fldCharType="begin"/>
      </w:r>
      <w:r>
        <w:instrText xml:space="preserve"> REF _Ref19026256 \h </w:instrText>
      </w:r>
      <w:r>
        <w:fldChar w:fldCharType="separate"/>
      </w:r>
      <w:r>
        <w:t xml:space="preserve">Table </w:t>
      </w:r>
      <w:r>
        <w:rPr>
          <w:noProof/>
        </w:rPr>
        <w:t>11</w:t>
      </w:r>
      <w:r>
        <w:fldChar w:fldCharType="end"/>
      </w:r>
      <w:r>
        <w:t xml:space="preserve"> summarises the assessment of benefits of Xeljanz for the proposed indication at the first round evaluation.</w:t>
      </w:r>
    </w:p>
    <w:p w14:paraId="5C1379EC" w14:textId="77777777" w:rsidR="00450021" w:rsidRPr="00450021" w:rsidRDefault="00450021" w:rsidP="00450021">
      <w:pPr>
        <w:pStyle w:val="TableTitle"/>
      </w:pPr>
      <w:bookmarkStart w:id="164" w:name="_Ref19026256"/>
      <w:r>
        <w:lastRenderedPageBreak/>
        <w:t xml:space="preserve">Table </w:t>
      </w:r>
      <w:fldSimple w:instr=" SEQ Table \* ARABIC ">
        <w:r w:rsidR="0061158C">
          <w:rPr>
            <w:noProof/>
          </w:rPr>
          <w:t>11</w:t>
        </w:r>
      </w:fldSimple>
      <w:bookmarkEnd w:id="164"/>
      <w:r>
        <w:t>: First round assessment of benefits</w:t>
      </w:r>
    </w:p>
    <w:tbl>
      <w:tblPr>
        <w:tblStyle w:val="TableTGAblue"/>
        <w:tblW w:w="0" w:type="auto"/>
        <w:tblLook w:val="04A0" w:firstRow="1" w:lastRow="0" w:firstColumn="1" w:lastColumn="0" w:noHBand="0" w:noVBand="1"/>
      </w:tblPr>
      <w:tblGrid>
        <w:gridCol w:w="4420"/>
        <w:gridCol w:w="4192"/>
      </w:tblGrid>
      <w:tr w:rsidR="007A55D9" w:rsidRPr="00D273EC" w14:paraId="5B12A8C3" w14:textId="77777777" w:rsidTr="007A55D9">
        <w:trPr>
          <w:cnfStyle w:val="100000000000" w:firstRow="1" w:lastRow="0" w:firstColumn="0" w:lastColumn="0" w:oddVBand="0" w:evenVBand="0" w:oddHBand="0" w:evenHBand="0" w:firstRowFirstColumn="0" w:firstRowLastColumn="0" w:lastRowFirstColumn="0" w:lastRowLastColumn="0"/>
        </w:trPr>
        <w:tc>
          <w:tcPr>
            <w:tcW w:w="4420" w:type="dxa"/>
          </w:tcPr>
          <w:p w14:paraId="723935B4" w14:textId="77777777" w:rsidR="007A55D9" w:rsidRPr="00D273EC" w:rsidRDefault="007A55D9" w:rsidP="00AA577E">
            <w:pPr>
              <w:ind w:left="0" w:right="0"/>
              <w:rPr>
                <w:b w:val="0"/>
                <w:sz w:val="20"/>
                <w:szCs w:val="20"/>
              </w:rPr>
            </w:pPr>
            <w:r w:rsidRPr="00D273EC">
              <w:rPr>
                <w:sz w:val="20"/>
                <w:szCs w:val="20"/>
              </w:rPr>
              <w:t>Benefits</w:t>
            </w:r>
          </w:p>
        </w:tc>
        <w:tc>
          <w:tcPr>
            <w:tcW w:w="4192" w:type="dxa"/>
          </w:tcPr>
          <w:p w14:paraId="17CE294A" w14:textId="77777777" w:rsidR="007A55D9" w:rsidRPr="00D273EC" w:rsidRDefault="007A55D9" w:rsidP="00AA577E">
            <w:pPr>
              <w:ind w:left="0" w:right="0"/>
              <w:rPr>
                <w:b w:val="0"/>
                <w:sz w:val="20"/>
                <w:szCs w:val="20"/>
              </w:rPr>
            </w:pPr>
            <w:r w:rsidRPr="00D273EC">
              <w:rPr>
                <w:sz w:val="20"/>
                <w:szCs w:val="20"/>
              </w:rPr>
              <w:t>Strengths and Uncertainties</w:t>
            </w:r>
          </w:p>
        </w:tc>
      </w:tr>
      <w:tr w:rsidR="007A55D9" w:rsidRPr="00D273EC" w14:paraId="5A419120" w14:textId="77777777" w:rsidTr="007A55D9">
        <w:tc>
          <w:tcPr>
            <w:tcW w:w="4420" w:type="dxa"/>
          </w:tcPr>
          <w:p w14:paraId="75E13979" w14:textId="77777777" w:rsidR="007A55D9" w:rsidRPr="00D273EC" w:rsidRDefault="007A55D9" w:rsidP="00AA577E">
            <w:pPr>
              <w:keepNext/>
              <w:ind w:left="0" w:right="0"/>
              <w:rPr>
                <w:sz w:val="20"/>
                <w:szCs w:val="20"/>
              </w:rPr>
            </w:pPr>
            <w:r w:rsidRPr="00D273EC">
              <w:rPr>
                <w:sz w:val="20"/>
                <w:szCs w:val="20"/>
              </w:rPr>
              <w:t>Superior ACR20 response rates compared with placebo after treatment for 3 months and statistically significant dif</w:t>
            </w:r>
            <w:r w:rsidR="00D273EC">
              <w:rPr>
                <w:sz w:val="20"/>
                <w:szCs w:val="20"/>
              </w:rPr>
              <w:t>ference from placebo at Week 2.</w:t>
            </w:r>
          </w:p>
          <w:p w14:paraId="5C66C1BA" w14:textId="77777777" w:rsidR="007A55D9" w:rsidRPr="00D273EC" w:rsidRDefault="007A55D9" w:rsidP="00AA577E">
            <w:pPr>
              <w:keepNext/>
              <w:ind w:left="0" w:right="0"/>
              <w:rPr>
                <w:sz w:val="20"/>
                <w:szCs w:val="20"/>
              </w:rPr>
            </w:pPr>
            <w:r w:rsidRPr="00D273EC">
              <w:rPr>
                <w:sz w:val="20"/>
                <w:szCs w:val="20"/>
              </w:rPr>
              <w:t xml:space="preserve">Comparable efficacy compared with </w:t>
            </w:r>
            <w:proofErr w:type="spellStart"/>
            <w:r w:rsidRPr="00D273EC">
              <w:rPr>
                <w:sz w:val="20"/>
                <w:szCs w:val="20"/>
              </w:rPr>
              <w:t>adalimumab</w:t>
            </w:r>
            <w:proofErr w:type="spellEnd"/>
            <w:r w:rsidRPr="00D273EC">
              <w:rPr>
                <w:sz w:val="20"/>
                <w:szCs w:val="20"/>
              </w:rPr>
              <w:t>, a standard of care TNFI, given for 12 mo</w:t>
            </w:r>
            <w:r w:rsidR="00D273EC">
              <w:rPr>
                <w:sz w:val="20"/>
                <w:szCs w:val="20"/>
              </w:rPr>
              <w:t>nths.</w:t>
            </w:r>
          </w:p>
          <w:p w14:paraId="6D22F6A0" w14:textId="77777777" w:rsidR="007A55D9" w:rsidRPr="00D273EC" w:rsidRDefault="007A55D9" w:rsidP="00AA577E">
            <w:pPr>
              <w:keepNext/>
              <w:ind w:left="0" w:right="0"/>
              <w:rPr>
                <w:sz w:val="20"/>
                <w:szCs w:val="20"/>
              </w:rPr>
            </w:pPr>
            <w:r w:rsidRPr="00D273EC">
              <w:rPr>
                <w:sz w:val="20"/>
                <w:szCs w:val="20"/>
              </w:rPr>
              <w:t xml:space="preserve">Effective in patients who have failed previous TNFI therapies. </w:t>
            </w:r>
          </w:p>
          <w:p w14:paraId="715C5434" w14:textId="77777777" w:rsidR="007A55D9" w:rsidRPr="00D273EC" w:rsidRDefault="007A55D9" w:rsidP="00AA577E">
            <w:pPr>
              <w:keepNext/>
              <w:ind w:left="0" w:right="0"/>
              <w:rPr>
                <w:sz w:val="20"/>
                <w:szCs w:val="20"/>
              </w:rPr>
            </w:pPr>
            <w:r w:rsidRPr="00D273EC">
              <w:rPr>
                <w:sz w:val="20"/>
                <w:szCs w:val="20"/>
              </w:rPr>
              <w:t>Long-term ACR20 response rates maintained for up to 3 years.</w:t>
            </w:r>
          </w:p>
          <w:p w14:paraId="7E17474C" w14:textId="77777777" w:rsidR="007A55D9" w:rsidRPr="00D273EC" w:rsidRDefault="007A55D9" w:rsidP="00AA577E">
            <w:pPr>
              <w:keepNext/>
              <w:ind w:left="0" w:right="0"/>
              <w:rPr>
                <w:sz w:val="20"/>
                <w:szCs w:val="20"/>
              </w:rPr>
            </w:pPr>
            <w:r w:rsidRPr="00D273EC">
              <w:rPr>
                <w:sz w:val="20"/>
                <w:szCs w:val="20"/>
              </w:rPr>
              <w:t xml:space="preserve">Superior ACR50 and ACR70 response rates compared with placebo after 3 months, and comparable response rates with </w:t>
            </w:r>
            <w:proofErr w:type="spellStart"/>
            <w:r w:rsidRPr="00D273EC">
              <w:rPr>
                <w:sz w:val="20"/>
                <w:szCs w:val="20"/>
              </w:rPr>
              <w:t>adalimumab</w:t>
            </w:r>
            <w:proofErr w:type="spellEnd"/>
            <w:r w:rsidRPr="00D273EC">
              <w:rPr>
                <w:sz w:val="20"/>
                <w:szCs w:val="20"/>
              </w:rPr>
              <w:t xml:space="preserve"> </w:t>
            </w:r>
            <w:r w:rsidR="00D273EC">
              <w:rPr>
                <w:sz w:val="20"/>
                <w:szCs w:val="20"/>
              </w:rPr>
              <w:t>after 12 months.</w:t>
            </w:r>
          </w:p>
          <w:p w14:paraId="5E172AEA" w14:textId="77777777" w:rsidR="007A55D9" w:rsidRPr="00D273EC" w:rsidRDefault="007A55D9" w:rsidP="00AA577E">
            <w:pPr>
              <w:keepNext/>
              <w:ind w:left="0" w:right="0"/>
              <w:rPr>
                <w:sz w:val="20"/>
                <w:szCs w:val="20"/>
              </w:rPr>
            </w:pPr>
            <w:r w:rsidRPr="00D273EC">
              <w:rPr>
                <w:sz w:val="20"/>
                <w:szCs w:val="20"/>
              </w:rPr>
              <w:t>Superior improvements in HAQ-DI compared with placebo after treatment for 3 months.</w:t>
            </w:r>
          </w:p>
          <w:p w14:paraId="39D63A09" w14:textId="77777777" w:rsidR="007A55D9" w:rsidRPr="00D273EC" w:rsidRDefault="00D273EC" w:rsidP="00AA577E">
            <w:pPr>
              <w:keepNext/>
              <w:ind w:left="0" w:right="0"/>
              <w:rPr>
                <w:sz w:val="20"/>
                <w:szCs w:val="20"/>
              </w:rPr>
            </w:pPr>
            <w:r>
              <w:rPr>
                <w:sz w:val="20"/>
                <w:szCs w:val="20"/>
              </w:rPr>
              <w:t xml:space="preserve">Comparable change in </w:t>
            </w:r>
            <w:r w:rsidR="007A55D9" w:rsidRPr="00D273EC">
              <w:rPr>
                <w:sz w:val="20"/>
                <w:szCs w:val="20"/>
              </w:rPr>
              <w:t xml:space="preserve">HAQ-DI to </w:t>
            </w:r>
            <w:proofErr w:type="spellStart"/>
            <w:r w:rsidR="007A55D9" w:rsidRPr="00D273EC">
              <w:rPr>
                <w:sz w:val="20"/>
                <w:szCs w:val="20"/>
              </w:rPr>
              <w:t>adalimumab</w:t>
            </w:r>
            <w:proofErr w:type="spellEnd"/>
            <w:r w:rsidR="007A55D9" w:rsidRPr="00D273EC">
              <w:rPr>
                <w:sz w:val="20"/>
                <w:szCs w:val="20"/>
              </w:rPr>
              <w:t xml:space="preserve"> given for 12 months.</w:t>
            </w:r>
          </w:p>
          <w:p w14:paraId="6A7D3BBE" w14:textId="77777777" w:rsidR="007A55D9" w:rsidRPr="00D273EC" w:rsidRDefault="007A55D9" w:rsidP="00AA577E">
            <w:pPr>
              <w:keepNext/>
              <w:ind w:left="0" w:right="0"/>
              <w:rPr>
                <w:sz w:val="20"/>
                <w:szCs w:val="20"/>
              </w:rPr>
            </w:pPr>
            <w:r w:rsidRPr="00D273EC">
              <w:rPr>
                <w:sz w:val="20"/>
                <w:szCs w:val="20"/>
              </w:rPr>
              <w:t xml:space="preserve">Superior PASI75 response rates compared with placebo, and comparable response rates compared with </w:t>
            </w:r>
            <w:proofErr w:type="spellStart"/>
            <w:r w:rsidRPr="00D273EC">
              <w:rPr>
                <w:sz w:val="20"/>
                <w:szCs w:val="20"/>
              </w:rPr>
              <w:t>adalimumab</w:t>
            </w:r>
            <w:proofErr w:type="spellEnd"/>
            <w:r w:rsidRPr="00D273EC">
              <w:rPr>
                <w:sz w:val="20"/>
                <w:szCs w:val="20"/>
              </w:rPr>
              <w:t xml:space="preserve">. </w:t>
            </w:r>
          </w:p>
          <w:p w14:paraId="6169C502" w14:textId="77777777" w:rsidR="007A55D9" w:rsidRPr="00D273EC" w:rsidRDefault="007A55D9" w:rsidP="00AA577E">
            <w:pPr>
              <w:keepNext/>
              <w:ind w:left="0" w:right="0"/>
              <w:rPr>
                <w:sz w:val="20"/>
                <w:szCs w:val="20"/>
              </w:rPr>
            </w:pPr>
            <w:proofErr w:type="spellStart"/>
            <w:r w:rsidRPr="00D273EC">
              <w:rPr>
                <w:sz w:val="20"/>
                <w:szCs w:val="20"/>
              </w:rPr>
              <w:t>Enthesitis</w:t>
            </w:r>
            <w:proofErr w:type="spellEnd"/>
            <w:r w:rsidRPr="00D273EC">
              <w:rPr>
                <w:sz w:val="20"/>
                <w:szCs w:val="20"/>
              </w:rPr>
              <w:t xml:space="preserve"> (as measured by LEI) and </w:t>
            </w:r>
            <w:proofErr w:type="spellStart"/>
            <w:r w:rsidRPr="00D273EC">
              <w:rPr>
                <w:sz w:val="20"/>
                <w:szCs w:val="20"/>
              </w:rPr>
              <w:t>dactylitis</w:t>
            </w:r>
            <w:proofErr w:type="spellEnd"/>
            <w:r w:rsidRPr="00D273EC">
              <w:rPr>
                <w:sz w:val="20"/>
                <w:szCs w:val="20"/>
              </w:rPr>
              <w:t xml:space="preserve"> (as measured by DSS) were improved relative to placebo at Month 3 and comparable responses to </w:t>
            </w:r>
            <w:proofErr w:type="spellStart"/>
            <w:r w:rsidRPr="00D273EC">
              <w:rPr>
                <w:sz w:val="20"/>
                <w:szCs w:val="20"/>
              </w:rPr>
              <w:t>adalimumab</w:t>
            </w:r>
            <w:proofErr w:type="spellEnd"/>
            <w:r w:rsidRPr="00D273EC">
              <w:rPr>
                <w:sz w:val="20"/>
                <w:szCs w:val="20"/>
              </w:rPr>
              <w:t xml:space="preserve"> given for 12 months.</w:t>
            </w:r>
          </w:p>
          <w:p w14:paraId="31B7C787" w14:textId="77777777" w:rsidR="007A55D9" w:rsidRPr="00D273EC" w:rsidRDefault="007A55D9" w:rsidP="00AA577E">
            <w:pPr>
              <w:keepNext/>
              <w:ind w:left="0" w:right="0"/>
              <w:rPr>
                <w:sz w:val="20"/>
                <w:szCs w:val="20"/>
              </w:rPr>
            </w:pPr>
            <w:r w:rsidRPr="00D273EC">
              <w:rPr>
                <w:sz w:val="20"/>
                <w:szCs w:val="20"/>
              </w:rPr>
              <w:t>Improved functioning and quality of life compared with placebo.</w:t>
            </w:r>
          </w:p>
          <w:p w14:paraId="726E4BCC" w14:textId="77777777" w:rsidR="007A55D9" w:rsidRPr="00D273EC" w:rsidRDefault="007A55D9" w:rsidP="00AA577E">
            <w:pPr>
              <w:keepNext/>
              <w:ind w:left="0" w:right="0"/>
              <w:rPr>
                <w:sz w:val="20"/>
                <w:szCs w:val="20"/>
              </w:rPr>
            </w:pPr>
            <w:r w:rsidRPr="00D273EC">
              <w:rPr>
                <w:sz w:val="20"/>
                <w:szCs w:val="20"/>
              </w:rPr>
              <w:t>Response rates comparable in population subgroups, based on age, gender and baseline disease activity.</w:t>
            </w:r>
          </w:p>
          <w:p w14:paraId="0C5ED570" w14:textId="19FACFF8" w:rsidR="007A55D9" w:rsidRPr="00D273EC" w:rsidRDefault="007A55D9" w:rsidP="00AA577E">
            <w:pPr>
              <w:keepNext/>
              <w:ind w:left="0" w:right="0"/>
              <w:rPr>
                <w:sz w:val="20"/>
                <w:szCs w:val="20"/>
              </w:rPr>
            </w:pPr>
            <w:r w:rsidRPr="00D273EC">
              <w:rPr>
                <w:sz w:val="20"/>
                <w:szCs w:val="20"/>
              </w:rPr>
              <w:t>No anti-drug antibodies c</w:t>
            </w:r>
            <w:r w:rsidR="00FF128A">
              <w:rPr>
                <w:sz w:val="20"/>
                <w:szCs w:val="20"/>
              </w:rPr>
              <w:t xml:space="preserve">ommonly associated with </w:t>
            </w:r>
            <w:proofErr w:type="spellStart"/>
            <w:r w:rsidR="00FF128A">
              <w:rPr>
                <w:sz w:val="20"/>
                <w:szCs w:val="20"/>
              </w:rPr>
              <w:t>bDMARDs</w:t>
            </w:r>
            <w:proofErr w:type="spellEnd"/>
            <w:r w:rsidR="00FF128A">
              <w:rPr>
                <w:sz w:val="20"/>
                <w:szCs w:val="20"/>
              </w:rPr>
              <w:t>.</w:t>
            </w:r>
          </w:p>
        </w:tc>
        <w:tc>
          <w:tcPr>
            <w:tcW w:w="4192" w:type="dxa"/>
          </w:tcPr>
          <w:p w14:paraId="2D2ED4C6" w14:textId="77777777" w:rsidR="007A55D9" w:rsidRPr="00D273EC" w:rsidRDefault="007A55D9" w:rsidP="00AA577E">
            <w:pPr>
              <w:keepNext/>
              <w:ind w:left="0" w:right="0"/>
              <w:rPr>
                <w:sz w:val="20"/>
                <w:szCs w:val="20"/>
              </w:rPr>
            </w:pPr>
            <w:r w:rsidRPr="00D273EC">
              <w:rPr>
                <w:sz w:val="20"/>
                <w:szCs w:val="20"/>
              </w:rPr>
              <w:t xml:space="preserve">The benefit in favour of </w:t>
            </w:r>
            <w:proofErr w:type="spellStart"/>
            <w:r w:rsidRPr="00D273EC">
              <w:rPr>
                <w:sz w:val="20"/>
                <w:szCs w:val="20"/>
              </w:rPr>
              <w:t>tofacitinib</w:t>
            </w:r>
            <w:proofErr w:type="spellEnd"/>
            <w:r w:rsidRPr="00D273EC">
              <w:rPr>
                <w:sz w:val="20"/>
                <w:szCs w:val="20"/>
              </w:rPr>
              <w:t xml:space="preserve"> compared with placebo was highly statistically significant (p</w:t>
            </w:r>
            <w:r w:rsidR="00D273EC">
              <w:rPr>
                <w:sz w:val="20"/>
                <w:szCs w:val="20"/>
              </w:rPr>
              <w:t xml:space="preserve"> </w:t>
            </w:r>
            <w:r w:rsidRPr="00D273EC">
              <w:rPr>
                <w:sz w:val="20"/>
                <w:szCs w:val="20"/>
              </w:rPr>
              <w:t>&lt;</w:t>
            </w:r>
            <w:r w:rsidR="00D273EC">
              <w:rPr>
                <w:sz w:val="20"/>
                <w:szCs w:val="20"/>
              </w:rPr>
              <w:t xml:space="preserve"> </w:t>
            </w:r>
            <w:r w:rsidRPr="00D273EC">
              <w:rPr>
                <w:sz w:val="20"/>
                <w:szCs w:val="20"/>
              </w:rPr>
              <w:t>0.0</w:t>
            </w:r>
            <w:r w:rsidR="00D273EC">
              <w:rPr>
                <w:sz w:val="20"/>
                <w:szCs w:val="20"/>
              </w:rPr>
              <w:t>001) and clinically meaningful.</w:t>
            </w:r>
          </w:p>
          <w:p w14:paraId="78A57469" w14:textId="77777777" w:rsidR="007A55D9" w:rsidRPr="00D273EC" w:rsidRDefault="007A55D9" w:rsidP="00AA577E">
            <w:pPr>
              <w:keepNext/>
              <w:ind w:left="0" w:right="0"/>
              <w:rPr>
                <w:sz w:val="20"/>
                <w:szCs w:val="20"/>
              </w:rPr>
            </w:pPr>
            <w:r w:rsidRPr="00D273EC">
              <w:rPr>
                <w:sz w:val="20"/>
                <w:szCs w:val="20"/>
              </w:rPr>
              <w:t>Comparative data available up to 12 months, but no placebo response data beyond 3 months.</w:t>
            </w:r>
          </w:p>
          <w:p w14:paraId="7E6FE118" w14:textId="77777777" w:rsidR="007A55D9" w:rsidRPr="00D273EC" w:rsidRDefault="00D273EC" w:rsidP="00AA577E">
            <w:pPr>
              <w:keepNext/>
              <w:ind w:left="0" w:right="0"/>
              <w:rPr>
                <w:sz w:val="20"/>
                <w:szCs w:val="20"/>
              </w:rPr>
            </w:pPr>
            <w:r>
              <w:rPr>
                <w:sz w:val="20"/>
                <w:szCs w:val="20"/>
              </w:rPr>
              <w:t>Long-term data open label.</w:t>
            </w:r>
          </w:p>
          <w:p w14:paraId="251B46CA" w14:textId="77777777" w:rsidR="007A55D9" w:rsidRPr="00D273EC" w:rsidRDefault="007A55D9" w:rsidP="00AA577E">
            <w:pPr>
              <w:keepNext/>
              <w:ind w:left="0" w:right="0"/>
              <w:rPr>
                <w:sz w:val="20"/>
                <w:szCs w:val="20"/>
              </w:rPr>
            </w:pPr>
            <w:r w:rsidRPr="00D273EC">
              <w:rPr>
                <w:sz w:val="20"/>
                <w:szCs w:val="20"/>
              </w:rPr>
              <w:t xml:space="preserve">No long-term </w:t>
            </w:r>
            <w:proofErr w:type="spellStart"/>
            <w:r w:rsidRPr="00D273EC">
              <w:rPr>
                <w:sz w:val="20"/>
                <w:szCs w:val="20"/>
              </w:rPr>
              <w:t>mTSS</w:t>
            </w:r>
            <w:proofErr w:type="spellEnd"/>
            <w:r w:rsidRPr="00D273EC">
              <w:rPr>
                <w:sz w:val="20"/>
                <w:szCs w:val="20"/>
              </w:rPr>
              <w:t xml:space="preserve"> data available</w:t>
            </w:r>
          </w:p>
          <w:p w14:paraId="22776A9B" w14:textId="77777777" w:rsidR="007A55D9" w:rsidRPr="00D273EC" w:rsidRDefault="007A55D9" w:rsidP="00AA577E">
            <w:pPr>
              <w:keepNext/>
              <w:ind w:left="0" w:right="0"/>
              <w:rPr>
                <w:sz w:val="20"/>
                <w:szCs w:val="20"/>
              </w:rPr>
            </w:pPr>
            <w:r w:rsidRPr="00D273EC">
              <w:rPr>
                <w:sz w:val="20"/>
                <w:szCs w:val="20"/>
              </w:rPr>
              <w:t>Only limited data in racial groups other than White.</w:t>
            </w:r>
          </w:p>
        </w:tc>
      </w:tr>
    </w:tbl>
    <w:p w14:paraId="0719C80A" w14:textId="3AAA8BE0" w:rsidR="00605AD4" w:rsidRDefault="00605AD4" w:rsidP="00605AD4">
      <w:pPr>
        <w:pStyle w:val="Heading4"/>
      </w:pPr>
      <w:r w:rsidRPr="00605AD4">
        <w:t>First round assessment of risks</w:t>
      </w:r>
    </w:p>
    <w:p w14:paraId="3BC4E7BE" w14:textId="5CF020CA" w:rsidR="00317963" w:rsidRPr="00317963" w:rsidRDefault="00317963" w:rsidP="00317963">
      <w:r>
        <w:fldChar w:fldCharType="begin"/>
      </w:r>
      <w:r>
        <w:instrText xml:space="preserve"> REF _Ref19026311 \h </w:instrText>
      </w:r>
      <w:r>
        <w:fldChar w:fldCharType="separate"/>
      </w:r>
      <w:r>
        <w:t xml:space="preserve">Table </w:t>
      </w:r>
      <w:r>
        <w:rPr>
          <w:noProof/>
        </w:rPr>
        <w:t>12</w:t>
      </w:r>
      <w:r>
        <w:fldChar w:fldCharType="end"/>
      </w:r>
      <w:r>
        <w:t xml:space="preserve"> summarises the assessment of risks of Xeljanz for the proposed indication at the first round of evaluation.</w:t>
      </w:r>
    </w:p>
    <w:p w14:paraId="031BDCC3" w14:textId="77777777" w:rsidR="00450021" w:rsidRPr="00450021" w:rsidRDefault="00450021" w:rsidP="00450021">
      <w:pPr>
        <w:pStyle w:val="TableTitle"/>
      </w:pPr>
      <w:bookmarkStart w:id="165" w:name="_Ref19026311"/>
      <w:r>
        <w:lastRenderedPageBreak/>
        <w:t xml:space="preserve">Table </w:t>
      </w:r>
      <w:fldSimple w:instr=" SEQ Table \* ARABIC ">
        <w:r w:rsidR="0061158C">
          <w:rPr>
            <w:noProof/>
          </w:rPr>
          <w:t>12</w:t>
        </w:r>
      </w:fldSimple>
      <w:bookmarkEnd w:id="165"/>
      <w:r>
        <w:t>: First round assessment of risks</w:t>
      </w:r>
    </w:p>
    <w:tbl>
      <w:tblPr>
        <w:tblStyle w:val="TableTGAblue"/>
        <w:tblW w:w="0" w:type="auto"/>
        <w:tblLook w:val="04A0" w:firstRow="1" w:lastRow="0" w:firstColumn="1" w:lastColumn="0" w:noHBand="0" w:noVBand="1"/>
      </w:tblPr>
      <w:tblGrid>
        <w:gridCol w:w="4361"/>
        <w:gridCol w:w="4359"/>
      </w:tblGrid>
      <w:tr w:rsidR="007A55D9" w:rsidRPr="00D273EC" w14:paraId="59895E9C" w14:textId="77777777" w:rsidTr="007A55D9">
        <w:trPr>
          <w:cnfStyle w:val="100000000000" w:firstRow="1" w:lastRow="0" w:firstColumn="0" w:lastColumn="0" w:oddVBand="0" w:evenVBand="0" w:oddHBand="0" w:evenHBand="0" w:firstRowFirstColumn="0" w:firstRowLastColumn="0" w:lastRowFirstColumn="0" w:lastRowLastColumn="0"/>
        </w:trPr>
        <w:tc>
          <w:tcPr>
            <w:tcW w:w="4395" w:type="dxa"/>
          </w:tcPr>
          <w:p w14:paraId="5EF0CFFF" w14:textId="77777777" w:rsidR="007A55D9" w:rsidRPr="00D273EC" w:rsidRDefault="007A55D9" w:rsidP="00AA577E">
            <w:pPr>
              <w:ind w:left="0" w:right="0"/>
              <w:rPr>
                <w:b w:val="0"/>
                <w:sz w:val="20"/>
                <w:szCs w:val="20"/>
              </w:rPr>
            </w:pPr>
            <w:r w:rsidRPr="00D273EC">
              <w:rPr>
                <w:sz w:val="20"/>
                <w:szCs w:val="20"/>
              </w:rPr>
              <w:t>Risks</w:t>
            </w:r>
          </w:p>
        </w:tc>
        <w:tc>
          <w:tcPr>
            <w:tcW w:w="4394" w:type="dxa"/>
          </w:tcPr>
          <w:p w14:paraId="57685B74" w14:textId="77777777" w:rsidR="007A55D9" w:rsidRPr="00D273EC" w:rsidRDefault="007A55D9" w:rsidP="00AA577E">
            <w:pPr>
              <w:ind w:left="0" w:right="0"/>
              <w:rPr>
                <w:b w:val="0"/>
                <w:sz w:val="20"/>
                <w:szCs w:val="20"/>
              </w:rPr>
            </w:pPr>
            <w:r w:rsidRPr="00D273EC">
              <w:rPr>
                <w:sz w:val="20"/>
                <w:szCs w:val="20"/>
              </w:rPr>
              <w:t>Strengths and Uncertainties</w:t>
            </w:r>
          </w:p>
        </w:tc>
      </w:tr>
      <w:tr w:rsidR="007A55D9" w:rsidRPr="00D273EC" w14:paraId="78B46464" w14:textId="77777777" w:rsidTr="007A55D9">
        <w:tc>
          <w:tcPr>
            <w:tcW w:w="4395" w:type="dxa"/>
          </w:tcPr>
          <w:p w14:paraId="05FF6EFA" w14:textId="77777777" w:rsidR="007A55D9" w:rsidRPr="00D273EC" w:rsidRDefault="007A55D9" w:rsidP="00AA577E">
            <w:pPr>
              <w:keepNext/>
              <w:ind w:left="0" w:right="0"/>
              <w:rPr>
                <w:sz w:val="20"/>
                <w:szCs w:val="20"/>
              </w:rPr>
            </w:pPr>
            <w:r w:rsidRPr="00D273EC">
              <w:rPr>
                <w:sz w:val="20"/>
                <w:szCs w:val="20"/>
              </w:rPr>
              <w:t xml:space="preserve">The safety profile of </w:t>
            </w:r>
            <w:proofErr w:type="spellStart"/>
            <w:r w:rsidRPr="00D273EC">
              <w:rPr>
                <w:sz w:val="20"/>
                <w:szCs w:val="20"/>
              </w:rPr>
              <w:t>tofacitinib</w:t>
            </w:r>
            <w:proofErr w:type="spellEnd"/>
            <w:r w:rsidRPr="00D273EC">
              <w:rPr>
                <w:sz w:val="20"/>
                <w:szCs w:val="20"/>
              </w:rPr>
              <w:t xml:space="preserve"> was comparable to placebo at Month 3 and compa</w:t>
            </w:r>
            <w:r w:rsidR="00D273EC">
              <w:rPr>
                <w:sz w:val="20"/>
                <w:szCs w:val="20"/>
              </w:rPr>
              <w:t xml:space="preserve">rable to </w:t>
            </w:r>
            <w:proofErr w:type="spellStart"/>
            <w:r w:rsidR="00D273EC">
              <w:rPr>
                <w:sz w:val="20"/>
                <w:szCs w:val="20"/>
              </w:rPr>
              <w:t>adalimumab</w:t>
            </w:r>
            <w:proofErr w:type="spellEnd"/>
            <w:r w:rsidR="00D273EC">
              <w:rPr>
                <w:sz w:val="20"/>
                <w:szCs w:val="20"/>
              </w:rPr>
              <w:t xml:space="preserve"> at Month12.</w:t>
            </w:r>
          </w:p>
          <w:p w14:paraId="33511A4E" w14:textId="77777777" w:rsidR="007A55D9" w:rsidRPr="00D273EC" w:rsidRDefault="007A55D9" w:rsidP="00AA577E">
            <w:pPr>
              <w:keepNext/>
              <w:ind w:left="0" w:right="0"/>
              <w:rPr>
                <w:sz w:val="20"/>
                <w:szCs w:val="20"/>
              </w:rPr>
            </w:pPr>
            <w:r w:rsidRPr="00D273EC">
              <w:rPr>
                <w:sz w:val="20"/>
                <w:szCs w:val="20"/>
              </w:rPr>
              <w:t xml:space="preserve">The overall rates for SAEs and AEs leading to discontinuation were low and similar to the </w:t>
            </w:r>
            <w:proofErr w:type="spellStart"/>
            <w:r w:rsidRPr="00D273EC">
              <w:rPr>
                <w:sz w:val="20"/>
                <w:szCs w:val="20"/>
              </w:rPr>
              <w:t>adalimumab</w:t>
            </w:r>
            <w:proofErr w:type="spellEnd"/>
            <w:r w:rsidRPr="00D273EC">
              <w:rPr>
                <w:sz w:val="20"/>
                <w:szCs w:val="20"/>
              </w:rPr>
              <w:t xml:space="preserve"> group.</w:t>
            </w:r>
          </w:p>
          <w:p w14:paraId="496ADFA1" w14:textId="77777777" w:rsidR="007A55D9" w:rsidRPr="00D273EC" w:rsidRDefault="007A55D9" w:rsidP="00AA577E">
            <w:pPr>
              <w:keepNext/>
              <w:ind w:left="0" w:right="0"/>
              <w:rPr>
                <w:sz w:val="20"/>
                <w:szCs w:val="20"/>
              </w:rPr>
            </w:pPr>
            <w:r w:rsidRPr="00D273EC">
              <w:rPr>
                <w:sz w:val="20"/>
                <w:szCs w:val="20"/>
              </w:rPr>
              <w:t>The rate of death was low and similar to that observed in observational studies.</w:t>
            </w:r>
          </w:p>
          <w:p w14:paraId="2411ED4B" w14:textId="77777777" w:rsidR="007A55D9" w:rsidRPr="00D273EC" w:rsidRDefault="007A55D9" w:rsidP="00AA577E">
            <w:pPr>
              <w:keepNext/>
              <w:ind w:left="0" w:right="0"/>
              <w:rPr>
                <w:sz w:val="20"/>
                <w:szCs w:val="20"/>
              </w:rPr>
            </w:pPr>
            <w:r w:rsidRPr="00D273EC">
              <w:rPr>
                <w:sz w:val="20"/>
                <w:szCs w:val="20"/>
              </w:rPr>
              <w:t>The rates of AEs of special interest were low and comparable to the RA. No opportunistic infectio</w:t>
            </w:r>
            <w:r w:rsidR="00AA577E">
              <w:rPr>
                <w:sz w:val="20"/>
                <w:szCs w:val="20"/>
              </w:rPr>
              <w:t>ns other than HZ were reported.</w:t>
            </w:r>
          </w:p>
          <w:p w14:paraId="5EC92CDD" w14:textId="77777777" w:rsidR="007A55D9" w:rsidRPr="00D273EC" w:rsidRDefault="007A55D9" w:rsidP="00AA577E">
            <w:pPr>
              <w:keepNext/>
              <w:ind w:left="0" w:right="0"/>
              <w:rPr>
                <w:sz w:val="20"/>
                <w:szCs w:val="20"/>
              </w:rPr>
            </w:pPr>
            <w:r w:rsidRPr="00D273EC">
              <w:rPr>
                <w:sz w:val="20"/>
                <w:szCs w:val="20"/>
              </w:rPr>
              <w:t>Data in racial grou</w:t>
            </w:r>
            <w:r w:rsidR="00AA577E">
              <w:rPr>
                <w:sz w:val="20"/>
                <w:szCs w:val="20"/>
              </w:rPr>
              <w:t>ps other than White are sparse.</w:t>
            </w:r>
          </w:p>
          <w:p w14:paraId="66CAF339" w14:textId="77777777" w:rsidR="007A55D9" w:rsidRPr="00D273EC" w:rsidRDefault="007A55D9" w:rsidP="00AA577E">
            <w:pPr>
              <w:keepNext/>
              <w:ind w:left="0" w:right="0"/>
              <w:rPr>
                <w:sz w:val="20"/>
                <w:szCs w:val="20"/>
              </w:rPr>
            </w:pPr>
            <w:r w:rsidRPr="00D273EC">
              <w:rPr>
                <w:sz w:val="20"/>
                <w:szCs w:val="20"/>
              </w:rPr>
              <w:t>No new safety signals or ADRs observed.</w:t>
            </w:r>
          </w:p>
        </w:tc>
        <w:tc>
          <w:tcPr>
            <w:tcW w:w="4394" w:type="dxa"/>
          </w:tcPr>
          <w:p w14:paraId="12E1C2DA" w14:textId="77777777" w:rsidR="007A55D9" w:rsidRPr="00D273EC" w:rsidRDefault="007A55D9" w:rsidP="00AA577E">
            <w:pPr>
              <w:keepNext/>
              <w:ind w:left="0" w:right="0"/>
              <w:rPr>
                <w:sz w:val="20"/>
                <w:szCs w:val="20"/>
              </w:rPr>
            </w:pPr>
            <w:r w:rsidRPr="00D273EC">
              <w:rPr>
                <w:sz w:val="20"/>
                <w:szCs w:val="20"/>
              </w:rPr>
              <w:t>Patient numbers were relatively low but c</w:t>
            </w:r>
            <w:r w:rsidR="00AA577E">
              <w:rPr>
                <w:sz w:val="20"/>
                <w:szCs w:val="20"/>
              </w:rPr>
              <w:t>onsistent with the RA program.</w:t>
            </w:r>
          </w:p>
          <w:p w14:paraId="79FCE34F" w14:textId="77777777" w:rsidR="007A55D9" w:rsidRPr="00D273EC" w:rsidRDefault="007A55D9" w:rsidP="00AA577E">
            <w:pPr>
              <w:keepNext/>
              <w:ind w:left="0" w:right="0"/>
              <w:rPr>
                <w:sz w:val="20"/>
                <w:szCs w:val="20"/>
              </w:rPr>
            </w:pPr>
            <w:r w:rsidRPr="00D273EC">
              <w:rPr>
                <w:sz w:val="20"/>
                <w:szCs w:val="20"/>
              </w:rPr>
              <w:t>The incidences of serious infections and HZ are notably higher in elderly patients compare</w:t>
            </w:r>
            <w:r w:rsidR="00AA577E">
              <w:rPr>
                <w:sz w:val="20"/>
                <w:szCs w:val="20"/>
              </w:rPr>
              <w:t>d with patients aged &lt; 65 years.</w:t>
            </w:r>
          </w:p>
          <w:p w14:paraId="75A93DCA" w14:textId="77777777" w:rsidR="007A55D9" w:rsidRPr="00D273EC" w:rsidRDefault="007A55D9" w:rsidP="00AA577E">
            <w:pPr>
              <w:keepNext/>
              <w:ind w:left="0" w:right="0"/>
              <w:rPr>
                <w:sz w:val="20"/>
                <w:szCs w:val="20"/>
              </w:rPr>
            </w:pPr>
            <w:r w:rsidRPr="00D273EC">
              <w:rPr>
                <w:sz w:val="20"/>
                <w:szCs w:val="20"/>
              </w:rPr>
              <w:t xml:space="preserve">Unexpected, less common ADRs may emerge in the </w:t>
            </w:r>
            <w:proofErr w:type="spellStart"/>
            <w:r w:rsidRPr="00D273EC">
              <w:rPr>
                <w:sz w:val="20"/>
                <w:szCs w:val="20"/>
              </w:rPr>
              <w:t>PsA</w:t>
            </w:r>
            <w:proofErr w:type="spellEnd"/>
            <w:r w:rsidRPr="00D273EC">
              <w:rPr>
                <w:sz w:val="20"/>
                <w:szCs w:val="20"/>
              </w:rPr>
              <w:t xml:space="preserve"> population.</w:t>
            </w:r>
          </w:p>
        </w:tc>
      </w:tr>
    </w:tbl>
    <w:p w14:paraId="2BA8BD77" w14:textId="77777777" w:rsidR="00605AD4" w:rsidRPr="00605AD4" w:rsidRDefault="00605AD4" w:rsidP="00605AD4">
      <w:pPr>
        <w:pStyle w:val="Heading4"/>
      </w:pPr>
      <w:r w:rsidRPr="00605AD4">
        <w:t>First round assessment of benefit-risk balance</w:t>
      </w:r>
    </w:p>
    <w:p w14:paraId="037942B8" w14:textId="77777777" w:rsidR="007A55D9" w:rsidRDefault="007A55D9" w:rsidP="007A55D9">
      <w:r>
        <w:t xml:space="preserve">The efficacy of </w:t>
      </w:r>
      <w:proofErr w:type="spellStart"/>
      <w:r>
        <w:t>tofacitinib</w:t>
      </w:r>
      <w:proofErr w:type="spellEnd"/>
      <w:r>
        <w:t xml:space="preserve"> 5 mg </w:t>
      </w:r>
      <w:r w:rsidR="003A1B70">
        <w:t>BD</w:t>
      </w:r>
      <w:r>
        <w:t xml:space="preserve"> is superior to placebo and comparable to </w:t>
      </w:r>
      <w:proofErr w:type="spellStart"/>
      <w:r>
        <w:t>adalimumab</w:t>
      </w:r>
      <w:proofErr w:type="spellEnd"/>
      <w:r>
        <w:t xml:space="preserve">, a standard of care TNFI for the treatment of the signs and symptoms of </w:t>
      </w:r>
      <w:proofErr w:type="spellStart"/>
      <w:r>
        <w:t>PsA.</w:t>
      </w:r>
      <w:proofErr w:type="spellEnd"/>
      <w:r>
        <w:t xml:space="preserve"> In the pivotal studies, it was also effective against plaque psoriasis in patients with </w:t>
      </w:r>
      <w:proofErr w:type="spellStart"/>
      <w:r>
        <w:t>PsA.</w:t>
      </w:r>
      <w:proofErr w:type="spellEnd"/>
      <w:r>
        <w:t xml:space="preserve"> No loss of efficacy has been observed for up to three years in the </w:t>
      </w:r>
      <w:r w:rsidR="00AA577E">
        <w:t>long term extension</w:t>
      </w:r>
      <w:r>
        <w:t xml:space="preserve"> study, although prevention of joint damage has not been studied beyond one year. It is given orally which may be more suitable for some patients than subcutaneous </w:t>
      </w:r>
      <w:proofErr w:type="spellStart"/>
      <w:r>
        <w:t>bDMARDs</w:t>
      </w:r>
      <w:proofErr w:type="spellEnd"/>
      <w:r>
        <w:t xml:space="preserve"> such as TNFIs. It is effective in patients with an inadequate response to previous TNFI therapies, and efficacy is not affected b</w:t>
      </w:r>
      <w:r w:rsidR="00AA577E">
        <w:t>y anti-drug antibodies. Data is</w:t>
      </w:r>
      <w:r>
        <w:t xml:space="preserve"> incomplete for races other than White; however, it is effective in other su</w:t>
      </w:r>
      <w:r w:rsidR="00AA577E">
        <w:t xml:space="preserve">b </w:t>
      </w:r>
      <w:r>
        <w:t xml:space="preserve">groups irrespective of age, gender, and baseline disease activity. Tofacitinib is well tolerated with an AE profile comparable to placebo, and comparable to the safety profile of </w:t>
      </w:r>
      <w:proofErr w:type="spellStart"/>
      <w:r>
        <w:t>tofacitinib</w:t>
      </w:r>
      <w:proofErr w:type="spellEnd"/>
      <w:r>
        <w:t xml:space="preserve"> for the RA indication. The frequency of ADRs commonly associated with immune suppression is low a</w:t>
      </w:r>
      <w:r w:rsidR="00AA577E">
        <w:t xml:space="preserve">nd comparable to other </w:t>
      </w:r>
      <w:proofErr w:type="spellStart"/>
      <w:r w:rsidR="00AA577E">
        <w:t>bDMARDs</w:t>
      </w:r>
      <w:proofErr w:type="spellEnd"/>
      <w:r w:rsidR="00AA577E">
        <w:t>.</w:t>
      </w:r>
    </w:p>
    <w:p w14:paraId="5E014111" w14:textId="7C75EBA9" w:rsidR="00605AD4" w:rsidRPr="00605AD4" w:rsidRDefault="007A55D9" w:rsidP="007A55D9">
      <w:r>
        <w:t xml:space="preserve">However, there are no efficacy data to support the use of Xeljanz as monotherapy in patients who have been intolerant to a prior DMARD therapy and this information has not been specified in the proposed wording of the indication. Hence, the benefit risk balance of </w:t>
      </w:r>
      <w:proofErr w:type="spellStart"/>
      <w:r>
        <w:t>tofacitinib</w:t>
      </w:r>
      <w:proofErr w:type="spellEnd"/>
      <w:r>
        <w:t xml:space="preserve"> for the proposed usage is unfavourable but would become favourable if the changes recommended in </w:t>
      </w:r>
      <w:r w:rsidR="00AA577E">
        <w:t>the following section</w:t>
      </w:r>
      <w:r>
        <w:t xml:space="preserve"> </w:t>
      </w:r>
      <w:r w:rsidR="004E3C70">
        <w:t xml:space="preserve">(Section: </w:t>
      </w:r>
      <w:r w:rsidR="004E3C70" w:rsidRPr="00DE118A">
        <w:rPr>
          <w:i/>
        </w:rPr>
        <w:t>First round recommendation regarding authorisation</w:t>
      </w:r>
      <w:r w:rsidR="004E3C70">
        <w:t xml:space="preserve">) </w:t>
      </w:r>
      <w:r>
        <w:t>are adopted.</w:t>
      </w:r>
    </w:p>
    <w:p w14:paraId="712A1A2A" w14:textId="13934EB8" w:rsidR="00605AD4" w:rsidRPr="00605AD4" w:rsidRDefault="00605AD4" w:rsidP="00605AD4">
      <w:pPr>
        <w:pStyle w:val="Heading3"/>
        <w:rPr>
          <w:rFonts w:eastAsia="Cambria"/>
        </w:rPr>
      </w:pPr>
      <w:bookmarkStart w:id="166" w:name="_Toc22048620"/>
      <w:r w:rsidRPr="00605AD4">
        <w:rPr>
          <w:rFonts w:eastAsia="Cambria"/>
        </w:rPr>
        <w:t xml:space="preserve">First </w:t>
      </w:r>
      <w:r w:rsidR="0063014B" w:rsidRPr="00605AD4">
        <w:rPr>
          <w:rFonts w:eastAsia="Cambria"/>
        </w:rPr>
        <w:t>round recommendation regarding authorisation</w:t>
      </w:r>
      <w:bookmarkEnd w:id="166"/>
    </w:p>
    <w:p w14:paraId="773ABA29" w14:textId="77777777" w:rsidR="007A55D9" w:rsidRDefault="007A55D9" w:rsidP="007A55D9">
      <w:r>
        <w:t>Authorisation is not recommended for the proposed new indication:</w:t>
      </w:r>
    </w:p>
    <w:p w14:paraId="2304AF4E" w14:textId="77777777" w:rsidR="007A55D9" w:rsidRPr="00AA577E" w:rsidRDefault="007A55D9" w:rsidP="00AA577E">
      <w:pPr>
        <w:ind w:left="720"/>
        <w:rPr>
          <w:i/>
        </w:rPr>
      </w:pPr>
      <w:r w:rsidRPr="00AA577E">
        <w:rPr>
          <w:i/>
        </w:rPr>
        <w:t>Xeljanz is indicated for the treatment of active psoriatic arthritis in adult patients who have had an inadequate response or who have been intol</w:t>
      </w:r>
      <w:r w:rsidR="00AA577E" w:rsidRPr="00AA577E">
        <w:rPr>
          <w:i/>
        </w:rPr>
        <w:t>erant to a prior DMARD therapy.</w:t>
      </w:r>
    </w:p>
    <w:p w14:paraId="05C61948" w14:textId="77777777" w:rsidR="007A55D9" w:rsidRDefault="007A55D9" w:rsidP="007A55D9">
      <w:r>
        <w:t>However, approval is recommended for the revised indication below:</w:t>
      </w:r>
    </w:p>
    <w:p w14:paraId="1BC49FBF" w14:textId="77777777" w:rsidR="007A55D9" w:rsidRPr="00AA577E" w:rsidRDefault="007A55D9" w:rsidP="00AA577E">
      <w:pPr>
        <w:ind w:left="720"/>
        <w:rPr>
          <w:i/>
        </w:rPr>
      </w:pPr>
      <w:r w:rsidRPr="00AA577E">
        <w:rPr>
          <w:i/>
        </w:rPr>
        <w:lastRenderedPageBreak/>
        <w:t>Xeljanz in combination with non-biological DMARDs is indicated for the treatment of active psoriatic arthritis in adult patients who have had an inadequate res</w:t>
      </w:r>
      <w:r w:rsidR="00AA577E" w:rsidRPr="00AA577E">
        <w:rPr>
          <w:i/>
        </w:rPr>
        <w:t>ponse to a prior DMARD therapy.</w:t>
      </w:r>
    </w:p>
    <w:p w14:paraId="61312BE4" w14:textId="77777777" w:rsidR="007A55D9" w:rsidRDefault="007A55D9" w:rsidP="007A55D9">
      <w:r>
        <w:t xml:space="preserve">The efficacy data in the pivotal studies support the use of </w:t>
      </w:r>
      <w:r w:rsidR="00AA577E">
        <w:t xml:space="preserve">Xeljanz </w:t>
      </w:r>
      <w:r>
        <w:t>in combination with background DMARD therapy in patients who have had an inadequate response to a DMARD alone. However, there are no efficacy data to support the use of Xeljanz in patients who have been intolerant to a prior DMARD therapy or as monoth</w:t>
      </w:r>
      <w:r w:rsidR="00AA577E">
        <w:t>erapy (see Clinical Questions).</w:t>
      </w:r>
    </w:p>
    <w:p w14:paraId="366DAAF0" w14:textId="77777777" w:rsidR="00605AD4" w:rsidRDefault="007A55D9" w:rsidP="007A55D9">
      <w:r>
        <w:t>The above approval is subject to satisfactory re</w:t>
      </w:r>
      <w:r w:rsidR="00450021">
        <w:t xml:space="preserve">sponse to comments on </w:t>
      </w:r>
      <w:r w:rsidR="00EA3CE4">
        <w:t xml:space="preserve">the </w:t>
      </w:r>
      <w:r w:rsidR="00450021">
        <w:t xml:space="preserve">draft PI </w:t>
      </w:r>
      <w:r>
        <w:t>and clini</w:t>
      </w:r>
      <w:r w:rsidR="00AA577E">
        <w:t>cal questions</w:t>
      </w:r>
      <w:r>
        <w:t>.</w:t>
      </w:r>
    </w:p>
    <w:p w14:paraId="28437C40" w14:textId="4274BF30" w:rsidR="00605AD4" w:rsidRPr="00605AD4" w:rsidRDefault="002F5122" w:rsidP="00605AD4">
      <w:pPr>
        <w:pStyle w:val="Heading3"/>
        <w:rPr>
          <w:rFonts w:eastAsia="Cambria"/>
        </w:rPr>
      </w:pPr>
      <w:bookmarkStart w:id="167" w:name="_Toc22048621"/>
      <w:r w:rsidRPr="002F5122">
        <w:t xml:space="preserve">Clinical </w:t>
      </w:r>
      <w:r w:rsidR="0063014B" w:rsidRPr="002F5122">
        <w:t>questions</w:t>
      </w:r>
      <w:r w:rsidR="0063014B">
        <w:t xml:space="preserve"> and </w:t>
      </w:r>
      <w:r w:rsidR="0063014B" w:rsidRPr="00605AD4">
        <w:rPr>
          <w:rFonts w:eastAsia="Cambria"/>
        </w:rPr>
        <w:t>second round evaluation</w:t>
      </w:r>
      <w:bookmarkEnd w:id="167"/>
    </w:p>
    <w:p w14:paraId="40026C88" w14:textId="77777777" w:rsidR="007A55D9" w:rsidRDefault="007A55D9" w:rsidP="007A55D9">
      <w:r>
        <w:t>The initial questions from the first round report are repeated below followed by summary of the sponsor’s response and then the evaluator’s comm</w:t>
      </w:r>
      <w:r w:rsidR="00AA577E">
        <w:t>ents on the sponsor’s response.</w:t>
      </w:r>
    </w:p>
    <w:p w14:paraId="380A699C" w14:textId="77777777" w:rsidR="007A55D9" w:rsidRDefault="00AA577E" w:rsidP="00AA577E">
      <w:pPr>
        <w:pStyle w:val="Heading4"/>
      </w:pPr>
      <w:r>
        <w:t>Question 1</w:t>
      </w:r>
    </w:p>
    <w:p w14:paraId="0282551A" w14:textId="77777777" w:rsidR="007A55D9" w:rsidRPr="00DE118A" w:rsidRDefault="007A55D9" w:rsidP="00DE118A">
      <w:pPr>
        <w:rPr>
          <w:b/>
          <w:i/>
        </w:rPr>
      </w:pPr>
      <w:r w:rsidRPr="00DE118A">
        <w:rPr>
          <w:b/>
          <w:i/>
        </w:rPr>
        <w:t xml:space="preserve">In the </w:t>
      </w:r>
      <w:r w:rsidR="00AA577E" w:rsidRPr="00DE118A">
        <w:rPr>
          <w:b/>
          <w:i/>
        </w:rPr>
        <w:t>open label long term extension S</w:t>
      </w:r>
      <w:r w:rsidRPr="00DE118A">
        <w:rPr>
          <w:b/>
          <w:i/>
        </w:rPr>
        <w:t xml:space="preserve">tudy A3921092, the percentages of patients maintained long-term on the 5 mg </w:t>
      </w:r>
      <w:r w:rsidR="003A1B70" w:rsidRPr="00DE118A">
        <w:rPr>
          <w:b/>
          <w:i/>
        </w:rPr>
        <w:t>BD</w:t>
      </w:r>
      <w:r w:rsidRPr="00DE118A">
        <w:rPr>
          <w:b/>
          <w:i/>
        </w:rPr>
        <w:t xml:space="preserve"> dose and those perceived to require the 10 mg </w:t>
      </w:r>
      <w:r w:rsidR="003A1B70" w:rsidRPr="00DE118A">
        <w:rPr>
          <w:b/>
          <w:i/>
        </w:rPr>
        <w:t>BD</w:t>
      </w:r>
      <w:r w:rsidRPr="00DE118A">
        <w:rPr>
          <w:b/>
          <w:i/>
        </w:rPr>
        <w:t xml:space="preserve"> dose do not </w:t>
      </w:r>
      <w:r w:rsidR="00AA577E" w:rsidRPr="00DE118A">
        <w:rPr>
          <w:b/>
          <w:i/>
        </w:rPr>
        <w:t>appear to be reported in the clinical study report</w:t>
      </w:r>
      <w:r w:rsidRPr="00DE118A">
        <w:rPr>
          <w:b/>
          <w:i/>
        </w:rPr>
        <w:t xml:space="preserve">. Please provide these data or provide the link in the </w:t>
      </w:r>
      <w:r w:rsidR="00AA577E" w:rsidRPr="00DE118A">
        <w:rPr>
          <w:b/>
          <w:i/>
        </w:rPr>
        <w:t>clinical study report</w:t>
      </w:r>
      <w:r w:rsidRPr="00DE118A">
        <w:rPr>
          <w:b/>
          <w:i/>
        </w:rPr>
        <w:t>. It is understood that the efficacy rates for the two doses were comparable in the qualifying studies.</w:t>
      </w:r>
    </w:p>
    <w:p w14:paraId="5D07683D" w14:textId="77777777" w:rsidR="007A55D9" w:rsidRDefault="00D0468C" w:rsidP="00AA577E">
      <w:pPr>
        <w:pStyle w:val="Heading5"/>
      </w:pPr>
      <w:r>
        <w:t>Sponsor’s r</w:t>
      </w:r>
      <w:r w:rsidR="00AA577E">
        <w:t>esponse</w:t>
      </w:r>
    </w:p>
    <w:p w14:paraId="0036C2EF" w14:textId="1DEE6919" w:rsidR="007A55D9" w:rsidRDefault="007A55D9" w:rsidP="007A55D9">
      <w:r>
        <w:t xml:space="preserve">Dose switching was reported post hoc so the data were not included in the </w:t>
      </w:r>
      <w:r w:rsidR="00AA577E">
        <w:t>clinical study report</w:t>
      </w:r>
      <w:r>
        <w:t xml:space="preserve">. Approximately 67% of patients had not increased the </w:t>
      </w:r>
      <w:proofErr w:type="spellStart"/>
      <w:r>
        <w:t>tofacitinib</w:t>
      </w:r>
      <w:proofErr w:type="spellEnd"/>
      <w:r>
        <w:t xml:space="preserve"> 5 mg </w:t>
      </w:r>
      <w:r w:rsidR="003A1B70">
        <w:t>BD</w:t>
      </w:r>
      <w:r>
        <w:t xml:space="preserve"> dose at the time of database lock (</w:t>
      </w:r>
      <w:r w:rsidR="00AA577E">
        <w:fldChar w:fldCharType="begin"/>
      </w:r>
      <w:r w:rsidR="00AA577E">
        <w:instrText xml:space="preserve"> REF _Ref17284220 \h </w:instrText>
      </w:r>
      <w:r w:rsidR="00AA577E">
        <w:fldChar w:fldCharType="separate"/>
      </w:r>
      <w:r w:rsidR="00BD60C9">
        <w:t xml:space="preserve">Table </w:t>
      </w:r>
      <w:r w:rsidR="00BD60C9">
        <w:rPr>
          <w:noProof/>
        </w:rPr>
        <w:t>13</w:t>
      </w:r>
      <w:r w:rsidR="00AA577E">
        <w:fldChar w:fldCharType="end"/>
      </w:r>
      <w:r>
        <w:t xml:space="preserve">). Of the patients who increased the </w:t>
      </w:r>
      <w:proofErr w:type="spellStart"/>
      <w:r>
        <w:t>tofacitinib</w:t>
      </w:r>
      <w:proofErr w:type="spellEnd"/>
      <w:r>
        <w:t xml:space="preserve"> dose to 10 mg </w:t>
      </w:r>
      <w:r w:rsidR="003A1B70">
        <w:t>BD</w:t>
      </w:r>
      <w:r>
        <w:t xml:space="preserve">, nearly half </w:t>
      </w:r>
      <w:r w:rsidR="00AA577E">
        <w:t>had multiple dose switches (that is,</w:t>
      </w:r>
      <w:r>
        <w:t xml:space="preserve"> dose reduction back to 5 mg </w:t>
      </w:r>
      <w:r w:rsidR="003A1B70">
        <w:t>BD</w:t>
      </w:r>
      <w:r>
        <w:t xml:space="preserve">, followed by increases back to 10 mg </w:t>
      </w:r>
      <w:r w:rsidR="003A1B70">
        <w:t>BD</w:t>
      </w:r>
      <w:r>
        <w:t xml:space="preserve">). In patients maintained on a constant dose of 5 mg </w:t>
      </w:r>
      <w:r w:rsidR="003A1B70">
        <w:t>BD</w:t>
      </w:r>
      <w:r>
        <w:t xml:space="preserve">, the ACR20 response rate and change </w:t>
      </w:r>
      <w:r w:rsidR="00317963">
        <w:t>from Baseline</w:t>
      </w:r>
      <w:r>
        <w:t xml:space="preserve"> in HAQ-DI were comparable to the </w:t>
      </w:r>
      <w:r w:rsidR="004E3C70">
        <w:t>full analysis set</w:t>
      </w:r>
      <w:r>
        <w:t>.</w:t>
      </w:r>
    </w:p>
    <w:p w14:paraId="4FE0FBFA" w14:textId="25907D24" w:rsidR="00AA577E" w:rsidRDefault="00AA577E" w:rsidP="00AA577E">
      <w:pPr>
        <w:pStyle w:val="TableTitle"/>
      </w:pPr>
      <w:bookmarkStart w:id="168" w:name="_Ref17284220"/>
      <w:r>
        <w:t xml:space="preserve">Table </w:t>
      </w:r>
      <w:fldSimple w:instr=" SEQ Table \* ARABIC ">
        <w:r w:rsidR="0061158C">
          <w:rPr>
            <w:noProof/>
          </w:rPr>
          <w:t>13</w:t>
        </w:r>
      </w:fldSimple>
      <w:bookmarkEnd w:id="168"/>
      <w:r>
        <w:t xml:space="preserve">: </w:t>
      </w:r>
      <w:r w:rsidR="004E3C70" w:rsidRPr="004E3C70">
        <w:t>Study A3921092</w:t>
      </w:r>
      <w:r w:rsidR="004E3C70">
        <w:t xml:space="preserve"> </w:t>
      </w:r>
      <w:r>
        <w:t xml:space="preserve">Dose switching patterns in long term extension </w:t>
      </w:r>
      <w:r w:rsidR="004E3C70">
        <w:t>study</w:t>
      </w:r>
    </w:p>
    <w:p w14:paraId="052F85A9" w14:textId="77777777" w:rsidR="00AA577E" w:rsidRDefault="00AA577E" w:rsidP="007A55D9">
      <w:r>
        <w:rPr>
          <w:noProof/>
          <w:lang w:eastAsia="en-AU"/>
        </w:rPr>
        <w:drawing>
          <wp:inline distT="0" distB="0" distL="0" distR="0" wp14:anchorId="08C85821" wp14:editId="08E995B6">
            <wp:extent cx="4893868" cy="2725613"/>
            <wp:effectExtent l="0" t="0" r="2540" b="0"/>
            <wp:docPr id="25" name="Picture 25" descr="Dose switching patterns in long term extension Study A392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95455" cy="2726497"/>
                    </a:xfrm>
                    <a:prstGeom prst="rect">
                      <a:avLst/>
                    </a:prstGeom>
                  </pic:spPr>
                </pic:pic>
              </a:graphicData>
            </a:graphic>
          </wp:inline>
        </w:drawing>
      </w:r>
    </w:p>
    <w:p w14:paraId="0B274C1C" w14:textId="77777777" w:rsidR="007A55D9" w:rsidRDefault="00AA577E" w:rsidP="00AA577E">
      <w:pPr>
        <w:pStyle w:val="Heading5"/>
      </w:pPr>
      <w:r>
        <w:lastRenderedPageBreak/>
        <w:t>Evaluation of response</w:t>
      </w:r>
    </w:p>
    <w:p w14:paraId="7D9F8BFC" w14:textId="77777777" w:rsidR="007A55D9" w:rsidRDefault="007A55D9" w:rsidP="007A55D9">
      <w:r>
        <w:t xml:space="preserve">The sponsor’s response is satisfactory. The majority of patients were maintained on </w:t>
      </w:r>
      <w:proofErr w:type="spellStart"/>
      <w:r>
        <w:t>tofacitinib</w:t>
      </w:r>
      <w:proofErr w:type="spellEnd"/>
      <w:r>
        <w:t xml:space="preserve"> 5 mg </w:t>
      </w:r>
      <w:r w:rsidR="003A1B70">
        <w:t>BD</w:t>
      </w:r>
      <w:r>
        <w:t xml:space="preserve"> throughout the evaluation period. A t</w:t>
      </w:r>
      <w:r w:rsidR="00AA577E">
        <w:t>otal of 33% of patients were up</w:t>
      </w:r>
      <w:r w:rsidR="00AA577E">
        <w:noBreakHyphen/>
      </w:r>
      <w:r>
        <w:t xml:space="preserve">titrated to 10 mg </w:t>
      </w:r>
      <w:r w:rsidR="003A1B70">
        <w:t>BD</w:t>
      </w:r>
      <w:r>
        <w:t xml:space="preserve"> but 31% of these were subsequently switched from one dose to other during continued treatment.</w:t>
      </w:r>
    </w:p>
    <w:p w14:paraId="6CCA3D21" w14:textId="77777777" w:rsidR="007A55D9" w:rsidRDefault="00AA577E" w:rsidP="00AA577E">
      <w:pPr>
        <w:pStyle w:val="Heading4"/>
      </w:pPr>
      <w:r>
        <w:t>Question 2</w:t>
      </w:r>
    </w:p>
    <w:p w14:paraId="2597FB20" w14:textId="3667FC4F" w:rsidR="007A55D9" w:rsidRPr="00DE118A" w:rsidRDefault="004E3C70" w:rsidP="00DE118A">
      <w:pPr>
        <w:rPr>
          <w:b/>
          <w:i/>
        </w:rPr>
      </w:pPr>
      <w:r w:rsidRPr="00DE118A">
        <w:rPr>
          <w:b/>
          <w:i/>
        </w:rPr>
        <w:t xml:space="preserve">Regarding the </w:t>
      </w:r>
      <w:r w:rsidR="007A55D9" w:rsidRPr="00DE118A">
        <w:rPr>
          <w:b/>
          <w:i/>
        </w:rPr>
        <w:t>S</w:t>
      </w:r>
      <w:r w:rsidR="0061158C" w:rsidRPr="00DE118A">
        <w:rPr>
          <w:b/>
          <w:i/>
        </w:rPr>
        <w:t>ummary of c</w:t>
      </w:r>
      <w:r w:rsidR="007A55D9" w:rsidRPr="00DE118A">
        <w:rPr>
          <w:b/>
          <w:i/>
        </w:rPr>
        <w:t>linical safety</w:t>
      </w:r>
      <w:r w:rsidRPr="00DE118A">
        <w:rPr>
          <w:b/>
          <w:i/>
        </w:rPr>
        <w:t>,</w:t>
      </w:r>
      <w:r w:rsidR="00DE118A">
        <w:rPr>
          <w:b/>
          <w:i/>
        </w:rPr>
        <w:t xml:space="preserve"> </w:t>
      </w:r>
      <w:r w:rsidRPr="00DE118A">
        <w:rPr>
          <w:b/>
          <w:i/>
        </w:rPr>
        <w:t>p</w:t>
      </w:r>
      <w:r w:rsidR="007A55D9" w:rsidRPr="00DE118A">
        <w:rPr>
          <w:b/>
          <w:i/>
        </w:rPr>
        <w:t xml:space="preserve">lease provide an overview of </w:t>
      </w:r>
      <w:r w:rsidR="00AD48D7" w:rsidRPr="00DE118A">
        <w:rPr>
          <w:b/>
          <w:i/>
        </w:rPr>
        <w:t>treatment emergent adverse events (</w:t>
      </w:r>
      <w:r w:rsidR="007A55D9" w:rsidRPr="00DE118A">
        <w:rPr>
          <w:b/>
          <w:i/>
        </w:rPr>
        <w:t>TEAEs</w:t>
      </w:r>
      <w:r w:rsidR="00AD48D7" w:rsidRPr="00DE118A">
        <w:rPr>
          <w:b/>
          <w:i/>
        </w:rPr>
        <w:t>)</w:t>
      </w:r>
      <w:r w:rsidR="007A55D9" w:rsidRPr="00DE118A">
        <w:rPr>
          <w:b/>
          <w:i/>
        </w:rPr>
        <w:t xml:space="preserve"> in Cohort 2a (12 month data) corresponding to Table </w:t>
      </w:r>
      <w:r w:rsidRPr="00DE118A">
        <w:rPr>
          <w:b/>
          <w:i/>
        </w:rPr>
        <w:t>14</w:t>
      </w:r>
      <w:r w:rsidR="007A55D9" w:rsidRPr="00DE118A">
        <w:rPr>
          <w:b/>
          <w:i/>
        </w:rPr>
        <w:t xml:space="preserve"> for Cohort 2. Please also provide a summary of AEs by SOC and </w:t>
      </w:r>
      <w:r w:rsidRPr="00DE118A">
        <w:rPr>
          <w:b/>
          <w:i/>
        </w:rPr>
        <w:t>Preferred Term (</w:t>
      </w:r>
      <w:r w:rsidR="007A55D9" w:rsidRPr="00DE118A">
        <w:rPr>
          <w:b/>
          <w:i/>
        </w:rPr>
        <w:t>PT</w:t>
      </w:r>
      <w:r w:rsidRPr="00DE118A">
        <w:rPr>
          <w:b/>
          <w:i/>
        </w:rPr>
        <w:t>)</w:t>
      </w:r>
      <w:r w:rsidR="007A55D9" w:rsidRPr="00DE118A">
        <w:rPr>
          <w:b/>
          <w:i/>
        </w:rPr>
        <w:t xml:space="preserve"> correspo</w:t>
      </w:r>
      <w:r w:rsidR="00AA577E" w:rsidRPr="00DE118A">
        <w:rPr>
          <w:b/>
          <w:i/>
        </w:rPr>
        <w:t xml:space="preserve">nding to Table </w:t>
      </w:r>
      <w:r w:rsidRPr="00DE118A">
        <w:rPr>
          <w:b/>
          <w:i/>
        </w:rPr>
        <w:t xml:space="preserve">15 </w:t>
      </w:r>
      <w:r w:rsidR="00AA577E" w:rsidRPr="00DE118A">
        <w:rPr>
          <w:b/>
          <w:i/>
        </w:rPr>
        <w:t>for Cohort 2.</w:t>
      </w:r>
    </w:p>
    <w:p w14:paraId="5289AFE6" w14:textId="260E613C" w:rsidR="00D84F49" w:rsidRDefault="00D84F49" w:rsidP="0061158C">
      <w:pPr>
        <w:pStyle w:val="TableTitle"/>
      </w:pPr>
      <w:r>
        <w:t xml:space="preserve">Table </w:t>
      </w:r>
      <w:fldSimple w:instr=" SEQ Table \* ARABIC ">
        <w:r w:rsidR="0061158C">
          <w:rPr>
            <w:noProof/>
          </w:rPr>
          <w:t>14</w:t>
        </w:r>
      </w:fldSimple>
      <w:r>
        <w:t xml:space="preserve">: </w:t>
      </w:r>
      <w:r w:rsidR="004E3C70">
        <w:t>Summary of clinical safety; t</w:t>
      </w:r>
      <w:r>
        <w:t xml:space="preserve">reatment </w:t>
      </w:r>
      <w:r w:rsidR="004E3C70">
        <w:t xml:space="preserve">emergent adverse events </w:t>
      </w:r>
      <w:r>
        <w:t>(</w:t>
      </w:r>
      <w:r w:rsidR="0061158C">
        <w:t>all causalities)</w:t>
      </w:r>
      <w:r w:rsidR="004E3C70">
        <w:t>,</w:t>
      </w:r>
      <w:r w:rsidR="0061158C">
        <w:t xml:space="preserve"> 6 </w:t>
      </w:r>
      <w:r>
        <w:t>month dose comparison (Cohort 2)</w:t>
      </w:r>
    </w:p>
    <w:p w14:paraId="072DEA04" w14:textId="77777777" w:rsidR="00D84F49" w:rsidRPr="0061158C" w:rsidRDefault="00D84F49" w:rsidP="007A55D9">
      <w:r>
        <w:rPr>
          <w:noProof/>
          <w:lang w:eastAsia="en-AU"/>
        </w:rPr>
        <w:drawing>
          <wp:inline distT="0" distB="0" distL="0" distR="0" wp14:anchorId="04212D4B" wp14:editId="07D33AA1">
            <wp:extent cx="4491532" cy="2916137"/>
            <wp:effectExtent l="0" t="0" r="4445" b="0"/>
            <wp:docPr id="5" name="Picture 5" descr="Treatment Emergent Adverse Events (All Causalities): 6-month dose comparison (Cohort 2); Table 18 from summary of clinical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494105" cy="2917807"/>
                    </a:xfrm>
                    <a:prstGeom prst="rect">
                      <a:avLst/>
                    </a:prstGeom>
                  </pic:spPr>
                </pic:pic>
              </a:graphicData>
            </a:graphic>
          </wp:inline>
        </w:drawing>
      </w:r>
    </w:p>
    <w:p w14:paraId="07775EAB" w14:textId="2BAAA010" w:rsidR="0061158C" w:rsidRDefault="0061158C" w:rsidP="0061158C">
      <w:pPr>
        <w:pStyle w:val="TableTitle"/>
      </w:pPr>
      <w:r>
        <w:lastRenderedPageBreak/>
        <w:t xml:space="preserve">Table </w:t>
      </w:r>
      <w:fldSimple w:instr=" SEQ Table \* ARABIC ">
        <w:r>
          <w:rPr>
            <w:noProof/>
          </w:rPr>
          <w:t>15</w:t>
        </w:r>
      </w:fldSimple>
      <w:r>
        <w:t xml:space="preserve">: </w:t>
      </w:r>
      <w:r w:rsidR="00323474">
        <w:t>Summary of clinical safety; t</w:t>
      </w:r>
      <w:r>
        <w:t xml:space="preserve">reatment emergent adverse events with </w:t>
      </w:r>
      <w:r w:rsidR="00323474">
        <w:t>PT</w:t>
      </w:r>
      <w:r>
        <w:t xml:space="preserve"> ≥ 2% occurrence in any treatment group, by </w:t>
      </w:r>
      <w:r w:rsidR="00323474">
        <w:t xml:space="preserve">SOC </w:t>
      </w:r>
      <w:r>
        <w:t xml:space="preserve">and </w:t>
      </w:r>
      <w:r w:rsidR="00323474">
        <w:t>PT</w:t>
      </w:r>
      <w:r>
        <w:t xml:space="preserve"> (all causalities)</w:t>
      </w:r>
      <w:r w:rsidR="00323474">
        <w:t>,</w:t>
      </w:r>
      <w:r>
        <w:t xml:space="preserve"> 6 month dose comparison (Cohort 2)</w:t>
      </w:r>
    </w:p>
    <w:p w14:paraId="097776FA" w14:textId="77777777" w:rsidR="0061158C" w:rsidRPr="00AD48D7" w:rsidRDefault="0061158C" w:rsidP="0061158C">
      <w:r>
        <w:rPr>
          <w:noProof/>
          <w:lang w:eastAsia="en-AU"/>
        </w:rPr>
        <w:drawing>
          <wp:inline distT="0" distB="0" distL="0" distR="0" wp14:anchorId="4D7CD9F0" wp14:editId="49C1AB29">
            <wp:extent cx="4176979" cy="4888761"/>
            <wp:effectExtent l="0" t="0" r="0" b="7620"/>
            <wp:docPr id="7" name="Picture 7" descr="Treatment emergent adverse events with preferred term ≥ 2% occurrence in any treatment group, by system organ class and preferred term (all causalities): 6 month dose comparison (Cohort 2); Table 22 from summary of clinical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78080" cy="4890050"/>
                    </a:xfrm>
                    <a:prstGeom prst="rect">
                      <a:avLst/>
                    </a:prstGeom>
                  </pic:spPr>
                </pic:pic>
              </a:graphicData>
            </a:graphic>
          </wp:inline>
        </w:drawing>
      </w:r>
    </w:p>
    <w:p w14:paraId="471C18C8" w14:textId="77777777" w:rsidR="007A55D9" w:rsidRDefault="00D0468C" w:rsidP="00AD48D7">
      <w:pPr>
        <w:pStyle w:val="Heading5"/>
      </w:pPr>
      <w:r>
        <w:t>Sponsor’s r</w:t>
      </w:r>
      <w:r w:rsidR="00AD48D7">
        <w:t>esponse</w:t>
      </w:r>
    </w:p>
    <w:p w14:paraId="1BEF80D5" w14:textId="71247807" w:rsidR="007A55D9" w:rsidRDefault="007A55D9" w:rsidP="007A55D9">
      <w:r>
        <w:t xml:space="preserve">Overall, the proportion of patients reporting TEAEs up to 12 months of exposure was similar between the two </w:t>
      </w:r>
      <w:proofErr w:type="spellStart"/>
      <w:r>
        <w:t>tofacitinib</w:t>
      </w:r>
      <w:proofErr w:type="spellEnd"/>
      <w:r>
        <w:t xml:space="preserve"> doses (68.9% for the 5 mg </w:t>
      </w:r>
      <w:r w:rsidR="003A1B70">
        <w:t>BD</w:t>
      </w:r>
      <w:r>
        <w:t xml:space="preserve"> group versus 72.0% for the 10 mg </w:t>
      </w:r>
      <w:r w:rsidR="003A1B70">
        <w:t>BD</w:t>
      </w:r>
      <w:r>
        <w:t xml:space="preserve"> group). Given the slightly longer evaluation period in C</w:t>
      </w:r>
      <w:r w:rsidR="00AD48D7">
        <w:t xml:space="preserve">ohort </w:t>
      </w:r>
      <w:r>
        <w:t>2a (up to 12</w:t>
      </w:r>
      <w:r w:rsidR="00323474">
        <w:t> </w:t>
      </w:r>
      <w:r>
        <w:t>months) versus C</w:t>
      </w:r>
      <w:r w:rsidR="00AD48D7">
        <w:t xml:space="preserve">ohort </w:t>
      </w:r>
      <w:r>
        <w:t xml:space="preserve">2 (up to 6 months), the number of patients that reported SAEs increased for both </w:t>
      </w:r>
      <w:proofErr w:type="spellStart"/>
      <w:r>
        <w:t>tofacitinib</w:t>
      </w:r>
      <w:proofErr w:type="spellEnd"/>
      <w:r>
        <w:t xml:space="preserve"> groups, although the proportions of patients with SAEs remained similar between the two dose groups in both cohorts. Discontinuations from the study (all causalities) in C2a showed one more patient discontinued in the in the </w:t>
      </w:r>
      <w:proofErr w:type="spellStart"/>
      <w:r>
        <w:t>tofacitinib</w:t>
      </w:r>
      <w:proofErr w:type="spellEnd"/>
      <w:r>
        <w:t xml:space="preserve"> 5 mg </w:t>
      </w:r>
      <w:r w:rsidR="003A1B70">
        <w:t>BD</w:t>
      </w:r>
      <w:r>
        <w:t xml:space="preserve"> group but no additional discontinuations were reported in the in the 10 mg </w:t>
      </w:r>
      <w:r w:rsidR="003A1B70">
        <w:t>BD</w:t>
      </w:r>
      <w:r>
        <w:t xml:space="preserve"> group in C2a compared to C2. The proportions of discontinuations remained slightly higher for the </w:t>
      </w:r>
      <w:proofErr w:type="spellStart"/>
      <w:r>
        <w:t>tofacitinib</w:t>
      </w:r>
      <w:proofErr w:type="spellEnd"/>
      <w:r>
        <w:t xml:space="preserve"> 10 mg group versus the 5 mg </w:t>
      </w:r>
      <w:r w:rsidR="003A1B70">
        <w:t>BD</w:t>
      </w:r>
      <w:r w:rsidR="00AD48D7">
        <w:t xml:space="preserve"> group (5.9% versus</w:t>
      </w:r>
      <w:r>
        <w:t xml:space="preserve"> 4.6%, respectively). Comparisons between the two </w:t>
      </w:r>
      <w:proofErr w:type="spellStart"/>
      <w:r>
        <w:t>tofacitinib</w:t>
      </w:r>
      <w:proofErr w:type="spellEnd"/>
      <w:r>
        <w:t xml:space="preserve"> doses showed a hazard ratio (HR) of 1.19 (95% CI: 0.64, 2.19), which is similar to the one observed in C</w:t>
      </w:r>
      <w:r w:rsidR="00D0468C">
        <w:t xml:space="preserve">ohort </w:t>
      </w:r>
      <w:r>
        <w:t>2. A summary of the TEAEs is shown below in</w:t>
      </w:r>
      <w:r w:rsidR="00CB4590">
        <w:t xml:space="preserve"> </w:t>
      </w:r>
      <w:r w:rsidR="00CB4590">
        <w:fldChar w:fldCharType="begin"/>
      </w:r>
      <w:r w:rsidR="00CB4590">
        <w:instrText xml:space="preserve"> REF _Ref17284988 \h </w:instrText>
      </w:r>
      <w:r w:rsidR="00CB4590">
        <w:fldChar w:fldCharType="separate"/>
      </w:r>
      <w:r w:rsidR="00BD60C9">
        <w:t xml:space="preserve">Table </w:t>
      </w:r>
      <w:r w:rsidR="00BD60C9">
        <w:rPr>
          <w:noProof/>
        </w:rPr>
        <w:t>16</w:t>
      </w:r>
      <w:r w:rsidR="00CB4590">
        <w:fldChar w:fldCharType="end"/>
      </w:r>
      <w:r>
        <w:t>.</w:t>
      </w:r>
    </w:p>
    <w:p w14:paraId="4E2E2C7E" w14:textId="1B7BA082" w:rsidR="00AD48D7" w:rsidRDefault="00AD48D7" w:rsidP="00AD48D7">
      <w:pPr>
        <w:pStyle w:val="TableTitle"/>
      </w:pPr>
      <w:bookmarkStart w:id="169" w:name="_Ref17284988"/>
      <w:r>
        <w:lastRenderedPageBreak/>
        <w:t xml:space="preserve">Table </w:t>
      </w:r>
      <w:fldSimple w:instr=" SEQ Table \* ARABIC ">
        <w:r w:rsidR="0061158C">
          <w:rPr>
            <w:noProof/>
          </w:rPr>
          <w:t>16</w:t>
        </w:r>
      </w:fldSimple>
      <w:bookmarkEnd w:id="169"/>
      <w:r>
        <w:t>: T</w:t>
      </w:r>
      <w:r w:rsidR="00323474">
        <w:t>reatment emergent adverse events</w:t>
      </w:r>
      <w:r>
        <w:t xml:space="preserve"> in Cohort 2a (all causalities), safety analysis set</w:t>
      </w:r>
    </w:p>
    <w:p w14:paraId="5C6DB1B1" w14:textId="77777777" w:rsidR="00AD48D7" w:rsidRDefault="00AD48D7" w:rsidP="007A55D9">
      <w:r>
        <w:rPr>
          <w:noProof/>
          <w:lang w:eastAsia="en-AU"/>
        </w:rPr>
        <w:drawing>
          <wp:inline distT="0" distB="0" distL="0" distR="0" wp14:anchorId="25D01352" wp14:editId="3A81F8F2">
            <wp:extent cx="5400040" cy="3507718"/>
            <wp:effectExtent l="0" t="0" r="0" b="0"/>
            <wp:docPr id="26" name="Picture 26" descr="TEAEs in Cohort 2a (all causalitie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3507718"/>
                    </a:xfrm>
                    <a:prstGeom prst="rect">
                      <a:avLst/>
                    </a:prstGeom>
                  </pic:spPr>
                </pic:pic>
              </a:graphicData>
            </a:graphic>
          </wp:inline>
        </w:drawing>
      </w:r>
    </w:p>
    <w:p w14:paraId="7746BDEC" w14:textId="77777777" w:rsidR="007A55D9" w:rsidRDefault="007A55D9" w:rsidP="007A55D9">
      <w:r>
        <w:t>As shown in</w:t>
      </w:r>
      <w:r w:rsidR="00CB4590">
        <w:t xml:space="preserve"> </w:t>
      </w:r>
      <w:r w:rsidR="00CB4590">
        <w:fldChar w:fldCharType="begin"/>
      </w:r>
      <w:r w:rsidR="00CB4590">
        <w:instrText xml:space="preserve"> REF _Ref17285083 \h </w:instrText>
      </w:r>
      <w:r w:rsidR="00CB4590">
        <w:fldChar w:fldCharType="separate"/>
      </w:r>
      <w:r w:rsidR="00BD60C9">
        <w:t xml:space="preserve">Table </w:t>
      </w:r>
      <w:r w:rsidR="00BD60C9">
        <w:rPr>
          <w:noProof/>
        </w:rPr>
        <w:t>17</w:t>
      </w:r>
      <w:r w:rsidR="00CB4590">
        <w:fldChar w:fldCharType="end"/>
      </w:r>
      <w:r>
        <w:t>, for patients from the two pivotal studies up to 12 months of treatment (C</w:t>
      </w:r>
      <w:r w:rsidR="00D0468C">
        <w:t xml:space="preserve">ohort </w:t>
      </w:r>
      <w:r>
        <w:t xml:space="preserve">2a), the incidence of discontinuations from the study were similar between </w:t>
      </w:r>
      <w:proofErr w:type="spellStart"/>
      <w:r>
        <w:t>tofacitinib</w:t>
      </w:r>
      <w:proofErr w:type="spellEnd"/>
      <w:r>
        <w:t xml:space="preserve"> doses (note that the CIs overlap given the small sample for each treatment arm). This is consistent with what was reported in C</w:t>
      </w:r>
      <w:r w:rsidR="00D0468C">
        <w:t xml:space="preserve">ohort </w:t>
      </w:r>
      <w:r>
        <w:t>2 (up to 6 months of treatment).</w:t>
      </w:r>
    </w:p>
    <w:p w14:paraId="6FF0F2C7" w14:textId="77777777" w:rsidR="00CB4590" w:rsidRDefault="00CB4590" w:rsidP="00CB4590">
      <w:pPr>
        <w:pStyle w:val="TableTitle"/>
      </w:pPr>
      <w:bookmarkStart w:id="170" w:name="_Ref17285083"/>
      <w:r>
        <w:t xml:space="preserve">Table </w:t>
      </w:r>
      <w:fldSimple w:instr=" SEQ Table \* ARABIC ">
        <w:r w:rsidR="0061158C">
          <w:rPr>
            <w:noProof/>
          </w:rPr>
          <w:t>17</w:t>
        </w:r>
      </w:fldSimple>
      <w:bookmarkEnd w:id="170"/>
      <w:r>
        <w:t>: Discontinuations in Cohort 2a, safety analysis set</w:t>
      </w:r>
    </w:p>
    <w:p w14:paraId="099EB9CD" w14:textId="77777777" w:rsidR="00CB4590" w:rsidRDefault="00CB4590" w:rsidP="007A55D9">
      <w:r>
        <w:rPr>
          <w:noProof/>
          <w:lang w:eastAsia="en-AU"/>
        </w:rPr>
        <w:drawing>
          <wp:inline distT="0" distB="0" distL="0" distR="0" wp14:anchorId="273832AF" wp14:editId="31FD2417">
            <wp:extent cx="5135270" cy="2773924"/>
            <wp:effectExtent l="0" t="0" r="8255" b="7620"/>
            <wp:docPr id="30" name="Picture 30" descr="Discontinuations in Cohort 2a,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136624" cy="2774655"/>
                    </a:xfrm>
                    <a:prstGeom prst="rect">
                      <a:avLst/>
                    </a:prstGeom>
                  </pic:spPr>
                </pic:pic>
              </a:graphicData>
            </a:graphic>
          </wp:inline>
        </w:drawing>
      </w:r>
    </w:p>
    <w:p w14:paraId="294AAA8A" w14:textId="77777777" w:rsidR="007A55D9" w:rsidRDefault="007A55D9" w:rsidP="007A55D9">
      <w:r>
        <w:t>A summary of TEAEs by SOC and PT ≥</w:t>
      </w:r>
      <w:r w:rsidR="00CB4590">
        <w:t xml:space="preserve"> </w:t>
      </w:r>
      <w:r>
        <w:t>2% in C2a is shown in</w:t>
      </w:r>
      <w:r w:rsidR="00CB4590">
        <w:t xml:space="preserve"> </w:t>
      </w:r>
      <w:r w:rsidR="00CB4590">
        <w:fldChar w:fldCharType="begin"/>
      </w:r>
      <w:r w:rsidR="00CB4590">
        <w:instrText xml:space="preserve"> REF _Ref17285442 \h </w:instrText>
      </w:r>
      <w:r w:rsidR="00CB4590">
        <w:fldChar w:fldCharType="separate"/>
      </w:r>
      <w:r w:rsidR="00BD60C9">
        <w:t xml:space="preserve">Table </w:t>
      </w:r>
      <w:r w:rsidR="00BD60C9">
        <w:rPr>
          <w:noProof/>
        </w:rPr>
        <w:t>18</w:t>
      </w:r>
      <w:r w:rsidR="00CB4590">
        <w:fldChar w:fldCharType="end"/>
      </w:r>
      <w:r>
        <w:t>. Similar to C</w:t>
      </w:r>
      <w:r w:rsidR="00D0468C">
        <w:t xml:space="preserve">ohort </w:t>
      </w:r>
      <w:r>
        <w:t>2, the most frequently reported PTs in C</w:t>
      </w:r>
      <w:r w:rsidR="00D0468C">
        <w:t xml:space="preserve">ohort </w:t>
      </w:r>
      <w:r>
        <w:t xml:space="preserve">2a were </w:t>
      </w:r>
      <w:proofErr w:type="spellStart"/>
      <w:r>
        <w:t>nasopharyngitis</w:t>
      </w:r>
      <w:proofErr w:type="spellEnd"/>
      <w:r>
        <w:t xml:space="preserve">, </w:t>
      </w:r>
      <w:r w:rsidR="00D0468C">
        <w:t>upper respiratory tract infection (</w:t>
      </w:r>
      <w:r>
        <w:t>URTI</w:t>
      </w:r>
      <w:r w:rsidR="00D0468C">
        <w:t>)</w:t>
      </w:r>
      <w:r>
        <w:t xml:space="preserve"> and headache. Some events (headache, bronchitis, pharyngitis, and abdominal pain) were reported more frequently in the </w:t>
      </w:r>
      <w:proofErr w:type="spellStart"/>
      <w:r>
        <w:t>tofacitinib</w:t>
      </w:r>
      <w:proofErr w:type="spellEnd"/>
      <w:r>
        <w:t xml:space="preserve"> 10 mg </w:t>
      </w:r>
      <w:r w:rsidR="003A1B70">
        <w:t>BD</w:t>
      </w:r>
      <w:r>
        <w:t xml:space="preserve"> group than for the 5 mg </w:t>
      </w:r>
      <w:r w:rsidR="003A1B70">
        <w:t>BD</w:t>
      </w:r>
      <w:r w:rsidR="00CB4590">
        <w:t xml:space="preserve"> group.</w:t>
      </w:r>
    </w:p>
    <w:p w14:paraId="307D4B66" w14:textId="77A54649" w:rsidR="00CB4590" w:rsidRDefault="00CB4590" w:rsidP="00CB4590">
      <w:pPr>
        <w:pStyle w:val="TableTitle"/>
      </w:pPr>
      <w:bookmarkStart w:id="171" w:name="_Ref17285442"/>
      <w:r>
        <w:lastRenderedPageBreak/>
        <w:t xml:space="preserve">Table </w:t>
      </w:r>
      <w:fldSimple w:instr=" SEQ Table \* ARABIC ">
        <w:r w:rsidR="0061158C">
          <w:rPr>
            <w:noProof/>
          </w:rPr>
          <w:t>18</w:t>
        </w:r>
      </w:fldSimple>
      <w:bookmarkEnd w:id="171"/>
      <w:r>
        <w:t>: T</w:t>
      </w:r>
      <w:r w:rsidR="00323474">
        <w:t>reatment emergent adverse events</w:t>
      </w:r>
      <w:r>
        <w:t xml:space="preserve"> by PT and SOC in Cohort 2a</w:t>
      </w:r>
    </w:p>
    <w:p w14:paraId="51C244AC" w14:textId="77777777" w:rsidR="00CB4590" w:rsidRDefault="00CB4590" w:rsidP="007A55D9">
      <w:r>
        <w:rPr>
          <w:noProof/>
          <w:lang w:eastAsia="en-AU"/>
        </w:rPr>
        <w:drawing>
          <wp:inline distT="0" distB="0" distL="0" distR="0" wp14:anchorId="575E48E4" wp14:editId="571F380E">
            <wp:extent cx="4646295" cy="8229600"/>
            <wp:effectExtent l="0" t="0" r="1905" b="0"/>
            <wp:docPr id="31" name="Picture 31" descr="Discontinuations in Cohort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646295" cy="8229600"/>
                    </a:xfrm>
                    <a:prstGeom prst="rect">
                      <a:avLst/>
                    </a:prstGeom>
                  </pic:spPr>
                </pic:pic>
              </a:graphicData>
            </a:graphic>
          </wp:inline>
        </w:drawing>
      </w:r>
    </w:p>
    <w:p w14:paraId="24D1524D" w14:textId="77777777" w:rsidR="007A55D9" w:rsidRDefault="00CB4590" w:rsidP="00CB4590">
      <w:pPr>
        <w:pStyle w:val="Heading5"/>
      </w:pPr>
      <w:r>
        <w:lastRenderedPageBreak/>
        <w:t>Evaluation of response</w:t>
      </w:r>
    </w:p>
    <w:p w14:paraId="0D4F2952" w14:textId="77777777" w:rsidR="007A55D9" w:rsidRDefault="007A55D9" w:rsidP="007A55D9">
      <w:r>
        <w:t>The sponsor’s response is satisfactory. The frequencies and types of events reported in C2a were similar to those observed in C2.</w:t>
      </w:r>
    </w:p>
    <w:p w14:paraId="30F0DDFF" w14:textId="77777777" w:rsidR="00CB4590" w:rsidRDefault="00CB4590" w:rsidP="00CB1A4F">
      <w:pPr>
        <w:pStyle w:val="Heading4"/>
      </w:pPr>
      <w:r>
        <w:t>Question 3</w:t>
      </w:r>
    </w:p>
    <w:p w14:paraId="238143C0" w14:textId="77777777" w:rsidR="007A55D9" w:rsidRPr="00DE118A" w:rsidRDefault="007A55D9" w:rsidP="00DE118A">
      <w:pPr>
        <w:rPr>
          <w:b/>
          <w:i/>
        </w:rPr>
      </w:pPr>
      <w:r w:rsidRPr="00DE118A">
        <w:rPr>
          <w:b/>
          <w:i/>
        </w:rPr>
        <w:t>In the Clinical Summary of Safety, the only reference to treatment-related AEs for Cohort 1 is shown below:</w:t>
      </w:r>
    </w:p>
    <w:p w14:paraId="3110D47F" w14:textId="37A2C24D" w:rsidR="007A55D9" w:rsidRPr="00DE118A" w:rsidRDefault="007A231A" w:rsidP="00DE118A">
      <w:pPr>
        <w:rPr>
          <w:b/>
          <w:i/>
        </w:rPr>
      </w:pPr>
      <w:r w:rsidRPr="00DE118A">
        <w:rPr>
          <w:b/>
          <w:i/>
        </w:rPr>
        <w:t>‘</w:t>
      </w:r>
      <w:r w:rsidR="00355A64" w:rsidRPr="00DE118A">
        <w:rPr>
          <w:b/>
          <w:i/>
        </w:rPr>
        <w:t xml:space="preserve">Events displayed in this section are irrespective of drug causality. When evaluating study treatment related TEAEs, proportions across treatment groups remain similar. Supportive tables are provided </w:t>
      </w:r>
      <w:r w:rsidRPr="00DE118A">
        <w:rPr>
          <w:b/>
          <w:i/>
        </w:rPr>
        <w:t xml:space="preserve">[…]. [A table] </w:t>
      </w:r>
      <w:r w:rsidR="00355A64" w:rsidRPr="00DE118A">
        <w:rPr>
          <w:b/>
          <w:i/>
        </w:rPr>
        <w:t>summarises TEAE during the placebo-controlled treatment period in Cohort 1 (up to 3 months).</w:t>
      </w:r>
    </w:p>
    <w:p w14:paraId="6DB4EB5E" w14:textId="76D66B24" w:rsidR="007A55D9" w:rsidRPr="00DE118A" w:rsidRDefault="007A55D9" w:rsidP="00DE118A">
      <w:pPr>
        <w:rPr>
          <w:b/>
          <w:i/>
        </w:rPr>
      </w:pPr>
      <w:r w:rsidRPr="00DE118A">
        <w:rPr>
          <w:b/>
          <w:i/>
        </w:rPr>
        <w:t>The supportive tables refer also to Cohorts 2 and 3 although this is not stated in the text. The statement appears to be correct based on the extensive supportive tables. However, no summarised data, commentary or overview have been provided. Ple</w:t>
      </w:r>
      <w:r w:rsidR="00D0468C" w:rsidRPr="00DE118A">
        <w:rPr>
          <w:b/>
          <w:i/>
        </w:rPr>
        <w:t xml:space="preserve">ase provide a summary table </w:t>
      </w:r>
      <w:r w:rsidRPr="00DE118A">
        <w:rPr>
          <w:b/>
          <w:i/>
        </w:rPr>
        <w:t xml:space="preserve">and a brief commentary for each cohort for inclusion in the </w:t>
      </w:r>
      <w:r w:rsidR="00D0468C" w:rsidRPr="00DE118A">
        <w:rPr>
          <w:b/>
          <w:i/>
        </w:rPr>
        <w:t>clinical evaluation report</w:t>
      </w:r>
      <w:r w:rsidRPr="00DE118A">
        <w:rPr>
          <w:b/>
          <w:i/>
        </w:rPr>
        <w:t xml:space="preserve">. Please also provide a corrected copy of </w:t>
      </w:r>
      <w:r w:rsidR="007A231A" w:rsidRPr="00DE118A">
        <w:rPr>
          <w:b/>
          <w:i/>
        </w:rPr>
        <w:t xml:space="preserve">[the specified table] </w:t>
      </w:r>
      <w:r w:rsidRPr="00DE118A">
        <w:rPr>
          <w:b/>
          <w:i/>
        </w:rPr>
        <w:t>(the column describing severe ADRs is missing).</w:t>
      </w:r>
    </w:p>
    <w:p w14:paraId="50B6702E" w14:textId="77777777" w:rsidR="007A55D9" w:rsidRDefault="00D0468C" w:rsidP="002D6420">
      <w:pPr>
        <w:pStyle w:val="Heading5"/>
      </w:pPr>
      <w:r>
        <w:t>Sponsor’s response</w:t>
      </w:r>
    </w:p>
    <w:p w14:paraId="01FA7872" w14:textId="77777777" w:rsidR="00D0468C" w:rsidRDefault="007A55D9" w:rsidP="007A55D9">
      <w:r>
        <w:t>The sponsor has provided summary tables of treatment-related AEs for C</w:t>
      </w:r>
      <w:r w:rsidR="00D0468C">
        <w:t>ohort</w:t>
      </w:r>
      <w:r>
        <w:t xml:space="preserve"> 1, C</w:t>
      </w:r>
      <w:r w:rsidR="00D0468C">
        <w:t xml:space="preserve">ohort </w:t>
      </w:r>
      <w:r>
        <w:t>2, and C</w:t>
      </w:r>
      <w:r w:rsidR="00D0468C">
        <w:t xml:space="preserve">ohort </w:t>
      </w:r>
      <w:r>
        <w:t>3. In C</w:t>
      </w:r>
      <w:r w:rsidR="00D0468C">
        <w:t xml:space="preserve">ohort </w:t>
      </w:r>
      <w:r>
        <w:t xml:space="preserve">1, the frequency of treatment-related AEs was comparable in the </w:t>
      </w:r>
      <w:proofErr w:type="spellStart"/>
      <w:r>
        <w:t>tofacitinib</w:t>
      </w:r>
      <w:proofErr w:type="spellEnd"/>
      <w:r>
        <w:t xml:space="preserve"> 5 mg </w:t>
      </w:r>
      <w:r w:rsidR="003A1B70">
        <w:t>BD</w:t>
      </w:r>
      <w:r>
        <w:t xml:space="preserve"> and 10 mg </w:t>
      </w:r>
      <w:r w:rsidR="003A1B70">
        <w:t>BD</w:t>
      </w:r>
      <w:r>
        <w:t xml:space="preserve"> groups (26.5% versus 28.4%) and higher than in the placebo group (18.6%). Treat</w:t>
      </w:r>
      <w:r w:rsidR="00D0468C">
        <w:t xml:space="preserve">ment </w:t>
      </w:r>
      <w:r>
        <w:t xml:space="preserve">related AEs were also more frequent in the </w:t>
      </w:r>
      <w:proofErr w:type="spellStart"/>
      <w:r>
        <w:t>adalimumab</w:t>
      </w:r>
      <w:proofErr w:type="spellEnd"/>
      <w:r>
        <w:t xml:space="preserve"> grou</w:t>
      </w:r>
      <w:r w:rsidR="00D0468C">
        <w:t xml:space="preserve">p compared with placebo (34.0% versus 18.6%). Treatment </w:t>
      </w:r>
      <w:r>
        <w:t xml:space="preserve">related SAEs were reported only in the 10 mg </w:t>
      </w:r>
      <w:r w:rsidR="003A1B70">
        <w:t>BD</w:t>
      </w:r>
      <w:r w:rsidR="00D0468C">
        <w:t xml:space="preserve"> group (1.3%). Treatment </w:t>
      </w:r>
      <w:r>
        <w:t xml:space="preserve">related discontinuations were more frequent in the 10 mg </w:t>
      </w:r>
      <w:r w:rsidR="003A1B70">
        <w:t>BD</w:t>
      </w:r>
      <w:r>
        <w:t xml:space="preserve"> group (3.4%) compared with the 5 mg </w:t>
      </w:r>
      <w:r w:rsidR="003A1B70">
        <w:t>BD</w:t>
      </w:r>
      <w:r>
        <w:t xml:space="preserve"> group (0.4%) or the placebo group (1.7%). In C</w:t>
      </w:r>
      <w:r w:rsidR="00D0468C">
        <w:t xml:space="preserve">ohort 2, the frequency of treatment </w:t>
      </w:r>
      <w:r>
        <w:t xml:space="preserve">related AEs was comparable between the </w:t>
      </w:r>
      <w:proofErr w:type="spellStart"/>
      <w:r>
        <w:t>tofacitinib</w:t>
      </w:r>
      <w:proofErr w:type="spellEnd"/>
      <w:r>
        <w:t xml:space="preserve"> dose groups up to 6 months (36.1% for 5 mg </w:t>
      </w:r>
      <w:r w:rsidR="003A1B70">
        <w:t>BD</w:t>
      </w:r>
      <w:r>
        <w:t xml:space="preserve"> versus 39.4% for 10 mg </w:t>
      </w:r>
      <w:r w:rsidR="003A1B70">
        <w:t>BD</w:t>
      </w:r>
      <w:r>
        <w:t xml:space="preserve">). There was one (0.4%) treatment-related SAE in the </w:t>
      </w:r>
      <w:proofErr w:type="spellStart"/>
      <w:r>
        <w:t>tofacitinib</w:t>
      </w:r>
      <w:proofErr w:type="spellEnd"/>
      <w:r>
        <w:t xml:space="preserve"> 5 mg </w:t>
      </w:r>
      <w:r w:rsidR="003A1B70">
        <w:t>BD</w:t>
      </w:r>
      <w:r>
        <w:t xml:space="preserve"> group compared with three (1.3%) in the 10 mg group. Di</w:t>
      </w:r>
      <w:r w:rsidR="00D0468C">
        <w:t xml:space="preserve">scontinuations due to treatment </w:t>
      </w:r>
      <w:r>
        <w:t xml:space="preserve">related AEs were more frequent in the 10 mg </w:t>
      </w:r>
      <w:r w:rsidR="003A1B70">
        <w:t>BD</w:t>
      </w:r>
      <w:r>
        <w:t xml:space="preserve"> group (4.2%) compared with the 5 mg </w:t>
      </w:r>
      <w:r w:rsidR="003A1B70">
        <w:t>BD</w:t>
      </w:r>
      <w:r>
        <w:t xml:space="preserve"> group (2.1%). In C</w:t>
      </w:r>
      <w:r w:rsidR="00D0468C">
        <w:t xml:space="preserve">ohort </w:t>
      </w:r>
      <w:r>
        <w:t>3, the proportions of p</w:t>
      </w:r>
      <w:r w:rsidR="00D0468C">
        <w:t xml:space="preserve">atients that reported treatment </w:t>
      </w:r>
      <w:r>
        <w:t>related AEs, SAEs, and di</w:t>
      </w:r>
      <w:r w:rsidR="00D0468C">
        <w:t xml:space="preserve">scontinuations due to treatment </w:t>
      </w:r>
      <w:r>
        <w:t>related AEs were higher because of the longer evaluation periods compared with C</w:t>
      </w:r>
      <w:r w:rsidR="00D0468C">
        <w:t xml:space="preserve">ohort </w:t>
      </w:r>
      <w:r>
        <w:t>1 and C</w:t>
      </w:r>
      <w:r w:rsidR="00D0468C">
        <w:t xml:space="preserve">ohort </w:t>
      </w:r>
      <w:r>
        <w:t>2.</w:t>
      </w:r>
    </w:p>
    <w:p w14:paraId="00EB57D4" w14:textId="77777777" w:rsidR="007A55D9" w:rsidRDefault="007A55D9" w:rsidP="007A55D9">
      <w:r>
        <w:t>In C</w:t>
      </w:r>
      <w:r w:rsidR="00D0468C">
        <w:t xml:space="preserve">ohort 1 (the placebo </w:t>
      </w:r>
      <w:r>
        <w:t>controlled period), a higher number of treatmen</w:t>
      </w:r>
      <w:r w:rsidR="00D0468C">
        <w:t xml:space="preserve">t </w:t>
      </w:r>
      <w:r>
        <w:t xml:space="preserve">related AEs were reported in the </w:t>
      </w:r>
      <w:proofErr w:type="spellStart"/>
      <w:r>
        <w:t>tofacitinib</w:t>
      </w:r>
      <w:proofErr w:type="spellEnd"/>
      <w:r>
        <w:t xml:space="preserve"> groups compared with placebo. The m</w:t>
      </w:r>
      <w:r w:rsidR="00D0468C">
        <w:t xml:space="preserve">ost commonly reported treatment </w:t>
      </w:r>
      <w:r>
        <w:t xml:space="preserve">related AEs by SOC were Infections and infestations (11.3% for 5 mg </w:t>
      </w:r>
      <w:r w:rsidR="003A1B70">
        <w:t>BD</w:t>
      </w:r>
      <w:r>
        <w:t xml:space="preserve">; 14.4% for 10 mg </w:t>
      </w:r>
      <w:r w:rsidR="003A1B70">
        <w:t>BD</w:t>
      </w:r>
      <w:r>
        <w:t xml:space="preserve">; 8.5% for </w:t>
      </w:r>
      <w:proofErr w:type="spellStart"/>
      <w:r>
        <w:t>adalimumab</w:t>
      </w:r>
      <w:proofErr w:type="spellEnd"/>
      <w:r>
        <w:t xml:space="preserve">; and 7.6% for placebo). AEs in the Gastrointestinal disorders SOC were more frequently reported in the 5 mg </w:t>
      </w:r>
      <w:r w:rsidR="003A1B70">
        <w:t>BD</w:t>
      </w:r>
      <w:r>
        <w:t xml:space="preserve"> group (9.2%) compared with the 10 mg </w:t>
      </w:r>
      <w:r w:rsidR="003A1B70">
        <w:t>BD</w:t>
      </w:r>
      <w:r>
        <w:t xml:space="preserve"> group (5.5%) and placebo group (3.8%). The most frequently reported AEs by PT were </w:t>
      </w:r>
      <w:proofErr w:type="spellStart"/>
      <w:r>
        <w:t>nasopharyngitis</w:t>
      </w:r>
      <w:proofErr w:type="spellEnd"/>
      <w:r>
        <w:t xml:space="preserve"> (3.4% for the </w:t>
      </w:r>
      <w:proofErr w:type="spellStart"/>
      <w:r>
        <w:t>tofacitinib</w:t>
      </w:r>
      <w:proofErr w:type="spellEnd"/>
      <w:r>
        <w:t xml:space="preserve"> 5 mg </w:t>
      </w:r>
      <w:r w:rsidR="003A1B70">
        <w:t>BD</w:t>
      </w:r>
      <w:r>
        <w:t xml:space="preserve"> group), headache (3.8% for the 10 mg group), injection site erythema (4.7%), for the </w:t>
      </w:r>
      <w:proofErr w:type="spellStart"/>
      <w:r>
        <w:t>adalimumab</w:t>
      </w:r>
      <w:proofErr w:type="spellEnd"/>
      <w:r>
        <w:t xml:space="preserve"> group, and URTI and headache (3.</w:t>
      </w:r>
      <w:r w:rsidR="00D0468C">
        <w:t>0% each for the placebo group).</w:t>
      </w:r>
    </w:p>
    <w:p w14:paraId="5F950C26" w14:textId="77777777" w:rsidR="007A55D9" w:rsidRDefault="007A55D9" w:rsidP="007A55D9">
      <w:r>
        <w:t>In C</w:t>
      </w:r>
      <w:r w:rsidR="00D0468C">
        <w:t xml:space="preserve">ohort </w:t>
      </w:r>
      <w:r>
        <w:t xml:space="preserve">2, the most commonly reported treatment-related AEs by SOC were Infections and infestations with the highest proportion in the </w:t>
      </w:r>
      <w:proofErr w:type="spellStart"/>
      <w:r>
        <w:t>tofacitinib</w:t>
      </w:r>
      <w:proofErr w:type="spellEnd"/>
      <w:r>
        <w:t xml:space="preserve"> 10 mg </w:t>
      </w:r>
      <w:r w:rsidR="003A1B70">
        <w:t>BD</w:t>
      </w:r>
      <w:r>
        <w:t xml:space="preserve"> group (15.5% for 5 mg </w:t>
      </w:r>
      <w:r w:rsidR="003A1B70">
        <w:t>BD</w:t>
      </w:r>
      <w:r>
        <w:t xml:space="preserve">; 22.9% for 10 mg </w:t>
      </w:r>
      <w:r w:rsidR="003A1B70">
        <w:t>BD</w:t>
      </w:r>
      <w:r>
        <w:t xml:space="preserve"> and 11.3% for </w:t>
      </w:r>
      <w:proofErr w:type="spellStart"/>
      <w:r>
        <w:t>adalimumab</w:t>
      </w:r>
      <w:proofErr w:type="spellEnd"/>
      <w:r>
        <w:t xml:space="preserve">). The most commonly reported AEs in both </w:t>
      </w:r>
      <w:proofErr w:type="spellStart"/>
      <w:r>
        <w:t>tofacitinib</w:t>
      </w:r>
      <w:proofErr w:type="spellEnd"/>
      <w:r>
        <w:t xml:space="preserve"> groups by PT were </w:t>
      </w:r>
      <w:proofErr w:type="spellStart"/>
      <w:r>
        <w:t>nasopharyngitis</w:t>
      </w:r>
      <w:proofErr w:type="spellEnd"/>
      <w:r>
        <w:t>, URTI and headache.</w:t>
      </w:r>
    </w:p>
    <w:p w14:paraId="73FFFE1D" w14:textId="77777777" w:rsidR="007A55D9" w:rsidRDefault="007A55D9" w:rsidP="007A55D9">
      <w:r>
        <w:t>In C</w:t>
      </w:r>
      <w:r w:rsidR="00CB1A4F">
        <w:t xml:space="preserve">ohort </w:t>
      </w:r>
      <w:r>
        <w:t>3, the most commonly reported treatment-related AEs were comparable to those in C1 and C2.</w:t>
      </w:r>
    </w:p>
    <w:p w14:paraId="3EC49659" w14:textId="77777777" w:rsidR="007A55D9" w:rsidRDefault="007A55D9" w:rsidP="007A55D9">
      <w:r>
        <w:lastRenderedPageBreak/>
        <w:t>The frequency of treatment-related AEs leading to permanent discontinuation from the study was very low in all treatment groups.</w:t>
      </w:r>
    </w:p>
    <w:p w14:paraId="16C898E5" w14:textId="1552A715" w:rsidR="007A55D9" w:rsidRDefault="007A55D9" w:rsidP="007A55D9">
      <w:r>
        <w:t xml:space="preserve">The corrected copy of </w:t>
      </w:r>
      <w:r w:rsidR="007A231A">
        <w:t>the specified table</w:t>
      </w:r>
      <w:r>
        <w:t xml:space="preserve"> has been provided. Only seven severe treatment-related PT events were reported in </w:t>
      </w:r>
      <w:r w:rsidR="00CB1A4F">
        <w:t xml:space="preserve">patients receiving </w:t>
      </w:r>
      <w:proofErr w:type="spellStart"/>
      <w:r w:rsidR="00CB1A4F">
        <w:t>tofacitinib</w:t>
      </w:r>
      <w:proofErr w:type="spellEnd"/>
      <w:r w:rsidR="00CB1A4F">
        <w:t>.</w:t>
      </w:r>
    </w:p>
    <w:p w14:paraId="289E4463" w14:textId="77777777" w:rsidR="007A55D9" w:rsidRDefault="007A55D9" w:rsidP="002D6420">
      <w:pPr>
        <w:pStyle w:val="Heading5"/>
      </w:pPr>
      <w:r>
        <w:t>Evaluat</w:t>
      </w:r>
      <w:r w:rsidR="00D0468C">
        <w:t>ion of response</w:t>
      </w:r>
    </w:p>
    <w:p w14:paraId="5AB25079" w14:textId="77777777" w:rsidR="007A55D9" w:rsidRDefault="007A55D9" w:rsidP="007A55D9">
      <w:r>
        <w:t>The sponsor’s response is satisfact</w:t>
      </w:r>
      <w:r w:rsidR="00CB1A4F">
        <w:t xml:space="preserve">ory. The frequency of treatment </w:t>
      </w:r>
      <w:r>
        <w:t xml:space="preserve">related AEs was comparable in the </w:t>
      </w:r>
      <w:proofErr w:type="spellStart"/>
      <w:r>
        <w:t>tofacitinib</w:t>
      </w:r>
      <w:proofErr w:type="spellEnd"/>
      <w:r>
        <w:t xml:space="preserve"> 5 mg </w:t>
      </w:r>
      <w:r w:rsidR="003A1B70">
        <w:t>BD</w:t>
      </w:r>
      <w:r>
        <w:t xml:space="preserve"> and 10 mg </w:t>
      </w:r>
      <w:r w:rsidR="003A1B70">
        <w:t>BD</w:t>
      </w:r>
      <w:r>
        <w:t xml:space="preserve"> groups and higher than placebo. Nearly all events were mild to moderate in severity and SAEs were reported in only one patient in the </w:t>
      </w:r>
      <w:proofErr w:type="spellStart"/>
      <w:r>
        <w:t>tofacitinib</w:t>
      </w:r>
      <w:proofErr w:type="spellEnd"/>
      <w:r>
        <w:t xml:space="preserve"> 10 mg </w:t>
      </w:r>
      <w:r w:rsidR="003A1B70">
        <w:t>BD</w:t>
      </w:r>
      <w:r>
        <w:t xml:space="preserve"> group during the first 3 months of treatment. The m</w:t>
      </w:r>
      <w:r w:rsidR="00CB1A4F">
        <w:t xml:space="preserve">ost commonly reported treatment </w:t>
      </w:r>
      <w:r>
        <w:t>related AEs were reported in the Infections and infestations SOC. The most frequently reporte</w:t>
      </w:r>
      <w:r w:rsidR="00CB1A4F">
        <w:t xml:space="preserve">d AE by PT was </w:t>
      </w:r>
      <w:proofErr w:type="spellStart"/>
      <w:r w:rsidR="00CB1A4F">
        <w:t>nasopharyngitis</w:t>
      </w:r>
      <w:proofErr w:type="spellEnd"/>
      <w:r w:rsidR="00CB1A4F">
        <w:t>.</w:t>
      </w:r>
    </w:p>
    <w:p w14:paraId="05C608E1" w14:textId="77777777" w:rsidR="007A55D9" w:rsidRDefault="00CB1A4F" w:rsidP="00CB1A4F">
      <w:pPr>
        <w:pStyle w:val="Heading4"/>
      </w:pPr>
      <w:r>
        <w:t>Question 4</w:t>
      </w:r>
    </w:p>
    <w:p w14:paraId="194F47D4" w14:textId="340F2E77" w:rsidR="007A55D9" w:rsidRPr="00DE118A" w:rsidRDefault="007A55D9" w:rsidP="00DE118A">
      <w:pPr>
        <w:rPr>
          <w:b/>
          <w:i/>
        </w:rPr>
      </w:pPr>
      <w:r w:rsidRPr="00DE118A">
        <w:rPr>
          <w:b/>
          <w:i/>
        </w:rPr>
        <w:t>In the Overview of Clinical Safety</w:t>
      </w:r>
      <w:r w:rsidR="007A231A" w:rsidRPr="00DE118A">
        <w:rPr>
          <w:b/>
          <w:i/>
        </w:rPr>
        <w:t xml:space="preserve">; </w:t>
      </w:r>
      <w:r w:rsidRPr="00DE118A">
        <w:rPr>
          <w:b/>
          <w:i/>
        </w:rPr>
        <w:t xml:space="preserve">Special Populations, it is stated that the safety profile of </w:t>
      </w:r>
      <w:proofErr w:type="spellStart"/>
      <w:r w:rsidRPr="00DE118A">
        <w:rPr>
          <w:b/>
          <w:i/>
        </w:rPr>
        <w:t>tofacitinib</w:t>
      </w:r>
      <w:proofErr w:type="spellEnd"/>
      <w:r w:rsidRPr="00DE118A">
        <w:rPr>
          <w:b/>
          <w:i/>
        </w:rPr>
        <w:t xml:space="preserve"> was comparable in TNFI treatment-experienced and naïve patients. Please provide a summary of the data to support this statement.</w:t>
      </w:r>
    </w:p>
    <w:p w14:paraId="11834A50" w14:textId="77777777" w:rsidR="007A55D9" w:rsidRDefault="002D6420" w:rsidP="00CB1A4F">
      <w:pPr>
        <w:pStyle w:val="Heading5"/>
      </w:pPr>
      <w:r>
        <w:t>Sponsor’s r</w:t>
      </w:r>
      <w:r w:rsidR="00CB1A4F">
        <w:t>esponse</w:t>
      </w:r>
    </w:p>
    <w:p w14:paraId="74C69EAC" w14:textId="77777777" w:rsidR="007A55D9" w:rsidRPr="009645E7" w:rsidRDefault="007A55D9" w:rsidP="007A55D9">
      <w:r w:rsidRPr="009645E7">
        <w:t xml:space="preserve">The sponsor has provides summaries of the safety profiles of </w:t>
      </w:r>
      <w:proofErr w:type="spellStart"/>
      <w:r w:rsidRPr="009645E7">
        <w:t>tofacitinib</w:t>
      </w:r>
      <w:proofErr w:type="spellEnd"/>
      <w:r w:rsidRPr="009645E7">
        <w:t xml:space="preserve"> by TNFI status in C</w:t>
      </w:r>
      <w:r w:rsidR="00CE0FB2">
        <w:t xml:space="preserve">ohort </w:t>
      </w:r>
      <w:r w:rsidRPr="009645E7">
        <w:t>2, C</w:t>
      </w:r>
      <w:r w:rsidR="00CE0FB2">
        <w:t xml:space="preserve">ohort </w:t>
      </w:r>
      <w:r w:rsidRPr="009645E7">
        <w:t>2a and C</w:t>
      </w:r>
      <w:r w:rsidR="00CE0FB2">
        <w:t xml:space="preserve">ohort </w:t>
      </w:r>
      <w:r w:rsidRPr="009645E7">
        <w:t>3. The proportion of patients that reported AEs was slightly higher in the TNFI-experienced group compared with the TNFI-naïve group (86.7% versus 79.6%). The proportions of patients that reported SAEs (12.5% versus 13.5%) and discontinuations due to AEs (11.1% versus 10.1%) were comparable.</w:t>
      </w:r>
    </w:p>
    <w:p w14:paraId="02C234DC" w14:textId="77777777" w:rsidR="007A55D9" w:rsidRPr="009645E7" w:rsidRDefault="00CE0FB2" w:rsidP="007A55D9">
      <w:r>
        <w:t>In the</w:t>
      </w:r>
      <w:r w:rsidR="007A55D9" w:rsidRPr="009645E7">
        <w:t xml:space="preserve"> summary of TEAEs by SOC and PT with a frequency of ≥</w:t>
      </w:r>
      <w:r>
        <w:t xml:space="preserve"> 2%, t</w:t>
      </w:r>
      <w:r w:rsidR="007A55D9" w:rsidRPr="009645E7">
        <w:t xml:space="preserve">he majority of TEAEs were reported in the Infections and infestations SOC in both TNFI-experienced and TNFI-naïve groups (57.8% versus 50%). The types of events were also comparable between the TNFI-experienced and TNFI-naïve patients. Overall, the most frequently reported TEAEs by PT were URTI (15.9%), </w:t>
      </w:r>
      <w:proofErr w:type="spellStart"/>
      <w:r w:rsidR="007A55D9" w:rsidRPr="009645E7">
        <w:t>nasopharyngitis</w:t>
      </w:r>
      <w:proofErr w:type="spellEnd"/>
      <w:r w:rsidR="007A55D9" w:rsidRPr="009645E7">
        <w:t xml:space="preserve"> (13.8%) and bronchitis (9.8%) in the TNFI-experienced population. The most frequently reported TEAEs in the TNFI-naïve population were URTI (14.0%), </w:t>
      </w:r>
      <w:proofErr w:type="spellStart"/>
      <w:r w:rsidR="007A55D9" w:rsidRPr="009645E7">
        <w:t>nasopharyngit</w:t>
      </w:r>
      <w:r>
        <w:t>is</w:t>
      </w:r>
      <w:proofErr w:type="spellEnd"/>
      <w:r>
        <w:t xml:space="preserve"> (13.3%) and headache (7.6%).</w:t>
      </w:r>
    </w:p>
    <w:p w14:paraId="6F727F83" w14:textId="77777777" w:rsidR="007A55D9" w:rsidRDefault="007A55D9" w:rsidP="007A55D9">
      <w:r w:rsidRPr="009645E7">
        <w:t>The number of patients who reported SAEs was slightly higher in the TNFI-naïve population compared with the TNFI-experienced population. The most frequently reported SAEs by SOC in the TNFI-experienced group were in Infections and infestations (2.7%), General disorders and administration site conditions (2.4%) and Musculoskeletal and connective tissue disorders (2.4%). In the TNFI-naïve group, the most commonly reported SAEs by SOC were reported in Neoplasms benign, malignant and specified (3.2%), General disorders and administration site conditions (2.2%) and Infections and infestations (2%). The most commonly reported PT in both groups was Condition aggravated with events reported in1.9% and 1.5% o</w:t>
      </w:r>
      <w:r w:rsidR="00CE0FB2">
        <w:t>f the TNFI-experienced and TNFI</w:t>
      </w:r>
      <w:r w:rsidR="00CE0FB2">
        <w:noBreakHyphen/>
      </w:r>
      <w:r w:rsidRPr="009645E7">
        <w:t>naïve groups, respectively. In the TNFI-experienced group, pneumonia and osteoarthritis were the other two PT most frequently re</w:t>
      </w:r>
      <w:r w:rsidR="00CE0FB2">
        <w:t>ported (0.8% each). In the TNFI</w:t>
      </w:r>
      <w:r w:rsidR="00CE0FB2">
        <w:noBreakHyphen/>
      </w:r>
      <w:r w:rsidRPr="009645E7">
        <w:t xml:space="preserve">naïve group, renal colic, fall, </w:t>
      </w:r>
      <w:proofErr w:type="spellStart"/>
      <w:r w:rsidRPr="009645E7">
        <w:t>humerus</w:t>
      </w:r>
      <w:proofErr w:type="spellEnd"/>
      <w:r w:rsidRPr="009645E7">
        <w:t xml:space="preserve"> fracture, joint injury and osteoarthritis were the next most frequently reported PTs (0.5% each).</w:t>
      </w:r>
    </w:p>
    <w:p w14:paraId="1692A926" w14:textId="77777777" w:rsidR="007A55D9" w:rsidRDefault="007A55D9" w:rsidP="007A55D9">
      <w:r>
        <w:t>The frequency of events of interest was generally comparable in the TNFI-experienced and TNFI-naïve groups.</w:t>
      </w:r>
    </w:p>
    <w:p w14:paraId="136FD838" w14:textId="77777777" w:rsidR="007A55D9" w:rsidRDefault="00CE0FB2" w:rsidP="00CE0FB2">
      <w:pPr>
        <w:pStyle w:val="Heading5"/>
      </w:pPr>
      <w:r>
        <w:t>Evaluation of response</w:t>
      </w:r>
    </w:p>
    <w:p w14:paraId="44C6A5C6" w14:textId="77777777" w:rsidR="007A55D9" w:rsidRDefault="007A55D9" w:rsidP="007A55D9">
      <w:r>
        <w:t xml:space="preserve">The sponsor’s response is satisfactory. The frequency of AEs and SAEs was marginally higher in the TNFI-experienced population. The pattern of AEs was </w:t>
      </w:r>
      <w:r w:rsidR="00CE0FB2">
        <w:t>also comparable between groups.</w:t>
      </w:r>
    </w:p>
    <w:p w14:paraId="13D27712" w14:textId="77777777" w:rsidR="007A55D9" w:rsidRDefault="00CE0FB2" w:rsidP="00CE0FB2">
      <w:pPr>
        <w:pStyle w:val="Heading4"/>
      </w:pPr>
      <w:r>
        <w:lastRenderedPageBreak/>
        <w:t>Question 5</w:t>
      </w:r>
    </w:p>
    <w:p w14:paraId="0C2EB4B9" w14:textId="77777777" w:rsidR="007A55D9" w:rsidRPr="00DE118A" w:rsidRDefault="007A55D9" w:rsidP="00DE118A">
      <w:pPr>
        <w:rPr>
          <w:b/>
          <w:i/>
        </w:rPr>
      </w:pPr>
      <w:r w:rsidRPr="00DE118A">
        <w:rPr>
          <w:b/>
          <w:i/>
        </w:rPr>
        <w:t xml:space="preserve">Please provide a summary of SAEs by PT in the integrated summary of safety. Only </w:t>
      </w:r>
      <w:r w:rsidR="00CE0FB2" w:rsidRPr="00DE118A">
        <w:rPr>
          <w:b/>
          <w:i/>
        </w:rPr>
        <w:t>SAEs by SOC have been provided.</w:t>
      </w:r>
    </w:p>
    <w:p w14:paraId="76D7E61C" w14:textId="77777777" w:rsidR="007A55D9" w:rsidRDefault="00CE0FB2" w:rsidP="00CE0FB2">
      <w:pPr>
        <w:pStyle w:val="Heading5"/>
      </w:pPr>
      <w:r>
        <w:t>Sponsor’s response</w:t>
      </w:r>
    </w:p>
    <w:p w14:paraId="53A3B642" w14:textId="77777777" w:rsidR="007A55D9" w:rsidRDefault="007A55D9" w:rsidP="007A55D9">
      <w:r>
        <w:t>A summary of SAEs by SOC and PT is shown in</w:t>
      </w:r>
      <w:r w:rsidR="00D41A90">
        <w:t xml:space="preserve"> </w:t>
      </w:r>
      <w:r w:rsidR="00D41A90">
        <w:fldChar w:fldCharType="begin"/>
      </w:r>
      <w:r w:rsidR="00D41A90">
        <w:instrText xml:space="preserve"> REF _Ref17354716 \h </w:instrText>
      </w:r>
      <w:r w:rsidR="00D41A90">
        <w:fldChar w:fldCharType="separate"/>
      </w:r>
      <w:r w:rsidR="00BD60C9">
        <w:t xml:space="preserve">Table </w:t>
      </w:r>
      <w:r w:rsidR="00BD60C9">
        <w:rPr>
          <w:noProof/>
        </w:rPr>
        <w:t>19</w:t>
      </w:r>
      <w:r w:rsidR="00D41A90">
        <w:fldChar w:fldCharType="end"/>
      </w:r>
      <w:r>
        <w:t>. The frequency of SAEs was low in all treatment groups. The majority of SAEs were single instances across all treatment groups and all single events by PT were reported in &lt;</w:t>
      </w:r>
      <w:r w:rsidR="00D41A90">
        <w:t xml:space="preserve"> </w:t>
      </w:r>
      <w:r>
        <w:t>1% of patients.</w:t>
      </w:r>
    </w:p>
    <w:p w14:paraId="4A93E601" w14:textId="77777777" w:rsidR="00CE0FB2" w:rsidRDefault="00D41A90" w:rsidP="00D41A90">
      <w:pPr>
        <w:pStyle w:val="TableTitle"/>
      </w:pPr>
      <w:bookmarkStart w:id="172" w:name="_Ref17354716"/>
      <w:r>
        <w:t xml:space="preserve">Table </w:t>
      </w:r>
      <w:fldSimple w:instr=" SEQ Table \* ARABIC ">
        <w:r w:rsidR="0061158C">
          <w:rPr>
            <w:noProof/>
          </w:rPr>
          <w:t>19</w:t>
        </w:r>
      </w:fldSimple>
      <w:bookmarkEnd w:id="172"/>
      <w:r>
        <w:t xml:space="preserve">: </w:t>
      </w:r>
      <w:r w:rsidR="00CE0FB2">
        <w:t>SAEs by SOC and PT in Cohort 2a</w:t>
      </w:r>
    </w:p>
    <w:p w14:paraId="26EBA103" w14:textId="77777777" w:rsidR="00CE0FB2" w:rsidRDefault="00CE0FB2" w:rsidP="007A55D9">
      <w:r>
        <w:rPr>
          <w:noProof/>
          <w:lang w:eastAsia="en-AU"/>
        </w:rPr>
        <w:drawing>
          <wp:inline distT="0" distB="0" distL="0" distR="0" wp14:anchorId="63B65A22" wp14:editId="65ACBD84">
            <wp:extent cx="4798357" cy="5808268"/>
            <wp:effectExtent l="0" t="0" r="2540" b="2540"/>
            <wp:docPr id="32" name="Picture 32" descr="SAEs by SOC and PT in Cohort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01379" cy="5811926"/>
                    </a:xfrm>
                    <a:prstGeom prst="rect">
                      <a:avLst/>
                    </a:prstGeom>
                  </pic:spPr>
                </pic:pic>
              </a:graphicData>
            </a:graphic>
          </wp:inline>
        </w:drawing>
      </w:r>
    </w:p>
    <w:p w14:paraId="08996A43" w14:textId="7F29BEEF" w:rsidR="00CE0FB2" w:rsidRDefault="00D41A90" w:rsidP="00D41A90">
      <w:pPr>
        <w:pStyle w:val="TableTitle"/>
      </w:pPr>
      <w:r>
        <w:lastRenderedPageBreak/>
        <w:fldChar w:fldCharType="begin"/>
      </w:r>
      <w:r>
        <w:instrText xml:space="preserve"> REF _Ref17354716 \h  \* MERGEFORMAT </w:instrText>
      </w:r>
      <w:r>
        <w:fldChar w:fldCharType="separate"/>
      </w:r>
      <w:r w:rsidR="00BD60C9">
        <w:t xml:space="preserve">Table </w:t>
      </w:r>
      <w:r w:rsidR="00BD60C9">
        <w:rPr>
          <w:noProof/>
        </w:rPr>
        <w:t>19</w:t>
      </w:r>
      <w:r>
        <w:fldChar w:fldCharType="end"/>
      </w:r>
      <w:r>
        <w:t xml:space="preserve"> </w:t>
      </w:r>
      <w:r w:rsidR="007A231A">
        <w:t>(</w:t>
      </w:r>
      <w:r>
        <w:t>continued</w:t>
      </w:r>
      <w:r w:rsidR="007A231A">
        <w:t>)</w:t>
      </w:r>
      <w:r>
        <w:t>: SAEs by SOC and PT in Cohort 2a</w:t>
      </w:r>
    </w:p>
    <w:p w14:paraId="008E4584" w14:textId="77777777" w:rsidR="00CE0FB2" w:rsidRDefault="00CE0FB2" w:rsidP="007A55D9">
      <w:r>
        <w:rPr>
          <w:noProof/>
          <w:lang w:eastAsia="en-AU"/>
        </w:rPr>
        <w:drawing>
          <wp:inline distT="0" distB="0" distL="0" distR="0" wp14:anchorId="2EEF51C3" wp14:editId="2E207364">
            <wp:extent cx="5400040" cy="3600027"/>
            <wp:effectExtent l="0" t="0" r="0" b="635"/>
            <wp:docPr id="33" name="Picture 33" descr="SAEs by SOC and PT in Cohort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00040" cy="3600027"/>
                    </a:xfrm>
                    <a:prstGeom prst="rect">
                      <a:avLst/>
                    </a:prstGeom>
                  </pic:spPr>
                </pic:pic>
              </a:graphicData>
            </a:graphic>
          </wp:inline>
        </w:drawing>
      </w:r>
    </w:p>
    <w:p w14:paraId="6D0D7CC4" w14:textId="77777777" w:rsidR="007A55D9" w:rsidRDefault="00D41A90" w:rsidP="00D41A90">
      <w:pPr>
        <w:pStyle w:val="Heading5"/>
      </w:pPr>
      <w:r>
        <w:t>Evaluation of response</w:t>
      </w:r>
    </w:p>
    <w:p w14:paraId="397864AA" w14:textId="77777777" w:rsidR="006136D7" w:rsidRPr="00605AD4" w:rsidRDefault="007A55D9" w:rsidP="007A55D9">
      <w:r>
        <w:t>The sponsor’s response is satisfactory.</w:t>
      </w:r>
    </w:p>
    <w:p w14:paraId="5ABA9DB4" w14:textId="0F419D13" w:rsidR="00605AD4" w:rsidRPr="00605AD4" w:rsidRDefault="00605AD4" w:rsidP="00546154">
      <w:pPr>
        <w:pStyle w:val="Heading3"/>
        <w:rPr>
          <w:rFonts w:eastAsia="Cambria"/>
        </w:rPr>
      </w:pPr>
      <w:bookmarkStart w:id="173" w:name="_Toc22048622"/>
      <w:r w:rsidRPr="00605AD4">
        <w:rPr>
          <w:rFonts w:eastAsia="Cambria"/>
        </w:rPr>
        <w:t xml:space="preserve">Second </w:t>
      </w:r>
      <w:r w:rsidR="0063014B" w:rsidRPr="00605AD4">
        <w:rPr>
          <w:rFonts w:eastAsia="Cambria"/>
        </w:rPr>
        <w:t>round benefit-risk assessment</w:t>
      </w:r>
      <w:bookmarkEnd w:id="173"/>
    </w:p>
    <w:p w14:paraId="4440FB53" w14:textId="77777777" w:rsidR="007A55D9" w:rsidRDefault="007A55D9" w:rsidP="00D41A90">
      <w:pPr>
        <w:pStyle w:val="Heading4"/>
      </w:pPr>
      <w:r>
        <w:t>Second round assessment of benefits</w:t>
      </w:r>
    </w:p>
    <w:p w14:paraId="0BF67F70" w14:textId="77777777" w:rsidR="007A55D9" w:rsidRDefault="007A55D9" w:rsidP="007A55D9">
      <w:r>
        <w:t xml:space="preserve">After consideration of the responses to clinical questions, the benefits of </w:t>
      </w:r>
      <w:r w:rsidR="00D41A90">
        <w:t>Xeljanz</w:t>
      </w:r>
      <w:r>
        <w:t xml:space="preserve"> in the proposed usage are unchanged from those identified in </w:t>
      </w:r>
      <w:r w:rsidR="00D41A90">
        <w:t>the first round.</w:t>
      </w:r>
    </w:p>
    <w:p w14:paraId="0A83AED4" w14:textId="77777777" w:rsidR="007A55D9" w:rsidRDefault="007A55D9" w:rsidP="00D41A90">
      <w:pPr>
        <w:pStyle w:val="Heading4"/>
      </w:pPr>
      <w:r>
        <w:t>Second round assessment of risks</w:t>
      </w:r>
    </w:p>
    <w:p w14:paraId="78D6A4E6" w14:textId="77777777" w:rsidR="007A55D9" w:rsidRDefault="007A55D9" w:rsidP="007A55D9">
      <w:r>
        <w:t xml:space="preserve">After consideration of the responses to clinical questions, the risks of </w:t>
      </w:r>
      <w:r w:rsidR="00D41A90">
        <w:t>Xeljanz</w:t>
      </w:r>
      <w:r>
        <w:t xml:space="preserve"> in the proposed usage are unchanged from those identified in </w:t>
      </w:r>
      <w:r w:rsidR="00D41A90">
        <w:t>the first round</w:t>
      </w:r>
      <w:r>
        <w:t>.</w:t>
      </w:r>
    </w:p>
    <w:p w14:paraId="5D80F9FF" w14:textId="77777777" w:rsidR="007A55D9" w:rsidRDefault="007A55D9" w:rsidP="00D41A90">
      <w:pPr>
        <w:pStyle w:val="Heading4"/>
      </w:pPr>
      <w:r>
        <w:t>Second round assessment of benefit-risk balance</w:t>
      </w:r>
    </w:p>
    <w:p w14:paraId="3803A1F3" w14:textId="77777777" w:rsidR="00605AD4" w:rsidRDefault="007A55D9" w:rsidP="007A55D9">
      <w:r>
        <w:t>After consideration of the responses to clinical questions, the benefit-risk balance remains positive.</w:t>
      </w:r>
    </w:p>
    <w:p w14:paraId="7E68B9D8" w14:textId="77777777" w:rsidR="007A55D9" w:rsidRDefault="00D41A90" w:rsidP="00D41A90">
      <w:pPr>
        <w:pStyle w:val="Heading4"/>
      </w:pPr>
      <w:r>
        <w:t>Second round recommendation regarding authorisation</w:t>
      </w:r>
    </w:p>
    <w:p w14:paraId="12AE9A1E" w14:textId="77777777" w:rsidR="007A55D9" w:rsidRDefault="007A55D9" w:rsidP="007A55D9">
      <w:r>
        <w:t>No change to the first round assessment.</w:t>
      </w:r>
    </w:p>
    <w:p w14:paraId="4F5B341C" w14:textId="77777777" w:rsidR="007A55D9" w:rsidRDefault="007A55D9" w:rsidP="007A55D9">
      <w:r>
        <w:t>Approval is recommended for the revised indication below:</w:t>
      </w:r>
    </w:p>
    <w:p w14:paraId="78EAED63" w14:textId="77777777" w:rsidR="007A55D9" w:rsidRPr="00D41A90" w:rsidRDefault="007A55D9" w:rsidP="00D41A90">
      <w:pPr>
        <w:ind w:left="720"/>
        <w:rPr>
          <w:i/>
        </w:rPr>
      </w:pPr>
      <w:r w:rsidRPr="00D41A90">
        <w:rPr>
          <w:i/>
        </w:rPr>
        <w:t>Xeljanz in combination with non-biological DMARDs is indicated for the treatment of active psoriatic arthritis in adult patients who have had an inadequate res</w:t>
      </w:r>
      <w:r w:rsidR="00D41A90" w:rsidRPr="00D41A90">
        <w:rPr>
          <w:i/>
        </w:rPr>
        <w:t>ponse to a prior DMARD therapy.</w:t>
      </w:r>
    </w:p>
    <w:p w14:paraId="67A1D949" w14:textId="77777777" w:rsidR="008E7846" w:rsidRPr="00E41208" w:rsidRDefault="008E7846" w:rsidP="00546154">
      <w:pPr>
        <w:pStyle w:val="Heading2"/>
      </w:pPr>
      <w:bookmarkStart w:id="174" w:name="_Toc22048623"/>
      <w:r w:rsidRPr="00E41208">
        <w:lastRenderedPageBreak/>
        <w:t>V</w:t>
      </w:r>
      <w:r w:rsidR="00500337">
        <w:t>I</w:t>
      </w:r>
      <w:r w:rsidRPr="00E41208">
        <w:t xml:space="preserve">. Pharmacovigilance </w:t>
      </w:r>
      <w:r>
        <w:t>f</w:t>
      </w:r>
      <w:r w:rsidRPr="00E41208">
        <w:t>indings</w:t>
      </w:r>
      <w:bookmarkEnd w:id="156"/>
      <w:bookmarkEnd w:id="157"/>
      <w:bookmarkEnd w:id="174"/>
    </w:p>
    <w:p w14:paraId="4719BC22" w14:textId="77777777" w:rsidR="008E7846" w:rsidRDefault="00386150" w:rsidP="008E7846">
      <w:pPr>
        <w:pStyle w:val="Heading3"/>
        <w:rPr>
          <w:lang w:eastAsia="en-AU"/>
        </w:rPr>
      </w:pPr>
      <w:bookmarkStart w:id="175" w:name="_Toc247691526"/>
      <w:bookmarkStart w:id="176" w:name="_Toc314842509"/>
      <w:bookmarkStart w:id="177" w:name="_Toc22048624"/>
      <w:r>
        <w:rPr>
          <w:lang w:eastAsia="en-AU"/>
        </w:rPr>
        <w:t>Risk m</w:t>
      </w:r>
      <w:r w:rsidR="008E7846">
        <w:rPr>
          <w:lang w:eastAsia="en-AU"/>
        </w:rPr>
        <w:t xml:space="preserve">anagement </w:t>
      </w:r>
      <w:r>
        <w:rPr>
          <w:lang w:eastAsia="en-AU"/>
        </w:rPr>
        <w:t>p</w:t>
      </w:r>
      <w:r w:rsidR="008E7846">
        <w:rPr>
          <w:lang w:eastAsia="en-AU"/>
        </w:rPr>
        <w:t>lan</w:t>
      </w:r>
      <w:bookmarkEnd w:id="175"/>
      <w:bookmarkEnd w:id="176"/>
      <w:bookmarkEnd w:id="177"/>
    </w:p>
    <w:p w14:paraId="41532C6F" w14:textId="77777777" w:rsidR="00456765" w:rsidRDefault="00456765" w:rsidP="00456765">
      <w:pPr>
        <w:pStyle w:val="Heading4"/>
        <w:rPr>
          <w:lang w:eastAsia="en-AU"/>
        </w:rPr>
      </w:pPr>
      <w:bookmarkStart w:id="178" w:name="_Toc247691527"/>
      <w:bookmarkStart w:id="179" w:name="_Toc314842510"/>
      <w:r>
        <w:rPr>
          <w:lang w:eastAsia="en-AU"/>
        </w:rPr>
        <w:t>Summary of RMP evaluation</w:t>
      </w:r>
      <w:r>
        <w:rPr>
          <w:rStyle w:val="FootnoteReference"/>
          <w:lang w:eastAsia="en-AU"/>
        </w:rPr>
        <w:footnoteReference w:id="5"/>
      </w:r>
    </w:p>
    <w:p w14:paraId="2EDC6E20" w14:textId="2E84905F" w:rsidR="007A55D9" w:rsidRPr="004E24F6" w:rsidRDefault="007A55D9" w:rsidP="001908D6">
      <w:pPr>
        <w:pStyle w:val="ListBullet"/>
      </w:pPr>
      <w:r w:rsidRPr="004E24F6">
        <w:t xml:space="preserve">The most recently evaluated </w:t>
      </w:r>
      <w:r w:rsidR="007A231A">
        <w:t>risk management plan (</w:t>
      </w:r>
      <w:r w:rsidRPr="004E24F6">
        <w:t>RMP</w:t>
      </w:r>
      <w:r w:rsidR="007A231A">
        <w:t>)</w:t>
      </w:r>
      <w:r w:rsidRPr="004E24F6">
        <w:t xml:space="preserve"> </w:t>
      </w:r>
      <w:r>
        <w:t xml:space="preserve">for </w:t>
      </w:r>
      <w:r w:rsidRPr="001908D6">
        <w:t>Xeljanz</w:t>
      </w:r>
      <w:r>
        <w:t xml:space="preserve"> </w:t>
      </w:r>
      <w:r w:rsidRPr="004E24F6">
        <w:t xml:space="preserve">(for </w:t>
      </w:r>
      <w:r w:rsidR="007A231A">
        <w:t>Submission </w:t>
      </w:r>
      <w:r w:rsidRPr="004E24F6">
        <w:t>PM-20</w:t>
      </w:r>
      <w:r w:rsidR="001908D6">
        <w:t xml:space="preserve">16-00757-1-3) was an Australian </w:t>
      </w:r>
      <w:r w:rsidRPr="004E24F6">
        <w:t>specific</w:t>
      </w:r>
      <w:r w:rsidR="007A231A">
        <w:t>-</w:t>
      </w:r>
      <w:r w:rsidRPr="004E24F6">
        <w:t xml:space="preserve">RMP </w:t>
      </w:r>
      <w:r>
        <w:t>(</w:t>
      </w:r>
      <w:r w:rsidRPr="004E24F6">
        <w:t>version 2.0</w:t>
      </w:r>
      <w:r>
        <w:t>,</w:t>
      </w:r>
      <w:r w:rsidRPr="004E24F6">
        <w:t xml:space="preserve"> dated</w:t>
      </w:r>
      <w:r w:rsidR="007A231A">
        <w:t> </w:t>
      </w:r>
      <w:r w:rsidRPr="004E24F6">
        <w:t xml:space="preserve">28 January 2016; </w:t>
      </w:r>
      <w:r w:rsidR="001908D6">
        <w:t xml:space="preserve">data lock point 15 June 2015). </w:t>
      </w:r>
      <w:r w:rsidRPr="004E24F6">
        <w:t xml:space="preserve">In support </w:t>
      </w:r>
      <w:r>
        <w:t>of the current submission, the s</w:t>
      </w:r>
      <w:r w:rsidRPr="004E24F6">
        <w:t>ponsor has submitted EU-RMP ver</w:t>
      </w:r>
      <w:r w:rsidR="001908D6">
        <w:t>sion 3.0 (date 26 July 2017; data lock point</w:t>
      </w:r>
      <w:r w:rsidRPr="004E24F6">
        <w:t xml:space="preserve"> 7</w:t>
      </w:r>
      <w:r w:rsidR="007A231A">
        <w:t> </w:t>
      </w:r>
      <w:r w:rsidRPr="004E24F6">
        <w:t>March 2017) and ASA versio</w:t>
      </w:r>
      <w:r w:rsidR="001908D6">
        <w:t>n 1.0 (date</w:t>
      </w:r>
      <w:r w:rsidR="007A231A">
        <w:t>d</w:t>
      </w:r>
      <w:r w:rsidR="001908D6">
        <w:t xml:space="preserve"> 27 September 2017).</w:t>
      </w:r>
    </w:p>
    <w:p w14:paraId="59798642" w14:textId="0540ADD9" w:rsidR="007A55D9" w:rsidRDefault="007A55D9" w:rsidP="001908D6">
      <w:pPr>
        <w:pStyle w:val="ListBullet"/>
      </w:pPr>
      <w:r w:rsidRPr="004E24F6">
        <w:t xml:space="preserve">The proposed Summary of Safety Concerns and their associated risk monitoring and mitigation strategies as outlined in the EU RMP </w:t>
      </w:r>
      <w:r>
        <w:t xml:space="preserve">and </w:t>
      </w:r>
      <w:r w:rsidR="007A231A">
        <w:t>Australian Specific Annex (</w:t>
      </w:r>
      <w:r>
        <w:t>ASA</w:t>
      </w:r>
      <w:r w:rsidR="007A231A">
        <w:t>)</w:t>
      </w:r>
      <w:r>
        <w:t xml:space="preserve"> </w:t>
      </w:r>
      <w:r w:rsidR="001908D6">
        <w:t xml:space="preserve">are summarised in </w:t>
      </w:r>
      <w:r w:rsidR="001908D6">
        <w:fldChar w:fldCharType="begin"/>
      </w:r>
      <w:r w:rsidR="001908D6">
        <w:instrText xml:space="preserve"> REF _Ref17355660 \h </w:instrText>
      </w:r>
      <w:r w:rsidR="001908D6">
        <w:fldChar w:fldCharType="separate"/>
      </w:r>
      <w:r w:rsidR="00BD60C9">
        <w:t xml:space="preserve">Table </w:t>
      </w:r>
      <w:r w:rsidR="00BD60C9">
        <w:rPr>
          <w:noProof/>
        </w:rPr>
        <w:t>20</w:t>
      </w:r>
      <w:r w:rsidR="001908D6">
        <w:fldChar w:fldCharType="end"/>
      </w:r>
      <w:r>
        <w:t>.</w:t>
      </w:r>
    </w:p>
    <w:p w14:paraId="26207A81" w14:textId="77777777" w:rsidR="00D41A90" w:rsidRDefault="00D41A90" w:rsidP="00D41A90">
      <w:pPr>
        <w:pStyle w:val="TableTitle"/>
      </w:pPr>
      <w:bookmarkStart w:id="180" w:name="_Ref17355660"/>
      <w:r>
        <w:t xml:space="preserve">Table </w:t>
      </w:r>
      <w:fldSimple w:instr=" SEQ Table \* ARABIC ">
        <w:r w:rsidR="0061158C">
          <w:rPr>
            <w:noProof/>
          </w:rPr>
          <w:t>20</w:t>
        </w:r>
      </w:fldSimple>
      <w:bookmarkEnd w:id="180"/>
      <w:r>
        <w:t>: Summary of safety concerns</w:t>
      </w:r>
    </w:p>
    <w:tbl>
      <w:tblPr>
        <w:tblStyle w:val="TableTGAblue"/>
        <w:tblW w:w="8302" w:type="dxa"/>
        <w:tblLayout w:type="fixed"/>
        <w:tblLook w:val="04A0" w:firstRow="1" w:lastRow="0" w:firstColumn="1" w:lastColumn="0" w:noHBand="0" w:noVBand="1"/>
      </w:tblPr>
      <w:tblGrid>
        <w:gridCol w:w="547"/>
        <w:gridCol w:w="3247"/>
        <w:gridCol w:w="992"/>
        <w:gridCol w:w="1134"/>
        <w:gridCol w:w="992"/>
        <w:gridCol w:w="1390"/>
      </w:tblGrid>
      <w:tr w:rsidR="007A55D9" w:rsidRPr="00D41A90" w14:paraId="59F24FA6" w14:textId="77777777" w:rsidTr="0063014B">
        <w:trPr>
          <w:cnfStyle w:val="100000000000" w:firstRow="1" w:lastRow="0" w:firstColumn="0" w:lastColumn="0" w:oddVBand="0" w:evenVBand="0" w:oddHBand="0" w:evenHBand="0" w:firstRowFirstColumn="0" w:firstRowLastColumn="0" w:lastRowFirstColumn="0" w:lastRowLastColumn="0"/>
          <w:trHeight w:val="242"/>
        </w:trPr>
        <w:tc>
          <w:tcPr>
            <w:tcW w:w="3794" w:type="dxa"/>
            <w:gridSpan w:val="2"/>
            <w:vMerge w:val="restart"/>
          </w:tcPr>
          <w:p w14:paraId="47086940" w14:textId="77777777" w:rsidR="007A55D9" w:rsidRPr="00D41A90" w:rsidRDefault="007A55D9" w:rsidP="00B57398">
            <w:pPr>
              <w:pStyle w:val="Tabletext"/>
              <w:spacing w:before="80" w:after="80"/>
              <w:ind w:left="0" w:right="0"/>
            </w:pPr>
            <w:r w:rsidRPr="00D41A90">
              <w:t>Summary of safety concerns</w:t>
            </w:r>
          </w:p>
        </w:tc>
        <w:tc>
          <w:tcPr>
            <w:tcW w:w="2126" w:type="dxa"/>
            <w:gridSpan w:val="2"/>
          </w:tcPr>
          <w:p w14:paraId="28BA938B" w14:textId="77777777" w:rsidR="007A55D9" w:rsidRPr="00D41A90" w:rsidRDefault="007A55D9" w:rsidP="00B57398">
            <w:pPr>
              <w:pStyle w:val="Tabletext"/>
              <w:spacing w:before="80" w:after="80"/>
              <w:ind w:left="0" w:right="0"/>
              <w:rPr>
                <w:sz w:val="18"/>
              </w:rPr>
            </w:pPr>
            <w:r w:rsidRPr="00D41A90">
              <w:rPr>
                <w:sz w:val="18"/>
              </w:rPr>
              <w:t>Pharmacovigilance</w:t>
            </w:r>
          </w:p>
        </w:tc>
        <w:tc>
          <w:tcPr>
            <w:tcW w:w="2382" w:type="dxa"/>
            <w:gridSpan w:val="2"/>
          </w:tcPr>
          <w:p w14:paraId="18BB066D" w14:textId="77777777" w:rsidR="007A55D9" w:rsidRPr="00D41A90" w:rsidRDefault="007A55D9" w:rsidP="00B57398">
            <w:pPr>
              <w:pStyle w:val="Tabletext"/>
              <w:spacing w:before="80" w:after="80"/>
              <w:ind w:left="0" w:right="0"/>
              <w:rPr>
                <w:sz w:val="18"/>
              </w:rPr>
            </w:pPr>
            <w:r w:rsidRPr="00D41A90">
              <w:rPr>
                <w:sz w:val="18"/>
              </w:rPr>
              <w:t>Risk Minimisation</w:t>
            </w:r>
          </w:p>
        </w:tc>
      </w:tr>
      <w:tr w:rsidR="007A55D9" w:rsidRPr="00D41A90" w14:paraId="34AF0BC4" w14:textId="77777777" w:rsidTr="0063014B">
        <w:trPr>
          <w:cnfStyle w:val="100000000000" w:firstRow="1" w:lastRow="0" w:firstColumn="0" w:lastColumn="0" w:oddVBand="0" w:evenVBand="0" w:oddHBand="0" w:evenHBand="0" w:firstRowFirstColumn="0" w:firstRowLastColumn="0" w:lastRowFirstColumn="0" w:lastRowLastColumn="0"/>
          <w:trHeight w:val="277"/>
        </w:trPr>
        <w:tc>
          <w:tcPr>
            <w:tcW w:w="3794" w:type="dxa"/>
            <w:gridSpan w:val="2"/>
            <w:vMerge/>
          </w:tcPr>
          <w:p w14:paraId="3FE67B28" w14:textId="77777777" w:rsidR="007A55D9" w:rsidRPr="00D41A90" w:rsidRDefault="007A55D9" w:rsidP="00B57398">
            <w:pPr>
              <w:pStyle w:val="Tabletext"/>
              <w:spacing w:before="80" w:after="80"/>
              <w:ind w:left="0" w:right="0"/>
            </w:pPr>
          </w:p>
        </w:tc>
        <w:tc>
          <w:tcPr>
            <w:tcW w:w="992" w:type="dxa"/>
          </w:tcPr>
          <w:p w14:paraId="080F7DEF" w14:textId="77777777" w:rsidR="007A55D9" w:rsidRPr="00D41A90" w:rsidRDefault="007A55D9" w:rsidP="00B57398">
            <w:pPr>
              <w:pStyle w:val="Tabletext"/>
              <w:spacing w:before="80" w:after="80"/>
              <w:ind w:left="0" w:right="0"/>
              <w:rPr>
                <w:sz w:val="18"/>
              </w:rPr>
            </w:pPr>
            <w:r w:rsidRPr="00D41A90">
              <w:rPr>
                <w:sz w:val="18"/>
              </w:rPr>
              <w:t>Routine</w:t>
            </w:r>
          </w:p>
        </w:tc>
        <w:tc>
          <w:tcPr>
            <w:tcW w:w="1134" w:type="dxa"/>
          </w:tcPr>
          <w:p w14:paraId="555EE97A" w14:textId="77777777" w:rsidR="007A55D9" w:rsidRPr="00D41A90" w:rsidRDefault="007A55D9" w:rsidP="00B57398">
            <w:pPr>
              <w:pStyle w:val="Tabletext"/>
              <w:spacing w:before="80" w:after="80"/>
              <w:ind w:left="0" w:right="0"/>
              <w:rPr>
                <w:sz w:val="18"/>
              </w:rPr>
            </w:pPr>
            <w:r w:rsidRPr="00D41A90">
              <w:rPr>
                <w:sz w:val="18"/>
              </w:rPr>
              <w:t>Additional</w:t>
            </w:r>
          </w:p>
        </w:tc>
        <w:tc>
          <w:tcPr>
            <w:tcW w:w="992" w:type="dxa"/>
          </w:tcPr>
          <w:p w14:paraId="352FDB3E" w14:textId="77777777" w:rsidR="007A55D9" w:rsidRPr="00D41A90" w:rsidRDefault="007A55D9" w:rsidP="00B57398">
            <w:pPr>
              <w:pStyle w:val="Tabletext"/>
              <w:spacing w:before="80" w:after="80"/>
              <w:ind w:left="0" w:right="0"/>
              <w:rPr>
                <w:sz w:val="18"/>
              </w:rPr>
            </w:pPr>
            <w:r w:rsidRPr="00D41A90">
              <w:rPr>
                <w:sz w:val="18"/>
              </w:rPr>
              <w:t>Routine</w:t>
            </w:r>
          </w:p>
        </w:tc>
        <w:tc>
          <w:tcPr>
            <w:tcW w:w="1390" w:type="dxa"/>
          </w:tcPr>
          <w:p w14:paraId="07FA9EE9" w14:textId="77777777" w:rsidR="007A55D9" w:rsidRPr="00D41A90" w:rsidRDefault="007A55D9" w:rsidP="00B57398">
            <w:pPr>
              <w:pStyle w:val="Tabletext"/>
              <w:spacing w:before="80" w:after="80"/>
              <w:ind w:left="0" w:right="0"/>
              <w:rPr>
                <w:sz w:val="18"/>
              </w:rPr>
            </w:pPr>
            <w:r w:rsidRPr="00D41A90">
              <w:rPr>
                <w:sz w:val="18"/>
              </w:rPr>
              <w:t>Additional</w:t>
            </w:r>
          </w:p>
        </w:tc>
      </w:tr>
      <w:tr w:rsidR="007A55D9" w:rsidRPr="004F1C07" w14:paraId="1D4FFB1C" w14:textId="77777777" w:rsidTr="00D41A90">
        <w:trPr>
          <w:trHeight w:val="253"/>
        </w:trPr>
        <w:tc>
          <w:tcPr>
            <w:tcW w:w="547" w:type="dxa"/>
            <w:vMerge w:val="restart"/>
            <w:textDirection w:val="btLr"/>
          </w:tcPr>
          <w:p w14:paraId="3A631DBE" w14:textId="77777777" w:rsidR="007A55D9" w:rsidRPr="00680101" w:rsidRDefault="007A55D9" w:rsidP="00B57398">
            <w:pPr>
              <w:pStyle w:val="Tabletext"/>
              <w:spacing w:before="80" w:after="80"/>
              <w:ind w:left="0" w:right="0"/>
              <w:jc w:val="center"/>
              <w:rPr>
                <w:b/>
              </w:rPr>
            </w:pPr>
            <w:r w:rsidRPr="00680101">
              <w:rPr>
                <w:b/>
              </w:rPr>
              <w:t>Important identified risks</w:t>
            </w:r>
          </w:p>
        </w:tc>
        <w:tc>
          <w:tcPr>
            <w:tcW w:w="3247" w:type="dxa"/>
          </w:tcPr>
          <w:p w14:paraId="0778DD11" w14:textId="77777777" w:rsidR="007A55D9" w:rsidRPr="00E37BDF" w:rsidRDefault="007A55D9" w:rsidP="00B57398">
            <w:pPr>
              <w:pStyle w:val="Summaryofsafetyconcerns"/>
              <w:keepNext/>
              <w:keepLines/>
              <w:spacing w:before="80" w:after="80"/>
              <w:ind w:left="0" w:right="0"/>
              <w:rPr>
                <w:b w:val="0"/>
              </w:rPr>
            </w:pPr>
            <w:r w:rsidRPr="00E37BDF">
              <w:rPr>
                <w:b w:val="0"/>
              </w:rPr>
              <w:t>Serious and other important infections</w:t>
            </w:r>
          </w:p>
        </w:tc>
        <w:tc>
          <w:tcPr>
            <w:tcW w:w="992" w:type="dxa"/>
          </w:tcPr>
          <w:p w14:paraId="42C57CE3" w14:textId="77777777" w:rsidR="007A55D9" w:rsidRPr="00180311" w:rsidRDefault="007A55D9" w:rsidP="00B57398">
            <w:pPr>
              <w:pStyle w:val="Tabletext"/>
              <w:spacing w:before="80" w:after="80"/>
              <w:ind w:left="0" w:right="0"/>
              <w:jc w:val="center"/>
            </w:pPr>
            <w:r w:rsidRPr="00180311">
              <w:sym w:font="Wingdings" w:char="F0FC"/>
            </w:r>
          </w:p>
        </w:tc>
        <w:tc>
          <w:tcPr>
            <w:tcW w:w="1134" w:type="dxa"/>
          </w:tcPr>
          <w:p w14:paraId="2D54F4A5" w14:textId="77777777" w:rsidR="007A55D9" w:rsidRPr="0018137A" w:rsidRDefault="007A55D9" w:rsidP="00B57398">
            <w:pPr>
              <w:pStyle w:val="Tabletext"/>
              <w:spacing w:before="80" w:after="80"/>
              <w:ind w:left="0" w:right="0"/>
              <w:jc w:val="center"/>
            </w:pPr>
            <w:r w:rsidRPr="00180311">
              <w:sym w:font="Wingdings" w:char="F0FC"/>
            </w:r>
            <w:r w:rsidRPr="00917406">
              <w:rPr>
                <w:vertAlign w:val="superscript"/>
              </w:rPr>
              <w:t>1,2</w:t>
            </w:r>
          </w:p>
        </w:tc>
        <w:tc>
          <w:tcPr>
            <w:tcW w:w="992" w:type="dxa"/>
          </w:tcPr>
          <w:p w14:paraId="2F3A322A" w14:textId="77777777" w:rsidR="007A55D9" w:rsidRPr="00127F8A" w:rsidRDefault="007A55D9" w:rsidP="00B57398">
            <w:pPr>
              <w:pStyle w:val="Tabletext"/>
              <w:spacing w:before="80" w:after="80"/>
              <w:ind w:left="0" w:right="0"/>
              <w:jc w:val="center"/>
            </w:pPr>
            <w:r w:rsidRPr="00127F8A">
              <w:sym w:font="Wingdings" w:char="F0FC"/>
            </w:r>
          </w:p>
        </w:tc>
        <w:tc>
          <w:tcPr>
            <w:tcW w:w="1390" w:type="dxa"/>
          </w:tcPr>
          <w:p w14:paraId="66A32F07" w14:textId="77777777" w:rsidR="007A55D9" w:rsidRPr="00127F8A" w:rsidRDefault="007A55D9" w:rsidP="00B57398">
            <w:pPr>
              <w:pStyle w:val="Tabletext"/>
              <w:spacing w:before="80" w:after="80"/>
              <w:ind w:left="0" w:right="0"/>
              <w:jc w:val="center"/>
            </w:pPr>
            <w:r w:rsidRPr="00127F8A">
              <w:sym w:font="Wingdings" w:char="F0FC"/>
            </w:r>
            <w:r w:rsidRPr="00127F8A">
              <w:rPr>
                <w:vertAlign w:val="superscript"/>
              </w:rPr>
              <w:t>4,5</w:t>
            </w:r>
          </w:p>
        </w:tc>
      </w:tr>
      <w:tr w:rsidR="007A55D9" w:rsidRPr="004F1C07" w14:paraId="10DD69AE" w14:textId="77777777" w:rsidTr="00D41A90">
        <w:trPr>
          <w:trHeight w:val="173"/>
        </w:trPr>
        <w:tc>
          <w:tcPr>
            <w:tcW w:w="547" w:type="dxa"/>
            <w:vMerge/>
            <w:textDirection w:val="btLr"/>
          </w:tcPr>
          <w:p w14:paraId="2061134D" w14:textId="77777777" w:rsidR="007A55D9" w:rsidRPr="00680101" w:rsidRDefault="007A55D9" w:rsidP="00B57398">
            <w:pPr>
              <w:pStyle w:val="Tabletext"/>
              <w:spacing w:before="80" w:after="80"/>
              <w:ind w:left="0" w:right="0"/>
              <w:jc w:val="center"/>
              <w:rPr>
                <w:b/>
              </w:rPr>
            </w:pPr>
          </w:p>
        </w:tc>
        <w:tc>
          <w:tcPr>
            <w:tcW w:w="3247" w:type="dxa"/>
          </w:tcPr>
          <w:p w14:paraId="472E384E" w14:textId="77777777" w:rsidR="007A55D9" w:rsidRPr="00E37BDF" w:rsidRDefault="007A55D9" w:rsidP="00B57398">
            <w:pPr>
              <w:pStyle w:val="Summaryofsafetyconcerns"/>
              <w:keepNext/>
              <w:keepLines/>
              <w:spacing w:before="80" w:after="80"/>
              <w:ind w:left="0" w:right="0"/>
              <w:rPr>
                <w:b w:val="0"/>
              </w:rPr>
            </w:pPr>
            <w:r w:rsidRPr="00E37BDF">
              <w:rPr>
                <w:b w:val="0"/>
              </w:rPr>
              <w:t>Herpes zoster reactivation</w:t>
            </w:r>
            <w:r>
              <w:rPr>
                <w:b w:val="0"/>
              </w:rPr>
              <w:t>*</w:t>
            </w:r>
          </w:p>
        </w:tc>
        <w:tc>
          <w:tcPr>
            <w:tcW w:w="992" w:type="dxa"/>
          </w:tcPr>
          <w:p w14:paraId="5332DF2D" w14:textId="77777777" w:rsidR="007A55D9" w:rsidRPr="00180311" w:rsidRDefault="007A55D9" w:rsidP="00B57398">
            <w:pPr>
              <w:pStyle w:val="Tabletext"/>
              <w:spacing w:before="80" w:after="80"/>
              <w:ind w:left="0" w:right="0"/>
              <w:jc w:val="center"/>
            </w:pPr>
            <w:r w:rsidRPr="00180311">
              <w:sym w:font="Wingdings" w:char="F0FC"/>
            </w:r>
          </w:p>
        </w:tc>
        <w:tc>
          <w:tcPr>
            <w:tcW w:w="1134" w:type="dxa"/>
          </w:tcPr>
          <w:p w14:paraId="61A8AF31" w14:textId="77777777" w:rsidR="007A55D9" w:rsidRPr="00180311" w:rsidRDefault="007A55D9" w:rsidP="00B57398">
            <w:pPr>
              <w:pStyle w:val="Tabletext"/>
              <w:spacing w:before="80" w:after="80"/>
              <w:ind w:left="0" w:right="0"/>
              <w:jc w:val="center"/>
            </w:pPr>
            <w:r w:rsidRPr="00180311">
              <w:sym w:font="Wingdings" w:char="F0FC"/>
            </w:r>
            <w:r w:rsidRPr="00917406">
              <w:rPr>
                <w:vertAlign w:val="superscript"/>
              </w:rPr>
              <w:t>1,2</w:t>
            </w:r>
          </w:p>
        </w:tc>
        <w:tc>
          <w:tcPr>
            <w:tcW w:w="992" w:type="dxa"/>
          </w:tcPr>
          <w:p w14:paraId="1F55CF95" w14:textId="77777777" w:rsidR="007A55D9" w:rsidRPr="00127F8A" w:rsidRDefault="007A55D9" w:rsidP="00B57398">
            <w:pPr>
              <w:pStyle w:val="Tabletext"/>
              <w:spacing w:before="80" w:after="80"/>
              <w:ind w:left="0" w:right="0"/>
              <w:jc w:val="center"/>
            </w:pPr>
            <w:r w:rsidRPr="00127F8A">
              <w:sym w:font="Wingdings" w:char="F0FC"/>
            </w:r>
          </w:p>
        </w:tc>
        <w:tc>
          <w:tcPr>
            <w:tcW w:w="1390" w:type="dxa"/>
          </w:tcPr>
          <w:p w14:paraId="3A09465E" w14:textId="77777777" w:rsidR="007A55D9" w:rsidRPr="00127F8A" w:rsidRDefault="007A55D9" w:rsidP="00B57398">
            <w:pPr>
              <w:pStyle w:val="Tabletext"/>
              <w:spacing w:before="80" w:after="80"/>
              <w:ind w:left="0" w:right="0"/>
              <w:jc w:val="center"/>
            </w:pPr>
            <w:r w:rsidRPr="00127F8A">
              <w:sym w:font="Wingdings" w:char="F0FC"/>
            </w:r>
            <w:r w:rsidRPr="00127F8A">
              <w:rPr>
                <w:vertAlign w:val="superscript"/>
              </w:rPr>
              <w:t>4,5</w:t>
            </w:r>
          </w:p>
        </w:tc>
      </w:tr>
      <w:tr w:rsidR="007A55D9" w:rsidRPr="004F1C07" w14:paraId="3B709FED" w14:textId="77777777" w:rsidTr="00D41A90">
        <w:trPr>
          <w:trHeight w:val="173"/>
        </w:trPr>
        <w:tc>
          <w:tcPr>
            <w:tcW w:w="547" w:type="dxa"/>
            <w:vMerge/>
            <w:textDirection w:val="btLr"/>
          </w:tcPr>
          <w:p w14:paraId="192BF069" w14:textId="77777777" w:rsidR="007A55D9" w:rsidRPr="00680101" w:rsidRDefault="007A55D9" w:rsidP="00B57398">
            <w:pPr>
              <w:pStyle w:val="Tabletext"/>
              <w:spacing w:before="80" w:after="80"/>
              <w:ind w:left="0" w:right="0"/>
              <w:jc w:val="center"/>
              <w:rPr>
                <w:b/>
              </w:rPr>
            </w:pPr>
          </w:p>
        </w:tc>
        <w:tc>
          <w:tcPr>
            <w:tcW w:w="3247" w:type="dxa"/>
          </w:tcPr>
          <w:p w14:paraId="45B2A876" w14:textId="77777777" w:rsidR="007A55D9" w:rsidRPr="00E37BDF" w:rsidRDefault="007A55D9" w:rsidP="00B57398">
            <w:pPr>
              <w:autoSpaceDE w:val="0"/>
              <w:autoSpaceDN w:val="0"/>
              <w:adjustRightInd w:val="0"/>
              <w:spacing w:before="80" w:after="80"/>
              <w:ind w:left="0" w:right="0"/>
              <w:rPr>
                <w:rFonts w:eastAsia="TimesNewRoman" w:cs="TimesNewRoman"/>
                <w:sz w:val="20"/>
                <w:szCs w:val="20"/>
              </w:rPr>
            </w:pPr>
            <w:r w:rsidRPr="00E37BDF">
              <w:rPr>
                <w:rFonts w:eastAsia="TimesNewRoman" w:cs="TimesNewRoman"/>
                <w:sz w:val="20"/>
                <w:szCs w:val="20"/>
              </w:rPr>
              <w:t>Decrease in neutrophil counts and neutropenia</w:t>
            </w:r>
          </w:p>
        </w:tc>
        <w:tc>
          <w:tcPr>
            <w:tcW w:w="992" w:type="dxa"/>
          </w:tcPr>
          <w:p w14:paraId="71F5992C" w14:textId="77777777" w:rsidR="007A55D9" w:rsidRPr="00180311" w:rsidRDefault="007A55D9" w:rsidP="00B57398">
            <w:pPr>
              <w:pStyle w:val="Tabletext"/>
              <w:spacing w:before="80" w:after="80"/>
              <w:ind w:left="0" w:right="0"/>
              <w:jc w:val="center"/>
            </w:pPr>
            <w:r w:rsidRPr="00180311">
              <w:sym w:font="Wingdings" w:char="F0FC"/>
            </w:r>
          </w:p>
        </w:tc>
        <w:tc>
          <w:tcPr>
            <w:tcW w:w="1134" w:type="dxa"/>
          </w:tcPr>
          <w:p w14:paraId="760212CF" w14:textId="77777777" w:rsidR="007A55D9" w:rsidRPr="00180311" w:rsidRDefault="007A55D9" w:rsidP="00B57398">
            <w:pPr>
              <w:pStyle w:val="Tabletext"/>
              <w:spacing w:before="80" w:after="80"/>
              <w:ind w:left="0" w:right="0"/>
              <w:jc w:val="center"/>
            </w:pPr>
            <w:r w:rsidRPr="00180311">
              <w:t>–</w:t>
            </w:r>
          </w:p>
        </w:tc>
        <w:tc>
          <w:tcPr>
            <w:tcW w:w="992" w:type="dxa"/>
          </w:tcPr>
          <w:p w14:paraId="489889B5" w14:textId="77777777" w:rsidR="007A55D9" w:rsidRPr="00127F8A" w:rsidRDefault="007A55D9" w:rsidP="00B57398">
            <w:pPr>
              <w:pStyle w:val="Tabletext"/>
              <w:spacing w:before="80" w:after="80"/>
              <w:ind w:left="0" w:right="0"/>
              <w:jc w:val="center"/>
            </w:pPr>
            <w:r w:rsidRPr="00127F8A">
              <w:sym w:font="Wingdings" w:char="F0FC"/>
            </w:r>
          </w:p>
        </w:tc>
        <w:tc>
          <w:tcPr>
            <w:tcW w:w="1390" w:type="dxa"/>
          </w:tcPr>
          <w:p w14:paraId="1EE7BDFF" w14:textId="77777777" w:rsidR="007A55D9" w:rsidRPr="00127F8A" w:rsidRDefault="007A55D9" w:rsidP="00B57398">
            <w:pPr>
              <w:pStyle w:val="Tabletext"/>
              <w:spacing w:before="80" w:after="80"/>
              <w:ind w:left="0" w:right="0"/>
              <w:jc w:val="center"/>
            </w:pPr>
            <w:r w:rsidRPr="00127F8A">
              <w:sym w:font="Wingdings" w:char="F0FC"/>
            </w:r>
            <w:r w:rsidRPr="00127F8A">
              <w:rPr>
                <w:vertAlign w:val="superscript"/>
              </w:rPr>
              <w:t>4</w:t>
            </w:r>
          </w:p>
        </w:tc>
      </w:tr>
      <w:tr w:rsidR="007A55D9" w:rsidRPr="004F1C07" w14:paraId="4E8AB3A3" w14:textId="77777777" w:rsidTr="00D41A90">
        <w:trPr>
          <w:trHeight w:val="173"/>
        </w:trPr>
        <w:tc>
          <w:tcPr>
            <w:tcW w:w="547" w:type="dxa"/>
            <w:vMerge/>
            <w:textDirection w:val="btLr"/>
          </w:tcPr>
          <w:p w14:paraId="6AB41B17" w14:textId="77777777" w:rsidR="007A55D9" w:rsidRPr="00680101" w:rsidRDefault="007A55D9" w:rsidP="00B57398">
            <w:pPr>
              <w:pStyle w:val="Tabletext"/>
              <w:spacing w:before="80" w:after="80"/>
              <w:ind w:left="0" w:right="0"/>
              <w:jc w:val="center"/>
              <w:rPr>
                <w:b/>
              </w:rPr>
            </w:pPr>
          </w:p>
        </w:tc>
        <w:tc>
          <w:tcPr>
            <w:tcW w:w="3247" w:type="dxa"/>
          </w:tcPr>
          <w:p w14:paraId="1A8032F3" w14:textId="77777777" w:rsidR="007A55D9" w:rsidRPr="00E37BDF" w:rsidRDefault="007A55D9" w:rsidP="00B57398">
            <w:pPr>
              <w:spacing w:before="80" w:after="80"/>
              <w:ind w:left="0" w:right="0"/>
            </w:pPr>
            <w:r w:rsidRPr="00E37BDF">
              <w:rPr>
                <w:rFonts w:eastAsia="TimesNewRoman" w:cs="TimesNewRoman"/>
                <w:sz w:val="20"/>
                <w:szCs w:val="20"/>
              </w:rPr>
              <w:t xml:space="preserve">Decrease in lymphocyte counts and </w:t>
            </w:r>
            <w:proofErr w:type="spellStart"/>
            <w:r w:rsidRPr="00E37BDF">
              <w:rPr>
                <w:rFonts w:eastAsia="TimesNewRoman" w:cs="TimesNewRoman"/>
                <w:sz w:val="20"/>
                <w:szCs w:val="20"/>
              </w:rPr>
              <w:t>lymphopenia</w:t>
            </w:r>
            <w:proofErr w:type="spellEnd"/>
          </w:p>
        </w:tc>
        <w:tc>
          <w:tcPr>
            <w:tcW w:w="992" w:type="dxa"/>
          </w:tcPr>
          <w:p w14:paraId="432F55D7" w14:textId="77777777" w:rsidR="007A55D9" w:rsidRPr="00180311" w:rsidRDefault="007A55D9" w:rsidP="00B57398">
            <w:pPr>
              <w:pStyle w:val="Tabletext"/>
              <w:spacing w:before="80" w:after="80"/>
              <w:ind w:left="0" w:right="0"/>
              <w:jc w:val="center"/>
            </w:pPr>
            <w:r w:rsidRPr="00180311">
              <w:sym w:font="Wingdings" w:char="F0FC"/>
            </w:r>
          </w:p>
        </w:tc>
        <w:tc>
          <w:tcPr>
            <w:tcW w:w="1134" w:type="dxa"/>
          </w:tcPr>
          <w:p w14:paraId="09FCF07A" w14:textId="77777777" w:rsidR="007A55D9" w:rsidRPr="00180311" w:rsidRDefault="007A55D9" w:rsidP="00B57398">
            <w:pPr>
              <w:pStyle w:val="Tabletext"/>
              <w:spacing w:before="80" w:after="80"/>
              <w:ind w:left="0" w:right="0"/>
              <w:jc w:val="center"/>
            </w:pPr>
            <w:r w:rsidRPr="00180311">
              <w:sym w:font="Wingdings" w:char="F0FC"/>
            </w:r>
            <w:r w:rsidRPr="00917406">
              <w:rPr>
                <w:vertAlign w:val="superscript"/>
              </w:rPr>
              <w:t>1</w:t>
            </w:r>
          </w:p>
        </w:tc>
        <w:tc>
          <w:tcPr>
            <w:tcW w:w="992" w:type="dxa"/>
          </w:tcPr>
          <w:p w14:paraId="47A223DA" w14:textId="77777777" w:rsidR="007A55D9" w:rsidRPr="00127F8A" w:rsidRDefault="007A55D9" w:rsidP="00B57398">
            <w:pPr>
              <w:pStyle w:val="Tabletext"/>
              <w:spacing w:before="80" w:after="80"/>
              <w:ind w:left="0" w:right="0"/>
              <w:jc w:val="center"/>
            </w:pPr>
            <w:r w:rsidRPr="00127F8A">
              <w:sym w:font="Wingdings" w:char="F0FC"/>
            </w:r>
          </w:p>
        </w:tc>
        <w:tc>
          <w:tcPr>
            <w:tcW w:w="1390" w:type="dxa"/>
          </w:tcPr>
          <w:p w14:paraId="3246507E" w14:textId="77777777" w:rsidR="007A55D9" w:rsidRPr="00127F8A" w:rsidRDefault="007A55D9" w:rsidP="00B57398">
            <w:pPr>
              <w:pStyle w:val="Tabletext"/>
              <w:spacing w:before="80" w:after="80"/>
              <w:ind w:left="0" w:right="0"/>
              <w:jc w:val="center"/>
            </w:pPr>
            <w:r w:rsidRPr="00127F8A">
              <w:sym w:font="Wingdings" w:char="F0FC"/>
            </w:r>
            <w:r w:rsidRPr="00127F8A">
              <w:rPr>
                <w:vertAlign w:val="superscript"/>
              </w:rPr>
              <w:t>4</w:t>
            </w:r>
          </w:p>
        </w:tc>
      </w:tr>
      <w:tr w:rsidR="007A55D9" w:rsidRPr="004F1C07" w14:paraId="40102CE4" w14:textId="77777777" w:rsidTr="00D41A90">
        <w:trPr>
          <w:trHeight w:val="173"/>
        </w:trPr>
        <w:tc>
          <w:tcPr>
            <w:tcW w:w="547" w:type="dxa"/>
            <w:vMerge/>
            <w:textDirection w:val="btLr"/>
          </w:tcPr>
          <w:p w14:paraId="3A1A4118" w14:textId="77777777" w:rsidR="007A55D9" w:rsidRPr="00680101" w:rsidRDefault="007A55D9" w:rsidP="00B57398">
            <w:pPr>
              <w:pStyle w:val="Tabletext"/>
              <w:spacing w:before="80" w:after="80"/>
              <w:ind w:left="0" w:right="0"/>
              <w:jc w:val="center"/>
              <w:rPr>
                <w:b/>
              </w:rPr>
            </w:pPr>
          </w:p>
        </w:tc>
        <w:tc>
          <w:tcPr>
            <w:tcW w:w="3247" w:type="dxa"/>
          </w:tcPr>
          <w:p w14:paraId="1C3FF722" w14:textId="77777777" w:rsidR="007A55D9" w:rsidRPr="00E37BDF" w:rsidRDefault="007A55D9" w:rsidP="00B57398">
            <w:pPr>
              <w:autoSpaceDE w:val="0"/>
              <w:autoSpaceDN w:val="0"/>
              <w:adjustRightInd w:val="0"/>
              <w:spacing w:before="80" w:after="80"/>
              <w:ind w:left="0" w:right="0"/>
              <w:rPr>
                <w:rFonts w:eastAsia="TimesNewRoman" w:cs="TimesNewRoman"/>
                <w:sz w:val="20"/>
                <w:szCs w:val="20"/>
              </w:rPr>
            </w:pPr>
            <w:r w:rsidRPr="00E37BDF">
              <w:rPr>
                <w:rFonts w:eastAsia="TimesNewRoman" w:cs="TimesNewRoman"/>
                <w:sz w:val="20"/>
                <w:szCs w:val="20"/>
              </w:rPr>
              <w:t>Decrease in haemoglobin levels and anaemia</w:t>
            </w:r>
          </w:p>
        </w:tc>
        <w:tc>
          <w:tcPr>
            <w:tcW w:w="992" w:type="dxa"/>
          </w:tcPr>
          <w:p w14:paraId="5CF89CC8" w14:textId="77777777" w:rsidR="007A55D9" w:rsidRPr="00180311" w:rsidRDefault="007A55D9" w:rsidP="00B57398">
            <w:pPr>
              <w:pStyle w:val="Tabletext"/>
              <w:spacing w:before="80" w:after="80"/>
              <w:ind w:left="0" w:right="0"/>
              <w:jc w:val="center"/>
            </w:pPr>
            <w:r w:rsidRPr="00180311">
              <w:sym w:font="Wingdings" w:char="F0FC"/>
            </w:r>
          </w:p>
        </w:tc>
        <w:tc>
          <w:tcPr>
            <w:tcW w:w="1134" w:type="dxa"/>
          </w:tcPr>
          <w:p w14:paraId="48A37ECB" w14:textId="77777777" w:rsidR="007A55D9" w:rsidRPr="00180311" w:rsidRDefault="007A55D9" w:rsidP="00B57398">
            <w:pPr>
              <w:pStyle w:val="Tabletext"/>
              <w:spacing w:before="80" w:after="80"/>
              <w:ind w:left="0" w:right="0"/>
              <w:jc w:val="center"/>
            </w:pPr>
            <w:r w:rsidRPr="00180311">
              <w:t>–</w:t>
            </w:r>
          </w:p>
        </w:tc>
        <w:tc>
          <w:tcPr>
            <w:tcW w:w="992" w:type="dxa"/>
          </w:tcPr>
          <w:p w14:paraId="43441F4B" w14:textId="77777777" w:rsidR="007A55D9" w:rsidRPr="00127F8A" w:rsidRDefault="007A55D9" w:rsidP="00B57398">
            <w:pPr>
              <w:pStyle w:val="Tabletext"/>
              <w:spacing w:before="80" w:after="80"/>
              <w:ind w:left="0" w:right="0"/>
              <w:jc w:val="center"/>
            </w:pPr>
            <w:r w:rsidRPr="00127F8A">
              <w:sym w:font="Wingdings" w:char="F0FC"/>
            </w:r>
          </w:p>
        </w:tc>
        <w:tc>
          <w:tcPr>
            <w:tcW w:w="1390" w:type="dxa"/>
          </w:tcPr>
          <w:p w14:paraId="27714927" w14:textId="77777777" w:rsidR="007A55D9" w:rsidRPr="00127F8A" w:rsidRDefault="007A55D9" w:rsidP="00B57398">
            <w:pPr>
              <w:pStyle w:val="Tabletext"/>
              <w:spacing w:before="80" w:after="80"/>
              <w:ind w:left="0" w:right="0"/>
              <w:jc w:val="center"/>
            </w:pPr>
            <w:r w:rsidRPr="00127F8A">
              <w:sym w:font="Wingdings" w:char="F0FC"/>
            </w:r>
            <w:r w:rsidRPr="00127F8A">
              <w:rPr>
                <w:vertAlign w:val="superscript"/>
              </w:rPr>
              <w:t>4</w:t>
            </w:r>
          </w:p>
        </w:tc>
      </w:tr>
      <w:tr w:rsidR="007A55D9" w:rsidRPr="004F1C07" w14:paraId="59FA1DF3" w14:textId="77777777" w:rsidTr="00D41A90">
        <w:trPr>
          <w:trHeight w:val="173"/>
        </w:trPr>
        <w:tc>
          <w:tcPr>
            <w:tcW w:w="547" w:type="dxa"/>
            <w:vMerge/>
            <w:textDirection w:val="btLr"/>
          </w:tcPr>
          <w:p w14:paraId="47970ADB" w14:textId="77777777" w:rsidR="007A55D9" w:rsidRPr="00680101" w:rsidRDefault="007A55D9" w:rsidP="00B57398">
            <w:pPr>
              <w:pStyle w:val="Tabletext"/>
              <w:spacing w:before="80" w:after="80"/>
              <w:ind w:left="0" w:right="0"/>
              <w:jc w:val="center"/>
              <w:rPr>
                <w:b/>
              </w:rPr>
            </w:pPr>
          </w:p>
        </w:tc>
        <w:tc>
          <w:tcPr>
            <w:tcW w:w="3247" w:type="dxa"/>
          </w:tcPr>
          <w:p w14:paraId="08886035" w14:textId="77777777" w:rsidR="007A55D9" w:rsidRPr="00E37BDF" w:rsidRDefault="007A55D9" w:rsidP="00B57398">
            <w:pPr>
              <w:autoSpaceDE w:val="0"/>
              <w:autoSpaceDN w:val="0"/>
              <w:adjustRightInd w:val="0"/>
              <w:spacing w:before="80" w:after="80"/>
              <w:ind w:left="0" w:right="0"/>
              <w:rPr>
                <w:rFonts w:eastAsia="TimesNewRoman" w:cs="TimesNewRoman"/>
                <w:sz w:val="20"/>
                <w:szCs w:val="20"/>
              </w:rPr>
            </w:pPr>
            <w:r w:rsidRPr="00E37BDF">
              <w:rPr>
                <w:rFonts w:eastAsia="TimesNewRoman" w:cs="TimesNewRoman"/>
                <w:sz w:val="20"/>
                <w:szCs w:val="20"/>
              </w:rPr>
              <w:t>Lipid elevations and hyperlipidaemia</w:t>
            </w:r>
          </w:p>
        </w:tc>
        <w:tc>
          <w:tcPr>
            <w:tcW w:w="992" w:type="dxa"/>
          </w:tcPr>
          <w:p w14:paraId="72DF9343" w14:textId="77777777" w:rsidR="007A55D9" w:rsidRPr="00180311" w:rsidRDefault="007A55D9" w:rsidP="00B57398">
            <w:pPr>
              <w:pStyle w:val="Tabletext"/>
              <w:spacing w:before="80" w:after="80"/>
              <w:ind w:left="0" w:right="0"/>
              <w:jc w:val="center"/>
            </w:pPr>
            <w:r w:rsidRPr="00180311">
              <w:sym w:font="Wingdings" w:char="F0FC"/>
            </w:r>
          </w:p>
        </w:tc>
        <w:tc>
          <w:tcPr>
            <w:tcW w:w="1134" w:type="dxa"/>
          </w:tcPr>
          <w:p w14:paraId="06217285" w14:textId="77777777" w:rsidR="007A55D9" w:rsidRPr="00180311" w:rsidRDefault="007A55D9" w:rsidP="00B57398">
            <w:pPr>
              <w:pStyle w:val="Tabletext"/>
              <w:spacing w:before="80" w:after="80"/>
              <w:ind w:left="0" w:right="0"/>
              <w:jc w:val="center"/>
            </w:pPr>
            <w:r w:rsidRPr="00180311">
              <w:t>–</w:t>
            </w:r>
          </w:p>
        </w:tc>
        <w:tc>
          <w:tcPr>
            <w:tcW w:w="992" w:type="dxa"/>
          </w:tcPr>
          <w:p w14:paraId="4C33117C" w14:textId="77777777" w:rsidR="007A55D9" w:rsidRPr="00127F8A" w:rsidRDefault="007A55D9" w:rsidP="00B57398">
            <w:pPr>
              <w:pStyle w:val="Tabletext"/>
              <w:spacing w:before="80" w:after="80"/>
              <w:ind w:left="0" w:right="0"/>
              <w:jc w:val="center"/>
            </w:pPr>
            <w:r w:rsidRPr="00127F8A">
              <w:sym w:font="Wingdings" w:char="F0FC"/>
            </w:r>
          </w:p>
        </w:tc>
        <w:tc>
          <w:tcPr>
            <w:tcW w:w="1390" w:type="dxa"/>
          </w:tcPr>
          <w:p w14:paraId="5E32B296" w14:textId="77777777" w:rsidR="007A55D9" w:rsidRPr="00127F8A" w:rsidRDefault="007A55D9" w:rsidP="00B57398">
            <w:pPr>
              <w:pStyle w:val="Tabletext"/>
              <w:spacing w:before="80" w:after="80"/>
              <w:ind w:left="0" w:right="0"/>
              <w:jc w:val="center"/>
            </w:pPr>
            <w:r w:rsidRPr="00127F8A">
              <w:sym w:font="Wingdings" w:char="F0FC"/>
            </w:r>
            <w:r w:rsidRPr="00127F8A">
              <w:rPr>
                <w:vertAlign w:val="superscript"/>
              </w:rPr>
              <w:t>4</w:t>
            </w:r>
          </w:p>
        </w:tc>
      </w:tr>
      <w:tr w:rsidR="007A55D9" w:rsidRPr="004F1C07" w14:paraId="4772FE3A" w14:textId="77777777" w:rsidTr="00D41A90">
        <w:trPr>
          <w:trHeight w:val="173"/>
        </w:trPr>
        <w:tc>
          <w:tcPr>
            <w:tcW w:w="547" w:type="dxa"/>
            <w:vMerge/>
            <w:textDirection w:val="btLr"/>
          </w:tcPr>
          <w:p w14:paraId="6B5BDDF9" w14:textId="77777777" w:rsidR="007A55D9" w:rsidRPr="00680101" w:rsidRDefault="007A55D9" w:rsidP="00B57398">
            <w:pPr>
              <w:pStyle w:val="Tabletext"/>
              <w:spacing w:before="80" w:after="80"/>
              <w:ind w:left="0" w:right="0"/>
              <w:jc w:val="center"/>
              <w:rPr>
                <w:b/>
              </w:rPr>
            </w:pPr>
          </w:p>
        </w:tc>
        <w:tc>
          <w:tcPr>
            <w:tcW w:w="3247" w:type="dxa"/>
          </w:tcPr>
          <w:p w14:paraId="3E5F8C79" w14:textId="77777777" w:rsidR="007A55D9" w:rsidRPr="00E37BDF" w:rsidRDefault="007A55D9" w:rsidP="00B57398">
            <w:pPr>
              <w:autoSpaceDE w:val="0"/>
              <w:autoSpaceDN w:val="0"/>
              <w:adjustRightInd w:val="0"/>
              <w:spacing w:before="80" w:after="80"/>
              <w:ind w:left="0" w:right="0"/>
              <w:rPr>
                <w:rFonts w:eastAsia="TimesNewRoman" w:cs="TimesNewRoman"/>
                <w:sz w:val="20"/>
                <w:szCs w:val="20"/>
              </w:rPr>
            </w:pPr>
            <w:r w:rsidRPr="00E37BDF">
              <w:rPr>
                <w:rFonts w:eastAsia="TimesNewRoman" w:cs="TimesNewRoman"/>
                <w:sz w:val="20"/>
                <w:szCs w:val="20"/>
              </w:rPr>
              <w:t>Non</w:t>
            </w:r>
            <w:r>
              <w:rPr>
                <w:rFonts w:eastAsia="TimesNewRoman" w:cs="TimesNewRoman"/>
                <w:sz w:val="20"/>
                <w:szCs w:val="20"/>
              </w:rPr>
              <w:t>-</w:t>
            </w:r>
            <w:r w:rsidRPr="00E37BDF">
              <w:rPr>
                <w:rFonts w:eastAsia="TimesNewRoman" w:cs="TimesNewRoman"/>
                <w:sz w:val="20"/>
                <w:szCs w:val="20"/>
              </w:rPr>
              <w:t>melanoma skin cancer</w:t>
            </w:r>
          </w:p>
        </w:tc>
        <w:tc>
          <w:tcPr>
            <w:tcW w:w="992" w:type="dxa"/>
          </w:tcPr>
          <w:p w14:paraId="729CD0E6" w14:textId="77777777" w:rsidR="007A55D9" w:rsidRPr="00180311" w:rsidRDefault="007A55D9" w:rsidP="00B57398">
            <w:pPr>
              <w:pStyle w:val="Tabletext"/>
              <w:spacing w:before="80" w:after="80"/>
              <w:ind w:left="0" w:right="0"/>
              <w:jc w:val="center"/>
            </w:pPr>
            <w:r w:rsidRPr="00180311">
              <w:sym w:font="Wingdings" w:char="F0FC"/>
            </w:r>
          </w:p>
        </w:tc>
        <w:tc>
          <w:tcPr>
            <w:tcW w:w="1134" w:type="dxa"/>
          </w:tcPr>
          <w:p w14:paraId="05070AAF" w14:textId="77777777" w:rsidR="007A55D9" w:rsidRPr="00180311" w:rsidRDefault="007A55D9" w:rsidP="00B57398">
            <w:pPr>
              <w:pStyle w:val="Tabletext"/>
              <w:spacing w:before="80" w:after="80"/>
              <w:ind w:left="0" w:right="0"/>
              <w:jc w:val="center"/>
            </w:pPr>
            <w:r w:rsidRPr="00180311">
              <w:sym w:font="Wingdings" w:char="F0FC"/>
            </w:r>
            <w:r w:rsidRPr="00917406">
              <w:rPr>
                <w:vertAlign w:val="superscript"/>
              </w:rPr>
              <w:t>1,2</w:t>
            </w:r>
          </w:p>
        </w:tc>
        <w:tc>
          <w:tcPr>
            <w:tcW w:w="992" w:type="dxa"/>
          </w:tcPr>
          <w:p w14:paraId="7A318A40" w14:textId="77777777" w:rsidR="007A55D9" w:rsidRPr="00127F8A" w:rsidRDefault="007A55D9" w:rsidP="00B57398">
            <w:pPr>
              <w:pStyle w:val="Tabletext"/>
              <w:spacing w:before="80" w:after="80"/>
              <w:ind w:left="0" w:right="0"/>
              <w:jc w:val="center"/>
            </w:pPr>
            <w:r w:rsidRPr="00127F8A">
              <w:sym w:font="Wingdings" w:char="F0FC"/>
            </w:r>
          </w:p>
        </w:tc>
        <w:tc>
          <w:tcPr>
            <w:tcW w:w="1390" w:type="dxa"/>
          </w:tcPr>
          <w:p w14:paraId="5991BFAC" w14:textId="77777777" w:rsidR="007A55D9" w:rsidRPr="00127F8A" w:rsidRDefault="007A55D9" w:rsidP="00B57398">
            <w:pPr>
              <w:pStyle w:val="Tabletext"/>
              <w:spacing w:before="80" w:after="80"/>
              <w:ind w:left="0" w:right="0"/>
              <w:jc w:val="center"/>
            </w:pPr>
            <w:r w:rsidRPr="00127F8A">
              <w:sym w:font="Wingdings" w:char="F0FC"/>
            </w:r>
            <w:r w:rsidRPr="00127F8A">
              <w:rPr>
                <w:vertAlign w:val="superscript"/>
              </w:rPr>
              <w:t>4,5</w:t>
            </w:r>
          </w:p>
        </w:tc>
      </w:tr>
      <w:tr w:rsidR="007A55D9" w:rsidRPr="004F1C07" w14:paraId="38BC2172" w14:textId="77777777" w:rsidTr="00D41A90">
        <w:trPr>
          <w:trHeight w:val="345"/>
        </w:trPr>
        <w:tc>
          <w:tcPr>
            <w:tcW w:w="547" w:type="dxa"/>
            <w:vMerge/>
            <w:textDirection w:val="btLr"/>
          </w:tcPr>
          <w:p w14:paraId="218FE19F" w14:textId="77777777" w:rsidR="007A55D9" w:rsidRPr="00680101" w:rsidRDefault="007A55D9" w:rsidP="00B57398">
            <w:pPr>
              <w:pStyle w:val="Tabletext"/>
              <w:spacing w:before="80" w:after="80"/>
              <w:ind w:left="0" w:right="0"/>
              <w:jc w:val="center"/>
              <w:rPr>
                <w:b/>
              </w:rPr>
            </w:pPr>
          </w:p>
        </w:tc>
        <w:tc>
          <w:tcPr>
            <w:tcW w:w="3247" w:type="dxa"/>
          </w:tcPr>
          <w:p w14:paraId="27CF4F7A" w14:textId="77777777" w:rsidR="007A55D9" w:rsidRPr="00E37BDF" w:rsidRDefault="007A55D9" w:rsidP="00B57398">
            <w:pPr>
              <w:spacing w:before="80" w:after="80"/>
              <w:ind w:left="0" w:right="0"/>
            </w:pPr>
            <w:r w:rsidRPr="00E37BDF">
              <w:rPr>
                <w:rFonts w:eastAsia="TimesNewRoman" w:cs="TimesNewRoman"/>
                <w:sz w:val="20"/>
                <w:szCs w:val="20"/>
              </w:rPr>
              <w:t>Transaminase elevation and potential for drug-induced liver injury</w:t>
            </w:r>
          </w:p>
        </w:tc>
        <w:tc>
          <w:tcPr>
            <w:tcW w:w="992" w:type="dxa"/>
          </w:tcPr>
          <w:p w14:paraId="5728D66F" w14:textId="77777777" w:rsidR="007A55D9" w:rsidRPr="00180311" w:rsidRDefault="007A55D9" w:rsidP="00B57398">
            <w:pPr>
              <w:pStyle w:val="Tabletext"/>
              <w:spacing w:before="80" w:after="80"/>
              <w:ind w:left="0" w:right="0"/>
              <w:jc w:val="center"/>
            </w:pPr>
            <w:r w:rsidRPr="00180311">
              <w:sym w:font="Wingdings" w:char="F0FC"/>
            </w:r>
          </w:p>
        </w:tc>
        <w:tc>
          <w:tcPr>
            <w:tcW w:w="1134" w:type="dxa"/>
          </w:tcPr>
          <w:p w14:paraId="54B7355E" w14:textId="77777777" w:rsidR="007A55D9" w:rsidRPr="00180311" w:rsidRDefault="007A55D9" w:rsidP="00B57398">
            <w:pPr>
              <w:pStyle w:val="Tabletext"/>
              <w:spacing w:before="80" w:after="80"/>
              <w:ind w:left="0" w:right="0"/>
              <w:jc w:val="center"/>
            </w:pPr>
            <w:r w:rsidRPr="00180311">
              <w:sym w:font="Wingdings" w:char="F0FC"/>
            </w:r>
            <w:r w:rsidRPr="00917406">
              <w:rPr>
                <w:vertAlign w:val="superscript"/>
              </w:rPr>
              <w:t>1</w:t>
            </w:r>
          </w:p>
        </w:tc>
        <w:tc>
          <w:tcPr>
            <w:tcW w:w="992" w:type="dxa"/>
          </w:tcPr>
          <w:p w14:paraId="13873736" w14:textId="77777777" w:rsidR="007A55D9" w:rsidRPr="00127F8A" w:rsidRDefault="007A55D9" w:rsidP="00B57398">
            <w:pPr>
              <w:pStyle w:val="Tabletext"/>
              <w:spacing w:before="80" w:after="80"/>
              <w:ind w:left="0" w:right="0"/>
              <w:jc w:val="center"/>
            </w:pPr>
            <w:r w:rsidRPr="00127F8A">
              <w:sym w:font="Wingdings" w:char="F0FC"/>
            </w:r>
          </w:p>
        </w:tc>
        <w:tc>
          <w:tcPr>
            <w:tcW w:w="1390" w:type="dxa"/>
          </w:tcPr>
          <w:p w14:paraId="455DC0D9" w14:textId="77777777" w:rsidR="007A55D9" w:rsidRPr="00127F8A" w:rsidRDefault="007A55D9" w:rsidP="00B57398">
            <w:pPr>
              <w:pStyle w:val="Tabletext"/>
              <w:spacing w:before="80" w:after="80"/>
              <w:ind w:left="0" w:right="0"/>
              <w:jc w:val="center"/>
            </w:pPr>
            <w:r w:rsidRPr="00127F8A">
              <w:sym w:font="Wingdings" w:char="F0FC"/>
            </w:r>
            <w:r w:rsidRPr="00127F8A">
              <w:rPr>
                <w:vertAlign w:val="superscript"/>
              </w:rPr>
              <w:t>4,5</w:t>
            </w:r>
          </w:p>
        </w:tc>
      </w:tr>
      <w:tr w:rsidR="001908D6" w:rsidRPr="004F1C07" w14:paraId="4D6613DF" w14:textId="77777777" w:rsidTr="001908D6">
        <w:trPr>
          <w:trHeight w:val="345"/>
        </w:trPr>
        <w:tc>
          <w:tcPr>
            <w:tcW w:w="547" w:type="dxa"/>
            <w:vMerge/>
            <w:textDirection w:val="btLr"/>
          </w:tcPr>
          <w:p w14:paraId="245BD960" w14:textId="77777777" w:rsidR="007A55D9" w:rsidRPr="00680101" w:rsidRDefault="007A55D9" w:rsidP="00B57398">
            <w:pPr>
              <w:pStyle w:val="Tabletext"/>
              <w:spacing w:before="80" w:after="80"/>
              <w:ind w:left="0" w:right="0"/>
              <w:jc w:val="center"/>
              <w:rPr>
                <w:b/>
              </w:rPr>
            </w:pPr>
          </w:p>
        </w:tc>
        <w:tc>
          <w:tcPr>
            <w:tcW w:w="3247" w:type="dxa"/>
            <w:shd w:val="clear" w:color="auto" w:fill="9A86B7"/>
          </w:tcPr>
          <w:p w14:paraId="72AEEBDF" w14:textId="77777777" w:rsidR="007A55D9" w:rsidRPr="00E37BDF" w:rsidRDefault="007A55D9" w:rsidP="00B57398">
            <w:pPr>
              <w:spacing w:before="80" w:after="80"/>
              <w:ind w:left="0" w:right="0"/>
              <w:rPr>
                <w:rFonts w:eastAsia="TimesNewRoman" w:cs="TimesNewRoman"/>
                <w:sz w:val="20"/>
                <w:szCs w:val="20"/>
              </w:rPr>
            </w:pPr>
            <w:r>
              <w:rPr>
                <w:rFonts w:eastAsia="TimesNewRoman" w:cs="TimesNewRoman"/>
                <w:sz w:val="20"/>
                <w:szCs w:val="20"/>
              </w:rPr>
              <w:t>Hypertension</w:t>
            </w:r>
          </w:p>
        </w:tc>
        <w:tc>
          <w:tcPr>
            <w:tcW w:w="992" w:type="dxa"/>
            <w:shd w:val="clear" w:color="auto" w:fill="9A86B7"/>
          </w:tcPr>
          <w:p w14:paraId="3B9BCC76" w14:textId="77777777" w:rsidR="007A55D9" w:rsidRPr="009E464A" w:rsidRDefault="007A55D9" w:rsidP="00B57398">
            <w:pPr>
              <w:pStyle w:val="Tabletext"/>
              <w:spacing w:before="80" w:after="80"/>
              <w:ind w:left="0" w:right="0"/>
              <w:jc w:val="center"/>
            </w:pPr>
            <w:r w:rsidRPr="009E464A">
              <w:sym w:font="Wingdings" w:char="F0FC"/>
            </w:r>
          </w:p>
        </w:tc>
        <w:tc>
          <w:tcPr>
            <w:tcW w:w="1134" w:type="dxa"/>
            <w:shd w:val="clear" w:color="auto" w:fill="9A86B7"/>
          </w:tcPr>
          <w:p w14:paraId="62FFADD8" w14:textId="77777777" w:rsidR="007A55D9" w:rsidRPr="009E464A" w:rsidRDefault="007A55D9" w:rsidP="00B57398">
            <w:pPr>
              <w:pStyle w:val="Tabletext"/>
              <w:spacing w:before="80" w:after="80"/>
              <w:ind w:left="0" w:right="0"/>
              <w:jc w:val="center"/>
            </w:pPr>
            <w:r w:rsidRPr="009E464A">
              <w:t>–</w:t>
            </w:r>
          </w:p>
        </w:tc>
        <w:tc>
          <w:tcPr>
            <w:tcW w:w="992" w:type="dxa"/>
            <w:shd w:val="clear" w:color="auto" w:fill="9A86B7"/>
          </w:tcPr>
          <w:p w14:paraId="05BD35A7" w14:textId="77777777" w:rsidR="007A55D9" w:rsidRPr="00127F8A" w:rsidRDefault="007A55D9" w:rsidP="00B57398">
            <w:pPr>
              <w:pStyle w:val="Tabletext"/>
              <w:spacing w:before="80" w:after="80"/>
              <w:ind w:left="0" w:right="0"/>
              <w:jc w:val="center"/>
            </w:pPr>
            <w:r w:rsidRPr="00127F8A">
              <w:sym w:font="Wingdings" w:char="F0FC"/>
            </w:r>
          </w:p>
        </w:tc>
        <w:tc>
          <w:tcPr>
            <w:tcW w:w="1390" w:type="dxa"/>
            <w:shd w:val="clear" w:color="auto" w:fill="9A86B7"/>
          </w:tcPr>
          <w:p w14:paraId="46BFF6A6" w14:textId="77777777" w:rsidR="007A55D9" w:rsidRPr="00127F8A" w:rsidRDefault="007A55D9" w:rsidP="00B57398">
            <w:pPr>
              <w:pStyle w:val="Tabletext"/>
              <w:spacing w:before="80" w:after="80"/>
              <w:ind w:left="0" w:right="0"/>
              <w:jc w:val="center"/>
            </w:pPr>
            <w:r w:rsidRPr="00127F8A">
              <w:t>–</w:t>
            </w:r>
          </w:p>
        </w:tc>
      </w:tr>
      <w:tr w:rsidR="007A55D9" w:rsidRPr="004F1C07" w14:paraId="01388B20" w14:textId="77777777" w:rsidTr="001908D6">
        <w:trPr>
          <w:trHeight w:val="345"/>
        </w:trPr>
        <w:tc>
          <w:tcPr>
            <w:tcW w:w="547" w:type="dxa"/>
            <w:vMerge/>
            <w:textDirection w:val="btLr"/>
          </w:tcPr>
          <w:p w14:paraId="60153C7C" w14:textId="77777777" w:rsidR="007A55D9" w:rsidRPr="00680101" w:rsidRDefault="007A55D9" w:rsidP="00B57398">
            <w:pPr>
              <w:pStyle w:val="Tabletext"/>
              <w:spacing w:before="80" w:after="80"/>
              <w:ind w:left="0" w:right="0"/>
              <w:jc w:val="center"/>
              <w:rPr>
                <w:b/>
              </w:rPr>
            </w:pPr>
          </w:p>
        </w:tc>
        <w:tc>
          <w:tcPr>
            <w:tcW w:w="3247" w:type="dxa"/>
            <w:shd w:val="clear" w:color="auto" w:fill="9A86B7"/>
          </w:tcPr>
          <w:p w14:paraId="29BE3F29" w14:textId="77777777" w:rsidR="007A55D9" w:rsidRPr="00E37BDF" w:rsidRDefault="007A55D9" w:rsidP="00B57398">
            <w:pPr>
              <w:spacing w:before="80" w:after="80"/>
              <w:ind w:left="0" w:right="0"/>
              <w:rPr>
                <w:rFonts w:eastAsia="TimesNewRoman" w:cs="TimesNewRoman"/>
                <w:sz w:val="20"/>
                <w:szCs w:val="20"/>
              </w:rPr>
            </w:pPr>
            <w:proofErr w:type="spellStart"/>
            <w:r>
              <w:rPr>
                <w:rFonts w:eastAsia="TimesNewRoman" w:cs="TimesNewRoman"/>
                <w:sz w:val="20"/>
                <w:szCs w:val="20"/>
              </w:rPr>
              <w:t>Creatine</w:t>
            </w:r>
            <w:proofErr w:type="spellEnd"/>
            <w:r>
              <w:rPr>
                <w:rFonts w:eastAsia="TimesNewRoman" w:cs="TimesNewRoman"/>
                <w:sz w:val="20"/>
                <w:szCs w:val="20"/>
              </w:rPr>
              <w:t xml:space="preserve"> kinase increase</w:t>
            </w:r>
          </w:p>
        </w:tc>
        <w:tc>
          <w:tcPr>
            <w:tcW w:w="992" w:type="dxa"/>
            <w:shd w:val="clear" w:color="auto" w:fill="9A86B7"/>
          </w:tcPr>
          <w:p w14:paraId="0289C0C5" w14:textId="77777777" w:rsidR="007A55D9" w:rsidRPr="009E464A" w:rsidRDefault="007A55D9" w:rsidP="00B57398">
            <w:pPr>
              <w:pStyle w:val="Tabletext"/>
              <w:spacing w:before="80" w:after="80"/>
              <w:ind w:left="0" w:right="0"/>
              <w:jc w:val="center"/>
            </w:pPr>
            <w:r w:rsidRPr="009E464A">
              <w:sym w:font="Wingdings" w:char="F0FC"/>
            </w:r>
          </w:p>
        </w:tc>
        <w:tc>
          <w:tcPr>
            <w:tcW w:w="1134" w:type="dxa"/>
            <w:shd w:val="clear" w:color="auto" w:fill="9A86B7"/>
          </w:tcPr>
          <w:p w14:paraId="79B4F3DE" w14:textId="77777777" w:rsidR="007A55D9" w:rsidRPr="009E464A" w:rsidRDefault="007A55D9" w:rsidP="00B57398">
            <w:pPr>
              <w:pStyle w:val="Tabletext"/>
              <w:spacing w:before="80" w:after="80"/>
              <w:ind w:left="0" w:right="0"/>
              <w:jc w:val="center"/>
            </w:pPr>
            <w:r w:rsidRPr="009E464A">
              <w:t>–</w:t>
            </w:r>
          </w:p>
        </w:tc>
        <w:tc>
          <w:tcPr>
            <w:tcW w:w="992" w:type="dxa"/>
            <w:shd w:val="clear" w:color="auto" w:fill="9A86B7"/>
          </w:tcPr>
          <w:p w14:paraId="2DFC9598" w14:textId="77777777" w:rsidR="007A55D9" w:rsidRPr="00127F8A" w:rsidRDefault="007A55D9" w:rsidP="00B57398">
            <w:pPr>
              <w:pStyle w:val="Tabletext"/>
              <w:spacing w:before="80" w:after="80"/>
              <w:ind w:left="0" w:right="0"/>
              <w:jc w:val="center"/>
            </w:pPr>
            <w:r w:rsidRPr="00127F8A">
              <w:sym w:font="Wingdings" w:char="F0FC"/>
            </w:r>
          </w:p>
        </w:tc>
        <w:tc>
          <w:tcPr>
            <w:tcW w:w="1390" w:type="dxa"/>
            <w:shd w:val="clear" w:color="auto" w:fill="9A86B7"/>
          </w:tcPr>
          <w:p w14:paraId="4E03C20F" w14:textId="77777777" w:rsidR="007A55D9" w:rsidRPr="00127F8A" w:rsidRDefault="007A55D9" w:rsidP="00B57398">
            <w:pPr>
              <w:pStyle w:val="Tabletext"/>
              <w:spacing w:before="80" w:after="80"/>
              <w:ind w:left="0" w:right="0"/>
              <w:jc w:val="center"/>
            </w:pPr>
            <w:r w:rsidRPr="00127F8A">
              <w:t>–</w:t>
            </w:r>
          </w:p>
        </w:tc>
      </w:tr>
      <w:tr w:rsidR="007A55D9" w:rsidRPr="004F1C07" w14:paraId="726956F5" w14:textId="77777777" w:rsidTr="001908D6">
        <w:trPr>
          <w:trHeight w:val="345"/>
        </w:trPr>
        <w:tc>
          <w:tcPr>
            <w:tcW w:w="547" w:type="dxa"/>
            <w:vMerge/>
            <w:textDirection w:val="btLr"/>
          </w:tcPr>
          <w:p w14:paraId="713DFDA6" w14:textId="77777777" w:rsidR="007A55D9" w:rsidRPr="00680101" w:rsidRDefault="007A55D9" w:rsidP="00B57398">
            <w:pPr>
              <w:pStyle w:val="Tabletext"/>
              <w:spacing w:before="80" w:after="80"/>
              <w:ind w:left="0" w:right="0"/>
              <w:jc w:val="center"/>
              <w:rPr>
                <w:b/>
              </w:rPr>
            </w:pPr>
          </w:p>
        </w:tc>
        <w:tc>
          <w:tcPr>
            <w:tcW w:w="3247" w:type="dxa"/>
            <w:shd w:val="clear" w:color="auto" w:fill="9A86B7"/>
          </w:tcPr>
          <w:p w14:paraId="7238BDE4" w14:textId="77777777" w:rsidR="007A55D9" w:rsidRPr="00E37BDF" w:rsidRDefault="007A55D9" w:rsidP="00B57398">
            <w:pPr>
              <w:spacing w:before="80" w:after="80"/>
              <w:ind w:left="0" w:right="0"/>
              <w:rPr>
                <w:rFonts w:eastAsia="TimesNewRoman" w:cs="TimesNewRoman"/>
                <w:sz w:val="20"/>
                <w:szCs w:val="20"/>
              </w:rPr>
            </w:pPr>
            <w:r>
              <w:rPr>
                <w:rFonts w:eastAsia="TimesNewRoman" w:cs="TimesNewRoman"/>
                <w:sz w:val="20"/>
                <w:szCs w:val="20"/>
              </w:rPr>
              <w:t>Weight increase</w:t>
            </w:r>
          </w:p>
        </w:tc>
        <w:tc>
          <w:tcPr>
            <w:tcW w:w="992" w:type="dxa"/>
            <w:shd w:val="clear" w:color="auto" w:fill="9A86B7"/>
          </w:tcPr>
          <w:p w14:paraId="05D9D17D" w14:textId="77777777" w:rsidR="007A55D9" w:rsidRPr="009E464A" w:rsidRDefault="007A55D9" w:rsidP="00B57398">
            <w:pPr>
              <w:pStyle w:val="Tabletext"/>
              <w:spacing w:before="80" w:after="80"/>
              <w:ind w:left="0" w:right="0"/>
              <w:jc w:val="center"/>
            </w:pPr>
            <w:r w:rsidRPr="009E464A">
              <w:sym w:font="Wingdings" w:char="F0FC"/>
            </w:r>
          </w:p>
        </w:tc>
        <w:tc>
          <w:tcPr>
            <w:tcW w:w="1134" w:type="dxa"/>
            <w:shd w:val="clear" w:color="auto" w:fill="9A86B7"/>
          </w:tcPr>
          <w:p w14:paraId="10464D0E" w14:textId="77777777" w:rsidR="007A55D9" w:rsidRPr="009E464A" w:rsidRDefault="007A55D9" w:rsidP="00B57398">
            <w:pPr>
              <w:pStyle w:val="Tabletext"/>
              <w:spacing w:before="80" w:after="80"/>
              <w:ind w:left="0" w:right="0"/>
              <w:jc w:val="center"/>
            </w:pPr>
            <w:r w:rsidRPr="009E464A">
              <w:t>–</w:t>
            </w:r>
          </w:p>
        </w:tc>
        <w:tc>
          <w:tcPr>
            <w:tcW w:w="992" w:type="dxa"/>
            <w:shd w:val="clear" w:color="auto" w:fill="9A86B7"/>
          </w:tcPr>
          <w:p w14:paraId="7406BEBE" w14:textId="77777777" w:rsidR="007A55D9" w:rsidRPr="00127F8A" w:rsidRDefault="007A55D9" w:rsidP="00B57398">
            <w:pPr>
              <w:pStyle w:val="Tabletext"/>
              <w:spacing w:before="80" w:after="80"/>
              <w:ind w:left="0" w:right="0"/>
              <w:jc w:val="center"/>
            </w:pPr>
            <w:r w:rsidRPr="00127F8A">
              <w:sym w:font="Wingdings" w:char="F0FC"/>
            </w:r>
          </w:p>
        </w:tc>
        <w:tc>
          <w:tcPr>
            <w:tcW w:w="1390" w:type="dxa"/>
            <w:shd w:val="clear" w:color="auto" w:fill="9A86B7"/>
          </w:tcPr>
          <w:p w14:paraId="41D062C1" w14:textId="77777777" w:rsidR="007A55D9" w:rsidRPr="00127F8A" w:rsidRDefault="007A55D9" w:rsidP="00B57398">
            <w:pPr>
              <w:pStyle w:val="Tabletext"/>
              <w:spacing w:before="80" w:after="80"/>
              <w:ind w:left="0" w:right="0"/>
              <w:jc w:val="center"/>
            </w:pPr>
            <w:r w:rsidRPr="00127F8A">
              <w:t>–</w:t>
            </w:r>
          </w:p>
        </w:tc>
      </w:tr>
      <w:tr w:rsidR="007A55D9" w:rsidRPr="004F1C07" w14:paraId="30A4CF8A" w14:textId="77777777" w:rsidTr="00D41A90">
        <w:trPr>
          <w:trHeight w:val="293"/>
        </w:trPr>
        <w:tc>
          <w:tcPr>
            <w:tcW w:w="547" w:type="dxa"/>
            <w:vMerge w:val="restart"/>
            <w:textDirection w:val="btLr"/>
          </w:tcPr>
          <w:p w14:paraId="4E39F4D5" w14:textId="77777777" w:rsidR="007A55D9" w:rsidRPr="00680101" w:rsidRDefault="007A55D9" w:rsidP="00B57398">
            <w:pPr>
              <w:pStyle w:val="Tabletext"/>
              <w:spacing w:before="80" w:after="80"/>
              <w:ind w:left="0" w:right="0"/>
              <w:jc w:val="center"/>
              <w:rPr>
                <w:b/>
              </w:rPr>
            </w:pPr>
            <w:r w:rsidRPr="00680101">
              <w:rPr>
                <w:b/>
              </w:rPr>
              <w:t>Important potential risks</w:t>
            </w:r>
          </w:p>
        </w:tc>
        <w:tc>
          <w:tcPr>
            <w:tcW w:w="3247" w:type="dxa"/>
          </w:tcPr>
          <w:p w14:paraId="207264B9" w14:textId="77777777" w:rsidR="007A55D9" w:rsidRPr="00704C59" w:rsidRDefault="007A55D9" w:rsidP="00B57398">
            <w:pPr>
              <w:autoSpaceDE w:val="0"/>
              <w:autoSpaceDN w:val="0"/>
              <w:adjustRightInd w:val="0"/>
              <w:spacing w:before="80" w:after="80"/>
              <w:ind w:left="0" w:right="0"/>
              <w:rPr>
                <w:rFonts w:eastAsia="TimesNewRoman" w:cs="TimesNewRoman"/>
                <w:sz w:val="20"/>
                <w:szCs w:val="20"/>
              </w:rPr>
            </w:pPr>
            <w:r w:rsidRPr="00704C59">
              <w:rPr>
                <w:rFonts w:eastAsia="TimesNewRoman" w:cs="TimesNewRoman"/>
                <w:sz w:val="20"/>
                <w:szCs w:val="20"/>
              </w:rPr>
              <w:t>Malignancy</w:t>
            </w:r>
          </w:p>
        </w:tc>
        <w:tc>
          <w:tcPr>
            <w:tcW w:w="992" w:type="dxa"/>
          </w:tcPr>
          <w:p w14:paraId="5F8EE2C6" w14:textId="77777777" w:rsidR="007A55D9" w:rsidRPr="00180311" w:rsidRDefault="007A55D9" w:rsidP="00B57398">
            <w:pPr>
              <w:pStyle w:val="Tabletext"/>
              <w:spacing w:before="80" w:after="80"/>
              <w:ind w:left="0" w:right="0"/>
              <w:jc w:val="center"/>
            </w:pPr>
            <w:r w:rsidRPr="00180311">
              <w:sym w:font="Wingdings" w:char="F0FC"/>
            </w:r>
          </w:p>
        </w:tc>
        <w:tc>
          <w:tcPr>
            <w:tcW w:w="1134" w:type="dxa"/>
          </w:tcPr>
          <w:p w14:paraId="079EB068" w14:textId="77777777" w:rsidR="007A55D9" w:rsidRPr="00180311" w:rsidRDefault="007A55D9" w:rsidP="00B57398">
            <w:pPr>
              <w:pStyle w:val="Tabletext"/>
              <w:spacing w:before="80" w:after="80"/>
              <w:ind w:left="0" w:right="0"/>
              <w:jc w:val="center"/>
            </w:pPr>
            <w:r w:rsidRPr="00180311">
              <w:sym w:font="Wingdings" w:char="F0FC"/>
            </w:r>
            <w:r w:rsidRPr="00917406">
              <w:rPr>
                <w:vertAlign w:val="superscript"/>
              </w:rPr>
              <w:t>1,2</w:t>
            </w:r>
          </w:p>
        </w:tc>
        <w:tc>
          <w:tcPr>
            <w:tcW w:w="992" w:type="dxa"/>
          </w:tcPr>
          <w:p w14:paraId="6DE23D87" w14:textId="77777777" w:rsidR="007A55D9" w:rsidRPr="00127F8A" w:rsidRDefault="007A55D9" w:rsidP="00B57398">
            <w:pPr>
              <w:pStyle w:val="Tabletext"/>
              <w:spacing w:before="80" w:after="80"/>
              <w:ind w:left="0" w:right="0"/>
              <w:jc w:val="center"/>
            </w:pPr>
            <w:r w:rsidRPr="00127F8A">
              <w:sym w:font="Wingdings" w:char="F0FC"/>
            </w:r>
          </w:p>
        </w:tc>
        <w:tc>
          <w:tcPr>
            <w:tcW w:w="1390" w:type="dxa"/>
          </w:tcPr>
          <w:p w14:paraId="1B5F4348" w14:textId="77777777" w:rsidR="007A55D9" w:rsidRPr="00127F8A" w:rsidRDefault="007A55D9" w:rsidP="00B57398">
            <w:pPr>
              <w:pStyle w:val="Tabletext"/>
              <w:spacing w:before="80" w:after="80"/>
              <w:ind w:left="0" w:right="0"/>
              <w:jc w:val="center"/>
            </w:pPr>
            <w:r w:rsidRPr="00127F8A">
              <w:sym w:font="Wingdings" w:char="F0FC"/>
            </w:r>
            <w:r w:rsidRPr="00127F8A">
              <w:rPr>
                <w:vertAlign w:val="superscript"/>
              </w:rPr>
              <w:t>4</w:t>
            </w:r>
          </w:p>
        </w:tc>
      </w:tr>
      <w:tr w:rsidR="007A55D9" w:rsidRPr="004F1C07" w14:paraId="07EF6DAB" w14:textId="77777777" w:rsidTr="00D41A90">
        <w:trPr>
          <w:trHeight w:val="225"/>
        </w:trPr>
        <w:tc>
          <w:tcPr>
            <w:tcW w:w="547" w:type="dxa"/>
            <w:vMerge/>
            <w:textDirection w:val="btLr"/>
          </w:tcPr>
          <w:p w14:paraId="3DBAA551" w14:textId="77777777" w:rsidR="007A55D9" w:rsidRPr="00680101" w:rsidRDefault="007A55D9" w:rsidP="00B57398">
            <w:pPr>
              <w:pStyle w:val="Tabletext"/>
              <w:spacing w:before="80" w:after="80"/>
              <w:ind w:left="0" w:right="0"/>
              <w:jc w:val="center"/>
              <w:rPr>
                <w:b/>
              </w:rPr>
            </w:pPr>
          </w:p>
        </w:tc>
        <w:tc>
          <w:tcPr>
            <w:tcW w:w="3247" w:type="dxa"/>
          </w:tcPr>
          <w:p w14:paraId="3C64F981" w14:textId="77777777" w:rsidR="007A55D9" w:rsidRPr="00704C59" w:rsidRDefault="007A55D9" w:rsidP="00B57398">
            <w:pPr>
              <w:autoSpaceDE w:val="0"/>
              <w:autoSpaceDN w:val="0"/>
              <w:adjustRightInd w:val="0"/>
              <w:spacing w:before="80" w:after="80"/>
              <w:ind w:left="0" w:right="0"/>
              <w:rPr>
                <w:rFonts w:eastAsia="TimesNewRoman" w:cs="TimesNewRoman"/>
                <w:sz w:val="20"/>
                <w:szCs w:val="20"/>
              </w:rPr>
            </w:pPr>
            <w:r w:rsidRPr="00704C59">
              <w:rPr>
                <w:rFonts w:eastAsia="TimesNewRoman" w:cs="TimesNewRoman"/>
                <w:sz w:val="20"/>
                <w:szCs w:val="20"/>
              </w:rPr>
              <w:t>Cardiovascular risk</w:t>
            </w:r>
          </w:p>
        </w:tc>
        <w:tc>
          <w:tcPr>
            <w:tcW w:w="992" w:type="dxa"/>
          </w:tcPr>
          <w:p w14:paraId="08C4A4FB" w14:textId="77777777" w:rsidR="007A55D9" w:rsidRPr="00180311" w:rsidRDefault="007A55D9" w:rsidP="00B57398">
            <w:pPr>
              <w:pStyle w:val="Tabletext"/>
              <w:spacing w:before="80" w:after="80"/>
              <w:ind w:left="0" w:right="0"/>
              <w:jc w:val="center"/>
            </w:pPr>
            <w:r w:rsidRPr="00180311">
              <w:sym w:font="Wingdings" w:char="F0FC"/>
            </w:r>
          </w:p>
        </w:tc>
        <w:tc>
          <w:tcPr>
            <w:tcW w:w="1134" w:type="dxa"/>
          </w:tcPr>
          <w:p w14:paraId="7AF9DFDC" w14:textId="77777777" w:rsidR="007A55D9" w:rsidRPr="00180311" w:rsidRDefault="007A55D9" w:rsidP="00B57398">
            <w:pPr>
              <w:pStyle w:val="Tabletext"/>
              <w:spacing w:before="80" w:after="80"/>
              <w:ind w:left="0" w:right="0"/>
              <w:jc w:val="center"/>
            </w:pPr>
            <w:r w:rsidRPr="00180311">
              <w:sym w:font="Wingdings" w:char="F0FC"/>
            </w:r>
            <w:r w:rsidRPr="00917406">
              <w:rPr>
                <w:vertAlign w:val="superscript"/>
              </w:rPr>
              <w:t>1,2</w:t>
            </w:r>
          </w:p>
        </w:tc>
        <w:tc>
          <w:tcPr>
            <w:tcW w:w="992" w:type="dxa"/>
          </w:tcPr>
          <w:p w14:paraId="5F0E0157" w14:textId="77777777" w:rsidR="007A55D9" w:rsidRPr="00127F8A" w:rsidRDefault="007A55D9" w:rsidP="00B57398">
            <w:pPr>
              <w:pStyle w:val="Tabletext"/>
              <w:spacing w:before="80" w:after="80"/>
              <w:ind w:left="0" w:right="0"/>
              <w:jc w:val="center"/>
            </w:pPr>
            <w:r w:rsidRPr="00127F8A">
              <w:sym w:font="Wingdings" w:char="F0FC"/>
            </w:r>
          </w:p>
        </w:tc>
        <w:tc>
          <w:tcPr>
            <w:tcW w:w="1390" w:type="dxa"/>
          </w:tcPr>
          <w:p w14:paraId="375661B7" w14:textId="77777777" w:rsidR="007A55D9" w:rsidRPr="00127F8A" w:rsidRDefault="007A55D9" w:rsidP="00B57398">
            <w:pPr>
              <w:pStyle w:val="Tabletext"/>
              <w:spacing w:before="80" w:after="80"/>
              <w:ind w:left="0" w:right="0"/>
              <w:jc w:val="center"/>
            </w:pPr>
            <w:r w:rsidRPr="00127F8A">
              <w:t>–</w:t>
            </w:r>
          </w:p>
        </w:tc>
      </w:tr>
      <w:tr w:rsidR="007A55D9" w:rsidRPr="004F1C07" w14:paraId="69FCC499" w14:textId="77777777" w:rsidTr="00D41A90">
        <w:trPr>
          <w:trHeight w:val="225"/>
        </w:trPr>
        <w:tc>
          <w:tcPr>
            <w:tcW w:w="547" w:type="dxa"/>
            <w:vMerge/>
            <w:textDirection w:val="btLr"/>
          </w:tcPr>
          <w:p w14:paraId="074EF7D7" w14:textId="77777777" w:rsidR="007A55D9" w:rsidRPr="00680101" w:rsidRDefault="007A55D9" w:rsidP="00B57398">
            <w:pPr>
              <w:pStyle w:val="Tabletext"/>
              <w:spacing w:before="80" w:after="80"/>
              <w:ind w:left="0" w:right="0"/>
              <w:jc w:val="center"/>
              <w:rPr>
                <w:b/>
              </w:rPr>
            </w:pPr>
          </w:p>
        </w:tc>
        <w:tc>
          <w:tcPr>
            <w:tcW w:w="3247" w:type="dxa"/>
          </w:tcPr>
          <w:p w14:paraId="7B86A7DA" w14:textId="77777777" w:rsidR="007A55D9" w:rsidRPr="00704C59" w:rsidRDefault="007A55D9" w:rsidP="00B57398">
            <w:pPr>
              <w:autoSpaceDE w:val="0"/>
              <w:autoSpaceDN w:val="0"/>
              <w:adjustRightInd w:val="0"/>
              <w:spacing w:before="80" w:after="80"/>
              <w:ind w:left="0" w:right="0"/>
              <w:rPr>
                <w:rFonts w:eastAsia="TimesNewRoman" w:cs="TimesNewRoman"/>
                <w:sz w:val="20"/>
                <w:szCs w:val="20"/>
              </w:rPr>
            </w:pPr>
            <w:r w:rsidRPr="00704C59">
              <w:rPr>
                <w:rFonts w:eastAsia="TimesNewRoman" w:cs="TimesNewRoman"/>
                <w:sz w:val="20"/>
                <w:szCs w:val="20"/>
              </w:rPr>
              <w:t>Gastrointestinal perforation</w:t>
            </w:r>
          </w:p>
        </w:tc>
        <w:tc>
          <w:tcPr>
            <w:tcW w:w="992" w:type="dxa"/>
          </w:tcPr>
          <w:p w14:paraId="77E25199" w14:textId="77777777" w:rsidR="007A55D9" w:rsidRPr="00180311" w:rsidRDefault="007A55D9" w:rsidP="00B57398">
            <w:pPr>
              <w:pStyle w:val="Tabletext"/>
              <w:spacing w:before="80" w:after="80"/>
              <w:ind w:left="0" w:right="0"/>
              <w:jc w:val="center"/>
            </w:pPr>
            <w:r w:rsidRPr="00180311">
              <w:sym w:font="Wingdings" w:char="F0FC"/>
            </w:r>
          </w:p>
        </w:tc>
        <w:tc>
          <w:tcPr>
            <w:tcW w:w="1134" w:type="dxa"/>
          </w:tcPr>
          <w:p w14:paraId="40616114" w14:textId="77777777" w:rsidR="007A55D9" w:rsidRPr="00180311" w:rsidRDefault="007A55D9" w:rsidP="00B57398">
            <w:pPr>
              <w:pStyle w:val="Tabletext"/>
              <w:spacing w:before="80" w:after="80"/>
              <w:ind w:left="0" w:right="0"/>
              <w:jc w:val="center"/>
            </w:pPr>
            <w:r w:rsidRPr="00180311">
              <w:sym w:font="Wingdings" w:char="F0FC"/>
            </w:r>
            <w:r w:rsidRPr="00917406">
              <w:rPr>
                <w:vertAlign w:val="superscript"/>
              </w:rPr>
              <w:t>1,2</w:t>
            </w:r>
          </w:p>
        </w:tc>
        <w:tc>
          <w:tcPr>
            <w:tcW w:w="992" w:type="dxa"/>
          </w:tcPr>
          <w:p w14:paraId="72D617E6" w14:textId="77777777" w:rsidR="007A55D9" w:rsidRPr="00127F8A" w:rsidRDefault="007A55D9" w:rsidP="00B57398">
            <w:pPr>
              <w:pStyle w:val="Tabletext"/>
              <w:spacing w:before="80" w:after="80"/>
              <w:ind w:left="0" w:right="0"/>
              <w:jc w:val="center"/>
            </w:pPr>
            <w:r w:rsidRPr="00127F8A">
              <w:sym w:font="Wingdings" w:char="F0FC"/>
            </w:r>
          </w:p>
        </w:tc>
        <w:tc>
          <w:tcPr>
            <w:tcW w:w="1390" w:type="dxa"/>
          </w:tcPr>
          <w:p w14:paraId="1A5FD861" w14:textId="77777777" w:rsidR="007A55D9" w:rsidRPr="00127F8A" w:rsidRDefault="007A55D9" w:rsidP="00B57398">
            <w:pPr>
              <w:pStyle w:val="Tabletext"/>
              <w:spacing w:before="80" w:after="80"/>
              <w:ind w:left="0" w:right="0"/>
              <w:jc w:val="center"/>
            </w:pPr>
            <w:r w:rsidRPr="00127F8A">
              <w:sym w:font="Wingdings" w:char="F0FC"/>
            </w:r>
            <w:r w:rsidRPr="00127F8A">
              <w:rPr>
                <w:vertAlign w:val="superscript"/>
              </w:rPr>
              <w:t>4,5</w:t>
            </w:r>
          </w:p>
        </w:tc>
      </w:tr>
      <w:tr w:rsidR="007A55D9" w:rsidRPr="004F1C07" w14:paraId="5AF06CDB" w14:textId="77777777" w:rsidTr="00D41A90">
        <w:trPr>
          <w:trHeight w:val="225"/>
        </w:trPr>
        <w:tc>
          <w:tcPr>
            <w:tcW w:w="547" w:type="dxa"/>
            <w:vMerge/>
            <w:textDirection w:val="btLr"/>
          </w:tcPr>
          <w:p w14:paraId="210F06BD" w14:textId="77777777" w:rsidR="007A55D9" w:rsidRPr="00680101" w:rsidRDefault="007A55D9" w:rsidP="00B57398">
            <w:pPr>
              <w:pStyle w:val="Tabletext"/>
              <w:spacing w:before="80" w:after="80"/>
              <w:ind w:left="0" w:right="0"/>
              <w:jc w:val="center"/>
              <w:rPr>
                <w:b/>
              </w:rPr>
            </w:pPr>
          </w:p>
        </w:tc>
        <w:tc>
          <w:tcPr>
            <w:tcW w:w="3247" w:type="dxa"/>
          </w:tcPr>
          <w:p w14:paraId="58823C60" w14:textId="77777777" w:rsidR="007A55D9" w:rsidRPr="00704C59" w:rsidRDefault="007A55D9" w:rsidP="00B57398">
            <w:pPr>
              <w:autoSpaceDE w:val="0"/>
              <w:autoSpaceDN w:val="0"/>
              <w:adjustRightInd w:val="0"/>
              <w:spacing w:before="80" w:after="80"/>
              <w:ind w:left="0" w:right="0"/>
              <w:rPr>
                <w:rFonts w:eastAsia="TimesNewRoman" w:cs="TimesNewRoman"/>
                <w:sz w:val="20"/>
                <w:szCs w:val="20"/>
              </w:rPr>
            </w:pPr>
            <w:r w:rsidRPr="00704C59">
              <w:rPr>
                <w:rFonts w:eastAsia="TimesNewRoman" w:cs="TimesNewRoman"/>
                <w:sz w:val="20"/>
                <w:szCs w:val="20"/>
              </w:rPr>
              <w:t>Interstitial lung disease</w:t>
            </w:r>
          </w:p>
        </w:tc>
        <w:tc>
          <w:tcPr>
            <w:tcW w:w="992" w:type="dxa"/>
          </w:tcPr>
          <w:p w14:paraId="1753262A" w14:textId="77777777" w:rsidR="007A55D9" w:rsidRPr="004E24F6" w:rsidRDefault="007A55D9" w:rsidP="00B57398">
            <w:pPr>
              <w:pStyle w:val="Tabletext"/>
              <w:spacing w:before="80" w:after="80"/>
              <w:ind w:left="0" w:right="0"/>
              <w:jc w:val="center"/>
            </w:pPr>
            <w:r w:rsidRPr="004E24F6">
              <w:sym w:font="Wingdings" w:char="F0FC"/>
            </w:r>
          </w:p>
        </w:tc>
        <w:tc>
          <w:tcPr>
            <w:tcW w:w="1134" w:type="dxa"/>
          </w:tcPr>
          <w:p w14:paraId="6BEBD353" w14:textId="77777777" w:rsidR="007A55D9" w:rsidRPr="004E24F6" w:rsidRDefault="007A55D9" w:rsidP="00B57398">
            <w:pPr>
              <w:pStyle w:val="Tabletext"/>
              <w:spacing w:before="80" w:after="80"/>
              <w:ind w:left="0" w:right="0"/>
              <w:jc w:val="center"/>
            </w:pPr>
            <w:r w:rsidRPr="004E24F6">
              <w:t>–</w:t>
            </w:r>
          </w:p>
        </w:tc>
        <w:tc>
          <w:tcPr>
            <w:tcW w:w="992" w:type="dxa"/>
          </w:tcPr>
          <w:p w14:paraId="51170E96" w14:textId="77777777" w:rsidR="007A55D9" w:rsidRPr="00127F8A" w:rsidRDefault="007A55D9" w:rsidP="00B57398">
            <w:pPr>
              <w:pStyle w:val="Tabletext"/>
              <w:spacing w:before="80" w:after="80"/>
              <w:ind w:left="0" w:right="0"/>
              <w:jc w:val="center"/>
            </w:pPr>
            <w:r w:rsidRPr="00127F8A">
              <w:sym w:font="Wingdings" w:char="F0FC"/>
            </w:r>
          </w:p>
        </w:tc>
        <w:tc>
          <w:tcPr>
            <w:tcW w:w="1390" w:type="dxa"/>
          </w:tcPr>
          <w:p w14:paraId="7C977F02" w14:textId="77777777" w:rsidR="007A55D9" w:rsidRPr="00127F8A" w:rsidRDefault="007A55D9" w:rsidP="00B57398">
            <w:pPr>
              <w:pStyle w:val="Tabletext"/>
              <w:spacing w:before="80" w:after="80"/>
              <w:ind w:left="0" w:right="0"/>
              <w:jc w:val="center"/>
            </w:pPr>
            <w:r w:rsidRPr="00127F8A">
              <w:sym w:font="Wingdings" w:char="F0FC"/>
            </w:r>
            <w:r w:rsidRPr="00127F8A">
              <w:rPr>
                <w:vertAlign w:val="superscript"/>
              </w:rPr>
              <w:t>4,5</w:t>
            </w:r>
          </w:p>
        </w:tc>
      </w:tr>
      <w:tr w:rsidR="007A55D9" w:rsidRPr="004F1C07" w14:paraId="07DA9C65" w14:textId="77777777" w:rsidTr="00D41A90">
        <w:trPr>
          <w:trHeight w:val="225"/>
        </w:trPr>
        <w:tc>
          <w:tcPr>
            <w:tcW w:w="547" w:type="dxa"/>
            <w:vMerge/>
            <w:textDirection w:val="btLr"/>
          </w:tcPr>
          <w:p w14:paraId="548CF496" w14:textId="77777777" w:rsidR="007A55D9" w:rsidRPr="00680101" w:rsidRDefault="007A55D9" w:rsidP="00B57398">
            <w:pPr>
              <w:pStyle w:val="Tabletext"/>
              <w:spacing w:before="80" w:after="80"/>
              <w:ind w:left="0" w:right="0"/>
              <w:jc w:val="center"/>
              <w:rPr>
                <w:b/>
              </w:rPr>
            </w:pPr>
          </w:p>
        </w:tc>
        <w:tc>
          <w:tcPr>
            <w:tcW w:w="3247" w:type="dxa"/>
          </w:tcPr>
          <w:p w14:paraId="3E8FEEF7" w14:textId="77777777" w:rsidR="007A55D9" w:rsidRPr="00704C59" w:rsidRDefault="007A55D9" w:rsidP="00B57398">
            <w:pPr>
              <w:spacing w:before="80" w:after="80"/>
              <w:ind w:left="0" w:right="0"/>
            </w:pPr>
            <w:r w:rsidRPr="00704C59">
              <w:rPr>
                <w:rFonts w:eastAsia="TimesNewRoman" w:cs="TimesNewRoman"/>
                <w:sz w:val="20"/>
                <w:szCs w:val="20"/>
              </w:rPr>
              <w:t>Progressive multifocal leukoencephalopathy</w:t>
            </w:r>
          </w:p>
        </w:tc>
        <w:tc>
          <w:tcPr>
            <w:tcW w:w="992" w:type="dxa"/>
          </w:tcPr>
          <w:p w14:paraId="32CF56B8" w14:textId="77777777" w:rsidR="007A55D9" w:rsidRPr="00180311" w:rsidRDefault="007A55D9" w:rsidP="00B57398">
            <w:pPr>
              <w:pStyle w:val="Tabletext"/>
              <w:spacing w:before="80" w:after="80"/>
              <w:ind w:left="0" w:right="0"/>
              <w:jc w:val="center"/>
            </w:pPr>
            <w:r w:rsidRPr="00180311">
              <w:sym w:font="Wingdings" w:char="F0FC"/>
            </w:r>
          </w:p>
        </w:tc>
        <w:tc>
          <w:tcPr>
            <w:tcW w:w="1134" w:type="dxa"/>
          </w:tcPr>
          <w:p w14:paraId="573E9447" w14:textId="77777777" w:rsidR="007A55D9" w:rsidRPr="00180311" w:rsidRDefault="007A55D9" w:rsidP="00B57398">
            <w:pPr>
              <w:pStyle w:val="Tabletext"/>
              <w:spacing w:before="80" w:after="80"/>
              <w:ind w:left="0" w:right="0"/>
              <w:jc w:val="center"/>
            </w:pPr>
            <w:r w:rsidRPr="00180311">
              <w:sym w:font="Wingdings" w:char="F0FC"/>
            </w:r>
            <w:r w:rsidRPr="00917406">
              <w:rPr>
                <w:vertAlign w:val="superscript"/>
              </w:rPr>
              <w:t>1,2</w:t>
            </w:r>
          </w:p>
        </w:tc>
        <w:tc>
          <w:tcPr>
            <w:tcW w:w="992" w:type="dxa"/>
          </w:tcPr>
          <w:p w14:paraId="16CB53EB" w14:textId="77777777" w:rsidR="007A55D9" w:rsidRPr="00127F8A" w:rsidRDefault="007A55D9" w:rsidP="00B57398">
            <w:pPr>
              <w:pStyle w:val="Tabletext"/>
              <w:spacing w:before="80" w:after="80"/>
              <w:ind w:left="0" w:right="0"/>
              <w:jc w:val="center"/>
            </w:pPr>
            <w:r w:rsidRPr="00127F8A">
              <w:t>–</w:t>
            </w:r>
          </w:p>
        </w:tc>
        <w:tc>
          <w:tcPr>
            <w:tcW w:w="1390" w:type="dxa"/>
          </w:tcPr>
          <w:p w14:paraId="115F15F9" w14:textId="77777777" w:rsidR="007A55D9" w:rsidRPr="00127F8A" w:rsidRDefault="007A55D9" w:rsidP="00B57398">
            <w:pPr>
              <w:pStyle w:val="Tabletext"/>
              <w:spacing w:before="80" w:after="80"/>
              <w:ind w:left="0" w:right="0"/>
              <w:jc w:val="center"/>
            </w:pPr>
            <w:r w:rsidRPr="00127F8A">
              <w:t>–</w:t>
            </w:r>
          </w:p>
        </w:tc>
      </w:tr>
      <w:tr w:rsidR="007A55D9" w:rsidRPr="004F1C07" w14:paraId="3790DEAB" w14:textId="77777777" w:rsidTr="00D41A90">
        <w:trPr>
          <w:trHeight w:val="225"/>
        </w:trPr>
        <w:tc>
          <w:tcPr>
            <w:tcW w:w="547" w:type="dxa"/>
            <w:vMerge/>
            <w:textDirection w:val="btLr"/>
          </w:tcPr>
          <w:p w14:paraId="68AE853D" w14:textId="77777777" w:rsidR="007A55D9" w:rsidRPr="00680101" w:rsidRDefault="007A55D9" w:rsidP="00B57398">
            <w:pPr>
              <w:pStyle w:val="Tabletext"/>
              <w:spacing w:before="80" w:after="80"/>
              <w:ind w:left="0" w:right="0"/>
              <w:jc w:val="center"/>
              <w:rPr>
                <w:b/>
              </w:rPr>
            </w:pPr>
          </w:p>
        </w:tc>
        <w:tc>
          <w:tcPr>
            <w:tcW w:w="3247" w:type="dxa"/>
          </w:tcPr>
          <w:p w14:paraId="0A3A57FF" w14:textId="77777777" w:rsidR="007A55D9" w:rsidRPr="00704C59" w:rsidRDefault="007A55D9" w:rsidP="00B57398">
            <w:pPr>
              <w:pStyle w:val="Summaryofsafetyconcerns"/>
              <w:keepNext/>
              <w:keepLines/>
              <w:spacing w:before="80" w:after="80"/>
              <w:ind w:left="0" w:right="0"/>
              <w:rPr>
                <w:b w:val="0"/>
              </w:rPr>
            </w:pPr>
            <w:r w:rsidRPr="00704C59">
              <w:rPr>
                <w:b w:val="0"/>
              </w:rPr>
              <w:t xml:space="preserve">Increased immunosuppression when used in combination with biologic DMARDs and </w:t>
            </w:r>
            <w:proofErr w:type="spellStart"/>
            <w:r w:rsidRPr="00704C59">
              <w:rPr>
                <w:b w:val="0"/>
              </w:rPr>
              <w:t>immunosuppressants</w:t>
            </w:r>
            <w:proofErr w:type="spellEnd"/>
            <w:r w:rsidRPr="00704C59">
              <w:rPr>
                <w:b w:val="0"/>
              </w:rPr>
              <w:t xml:space="preserve"> including B lymphocyte depleting agents</w:t>
            </w:r>
          </w:p>
        </w:tc>
        <w:tc>
          <w:tcPr>
            <w:tcW w:w="992" w:type="dxa"/>
          </w:tcPr>
          <w:p w14:paraId="7B4E7526" w14:textId="77777777" w:rsidR="007A55D9" w:rsidRPr="009E464A" w:rsidRDefault="007A55D9" w:rsidP="00B57398">
            <w:pPr>
              <w:pStyle w:val="Tabletext"/>
              <w:spacing w:before="80" w:after="80"/>
              <w:ind w:left="0" w:right="0"/>
              <w:jc w:val="center"/>
            </w:pPr>
            <w:r w:rsidRPr="009E464A">
              <w:sym w:font="Wingdings" w:char="F0FC"/>
            </w:r>
          </w:p>
        </w:tc>
        <w:tc>
          <w:tcPr>
            <w:tcW w:w="1134" w:type="dxa"/>
          </w:tcPr>
          <w:p w14:paraId="0BF136C2" w14:textId="77777777" w:rsidR="007A55D9" w:rsidRPr="009E464A" w:rsidRDefault="007A55D9" w:rsidP="00B57398">
            <w:pPr>
              <w:pStyle w:val="Tabletext"/>
              <w:spacing w:before="80" w:after="80"/>
              <w:ind w:left="0" w:right="0"/>
              <w:jc w:val="center"/>
            </w:pPr>
            <w:r w:rsidRPr="009E464A">
              <w:t>–</w:t>
            </w:r>
          </w:p>
        </w:tc>
        <w:tc>
          <w:tcPr>
            <w:tcW w:w="992" w:type="dxa"/>
          </w:tcPr>
          <w:p w14:paraId="3FCE5F02" w14:textId="77777777" w:rsidR="007A55D9" w:rsidRPr="00127F8A" w:rsidRDefault="007A55D9" w:rsidP="00B57398">
            <w:pPr>
              <w:pStyle w:val="Tabletext"/>
              <w:spacing w:before="80" w:after="80"/>
              <w:ind w:left="0" w:right="0"/>
              <w:jc w:val="center"/>
            </w:pPr>
            <w:r w:rsidRPr="00127F8A">
              <w:sym w:font="Wingdings" w:char="F0FC"/>
            </w:r>
          </w:p>
        </w:tc>
        <w:tc>
          <w:tcPr>
            <w:tcW w:w="1390" w:type="dxa"/>
          </w:tcPr>
          <w:p w14:paraId="6B1FA1D8" w14:textId="77777777" w:rsidR="007A55D9" w:rsidRPr="00127F8A" w:rsidRDefault="007A55D9" w:rsidP="00B57398">
            <w:pPr>
              <w:pStyle w:val="Tabletext"/>
              <w:spacing w:before="80" w:after="80"/>
              <w:ind w:left="0" w:right="0"/>
              <w:jc w:val="center"/>
            </w:pPr>
            <w:r w:rsidRPr="00127F8A">
              <w:sym w:font="Wingdings" w:char="F0FC"/>
            </w:r>
            <w:r w:rsidRPr="00127F8A">
              <w:rPr>
                <w:vertAlign w:val="superscript"/>
              </w:rPr>
              <w:t>4,5</w:t>
            </w:r>
          </w:p>
        </w:tc>
      </w:tr>
      <w:tr w:rsidR="007A55D9" w:rsidRPr="004F1C07" w14:paraId="34240B99" w14:textId="77777777" w:rsidTr="00D41A90">
        <w:trPr>
          <w:trHeight w:val="225"/>
        </w:trPr>
        <w:tc>
          <w:tcPr>
            <w:tcW w:w="547" w:type="dxa"/>
            <w:vMerge/>
            <w:textDirection w:val="btLr"/>
          </w:tcPr>
          <w:p w14:paraId="4BBB220F" w14:textId="77777777" w:rsidR="007A55D9" w:rsidRPr="00680101" w:rsidRDefault="007A55D9" w:rsidP="00B57398">
            <w:pPr>
              <w:pStyle w:val="Tabletext"/>
              <w:spacing w:before="80" w:after="80"/>
              <w:ind w:left="0" w:right="0"/>
              <w:jc w:val="center"/>
              <w:rPr>
                <w:b/>
              </w:rPr>
            </w:pPr>
          </w:p>
        </w:tc>
        <w:tc>
          <w:tcPr>
            <w:tcW w:w="3247" w:type="dxa"/>
          </w:tcPr>
          <w:p w14:paraId="65166E6A" w14:textId="77777777" w:rsidR="007A55D9" w:rsidRPr="00704C59" w:rsidRDefault="007A55D9" w:rsidP="00B57398">
            <w:pPr>
              <w:pStyle w:val="Summaryofsafetyconcerns"/>
              <w:keepNext/>
              <w:keepLines/>
              <w:spacing w:before="80" w:after="80"/>
              <w:ind w:left="0" w:right="0"/>
              <w:rPr>
                <w:b w:val="0"/>
              </w:rPr>
            </w:pPr>
            <w:r w:rsidRPr="00704C59">
              <w:rPr>
                <w:b w:val="0"/>
              </w:rPr>
              <w:t xml:space="preserve">Increased risk of adverse events when </w:t>
            </w:r>
            <w:proofErr w:type="spellStart"/>
            <w:r w:rsidRPr="00704C59">
              <w:rPr>
                <w:b w:val="0"/>
              </w:rPr>
              <w:t>tofacitinib</w:t>
            </w:r>
            <w:proofErr w:type="spellEnd"/>
            <w:r w:rsidRPr="00704C59">
              <w:rPr>
                <w:b w:val="0"/>
              </w:rPr>
              <w:t xml:space="preserve"> is administered in combination with MTX</w:t>
            </w:r>
            <w:r>
              <w:rPr>
                <w:b w:val="0"/>
              </w:rPr>
              <w:t>*</w:t>
            </w:r>
          </w:p>
        </w:tc>
        <w:tc>
          <w:tcPr>
            <w:tcW w:w="992" w:type="dxa"/>
          </w:tcPr>
          <w:p w14:paraId="2896D7F6" w14:textId="77777777" w:rsidR="007A55D9" w:rsidRPr="00180311" w:rsidRDefault="007A55D9" w:rsidP="00B57398">
            <w:pPr>
              <w:pStyle w:val="Tabletext"/>
              <w:spacing w:before="80" w:after="80"/>
              <w:ind w:left="0" w:right="0"/>
              <w:jc w:val="center"/>
            </w:pPr>
            <w:r w:rsidRPr="00180311">
              <w:sym w:font="Wingdings" w:char="F0FC"/>
            </w:r>
          </w:p>
        </w:tc>
        <w:tc>
          <w:tcPr>
            <w:tcW w:w="1134" w:type="dxa"/>
          </w:tcPr>
          <w:p w14:paraId="3DE7D115" w14:textId="77777777" w:rsidR="007A55D9" w:rsidRPr="00180311" w:rsidRDefault="007A55D9" w:rsidP="00B57398">
            <w:pPr>
              <w:pStyle w:val="Tabletext"/>
              <w:spacing w:before="80" w:after="80"/>
              <w:ind w:left="0" w:right="0"/>
              <w:jc w:val="center"/>
            </w:pPr>
            <w:r w:rsidRPr="00180311">
              <w:sym w:font="Wingdings" w:char="F0FC"/>
            </w:r>
            <w:r w:rsidRPr="00917406">
              <w:rPr>
                <w:vertAlign w:val="superscript"/>
              </w:rPr>
              <w:t>1,2</w:t>
            </w:r>
          </w:p>
        </w:tc>
        <w:tc>
          <w:tcPr>
            <w:tcW w:w="992" w:type="dxa"/>
          </w:tcPr>
          <w:p w14:paraId="014CEEDF" w14:textId="77777777" w:rsidR="007A55D9" w:rsidRPr="00127F8A" w:rsidRDefault="007A55D9" w:rsidP="00B57398">
            <w:pPr>
              <w:pStyle w:val="Tabletext"/>
              <w:spacing w:before="80" w:after="80"/>
              <w:ind w:left="0" w:right="0"/>
              <w:jc w:val="center"/>
            </w:pPr>
            <w:r w:rsidRPr="00127F8A">
              <w:sym w:font="Wingdings" w:char="F0FC"/>
            </w:r>
          </w:p>
        </w:tc>
        <w:tc>
          <w:tcPr>
            <w:tcW w:w="1390" w:type="dxa"/>
          </w:tcPr>
          <w:p w14:paraId="7F748520" w14:textId="77777777" w:rsidR="007A55D9" w:rsidRPr="00127F8A" w:rsidRDefault="007A55D9" w:rsidP="00B57398">
            <w:pPr>
              <w:pStyle w:val="Tabletext"/>
              <w:spacing w:before="80" w:after="80"/>
              <w:ind w:left="0" w:right="0"/>
              <w:jc w:val="center"/>
            </w:pPr>
            <w:r w:rsidRPr="00127F8A">
              <w:sym w:font="Wingdings" w:char="F0FC"/>
            </w:r>
            <w:r w:rsidRPr="00127F8A">
              <w:rPr>
                <w:vertAlign w:val="superscript"/>
              </w:rPr>
              <w:t>4,5</w:t>
            </w:r>
          </w:p>
        </w:tc>
      </w:tr>
      <w:tr w:rsidR="007A55D9" w:rsidRPr="004F1C07" w14:paraId="3946F26D" w14:textId="77777777" w:rsidTr="00D41A90">
        <w:trPr>
          <w:trHeight w:val="225"/>
        </w:trPr>
        <w:tc>
          <w:tcPr>
            <w:tcW w:w="547" w:type="dxa"/>
            <w:vMerge/>
            <w:textDirection w:val="btLr"/>
          </w:tcPr>
          <w:p w14:paraId="65DDAC0B" w14:textId="77777777" w:rsidR="007A55D9" w:rsidRPr="00680101" w:rsidRDefault="007A55D9" w:rsidP="00B57398">
            <w:pPr>
              <w:pStyle w:val="Tabletext"/>
              <w:spacing w:before="80" w:after="80"/>
              <w:ind w:left="0" w:right="0"/>
              <w:jc w:val="center"/>
              <w:rPr>
                <w:b/>
              </w:rPr>
            </w:pPr>
          </w:p>
        </w:tc>
        <w:tc>
          <w:tcPr>
            <w:tcW w:w="3247" w:type="dxa"/>
          </w:tcPr>
          <w:p w14:paraId="041E1C6F" w14:textId="77777777" w:rsidR="007A55D9" w:rsidRPr="00704C59" w:rsidRDefault="007A55D9" w:rsidP="00B57398">
            <w:pPr>
              <w:pStyle w:val="Summaryofsafetyconcerns"/>
              <w:keepNext/>
              <w:keepLines/>
              <w:spacing w:before="80" w:after="80"/>
              <w:ind w:left="0" w:right="0"/>
              <w:rPr>
                <w:b w:val="0"/>
              </w:rPr>
            </w:pPr>
            <w:r w:rsidRPr="00704C59">
              <w:rPr>
                <w:b w:val="0"/>
              </w:rPr>
              <w:t>Primary viral infection following live vaccination</w:t>
            </w:r>
            <w:r>
              <w:rPr>
                <w:b w:val="0"/>
              </w:rPr>
              <w:t>*</w:t>
            </w:r>
          </w:p>
        </w:tc>
        <w:tc>
          <w:tcPr>
            <w:tcW w:w="992" w:type="dxa"/>
          </w:tcPr>
          <w:p w14:paraId="12357A29" w14:textId="77777777" w:rsidR="007A55D9" w:rsidRPr="009E464A" w:rsidRDefault="007A55D9" w:rsidP="00B57398">
            <w:pPr>
              <w:pStyle w:val="Tabletext"/>
              <w:spacing w:before="80" w:after="80"/>
              <w:ind w:left="0" w:right="0"/>
              <w:jc w:val="center"/>
            </w:pPr>
            <w:r w:rsidRPr="009E464A">
              <w:sym w:font="Wingdings" w:char="F0FC"/>
            </w:r>
          </w:p>
        </w:tc>
        <w:tc>
          <w:tcPr>
            <w:tcW w:w="1134" w:type="dxa"/>
          </w:tcPr>
          <w:p w14:paraId="289C3456" w14:textId="77777777" w:rsidR="007A55D9" w:rsidRPr="009E464A" w:rsidRDefault="007A55D9" w:rsidP="00B57398">
            <w:pPr>
              <w:pStyle w:val="Tabletext"/>
              <w:spacing w:before="80" w:after="80"/>
              <w:ind w:left="0" w:right="0"/>
              <w:jc w:val="center"/>
            </w:pPr>
            <w:r w:rsidRPr="009E464A">
              <w:t>–</w:t>
            </w:r>
          </w:p>
        </w:tc>
        <w:tc>
          <w:tcPr>
            <w:tcW w:w="992" w:type="dxa"/>
          </w:tcPr>
          <w:p w14:paraId="0B909EFD" w14:textId="77777777" w:rsidR="007A55D9" w:rsidRPr="00127F8A" w:rsidRDefault="007A55D9" w:rsidP="00B57398">
            <w:pPr>
              <w:pStyle w:val="Tabletext"/>
              <w:spacing w:before="80" w:after="80"/>
              <w:ind w:left="0" w:right="0"/>
              <w:jc w:val="center"/>
            </w:pPr>
            <w:r w:rsidRPr="00127F8A">
              <w:sym w:font="Wingdings" w:char="F0FC"/>
            </w:r>
          </w:p>
        </w:tc>
        <w:tc>
          <w:tcPr>
            <w:tcW w:w="1390" w:type="dxa"/>
          </w:tcPr>
          <w:p w14:paraId="462FF7EC" w14:textId="77777777" w:rsidR="007A55D9" w:rsidRPr="00127F8A" w:rsidRDefault="007A55D9" w:rsidP="00B57398">
            <w:pPr>
              <w:pStyle w:val="Tabletext"/>
              <w:spacing w:before="80" w:after="80"/>
              <w:ind w:left="0" w:right="0"/>
              <w:jc w:val="center"/>
            </w:pPr>
            <w:r w:rsidRPr="00127F8A">
              <w:sym w:font="Wingdings" w:char="F0FC"/>
            </w:r>
            <w:r w:rsidRPr="00127F8A">
              <w:rPr>
                <w:vertAlign w:val="superscript"/>
              </w:rPr>
              <w:t>4</w:t>
            </w:r>
          </w:p>
        </w:tc>
      </w:tr>
      <w:tr w:rsidR="007A55D9" w:rsidRPr="004F1C07" w14:paraId="369EEDFD" w14:textId="77777777" w:rsidTr="00D41A90">
        <w:trPr>
          <w:trHeight w:val="225"/>
        </w:trPr>
        <w:tc>
          <w:tcPr>
            <w:tcW w:w="547" w:type="dxa"/>
            <w:vMerge/>
            <w:textDirection w:val="btLr"/>
          </w:tcPr>
          <w:p w14:paraId="71CF0355" w14:textId="77777777" w:rsidR="007A55D9" w:rsidRPr="00680101" w:rsidRDefault="007A55D9" w:rsidP="00B57398">
            <w:pPr>
              <w:pStyle w:val="Tabletext"/>
              <w:spacing w:before="80" w:after="80"/>
              <w:ind w:left="0" w:right="0"/>
              <w:jc w:val="center"/>
              <w:rPr>
                <w:b/>
              </w:rPr>
            </w:pPr>
          </w:p>
        </w:tc>
        <w:tc>
          <w:tcPr>
            <w:tcW w:w="3247" w:type="dxa"/>
          </w:tcPr>
          <w:p w14:paraId="2DBFB583" w14:textId="77777777" w:rsidR="007A55D9" w:rsidRPr="00704C59" w:rsidRDefault="007A55D9" w:rsidP="00B57398">
            <w:pPr>
              <w:pStyle w:val="Summaryofsafetyconcerns"/>
              <w:keepNext/>
              <w:keepLines/>
              <w:spacing w:before="80" w:after="80"/>
              <w:ind w:left="0" w:right="0"/>
              <w:rPr>
                <w:b w:val="0"/>
              </w:rPr>
            </w:pPr>
            <w:r w:rsidRPr="00704C59">
              <w:rPr>
                <w:b w:val="0"/>
              </w:rPr>
              <w:t xml:space="preserve">Increased exposure to </w:t>
            </w:r>
            <w:proofErr w:type="spellStart"/>
            <w:r w:rsidRPr="00704C59">
              <w:rPr>
                <w:b w:val="0"/>
              </w:rPr>
              <w:t>tofacitinib</w:t>
            </w:r>
            <w:proofErr w:type="spellEnd"/>
            <w:r w:rsidRPr="00704C59">
              <w:rPr>
                <w:b w:val="0"/>
              </w:rPr>
              <w:t xml:space="preserve"> when co-administered with CYP3A4</w:t>
            </w:r>
            <w:r>
              <w:rPr>
                <w:b w:val="0"/>
              </w:rPr>
              <w:t xml:space="preserve"> </w:t>
            </w:r>
            <w:r w:rsidRPr="00704C59">
              <w:rPr>
                <w:b w:val="0"/>
              </w:rPr>
              <w:t>and CYP2C19 inhibitors</w:t>
            </w:r>
            <w:r>
              <w:rPr>
                <w:b w:val="0"/>
              </w:rPr>
              <w:t>*</w:t>
            </w:r>
          </w:p>
        </w:tc>
        <w:tc>
          <w:tcPr>
            <w:tcW w:w="992" w:type="dxa"/>
          </w:tcPr>
          <w:p w14:paraId="2EA33024" w14:textId="77777777" w:rsidR="007A55D9" w:rsidRPr="009E464A" w:rsidRDefault="007A55D9" w:rsidP="00B57398">
            <w:pPr>
              <w:pStyle w:val="Tabletext"/>
              <w:spacing w:before="80" w:after="80"/>
              <w:ind w:left="0" w:right="0"/>
              <w:jc w:val="center"/>
            </w:pPr>
            <w:r w:rsidRPr="009E464A">
              <w:sym w:font="Wingdings" w:char="F0FC"/>
            </w:r>
          </w:p>
        </w:tc>
        <w:tc>
          <w:tcPr>
            <w:tcW w:w="1134" w:type="dxa"/>
          </w:tcPr>
          <w:p w14:paraId="457AAED8" w14:textId="77777777" w:rsidR="007A55D9" w:rsidRPr="009E464A" w:rsidRDefault="007A55D9" w:rsidP="00B57398">
            <w:pPr>
              <w:pStyle w:val="Tabletext"/>
              <w:spacing w:before="80" w:after="80"/>
              <w:ind w:left="0" w:right="0"/>
              <w:jc w:val="center"/>
            </w:pPr>
            <w:r w:rsidRPr="009E464A">
              <w:t>–</w:t>
            </w:r>
          </w:p>
        </w:tc>
        <w:tc>
          <w:tcPr>
            <w:tcW w:w="992" w:type="dxa"/>
          </w:tcPr>
          <w:p w14:paraId="0E925F2D" w14:textId="77777777" w:rsidR="007A55D9" w:rsidRPr="00127F8A" w:rsidRDefault="007A55D9" w:rsidP="00B57398">
            <w:pPr>
              <w:pStyle w:val="Tabletext"/>
              <w:spacing w:before="80" w:after="80"/>
              <w:ind w:left="0" w:right="0"/>
              <w:jc w:val="center"/>
            </w:pPr>
            <w:r w:rsidRPr="00127F8A">
              <w:sym w:font="Wingdings" w:char="F0FC"/>
            </w:r>
          </w:p>
        </w:tc>
        <w:tc>
          <w:tcPr>
            <w:tcW w:w="1390" w:type="dxa"/>
          </w:tcPr>
          <w:p w14:paraId="2059F87F" w14:textId="77777777" w:rsidR="007A55D9" w:rsidRPr="00127F8A" w:rsidRDefault="007A55D9" w:rsidP="00B57398">
            <w:pPr>
              <w:pStyle w:val="Tabletext"/>
              <w:spacing w:before="80" w:after="80"/>
              <w:ind w:left="0" w:right="0"/>
              <w:jc w:val="center"/>
            </w:pPr>
            <w:r w:rsidRPr="00127F8A">
              <w:sym w:font="Wingdings" w:char="F0FC"/>
            </w:r>
            <w:r w:rsidRPr="00127F8A">
              <w:rPr>
                <w:vertAlign w:val="superscript"/>
              </w:rPr>
              <w:t>4,5</w:t>
            </w:r>
          </w:p>
        </w:tc>
      </w:tr>
      <w:tr w:rsidR="007A55D9" w:rsidRPr="004F1C07" w14:paraId="0152C139" w14:textId="77777777" w:rsidTr="00D41A90">
        <w:trPr>
          <w:trHeight w:val="225"/>
        </w:trPr>
        <w:tc>
          <w:tcPr>
            <w:tcW w:w="547" w:type="dxa"/>
            <w:vMerge/>
            <w:textDirection w:val="btLr"/>
          </w:tcPr>
          <w:p w14:paraId="0A1CD230" w14:textId="77777777" w:rsidR="007A55D9" w:rsidRPr="00680101" w:rsidRDefault="007A55D9" w:rsidP="00B57398">
            <w:pPr>
              <w:pStyle w:val="Tabletext"/>
              <w:spacing w:before="80" w:after="80"/>
              <w:ind w:left="0" w:right="0"/>
              <w:jc w:val="center"/>
              <w:rPr>
                <w:b/>
              </w:rPr>
            </w:pPr>
          </w:p>
        </w:tc>
        <w:tc>
          <w:tcPr>
            <w:tcW w:w="3247" w:type="dxa"/>
          </w:tcPr>
          <w:p w14:paraId="0EB835A9" w14:textId="77777777" w:rsidR="007A55D9" w:rsidRPr="00704C59" w:rsidRDefault="007A55D9" w:rsidP="00B57398">
            <w:pPr>
              <w:autoSpaceDE w:val="0"/>
              <w:autoSpaceDN w:val="0"/>
              <w:adjustRightInd w:val="0"/>
              <w:spacing w:before="80" w:after="80"/>
              <w:ind w:left="0" w:right="0"/>
              <w:rPr>
                <w:rFonts w:eastAsia="TimesNewRoman" w:cs="TimesNewRoman"/>
                <w:sz w:val="20"/>
                <w:szCs w:val="20"/>
              </w:rPr>
            </w:pPr>
            <w:r w:rsidRPr="00704C59">
              <w:rPr>
                <w:rFonts w:eastAsia="TimesNewRoman" w:cs="TimesNewRoman"/>
                <w:sz w:val="20"/>
                <w:szCs w:val="20"/>
              </w:rPr>
              <w:t>Off-label use including children with JIA</w:t>
            </w:r>
            <w:r>
              <w:rPr>
                <w:rFonts w:eastAsia="TimesNewRoman" w:cs="TimesNewRoman"/>
                <w:sz w:val="20"/>
                <w:szCs w:val="20"/>
              </w:rPr>
              <w:t>*</w:t>
            </w:r>
          </w:p>
        </w:tc>
        <w:tc>
          <w:tcPr>
            <w:tcW w:w="992" w:type="dxa"/>
          </w:tcPr>
          <w:p w14:paraId="4BEF4D0A" w14:textId="77777777" w:rsidR="007A55D9" w:rsidRPr="009E464A" w:rsidRDefault="007A55D9" w:rsidP="00B57398">
            <w:pPr>
              <w:pStyle w:val="Tabletext"/>
              <w:spacing w:before="80" w:after="80"/>
              <w:ind w:left="0" w:right="0"/>
              <w:jc w:val="center"/>
            </w:pPr>
            <w:r w:rsidRPr="009E464A">
              <w:sym w:font="Wingdings" w:char="F0FC"/>
            </w:r>
          </w:p>
        </w:tc>
        <w:tc>
          <w:tcPr>
            <w:tcW w:w="1134" w:type="dxa"/>
          </w:tcPr>
          <w:p w14:paraId="366B5EC3" w14:textId="77777777" w:rsidR="007A55D9" w:rsidRPr="009E464A" w:rsidRDefault="007A55D9" w:rsidP="00B57398">
            <w:pPr>
              <w:pStyle w:val="Tabletext"/>
              <w:spacing w:before="80" w:after="80"/>
              <w:ind w:left="0" w:right="0"/>
              <w:jc w:val="center"/>
            </w:pPr>
            <w:r w:rsidRPr="009E464A">
              <w:t>–</w:t>
            </w:r>
          </w:p>
        </w:tc>
        <w:tc>
          <w:tcPr>
            <w:tcW w:w="992" w:type="dxa"/>
          </w:tcPr>
          <w:p w14:paraId="501F286B" w14:textId="77777777" w:rsidR="007A55D9" w:rsidRPr="00127F8A" w:rsidRDefault="007A55D9" w:rsidP="00B57398">
            <w:pPr>
              <w:pStyle w:val="Tabletext"/>
              <w:spacing w:before="80" w:after="80"/>
              <w:ind w:left="0" w:right="0"/>
              <w:jc w:val="center"/>
            </w:pPr>
            <w:r w:rsidRPr="00127F8A">
              <w:sym w:font="Wingdings" w:char="F0FC"/>
            </w:r>
          </w:p>
        </w:tc>
        <w:tc>
          <w:tcPr>
            <w:tcW w:w="1390" w:type="dxa"/>
          </w:tcPr>
          <w:p w14:paraId="565E78F2" w14:textId="77777777" w:rsidR="007A55D9" w:rsidRPr="00127F8A" w:rsidRDefault="007A55D9" w:rsidP="00B57398">
            <w:pPr>
              <w:pStyle w:val="Tabletext"/>
              <w:spacing w:before="80" w:after="80"/>
              <w:ind w:left="0" w:right="0"/>
              <w:jc w:val="center"/>
            </w:pPr>
            <w:r w:rsidRPr="00127F8A">
              <w:t>–</w:t>
            </w:r>
          </w:p>
        </w:tc>
      </w:tr>
      <w:tr w:rsidR="007A55D9" w:rsidRPr="004F1C07" w14:paraId="17CEB5EF" w14:textId="77777777" w:rsidTr="00D41A90">
        <w:trPr>
          <w:trHeight w:val="225"/>
        </w:trPr>
        <w:tc>
          <w:tcPr>
            <w:tcW w:w="547" w:type="dxa"/>
            <w:vMerge/>
            <w:textDirection w:val="btLr"/>
          </w:tcPr>
          <w:p w14:paraId="5ECB4AFF" w14:textId="77777777" w:rsidR="007A55D9" w:rsidRPr="00680101" w:rsidRDefault="007A55D9" w:rsidP="00B57398">
            <w:pPr>
              <w:pStyle w:val="Tabletext"/>
              <w:spacing w:before="80" w:after="80"/>
              <w:ind w:left="0" w:right="0"/>
              <w:jc w:val="center"/>
              <w:rPr>
                <w:b/>
              </w:rPr>
            </w:pPr>
          </w:p>
        </w:tc>
        <w:tc>
          <w:tcPr>
            <w:tcW w:w="3247" w:type="dxa"/>
          </w:tcPr>
          <w:p w14:paraId="380907AF" w14:textId="77777777" w:rsidR="007A55D9" w:rsidRPr="00704C59" w:rsidRDefault="007A55D9" w:rsidP="00B57398">
            <w:pPr>
              <w:spacing w:before="80" w:after="80"/>
              <w:ind w:left="0" w:right="0"/>
            </w:pPr>
            <w:r w:rsidRPr="00704C59">
              <w:rPr>
                <w:rFonts w:eastAsia="TimesNewRoman" w:cs="TimesNewRoman"/>
                <w:sz w:val="20"/>
                <w:szCs w:val="20"/>
              </w:rPr>
              <w:t>Higher incidence and severity of adverse events in the elderly</w:t>
            </w:r>
            <w:r>
              <w:rPr>
                <w:rFonts w:eastAsia="TimesNewRoman" w:cs="TimesNewRoman"/>
                <w:sz w:val="20"/>
                <w:szCs w:val="20"/>
              </w:rPr>
              <w:t>*</w:t>
            </w:r>
          </w:p>
        </w:tc>
        <w:tc>
          <w:tcPr>
            <w:tcW w:w="992" w:type="dxa"/>
          </w:tcPr>
          <w:p w14:paraId="4D788ADB" w14:textId="77777777" w:rsidR="007A55D9" w:rsidRPr="00180311" w:rsidRDefault="007A55D9" w:rsidP="00B57398">
            <w:pPr>
              <w:pStyle w:val="Tabletext"/>
              <w:spacing w:before="80" w:after="80"/>
              <w:ind w:left="0" w:right="0"/>
              <w:jc w:val="center"/>
            </w:pPr>
            <w:r w:rsidRPr="00180311">
              <w:sym w:font="Wingdings" w:char="F0FC"/>
            </w:r>
          </w:p>
        </w:tc>
        <w:tc>
          <w:tcPr>
            <w:tcW w:w="1134" w:type="dxa"/>
          </w:tcPr>
          <w:p w14:paraId="2473DBF0" w14:textId="77777777" w:rsidR="007A55D9" w:rsidRPr="00180311" w:rsidRDefault="007A55D9" w:rsidP="00B57398">
            <w:pPr>
              <w:pStyle w:val="Tabletext"/>
              <w:spacing w:before="80" w:after="80"/>
              <w:ind w:left="0" w:right="0"/>
              <w:jc w:val="center"/>
            </w:pPr>
            <w:r w:rsidRPr="00180311">
              <w:sym w:font="Wingdings" w:char="F0FC"/>
            </w:r>
            <w:r w:rsidRPr="00917406">
              <w:rPr>
                <w:vertAlign w:val="superscript"/>
              </w:rPr>
              <w:t>1,2</w:t>
            </w:r>
          </w:p>
        </w:tc>
        <w:tc>
          <w:tcPr>
            <w:tcW w:w="992" w:type="dxa"/>
          </w:tcPr>
          <w:p w14:paraId="0BC93AA4" w14:textId="77777777" w:rsidR="007A55D9" w:rsidRPr="00127F8A" w:rsidRDefault="007A55D9" w:rsidP="00B57398">
            <w:pPr>
              <w:pStyle w:val="Tabletext"/>
              <w:spacing w:before="80" w:after="80"/>
              <w:ind w:left="0" w:right="0"/>
              <w:jc w:val="center"/>
            </w:pPr>
            <w:r w:rsidRPr="00127F8A">
              <w:sym w:font="Wingdings" w:char="F0FC"/>
            </w:r>
          </w:p>
        </w:tc>
        <w:tc>
          <w:tcPr>
            <w:tcW w:w="1390" w:type="dxa"/>
          </w:tcPr>
          <w:p w14:paraId="41DB5EC0" w14:textId="77777777" w:rsidR="007A55D9" w:rsidRPr="00127F8A" w:rsidRDefault="007A55D9" w:rsidP="00B57398">
            <w:pPr>
              <w:pStyle w:val="Tabletext"/>
              <w:spacing w:before="80" w:after="80"/>
              <w:ind w:left="0" w:right="0"/>
              <w:jc w:val="center"/>
            </w:pPr>
            <w:r w:rsidRPr="00127F8A">
              <w:sym w:font="Wingdings" w:char="F0FC"/>
            </w:r>
            <w:r w:rsidRPr="00127F8A">
              <w:rPr>
                <w:vertAlign w:val="superscript"/>
              </w:rPr>
              <w:t>4,5</w:t>
            </w:r>
          </w:p>
        </w:tc>
      </w:tr>
      <w:tr w:rsidR="007A55D9" w:rsidRPr="004F1C07" w14:paraId="4F96AEBC" w14:textId="77777777" w:rsidTr="001908D6">
        <w:trPr>
          <w:trHeight w:val="225"/>
        </w:trPr>
        <w:tc>
          <w:tcPr>
            <w:tcW w:w="547" w:type="dxa"/>
            <w:vMerge/>
            <w:textDirection w:val="btLr"/>
          </w:tcPr>
          <w:p w14:paraId="70263E8E" w14:textId="77777777" w:rsidR="007A55D9" w:rsidRPr="00680101" w:rsidRDefault="007A55D9" w:rsidP="00B57398">
            <w:pPr>
              <w:pStyle w:val="Tabletext"/>
              <w:spacing w:before="80" w:after="80"/>
              <w:ind w:left="0" w:right="0"/>
              <w:jc w:val="center"/>
              <w:rPr>
                <w:b/>
              </w:rPr>
            </w:pPr>
          </w:p>
        </w:tc>
        <w:tc>
          <w:tcPr>
            <w:tcW w:w="3247" w:type="dxa"/>
            <w:shd w:val="clear" w:color="auto" w:fill="9A86B7"/>
          </w:tcPr>
          <w:p w14:paraId="063AB84A" w14:textId="77777777" w:rsidR="007A55D9" w:rsidRPr="00704C59" w:rsidRDefault="007A55D9" w:rsidP="00B57398">
            <w:pPr>
              <w:autoSpaceDE w:val="0"/>
              <w:autoSpaceDN w:val="0"/>
              <w:adjustRightInd w:val="0"/>
              <w:spacing w:before="80" w:after="80"/>
              <w:ind w:left="0" w:right="0"/>
              <w:rPr>
                <w:rFonts w:eastAsia="TimesNewRoman" w:cs="TimesNewRoman"/>
                <w:sz w:val="20"/>
                <w:szCs w:val="20"/>
              </w:rPr>
            </w:pPr>
            <w:r w:rsidRPr="009807B1">
              <w:rPr>
                <w:rFonts w:eastAsia="TimesNewRoman" w:cs="TimesNewRoman"/>
                <w:sz w:val="20"/>
                <w:szCs w:val="20"/>
              </w:rPr>
              <w:t>Rhabdomyolysis</w:t>
            </w:r>
          </w:p>
        </w:tc>
        <w:tc>
          <w:tcPr>
            <w:tcW w:w="992" w:type="dxa"/>
            <w:shd w:val="clear" w:color="auto" w:fill="9A86B7"/>
          </w:tcPr>
          <w:p w14:paraId="15BC952D" w14:textId="77777777" w:rsidR="007A55D9" w:rsidRPr="009E464A" w:rsidRDefault="007A55D9" w:rsidP="00B57398">
            <w:pPr>
              <w:pStyle w:val="Tabletext"/>
              <w:spacing w:before="80" w:after="80"/>
              <w:ind w:left="0" w:right="0"/>
              <w:jc w:val="center"/>
            </w:pPr>
            <w:r w:rsidRPr="009E464A">
              <w:sym w:font="Wingdings" w:char="F0FC"/>
            </w:r>
          </w:p>
        </w:tc>
        <w:tc>
          <w:tcPr>
            <w:tcW w:w="1134" w:type="dxa"/>
            <w:shd w:val="clear" w:color="auto" w:fill="9A86B7"/>
          </w:tcPr>
          <w:p w14:paraId="7EB38BDA" w14:textId="77777777" w:rsidR="007A55D9" w:rsidRPr="009E464A" w:rsidRDefault="007A55D9" w:rsidP="00B57398">
            <w:pPr>
              <w:pStyle w:val="Tabletext"/>
              <w:spacing w:before="80" w:after="80"/>
              <w:ind w:left="0" w:right="0"/>
              <w:jc w:val="center"/>
            </w:pPr>
            <w:r w:rsidRPr="009E464A">
              <w:t>–</w:t>
            </w:r>
          </w:p>
        </w:tc>
        <w:tc>
          <w:tcPr>
            <w:tcW w:w="992" w:type="dxa"/>
            <w:shd w:val="clear" w:color="auto" w:fill="9A86B7"/>
          </w:tcPr>
          <w:p w14:paraId="4909265A" w14:textId="77777777" w:rsidR="007A55D9" w:rsidRPr="00127F8A" w:rsidRDefault="007A55D9" w:rsidP="00B57398">
            <w:pPr>
              <w:pStyle w:val="Tabletext"/>
              <w:spacing w:before="80" w:after="80"/>
              <w:ind w:left="0" w:right="0"/>
              <w:jc w:val="center"/>
            </w:pPr>
            <w:r w:rsidRPr="00127F8A">
              <w:t>–</w:t>
            </w:r>
          </w:p>
        </w:tc>
        <w:tc>
          <w:tcPr>
            <w:tcW w:w="1390" w:type="dxa"/>
            <w:shd w:val="clear" w:color="auto" w:fill="9A86B7"/>
          </w:tcPr>
          <w:p w14:paraId="7F1123C8" w14:textId="77777777" w:rsidR="007A55D9" w:rsidRPr="00127F8A" w:rsidRDefault="007A55D9" w:rsidP="00B57398">
            <w:pPr>
              <w:pStyle w:val="Tabletext"/>
              <w:spacing w:before="80" w:after="80"/>
              <w:ind w:left="0" w:right="0"/>
              <w:jc w:val="center"/>
            </w:pPr>
            <w:r w:rsidRPr="00127F8A">
              <w:t>–</w:t>
            </w:r>
          </w:p>
        </w:tc>
      </w:tr>
      <w:tr w:rsidR="007A55D9" w:rsidRPr="004F1C07" w14:paraId="25A65C9C" w14:textId="77777777" w:rsidTr="001908D6">
        <w:trPr>
          <w:trHeight w:val="225"/>
        </w:trPr>
        <w:tc>
          <w:tcPr>
            <w:tcW w:w="547" w:type="dxa"/>
            <w:vMerge/>
            <w:textDirection w:val="btLr"/>
          </w:tcPr>
          <w:p w14:paraId="62BA3E88" w14:textId="77777777" w:rsidR="007A55D9" w:rsidRPr="00680101" w:rsidRDefault="007A55D9" w:rsidP="00B57398">
            <w:pPr>
              <w:pStyle w:val="Tabletext"/>
              <w:spacing w:before="80" w:after="80"/>
              <w:ind w:left="0" w:right="0"/>
              <w:jc w:val="center"/>
              <w:rPr>
                <w:b/>
              </w:rPr>
            </w:pPr>
          </w:p>
        </w:tc>
        <w:tc>
          <w:tcPr>
            <w:tcW w:w="3247" w:type="dxa"/>
            <w:shd w:val="clear" w:color="auto" w:fill="9A86B7"/>
          </w:tcPr>
          <w:p w14:paraId="1DFDD840" w14:textId="77777777" w:rsidR="007A55D9" w:rsidRPr="00704C59" w:rsidRDefault="007A55D9" w:rsidP="00B57398">
            <w:pPr>
              <w:autoSpaceDE w:val="0"/>
              <w:autoSpaceDN w:val="0"/>
              <w:adjustRightInd w:val="0"/>
              <w:spacing w:before="80" w:after="80"/>
              <w:ind w:left="0" w:right="0"/>
              <w:rPr>
                <w:rFonts w:eastAsia="TimesNewRoman" w:cs="TimesNewRoman"/>
                <w:sz w:val="20"/>
                <w:szCs w:val="20"/>
              </w:rPr>
            </w:pPr>
            <w:r w:rsidRPr="009807B1">
              <w:rPr>
                <w:rFonts w:eastAsia="TimesNewRoman" w:cs="TimesNewRoman"/>
                <w:sz w:val="20"/>
                <w:szCs w:val="20"/>
              </w:rPr>
              <w:t>Epstein-Barr Virus-related events</w:t>
            </w:r>
          </w:p>
        </w:tc>
        <w:tc>
          <w:tcPr>
            <w:tcW w:w="992" w:type="dxa"/>
            <w:shd w:val="clear" w:color="auto" w:fill="9A86B7"/>
          </w:tcPr>
          <w:p w14:paraId="2E5DD7DB" w14:textId="77777777" w:rsidR="007A55D9" w:rsidRPr="009E464A" w:rsidRDefault="007A55D9" w:rsidP="00B57398">
            <w:pPr>
              <w:pStyle w:val="Tabletext"/>
              <w:spacing w:before="80" w:after="80"/>
              <w:ind w:left="0" w:right="0"/>
              <w:jc w:val="center"/>
            </w:pPr>
            <w:r w:rsidRPr="009E464A">
              <w:sym w:font="Wingdings" w:char="F0FC"/>
            </w:r>
          </w:p>
        </w:tc>
        <w:tc>
          <w:tcPr>
            <w:tcW w:w="1134" w:type="dxa"/>
            <w:shd w:val="clear" w:color="auto" w:fill="9A86B7"/>
          </w:tcPr>
          <w:p w14:paraId="612EC6C5" w14:textId="77777777" w:rsidR="007A55D9" w:rsidRPr="009E464A" w:rsidRDefault="007A55D9" w:rsidP="00B57398">
            <w:pPr>
              <w:pStyle w:val="Tabletext"/>
              <w:spacing w:before="80" w:after="80"/>
              <w:ind w:left="0" w:right="0"/>
              <w:jc w:val="center"/>
            </w:pPr>
            <w:r w:rsidRPr="009E464A">
              <w:t>–</w:t>
            </w:r>
          </w:p>
        </w:tc>
        <w:tc>
          <w:tcPr>
            <w:tcW w:w="992" w:type="dxa"/>
            <w:shd w:val="clear" w:color="auto" w:fill="9A86B7"/>
          </w:tcPr>
          <w:p w14:paraId="5A8C6814" w14:textId="77777777" w:rsidR="007A55D9" w:rsidRPr="00127F8A" w:rsidRDefault="007A55D9" w:rsidP="00B57398">
            <w:pPr>
              <w:pStyle w:val="Tabletext"/>
              <w:spacing w:before="80" w:after="80"/>
              <w:ind w:left="0" w:right="0"/>
              <w:jc w:val="center"/>
            </w:pPr>
            <w:r w:rsidRPr="00127F8A">
              <w:sym w:font="Wingdings" w:char="F0FC"/>
            </w:r>
          </w:p>
        </w:tc>
        <w:tc>
          <w:tcPr>
            <w:tcW w:w="1390" w:type="dxa"/>
            <w:shd w:val="clear" w:color="auto" w:fill="9A86B7"/>
          </w:tcPr>
          <w:p w14:paraId="5781B269" w14:textId="77777777" w:rsidR="007A55D9" w:rsidRPr="00127F8A" w:rsidRDefault="007A55D9" w:rsidP="00B57398">
            <w:pPr>
              <w:pStyle w:val="Tabletext"/>
              <w:spacing w:before="80" w:after="80"/>
              <w:ind w:left="0" w:right="0"/>
              <w:jc w:val="center"/>
            </w:pPr>
            <w:r w:rsidRPr="00127F8A">
              <w:sym w:font="Wingdings" w:char="F0FC"/>
            </w:r>
            <w:r w:rsidRPr="00127F8A">
              <w:rPr>
                <w:vertAlign w:val="superscript"/>
              </w:rPr>
              <w:t>4,5</w:t>
            </w:r>
          </w:p>
        </w:tc>
      </w:tr>
      <w:tr w:rsidR="007A55D9" w:rsidRPr="004F1C07" w14:paraId="7CE3E4DA" w14:textId="77777777" w:rsidTr="001908D6">
        <w:trPr>
          <w:trHeight w:val="225"/>
        </w:trPr>
        <w:tc>
          <w:tcPr>
            <w:tcW w:w="547" w:type="dxa"/>
            <w:vMerge/>
            <w:textDirection w:val="btLr"/>
          </w:tcPr>
          <w:p w14:paraId="7A3B86D0" w14:textId="77777777" w:rsidR="007A55D9" w:rsidRPr="00680101" w:rsidRDefault="007A55D9" w:rsidP="00B57398">
            <w:pPr>
              <w:pStyle w:val="Tabletext"/>
              <w:spacing w:before="80" w:after="80"/>
              <w:ind w:left="0" w:right="0"/>
              <w:jc w:val="center"/>
              <w:rPr>
                <w:b/>
              </w:rPr>
            </w:pPr>
          </w:p>
        </w:tc>
        <w:tc>
          <w:tcPr>
            <w:tcW w:w="3247" w:type="dxa"/>
            <w:shd w:val="clear" w:color="auto" w:fill="9A86B7"/>
          </w:tcPr>
          <w:p w14:paraId="58AFD7F7" w14:textId="77777777" w:rsidR="007A55D9" w:rsidRPr="00704C59" w:rsidRDefault="007A55D9" w:rsidP="00B57398">
            <w:pPr>
              <w:autoSpaceDE w:val="0"/>
              <w:autoSpaceDN w:val="0"/>
              <w:adjustRightInd w:val="0"/>
              <w:spacing w:before="80" w:after="80"/>
              <w:ind w:left="0" w:right="0"/>
              <w:rPr>
                <w:rFonts w:eastAsia="TimesNewRoman" w:cs="TimesNewRoman"/>
                <w:sz w:val="20"/>
                <w:szCs w:val="20"/>
              </w:rPr>
            </w:pPr>
            <w:r w:rsidRPr="009807B1">
              <w:rPr>
                <w:rFonts w:eastAsia="TimesNewRoman" w:cs="TimesNewRoman"/>
                <w:sz w:val="20"/>
                <w:szCs w:val="20"/>
              </w:rPr>
              <w:t>QT prolongation</w:t>
            </w:r>
          </w:p>
        </w:tc>
        <w:tc>
          <w:tcPr>
            <w:tcW w:w="992" w:type="dxa"/>
            <w:shd w:val="clear" w:color="auto" w:fill="9A86B7"/>
          </w:tcPr>
          <w:p w14:paraId="6CFD090D" w14:textId="77777777" w:rsidR="007A55D9" w:rsidRPr="009E464A" w:rsidRDefault="007A55D9" w:rsidP="00B57398">
            <w:pPr>
              <w:pStyle w:val="Tabletext"/>
              <w:spacing w:before="80" w:after="80"/>
              <w:ind w:left="0" w:right="0"/>
              <w:jc w:val="center"/>
            </w:pPr>
            <w:r w:rsidRPr="009E464A">
              <w:sym w:font="Wingdings" w:char="F0FC"/>
            </w:r>
          </w:p>
        </w:tc>
        <w:tc>
          <w:tcPr>
            <w:tcW w:w="1134" w:type="dxa"/>
            <w:shd w:val="clear" w:color="auto" w:fill="9A86B7"/>
          </w:tcPr>
          <w:p w14:paraId="42512E42" w14:textId="77777777" w:rsidR="007A55D9" w:rsidRPr="009E464A" w:rsidRDefault="007A55D9" w:rsidP="00B57398">
            <w:pPr>
              <w:pStyle w:val="Tabletext"/>
              <w:spacing w:before="80" w:after="80"/>
              <w:ind w:left="0" w:right="0"/>
              <w:jc w:val="center"/>
            </w:pPr>
            <w:r w:rsidRPr="009E464A">
              <w:t>–</w:t>
            </w:r>
          </w:p>
        </w:tc>
        <w:tc>
          <w:tcPr>
            <w:tcW w:w="992" w:type="dxa"/>
            <w:shd w:val="clear" w:color="auto" w:fill="9A86B7"/>
          </w:tcPr>
          <w:p w14:paraId="3F68819A" w14:textId="77777777" w:rsidR="007A55D9" w:rsidRPr="00127F8A" w:rsidRDefault="007A55D9" w:rsidP="00B57398">
            <w:pPr>
              <w:pStyle w:val="Tabletext"/>
              <w:spacing w:before="80" w:after="80"/>
              <w:ind w:left="0" w:right="0"/>
              <w:jc w:val="center"/>
            </w:pPr>
            <w:r w:rsidRPr="00127F8A">
              <w:sym w:font="Wingdings" w:char="F0FC"/>
            </w:r>
          </w:p>
        </w:tc>
        <w:tc>
          <w:tcPr>
            <w:tcW w:w="1390" w:type="dxa"/>
            <w:shd w:val="clear" w:color="auto" w:fill="9A86B7"/>
          </w:tcPr>
          <w:p w14:paraId="2740D2CE" w14:textId="77777777" w:rsidR="007A55D9" w:rsidRPr="00127F8A" w:rsidRDefault="007A55D9" w:rsidP="00B57398">
            <w:pPr>
              <w:pStyle w:val="Tabletext"/>
              <w:spacing w:before="80" w:after="80"/>
              <w:ind w:left="0" w:right="0"/>
              <w:jc w:val="center"/>
            </w:pPr>
            <w:r w:rsidRPr="00127F8A">
              <w:t>–</w:t>
            </w:r>
          </w:p>
        </w:tc>
      </w:tr>
      <w:tr w:rsidR="007A55D9" w:rsidRPr="004F1C07" w14:paraId="4E98F134" w14:textId="77777777" w:rsidTr="001908D6">
        <w:trPr>
          <w:trHeight w:val="207"/>
        </w:trPr>
        <w:tc>
          <w:tcPr>
            <w:tcW w:w="547" w:type="dxa"/>
            <w:vMerge/>
            <w:textDirection w:val="btLr"/>
          </w:tcPr>
          <w:p w14:paraId="4DCF6BFE" w14:textId="77777777" w:rsidR="007A55D9" w:rsidRPr="00680101" w:rsidRDefault="007A55D9" w:rsidP="00B57398">
            <w:pPr>
              <w:pStyle w:val="Tabletext"/>
              <w:spacing w:before="80" w:after="80"/>
              <w:ind w:left="0" w:right="0"/>
              <w:jc w:val="center"/>
              <w:rPr>
                <w:b/>
              </w:rPr>
            </w:pPr>
          </w:p>
        </w:tc>
        <w:tc>
          <w:tcPr>
            <w:tcW w:w="3247" w:type="dxa"/>
            <w:shd w:val="clear" w:color="auto" w:fill="9A86B7"/>
          </w:tcPr>
          <w:p w14:paraId="296EBF39" w14:textId="77777777" w:rsidR="007A55D9" w:rsidRPr="009807B1" w:rsidRDefault="007A55D9" w:rsidP="00B57398">
            <w:pPr>
              <w:spacing w:before="80" w:after="80"/>
              <w:ind w:left="0" w:right="0"/>
              <w:rPr>
                <w:sz w:val="20"/>
                <w:szCs w:val="20"/>
              </w:rPr>
            </w:pPr>
            <w:r w:rsidRPr="009807B1">
              <w:rPr>
                <w:sz w:val="20"/>
                <w:szCs w:val="20"/>
              </w:rPr>
              <w:t>Reduction in renal function</w:t>
            </w:r>
          </w:p>
        </w:tc>
        <w:tc>
          <w:tcPr>
            <w:tcW w:w="992" w:type="dxa"/>
            <w:shd w:val="clear" w:color="auto" w:fill="9A86B7"/>
          </w:tcPr>
          <w:p w14:paraId="18AAC048" w14:textId="77777777" w:rsidR="007A55D9" w:rsidRPr="009E464A" w:rsidRDefault="007A55D9" w:rsidP="00B57398">
            <w:pPr>
              <w:pStyle w:val="Tabletext"/>
              <w:spacing w:before="80" w:after="80"/>
              <w:ind w:left="0" w:right="0"/>
              <w:jc w:val="center"/>
            </w:pPr>
            <w:r w:rsidRPr="009E464A">
              <w:sym w:font="Wingdings" w:char="F0FC"/>
            </w:r>
          </w:p>
        </w:tc>
        <w:tc>
          <w:tcPr>
            <w:tcW w:w="1134" w:type="dxa"/>
            <w:shd w:val="clear" w:color="auto" w:fill="9A86B7"/>
          </w:tcPr>
          <w:p w14:paraId="699F4413" w14:textId="77777777" w:rsidR="007A55D9" w:rsidRPr="009E464A" w:rsidRDefault="007A55D9" w:rsidP="00B57398">
            <w:pPr>
              <w:pStyle w:val="Tabletext"/>
              <w:spacing w:before="80" w:after="80"/>
              <w:ind w:left="0" w:right="0"/>
              <w:jc w:val="center"/>
            </w:pPr>
            <w:r w:rsidRPr="009E464A">
              <w:t>–</w:t>
            </w:r>
          </w:p>
        </w:tc>
        <w:tc>
          <w:tcPr>
            <w:tcW w:w="992" w:type="dxa"/>
            <w:shd w:val="clear" w:color="auto" w:fill="9A86B7"/>
          </w:tcPr>
          <w:p w14:paraId="1E037667" w14:textId="77777777" w:rsidR="007A55D9" w:rsidRPr="00127F8A" w:rsidRDefault="007A55D9" w:rsidP="00B57398">
            <w:pPr>
              <w:pStyle w:val="Tabletext"/>
              <w:spacing w:before="80" w:after="80"/>
              <w:ind w:left="0" w:right="0"/>
              <w:jc w:val="center"/>
            </w:pPr>
            <w:r w:rsidRPr="00127F8A">
              <w:sym w:font="Wingdings" w:char="F0FC"/>
            </w:r>
          </w:p>
        </w:tc>
        <w:tc>
          <w:tcPr>
            <w:tcW w:w="1390" w:type="dxa"/>
            <w:shd w:val="clear" w:color="auto" w:fill="9A86B7"/>
          </w:tcPr>
          <w:p w14:paraId="05E21DAC" w14:textId="77777777" w:rsidR="007A55D9" w:rsidRPr="00127F8A" w:rsidRDefault="007A55D9" w:rsidP="00B57398">
            <w:pPr>
              <w:pStyle w:val="Tabletext"/>
              <w:spacing w:before="80" w:after="80"/>
              <w:ind w:left="0" w:right="0"/>
              <w:jc w:val="center"/>
            </w:pPr>
            <w:r w:rsidRPr="00127F8A">
              <w:sym w:font="Wingdings" w:char="F0FC"/>
            </w:r>
            <w:r w:rsidRPr="00127F8A">
              <w:rPr>
                <w:vertAlign w:val="superscript"/>
              </w:rPr>
              <w:t>4,5</w:t>
            </w:r>
          </w:p>
        </w:tc>
      </w:tr>
      <w:tr w:rsidR="007A55D9" w:rsidRPr="004F1C07" w14:paraId="6B308F16" w14:textId="77777777" w:rsidTr="00D41A90">
        <w:trPr>
          <w:trHeight w:val="328"/>
        </w:trPr>
        <w:tc>
          <w:tcPr>
            <w:tcW w:w="547" w:type="dxa"/>
            <w:vMerge w:val="restart"/>
            <w:textDirection w:val="btLr"/>
          </w:tcPr>
          <w:p w14:paraId="5C6A27B0" w14:textId="77777777" w:rsidR="007A55D9" w:rsidRPr="00680101" w:rsidRDefault="007A55D9" w:rsidP="00B57398">
            <w:pPr>
              <w:pStyle w:val="Tabletext"/>
              <w:keepNext/>
              <w:keepLines/>
              <w:spacing w:before="80" w:after="80"/>
              <w:ind w:left="0" w:right="0"/>
              <w:jc w:val="center"/>
              <w:rPr>
                <w:b/>
              </w:rPr>
            </w:pPr>
            <w:r w:rsidRPr="00680101">
              <w:rPr>
                <w:b/>
              </w:rPr>
              <w:lastRenderedPageBreak/>
              <w:t>Missing information</w:t>
            </w:r>
          </w:p>
        </w:tc>
        <w:tc>
          <w:tcPr>
            <w:tcW w:w="3247" w:type="dxa"/>
          </w:tcPr>
          <w:p w14:paraId="6F8175EF" w14:textId="77777777" w:rsidR="007A55D9" w:rsidRPr="00C41A27" w:rsidRDefault="007A55D9" w:rsidP="00B57398">
            <w:pPr>
              <w:keepNext/>
              <w:keepLines/>
              <w:autoSpaceDE w:val="0"/>
              <w:autoSpaceDN w:val="0"/>
              <w:adjustRightInd w:val="0"/>
              <w:spacing w:before="80" w:after="80"/>
              <w:ind w:left="0" w:right="0"/>
              <w:rPr>
                <w:rFonts w:eastAsia="TimesNewRoman" w:cs="TimesNewRoman"/>
                <w:sz w:val="20"/>
                <w:szCs w:val="20"/>
              </w:rPr>
            </w:pPr>
            <w:r w:rsidRPr="00C41A27">
              <w:rPr>
                <w:rFonts w:eastAsia="TimesNewRoman" w:cs="TimesNewRoman"/>
                <w:sz w:val="20"/>
                <w:szCs w:val="20"/>
              </w:rPr>
              <w:t>Effects on pregnancy and the foetus</w:t>
            </w:r>
          </w:p>
        </w:tc>
        <w:tc>
          <w:tcPr>
            <w:tcW w:w="992" w:type="dxa"/>
          </w:tcPr>
          <w:p w14:paraId="54963A59" w14:textId="77777777" w:rsidR="007A55D9" w:rsidRPr="009E464A" w:rsidRDefault="007A55D9" w:rsidP="00B57398">
            <w:pPr>
              <w:pStyle w:val="Tabletext"/>
              <w:keepNext/>
              <w:keepLines/>
              <w:spacing w:before="80" w:after="80"/>
              <w:ind w:left="0" w:right="0"/>
              <w:jc w:val="center"/>
            </w:pPr>
            <w:r w:rsidRPr="009E464A">
              <w:sym w:font="Wingdings" w:char="F0FC"/>
            </w:r>
          </w:p>
        </w:tc>
        <w:tc>
          <w:tcPr>
            <w:tcW w:w="1134" w:type="dxa"/>
          </w:tcPr>
          <w:p w14:paraId="22495129" w14:textId="77777777" w:rsidR="007A55D9" w:rsidRPr="009E464A" w:rsidRDefault="007A55D9" w:rsidP="00B57398">
            <w:pPr>
              <w:pStyle w:val="Tabletext"/>
              <w:keepNext/>
              <w:keepLines/>
              <w:spacing w:before="80" w:after="80"/>
              <w:ind w:left="0" w:right="0"/>
              <w:jc w:val="center"/>
            </w:pPr>
            <w:r w:rsidRPr="009E464A">
              <w:sym w:font="Wingdings" w:char="F0FC"/>
            </w:r>
            <w:r w:rsidRPr="00917406">
              <w:rPr>
                <w:vertAlign w:val="superscript"/>
              </w:rPr>
              <w:t>3</w:t>
            </w:r>
          </w:p>
        </w:tc>
        <w:tc>
          <w:tcPr>
            <w:tcW w:w="992" w:type="dxa"/>
          </w:tcPr>
          <w:p w14:paraId="71BB49CA" w14:textId="77777777" w:rsidR="007A55D9" w:rsidRPr="00127F8A" w:rsidRDefault="007A55D9" w:rsidP="00B57398">
            <w:pPr>
              <w:pStyle w:val="Tabletext"/>
              <w:keepNext/>
              <w:keepLines/>
              <w:spacing w:before="80" w:after="80"/>
              <w:ind w:left="0" w:right="0"/>
              <w:jc w:val="center"/>
            </w:pPr>
            <w:r w:rsidRPr="00127F8A">
              <w:sym w:font="Wingdings" w:char="F0FC"/>
            </w:r>
          </w:p>
        </w:tc>
        <w:tc>
          <w:tcPr>
            <w:tcW w:w="1390" w:type="dxa"/>
          </w:tcPr>
          <w:p w14:paraId="390AB78E" w14:textId="77777777" w:rsidR="007A55D9" w:rsidRPr="00127F8A" w:rsidRDefault="007A55D9" w:rsidP="00B57398">
            <w:pPr>
              <w:pStyle w:val="Tabletext"/>
              <w:keepNext/>
              <w:keepLines/>
              <w:spacing w:before="80" w:after="80"/>
              <w:ind w:left="0" w:right="0"/>
              <w:jc w:val="center"/>
            </w:pPr>
            <w:r w:rsidRPr="00127F8A">
              <w:sym w:font="Wingdings" w:char="F0FC"/>
            </w:r>
            <w:r w:rsidRPr="00127F8A">
              <w:rPr>
                <w:vertAlign w:val="superscript"/>
              </w:rPr>
              <w:t>4,5</w:t>
            </w:r>
          </w:p>
        </w:tc>
      </w:tr>
      <w:tr w:rsidR="007A55D9" w:rsidRPr="004F1C07" w14:paraId="1FCC691D" w14:textId="77777777" w:rsidTr="00D41A90">
        <w:trPr>
          <w:trHeight w:val="190"/>
        </w:trPr>
        <w:tc>
          <w:tcPr>
            <w:tcW w:w="547" w:type="dxa"/>
            <w:vMerge/>
          </w:tcPr>
          <w:p w14:paraId="40EE2A4A" w14:textId="77777777" w:rsidR="007A55D9" w:rsidRPr="004F1C07" w:rsidRDefault="007A55D9" w:rsidP="00B57398">
            <w:pPr>
              <w:pStyle w:val="Tabletext"/>
              <w:keepNext/>
              <w:keepLines/>
              <w:spacing w:before="80" w:after="80"/>
              <w:ind w:left="0" w:right="0"/>
            </w:pPr>
          </w:p>
        </w:tc>
        <w:tc>
          <w:tcPr>
            <w:tcW w:w="3247" w:type="dxa"/>
          </w:tcPr>
          <w:p w14:paraId="0BD936EC" w14:textId="77777777" w:rsidR="007A55D9" w:rsidRPr="00C41A27" w:rsidRDefault="007A55D9" w:rsidP="00B57398">
            <w:pPr>
              <w:keepNext/>
              <w:keepLines/>
              <w:autoSpaceDE w:val="0"/>
              <w:autoSpaceDN w:val="0"/>
              <w:adjustRightInd w:val="0"/>
              <w:spacing w:before="80" w:after="80"/>
              <w:ind w:left="0" w:right="0"/>
              <w:rPr>
                <w:rFonts w:eastAsia="TimesNewRoman" w:cs="TimesNewRoman"/>
                <w:sz w:val="20"/>
                <w:szCs w:val="20"/>
              </w:rPr>
            </w:pPr>
            <w:r w:rsidRPr="00C41A27">
              <w:rPr>
                <w:rFonts w:eastAsia="TimesNewRoman" w:cs="TimesNewRoman"/>
                <w:sz w:val="20"/>
                <w:szCs w:val="20"/>
              </w:rPr>
              <w:t>Use in breastfeeding</w:t>
            </w:r>
          </w:p>
        </w:tc>
        <w:tc>
          <w:tcPr>
            <w:tcW w:w="992" w:type="dxa"/>
          </w:tcPr>
          <w:p w14:paraId="271CADA3" w14:textId="77777777" w:rsidR="007A55D9" w:rsidRPr="000217DA" w:rsidRDefault="007A55D9" w:rsidP="00B57398">
            <w:pPr>
              <w:pStyle w:val="Tabletext"/>
              <w:keepNext/>
              <w:keepLines/>
              <w:spacing w:before="80" w:after="80"/>
              <w:ind w:left="0" w:right="0"/>
              <w:jc w:val="center"/>
            </w:pPr>
            <w:r w:rsidRPr="000217DA">
              <w:sym w:font="Wingdings" w:char="F0FC"/>
            </w:r>
          </w:p>
        </w:tc>
        <w:tc>
          <w:tcPr>
            <w:tcW w:w="1134" w:type="dxa"/>
          </w:tcPr>
          <w:p w14:paraId="123E1F02" w14:textId="77777777" w:rsidR="007A55D9" w:rsidRPr="000217DA" w:rsidRDefault="007A55D9" w:rsidP="00B57398">
            <w:pPr>
              <w:pStyle w:val="Tabletext"/>
              <w:keepNext/>
              <w:keepLines/>
              <w:spacing w:before="80" w:after="80"/>
              <w:ind w:left="0" w:right="0"/>
              <w:jc w:val="center"/>
            </w:pPr>
            <w:r w:rsidRPr="000217DA">
              <w:t>–</w:t>
            </w:r>
          </w:p>
        </w:tc>
        <w:tc>
          <w:tcPr>
            <w:tcW w:w="992" w:type="dxa"/>
          </w:tcPr>
          <w:p w14:paraId="74384C91" w14:textId="77777777" w:rsidR="007A55D9" w:rsidRPr="00127F8A" w:rsidRDefault="007A55D9" w:rsidP="00B57398">
            <w:pPr>
              <w:pStyle w:val="Tabletext"/>
              <w:keepNext/>
              <w:keepLines/>
              <w:spacing w:before="80" w:after="80"/>
              <w:ind w:left="0" w:right="0"/>
              <w:jc w:val="center"/>
            </w:pPr>
            <w:r w:rsidRPr="00127F8A">
              <w:sym w:font="Wingdings" w:char="F0FC"/>
            </w:r>
          </w:p>
        </w:tc>
        <w:tc>
          <w:tcPr>
            <w:tcW w:w="1390" w:type="dxa"/>
          </w:tcPr>
          <w:p w14:paraId="2EDE4366" w14:textId="77777777" w:rsidR="007A55D9" w:rsidRPr="00127F8A" w:rsidRDefault="007A55D9" w:rsidP="00B57398">
            <w:pPr>
              <w:pStyle w:val="Tabletext"/>
              <w:keepNext/>
              <w:keepLines/>
              <w:spacing w:before="80" w:after="80"/>
              <w:ind w:left="0" w:right="0"/>
              <w:jc w:val="center"/>
            </w:pPr>
            <w:r w:rsidRPr="00127F8A">
              <w:sym w:font="Wingdings" w:char="F0FC"/>
            </w:r>
            <w:r w:rsidRPr="00127F8A">
              <w:rPr>
                <w:vertAlign w:val="superscript"/>
              </w:rPr>
              <w:t>4,5</w:t>
            </w:r>
          </w:p>
        </w:tc>
      </w:tr>
      <w:tr w:rsidR="007A55D9" w:rsidRPr="004F1C07" w14:paraId="07BD60CA" w14:textId="77777777" w:rsidTr="00D41A90">
        <w:trPr>
          <w:trHeight w:val="190"/>
        </w:trPr>
        <w:tc>
          <w:tcPr>
            <w:tcW w:w="547" w:type="dxa"/>
            <w:vMerge/>
          </w:tcPr>
          <w:p w14:paraId="7FE934D4" w14:textId="77777777" w:rsidR="007A55D9" w:rsidRPr="004F1C07" w:rsidRDefault="007A55D9" w:rsidP="00B57398">
            <w:pPr>
              <w:pStyle w:val="Tabletext"/>
              <w:keepNext/>
              <w:keepLines/>
              <w:spacing w:before="80" w:after="80"/>
              <w:ind w:left="0" w:right="0"/>
            </w:pPr>
          </w:p>
        </w:tc>
        <w:tc>
          <w:tcPr>
            <w:tcW w:w="3247" w:type="dxa"/>
          </w:tcPr>
          <w:p w14:paraId="309CAB2B" w14:textId="77777777" w:rsidR="007A55D9" w:rsidRPr="00C41A27" w:rsidRDefault="007A55D9" w:rsidP="00B57398">
            <w:pPr>
              <w:keepNext/>
              <w:keepLines/>
              <w:autoSpaceDE w:val="0"/>
              <w:autoSpaceDN w:val="0"/>
              <w:adjustRightInd w:val="0"/>
              <w:spacing w:before="80" w:after="80"/>
              <w:ind w:left="0" w:right="0"/>
              <w:rPr>
                <w:rFonts w:eastAsia="TimesNewRoman" w:cs="TimesNewRoman"/>
                <w:sz w:val="20"/>
                <w:szCs w:val="20"/>
              </w:rPr>
            </w:pPr>
            <w:r w:rsidRPr="00C41A27">
              <w:rPr>
                <w:rFonts w:eastAsia="TimesNewRoman" w:cs="TimesNewRoman"/>
                <w:sz w:val="20"/>
                <w:szCs w:val="20"/>
              </w:rPr>
              <w:t>Effect on vaccination efficacy and the use of live/attenuated vaccines</w:t>
            </w:r>
          </w:p>
        </w:tc>
        <w:tc>
          <w:tcPr>
            <w:tcW w:w="992" w:type="dxa"/>
          </w:tcPr>
          <w:p w14:paraId="055F57BB" w14:textId="77777777" w:rsidR="007A55D9" w:rsidRPr="000217DA" w:rsidRDefault="007A55D9" w:rsidP="00B57398">
            <w:pPr>
              <w:pStyle w:val="Tabletext"/>
              <w:keepNext/>
              <w:keepLines/>
              <w:spacing w:before="80" w:after="80"/>
              <w:ind w:left="0" w:right="0"/>
              <w:jc w:val="center"/>
            </w:pPr>
            <w:r w:rsidRPr="000217DA">
              <w:sym w:font="Wingdings" w:char="F0FC"/>
            </w:r>
          </w:p>
        </w:tc>
        <w:tc>
          <w:tcPr>
            <w:tcW w:w="1134" w:type="dxa"/>
          </w:tcPr>
          <w:p w14:paraId="35B562DF" w14:textId="77777777" w:rsidR="007A55D9" w:rsidRPr="000217DA" w:rsidRDefault="007A55D9" w:rsidP="00B57398">
            <w:pPr>
              <w:pStyle w:val="Tabletext"/>
              <w:keepNext/>
              <w:keepLines/>
              <w:spacing w:before="80" w:after="80"/>
              <w:ind w:left="0" w:right="0"/>
              <w:jc w:val="center"/>
            </w:pPr>
            <w:r w:rsidRPr="000217DA">
              <w:t>–</w:t>
            </w:r>
          </w:p>
        </w:tc>
        <w:tc>
          <w:tcPr>
            <w:tcW w:w="992" w:type="dxa"/>
          </w:tcPr>
          <w:p w14:paraId="0A9ED8DC" w14:textId="77777777" w:rsidR="007A55D9" w:rsidRPr="00127F8A" w:rsidRDefault="007A55D9" w:rsidP="00B57398">
            <w:pPr>
              <w:pStyle w:val="Tabletext"/>
              <w:keepNext/>
              <w:keepLines/>
              <w:spacing w:before="80" w:after="80"/>
              <w:ind w:left="0" w:right="0"/>
              <w:jc w:val="center"/>
            </w:pPr>
            <w:r w:rsidRPr="00127F8A">
              <w:sym w:font="Wingdings" w:char="F0FC"/>
            </w:r>
          </w:p>
        </w:tc>
        <w:tc>
          <w:tcPr>
            <w:tcW w:w="1390" w:type="dxa"/>
          </w:tcPr>
          <w:p w14:paraId="0AF22D37" w14:textId="77777777" w:rsidR="007A55D9" w:rsidRPr="00127F8A" w:rsidRDefault="007A55D9" w:rsidP="00B57398">
            <w:pPr>
              <w:pStyle w:val="Tabletext"/>
              <w:keepNext/>
              <w:keepLines/>
              <w:spacing w:before="80" w:after="80"/>
              <w:ind w:left="0" w:right="0"/>
              <w:jc w:val="center"/>
            </w:pPr>
            <w:r w:rsidRPr="00127F8A">
              <w:sym w:font="Wingdings" w:char="F0FC"/>
            </w:r>
            <w:r w:rsidRPr="00127F8A">
              <w:rPr>
                <w:vertAlign w:val="superscript"/>
              </w:rPr>
              <w:t>4,5</w:t>
            </w:r>
          </w:p>
        </w:tc>
      </w:tr>
      <w:tr w:rsidR="007A55D9" w:rsidRPr="004F1C07" w14:paraId="3E30AF17" w14:textId="77777777" w:rsidTr="00D41A90">
        <w:trPr>
          <w:trHeight w:val="190"/>
        </w:trPr>
        <w:tc>
          <w:tcPr>
            <w:tcW w:w="547" w:type="dxa"/>
            <w:vMerge/>
          </w:tcPr>
          <w:p w14:paraId="0736D5A4" w14:textId="77777777" w:rsidR="007A55D9" w:rsidRPr="004F1C07" w:rsidRDefault="007A55D9" w:rsidP="00B57398">
            <w:pPr>
              <w:pStyle w:val="Tabletext"/>
              <w:keepNext/>
              <w:keepLines/>
              <w:spacing w:before="80" w:after="80"/>
              <w:ind w:left="0" w:right="0"/>
            </w:pPr>
          </w:p>
        </w:tc>
        <w:tc>
          <w:tcPr>
            <w:tcW w:w="3247" w:type="dxa"/>
          </w:tcPr>
          <w:p w14:paraId="5DAEA727" w14:textId="77777777" w:rsidR="007A55D9" w:rsidRPr="00C41A27" w:rsidRDefault="007A55D9" w:rsidP="00B57398">
            <w:pPr>
              <w:keepNext/>
              <w:keepLines/>
              <w:spacing w:before="80" w:after="80"/>
              <w:ind w:left="0" w:right="0"/>
            </w:pPr>
            <w:r w:rsidRPr="00C41A27">
              <w:rPr>
                <w:rFonts w:eastAsia="TimesNewRoman" w:cs="TimesNewRoman"/>
                <w:sz w:val="20"/>
                <w:szCs w:val="20"/>
              </w:rPr>
              <w:t>Use in paediatric patients</w:t>
            </w:r>
          </w:p>
        </w:tc>
        <w:tc>
          <w:tcPr>
            <w:tcW w:w="992" w:type="dxa"/>
          </w:tcPr>
          <w:p w14:paraId="104F7450" w14:textId="77777777" w:rsidR="007A55D9" w:rsidRPr="00180311" w:rsidRDefault="007A55D9" w:rsidP="00B57398">
            <w:pPr>
              <w:pStyle w:val="Tabletext"/>
              <w:keepNext/>
              <w:keepLines/>
              <w:spacing w:before="80" w:after="80"/>
              <w:ind w:left="0" w:right="0"/>
              <w:jc w:val="center"/>
            </w:pPr>
            <w:r w:rsidRPr="00180311">
              <w:sym w:font="Wingdings" w:char="F0FC"/>
            </w:r>
          </w:p>
        </w:tc>
        <w:tc>
          <w:tcPr>
            <w:tcW w:w="1134" w:type="dxa"/>
          </w:tcPr>
          <w:p w14:paraId="532DDF2D" w14:textId="77777777" w:rsidR="007A55D9" w:rsidRPr="00180311" w:rsidRDefault="007A55D9" w:rsidP="00B57398">
            <w:pPr>
              <w:pStyle w:val="Tabletext"/>
              <w:keepNext/>
              <w:keepLines/>
              <w:spacing w:before="80" w:after="80"/>
              <w:ind w:left="0" w:right="0"/>
              <w:jc w:val="center"/>
            </w:pPr>
            <w:r w:rsidRPr="00180311">
              <w:sym w:font="Wingdings" w:char="F0FC"/>
            </w:r>
            <w:r w:rsidRPr="00917406">
              <w:rPr>
                <w:vertAlign w:val="superscript"/>
              </w:rPr>
              <w:t>1</w:t>
            </w:r>
          </w:p>
        </w:tc>
        <w:tc>
          <w:tcPr>
            <w:tcW w:w="992" w:type="dxa"/>
          </w:tcPr>
          <w:p w14:paraId="21D7B171" w14:textId="77777777" w:rsidR="007A55D9" w:rsidRPr="00127F8A" w:rsidRDefault="007A55D9" w:rsidP="00B57398">
            <w:pPr>
              <w:pStyle w:val="Tabletext"/>
              <w:keepNext/>
              <w:keepLines/>
              <w:spacing w:before="80" w:after="80"/>
              <w:ind w:left="0" w:right="0"/>
              <w:jc w:val="center"/>
            </w:pPr>
            <w:r w:rsidRPr="00127F8A">
              <w:sym w:font="Wingdings" w:char="F0FC"/>
            </w:r>
          </w:p>
        </w:tc>
        <w:tc>
          <w:tcPr>
            <w:tcW w:w="1390" w:type="dxa"/>
          </w:tcPr>
          <w:p w14:paraId="6ABF0BB3" w14:textId="77777777" w:rsidR="007A55D9" w:rsidRPr="00127F8A" w:rsidRDefault="007A55D9" w:rsidP="00B57398">
            <w:pPr>
              <w:pStyle w:val="Tabletext"/>
              <w:keepNext/>
              <w:keepLines/>
              <w:spacing w:before="80" w:after="80"/>
              <w:ind w:left="0" w:right="0"/>
              <w:jc w:val="center"/>
            </w:pPr>
            <w:r w:rsidRPr="00127F8A">
              <w:t>–</w:t>
            </w:r>
          </w:p>
        </w:tc>
      </w:tr>
      <w:tr w:rsidR="007A55D9" w:rsidRPr="004F1C07" w14:paraId="1199D450" w14:textId="77777777" w:rsidTr="00D41A90">
        <w:trPr>
          <w:trHeight w:val="190"/>
        </w:trPr>
        <w:tc>
          <w:tcPr>
            <w:tcW w:w="547" w:type="dxa"/>
            <w:vMerge/>
          </w:tcPr>
          <w:p w14:paraId="6CB9CFC2" w14:textId="77777777" w:rsidR="007A55D9" w:rsidRPr="004F1C07" w:rsidRDefault="007A55D9" w:rsidP="00B57398">
            <w:pPr>
              <w:pStyle w:val="Tabletext"/>
              <w:keepNext/>
              <w:keepLines/>
              <w:spacing w:before="80" w:after="80"/>
              <w:ind w:left="0" w:right="0"/>
            </w:pPr>
          </w:p>
        </w:tc>
        <w:tc>
          <w:tcPr>
            <w:tcW w:w="3247" w:type="dxa"/>
          </w:tcPr>
          <w:p w14:paraId="2F642D7A" w14:textId="77777777" w:rsidR="007A55D9" w:rsidRPr="00C41A27" w:rsidRDefault="007A55D9" w:rsidP="00B57398">
            <w:pPr>
              <w:pStyle w:val="Summaryofsafetyconcerns"/>
              <w:keepNext/>
              <w:keepLines/>
              <w:spacing w:before="80" w:after="80"/>
              <w:ind w:left="0" w:right="0"/>
              <w:rPr>
                <w:b w:val="0"/>
              </w:rPr>
            </w:pPr>
            <w:r w:rsidRPr="00C41A27">
              <w:rPr>
                <w:b w:val="0"/>
              </w:rPr>
              <w:t xml:space="preserve">Use in RA and </w:t>
            </w:r>
            <w:proofErr w:type="spellStart"/>
            <w:r w:rsidRPr="00C41A27">
              <w:rPr>
                <w:b w:val="0"/>
              </w:rPr>
              <w:t>PsA</w:t>
            </w:r>
            <w:proofErr w:type="spellEnd"/>
            <w:r w:rsidRPr="00C41A27">
              <w:rPr>
                <w:b w:val="0"/>
              </w:rPr>
              <w:t xml:space="preserve"> patients with mild, moderate, or severe hepatic impairment</w:t>
            </w:r>
          </w:p>
        </w:tc>
        <w:tc>
          <w:tcPr>
            <w:tcW w:w="992" w:type="dxa"/>
          </w:tcPr>
          <w:p w14:paraId="31317FA8" w14:textId="77777777" w:rsidR="007A55D9" w:rsidRPr="009E464A" w:rsidRDefault="007A55D9" w:rsidP="00B57398">
            <w:pPr>
              <w:pStyle w:val="Tabletext"/>
              <w:keepNext/>
              <w:keepLines/>
              <w:spacing w:before="80" w:after="80"/>
              <w:ind w:left="0" w:right="0"/>
              <w:jc w:val="center"/>
            </w:pPr>
            <w:r w:rsidRPr="009E464A">
              <w:sym w:font="Wingdings" w:char="F0FC"/>
            </w:r>
          </w:p>
        </w:tc>
        <w:tc>
          <w:tcPr>
            <w:tcW w:w="1134" w:type="dxa"/>
          </w:tcPr>
          <w:p w14:paraId="52FB1DCE" w14:textId="77777777" w:rsidR="007A55D9" w:rsidRPr="009E464A" w:rsidRDefault="007A55D9" w:rsidP="00B57398">
            <w:pPr>
              <w:pStyle w:val="Tabletext"/>
              <w:keepNext/>
              <w:keepLines/>
              <w:spacing w:before="80" w:after="80"/>
              <w:ind w:left="0" w:right="0"/>
              <w:jc w:val="center"/>
            </w:pPr>
            <w:r w:rsidRPr="009E464A">
              <w:t>–</w:t>
            </w:r>
          </w:p>
        </w:tc>
        <w:tc>
          <w:tcPr>
            <w:tcW w:w="992" w:type="dxa"/>
          </w:tcPr>
          <w:p w14:paraId="06B35682" w14:textId="77777777" w:rsidR="007A55D9" w:rsidRPr="00127F8A" w:rsidRDefault="007A55D9" w:rsidP="00B57398">
            <w:pPr>
              <w:pStyle w:val="Tabletext"/>
              <w:keepNext/>
              <w:keepLines/>
              <w:spacing w:before="80" w:after="80"/>
              <w:ind w:left="0" w:right="0"/>
              <w:jc w:val="center"/>
            </w:pPr>
            <w:r w:rsidRPr="00127F8A">
              <w:sym w:font="Wingdings" w:char="F0FC"/>
            </w:r>
          </w:p>
        </w:tc>
        <w:tc>
          <w:tcPr>
            <w:tcW w:w="1390" w:type="dxa"/>
          </w:tcPr>
          <w:p w14:paraId="290A7792" w14:textId="77777777" w:rsidR="007A55D9" w:rsidRPr="00127F8A" w:rsidRDefault="007A55D9" w:rsidP="00B57398">
            <w:pPr>
              <w:pStyle w:val="Tabletext"/>
              <w:keepNext/>
              <w:keepLines/>
              <w:spacing w:before="80" w:after="80"/>
              <w:ind w:left="0" w:right="0"/>
              <w:jc w:val="center"/>
            </w:pPr>
            <w:r w:rsidRPr="00127F8A">
              <w:sym w:font="Wingdings" w:char="F0FC"/>
            </w:r>
            <w:r w:rsidRPr="00127F8A">
              <w:rPr>
                <w:vertAlign w:val="superscript"/>
              </w:rPr>
              <w:t>4</w:t>
            </w:r>
          </w:p>
        </w:tc>
      </w:tr>
      <w:tr w:rsidR="007A55D9" w:rsidRPr="004F1C07" w14:paraId="6C832A4F" w14:textId="77777777" w:rsidTr="00D41A90">
        <w:trPr>
          <w:trHeight w:val="190"/>
        </w:trPr>
        <w:tc>
          <w:tcPr>
            <w:tcW w:w="547" w:type="dxa"/>
            <w:vMerge/>
          </w:tcPr>
          <w:p w14:paraId="5572C459" w14:textId="77777777" w:rsidR="007A55D9" w:rsidRPr="004F1C07" w:rsidRDefault="007A55D9" w:rsidP="00B57398">
            <w:pPr>
              <w:pStyle w:val="Tabletext"/>
              <w:keepNext/>
              <w:keepLines/>
              <w:spacing w:before="80" w:after="80"/>
              <w:ind w:left="0" w:right="0"/>
            </w:pPr>
          </w:p>
        </w:tc>
        <w:tc>
          <w:tcPr>
            <w:tcW w:w="3247" w:type="dxa"/>
          </w:tcPr>
          <w:p w14:paraId="2EE36885" w14:textId="77777777" w:rsidR="007A55D9" w:rsidRPr="00C41A27" w:rsidRDefault="007A55D9" w:rsidP="00B57398">
            <w:pPr>
              <w:keepNext/>
              <w:keepLines/>
              <w:autoSpaceDE w:val="0"/>
              <w:autoSpaceDN w:val="0"/>
              <w:adjustRightInd w:val="0"/>
              <w:spacing w:before="80" w:after="80"/>
              <w:ind w:left="0" w:right="0"/>
              <w:rPr>
                <w:rFonts w:eastAsia="TimesNewRoman" w:cs="TimesNewRoman"/>
                <w:sz w:val="20"/>
                <w:szCs w:val="20"/>
              </w:rPr>
            </w:pPr>
            <w:r w:rsidRPr="00C41A27">
              <w:rPr>
                <w:rFonts w:eastAsia="TimesNewRoman" w:cs="TimesNewRoman"/>
                <w:sz w:val="20"/>
                <w:szCs w:val="20"/>
              </w:rPr>
              <w:t xml:space="preserve">Use in RA and </w:t>
            </w:r>
            <w:proofErr w:type="spellStart"/>
            <w:r w:rsidRPr="00C41A27">
              <w:rPr>
                <w:rFonts w:eastAsia="TimesNewRoman" w:cs="TimesNewRoman"/>
                <w:sz w:val="20"/>
                <w:szCs w:val="20"/>
              </w:rPr>
              <w:t>PsA</w:t>
            </w:r>
            <w:proofErr w:type="spellEnd"/>
            <w:r w:rsidRPr="00C41A27">
              <w:rPr>
                <w:rFonts w:eastAsia="TimesNewRoman" w:cs="TimesNewRoman"/>
                <w:sz w:val="20"/>
                <w:szCs w:val="20"/>
              </w:rPr>
              <w:t xml:space="preserve"> patients with moderate or severe renal impairment</w:t>
            </w:r>
          </w:p>
        </w:tc>
        <w:tc>
          <w:tcPr>
            <w:tcW w:w="992" w:type="dxa"/>
          </w:tcPr>
          <w:p w14:paraId="652D7627" w14:textId="77777777" w:rsidR="007A55D9" w:rsidRPr="009E464A" w:rsidRDefault="007A55D9" w:rsidP="00B57398">
            <w:pPr>
              <w:pStyle w:val="Tabletext"/>
              <w:keepNext/>
              <w:keepLines/>
              <w:spacing w:before="80" w:after="80"/>
              <w:ind w:left="0" w:right="0"/>
              <w:jc w:val="center"/>
            </w:pPr>
            <w:r w:rsidRPr="009E464A">
              <w:sym w:font="Wingdings" w:char="F0FC"/>
            </w:r>
          </w:p>
        </w:tc>
        <w:tc>
          <w:tcPr>
            <w:tcW w:w="1134" w:type="dxa"/>
          </w:tcPr>
          <w:p w14:paraId="1C1AAD15" w14:textId="77777777" w:rsidR="007A55D9" w:rsidRPr="009E464A" w:rsidRDefault="007A55D9" w:rsidP="00B57398">
            <w:pPr>
              <w:pStyle w:val="Tabletext"/>
              <w:keepNext/>
              <w:keepLines/>
              <w:spacing w:before="80" w:after="80"/>
              <w:ind w:left="0" w:right="0"/>
              <w:jc w:val="center"/>
            </w:pPr>
            <w:r w:rsidRPr="009E464A">
              <w:t>–</w:t>
            </w:r>
          </w:p>
        </w:tc>
        <w:tc>
          <w:tcPr>
            <w:tcW w:w="992" w:type="dxa"/>
          </w:tcPr>
          <w:p w14:paraId="466EBC38" w14:textId="77777777" w:rsidR="007A55D9" w:rsidRPr="00127F8A" w:rsidRDefault="007A55D9" w:rsidP="00B57398">
            <w:pPr>
              <w:pStyle w:val="Tabletext"/>
              <w:keepNext/>
              <w:keepLines/>
              <w:spacing w:before="80" w:after="80"/>
              <w:ind w:left="0" w:right="0"/>
              <w:jc w:val="center"/>
            </w:pPr>
            <w:r w:rsidRPr="00127F8A">
              <w:sym w:font="Wingdings" w:char="F0FC"/>
            </w:r>
          </w:p>
        </w:tc>
        <w:tc>
          <w:tcPr>
            <w:tcW w:w="1390" w:type="dxa"/>
          </w:tcPr>
          <w:p w14:paraId="21379606" w14:textId="77777777" w:rsidR="007A55D9" w:rsidRPr="00127F8A" w:rsidRDefault="007A55D9" w:rsidP="00B57398">
            <w:pPr>
              <w:pStyle w:val="Tabletext"/>
              <w:keepNext/>
              <w:keepLines/>
              <w:spacing w:before="80" w:after="80"/>
              <w:ind w:left="0" w:right="0"/>
              <w:jc w:val="center"/>
            </w:pPr>
            <w:r w:rsidRPr="00127F8A">
              <w:t>–</w:t>
            </w:r>
          </w:p>
        </w:tc>
      </w:tr>
      <w:tr w:rsidR="007A55D9" w:rsidRPr="004F1C07" w14:paraId="6EFBA8A3" w14:textId="77777777" w:rsidTr="00D41A90">
        <w:trPr>
          <w:trHeight w:val="190"/>
        </w:trPr>
        <w:tc>
          <w:tcPr>
            <w:tcW w:w="547" w:type="dxa"/>
            <w:vMerge/>
          </w:tcPr>
          <w:p w14:paraId="7EFB197F" w14:textId="77777777" w:rsidR="007A55D9" w:rsidRPr="004F1C07" w:rsidRDefault="007A55D9" w:rsidP="00B57398">
            <w:pPr>
              <w:pStyle w:val="Tabletext"/>
              <w:keepNext/>
              <w:keepLines/>
              <w:spacing w:before="80" w:after="80"/>
              <w:ind w:left="0" w:right="0"/>
            </w:pPr>
          </w:p>
        </w:tc>
        <w:tc>
          <w:tcPr>
            <w:tcW w:w="3247" w:type="dxa"/>
          </w:tcPr>
          <w:p w14:paraId="020E26A2" w14:textId="77777777" w:rsidR="007A55D9" w:rsidRPr="00C41A27" w:rsidRDefault="007A55D9" w:rsidP="00B57398">
            <w:pPr>
              <w:keepNext/>
              <w:keepLines/>
              <w:autoSpaceDE w:val="0"/>
              <w:autoSpaceDN w:val="0"/>
              <w:adjustRightInd w:val="0"/>
              <w:spacing w:before="80" w:after="80"/>
              <w:ind w:left="0" w:right="0"/>
              <w:rPr>
                <w:rFonts w:eastAsia="TimesNewRoman" w:cs="TimesNewRoman"/>
                <w:sz w:val="20"/>
                <w:szCs w:val="20"/>
              </w:rPr>
            </w:pPr>
            <w:r w:rsidRPr="00C41A27">
              <w:rPr>
                <w:rFonts w:eastAsia="TimesNewRoman" w:cs="TimesNewRoman"/>
                <w:sz w:val="20"/>
                <w:szCs w:val="20"/>
              </w:rPr>
              <w:t>Use in patients with evidence of hepatitis B or hepatitis C infection</w:t>
            </w:r>
          </w:p>
        </w:tc>
        <w:tc>
          <w:tcPr>
            <w:tcW w:w="992" w:type="dxa"/>
          </w:tcPr>
          <w:p w14:paraId="73ECD450" w14:textId="77777777" w:rsidR="007A55D9" w:rsidRPr="009E464A" w:rsidRDefault="007A55D9" w:rsidP="00B57398">
            <w:pPr>
              <w:pStyle w:val="Tabletext"/>
              <w:keepNext/>
              <w:keepLines/>
              <w:spacing w:before="80" w:after="80"/>
              <w:ind w:left="0" w:right="0"/>
              <w:jc w:val="center"/>
            </w:pPr>
            <w:r w:rsidRPr="009E464A">
              <w:sym w:font="Wingdings" w:char="F0FC"/>
            </w:r>
          </w:p>
        </w:tc>
        <w:tc>
          <w:tcPr>
            <w:tcW w:w="1134" w:type="dxa"/>
          </w:tcPr>
          <w:p w14:paraId="5F99FB7F" w14:textId="77777777" w:rsidR="007A55D9" w:rsidRPr="009E464A" w:rsidRDefault="007A55D9" w:rsidP="00B57398">
            <w:pPr>
              <w:pStyle w:val="Tabletext"/>
              <w:keepNext/>
              <w:keepLines/>
              <w:spacing w:before="80" w:after="80"/>
              <w:ind w:left="0" w:right="0"/>
              <w:jc w:val="center"/>
            </w:pPr>
            <w:r w:rsidRPr="009E464A">
              <w:t>–</w:t>
            </w:r>
          </w:p>
        </w:tc>
        <w:tc>
          <w:tcPr>
            <w:tcW w:w="992" w:type="dxa"/>
          </w:tcPr>
          <w:p w14:paraId="3152206A" w14:textId="77777777" w:rsidR="007A55D9" w:rsidRPr="00127F8A" w:rsidRDefault="007A55D9" w:rsidP="00B57398">
            <w:pPr>
              <w:pStyle w:val="Tabletext"/>
              <w:keepNext/>
              <w:keepLines/>
              <w:spacing w:before="80" w:after="80"/>
              <w:ind w:left="0" w:right="0"/>
              <w:jc w:val="center"/>
            </w:pPr>
            <w:r w:rsidRPr="00127F8A">
              <w:sym w:font="Wingdings" w:char="F0FC"/>
            </w:r>
          </w:p>
        </w:tc>
        <w:tc>
          <w:tcPr>
            <w:tcW w:w="1390" w:type="dxa"/>
          </w:tcPr>
          <w:p w14:paraId="36B23DDA" w14:textId="77777777" w:rsidR="007A55D9" w:rsidRPr="00127F8A" w:rsidRDefault="007A55D9" w:rsidP="00B57398">
            <w:pPr>
              <w:pStyle w:val="Tabletext"/>
              <w:keepNext/>
              <w:keepLines/>
              <w:spacing w:before="80" w:after="80"/>
              <w:ind w:left="0" w:right="0"/>
              <w:jc w:val="center"/>
            </w:pPr>
            <w:r w:rsidRPr="00127F8A">
              <w:t>–</w:t>
            </w:r>
          </w:p>
        </w:tc>
      </w:tr>
      <w:tr w:rsidR="007A55D9" w:rsidRPr="004F1C07" w14:paraId="092E1E7F" w14:textId="77777777" w:rsidTr="00D41A90">
        <w:trPr>
          <w:trHeight w:val="190"/>
        </w:trPr>
        <w:tc>
          <w:tcPr>
            <w:tcW w:w="547" w:type="dxa"/>
            <w:vMerge/>
          </w:tcPr>
          <w:p w14:paraId="47816A41" w14:textId="77777777" w:rsidR="007A55D9" w:rsidRPr="004F1C07" w:rsidRDefault="007A55D9" w:rsidP="00B57398">
            <w:pPr>
              <w:pStyle w:val="Tabletext"/>
              <w:keepNext/>
              <w:keepLines/>
              <w:spacing w:before="80" w:after="80"/>
              <w:ind w:left="0" w:right="0"/>
            </w:pPr>
          </w:p>
        </w:tc>
        <w:tc>
          <w:tcPr>
            <w:tcW w:w="3247" w:type="dxa"/>
          </w:tcPr>
          <w:p w14:paraId="4AD60EF6" w14:textId="77777777" w:rsidR="007A55D9" w:rsidRPr="00C41A27" w:rsidRDefault="007A55D9" w:rsidP="00B57398">
            <w:pPr>
              <w:keepNext/>
              <w:keepLines/>
              <w:autoSpaceDE w:val="0"/>
              <w:autoSpaceDN w:val="0"/>
              <w:adjustRightInd w:val="0"/>
              <w:spacing w:before="80" w:after="80"/>
              <w:ind w:left="0" w:right="0"/>
              <w:rPr>
                <w:rFonts w:eastAsia="TimesNewRoman" w:cs="TimesNewRoman"/>
                <w:sz w:val="20"/>
                <w:szCs w:val="20"/>
              </w:rPr>
            </w:pPr>
            <w:r w:rsidRPr="00C41A27">
              <w:rPr>
                <w:rFonts w:eastAsia="TimesNewRoman" w:cs="TimesNewRoman"/>
                <w:sz w:val="20"/>
                <w:szCs w:val="20"/>
              </w:rPr>
              <w:t>Use in patients with elevated transaminases</w:t>
            </w:r>
          </w:p>
        </w:tc>
        <w:tc>
          <w:tcPr>
            <w:tcW w:w="992" w:type="dxa"/>
          </w:tcPr>
          <w:p w14:paraId="1108DAEC" w14:textId="77777777" w:rsidR="007A55D9" w:rsidRPr="009E464A" w:rsidRDefault="007A55D9" w:rsidP="00B57398">
            <w:pPr>
              <w:pStyle w:val="Tabletext"/>
              <w:keepNext/>
              <w:keepLines/>
              <w:spacing w:before="80" w:after="80"/>
              <w:ind w:left="0" w:right="0"/>
              <w:jc w:val="center"/>
            </w:pPr>
            <w:r w:rsidRPr="009E464A">
              <w:sym w:font="Wingdings" w:char="F0FC"/>
            </w:r>
          </w:p>
        </w:tc>
        <w:tc>
          <w:tcPr>
            <w:tcW w:w="1134" w:type="dxa"/>
          </w:tcPr>
          <w:p w14:paraId="1BC34443" w14:textId="77777777" w:rsidR="007A55D9" w:rsidRPr="009E464A" w:rsidRDefault="007A55D9" w:rsidP="00B57398">
            <w:pPr>
              <w:pStyle w:val="Tabletext"/>
              <w:keepNext/>
              <w:keepLines/>
              <w:spacing w:before="80" w:after="80"/>
              <w:ind w:left="0" w:right="0"/>
              <w:jc w:val="center"/>
            </w:pPr>
            <w:r w:rsidRPr="009E464A">
              <w:t>–</w:t>
            </w:r>
          </w:p>
        </w:tc>
        <w:tc>
          <w:tcPr>
            <w:tcW w:w="992" w:type="dxa"/>
          </w:tcPr>
          <w:p w14:paraId="2D1E7E7B" w14:textId="77777777" w:rsidR="007A55D9" w:rsidRPr="00127F8A" w:rsidRDefault="007A55D9" w:rsidP="00B57398">
            <w:pPr>
              <w:pStyle w:val="Tabletext"/>
              <w:keepNext/>
              <w:keepLines/>
              <w:spacing w:before="80" w:after="80"/>
              <w:ind w:left="0" w:right="0"/>
              <w:jc w:val="center"/>
            </w:pPr>
            <w:r w:rsidRPr="00127F8A">
              <w:sym w:font="Wingdings" w:char="F0FC"/>
            </w:r>
          </w:p>
        </w:tc>
        <w:tc>
          <w:tcPr>
            <w:tcW w:w="1390" w:type="dxa"/>
          </w:tcPr>
          <w:p w14:paraId="05E6FABF" w14:textId="77777777" w:rsidR="007A55D9" w:rsidRPr="00127F8A" w:rsidRDefault="007A55D9" w:rsidP="00B57398">
            <w:pPr>
              <w:pStyle w:val="Tabletext"/>
              <w:keepNext/>
              <w:keepLines/>
              <w:spacing w:before="80" w:after="80"/>
              <w:ind w:left="0" w:right="0"/>
              <w:jc w:val="center"/>
            </w:pPr>
            <w:r w:rsidRPr="00127F8A">
              <w:t>–</w:t>
            </w:r>
          </w:p>
        </w:tc>
      </w:tr>
      <w:tr w:rsidR="007A55D9" w:rsidRPr="004F1C07" w14:paraId="3F64FC12" w14:textId="77777777" w:rsidTr="00D41A90">
        <w:trPr>
          <w:trHeight w:val="258"/>
        </w:trPr>
        <w:tc>
          <w:tcPr>
            <w:tcW w:w="547" w:type="dxa"/>
            <w:vMerge/>
          </w:tcPr>
          <w:p w14:paraId="4954AEF3" w14:textId="77777777" w:rsidR="007A55D9" w:rsidRPr="004F1C07" w:rsidRDefault="007A55D9" w:rsidP="00B57398">
            <w:pPr>
              <w:pStyle w:val="Tabletext"/>
              <w:keepNext/>
              <w:keepLines/>
              <w:spacing w:before="80" w:after="80"/>
              <w:ind w:left="0" w:right="0"/>
            </w:pPr>
          </w:p>
        </w:tc>
        <w:tc>
          <w:tcPr>
            <w:tcW w:w="3247" w:type="dxa"/>
          </w:tcPr>
          <w:p w14:paraId="50C87EB0" w14:textId="77777777" w:rsidR="007A55D9" w:rsidRPr="00C41A27" w:rsidRDefault="007A55D9" w:rsidP="00B57398">
            <w:pPr>
              <w:keepNext/>
              <w:keepLines/>
              <w:spacing w:before="80" w:after="80"/>
              <w:ind w:left="0" w:right="0"/>
            </w:pPr>
            <w:r w:rsidRPr="00C41A27">
              <w:rPr>
                <w:rFonts w:eastAsia="TimesNewRoman" w:cs="TimesNewRoman"/>
                <w:sz w:val="20"/>
                <w:szCs w:val="20"/>
              </w:rPr>
              <w:t>Use in patients with malignancy</w:t>
            </w:r>
          </w:p>
        </w:tc>
        <w:tc>
          <w:tcPr>
            <w:tcW w:w="992" w:type="dxa"/>
          </w:tcPr>
          <w:p w14:paraId="36B0FAAF" w14:textId="77777777" w:rsidR="007A55D9" w:rsidRPr="009E464A" w:rsidRDefault="007A55D9" w:rsidP="00B57398">
            <w:pPr>
              <w:pStyle w:val="Tabletext"/>
              <w:keepNext/>
              <w:keepLines/>
              <w:spacing w:before="80" w:after="80"/>
              <w:ind w:left="0" w:right="0"/>
              <w:jc w:val="center"/>
            </w:pPr>
            <w:r w:rsidRPr="009E464A">
              <w:sym w:font="Wingdings" w:char="F0FC"/>
            </w:r>
          </w:p>
        </w:tc>
        <w:tc>
          <w:tcPr>
            <w:tcW w:w="1134" w:type="dxa"/>
          </w:tcPr>
          <w:p w14:paraId="3E8DCFC2" w14:textId="77777777" w:rsidR="007A55D9" w:rsidRPr="009E464A" w:rsidRDefault="007A55D9" w:rsidP="00B57398">
            <w:pPr>
              <w:pStyle w:val="Tabletext"/>
              <w:keepNext/>
              <w:keepLines/>
              <w:spacing w:before="80" w:after="80"/>
              <w:ind w:left="0" w:right="0"/>
              <w:jc w:val="center"/>
            </w:pPr>
            <w:r w:rsidRPr="009E464A">
              <w:t>–</w:t>
            </w:r>
          </w:p>
        </w:tc>
        <w:tc>
          <w:tcPr>
            <w:tcW w:w="992" w:type="dxa"/>
          </w:tcPr>
          <w:p w14:paraId="61682A8E" w14:textId="77777777" w:rsidR="007A55D9" w:rsidRPr="00127F8A" w:rsidRDefault="007A55D9" w:rsidP="00B57398">
            <w:pPr>
              <w:pStyle w:val="Tabletext"/>
              <w:keepNext/>
              <w:keepLines/>
              <w:spacing w:before="80" w:after="80"/>
              <w:ind w:left="0" w:right="0"/>
              <w:jc w:val="center"/>
            </w:pPr>
            <w:r w:rsidRPr="00127F8A">
              <w:sym w:font="Wingdings" w:char="F0FC"/>
            </w:r>
          </w:p>
        </w:tc>
        <w:tc>
          <w:tcPr>
            <w:tcW w:w="1390" w:type="dxa"/>
          </w:tcPr>
          <w:p w14:paraId="743564B2" w14:textId="77777777" w:rsidR="007A55D9" w:rsidRPr="00127F8A" w:rsidRDefault="007A55D9" w:rsidP="00B57398">
            <w:pPr>
              <w:pStyle w:val="Tabletext"/>
              <w:keepNext/>
              <w:keepLines/>
              <w:spacing w:before="80" w:after="80"/>
              <w:ind w:left="0" w:right="0"/>
              <w:jc w:val="center"/>
            </w:pPr>
            <w:r w:rsidRPr="00127F8A">
              <w:t>–</w:t>
            </w:r>
          </w:p>
        </w:tc>
      </w:tr>
    </w:tbl>
    <w:p w14:paraId="20271EAD" w14:textId="3E353810" w:rsidR="007A55D9" w:rsidRPr="001908D6" w:rsidRDefault="007A55D9" w:rsidP="001908D6">
      <w:pPr>
        <w:pStyle w:val="TableDescription"/>
      </w:pPr>
      <w:r w:rsidRPr="001908D6">
        <w:rPr>
          <w:vertAlign w:val="superscript"/>
        </w:rPr>
        <w:t>1</w:t>
      </w:r>
      <w:r w:rsidRPr="001908D6">
        <w:t>Clinical trial</w:t>
      </w:r>
      <w:r w:rsidR="001908D6" w:rsidRPr="001908D6">
        <w:t xml:space="preserve">, </w:t>
      </w:r>
      <w:r w:rsidRPr="001908D6">
        <w:rPr>
          <w:vertAlign w:val="superscript"/>
        </w:rPr>
        <w:t>2</w:t>
      </w:r>
      <w:r w:rsidRPr="001908D6">
        <w:t>PASS</w:t>
      </w:r>
      <w:r w:rsidR="001908D6" w:rsidRPr="001908D6">
        <w:t xml:space="preserve">, </w:t>
      </w:r>
      <w:r w:rsidRPr="001908D6">
        <w:rPr>
          <w:vertAlign w:val="superscript"/>
        </w:rPr>
        <w:t>3</w:t>
      </w:r>
      <w:r w:rsidR="001908D6" w:rsidRPr="001908D6">
        <w:t xml:space="preserve">Pregnancy registry, </w:t>
      </w:r>
      <w:r w:rsidRPr="001908D6">
        <w:rPr>
          <w:vertAlign w:val="superscript"/>
        </w:rPr>
        <w:t>4</w:t>
      </w:r>
      <w:r w:rsidRPr="001908D6">
        <w:t>Prescriber information Pack</w:t>
      </w:r>
      <w:r w:rsidR="001908D6" w:rsidRPr="001908D6">
        <w:rPr>
          <w:vertAlign w:val="superscript"/>
        </w:rPr>
        <w:t xml:space="preserve">, </w:t>
      </w:r>
      <w:r w:rsidRPr="001908D6">
        <w:rPr>
          <w:vertAlign w:val="superscript"/>
        </w:rPr>
        <w:t>5</w:t>
      </w:r>
      <w:r w:rsidRPr="001908D6">
        <w:t>Patient Alert Card</w:t>
      </w:r>
      <w:r w:rsidR="001908D6" w:rsidRPr="001908D6">
        <w:t xml:space="preserve">, </w:t>
      </w:r>
      <w:r w:rsidRPr="001908D6">
        <w:t>*Safety concerns that are</w:t>
      </w:r>
      <w:r w:rsidR="001908D6" w:rsidRPr="001908D6">
        <w:t xml:space="preserve"> not included in the ASA, Purple</w:t>
      </w:r>
      <w:r w:rsidRPr="001908D6">
        <w:t xml:space="preserve"> highlighted text show</w:t>
      </w:r>
      <w:r w:rsidR="00FF128A">
        <w:t>s</w:t>
      </w:r>
      <w:r w:rsidRPr="001908D6">
        <w:t xml:space="preserve"> the safety concerns that are specific to the ASA</w:t>
      </w:r>
      <w:r w:rsidR="00FF128A">
        <w:t>.</w:t>
      </w:r>
    </w:p>
    <w:p w14:paraId="17D0880D" w14:textId="77777777" w:rsidR="007A55D9" w:rsidRDefault="007A55D9" w:rsidP="001908D6">
      <w:pPr>
        <w:pStyle w:val="ListBullet"/>
      </w:pPr>
      <w:r w:rsidRPr="004E24F6">
        <w:t>The summary of safety</w:t>
      </w:r>
      <w:r>
        <w:t xml:space="preserve"> concerns for Australia requires revision to ensure all concerns included in the EU-RMP are also included in the ASA</w:t>
      </w:r>
      <w:r w:rsidRPr="004E24F6">
        <w:t>.</w:t>
      </w:r>
      <w:r>
        <w:t xml:space="preserve"> In addition, as indicated above, there are a number of safety concerns specific to the ASA.</w:t>
      </w:r>
    </w:p>
    <w:p w14:paraId="36000CDA" w14:textId="77777777" w:rsidR="007A55D9" w:rsidRPr="008C71A9" w:rsidRDefault="007A55D9" w:rsidP="001908D6">
      <w:pPr>
        <w:pStyle w:val="ListBullet"/>
      </w:pPr>
      <w:r w:rsidRPr="008C71A9">
        <w:t xml:space="preserve">In response to a recommendation made during </w:t>
      </w:r>
      <w:r w:rsidR="001908D6">
        <w:t>first round</w:t>
      </w:r>
      <w:r w:rsidRPr="008C71A9">
        <w:t xml:space="preserve"> RMP evaluation, the sponsor committed to include all the safety concerns that are included in the EU RMP in the safety summary of the ASA.</w:t>
      </w:r>
    </w:p>
    <w:p w14:paraId="3AF9CE87" w14:textId="77777777" w:rsidR="007A55D9" w:rsidRPr="004E24F6" w:rsidRDefault="007A55D9" w:rsidP="001908D6">
      <w:pPr>
        <w:pStyle w:val="ListBullet"/>
      </w:pPr>
      <w:r w:rsidRPr="004E24F6">
        <w:t xml:space="preserve">The pharmacovigilance activities that are proposed are </w:t>
      </w:r>
      <w:r>
        <w:t xml:space="preserve">consistent with what was previously agreed, and remain </w:t>
      </w:r>
      <w:r w:rsidRPr="004E24F6">
        <w:t>acceptable</w:t>
      </w:r>
      <w:r>
        <w:t xml:space="preserve"> as the proposed extension of indication</w:t>
      </w:r>
      <w:r w:rsidR="001908D6">
        <w:t>.</w:t>
      </w:r>
    </w:p>
    <w:p w14:paraId="1C74E7E3" w14:textId="77777777" w:rsidR="00456765" w:rsidRPr="00D31393" w:rsidRDefault="007A55D9" w:rsidP="001908D6">
      <w:pPr>
        <w:pStyle w:val="ListBullet"/>
      </w:pPr>
      <w:r w:rsidRPr="004E24F6">
        <w:t xml:space="preserve">The </w:t>
      </w:r>
      <w:r>
        <w:t xml:space="preserve">proposed range of </w:t>
      </w:r>
      <w:r w:rsidRPr="004E24F6">
        <w:t xml:space="preserve">additional risk minimisation activities </w:t>
      </w:r>
      <w:r>
        <w:t>is</w:t>
      </w:r>
      <w:r w:rsidRPr="004E24F6">
        <w:t xml:space="preserve"> </w:t>
      </w:r>
      <w:r>
        <w:t xml:space="preserve">consistent with what has previously been agreed for this product, and remains </w:t>
      </w:r>
      <w:r w:rsidRPr="004E24F6">
        <w:t>acceptable. However, the education material</w:t>
      </w:r>
      <w:r>
        <w:t>s</w:t>
      </w:r>
      <w:r w:rsidRPr="004E24F6">
        <w:t xml:space="preserve"> </w:t>
      </w:r>
      <w:r>
        <w:t>for Australia need</w:t>
      </w:r>
      <w:r w:rsidRPr="004E24F6">
        <w:t xml:space="preserve"> to be updated to include the pro</w:t>
      </w:r>
      <w:r>
        <w:t>posed extension of indications.</w:t>
      </w:r>
    </w:p>
    <w:p w14:paraId="4BF0B6F2" w14:textId="77777777" w:rsidR="00456765" w:rsidRDefault="00456765" w:rsidP="00456765">
      <w:pPr>
        <w:pStyle w:val="Heading4"/>
      </w:pPr>
      <w:bookmarkStart w:id="181" w:name="_Toc477354123"/>
      <w:r>
        <w:t>New and outstanding recommendations from second round evaluation</w:t>
      </w:r>
      <w:bookmarkEnd w:id="181"/>
    </w:p>
    <w:p w14:paraId="6CA746B1" w14:textId="77777777" w:rsidR="007A55D9" w:rsidRPr="00C316CD" w:rsidRDefault="007A55D9" w:rsidP="001908D6">
      <w:r w:rsidRPr="00C316CD">
        <w:t xml:space="preserve">The recommendations made in the </w:t>
      </w:r>
      <w:r w:rsidR="001908D6">
        <w:t>first round</w:t>
      </w:r>
      <w:r w:rsidRPr="00C316CD">
        <w:t xml:space="preserve"> evaluation, along with consideration of the sponsor response, </w:t>
      </w:r>
      <w:r w:rsidR="001908D6">
        <w:t>were outlined in the risk management plan report</w:t>
      </w:r>
      <w:r w:rsidRPr="00C316CD">
        <w:t>.</w:t>
      </w:r>
    </w:p>
    <w:p w14:paraId="684FD9E7" w14:textId="77777777" w:rsidR="007A55D9" w:rsidRPr="00C316CD" w:rsidRDefault="007A55D9" w:rsidP="001908D6">
      <w:r w:rsidRPr="00C316CD">
        <w:t>In response to these recommendations the sponsor has committed to the following:</w:t>
      </w:r>
    </w:p>
    <w:p w14:paraId="5A675872" w14:textId="77777777" w:rsidR="007A55D9" w:rsidRPr="00C316CD" w:rsidRDefault="007A55D9" w:rsidP="001908D6">
      <w:pPr>
        <w:pStyle w:val="Numberbullet0"/>
      </w:pPr>
      <w:r w:rsidRPr="00C316CD">
        <w:t>To include ‘Herpes zoster reactivation’ in the summary of safety concerns of the ASA as an important identified risk.</w:t>
      </w:r>
    </w:p>
    <w:p w14:paraId="49B8EBF9" w14:textId="77777777" w:rsidR="007A55D9" w:rsidRPr="00C316CD" w:rsidRDefault="007A55D9" w:rsidP="001908D6">
      <w:pPr>
        <w:pStyle w:val="Numberbullet0"/>
      </w:pPr>
      <w:r w:rsidRPr="00C316CD">
        <w:t>To include the following important potential risks in the summary of safety concerns of the ASA:</w:t>
      </w:r>
    </w:p>
    <w:p w14:paraId="56419223" w14:textId="77777777" w:rsidR="007A55D9" w:rsidRPr="00C316CD" w:rsidRDefault="007A55D9" w:rsidP="001908D6">
      <w:pPr>
        <w:pStyle w:val="ListBullet2"/>
      </w:pPr>
      <w:r w:rsidRPr="00C316CD">
        <w:lastRenderedPageBreak/>
        <w:t xml:space="preserve">Increased immunosuppression when used in combination with biologic DMARDs and </w:t>
      </w:r>
      <w:proofErr w:type="spellStart"/>
      <w:r w:rsidRPr="00C316CD">
        <w:t>immunosuppressants</w:t>
      </w:r>
      <w:proofErr w:type="spellEnd"/>
      <w:r w:rsidRPr="00C316CD">
        <w:t xml:space="preserve"> including B lymphocyte depleting agents</w:t>
      </w:r>
      <w:r w:rsidR="001908D6">
        <w:t>.</w:t>
      </w:r>
    </w:p>
    <w:p w14:paraId="2C902B06" w14:textId="77777777" w:rsidR="007A55D9" w:rsidRPr="00C316CD" w:rsidRDefault="007A55D9" w:rsidP="001908D6">
      <w:pPr>
        <w:pStyle w:val="ListBullet2"/>
      </w:pPr>
      <w:r w:rsidRPr="00C316CD">
        <w:t xml:space="preserve">Increased risk of adverse events when </w:t>
      </w:r>
      <w:proofErr w:type="spellStart"/>
      <w:r w:rsidRPr="00C316CD">
        <w:t>tofacitinib</w:t>
      </w:r>
      <w:proofErr w:type="spellEnd"/>
      <w:r w:rsidRPr="00C316CD">
        <w:t xml:space="preserve"> is administered in combination with MTX</w:t>
      </w:r>
      <w:r w:rsidR="001908D6">
        <w:t>.</w:t>
      </w:r>
    </w:p>
    <w:p w14:paraId="31CF44A5" w14:textId="77777777" w:rsidR="007A55D9" w:rsidRPr="00C316CD" w:rsidRDefault="007A55D9" w:rsidP="001908D6">
      <w:pPr>
        <w:pStyle w:val="ListBullet2"/>
      </w:pPr>
      <w:r w:rsidRPr="00C316CD">
        <w:t>Primary viral infection following live vaccination</w:t>
      </w:r>
      <w:r w:rsidR="001908D6">
        <w:t>.</w:t>
      </w:r>
    </w:p>
    <w:p w14:paraId="77894202" w14:textId="77777777" w:rsidR="007A55D9" w:rsidRPr="00C316CD" w:rsidRDefault="007A55D9" w:rsidP="001908D6">
      <w:pPr>
        <w:pStyle w:val="ListBullet2"/>
      </w:pPr>
      <w:r w:rsidRPr="00C316CD">
        <w:t xml:space="preserve">Increased exposure to </w:t>
      </w:r>
      <w:proofErr w:type="spellStart"/>
      <w:r w:rsidRPr="00C316CD">
        <w:t>tofacitinib</w:t>
      </w:r>
      <w:proofErr w:type="spellEnd"/>
      <w:r w:rsidRPr="00C316CD">
        <w:t xml:space="preserve"> when co-administered with CYP3A4 and CYP2C19 inhibitors</w:t>
      </w:r>
      <w:r w:rsidR="001908D6">
        <w:t>.</w:t>
      </w:r>
    </w:p>
    <w:p w14:paraId="67B63F49" w14:textId="77777777" w:rsidR="007A55D9" w:rsidRPr="00C316CD" w:rsidRDefault="007A55D9" w:rsidP="001908D6">
      <w:pPr>
        <w:pStyle w:val="ListBullet2"/>
      </w:pPr>
      <w:r w:rsidRPr="00C316CD">
        <w:t>Off-label use including children with Juvenile Idiopathic Arthritis (JIA)</w:t>
      </w:r>
    </w:p>
    <w:p w14:paraId="55A6B766" w14:textId="77777777" w:rsidR="001908D6" w:rsidRPr="00C316CD" w:rsidRDefault="007A55D9" w:rsidP="001908D6">
      <w:pPr>
        <w:pStyle w:val="ListBullet2"/>
      </w:pPr>
      <w:r w:rsidRPr="00C316CD">
        <w:t xml:space="preserve">Higher incidence and severity of adverse events in the </w:t>
      </w:r>
      <w:r w:rsidRPr="001908D6">
        <w:t>elderly</w:t>
      </w:r>
      <w:r w:rsidR="001908D6">
        <w:t>.</w:t>
      </w:r>
    </w:p>
    <w:p w14:paraId="77D6A2C3" w14:textId="77777777" w:rsidR="007A55D9" w:rsidRPr="00C316CD" w:rsidRDefault="007A55D9" w:rsidP="001908D6">
      <w:pPr>
        <w:pStyle w:val="Numberbullet0"/>
      </w:pPr>
      <w:r w:rsidRPr="00C316CD">
        <w:t>To</w:t>
      </w:r>
      <w:r w:rsidRPr="00C316CD">
        <w:rPr>
          <w:b/>
        </w:rPr>
        <w:t xml:space="preserve"> </w:t>
      </w:r>
      <w:r w:rsidRPr="00C316CD">
        <w:t>provide the updated educational materials to the TGA prior to distribution.</w:t>
      </w:r>
    </w:p>
    <w:p w14:paraId="002F0376" w14:textId="77777777" w:rsidR="007A55D9" w:rsidRPr="00C316CD" w:rsidRDefault="007A55D9" w:rsidP="001908D6">
      <w:pPr>
        <w:rPr>
          <w:szCs w:val="23"/>
        </w:rPr>
      </w:pPr>
      <w:r w:rsidRPr="00C316CD">
        <w:rPr>
          <w:szCs w:val="23"/>
        </w:rPr>
        <w:t>There are two new recommendations in relation to the above commitments:</w:t>
      </w:r>
    </w:p>
    <w:p w14:paraId="26A479A5" w14:textId="77777777" w:rsidR="007A55D9" w:rsidRPr="00507AF2" w:rsidRDefault="007A55D9" w:rsidP="00507AF2">
      <w:pPr>
        <w:pStyle w:val="Numberbullet0"/>
      </w:pPr>
      <w:bookmarkStart w:id="182" w:name="_Ref453313749"/>
      <w:r w:rsidRPr="00507AF2">
        <w:t>The sponsor should provide the updated ASA which incorporates the RMP evaluator’s recommendations within 3 months of approval of this submission.</w:t>
      </w:r>
    </w:p>
    <w:bookmarkEnd w:id="182"/>
    <w:p w14:paraId="0EDB7621" w14:textId="77777777" w:rsidR="00456765" w:rsidRDefault="007A55D9" w:rsidP="00507AF2">
      <w:pPr>
        <w:pStyle w:val="Numberbullet0"/>
      </w:pPr>
      <w:r w:rsidRPr="00C316CD">
        <w:t>The sponsor should ensure that appropriate pharmacovigilance and risk minimisation measures are assigned to the safety concerns that are added to the ASA. These should be consistent with the m</w:t>
      </w:r>
      <w:r w:rsidR="001908D6">
        <w:t>easures in place in the EU-RMP.</w:t>
      </w:r>
    </w:p>
    <w:p w14:paraId="144F80EB" w14:textId="77777777" w:rsidR="00456765" w:rsidRPr="00BB4B51" w:rsidRDefault="00456765" w:rsidP="00456765">
      <w:pPr>
        <w:pStyle w:val="Heading4"/>
      </w:pPr>
      <w:bookmarkStart w:id="183" w:name="_Toc477354124"/>
      <w:r>
        <w:t>Proposed wording for conditions of registration</w:t>
      </w:r>
      <w:bookmarkEnd w:id="183"/>
    </w:p>
    <w:p w14:paraId="4911824D" w14:textId="77777777" w:rsidR="007A55D9" w:rsidRPr="00C316CD" w:rsidRDefault="007A55D9" w:rsidP="00507AF2">
      <w:r w:rsidRPr="00C316CD">
        <w:t>Any changes to which the sponsor has agreed should be included in a revised RMP and ASA. However, irrespective of whether or not they are included in the currently available version of the RMP document, the agreed changes become part</w:t>
      </w:r>
      <w:r w:rsidR="00507AF2">
        <w:t xml:space="preserve"> of the risk management system.</w:t>
      </w:r>
    </w:p>
    <w:p w14:paraId="3FC09006" w14:textId="77777777" w:rsidR="007A55D9" w:rsidRPr="00C316CD" w:rsidRDefault="007A55D9" w:rsidP="00507AF2">
      <w:pPr>
        <w:ind w:left="720"/>
      </w:pPr>
      <w:r w:rsidRPr="00C316CD">
        <w:t xml:space="preserve">The </w:t>
      </w:r>
      <w:r w:rsidRPr="00507AF2">
        <w:t>Xeljanz</w:t>
      </w:r>
      <w:r w:rsidRPr="00C316CD">
        <w:rPr>
          <w:smallCaps/>
        </w:rPr>
        <w:t xml:space="preserve"> </w:t>
      </w:r>
      <w:r w:rsidRPr="00C316CD">
        <w:t xml:space="preserve">EU-Risk Management Plan (RMP) </w:t>
      </w:r>
      <w:r w:rsidRPr="00C316CD">
        <w:rPr>
          <w:kern w:val="2"/>
        </w:rPr>
        <w:t xml:space="preserve">version 3.0 (date 26 July 2017; </w:t>
      </w:r>
      <w:r w:rsidR="00507AF2">
        <w:rPr>
          <w:kern w:val="2"/>
        </w:rPr>
        <w:t>data lock point</w:t>
      </w:r>
      <w:r w:rsidRPr="00C316CD">
        <w:rPr>
          <w:kern w:val="2"/>
        </w:rPr>
        <w:t xml:space="preserve"> 7 March 2017) </w:t>
      </w:r>
      <w:r w:rsidRPr="00C316CD">
        <w:t>with Australian Specific Annex version</w:t>
      </w:r>
      <w:r w:rsidRPr="00C316CD">
        <w:rPr>
          <w:kern w:val="2"/>
        </w:rPr>
        <w:t xml:space="preserve"> 1.0 (date 27 September 2017</w:t>
      </w:r>
      <w:r w:rsidRPr="00C316CD">
        <w:t>), included with submission PM-2017-03802-1-3, to be revised to the satisfaction of the TGA, will be implemented in Australia.</w:t>
      </w:r>
    </w:p>
    <w:p w14:paraId="59621E07" w14:textId="77777777" w:rsidR="007A55D9" w:rsidRPr="00C316CD" w:rsidRDefault="007A55D9" w:rsidP="00507AF2">
      <w:pPr>
        <w:ind w:left="720"/>
      </w:pPr>
      <w:r w:rsidRPr="00C316CD">
        <w:t>An obligatory component of risk management plans is routine pharmacovigilance. Routine pharmacovigilance includes the submission of Periodic Safety Update Reports (PSURs).</w:t>
      </w:r>
    </w:p>
    <w:p w14:paraId="2426E94E" w14:textId="77777777" w:rsidR="007A55D9" w:rsidRPr="00C316CD" w:rsidRDefault="007A55D9" w:rsidP="00507AF2">
      <w:pPr>
        <w:ind w:left="720"/>
      </w:pPr>
      <w:r w:rsidRPr="00C316CD">
        <w:t xml:space="preserve">Reports are to be provided in line with the current published list of EU reference dates and frequency of submission of PSURs until the period covered by such reports is not less than three years from the date of this approval letter. </w:t>
      </w:r>
    </w:p>
    <w:p w14:paraId="03D12B5C" w14:textId="77777777" w:rsidR="00456765" w:rsidRPr="00D31393" w:rsidRDefault="007A55D9" w:rsidP="00507AF2">
      <w:pPr>
        <w:ind w:left="720"/>
      </w:pPr>
      <w:r w:rsidRPr="00C316CD">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w:t>
      </w:r>
      <w:r w:rsidR="00507AF2">
        <w:t>ata lock point for that report.</w:t>
      </w:r>
    </w:p>
    <w:p w14:paraId="0A79099E" w14:textId="77777777" w:rsidR="008E7846" w:rsidRPr="00792A32" w:rsidRDefault="008E7846" w:rsidP="008E7846">
      <w:pPr>
        <w:pStyle w:val="Heading2"/>
      </w:pPr>
      <w:bookmarkStart w:id="184" w:name="_Toc22048625"/>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58"/>
      <w:bookmarkEnd w:id="178"/>
      <w:bookmarkEnd w:id="179"/>
      <w:bookmarkEnd w:id="184"/>
    </w:p>
    <w:p w14:paraId="6072B7C8" w14:textId="77777777" w:rsidR="008E7846" w:rsidRDefault="008E7846" w:rsidP="008E7846">
      <w:bookmarkStart w:id="185" w:name="_Toc247691528"/>
      <w:r>
        <w:t xml:space="preserve">The submission was summarised in the following </w:t>
      </w:r>
      <w:r w:rsidRPr="00EF5C48">
        <w:t xml:space="preserve">Delegate’s </w:t>
      </w:r>
      <w:r>
        <w:t>overview</w:t>
      </w:r>
      <w:r w:rsidRPr="00EF5C48">
        <w:t xml:space="preserve"> and recommendation</w:t>
      </w:r>
      <w:r w:rsidR="00E746AF">
        <w:t>s.</w:t>
      </w:r>
    </w:p>
    <w:p w14:paraId="2C015524" w14:textId="77777777" w:rsidR="00615860" w:rsidRPr="00AA53F4" w:rsidRDefault="00615860" w:rsidP="00615860">
      <w:pPr>
        <w:pStyle w:val="Heading3"/>
        <w:spacing w:before="240"/>
      </w:pPr>
      <w:bookmarkStart w:id="186" w:name="_Toc523476078"/>
      <w:bookmarkStart w:id="187" w:name="_Toc22048626"/>
      <w:r w:rsidRPr="00AA53F4">
        <w:t>Background</w:t>
      </w:r>
      <w:bookmarkEnd w:id="186"/>
      <w:bookmarkEnd w:id="187"/>
    </w:p>
    <w:p w14:paraId="4A2C059E" w14:textId="77777777" w:rsidR="00615860" w:rsidRDefault="00615860" w:rsidP="00507AF2">
      <w:pPr>
        <w:rPr>
          <w:lang w:val="en-US"/>
        </w:rPr>
      </w:pPr>
      <w:r>
        <w:rPr>
          <w:lang w:eastAsia="ja-JP"/>
        </w:rPr>
        <w:t xml:space="preserve">Tofacitinib is an orally active, selective inhibitor of </w:t>
      </w:r>
      <w:r w:rsidR="00507AF2">
        <w:rPr>
          <w:lang w:eastAsia="ja-JP"/>
        </w:rPr>
        <w:t>the JAK family of kinases.</w:t>
      </w:r>
    </w:p>
    <w:p w14:paraId="15E05970" w14:textId="77777777" w:rsidR="00615860" w:rsidRDefault="00615860" w:rsidP="00507AF2">
      <w:r>
        <w:lastRenderedPageBreak/>
        <w:t>This application proposes a new indication for the treatment of adult pati</w:t>
      </w:r>
      <w:r w:rsidR="00507AF2">
        <w:t>ents with psoriatic arthritis.</w:t>
      </w:r>
    </w:p>
    <w:p w14:paraId="5AD3EBC3" w14:textId="661CB84B" w:rsidR="00615860" w:rsidRDefault="00615860" w:rsidP="00507AF2">
      <w:r>
        <w:t xml:space="preserve">Proposed changes to the </w:t>
      </w:r>
      <w:r w:rsidR="007D794E">
        <w:t>PI</w:t>
      </w:r>
      <w:r>
        <w:t xml:space="preserve"> in this submission include new data supporting the </w:t>
      </w:r>
      <w:proofErr w:type="spellStart"/>
      <w:r>
        <w:t>PsA</w:t>
      </w:r>
      <w:proofErr w:type="spellEnd"/>
      <w:r>
        <w:t xml:space="preserve"> indication, a change to the approved RA indication (relocating the statement regarding initiation and monitoring by a rheumatologist or specialist physician from </w:t>
      </w:r>
      <w:r w:rsidRPr="00DE118A">
        <w:rPr>
          <w:i/>
        </w:rPr>
        <w:t>section 4.1</w:t>
      </w:r>
      <w:r w:rsidRPr="007D794E">
        <w:rPr>
          <w:i/>
        </w:rPr>
        <w:t xml:space="preserve"> </w:t>
      </w:r>
      <w:r w:rsidRPr="00DE118A">
        <w:rPr>
          <w:i/>
        </w:rPr>
        <w:t>Therapeutic Indications</w:t>
      </w:r>
      <w:r>
        <w:t xml:space="preserve"> to </w:t>
      </w:r>
      <w:r w:rsidRPr="00DE118A">
        <w:rPr>
          <w:i/>
        </w:rPr>
        <w:t>section 4.2</w:t>
      </w:r>
      <w:r w:rsidRPr="007D794E">
        <w:rPr>
          <w:i/>
        </w:rPr>
        <w:t xml:space="preserve"> </w:t>
      </w:r>
      <w:r w:rsidRPr="00DE118A">
        <w:rPr>
          <w:i/>
        </w:rPr>
        <w:t>Dose and Method of Administration</w:t>
      </w:r>
      <w:r>
        <w:t xml:space="preserve">), updated definitions relating to renal impairment, changes to </w:t>
      </w:r>
      <w:r w:rsidRPr="00DE118A">
        <w:rPr>
          <w:i/>
        </w:rPr>
        <w:t>section 4.5 Interactions with other medicines</w:t>
      </w:r>
      <w:r>
        <w:t xml:space="preserve">, and updates to </w:t>
      </w:r>
      <w:r w:rsidRPr="00DE118A">
        <w:rPr>
          <w:i/>
        </w:rPr>
        <w:t>section 4.8 Adverse Effects (Undesirable Effects)</w:t>
      </w:r>
      <w:r>
        <w:t xml:space="preserve"> incorporating pooled </w:t>
      </w:r>
      <w:r w:rsidR="00507AF2">
        <w:t xml:space="preserve">ADR data from RA and </w:t>
      </w:r>
      <w:proofErr w:type="spellStart"/>
      <w:r w:rsidR="00507AF2">
        <w:t>PsA</w:t>
      </w:r>
      <w:proofErr w:type="spellEnd"/>
      <w:r w:rsidR="00507AF2">
        <w:t xml:space="preserve"> Phase III randomised controlled trials</w:t>
      </w:r>
      <w:r>
        <w:t>.</w:t>
      </w:r>
    </w:p>
    <w:p w14:paraId="0F087C06" w14:textId="7D9E6359" w:rsidR="00615860" w:rsidRDefault="00615860" w:rsidP="00615860">
      <w:pPr>
        <w:pStyle w:val="Heading4"/>
        <w:spacing w:before="240"/>
        <w:rPr>
          <w:lang w:val="en-US"/>
        </w:rPr>
      </w:pPr>
      <w:r w:rsidRPr="00AA53F4">
        <w:rPr>
          <w:lang w:val="en-US"/>
        </w:rPr>
        <w:t xml:space="preserve">Australian </w:t>
      </w:r>
      <w:r w:rsidR="0063014B" w:rsidRPr="00AA53F4">
        <w:rPr>
          <w:lang w:val="en-US"/>
        </w:rPr>
        <w:t>regulatory status</w:t>
      </w:r>
    </w:p>
    <w:p w14:paraId="538AA009" w14:textId="0DEE2B6F" w:rsidR="00507AF2" w:rsidRDefault="00615860" w:rsidP="00507AF2">
      <w:pPr>
        <w:rPr>
          <w:lang w:val="en-US"/>
        </w:rPr>
      </w:pPr>
      <w:r>
        <w:rPr>
          <w:lang w:eastAsia="ja-JP"/>
        </w:rPr>
        <w:t xml:space="preserve">An application for </w:t>
      </w:r>
      <w:r w:rsidR="00507AF2" w:rsidRPr="00E24FC4">
        <w:rPr>
          <w:rFonts w:asciiTheme="minorHAnsi" w:hAnsiTheme="minorHAnsi"/>
        </w:rPr>
        <w:t>Xeljanz</w:t>
      </w:r>
      <w:r>
        <w:rPr>
          <w:lang w:val="en-US"/>
        </w:rPr>
        <w:t xml:space="preserve"> </w:t>
      </w:r>
      <w:r>
        <w:rPr>
          <w:lang w:eastAsia="ja-JP"/>
        </w:rPr>
        <w:t xml:space="preserve">for use in RA at a dosage of 5 mg or 10 mg </w:t>
      </w:r>
      <w:r w:rsidR="003A1B70">
        <w:rPr>
          <w:lang w:eastAsia="ja-JP"/>
        </w:rPr>
        <w:t>BD</w:t>
      </w:r>
      <w:r>
        <w:rPr>
          <w:lang w:eastAsia="ja-JP"/>
        </w:rPr>
        <w:t xml:space="preserve"> was submitted to the TGA on 27 A</w:t>
      </w:r>
      <w:r w:rsidR="00507AF2">
        <w:rPr>
          <w:lang w:eastAsia="ja-JP"/>
        </w:rPr>
        <w:t>pril 2012 (</w:t>
      </w:r>
      <w:r w:rsidR="007D794E">
        <w:rPr>
          <w:lang w:eastAsia="ja-JP"/>
        </w:rPr>
        <w:t xml:space="preserve">Submission </w:t>
      </w:r>
      <w:r w:rsidR="00507AF2">
        <w:rPr>
          <w:lang w:eastAsia="ja-JP"/>
        </w:rPr>
        <w:t>PM-2012-00788-</w:t>
      </w:r>
      <w:r w:rsidR="00794CFD">
        <w:rPr>
          <w:lang w:eastAsia="ja-JP"/>
        </w:rPr>
        <w:t>3</w:t>
      </w:r>
      <w:r w:rsidR="00507AF2">
        <w:rPr>
          <w:lang w:eastAsia="ja-JP"/>
        </w:rPr>
        <w:t xml:space="preserve">-3). </w:t>
      </w:r>
      <w:r>
        <w:rPr>
          <w:lang w:eastAsia="ja-JP"/>
        </w:rPr>
        <w:t>Advice was prov</w:t>
      </w:r>
      <w:r w:rsidR="00507AF2">
        <w:rPr>
          <w:lang w:eastAsia="ja-JP"/>
        </w:rPr>
        <w:t xml:space="preserve">ided by </w:t>
      </w:r>
      <w:r w:rsidR="007D794E">
        <w:rPr>
          <w:lang w:eastAsia="ja-JP"/>
        </w:rPr>
        <w:t>the Advisory Committee on Prescription Medicines (</w:t>
      </w:r>
      <w:r w:rsidR="00507AF2">
        <w:rPr>
          <w:lang w:eastAsia="ja-JP"/>
        </w:rPr>
        <w:t>ACPM</w:t>
      </w:r>
      <w:r w:rsidR="007D794E">
        <w:rPr>
          <w:lang w:eastAsia="ja-JP"/>
        </w:rPr>
        <w:t>)</w:t>
      </w:r>
      <w:r w:rsidR="00507AF2">
        <w:rPr>
          <w:lang w:eastAsia="ja-JP"/>
        </w:rPr>
        <w:t xml:space="preserve"> in February 2014.</w:t>
      </w:r>
      <w:r w:rsidR="007D794E">
        <w:rPr>
          <w:rStyle w:val="FootnoteReference"/>
          <w:lang w:eastAsia="ja-JP"/>
        </w:rPr>
        <w:footnoteReference w:id="6"/>
      </w:r>
      <w:r w:rsidR="00507AF2">
        <w:rPr>
          <w:lang w:eastAsia="ja-JP"/>
        </w:rPr>
        <w:t xml:space="preserve"> The D</w:t>
      </w:r>
      <w:r>
        <w:rPr>
          <w:lang w:eastAsia="ja-JP"/>
        </w:rPr>
        <w:t xml:space="preserve">elegate decided on 14 May 2014 not to register </w:t>
      </w:r>
      <w:r w:rsidR="00507AF2">
        <w:rPr>
          <w:lang w:eastAsia="ja-JP"/>
        </w:rPr>
        <w:t xml:space="preserve">Xeljanz </w:t>
      </w:r>
      <w:r>
        <w:rPr>
          <w:lang w:eastAsia="ja-JP"/>
        </w:rPr>
        <w:t>on the grounds that the efficacy and safety of the product had not been satisfactorily esta</w:t>
      </w:r>
      <w:r w:rsidR="00507AF2">
        <w:rPr>
          <w:lang w:eastAsia="ja-JP"/>
        </w:rPr>
        <w:t xml:space="preserve">blished for the proposed uses. </w:t>
      </w:r>
      <w:r>
        <w:rPr>
          <w:lang w:eastAsia="ja-JP"/>
        </w:rPr>
        <w:t>Following a s60 appeal</w:t>
      </w:r>
      <w:r w:rsidR="007D794E">
        <w:rPr>
          <w:lang w:eastAsia="ja-JP"/>
        </w:rPr>
        <w:t>;</w:t>
      </w:r>
      <w:r w:rsidR="007D794E">
        <w:rPr>
          <w:rStyle w:val="FootnoteReference"/>
          <w:lang w:eastAsia="ja-JP"/>
        </w:rPr>
        <w:footnoteReference w:id="7"/>
      </w:r>
      <w:r>
        <w:rPr>
          <w:lang w:eastAsia="ja-JP"/>
        </w:rPr>
        <w:t xml:space="preserve"> </w:t>
      </w:r>
      <w:r w:rsidR="00450021" w:rsidRPr="00E24FC4">
        <w:rPr>
          <w:rFonts w:asciiTheme="minorHAnsi" w:hAnsiTheme="minorHAnsi"/>
        </w:rPr>
        <w:t>Xeljanz</w:t>
      </w:r>
      <w:r>
        <w:rPr>
          <w:lang w:val="en-US"/>
        </w:rPr>
        <w:t xml:space="preserve"> </w:t>
      </w:r>
      <w:r w:rsidR="00507AF2">
        <w:rPr>
          <w:lang w:eastAsia="ja-JP"/>
        </w:rPr>
        <w:t>was approved in Australia on 13 </w:t>
      </w:r>
      <w:r>
        <w:rPr>
          <w:lang w:eastAsia="ja-JP"/>
        </w:rPr>
        <w:t xml:space="preserve">January 2015 at a dosage of 5 mg </w:t>
      </w:r>
      <w:r w:rsidR="003A1B70">
        <w:rPr>
          <w:lang w:eastAsia="ja-JP"/>
        </w:rPr>
        <w:t>BD</w:t>
      </w:r>
      <w:r>
        <w:rPr>
          <w:lang w:eastAsia="ja-JP"/>
        </w:rPr>
        <w:t xml:space="preserve"> for the following indication:</w:t>
      </w:r>
    </w:p>
    <w:p w14:paraId="082A5968" w14:textId="77777777" w:rsidR="00507AF2" w:rsidRPr="00507AF2" w:rsidRDefault="00507AF2" w:rsidP="00507AF2">
      <w:pPr>
        <w:ind w:left="720"/>
        <w:rPr>
          <w:i/>
          <w:lang w:eastAsia="ja-JP"/>
        </w:rPr>
      </w:pPr>
      <w:r w:rsidRPr="00507AF2">
        <w:rPr>
          <w:i/>
        </w:rPr>
        <w:t>Xeljanz</w:t>
      </w:r>
      <w:r w:rsidR="00615860" w:rsidRPr="00507AF2">
        <w:rPr>
          <w:i/>
          <w:lang w:eastAsia="ja-JP"/>
        </w:rPr>
        <w:t xml:space="preserve"> is indicated for the treatment of the signs and symptoms of moderate to severe active rheumatoid arthritis in adults who have had an inadequate response or are intolerant to methotrexate. </w:t>
      </w:r>
      <w:r w:rsidRPr="00507AF2">
        <w:rPr>
          <w:i/>
        </w:rPr>
        <w:t>Xeljanz</w:t>
      </w:r>
      <w:r w:rsidRPr="00507AF2">
        <w:rPr>
          <w:i/>
          <w:lang w:eastAsia="ja-JP"/>
        </w:rPr>
        <w:t xml:space="preserve"> </w:t>
      </w:r>
      <w:r w:rsidR="00615860" w:rsidRPr="00507AF2">
        <w:rPr>
          <w:i/>
          <w:lang w:eastAsia="ja-JP"/>
        </w:rPr>
        <w:t>can be used alone or in combination with non-biological DMARDs,</w:t>
      </w:r>
      <w:r>
        <w:rPr>
          <w:i/>
          <w:lang w:eastAsia="ja-JP"/>
        </w:rPr>
        <w:t xml:space="preserve"> including methotrexate.</w:t>
      </w:r>
    </w:p>
    <w:p w14:paraId="5BB49FFB" w14:textId="77777777" w:rsidR="00615860" w:rsidRPr="00507AF2" w:rsidRDefault="00615860" w:rsidP="00507AF2">
      <w:pPr>
        <w:ind w:left="720"/>
        <w:rPr>
          <w:i/>
          <w:lang w:val="en-US"/>
        </w:rPr>
      </w:pPr>
      <w:r w:rsidRPr="00507AF2">
        <w:rPr>
          <w:i/>
          <w:lang w:eastAsia="ja-JP"/>
        </w:rPr>
        <w:t xml:space="preserve">Therapy with </w:t>
      </w:r>
      <w:r w:rsidR="00507AF2" w:rsidRPr="00507AF2">
        <w:rPr>
          <w:i/>
        </w:rPr>
        <w:t>Xeljanz</w:t>
      </w:r>
      <w:r w:rsidRPr="00507AF2">
        <w:rPr>
          <w:i/>
          <w:lang w:eastAsia="ja-JP"/>
        </w:rPr>
        <w:t xml:space="preserve"> should be initiated and monitored by a rheumatologist or specialist physician with expertise in the management of rheumatoid arthritis</w:t>
      </w:r>
      <w:r w:rsidRPr="00507AF2">
        <w:rPr>
          <w:i/>
          <w:lang w:val="en-US"/>
        </w:rPr>
        <w:t>.</w:t>
      </w:r>
    </w:p>
    <w:p w14:paraId="3B6A38AD" w14:textId="2D403AA2" w:rsidR="00615860" w:rsidRDefault="00615860" w:rsidP="00507AF2">
      <w:r>
        <w:t>An application in 2016 (</w:t>
      </w:r>
      <w:r w:rsidR="00AB59A7">
        <w:t xml:space="preserve">Submission </w:t>
      </w:r>
      <w:r>
        <w:t>PM-2016-00757-1-3) sought an extension of indications to include a claim of inhibition of structural damage as measured by pla</w:t>
      </w:r>
      <w:r w:rsidR="00507AF2">
        <w:t xml:space="preserve">in x-rays in patients with RA. </w:t>
      </w:r>
      <w:r>
        <w:t>Advice was p</w:t>
      </w:r>
      <w:r w:rsidR="00507AF2">
        <w:t xml:space="preserve">rovided by ACPM in April 2017. </w:t>
      </w:r>
      <w:r>
        <w:t xml:space="preserve">The proposed new indication was not accepted but </w:t>
      </w:r>
      <w:r w:rsidR="00450021">
        <w:t>other PI changes were approved.</w:t>
      </w:r>
    </w:p>
    <w:p w14:paraId="750D0C2D" w14:textId="6CE371AF" w:rsidR="005C3265" w:rsidRDefault="00507AF2" w:rsidP="00507AF2">
      <w:r>
        <w:t>At the time this application was under consideration, t</w:t>
      </w:r>
      <w:r w:rsidR="008978B8">
        <w:t>here were</w:t>
      </w:r>
      <w:r w:rsidR="00615860">
        <w:t xml:space="preserve"> several concu</w:t>
      </w:r>
      <w:r>
        <w:t xml:space="preserve">rrent </w:t>
      </w:r>
      <w:proofErr w:type="spellStart"/>
      <w:r>
        <w:t>tofacitinib</w:t>
      </w:r>
      <w:proofErr w:type="spellEnd"/>
      <w:r>
        <w:t xml:space="preserve"> submissions. </w:t>
      </w:r>
      <w:r w:rsidR="00AB59A7">
        <w:t xml:space="preserve">Submission </w:t>
      </w:r>
      <w:r w:rsidR="00615860">
        <w:t>PM-2017-04764-1-1 is a</w:t>
      </w:r>
      <w:r w:rsidR="00AB59A7">
        <w:t xml:space="preserve">n extension of indications </w:t>
      </w:r>
      <w:r w:rsidR="00615860">
        <w:t>application proposing a new indi</w:t>
      </w:r>
      <w:r w:rsidR="005C3265">
        <w:t>cation for ulcerative colitis.</w:t>
      </w:r>
    </w:p>
    <w:p w14:paraId="1099178E" w14:textId="77777777" w:rsidR="00615860" w:rsidRDefault="008978B8" w:rsidP="00507AF2">
      <w:r>
        <w:t>[Information redacted]</w:t>
      </w:r>
    </w:p>
    <w:p w14:paraId="5C296A24" w14:textId="02EF5C8B" w:rsidR="00615860" w:rsidRDefault="00615860" w:rsidP="00615860">
      <w:pPr>
        <w:pStyle w:val="Heading4"/>
        <w:spacing w:before="240"/>
        <w:rPr>
          <w:lang w:val="en-US"/>
        </w:rPr>
      </w:pPr>
      <w:r>
        <w:rPr>
          <w:lang w:val="en-US"/>
        </w:rPr>
        <w:t xml:space="preserve">Overseas </w:t>
      </w:r>
      <w:r w:rsidR="0063014B">
        <w:rPr>
          <w:lang w:val="en-US"/>
        </w:rPr>
        <w:t>regulatory status</w:t>
      </w:r>
    </w:p>
    <w:p w14:paraId="3BD9D2D3" w14:textId="77777777" w:rsidR="00507AF2" w:rsidRPr="00507AF2" w:rsidRDefault="00615860" w:rsidP="00507AF2">
      <w:pPr>
        <w:pStyle w:val="ListBullet"/>
        <w:rPr>
          <w:u w:val="single"/>
          <w:lang w:val="en-US"/>
        </w:rPr>
      </w:pPr>
      <w:r w:rsidRPr="00507AF2">
        <w:rPr>
          <w:lang w:val="en-US"/>
        </w:rPr>
        <w:t>USA</w:t>
      </w:r>
      <w:r w:rsidR="00507AF2" w:rsidRPr="00507AF2">
        <w:rPr>
          <w:lang w:val="en-US"/>
        </w:rPr>
        <w:t xml:space="preserve">: </w:t>
      </w:r>
      <w:r w:rsidRPr="00507AF2">
        <w:rPr>
          <w:lang w:val="en-US"/>
        </w:rPr>
        <w:t>O</w:t>
      </w:r>
      <w:r>
        <w:rPr>
          <w:lang w:val="en-US"/>
        </w:rPr>
        <w:t xml:space="preserve">n </w:t>
      </w:r>
      <w:r w:rsidR="00507AF2">
        <w:rPr>
          <w:lang w:val="en-US"/>
        </w:rPr>
        <w:t>14 December 2017</w:t>
      </w:r>
      <w:r>
        <w:rPr>
          <w:lang w:val="en-US"/>
        </w:rPr>
        <w:t xml:space="preserve">, the FDA approved </w:t>
      </w:r>
      <w:r w:rsidR="00507AF2" w:rsidRPr="00E24FC4">
        <w:rPr>
          <w:rFonts w:asciiTheme="minorHAnsi" w:hAnsiTheme="minorHAnsi"/>
        </w:rPr>
        <w:t>Xeljanz</w:t>
      </w:r>
      <w:r>
        <w:rPr>
          <w:lang w:val="en-US"/>
        </w:rPr>
        <w:t xml:space="preserve"> 5mg </w:t>
      </w:r>
      <w:r w:rsidR="003A1B70">
        <w:rPr>
          <w:lang w:val="en-US"/>
        </w:rPr>
        <w:t>BD</w:t>
      </w:r>
      <w:r>
        <w:rPr>
          <w:lang w:val="en-US"/>
        </w:rPr>
        <w:t xml:space="preserve"> in combination with </w:t>
      </w:r>
      <w:proofErr w:type="spellStart"/>
      <w:r>
        <w:rPr>
          <w:lang w:val="en-US"/>
        </w:rPr>
        <w:t>nonbiologic</w:t>
      </w:r>
      <w:proofErr w:type="spellEnd"/>
      <w:r>
        <w:rPr>
          <w:lang w:val="en-US"/>
        </w:rPr>
        <w:t xml:space="preserve"> DMARDs for the following ps</w:t>
      </w:r>
      <w:r w:rsidR="00507AF2">
        <w:rPr>
          <w:lang w:val="en-US"/>
        </w:rPr>
        <w:t>oriatic arthritis indication:</w:t>
      </w:r>
    </w:p>
    <w:p w14:paraId="2E79CA23" w14:textId="77777777" w:rsidR="00507AF2" w:rsidRPr="00507AF2" w:rsidRDefault="00507AF2" w:rsidP="007E5F52">
      <w:pPr>
        <w:ind w:left="720"/>
        <w:rPr>
          <w:i/>
        </w:rPr>
      </w:pPr>
      <w:r w:rsidRPr="00507AF2">
        <w:rPr>
          <w:i/>
        </w:rPr>
        <w:t xml:space="preserve">Xeljanz/Xeljanz XR </w:t>
      </w:r>
      <w:r w:rsidR="00615860" w:rsidRPr="00507AF2">
        <w:rPr>
          <w:i/>
        </w:rPr>
        <w:t>is indicated for the treatment of adult patients with active psoriatic arthritis who have had an inadequate response or intolerance to methotrexate or other disease-modifyin</w:t>
      </w:r>
      <w:r w:rsidRPr="00507AF2">
        <w:rPr>
          <w:i/>
        </w:rPr>
        <w:t xml:space="preserve">g </w:t>
      </w:r>
      <w:proofErr w:type="spellStart"/>
      <w:r w:rsidRPr="00507AF2">
        <w:rPr>
          <w:i/>
        </w:rPr>
        <w:t>antirheumatic</w:t>
      </w:r>
      <w:proofErr w:type="spellEnd"/>
      <w:r w:rsidRPr="00507AF2">
        <w:rPr>
          <w:i/>
        </w:rPr>
        <w:t xml:space="preserve"> drugs (DMARDs).</w:t>
      </w:r>
    </w:p>
    <w:p w14:paraId="114C6042" w14:textId="77777777" w:rsidR="00615860" w:rsidRPr="00507AF2" w:rsidRDefault="00615860" w:rsidP="007E5F52">
      <w:pPr>
        <w:ind w:left="720"/>
        <w:rPr>
          <w:i/>
          <w:u w:val="single"/>
          <w:lang w:val="en-US"/>
        </w:rPr>
      </w:pPr>
      <w:r w:rsidRPr="00507AF2">
        <w:rPr>
          <w:i/>
        </w:rPr>
        <w:t xml:space="preserve">Limitations of Use: Use of </w:t>
      </w:r>
      <w:r w:rsidR="00507AF2" w:rsidRPr="00507AF2">
        <w:rPr>
          <w:i/>
        </w:rPr>
        <w:t xml:space="preserve">Xeljanz/Xeljanz </w:t>
      </w:r>
      <w:proofErr w:type="spellStart"/>
      <w:r w:rsidR="00507AF2" w:rsidRPr="00507AF2">
        <w:rPr>
          <w:i/>
        </w:rPr>
        <w:t>Xr</w:t>
      </w:r>
      <w:proofErr w:type="spellEnd"/>
      <w:r w:rsidR="00507AF2" w:rsidRPr="00507AF2">
        <w:rPr>
          <w:i/>
        </w:rPr>
        <w:t xml:space="preserve"> </w:t>
      </w:r>
      <w:r w:rsidRPr="00507AF2">
        <w:rPr>
          <w:i/>
        </w:rPr>
        <w:t xml:space="preserve">in combination with biologic DMARDs or with potent </w:t>
      </w:r>
      <w:proofErr w:type="spellStart"/>
      <w:r w:rsidRPr="00507AF2">
        <w:rPr>
          <w:i/>
        </w:rPr>
        <w:t>immunosuppressants</w:t>
      </w:r>
      <w:proofErr w:type="spellEnd"/>
      <w:r w:rsidRPr="00507AF2">
        <w:rPr>
          <w:i/>
        </w:rPr>
        <w:t xml:space="preserve"> such as azathioprine and cyclosporine is not recommended.</w:t>
      </w:r>
    </w:p>
    <w:p w14:paraId="3A1578A7" w14:textId="0BE2381A" w:rsidR="00507AF2" w:rsidRPr="00507AF2" w:rsidRDefault="00615860" w:rsidP="00507AF2">
      <w:pPr>
        <w:pStyle w:val="ListBullet"/>
        <w:rPr>
          <w:rFonts w:asciiTheme="minorHAnsi" w:eastAsiaTheme="minorHAnsi" w:hAnsiTheme="minorHAnsi" w:cs="TimesNewRomanPS-ItalicMT"/>
          <w:iCs/>
        </w:rPr>
      </w:pPr>
      <w:r w:rsidRPr="00507AF2">
        <w:rPr>
          <w:rFonts w:asciiTheme="minorHAnsi" w:hAnsiTheme="minorHAnsi"/>
        </w:rPr>
        <w:t>EU:</w:t>
      </w:r>
      <w:r w:rsidR="00507AF2" w:rsidRPr="00507AF2">
        <w:rPr>
          <w:rFonts w:asciiTheme="minorHAnsi" w:hAnsiTheme="minorHAnsi"/>
        </w:rPr>
        <w:t xml:space="preserve"> </w:t>
      </w:r>
      <w:r w:rsidRPr="00507AF2">
        <w:rPr>
          <w:rFonts w:asciiTheme="minorHAnsi" w:hAnsiTheme="minorHAnsi"/>
        </w:rPr>
        <w:t xml:space="preserve">On </w:t>
      </w:r>
      <w:r w:rsidR="00507AF2" w:rsidRPr="00507AF2">
        <w:rPr>
          <w:rFonts w:asciiTheme="minorHAnsi" w:hAnsiTheme="minorHAnsi"/>
        </w:rPr>
        <w:t xml:space="preserve">26 April 2018, </w:t>
      </w:r>
      <w:r w:rsidR="00AB59A7">
        <w:rPr>
          <w:rFonts w:asciiTheme="minorHAnsi" w:hAnsiTheme="minorHAnsi"/>
        </w:rPr>
        <w:t xml:space="preserve">the </w:t>
      </w:r>
      <w:r w:rsidRPr="00507AF2">
        <w:rPr>
          <w:rFonts w:asciiTheme="minorHAnsi" w:hAnsiTheme="minorHAnsi"/>
        </w:rPr>
        <w:t xml:space="preserve">CHMP adopted a positive opinion recommending approval of </w:t>
      </w:r>
      <w:r w:rsidR="00507AF2" w:rsidRPr="00507AF2">
        <w:rPr>
          <w:rFonts w:asciiTheme="minorHAnsi" w:hAnsiTheme="minorHAnsi"/>
        </w:rPr>
        <w:t>Xeljanz</w:t>
      </w:r>
      <w:r w:rsidRPr="00507AF2">
        <w:rPr>
          <w:lang w:val="en-US"/>
        </w:rPr>
        <w:t xml:space="preserve"> </w:t>
      </w:r>
      <w:r w:rsidRPr="00507AF2">
        <w:rPr>
          <w:rFonts w:asciiTheme="minorHAnsi" w:hAnsiTheme="minorHAnsi"/>
        </w:rPr>
        <w:t xml:space="preserve">5mg </w:t>
      </w:r>
      <w:r w:rsidR="003A1B70">
        <w:rPr>
          <w:rFonts w:asciiTheme="minorHAnsi" w:hAnsiTheme="minorHAnsi"/>
        </w:rPr>
        <w:t>BD</w:t>
      </w:r>
      <w:r w:rsidRPr="00507AF2">
        <w:rPr>
          <w:rFonts w:asciiTheme="minorHAnsi" w:hAnsiTheme="minorHAnsi"/>
        </w:rPr>
        <w:t xml:space="preserve"> for </w:t>
      </w:r>
      <w:r w:rsidRPr="00507AF2">
        <w:rPr>
          <w:lang w:val="en-US"/>
        </w:rPr>
        <w:t>the following psoriatic arthritis indication</w:t>
      </w:r>
      <w:r w:rsidRPr="00507AF2">
        <w:rPr>
          <w:rFonts w:asciiTheme="minorHAnsi" w:hAnsiTheme="minorHAnsi"/>
        </w:rPr>
        <w:t>:</w:t>
      </w:r>
    </w:p>
    <w:p w14:paraId="64C26CBE" w14:textId="77777777" w:rsidR="00615860" w:rsidRPr="00507AF2" w:rsidRDefault="00507AF2" w:rsidP="007E5F52">
      <w:pPr>
        <w:ind w:left="720"/>
        <w:rPr>
          <w:i/>
        </w:rPr>
      </w:pPr>
      <w:r w:rsidRPr="00507AF2">
        <w:rPr>
          <w:i/>
        </w:rPr>
        <w:lastRenderedPageBreak/>
        <w:t xml:space="preserve">Xeljanz </w:t>
      </w:r>
      <w:r w:rsidR="00615860" w:rsidRPr="00507AF2">
        <w:rPr>
          <w:i/>
        </w:rPr>
        <w:t>in combination with MTX is indicated for the treatment of active psoriatic arthritis (</w:t>
      </w:r>
      <w:proofErr w:type="spellStart"/>
      <w:r w:rsidR="00615860" w:rsidRPr="00507AF2">
        <w:rPr>
          <w:i/>
        </w:rPr>
        <w:t>PsA</w:t>
      </w:r>
      <w:proofErr w:type="spellEnd"/>
      <w:r w:rsidR="00615860" w:rsidRPr="00507AF2">
        <w:rPr>
          <w:i/>
        </w:rPr>
        <w:t xml:space="preserve">) in adult patients who have had an inadequate response or who have been intolerant to a prior disease-modifying </w:t>
      </w:r>
      <w:proofErr w:type="spellStart"/>
      <w:r w:rsidR="00615860" w:rsidRPr="00507AF2">
        <w:rPr>
          <w:i/>
        </w:rPr>
        <w:t>antirheumatic</w:t>
      </w:r>
      <w:proofErr w:type="spellEnd"/>
      <w:r w:rsidR="00615860" w:rsidRPr="00507AF2">
        <w:rPr>
          <w:i/>
        </w:rPr>
        <w:t xml:space="preserve"> drug (DMARD) therapy (see section 5.1).</w:t>
      </w:r>
    </w:p>
    <w:p w14:paraId="11D29935" w14:textId="0D3E46FA" w:rsidR="00615860" w:rsidRPr="00CF74BC" w:rsidRDefault="00615860" w:rsidP="00615860">
      <w:pPr>
        <w:autoSpaceDE w:val="0"/>
        <w:autoSpaceDN w:val="0"/>
        <w:adjustRightInd w:val="0"/>
        <w:spacing w:line="240" w:lineRule="auto"/>
        <w:rPr>
          <w:rFonts w:ascii="TimesNewRomanPS-ItalicMT" w:eastAsiaTheme="minorHAnsi" w:hAnsi="TimesNewRomanPS-ItalicMT" w:cs="TimesNewRomanPS-ItalicMT"/>
          <w:iCs/>
          <w:sz w:val="24"/>
          <w:szCs w:val="24"/>
        </w:rPr>
      </w:pPr>
      <w:r>
        <w:rPr>
          <w:rFonts w:asciiTheme="minorHAnsi" w:eastAsiaTheme="minorHAnsi" w:hAnsiTheme="minorHAnsi" w:cs="TimesNewRomanPS-ItalicMT"/>
          <w:iCs/>
        </w:rPr>
        <w:t xml:space="preserve">Assessment of the </w:t>
      </w:r>
      <w:proofErr w:type="spellStart"/>
      <w:r>
        <w:rPr>
          <w:rFonts w:asciiTheme="minorHAnsi" w:eastAsiaTheme="minorHAnsi" w:hAnsiTheme="minorHAnsi" w:cs="TimesNewRomanPS-ItalicMT"/>
          <w:iCs/>
        </w:rPr>
        <w:t>PsA</w:t>
      </w:r>
      <w:proofErr w:type="spellEnd"/>
      <w:r>
        <w:rPr>
          <w:rFonts w:asciiTheme="minorHAnsi" w:eastAsiaTheme="minorHAnsi" w:hAnsiTheme="minorHAnsi" w:cs="TimesNewRomanPS-ItalicMT"/>
          <w:iCs/>
        </w:rPr>
        <w:t xml:space="preserve"> indication in other countries is pending.</w:t>
      </w:r>
    </w:p>
    <w:p w14:paraId="574C341C" w14:textId="77777777" w:rsidR="00615860" w:rsidRDefault="008978B8" w:rsidP="00615860">
      <w:pPr>
        <w:pStyle w:val="Heading4"/>
        <w:rPr>
          <w:lang w:val="en-US"/>
        </w:rPr>
      </w:pPr>
      <w:r>
        <w:rPr>
          <w:lang w:val="en-US"/>
        </w:rPr>
        <w:t>Guidance</w:t>
      </w:r>
    </w:p>
    <w:p w14:paraId="2177F64F" w14:textId="50888DF6" w:rsidR="00615860" w:rsidRDefault="00507AF2" w:rsidP="00507AF2">
      <w:pPr>
        <w:rPr>
          <w:lang w:eastAsia="ja-JP"/>
        </w:rPr>
      </w:pPr>
      <w:r>
        <w:rPr>
          <w:lang w:val="en-US"/>
        </w:rPr>
        <w:t>The design of the Phase III</w:t>
      </w:r>
      <w:r w:rsidR="00615860">
        <w:rPr>
          <w:lang w:val="en-US"/>
        </w:rPr>
        <w:t xml:space="preserve"> program for </w:t>
      </w:r>
      <w:proofErr w:type="spellStart"/>
      <w:r w:rsidR="00615860">
        <w:rPr>
          <w:lang w:val="en-US"/>
        </w:rPr>
        <w:t>PsA</w:t>
      </w:r>
      <w:proofErr w:type="spellEnd"/>
      <w:r w:rsidR="00615860">
        <w:rPr>
          <w:lang w:val="en-US"/>
        </w:rPr>
        <w:t xml:space="preserve"> was based on extens</w:t>
      </w:r>
      <w:r>
        <w:rPr>
          <w:lang w:val="en-US"/>
        </w:rPr>
        <w:t xml:space="preserve">ive guidance from </w:t>
      </w:r>
      <w:r w:rsidR="00AB59A7">
        <w:rPr>
          <w:lang w:val="en-US"/>
        </w:rPr>
        <w:t xml:space="preserve">the </w:t>
      </w:r>
      <w:r>
        <w:rPr>
          <w:lang w:val="en-US"/>
        </w:rPr>
        <w:t xml:space="preserve">FDA and EMA. </w:t>
      </w:r>
      <w:r w:rsidR="00615860">
        <w:rPr>
          <w:lang w:eastAsia="ja-JP"/>
        </w:rPr>
        <w:t>The key outcomes were:</w:t>
      </w:r>
    </w:p>
    <w:p w14:paraId="1230E9E7" w14:textId="77777777" w:rsidR="00615860" w:rsidRDefault="00615860" w:rsidP="00507AF2">
      <w:pPr>
        <w:pStyle w:val="ListBullet"/>
      </w:pPr>
      <w:r>
        <w:t>The overall study program was considered appropriate.</w:t>
      </w:r>
    </w:p>
    <w:p w14:paraId="7989F50B" w14:textId="77777777" w:rsidR="00615860" w:rsidRDefault="00615860" w:rsidP="00507AF2">
      <w:pPr>
        <w:pStyle w:val="ListBullet"/>
      </w:pPr>
      <w:r>
        <w:t xml:space="preserve">The initial protocol included an option for </w:t>
      </w:r>
      <w:proofErr w:type="spellStart"/>
      <w:r>
        <w:t>tofacitinib</w:t>
      </w:r>
      <w:proofErr w:type="spellEnd"/>
      <w:r>
        <w:t xml:space="preserve"> monotherapy but thi</w:t>
      </w:r>
      <w:r w:rsidR="00507AF2">
        <w:t>s was considered unacceptable.</w:t>
      </w:r>
      <w:r>
        <w:t xml:space="preserve"> Mandatory background </w:t>
      </w:r>
      <w:proofErr w:type="spellStart"/>
      <w:r>
        <w:t>csDMARD</w:t>
      </w:r>
      <w:proofErr w:type="spellEnd"/>
      <w:r>
        <w:t xml:space="preserve"> therapy was required for the pivotal studies because of concern with allocating patients at risk of structural joint damage to placebo with no bac</w:t>
      </w:r>
      <w:r w:rsidR="00507AF2">
        <w:t>kground treatment for 3 months.</w:t>
      </w:r>
    </w:p>
    <w:p w14:paraId="3C8A94B1" w14:textId="77777777" w:rsidR="00615860" w:rsidRDefault="00615860" w:rsidP="00507AF2">
      <w:pPr>
        <w:pStyle w:val="ListBullet"/>
      </w:pPr>
      <w:r>
        <w:t>The treatment durations for the two pivotal efficacy studies were approved.</w:t>
      </w:r>
    </w:p>
    <w:p w14:paraId="2B772125" w14:textId="77777777" w:rsidR="00615860" w:rsidRDefault="00615860" w:rsidP="00507AF2">
      <w:pPr>
        <w:pStyle w:val="ListBullet"/>
      </w:pPr>
      <w:r>
        <w:t>The study endpoints were approved (ACR20 and HAQ-DI at Month 3).</w:t>
      </w:r>
    </w:p>
    <w:p w14:paraId="143F4FED" w14:textId="77777777" w:rsidR="00615860" w:rsidRDefault="00615860" w:rsidP="00507AF2">
      <w:pPr>
        <w:pStyle w:val="ListBullet"/>
      </w:pPr>
      <w:proofErr w:type="spellStart"/>
      <w:r>
        <w:t>Adalimumab</w:t>
      </w:r>
      <w:proofErr w:type="spellEnd"/>
      <w:r>
        <w:t xml:space="preserve"> was a</w:t>
      </w:r>
      <w:r w:rsidR="00507AF2">
        <w:t>greed as a positive control in S</w:t>
      </w:r>
      <w:r>
        <w:t>tudy A3921091.</w:t>
      </w:r>
    </w:p>
    <w:p w14:paraId="5BE9F583" w14:textId="77777777" w:rsidR="00615860" w:rsidRDefault="00615860" w:rsidP="00507AF2">
      <w:pPr>
        <w:pStyle w:val="ListBullet"/>
      </w:pPr>
      <w:r>
        <w:t>The ration</w:t>
      </w:r>
      <w:r w:rsidR="00507AF2">
        <w:t>ale for not conducting a Phase II</w:t>
      </w:r>
      <w:r>
        <w:t xml:space="preserve"> dose ranging study in pat</w:t>
      </w:r>
      <w:r w:rsidR="00507AF2">
        <w:t xml:space="preserve">ients with </w:t>
      </w:r>
      <w:proofErr w:type="spellStart"/>
      <w:r w:rsidR="00507AF2">
        <w:t>PsA</w:t>
      </w:r>
      <w:proofErr w:type="spellEnd"/>
      <w:r w:rsidR="00507AF2">
        <w:t xml:space="preserve"> was accepted.</w:t>
      </w:r>
    </w:p>
    <w:p w14:paraId="397C8831" w14:textId="77777777" w:rsidR="00615860" w:rsidRPr="005E246B" w:rsidRDefault="00615860" w:rsidP="00507AF2">
      <w:r>
        <w:t>Other guidance relevant to this submission include</w:t>
      </w:r>
      <w:r w:rsidR="005E246B">
        <w:t>s the TGA-adopted EU guideline</w:t>
      </w:r>
      <w:r>
        <w:rPr>
          <w:rStyle w:val="keywords"/>
          <w:lang w:val="en"/>
        </w:rPr>
        <w:t xml:space="preserve"> on Clinical Investigation of Medicinal Products for the Tre</w:t>
      </w:r>
      <w:r w:rsidR="005E246B">
        <w:rPr>
          <w:rStyle w:val="keywords"/>
          <w:lang w:val="en"/>
        </w:rPr>
        <w:t>atment of Psoriatic Arthritis</w:t>
      </w:r>
      <w:r>
        <w:rPr>
          <w:lang w:val="en"/>
        </w:rPr>
        <w:t>.</w:t>
      </w:r>
      <w:r w:rsidR="005E246B">
        <w:rPr>
          <w:lang w:val="en"/>
        </w:rPr>
        <w:fldChar w:fldCharType="begin"/>
      </w:r>
      <w:r w:rsidR="005E246B">
        <w:rPr>
          <w:lang w:val="en"/>
        </w:rPr>
        <w:instrText xml:space="preserve"> NOTEREF _Ref17356873 \f \h </w:instrText>
      </w:r>
      <w:r w:rsidR="005E246B">
        <w:rPr>
          <w:lang w:val="en"/>
        </w:rPr>
      </w:r>
      <w:r w:rsidR="005E246B">
        <w:rPr>
          <w:lang w:val="en"/>
        </w:rPr>
        <w:fldChar w:fldCharType="separate"/>
      </w:r>
      <w:r w:rsidR="005E246B" w:rsidRPr="005E246B">
        <w:rPr>
          <w:rStyle w:val="FootnoteReference"/>
        </w:rPr>
        <w:t>4</w:t>
      </w:r>
      <w:r w:rsidR="005E246B">
        <w:rPr>
          <w:lang w:val="en"/>
        </w:rPr>
        <w:fldChar w:fldCharType="end"/>
      </w:r>
    </w:p>
    <w:p w14:paraId="7981A553" w14:textId="77777777" w:rsidR="008E7846" w:rsidRDefault="008E7846" w:rsidP="008E7846">
      <w:pPr>
        <w:pStyle w:val="Heading3"/>
      </w:pPr>
      <w:bookmarkStart w:id="188" w:name="_Toc314842511"/>
      <w:bookmarkStart w:id="189" w:name="_Toc22048627"/>
      <w:r>
        <w:t>Quality</w:t>
      </w:r>
      <w:bookmarkEnd w:id="185"/>
      <w:bookmarkEnd w:id="188"/>
      <w:bookmarkEnd w:id="189"/>
    </w:p>
    <w:p w14:paraId="7DB06612" w14:textId="77777777" w:rsidR="00E45619" w:rsidRDefault="008E7846" w:rsidP="003A7F6C">
      <w:r>
        <w:t>There was no requirement for a quality evaluation in a submission of this type.</w:t>
      </w:r>
    </w:p>
    <w:p w14:paraId="7348C9BB" w14:textId="77777777" w:rsidR="008E7846" w:rsidRDefault="008E7846" w:rsidP="008E7846">
      <w:pPr>
        <w:pStyle w:val="Heading3"/>
      </w:pPr>
      <w:bookmarkStart w:id="190" w:name="_Toc314842512"/>
      <w:bookmarkStart w:id="191" w:name="_Toc22048628"/>
      <w:r>
        <w:t>Nonclinical</w:t>
      </w:r>
      <w:bookmarkEnd w:id="190"/>
      <w:bookmarkEnd w:id="191"/>
    </w:p>
    <w:p w14:paraId="4A6FFB40" w14:textId="77777777" w:rsidR="00615860" w:rsidRDefault="00615860" w:rsidP="005E246B">
      <w:r>
        <w:t xml:space="preserve">The nonclinical dossier included </w:t>
      </w:r>
      <w:r w:rsidRPr="00081F4A">
        <w:rPr>
          <w:i/>
        </w:rPr>
        <w:t>in vitro</w:t>
      </w:r>
      <w:r>
        <w:t xml:space="preserve"> and </w:t>
      </w:r>
      <w:r w:rsidRPr="00081F4A">
        <w:rPr>
          <w:i/>
        </w:rPr>
        <w:t>in vivo</w:t>
      </w:r>
      <w:r>
        <w:t xml:space="preserve"> pharmacology and pharmacokinetic studies and </w:t>
      </w:r>
      <w:r w:rsidRPr="00081F4A">
        <w:rPr>
          <w:i/>
        </w:rPr>
        <w:t xml:space="preserve">in </w:t>
      </w:r>
      <w:proofErr w:type="spellStart"/>
      <w:r w:rsidRPr="00081F4A">
        <w:rPr>
          <w:i/>
        </w:rPr>
        <w:t>silico</w:t>
      </w:r>
      <w:proofErr w:type="spellEnd"/>
      <w:r w:rsidR="005E246B">
        <w:t xml:space="preserve"> impurity studies. </w:t>
      </w:r>
      <w:r w:rsidRPr="00530EC3">
        <w:rPr>
          <w:i/>
          <w:kern w:val="2"/>
        </w:rPr>
        <w:t xml:space="preserve">In vitro </w:t>
      </w:r>
      <w:r>
        <w:rPr>
          <w:kern w:val="2"/>
        </w:rPr>
        <w:t xml:space="preserve">pharmacology studies demonstrated that </w:t>
      </w:r>
      <w:proofErr w:type="spellStart"/>
      <w:r>
        <w:rPr>
          <w:kern w:val="2"/>
        </w:rPr>
        <w:t>tofacitinib</w:t>
      </w:r>
      <w:proofErr w:type="spellEnd"/>
      <w:r>
        <w:rPr>
          <w:kern w:val="2"/>
        </w:rPr>
        <w:t xml:space="preserve"> inhibited interleukin-induced STATs phosphorylation (JAK/JAK or JAK/TYK mediated). </w:t>
      </w:r>
      <w:r w:rsidRPr="008909FB">
        <w:rPr>
          <w:kern w:val="2"/>
        </w:rPr>
        <w:t xml:space="preserve">Tofacitinib displayed </w:t>
      </w:r>
      <w:r>
        <w:rPr>
          <w:kern w:val="2"/>
        </w:rPr>
        <w:t xml:space="preserve">efficacy </w:t>
      </w:r>
      <w:r w:rsidRPr="008909FB">
        <w:rPr>
          <w:i/>
          <w:kern w:val="2"/>
        </w:rPr>
        <w:t>in vivo</w:t>
      </w:r>
      <w:r>
        <w:rPr>
          <w:kern w:val="2"/>
        </w:rPr>
        <w:t xml:space="preserve"> in mouse models of induced skin inflammation, </w:t>
      </w:r>
      <w:r w:rsidR="005E246B">
        <w:t xml:space="preserve">T </w:t>
      </w:r>
      <w:r>
        <w:t>cell transfer and xenograft models of psoriasis.</w:t>
      </w:r>
    </w:p>
    <w:p w14:paraId="4506AAE1" w14:textId="77777777" w:rsidR="00615860" w:rsidRDefault="00615860" w:rsidP="005E246B">
      <w:r>
        <w:t>All nonclinical issues raised during the e</w:t>
      </w:r>
      <w:r w:rsidR="005E246B">
        <w:t>valuation have been addressed.</w:t>
      </w:r>
    </w:p>
    <w:p w14:paraId="2BD65168" w14:textId="77777777" w:rsidR="00615860" w:rsidRDefault="00615860" w:rsidP="005E246B">
      <w:r>
        <w:t>There are no nonclinical objections to the proposed extension of indications.</w:t>
      </w:r>
    </w:p>
    <w:p w14:paraId="57FDCA30" w14:textId="77777777" w:rsidR="00615860" w:rsidRPr="00615860" w:rsidRDefault="00615860" w:rsidP="005E246B">
      <w:r>
        <w:t xml:space="preserve">The draft PI is acceptable </w:t>
      </w:r>
      <w:r w:rsidR="005E246B">
        <w:t>from a nonclinical perspective.</w:t>
      </w:r>
    </w:p>
    <w:p w14:paraId="3E427140" w14:textId="77777777" w:rsidR="008E7846" w:rsidRDefault="008E7846" w:rsidP="008E7846">
      <w:pPr>
        <w:pStyle w:val="Heading3"/>
      </w:pPr>
      <w:bookmarkStart w:id="192" w:name="_Toc247691530"/>
      <w:bookmarkStart w:id="193" w:name="_Toc314842513"/>
      <w:bookmarkStart w:id="194" w:name="_Toc22048629"/>
      <w:r>
        <w:t>Clinical</w:t>
      </w:r>
      <w:bookmarkEnd w:id="192"/>
      <w:bookmarkEnd w:id="193"/>
      <w:bookmarkEnd w:id="194"/>
    </w:p>
    <w:p w14:paraId="15FF679D" w14:textId="77777777" w:rsidR="005E246B" w:rsidRDefault="00615860" w:rsidP="005E246B">
      <w:pPr>
        <w:rPr>
          <w:lang w:eastAsia="ja-JP"/>
        </w:rPr>
      </w:pPr>
      <w:r>
        <w:t xml:space="preserve">The clinical dossier included </w:t>
      </w:r>
      <w:r w:rsidR="005E246B">
        <w:rPr>
          <w:lang w:eastAsia="ja-JP"/>
        </w:rPr>
        <w:t xml:space="preserve">two pivotal Phase III studies and an ongoing, open label, long </w:t>
      </w:r>
      <w:r>
        <w:rPr>
          <w:lang w:eastAsia="ja-JP"/>
        </w:rPr>
        <w:t>term extension study of patients e</w:t>
      </w:r>
      <w:r w:rsidR="005E246B">
        <w:rPr>
          <w:lang w:eastAsia="ja-JP"/>
        </w:rPr>
        <w:t>nrolled in the pivotal studies.</w:t>
      </w:r>
    </w:p>
    <w:p w14:paraId="0236B0D4" w14:textId="4EFA9139" w:rsidR="005E246B" w:rsidRDefault="005E246B" w:rsidP="005E246B">
      <w:pPr>
        <w:pStyle w:val="ListBullet"/>
        <w:rPr>
          <w:lang w:eastAsia="ja-JP"/>
        </w:rPr>
      </w:pPr>
      <w:r w:rsidRPr="005E246B">
        <w:rPr>
          <w:lang w:eastAsia="ja-JP"/>
        </w:rPr>
        <w:t xml:space="preserve">Study </w:t>
      </w:r>
      <w:r w:rsidR="00615860" w:rsidRPr="005E246B">
        <w:rPr>
          <w:lang w:eastAsia="ja-JP"/>
        </w:rPr>
        <w:t>A3921091</w:t>
      </w:r>
      <w:r w:rsidR="00AB59A7">
        <w:rPr>
          <w:lang w:eastAsia="ja-JP"/>
        </w:rPr>
        <w:t xml:space="preserve"> was a</w:t>
      </w:r>
      <w:r>
        <w:rPr>
          <w:lang w:eastAsia="ja-JP"/>
        </w:rPr>
        <w:t xml:space="preserve"> randomised, double blind, placebo </w:t>
      </w:r>
      <w:r w:rsidR="00615860" w:rsidRPr="005E246B">
        <w:rPr>
          <w:lang w:eastAsia="ja-JP"/>
        </w:rPr>
        <w:t xml:space="preserve">controlled study of the efficacy and safety of </w:t>
      </w:r>
      <w:proofErr w:type="spellStart"/>
      <w:r w:rsidR="00615860" w:rsidRPr="005E246B">
        <w:rPr>
          <w:lang w:eastAsia="ja-JP"/>
        </w:rPr>
        <w:t>tofacitinib</w:t>
      </w:r>
      <w:proofErr w:type="spellEnd"/>
      <w:r w:rsidR="00615860">
        <w:rPr>
          <w:lang w:eastAsia="ja-JP"/>
        </w:rPr>
        <w:t xml:space="preserve"> (5 mg </w:t>
      </w:r>
      <w:r w:rsidR="003A1B70">
        <w:rPr>
          <w:lang w:eastAsia="ja-JP"/>
        </w:rPr>
        <w:t>BD</w:t>
      </w:r>
      <w:r w:rsidR="00615860">
        <w:rPr>
          <w:lang w:eastAsia="ja-JP"/>
        </w:rPr>
        <w:t xml:space="preserve"> or 10 mg </w:t>
      </w:r>
      <w:r w:rsidR="003A1B70">
        <w:rPr>
          <w:lang w:eastAsia="ja-JP"/>
        </w:rPr>
        <w:t>BD</w:t>
      </w:r>
      <w:r w:rsidR="00615860">
        <w:rPr>
          <w:lang w:eastAsia="ja-JP"/>
        </w:rPr>
        <w:t xml:space="preserve">) in patients with active </w:t>
      </w:r>
      <w:proofErr w:type="spellStart"/>
      <w:r w:rsidR="00615860">
        <w:rPr>
          <w:lang w:eastAsia="ja-JP"/>
        </w:rPr>
        <w:t>PsA.</w:t>
      </w:r>
      <w:proofErr w:type="spellEnd"/>
      <w:r w:rsidR="00615860">
        <w:rPr>
          <w:lang w:eastAsia="ja-JP"/>
        </w:rPr>
        <w:t xml:space="preserve"> The study duration was 12 months. The primary endpoints were ACR20 response rates and changes in HAQ-DI at Month 3. Patients were required to have had an inadequate response to at least one </w:t>
      </w:r>
      <w:proofErr w:type="spellStart"/>
      <w:r w:rsidR="00615860">
        <w:rPr>
          <w:lang w:eastAsia="ja-JP"/>
        </w:rPr>
        <w:t>csDMARD</w:t>
      </w:r>
      <w:proofErr w:type="spellEnd"/>
      <w:r w:rsidR="00615860">
        <w:rPr>
          <w:lang w:eastAsia="ja-JP"/>
        </w:rPr>
        <w:t xml:space="preserve"> and to be TNF inhibitor naïve. </w:t>
      </w:r>
      <w:r w:rsidR="00615860">
        <w:rPr>
          <w:lang w:eastAsia="ja-JP"/>
        </w:rPr>
        <w:lastRenderedPageBreak/>
        <w:t xml:space="preserve">Tofacitinib was added to previous stable </w:t>
      </w:r>
      <w:proofErr w:type="spellStart"/>
      <w:r w:rsidR="00615860">
        <w:rPr>
          <w:lang w:eastAsia="ja-JP"/>
        </w:rPr>
        <w:t>csDMARD</w:t>
      </w:r>
      <w:proofErr w:type="spellEnd"/>
      <w:r w:rsidR="00615860">
        <w:rPr>
          <w:lang w:eastAsia="ja-JP"/>
        </w:rPr>
        <w:t xml:space="preserve"> therapy and monotherapy was not allowed. </w:t>
      </w:r>
      <w:proofErr w:type="spellStart"/>
      <w:r w:rsidR="00615860">
        <w:rPr>
          <w:lang w:eastAsia="ja-JP"/>
        </w:rPr>
        <w:t>Adalimumab</w:t>
      </w:r>
      <w:proofErr w:type="spellEnd"/>
      <w:r w:rsidR="00615860">
        <w:rPr>
          <w:lang w:eastAsia="ja-JP"/>
        </w:rPr>
        <w:t xml:space="preserve"> was i</w:t>
      </w:r>
      <w:r>
        <w:rPr>
          <w:lang w:eastAsia="ja-JP"/>
        </w:rPr>
        <w:t>ncluded as a positive control.</w:t>
      </w:r>
    </w:p>
    <w:p w14:paraId="072A70BD" w14:textId="78772F69" w:rsidR="005E246B" w:rsidRDefault="005E246B" w:rsidP="005E246B">
      <w:pPr>
        <w:pStyle w:val="ListBullet"/>
        <w:rPr>
          <w:lang w:eastAsia="ja-JP"/>
        </w:rPr>
      </w:pPr>
      <w:r w:rsidRPr="005E246B">
        <w:rPr>
          <w:lang w:eastAsia="ja-JP"/>
        </w:rPr>
        <w:t xml:space="preserve">Study </w:t>
      </w:r>
      <w:r w:rsidR="00615860" w:rsidRPr="005E246B">
        <w:rPr>
          <w:lang w:eastAsia="ja-JP"/>
        </w:rPr>
        <w:t>A3921125</w:t>
      </w:r>
      <w:r w:rsidR="00AB59A7">
        <w:rPr>
          <w:lang w:eastAsia="ja-JP"/>
        </w:rPr>
        <w:t xml:space="preserve"> was a</w:t>
      </w:r>
      <w:r>
        <w:rPr>
          <w:lang w:eastAsia="ja-JP"/>
        </w:rPr>
        <w:t xml:space="preserve"> randomised, double blind, placebo </w:t>
      </w:r>
      <w:r w:rsidR="00615860">
        <w:rPr>
          <w:lang w:eastAsia="ja-JP"/>
        </w:rPr>
        <w:t xml:space="preserve">controlled, study of the efficacy and safety of </w:t>
      </w:r>
      <w:proofErr w:type="spellStart"/>
      <w:r w:rsidR="00615860">
        <w:rPr>
          <w:lang w:eastAsia="ja-JP"/>
        </w:rPr>
        <w:t>tofacitinib</w:t>
      </w:r>
      <w:proofErr w:type="spellEnd"/>
      <w:r w:rsidR="00615860">
        <w:rPr>
          <w:lang w:eastAsia="ja-JP"/>
        </w:rPr>
        <w:t xml:space="preserve"> (5 mg </w:t>
      </w:r>
      <w:r w:rsidR="003A1B70">
        <w:rPr>
          <w:lang w:eastAsia="ja-JP"/>
        </w:rPr>
        <w:t>BD</w:t>
      </w:r>
      <w:r w:rsidR="00615860">
        <w:rPr>
          <w:lang w:eastAsia="ja-JP"/>
        </w:rPr>
        <w:t xml:space="preserve"> or 10 mg </w:t>
      </w:r>
      <w:r w:rsidR="003A1B70">
        <w:rPr>
          <w:lang w:eastAsia="ja-JP"/>
        </w:rPr>
        <w:t>BD</w:t>
      </w:r>
      <w:r w:rsidR="00615860">
        <w:rPr>
          <w:lang w:eastAsia="ja-JP"/>
        </w:rPr>
        <w:t xml:space="preserve">) in patients with active </w:t>
      </w:r>
      <w:proofErr w:type="spellStart"/>
      <w:r w:rsidR="00615860">
        <w:rPr>
          <w:lang w:eastAsia="ja-JP"/>
        </w:rPr>
        <w:t>PsA</w:t>
      </w:r>
      <w:proofErr w:type="spellEnd"/>
      <w:r w:rsidR="00615860">
        <w:rPr>
          <w:lang w:eastAsia="ja-JP"/>
        </w:rPr>
        <w:t xml:space="preserve"> and an inadequate response to at least one TNF inhibitor. The study duration was 6 months. The primary endpoints were ACR20 response rates and changes in HAQ-DI at Month 3. Tofacitinib was added to previous stable </w:t>
      </w:r>
      <w:proofErr w:type="spellStart"/>
      <w:r w:rsidR="00615860">
        <w:rPr>
          <w:lang w:eastAsia="ja-JP"/>
        </w:rPr>
        <w:t>csDMARD</w:t>
      </w:r>
      <w:proofErr w:type="spellEnd"/>
      <w:r w:rsidR="00615860">
        <w:rPr>
          <w:lang w:eastAsia="ja-JP"/>
        </w:rPr>
        <w:t xml:space="preserve"> therapy a</w:t>
      </w:r>
      <w:r>
        <w:rPr>
          <w:lang w:eastAsia="ja-JP"/>
        </w:rPr>
        <w:t>nd monotherapy was not allowed.</w:t>
      </w:r>
    </w:p>
    <w:p w14:paraId="0233AD3A" w14:textId="045B5E1E" w:rsidR="00615860" w:rsidRDefault="005E246B" w:rsidP="005E246B">
      <w:pPr>
        <w:pStyle w:val="ListBullet"/>
        <w:rPr>
          <w:lang w:eastAsia="ja-JP"/>
        </w:rPr>
      </w:pPr>
      <w:r w:rsidRPr="005E246B">
        <w:rPr>
          <w:lang w:eastAsia="ja-JP"/>
        </w:rPr>
        <w:t xml:space="preserve">Study </w:t>
      </w:r>
      <w:r w:rsidR="00615860" w:rsidRPr="005E246B">
        <w:rPr>
          <w:lang w:eastAsia="ja-JP"/>
        </w:rPr>
        <w:t>A3921092</w:t>
      </w:r>
      <w:r w:rsidR="00AB59A7">
        <w:rPr>
          <w:lang w:eastAsia="ja-JP"/>
        </w:rPr>
        <w:t xml:space="preserve"> is a</w:t>
      </w:r>
      <w:r w:rsidR="00615860" w:rsidRPr="005E246B">
        <w:rPr>
          <w:lang w:eastAsia="ja-JP"/>
        </w:rPr>
        <w:t>n on</w:t>
      </w:r>
      <w:r w:rsidR="00FD4AB0">
        <w:rPr>
          <w:lang w:eastAsia="ja-JP"/>
        </w:rPr>
        <w:t>going, open label, long term extension study</w:t>
      </w:r>
      <w:r w:rsidR="00615860">
        <w:rPr>
          <w:lang w:eastAsia="ja-JP"/>
        </w:rPr>
        <w:t xml:space="preserve"> of </w:t>
      </w:r>
      <w:proofErr w:type="spellStart"/>
      <w:r w:rsidR="00615860">
        <w:rPr>
          <w:lang w:eastAsia="ja-JP"/>
        </w:rPr>
        <w:t>tofacitinib</w:t>
      </w:r>
      <w:proofErr w:type="spellEnd"/>
      <w:r w:rsidR="00615860">
        <w:rPr>
          <w:lang w:eastAsia="ja-JP"/>
        </w:rPr>
        <w:t xml:space="preserve"> in patients with active </w:t>
      </w:r>
      <w:proofErr w:type="spellStart"/>
      <w:r w:rsidR="00615860">
        <w:rPr>
          <w:lang w:eastAsia="ja-JP"/>
        </w:rPr>
        <w:t>PsA</w:t>
      </w:r>
      <w:proofErr w:type="spellEnd"/>
      <w:r w:rsidR="00615860">
        <w:rPr>
          <w:lang w:eastAsia="ja-JP"/>
        </w:rPr>
        <w:t xml:space="preserve"> who were previously</w:t>
      </w:r>
      <w:r w:rsidR="00FD4AB0">
        <w:rPr>
          <w:lang w:eastAsia="ja-JP"/>
        </w:rPr>
        <w:t xml:space="preserve"> enrolled in the pivotal Phase III</w:t>
      </w:r>
      <w:r w:rsidR="00615860">
        <w:rPr>
          <w:lang w:eastAsia="ja-JP"/>
        </w:rPr>
        <w:t xml:space="preserve"> studies. The primary objective is safety and tolerability measured by the incidence and severity of AEs and laboratory abnormalities. The pla</w:t>
      </w:r>
      <w:r w:rsidR="00FD4AB0">
        <w:rPr>
          <w:lang w:eastAsia="ja-JP"/>
        </w:rPr>
        <w:t>nned study duration is 3 years.</w:t>
      </w:r>
    </w:p>
    <w:p w14:paraId="138934C6" w14:textId="77777777" w:rsidR="00615860" w:rsidRDefault="00615860" w:rsidP="00615860">
      <w:pPr>
        <w:rPr>
          <w:lang w:eastAsia="ja-JP"/>
        </w:rPr>
      </w:pPr>
      <w:r>
        <w:rPr>
          <w:lang w:eastAsia="ja-JP"/>
        </w:rPr>
        <w:t>Three supportive clinical studies were also submitted:</w:t>
      </w:r>
    </w:p>
    <w:p w14:paraId="11BA48AF" w14:textId="281DD2ED" w:rsidR="005E246B" w:rsidRDefault="005E246B" w:rsidP="005E246B">
      <w:pPr>
        <w:pStyle w:val="ListBullet"/>
      </w:pPr>
      <w:r>
        <w:t xml:space="preserve">Study </w:t>
      </w:r>
      <w:r w:rsidR="00615860" w:rsidRPr="005E246B">
        <w:t>A3921137</w:t>
      </w:r>
      <w:r w:rsidR="00AB59A7">
        <w:t xml:space="preserve"> was an</w:t>
      </w:r>
      <w:r w:rsidR="00615860" w:rsidRPr="005E246B">
        <w:t xml:space="preserve"> uncontrolled, study in Japanese patients w</w:t>
      </w:r>
      <w:r>
        <w:t>ith psoriasis (</w:t>
      </w:r>
      <w:proofErr w:type="spellStart"/>
      <w:r>
        <w:t>PsO</w:t>
      </w:r>
      <w:proofErr w:type="spellEnd"/>
      <w:r>
        <w:t xml:space="preserve">) and/or </w:t>
      </w:r>
      <w:proofErr w:type="spellStart"/>
      <w:r>
        <w:t>PsA.</w:t>
      </w:r>
      <w:proofErr w:type="spellEnd"/>
    </w:p>
    <w:p w14:paraId="32832059" w14:textId="69B9EADD" w:rsidR="005E246B" w:rsidRDefault="005E246B" w:rsidP="005E246B">
      <w:pPr>
        <w:pStyle w:val="ListBullet"/>
      </w:pPr>
      <w:r>
        <w:t xml:space="preserve">Study </w:t>
      </w:r>
      <w:r w:rsidR="00615860" w:rsidRPr="005E246B">
        <w:t>A3921119</w:t>
      </w:r>
      <w:r w:rsidR="00AB59A7">
        <w:t xml:space="preserve"> was a</w:t>
      </w:r>
      <w:r>
        <w:t xml:space="preserve"> Phase II, double blind, placebo controlled, dose </w:t>
      </w:r>
      <w:r w:rsidR="00615860" w:rsidRPr="005E246B">
        <w:t>ranging study in patients with acti</w:t>
      </w:r>
      <w:r>
        <w:t>ve ankylosing spondylitis (AS).</w:t>
      </w:r>
    </w:p>
    <w:p w14:paraId="6B7CB9E5" w14:textId="360DE4C7" w:rsidR="00615860" w:rsidRPr="005E246B" w:rsidRDefault="005E246B" w:rsidP="005E246B">
      <w:pPr>
        <w:pStyle w:val="ListBullet"/>
      </w:pPr>
      <w:r>
        <w:t xml:space="preserve">Study </w:t>
      </w:r>
      <w:r w:rsidR="00615860" w:rsidRPr="005E246B">
        <w:t>PMAR-EQDD-A392j-sNDA-601</w:t>
      </w:r>
      <w:r w:rsidR="00AB59A7">
        <w:t xml:space="preserve"> is</w:t>
      </w:r>
      <w:r w:rsidR="00615860" w:rsidRPr="005E246B">
        <w:t xml:space="preserve"> </w:t>
      </w:r>
      <w:r w:rsidR="00AB59A7">
        <w:t>a</w:t>
      </w:r>
      <w:r>
        <w:t xml:space="preserve"> population </w:t>
      </w:r>
      <w:r w:rsidR="00615860" w:rsidRPr="005E246B">
        <w:t xml:space="preserve">PK analysis in patients with </w:t>
      </w:r>
      <w:proofErr w:type="spellStart"/>
      <w:r w:rsidR="00615860" w:rsidRPr="005E246B">
        <w:t>PsA.</w:t>
      </w:r>
      <w:proofErr w:type="spellEnd"/>
    </w:p>
    <w:p w14:paraId="2AF4881E" w14:textId="77777777" w:rsidR="00615860" w:rsidRPr="00AA53F4" w:rsidRDefault="00615860" w:rsidP="00615860">
      <w:pPr>
        <w:pStyle w:val="Heading4"/>
      </w:pPr>
      <w:r w:rsidRPr="00AA53F4">
        <w:t>Pharmacology</w:t>
      </w:r>
    </w:p>
    <w:p w14:paraId="0216BF8B" w14:textId="77777777" w:rsidR="00615860" w:rsidRDefault="00FD4AB0" w:rsidP="00615860">
      <w:pPr>
        <w:pStyle w:val="Heading5"/>
      </w:pPr>
      <w:r>
        <w:t>Population PK data</w:t>
      </w:r>
    </w:p>
    <w:p w14:paraId="3DBEE667" w14:textId="77777777" w:rsidR="00615860" w:rsidRDefault="00615860" w:rsidP="00FD4AB0">
      <w:pPr>
        <w:rPr>
          <w:rFonts w:eastAsiaTheme="minorHAnsi" w:cstheme="minorHAnsi"/>
        </w:rPr>
      </w:pPr>
      <w:r>
        <w:rPr>
          <w:lang w:eastAsia="ja-JP"/>
        </w:rPr>
        <w:t>The pop</w:t>
      </w:r>
      <w:r w:rsidR="00FD4AB0">
        <w:rPr>
          <w:lang w:eastAsia="ja-JP"/>
        </w:rPr>
        <w:t xml:space="preserve">ulation </w:t>
      </w:r>
      <w:r w:rsidR="002D6420">
        <w:rPr>
          <w:lang w:eastAsia="ja-JP"/>
        </w:rPr>
        <w:t>PK S</w:t>
      </w:r>
      <w:r>
        <w:rPr>
          <w:lang w:eastAsia="ja-JP"/>
        </w:rPr>
        <w:t xml:space="preserve">tudy </w:t>
      </w:r>
      <w:r w:rsidRPr="006B4E0C">
        <w:rPr>
          <w:lang w:eastAsia="ja-JP"/>
        </w:rPr>
        <w:t>PMAR-EQDD-A392j-sNDA-601</w:t>
      </w:r>
      <w:r>
        <w:rPr>
          <w:lang w:eastAsia="ja-JP"/>
        </w:rPr>
        <w:t xml:space="preserve"> was performed to characterise </w:t>
      </w:r>
      <w:proofErr w:type="spellStart"/>
      <w:r>
        <w:rPr>
          <w:lang w:eastAsia="ja-JP"/>
        </w:rPr>
        <w:t>tofacitinib</w:t>
      </w:r>
      <w:proofErr w:type="spellEnd"/>
      <w:r>
        <w:rPr>
          <w:lang w:eastAsia="ja-JP"/>
        </w:rPr>
        <w:t xml:space="preserve"> PK in patients with active </w:t>
      </w:r>
      <w:proofErr w:type="spellStart"/>
      <w:r>
        <w:rPr>
          <w:lang w:eastAsia="ja-JP"/>
        </w:rPr>
        <w:t>PsA</w:t>
      </w:r>
      <w:proofErr w:type="spellEnd"/>
      <w:r>
        <w:rPr>
          <w:lang w:eastAsia="ja-JP"/>
        </w:rPr>
        <w:t xml:space="preserve"> and to identify intrinsic and extrinsic factors that impact </w:t>
      </w:r>
      <w:proofErr w:type="spellStart"/>
      <w:r>
        <w:rPr>
          <w:lang w:eastAsia="ja-JP"/>
        </w:rPr>
        <w:t>tof</w:t>
      </w:r>
      <w:r w:rsidR="00FD4AB0">
        <w:rPr>
          <w:lang w:eastAsia="ja-JP"/>
        </w:rPr>
        <w:t>acitinib</w:t>
      </w:r>
      <w:proofErr w:type="spellEnd"/>
      <w:r w:rsidR="00FD4AB0">
        <w:rPr>
          <w:lang w:eastAsia="ja-JP"/>
        </w:rPr>
        <w:t xml:space="preserve"> PK in this population.</w:t>
      </w:r>
      <w:r>
        <w:rPr>
          <w:lang w:eastAsia="ja-JP"/>
        </w:rPr>
        <w:t xml:space="preserve"> No</w:t>
      </w:r>
      <w:r w:rsidRPr="002D04F0">
        <w:rPr>
          <w:rFonts w:eastAsiaTheme="minorHAnsi" w:cstheme="minorHAnsi"/>
        </w:rPr>
        <w:t xml:space="preserve">nlinear mixed effects </w:t>
      </w:r>
      <w:r w:rsidR="00FD4AB0">
        <w:rPr>
          <w:rFonts w:eastAsiaTheme="minorHAnsi" w:cstheme="minorHAnsi"/>
        </w:rPr>
        <w:t xml:space="preserve">modelling was used to develop a population </w:t>
      </w:r>
      <w:r>
        <w:rPr>
          <w:rFonts w:eastAsiaTheme="minorHAnsi" w:cstheme="minorHAnsi"/>
        </w:rPr>
        <w:t>PK</w:t>
      </w:r>
      <w:r w:rsidRPr="002D04F0">
        <w:rPr>
          <w:rFonts w:eastAsiaTheme="minorHAnsi" w:cstheme="minorHAnsi"/>
        </w:rPr>
        <w:t xml:space="preserve"> model </w:t>
      </w:r>
      <w:r>
        <w:rPr>
          <w:rFonts w:eastAsiaTheme="minorHAnsi" w:cstheme="minorHAnsi"/>
        </w:rPr>
        <w:t>based on</w:t>
      </w:r>
      <w:r w:rsidRPr="002D04F0">
        <w:rPr>
          <w:rFonts w:eastAsiaTheme="minorHAnsi" w:cstheme="minorHAnsi"/>
        </w:rPr>
        <w:t xml:space="preserve"> </w:t>
      </w:r>
      <w:r>
        <w:rPr>
          <w:rFonts w:eastAsiaTheme="minorHAnsi" w:cstheme="minorHAnsi"/>
        </w:rPr>
        <w:t>3</w:t>
      </w:r>
      <w:r w:rsidR="00FD4AB0">
        <w:rPr>
          <w:rFonts w:eastAsiaTheme="minorHAnsi" w:cstheme="minorHAnsi"/>
        </w:rPr>
        <w:t>,</w:t>
      </w:r>
      <w:r>
        <w:rPr>
          <w:rFonts w:eastAsiaTheme="minorHAnsi" w:cstheme="minorHAnsi"/>
        </w:rPr>
        <w:t>252 PK observations obtained from</w:t>
      </w:r>
      <w:r w:rsidRPr="002D04F0">
        <w:rPr>
          <w:rFonts w:eastAsiaTheme="minorHAnsi" w:cstheme="minorHAnsi"/>
        </w:rPr>
        <w:t xml:space="preserve"> </w:t>
      </w:r>
      <w:r w:rsidR="00FD4AB0">
        <w:rPr>
          <w:rFonts w:eastAsiaTheme="minorHAnsi" w:cstheme="minorHAnsi"/>
        </w:rPr>
        <w:t>650 </w:t>
      </w:r>
      <w:r>
        <w:rPr>
          <w:rFonts w:eastAsiaTheme="minorHAnsi" w:cstheme="minorHAnsi"/>
        </w:rPr>
        <w:t xml:space="preserve">patients with active </w:t>
      </w:r>
      <w:proofErr w:type="spellStart"/>
      <w:r>
        <w:rPr>
          <w:rFonts w:eastAsiaTheme="minorHAnsi" w:cstheme="minorHAnsi"/>
        </w:rPr>
        <w:t>PsA</w:t>
      </w:r>
      <w:proofErr w:type="spellEnd"/>
      <w:r>
        <w:rPr>
          <w:rFonts w:eastAsiaTheme="minorHAnsi" w:cstheme="minorHAnsi"/>
        </w:rPr>
        <w:t xml:space="preserve"> who participated in the pivotal</w:t>
      </w:r>
      <w:r w:rsidRPr="002D04F0">
        <w:rPr>
          <w:rFonts w:eastAsiaTheme="minorHAnsi" w:cstheme="minorHAnsi"/>
        </w:rPr>
        <w:t xml:space="preserve"> Phase </w:t>
      </w:r>
      <w:r w:rsidR="00FD4AB0">
        <w:rPr>
          <w:rFonts w:eastAsiaTheme="minorHAnsi" w:cstheme="minorHAnsi"/>
        </w:rPr>
        <w:t>III</w:t>
      </w:r>
      <w:r w:rsidRPr="002D04F0">
        <w:rPr>
          <w:rFonts w:eastAsiaTheme="minorHAnsi" w:cstheme="minorHAnsi"/>
        </w:rPr>
        <w:t xml:space="preserve"> studies</w:t>
      </w:r>
      <w:r w:rsidR="00FD4AB0">
        <w:rPr>
          <w:rFonts w:eastAsiaTheme="minorHAnsi" w:cstheme="minorHAnsi"/>
        </w:rPr>
        <w:t xml:space="preserve">. </w:t>
      </w:r>
      <w:r>
        <w:rPr>
          <w:rFonts w:eastAsiaTheme="minorHAnsi" w:cstheme="minorHAnsi"/>
        </w:rPr>
        <w:t>Covariates in the study included race, gender, ethnicity (Hispanic or non-Hispanic), and continuous covariates including baseline age, body weight, creatinine clearance and CRP were used to predict oral clearance (CL/F).</w:t>
      </w:r>
    </w:p>
    <w:p w14:paraId="5F99CC05" w14:textId="77777777" w:rsidR="00615860" w:rsidRDefault="00615860" w:rsidP="00FD4AB0">
      <w:pPr>
        <w:rPr>
          <w:lang w:eastAsia="ja-JP"/>
        </w:rPr>
      </w:pPr>
      <w:r>
        <w:rPr>
          <w:lang w:eastAsia="ja-JP"/>
        </w:rPr>
        <w:t xml:space="preserve">Overall, no major differences in </w:t>
      </w:r>
      <w:proofErr w:type="spellStart"/>
      <w:r>
        <w:rPr>
          <w:lang w:eastAsia="ja-JP"/>
        </w:rPr>
        <w:t>tofacitinib</w:t>
      </w:r>
      <w:proofErr w:type="spellEnd"/>
      <w:r>
        <w:rPr>
          <w:lang w:eastAsia="ja-JP"/>
        </w:rPr>
        <w:t xml:space="preserve"> exposure were identified based on race, ethnici</w:t>
      </w:r>
      <w:r w:rsidR="00FD4AB0">
        <w:rPr>
          <w:lang w:eastAsia="ja-JP"/>
        </w:rPr>
        <w:t>ty, gender, age or body weight.</w:t>
      </w:r>
      <w:r>
        <w:rPr>
          <w:lang w:eastAsia="ja-JP"/>
        </w:rPr>
        <w:t xml:space="preserve"> </w:t>
      </w:r>
      <w:r>
        <w:rPr>
          <w:rFonts w:eastAsiaTheme="minorHAnsi" w:cstheme="minorHAnsi"/>
        </w:rPr>
        <w:t>For a patient wi</w:t>
      </w:r>
      <w:r w:rsidR="00FD4AB0">
        <w:rPr>
          <w:rFonts w:eastAsiaTheme="minorHAnsi" w:cstheme="minorHAnsi"/>
        </w:rPr>
        <w:t>th a creatinine clearance of 50 </w:t>
      </w:r>
      <w:r>
        <w:rPr>
          <w:rFonts w:eastAsiaTheme="minorHAnsi" w:cstheme="minorHAnsi"/>
        </w:rPr>
        <w:t>mL/min, AUC was estimated to be 32% higher compared to a reference patient with creatinine clearance of 120 mL/min. Based on these data, d</w:t>
      </w:r>
      <w:r w:rsidRPr="00163154">
        <w:rPr>
          <w:rFonts w:asciiTheme="minorHAnsi" w:hAnsiTheme="minorHAnsi" w:cs="Calibri"/>
        </w:rPr>
        <w:t>os</w:t>
      </w:r>
      <w:r>
        <w:rPr>
          <w:rFonts w:asciiTheme="minorHAnsi" w:hAnsiTheme="minorHAnsi" w:cs="Calibri"/>
        </w:rPr>
        <w:t xml:space="preserve">age adjustments are not required </w:t>
      </w:r>
      <w:r w:rsidRPr="00163154">
        <w:rPr>
          <w:rFonts w:asciiTheme="minorHAnsi" w:hAnsiTheme="minorHAnsi" w:cs="Calibri"/>
        </w:rPr>
        <w:t>except</w:t>
      </w:r>
      <w:r>
        <w:rPr>
          <w:rFonts w:asciiTheme="minorHAnsi" w:hAnsiTheme="minorHAnsi" w:cs="Calibri"/>
        </w:rPr>
        <w:t xml:space="preserve"> in </w:t>
      </w:r>
      <w:r w:rsidRPr="00163154">
        <w:rPr>
          <w:rFonts w:asciiTheme="minorHAnsi" w:hAnsiTheme="minorHAnsi" w:cs="Calibri"/>
        </w:rPr>
        <w:t>patients with</w:t>
      </w:r>
      <w:r>
        <w:rPr>
          <w:rFonts w:asciiTheme="minorHAnsi" w:hAnsiTheme="minorHAnsi" w:cs="Calibri"/>
        </w:rPr>
        <w:t xml:space="preserve"> impaired renal function.</w:t>
      </w:r>
    </w:p>
    <w:p w14:paraId="2A34BB0D" w14:textId="77777777" w:rsidR="00615860" w:rsidRPr="006B4E0C" w:rsidRDefault="00615860" w:rsidP="00FD4AB0">
      <w:r>
        <w:rPr>
          <w:rFonts w:asciiTheme="minorHAnsi" w:hAnsiTheme="minorHAnsi" w:cs="Calibri"/>
        </w:rPr>
        <w:t xml:space="preserve">In line with FDA guidance, the recommendations in the current PI for RA patients have been adopted for the proposed PI for </w:t>
      </w:r>
      <w:proofErr w:type="spellStart"/>
      <w:r>
        <w:rPr>
          <w:rFonts w:asciiTheme="minorHAnsi" w:hAnsiTheme="minorHAnsi" w:cs="Calibri"/>
        </w:rPr>
        <w:t>PsA</w:t>
      </w:r>
      <w:proofErr w:type="spellEnd"/>
      <w:r>
        <w:rPr>
          <w:rFonts w:asciiTheme="minorHAnsi" w:hAnsiTheme="minorHAnsi" w:cs="Calibri"/>
        </w:rPr>
        <w:t xml:space="preserve"> patients. No dosage reductions are recommended for patients with mild renal impairment (</w:t>
      </w:r>
      <w:proofErr w:type="spellStart"/>
      <w:r>
        <w:rPr>
          <w:rFonts w:asciiTheme="minorHAnsi" w:hAnsiTheme="minorHAnsi" w:cs="Calibri"/>
        </w:rPr>
        <w:t>CLcr</w:t>
      </w:r>
      <w:proofErr w:type="spellEnd"/>
      <w:r>
        <w:rPr>
          <w:rFonts w:asciiTheme="minorHAnsi" w:hAnsiTheme="minorHAnsi" w:cs="Calibri"/>
        </w:rPr>
        <w:t xml:space="preserve"> ≥</w:t>
      </w:r>
      <w:r w:rsidR="00FD4AB0">
        <w:rPr>
          <w:rFonts w:asciiTheme="minorHAnsi" w:hAnsiTheme="minorHAnsi" w:cs="Calibri"/>
        </w:rPr>
        <w:t xml:space="preserve"> </w:t>
      </w:r>
      <w:r>
        <w:rPr>
          <w:rFonts w:asciiTheme="minorHAnsi" w:hAnsiTheme="minorHAnsi" w:cs="Calibri"/>
        </w:rPr>
        <w:t>60 and &lt;</w:t>
      </w:r>
      <w:r w:rsidR="00FD4AB0">
        <w:rPr>
          <w:rFonts w:asciiTheme="minorHAnsi" w:hAnsiTheme="minorHAnsi" w:cs="Calibri"/>
        </w:rPr>
        <w:t xml:space="preserve"> 90 mL</w:t>
      </w:r>
      <w:r>
        <w:rPr>
          <w:rFonts w:asciiTheme="minorHAnsi" w:hAnsiTheme="minorHAnsi" w:cs="Calibri"/>
        </w:rPr>
        <w:t>/min), while halving the dose is recommended for patients with moderate or severe renal impairment.</w:t>
      </w:r>
    </w:p>
    <w:p w14:paraId="43F8B664" w14:textId="77777777" w:rsidR="00615860" w:rsidRDefault="00615860" w:rsidP="00615860">
      <w:pPr>
        <w:pStyle w:val="Heading4"/>
      </w:pPr>
      <w:r>
        <w:t>Dosage</w:t>
      </w:r>
    </w:p>
    <w:p w14:paraId="3779FDE9" w14:textId="77777777" w:rsidR="00615860" w:rsidRPr="001D0C87" w:rsidRDefault="00FD4AB0" w:rsidP="00615860">
      <w:r>
        <w:t xml:space="preserve">No dose </w:t>
      </w:r>
      <w:r w:rsidR="00615860">
        <w:t xml:space="preserve">ranging studies have been conducted in the </w:t>
      </w:r>
      <w:proofErr w:type="spellStart"/>
      <w:r w:rsidR="00615860">
        <w:t>PsA</w:t>
      </w:r>
      <w:proofErr w:type="spellEnd"/>
      <w:r w:rsidR="00615860">
        <w:t xml:space="preserve"> program. Dose selection for the </w:t>
      </w:r>
      <w:proofErr w:type="spellStart"/>
      <w:r w:rsidR="00615860">
        <w:t>PsA</w:t>
      </w:r>
      <w:proofErr w:type="spellEnd"/>
      <w:r w:rsidR="00615860">
        <w:t xml:space="preserve"> program was based on the RA</w:t>
      </w:r>
      <w:r>
        <w:t xml:space="preserve"> and </w:t>
      </w:r>
      <w:proofErr w:type="spellStart"/>
      <w:r>
        <w:t>PsO</w:t>
      </w:r>
      <w:proofErr w:type="spellEnd"/>
      <w:r>
        <w:t xml:space="preserve"> development programs. </w:t>
      </w:r>
      <w:r>
        <w:rPr>
          <w:lang w:eastAsia="ja-JP"/>
        </w:rPr>
        <w:t>Both of the pivotal Phase III</w:t>
      </w:r>
      <w:r w:rsidR="00615860">
        <w:rPr>
          <w:lang w:eastAsia="ja-JP"/>
        </w:rPr>
        <w:t xml:space="preserve"> studies</w:t>
      </w:r>
      <w:r w:rsidR="00615860" w:rsidRPr="00210A89">
        <w:rPr>
          <w:lang w:eastAsia="ja-JP"/>
        </w:rPr>
        <w:t xml:space="preserve"> included </w:t>
      </w:r>
      <w:proofErr w:type="spellStart"/>
      <w:r w:rsidR="00615860">
        <w:rPr>
          <w:lang w:eastAsia="ja-JP"/>
        </w:rPr>
        <w:t>tofacitinib</w:t>
      </w:r>
      <w:proofErr w:type="spellEnd"/>
      <w:r w:rsidR="00615860" w:rsidRPr="00210A89">
        <w:rPr>
          <w:lang w:eastAsia="ja-JP"/>
        </w:rPr>
        <w:t xml:space="preserve"> 5 mg </w:t>
      </w:r>
      <w:r w:rsidR="003A1B70">
        <w:rPr>
          <w:lang w:eastAsia="ja-JP"/>
        </w:rPr>
        <w:t>BD</w:t>
      </w:r>
      <w:r w:rsidR="00615860" w:rsidRPr="00210A89">
        <w:rPr>
          <w:lang w:eastAsia="ja-JP"/>
        </w:rPr>
        <w:t xml:space="preserve"> and 10 mg </w:t>
      </w:r>
      <w:r w:rsidR="003A1B70">
        <w:rPr>
          <w:lang w:eastAsia="ja-JP"/>
        </w:rPr>
        <w:t>BD</w:t>
      </w:r>
      <w:r w:rsidR="00615860" w:rsidRPr="00210A89">
        <w:rPr>
          <w:lang w:eastAsia="ja-JP"/>
        </w:rPr>
        <w:t xml:space="preserve"> treatment arms.</w:t>
      </w:r>
    </w:p>
    <w:p w14:paraId="5E0E967B" w14:textId="77777777" w:rsidR="00615860" w:rsidRPr="00AA53F4" w:rsidRDefault="00615860" w:rsidP="00615860">
      <w:pPr>
        <w:pStyle w:val="Heading4"/>
      </w:pPr>
      <w:r w:rsidRPr="00AA53F4">
        <w:lastRenderedPageBreak/>
        <w:t>Efficacy</w:t>
      </w:r>
    </w:p>
    <w:p w14:paraId="70AFC76B" w14:textId="77777777" w:rsidR="00615860" w:rsidRPr="008C58C9" w:rsidRDefault="00615860" w:rsidP="008C58C9">
      <w:pPr>
        <w:pStyle w:val="Heading5"/>
      </w:pPr>
      <w:r w:rsidRPr="008C58C9">
        <w:t>Study A3921091</w:t>
      </w:r>
    </w:p>
    <w:p w14:paraId="228252CD" w14:textId="77777777" w:rsidR="00615860" w:rsidRDefault="00615860" w:rsidP="00FD4AB0">
      <w:pPr>
        <w:rPr>
          <w:lang w:eastAsia="ja-JP"/>
        </w:rPr>
      </w:pPr>
      <w:r>
        <w:rPr>
          <w:lang w:eastAsia="ja-JP"/>
        </w:rPr>
        <w:t>This w</w:t>
      </w:r>
      <w:r w:rsidR="00FD4AB0">
        <w:rPr>
          <w:lang w:eastAsia="ja-JP"/>
        </w:rPr>
        <w:t xml:space="preserve">as a Phase III, randomised, double blind, placebo </w:t>
      </w:r>
      <w:r>
        <w:rPr>
          <w:lang w:eastAsia="ja-JP"/>
        </w:rPr>
        <w:t xml:space="preserve">controlled study of the efficacy and safety of two doses of </w:t>
      </w:r>
      <w:proofErr w:type="spellStart"/>
      <w:r>
        <w:rPr>
          <w:lang w:eastAsia="ja-JP"/>
        </w:rPr>
        <w:t>tofacitinib</w:t>
      </w:r>
      <w:proofErr w:type="spellEnd"/>
      <w:r>
        <w:rPr>
          <w:lang w:eastAsia="ja-JP"/>
        </w:rPr>
        <w:t xml:space="preserve"> or </w:t>
      </w:r>
      <w:proofErr w:type="spellStart"/>
      <w:r>
        <w:rPr>
          <w:lang w:eastAsia="ja-JP"/>
        </w:rPr>
        <w:t>adalimumab</w:t>
      </w:r>
      <w:proofErr w:type="spellEnd"/>
      <w:r>
        <w:rPr>
          <w:lang w:eastAsia="ja-JP"/>
        </w:rPr>
        <w:t xml:space="preserve"> in adult patients with active </w:t>
      </w:r>
      <w:proofErr w:type="spellStart"/>
      <w:r>
        <w:rPr>
          <w:lang w:eastAsia="ja-JP"/>
        </w:rPr>
        <w:t>PsA.</w:t>
      </w:r>
      <w:proofErr w:type="spellEnd"/>
      <w:r>
        <w:rPr>
          <w:lang w:eastAsia="ja-JP"/>
        </w:rPr>
        <w:t xml:space="preserve"> It was conducted at 94 sites in 16 countries (Australia, Belgium, Bulgaria, Canada, Czech Republic, France, Germany, Hungary, Mexico, Poland, Russia, Slovakia, Spain, Taiwan, UK and US) between January 2014 and December 2015. Subjects were required to have ongoing treatment with a stable dose of one </w:t>
      </w:r>
      <w:proofErr w:type="spellStart"/>
      <w:r>
        <w:rPr>
          <w:lang w:eastAsia="ja-JP"/>
        </w:rPr>
        <w:t>csDMARD</w:t>
      </w:r>
      <w:proofErr w:type="spellEnd"/>
      <w:r>
        <w:rPr>
          <w:lang w:eastAsia="ja-JP"/>
        </w:rPr>
        <w:t xml:space="preserve"> (MTX, sulfasalazine, </w:t>
      </w:r>
      <w:proofErr w:type="spellStart"/>
      <w:r>
        <w:rPr>
          <w:lang w:eastAsia="ja-JP"/>
        </w:rPr>
        <w:t>leflunomide</w:t>
      </w:r>
      <w:proofErr w:type="spellEnd"/>
      <w:r>
        <w:rPr>
          <w:lang w:eastAsia="ja-JP"/>
        </w:rPr>
        <w:t xml:space="preserve">, or other approved products) and have had an inadequate response to at least one </w:t>
      </w:r>
      <w:proofErr w:type="spellStart"/>
      <w:r>
        <w:rPr>
          <w:lang w:eastAsia="ja-JP"/>
        </w:rPr>
        <w:t>csDMARD</w:t>
      </w:r>
      <w:proofErr w:type="spellEnd"/>
      <w:r>
        <w:rPr>
          <w:lang w:eastAsia="ja-JP"/>
        </w:rPr>
        <w:t xml:space="preserve"> due to lack of efficacy or toxi</w:t>
      </w:r>
      <w:r w:rsidR="00FD4AB0">
        <w:rPr>
          <w:lang w:eastAsia="ja-JP"/>
        </w:rPr>
        <w:t>city and no prior TNFI therapy.</w:t>
      </w:r>
    </w:p>
    <w:p w14:paraId="7CAF50EB" w14:textId="77777777" w:rsidR="00615860" w:rsidRDefault="00615860" w:rsidP="00FD4AB0">
      <w:pPr>
        <w:rPr>
          <w:lang w:eastAsia="ja-JP"/>
        </w:rPr>
      </w:pPr>
      <w:r>
        <w:rPr>
          <w:lang w:eastAsia="ja-JP"/>
        </w:rPr>
        <w:t>422 patients were randomised in a 2:2:2:1:1 ratio to one of five treatment arms:</w:t>
      </w:r>
    </w:p>
    <w:p w14:paraId="6CC04E64" w14:textId="77777777" w:rsidR="00615860" w:rsidRDefault="00615860" w:rsidP="00FD4AB0">
      <w:pPr>
        <w:pStyle w:val="ListBullet"/>
      </w:pPr>
      <w:r>
        <w:t xml:space="preserve">Tofacitinib 5 mg </w:t>
      </w:r>
      <w:r w:rsidR="003A1B70">
        <w:t>BD</w:t>
      </w:r>
      <w:r>
        <w:t xml:space="preserve"> for 12 months</w:t>
      </w:r>
      <w:r w:rsidR="00FD4AB0">
        <w:t>.</w:t>
      </w:r>
    </w:p>
    <w:p w14:paraId="288C3875" w14:textId="77777777" w:rsidR="00615860" w:rsidRDefault="00615860" w:rsidP="00FD4AB0">
      <w:pPr>
        <w:pStyle w:val="ListBullet"/>
      </w:pPr>
      <w:r>
        <w:t xml:space="preserve">Tofacitinib 10 mg </w:t>
      </w:r>
      <w:r w:rsidR="003A1B70">
        <w:t>BD</w:t>
      </w:r>
      <w:r>
        <w:t xml:space="preserve"> for 12 months</w:t>
      </w:r>
      <w:r w:rsidR="00FD4AB0">
        <w:t>.</w:t>
      </w:r>
    </w:p>
    <w:p w14:paraId="265EAA29" w14:textId="77777777" w:rsidR="00615860" w:rsidRDefault="00615860" w:rsidP="00FD4AB0">
      <w:pPr>
        <w:pStyle w:val="ListBullet"/>
      </w:pPr>
      <w:proofErr w:type="spellStart"/>
      <w:r>
        <w:t>Adalimumab</w:t>
      </w:r>
      <w:proofErr w:type="spellEnd"/>
      <w:r>
        <w:t xml:space="preserve"> 40 mg SC every 2 weeks for 12 months</w:t>
      </w:r>
      <w:r w:rsidR="00FD4AB0">
        <w:t>.</w:t>
      </w:r>
    </w:p>
    <w:p w14:paraId="18B2AF94" w14:textId="77777777" w:rsidR="00615860" w:rsidRDefault="00615860" w:rsidP="00FD4AB0">
      <w:pPr>
        <w:pStyle w:val="ListBullet"/>
      </w:pPr>
      <w:r>
        <w:t xml:space="preserve">Placebo for three months, then </w:t>
      </w:r>
      <w:proofErr w:type="spellStart"/>
      <w:r>
        <w:t>tofacitinib</w:t>
      </w:r>
      <w:proofErr w:type="spellEnd"/>
      <w:r>
        <w:t xml:space="preserve"> 5 mg </w:t>
      </w:r>
      <w:r w:rsidR="003A1B70">
        <w:t>BD</w:t>
      </w:r>
      <w:r>
        <w:t xml:space="preserve"> for 9 months</w:t>
      </w:r>
      <w:r w:rsidR="00FD4AB0">
        <w:t>.</w:t>
      </w:r>
    </w:p>
    <w:p w14:paraId="1A067B96" w14:textId="77777777" w:rsidR="00615860" w:rsidRDefault="00615860" w:rsidP="00FD4AB0">
      <w:pPr>
        <w:pStyle w:val="ListBullet"/>
      </w:pPr>
      <w:r>
        <w:t xml:space="preserve">Placebo for three months, then </w:t>
      </w:r>
      <w:proofErr w:type="spellStart"/>
      <w:r>
        <w:t>tofacitinib</w:t>
      </w:r>
      <w:proofErr w:type="spellEnd"/>
      <w:r>
        <w:t xml:space="preserve"> 10 mg </w:t>
      </w:r>
      <w:r w:rsidR="003A1B70">
        <w:t>BD</w:t>
      </w:r>
      <w:r>
        <w:t xml:space="preserve"> for 9 months</w:t>
      </w:r>
      <w:r w:rsidR="00FD4AB0">
        <w:t>.</w:t>
      </w:r>
    </w:p>
    <w:p w14:paraId="05BFF386" w14:textId="77777777" w:rsidR="00615860" w:rsidRDefault="00615860" w:rsidP="00FD4AB0">
      <w:r>
        <w:rPr>
          <w:lang w:eastAsia="ja-JP"/>
        </w:rPr>
        <w:t>The patient demographics were generally compa</w:t>
      </w:r>
      <w:r w:rsidR="00FD4AB0">
        <w:rPr>
          <w:lang w:eastAsia="ja-JP"/>
        </w:rPr>
        <w:t xml:space="preserve">rable across treatment groups. </w:t>
      </w:r>
      <w:r>
        <w:t>The majority of patients were White (96.9%), with a mean age of 47.9 years. 53.3% were female</w:t>
      </w:r>
      <w:r w:rsidR="00FD4AB0">
        <w:t>.</w:t>
      </w:r>
    </w:p>
    <w:p w14:paraId="2FEE20D7" w14:textId="77777777" w:rsidR="00615860" w:rsidRDefault="00615860" w:rsidP="00FD4AB0">
      <w:pPr>
        <w:rPr>
          <w:lang w:eastAsia="ja-JP"/>
        </w:rPr>
      </w:pPr>
      <w:r>
        <w:rPr>
          <w:lang w:eastAsia="ja-JP"/>
        </w:rPr>
        <w:t>The primary efficacy endpoi</w:t>
      </w:r>
      <w:r w:rsidR="00FD4AB0">
        <w:rPr>
          <w:lang w:eastAsia="ja-JP"/>
        </w:rPr>
        <w:t xml:space="preserve">nts (ACR20 responder rates and change in HAQ-DI at Month 3) were met. </w:t>
      </w:r>
      <w:r>
        <w:rPr>
          <w:lang w:eastAsia="ja-JP"/>
        </w:rPr>
        <w:t xml:space="preserve">The ACR20 response rates and change in HAQ-DI at Month 3 were superior for both doses of </w:t>
      </w:r>
      <w:proofErr w:type="spellStart"/>
      <w:r>
        <w:rPr>
          <w:lang w:eastAsia="ja-JP"/>
        </w:rPr>
        <w:t>tofacitinib</w:t>
      </w:r>
      <w:proofErr w:type="spellEnd"/>
      <w:r>
        <w:rPr>
          <w:lang w:eastAsia="ja-JP"/>
        </w:rPr>
        <w:t xml:space="preserve"> (5 mg </w:t>
      </w:r>
      <w:r w:rsidR="003A1B70">
        <w:rPr>
          <w:lang w:eastAsia="ja-JP"/>
        </w:rPr>
        <w:t>BD</w:t>
      </w:r>
      <w:r>
        <w:rPr>
          <w:lang w:eastAsia="ja-JP"/>
        </w:rPr>
        <w:t xml:space="preserve"> and 10 mg </w:t>
      </w:r>
      <w:r w:rsidR="003A1B70">
        <w:rPr>
          <w:lang w:eastAsia="ja-JP"/>
        </w:rPr>
        <w:t>BD</w:t>
      </w:r>
      <w:r>
        <w:rPr>
          <w:lang w:eastAsia="ja-JP"/>
        </w:rPr>
        <w:t xml:space="preserve">), and </w:t>
      </w:r>
      <w:proofErr w:type="spellStart"/>
      <w:r>
        <w:rPr>
          <w:lang w:eastAsia="ja-JP"/>
        </w:rPr>
        <w:t>adal</w:t>
      </w:r>
      <w:r w:rsidR="00FD4AB0">
        <w:rPr>
          <w:lang w:eastAsia="ja-JP"/>
        </w:rPr>
        <w:t>imumab</w:t>
      </w:r>
      <w:proofErr w:type="spellEnd"/>
      <w:r w:rsidR="00FD4AB0">
        <w:rPr>
          <w:lang w:eastAsia="ja-JP"/>
        </w:rPr>
        <w:t xml:space="preserve">, compared with placebo. </w:t>
      </w:r>
      <w:r>
        <w:rPr>
          <w:lang w:eastAsia="ja-JP"/>
        </w:rPr>
        <w:t xml:space="preserve">In the </w:t>
      </w:r>
      <w:proofErr w:type="spellStart"/>
      <w:r>
        <w:rPr>
          <w:lang w:eastAsia="ja-JP"/>
        </w:rPr>
        <w:t>tofacitinib</w:t>
      </w:r>
      <w:proofErr w:type="spellEnd"/>
      <w:r>
        <w:rPr>
          <w:lang w:eastAsia="ja-JP"/>
        </w:rPr>
        <w:t xml:space="preserve"> 5 mg </w:t>
      </w:r>
      <w:r w:rsidR="003A1B70">
        <w:rPr>
          <w:lang w:eastAsia="ja-JP"/>
        </w:rPr>
        <w:t>BD</w:t>
      </w:r>
      <w:r>
        <w:rPr>
          <w:lang w:eastAsia="ja-JP"/>
        </w:rPr>
        <w:t xml:space="preserve"> group, the ACR20 response rate was 50.47% compared with 33.33% in the placebo group. The difference between treatments was 17.13% (95% CI: 4.06, 30.21; p</w:t>
      </w:r>
      <w:r w:rsidR="00FD4AB0">
        <w:rPr>
          <w:lang w:eastAsia="ja-JP"/>
        </w:rPr>
        <w:t xml:space="preserve"> </w:t>
      </w:r>
      <w:r>
        <w:rPr>
          <w:lang w:eastAsia="ja-JP"/>
        </w:rPr>
        <w:t>=</w:t>
      </w:r>
      <w:r w:rsidR="00FD4AB0">
        <w:rPr>
          <w:lang w:eastAsia="ja-JP"/>
        </w:rPr>
        <w:t xml:space="preserve"> </w:t>
      </w:r>
      <w:r>
        <w:rPr>
          <w:lang w:eastAsia="ja-JP"/>
        </w:rPr>
        <w:t xml:space="preserve">0.0102). In the </w:t>
      </w:r>
      <w:proofErr w:type="spellStart"/>
      <w:r>
        <w:rPr>
          <w:lang w:eastAsia="ja-JP"/>
        </w:rPr>
        <w:t>tofacitinib</w:t>
      </w:r>
      <w:proofErr w:type="spellEnd"/>
      <w:r>
        <w:rPr>
          <w:lang w:eastAsia="ja-JP"/>
        </w:rPr>
        <w:t xml:space="preserve"> 10 mg </w:t>
      </w:r>
      <w:r w:rsidR="003A1B70">
        <w:rPr>
          <w:lang w:eastAsia="ja-JP"/>
        </w:rPr>
        <w:t>BD</w:t>
      </w:r>
      <w:r>
        <w:rPr>
          <w:lang w:eastAsia="ja-JP"/>
        </w:rPr>
        <w:t xml:space="preserve"> group, the ACR20 response rate was 60.58% compared with 33.33% in the placebo group. The difference between treatments was 27.24% (95% CI: 14.22, 40.26; p</w:t>
      </w:r>
      <w:r w:rsidR="00FD4AB0">
        <w:rPr>
          <w:lang w:eastAsia="ja-JP"/>
        </w:rPr>
        <w:t xml:space="preserve"> </w:t>
      </w:r>
      <w:r>
        <w:rPr>
          <w:lang w:eastAsia="ja-JP"/>
        </w:rPr>
        <w:t>&lt;</w:t>
      </w:r>
      <w:r w:rsidR="00FD4AB0">
        <w:rPr>
          <w:lang w:eastAsia="ja-JP"/>
        </w:rPr>
        <w:t xml:space="preserve"> </w:t>
      </w:r>
      <w:r>
        <w:rPr>
          <w:lang w:eastAsia="ja-JP"/>
        </w:rPr>
        <w:t xml:space="preserve">0.0001). In the </w:t>
      </w:r>
      <w:proofErr w:type="spellStart"/>
      <w:r>
        <w:rPr>
          <w:lang w:eastAsia="ja-JP"/>
        </w:rPr>
        <w:t>adalimumab</w:t>
      </w:r>
      <w:proofErr w:type="spellEnd"/>
      <w:r>
        <w:rPr>
          <w:lang w:eastAsia="ja-JP"/>
        </w:rPr>
        <w:t xml:space="preserve"> group, the ACR20 response rate was 51.89% compared with 33.33% in the placebo group. The difference between treatments was 18.55% (95% CI: 5.45, 31.66; p</w:t>
      </w:r>
      <w:r w:rsidR="00FD4AB0">
        <w:rPr>
          <w:lang w:eastAsia="ja-JP"/>
        </w:rPr>
        <w:t> </w:t>
      </w:r>
      <w:r>
        <w:rPr>
          <w:lang w:eastAsia="ja-JP"/>
        </w:rPr>
        <w:t>=</w:t>
      </w:r>
      <w:r w:rsidR="00FD4AB0">
        <w:rPr>
          <w:lang w:eastAsia="ja-JP"/>
        </w:rPr>
        <w:t> 0.0055).</w:t>
      </w:r>
    </w:p>
    <w:p w14:paraId="5D6EA4AE" w14:textId="31763B3E" w:rsidR="00615860" w:rsidRDefault="00615860" w:rsidP="00FD4AB0">
      <w:pPr>
        <w:rPr>
          <w:lang w:eastAsia="ja-JP"/>
        </w:rPr>
      </w:pPr>
      <w:r>
        <w:rPr>
          <w:lang w:eastAsia="ja-JP"/>
        </w:rPr>
        <w:t>Secondary efficacy endpoints included r</w:t>
      </w:r>
      <w:r>
        <w:t xml:space="preserve">adiographic changes scored by </w:t>
      </w:r>
      <w:r w:rsidR="00FD4AB0">
        <w:t xml:space="preserve">change in </w:t>
      </w:r>
      <w:r w:rsidR="00AB59A7" w:rsidRPr="00AB59A7">
        <w:t xml:space="preserve">modified total Sharp score </w:t>
      </w:r>
      <w:r w:rsidR="00AB59A7">
        <w:t>(</w:t>
      </w:r>
      <w:proofErr w:type="spellStart"/>
      <w:r w:rsidR="00FD4AB0">
        <w:t>mTSS</w:t>
      </w:r>
      <w:proofErr w:type="spellEnd"/>
      <w:r w:rsidR="00AB59A7">
        <w:t>)</w:t>
      </w:r>
      <w:r>
        <w:t xml:space="preserve"> at Month 12, ACR20, </w:t>
      </w:r>
      <w:r>
        <w:rPr>
          <w:lang w:eastAsia="ja-JP"/>
        </w:rPr>
        <w:t xml:space="preserve">ACR50 and ACR70 responder rates, </w:t>
      </w:r>
      <w:proofErr w:type="spellStart"/>
      <w:r>
        <w:rPr>
          <w:lang w:eastAsia="ja-JP"/>
        </w:rPr>
        <w:t>enthesitis</w:t>
      </w:r>
      <w:proofErr w:type="spellEnd"/>
      <w:r>
        <w:rPr>
          <w:lang w:eastAsia="ja-JP"/>
        </w:rPr>
        <w:t xml:space="preserve"> and </w:t>
      </w:r>
      <w:proofErr w:type="spellStart"/>
      <w:r>
        <w:rPr>
          <w:lang w:eastAsia="ja-JP"/>
        </w:rPr>
        <w:t>dactylitis</w:t>
      </w:r>
      <w:proofErr w:type="spellEnd"/>
      <w:r>
        <w:rPr>
          <w:lang w:eastAsia="ja-JP"/>
        </w:rPr>
        <w:t xml:space="preserve"> measures, and pati</w:t>
      </w:r>
      <w:r w:rsidR="00FD4AB0">
        <w:rPr>
          <w:lang w:eastAsia="ja-JP"/>
        </w:rPr>
        <w:t>ent reported outcomes.</w:t>
      </w:r>
    </w:p>
    <w:p w14:paraId="78B09979" w14:textId="77777777" w:rsidR="00615860" w:rsidRDefault="00615860" w:rsidP="00FD4AB0">
      <w:r>
        <w:rPr>
          <w:lang w:eastAsia="ja-JP"/>
        </w:rPr>
        <w:t>Secondary efficacy outcomes were consis</w:t>
      </w:r>
      <w:r w:rsidR="00FD4AB0">
        <w:rPr>
          <w:lang w:eastAsia="ja-JP"/>
        </w:rPr>
        <w:t xml:space="preserve">tent with the primary outcome. </w:t>
      </w:r>
      <w:r>
        <w:rPr>
          <w:lang w:eastAsia="ja-JP"/>
        </w:rPr>
        <w:t xml:space="preserve">ACR20, ACR50 and ACR70 response rates were maintained or improved to Month 12 in both </w:t>
      </w:r>
      <w:proofErr w:type="spellStart"/>
      <w:r>
        <w:rPr>
          <w:lang w:eastAsia="ja-JP"/>
        </w:rPr>
        <w:t>tofacitinib</w:t>
      </w:r>
      <w:proofErr w:type="spellEnd"/>
      <w:r>
        <w:rPr>
          <w:lang w:eastAsia="ja-JP"/>
        </w:rPr>
        <w:t xml:space="preserve"> treatment groups. Patients randomised to placebo until Month 3, showed comparable increases in ACR20 response </w:t>
      </w:r>
      <w:r w:rsidR="00FD4AB0">
        <w:rPr>
          <w:lang w:eastAsia="ja-JP"/>
        </w:rPr>
        <w:t xml:space="preserve">rates at Month 6 and Month 12. </w:t>
      </w:r>
      <w:r>
        <w:rPr>
          <w:lang w:eastAsia="ja-JP"/>
        </w:rPr>
        <w:t xml:space="preserve">At Month 12, there were no meaningful differences in ACR20, ACR50 and ACR70 response rates between the </w:t>
      </w:r>
      <w:proofErr w:type="spellStart"/>
      <w:r>
        <w:rPr>
          <w:lang w:eastAsia="ja-JP"/>
        </w:rPr>
        <w:t>tofacitinib</w:t>
      </w:r>
      <w:proofErr w:type="spellEnd"/>
      <w:r>
        <w:rPr>
          <w:lang w:eastAsia="ja-JP"/>
        </w:rPr>
        <w:t xml:space="preserve"> 5 mg </w:t>
      </w:r>
      <w:r w:rsidR="003A1B70">
        <w:rPr>
          <w:lang w:eastAsia="ja-JP"/>
        </w:rPr>
        <w:t>BD</w:t>
      </w:r>
      <w:r>
        <w:rPr>
          <w:lang w:eastAsia="ja-JP"/>
        </w:rPr>
        <w:t xml:space="preserve"> and 10 mg </w:t>
      </w:r>
      <w:r w:rsidR="003A1B70">
        <w:rPr>
          <w:lang w:eastAsia="ja-JP"/>
        </w:rPr>
        <w:t>BD</w:t>
      </w:r>
      <w:r>
        <w:rPr>
          <w:lang w:eastAsia="ja-JP"/>
        </w:rPr>
        <w:t xml:space="preserve"> groups. At Month 6 and Month 12, ACR20, ACR50 and ACR70 response rates in the </w:t>
      </w:r>
      <w:proofErr w:type="spellStart"/>
      <w:r>
        <w:rPr>
          <w:lang w:eastAsia="ja-JP"/>
        </w:rPr>
        <w:t>adalimumab</w:t>
      </w:r>
      <w:proofErr w:type="spellEnd"/>
      <w:r>
        <w:rPr>
          <w:lang w:eastAsia="ja-JP"/>
        </w:rPr>
        <w:t xml:space="preserve"> group were comparable to the </w:t>
      </w:r>
      <w:proofErr w:type="spellStart"/>
      <w:r>
        <w:rPr>
          <w:lang w:eastAsia="ja-JP"/>
        </w:rPr>
        <w:t>tofacitinib</w:t>
      </w:r>
      <w:proofErr w:type="spellEnd"/>
      <w:r>
        <w:rPr>
          <w:lang w:eastAsia="ja-JP"/>
        </w:rPr>
        <w:t xml:space="preserve"> groups.</w:t>
      </w:r>
      <w:r w:rsidRPr="009E5F30">
        <w:rPr>
          <w:lang w:eastAsia="ja-JP"/>
        </w:rPr>
        <w:t xml:space="preserve"> </w:t>
      </w:r>
      <w:r>
        <w:rPr>
          <w:lang w:eastAsia="ja-JP"/>
        </w:rPr>
        <w:t xml:space="preserve">There were no meaningful changes or differences in </w:t>
      </w:r>
      <w:proofErr w:type="spellStart"/>
      <w:r>
        <w:rPr>
          <w:lang w:eastAsia="ja-JP"/>
        </w:rPr>
        <w:t>mTSS</w:t>
      </w:r>
      <w:proofErr w:type="spellEnd"/>
      <w:r>
        <w:rPr>
          <w:lang w:eastAsia="ja-JP"/>
        </w:rPr>
        <w:t xml:space="preserve"> at Month 12 between the </w:t>
      </w:r>
      <w:proofErr w:type="spellStart"/>
      <w:r>
        <w:rPr>
          <w:lang w:eastAsia="ja-JP"/>
        </w:rPr>
        <w:t>tofacitinib</w:t>
      </w:r>
      <w:proofErr w:type="spellEnd"/>
      <w:r>
        <w:rPr>
          <w:lang w:eastAsia="ja-JP"/>
        </w:rPr>
        <w:t xml:space="preserve"> and </w:t>
      </w:r>
      <w:proofErr w:type="spellStart"/>
      <w:r>
        <w:rPr>
          <w:lang w:eastAsia="ja-JP"/>
        </w:rPr>
        <w:t>adalimumab</w:t>
      </w:r>
      <w:proofErr w:type="spellEnd"/>
      <w:r>
        <w:rPr>
          <w:lang w:eastAsia="ja-JP"/>
        </w:rPr>
        <w:t xml:space="preserve"> groups.</w:t>
      </w:r>
    </w:p>
    <w:p w14:paraId="29FCB73C" w14:textId="40D42C4B" w:rsidR="00615860" w:rsidRDefault="00615860" w:rsidP="00FD4AB0">
      <w:pPr>
        <w:pStyle w:val="FigureTitle"/>
        <w:rPr>
          <w:rFonts w:asciiTheme="minorHAnsi" w:hAnsiTheme="minorHAnsi"/>
        </w:rPr>
      </w:pPr>
      <w:r>
        <w:lastRenderedPageBreak/>
        <w:t xml:space="preserve">Figure </w:t>
      </w:r>
      <w:fldSimple w:instr=" SEQ Figure \* ARABIC ">
        <w:r w:rsidR="00BD60C9">
          <w:rPr>
            <w:noProof/>
          </w:rPr>
          <w:t>4</w:t>
        </w:r>
      </w:fldSimple>
      <w:r w:rsidR="00FD4AB0">
        <w:t xml:space="preserve">: </w:t>
      </w:r>
      <w:r>
        <w:t>Study A3921091</w:t>
      </w:r>
      <w:r w:rsidRPr="00431E1D">
        <w:rPr>
          <w:rFonts w:asciiTheme="minorHAnsi" w:hAnsiTheme="minorHAnsi"/>
        </w:rPr>
        <w:t xml:space="preserve"> ACR20 response rates up to Month 6</w:t>
      </w:r>
    </w:p>
    <w:p w14:paraId="5F0E516F" w14:textId="77777777" w:rsidR="00615860" w:rsidRPr="008978B8" w:rsidRDefault="00FD4AB0" w:rsidP="008C58C9">
      <w:r>
        <w:rPr>
          <w:noProof/>
          <w:lang w:eastAsia="en-AU"/>
        </w:rPr>
        <w:drawing>
          <wp:inline distT="0" distB="0" distL="0" distR="0" wp14:anchorId="2DF79D18" wp14:editId="0F526C6D">
            <wp:extent cx="5032857" cy="3347710"/>
            <wp:effectExtent l="0" t="0" r="0" b="5715"/>
            <wp:docPr id="34" name="Picture 34" descr="Study A3921091: ACR20 response rates up to Mont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034184" cy="3348592"/>
                    </a:xfrm>
                    <a:prstGeom prst="rect">
                      <a:avLst/>
                    </a:prstGeom>
                  </pic:spPr>
                </pic:pic>
              </a:graphicData>
            </a:graphic>
          </wp:inline>
        </w:drawing>
      </w:r>
    </w:p>
    <w:p w14:paraId="43570AF5" w14:textId="77777777" w:rsidR="00615860" w:rsidRDefault="00615860" w:rsidP="00615860">
      <w:pPr>
        <w:pStyle w:val="Heading5"/>
      </w:pPr>
      <w:r w:rsidRPr="00AA53F4">
        <w:t xml:space="preserve">Study </w:t>
      </w:r>
      <w:r w:rsidRPr="0089282E">
        <w:rPr>
          <w:lang w:eastAsia="ja-JP"/>
        </w:rPr>
        <w:t>A3921125</w:t>
      </w:r>
    </w:p>
    <w:p w14:paraId="7D4C279A" w14:textId="77777777" w:rsidR="00615860" w:rsidRPr="006832CB" w:rsidRDefault="00FD4AB0" w:rsidP="00FD4AB0">
      <w:pPr>
        <w:rPr>
          <w:lang w:eastAsia="ja-JP"/>
        </w:rPr>
      </w:pPr>
      <w:r>
        <w:rPr>
          <w:lang w:eastAsia="ja-JP"/>
        </w:rPr>
        <w:t xml:space="preserve">This was a Phase III, randomised, double blind, placebo </w:t>
      </w:r>
      <w:r w:rsidR="00615860">
        <w:rPr>
          <w:lang w:eastAsia="ja-JP"/>
        </w:rPr>
        <w:t xml:space="preserve">controlled study of the efficacy and safety of two doses of </w:t>
      </w:r>
      <w:proofErr w:type="spellStart"/>
      <w:r w:rsidR="00615860">
        <w:rPr>
          <w:lang w:eastAsia="ja-JP"/>
        </w:rPr>
        <w:t>tofacitinib</w:t>
      </w:r>
      <w:proofErr w:type="spellEnd"/>
      <w:r w:rsidR="00615860">
        <w:rPr>
          <w:lang w:eastAsia="ja-JP"/>
        </w:rPr>
        <w:t xml:space="preserve"> in patients with active </w:t>
      </w:r>
      <w:proofErr w:type="spellStart"/>
      <w:r w:rsidR="00615860">
        <w:rPr>
          <w:lang w:eastAsia="ja-JP"/>
        </w:rPr>
        <w:t>PsA</w:t>
      </w:r>
      <w:proofErr w:type="spellEnd"/>
      <w:r w:rsidR="00615860">
        <w:rPr>
          <w:lang w:eastAsia="ja-JP"/>
        </w:rPr>
        <w:t xml:space="preserve"> who have had an inadequate response t</w:t>
      </w:r>
      <w:r>
        <w:rPr>
          <w:lang w:eastAsia="ja-JP"/>
        </w:rPr>
        <w:t xml:space="preserve">o at least one TNFI. </w:t>
      </w:r>
      <w:r w:rsidR="00615860">
        <w:rPr>
          <w:lang w:eastAsia="ja-JP"/>
        </w:rPr>
        <w:t>It was conducted at 98 sites in 14 countries (Australia, Belgium, Brazil, Czech Republic, France, Germany, Mexico, Poland, Russia, Slovakia, Spain, Taiwan, UK and the US) betwe</w:t>
      </w:r>
      <w:r>
        <w:rPr>
          <w:lang w:eastAsia="ja-JP"/>
        </w:rPr>
        <w:t xml:space="preserve">en August 2013 and April 2016. </w:t>
      </w:r>
      <w:r w:rsidR="00615860">
        <w:rPr>
          <w:lang w:eastAsia="ja-JP"/>
        </w:rPr>
        <w:t xml:space="preserve">Patients remained on a stable dose of background </w:t>
      </w:r>
      <w:proofErr w:type="spellStart"/>
      <w:r w:rsidR="00615860">
        <w:rPr>
          <w:lang w:eastAsia="ja-JP"/>
        </w:rPr>
        <w:t>csDMARD</w:t>
      </w:r>
      <w:proofErr w:type="spellEnd"/>
      <w:r w:rsidR="00615860">
        <w:rPr>
          <w:lang w:eastAsia="ja-JP"/>
        </w:rPr>
        <w:t xml:space="preserve"> during the study.</w:t>
      </w:r>
    </w:p>
    <w:p w14:paraId="6D982D89" w14:textId="77777777" w:rsidR="00615860" w:rsidRDefault="00615860" w:rsidP="00FD4AB0">
      <w:pPr>
        <w:rPr>
          <w:lang w:eastAsia="ja-JP"/>
        </w:rPr>
      </w:pPr>
      <w:r>
        <w:rPr>
          <w:lang w:eastAsia="ja-JP"/>
        </w:rPr>
        <w:t>395 patients were randomised (394 were treated) in a 2:2:1:1 ratio to one of four treatment groups:</w:t>
      </w:r>
    </w:p>
    <w:p w14:paraId="0217E4DF" w14:textId="77777777" w:rsidR="00615860" w:rsidRDefault="00615860" w:rsidP="00FD4AB0">
      <w:pPr>
        <w:pStyle w:val="ListBullet"/>
      </w:pPr>
      <w:r>
        <w:t xml:space="preserve">Group A: </w:t>
      </w:r>
      <w:proofErr w:type="spellStart"/>
      <w:r>
        <w:t>tofacitinib</w:t>
      </w:r>
      <w:proofErr w:type="spellEnd"/>
      <w:r>
        <w:t xml:space="preserve"> 5 mg </w:t>
      </w:r>
      <w:r w:rsidR="003A1B70">
        <w:t>BD</w:t>
      </w:r>
      <w:r>
        <w:t xml:space="preserve"> for 6 months</w:t>
      </w:r>
      <w:r w:rsidR="00FD4AB0">
        <w:t>.</w:t>
      </w:r>
    </w:p>
    <w:p w14:paraId="69B3FB7A" w14:textId="77777777" w:rsidR="00615860" w:rsidRDefault="00615860" w:rsidP="00FD4AB0">
      <w:pPr>
        <w:pStyle w:val="ListBullet"/>
      </w:pPr>
      <w:r>
        <w:t xml:space="preserve">Group B: </w:t>
      </w:r>
      <w:proofErr w:type="spellStart"/>
      <w:r>
        <w:t>tofacitinib</w:t>
      </w:r>
      <w:proofErr w:type="spellEnd"/>
      <w:r>
        <w:t xml:space="preserve"> 10 mg </w:t>
      </w:r>
      <w:r w:rsidR="003A1B70">
        <w:t>BD</w:t>
      </w:r>
      <w:r>
        <w:t xml:space="preserve"> for 6 months</w:t>
      </w:r>
      <w:r w:rsidR="00FD4AB0">
        <w:t>.</w:t>
      </w:r>
    </w:p>
    <w:p w14:paraId="38C36791" w14:textId="77777777" w:rsidR="00615860" w:rsidRDefault="00615860" w:rsidP="00FD4AB0">
      <w:pPr>
        <w:pStyle w:val="ListBullet"/>
      </w:pPr>
      <w:r>
        <w:t xml:space="preserve">Group C: placebo for 3 months then </w:t>
      </w:r>
      <w:proofErr w:type="spellStart"/>
      <w:r>
        <w:t>tofacitinib</w:t>
      </w:r>
      <w:proofErr w:type="spellEnd"/>
      <w:r>
        <w:t xml:space="preserve"> 5 mg </w:t>
      </w:r>
      <w:r w:rsidR="003A1B70">
        <w:t>BD</w:t>
      </w:r>
      <w:r>
        <w:t xml:space="preserve"> for 3 months</w:t>
      </w:r>
      <w:r w:rsidR="00FD4AB0">
        <w:t>.</w:t>
      </w:r>
    </w:p>
    <w:p w14:paraId="3B68F3E7" w14:textId="77777777" w:rsidR="00615860" w:rsidRDefault="00615860" w:rsidP="00FD4AB0">
      <w:pPr>
        <w:pStyle w:val="ListBullet"/>
      </w:pPr>
      <w:r>
        <w:t xml:space="preserve">Group D: placebo for 3 months then </w:t>
      </w:r>
      <w:proofErr w:type="spellStart"/>
      <w:r>
        <w:t>tofacitinib</w:t>
      </w:r>
      <w:proofErr w:type="spellEnd"/>
      <w:r>
        <w:t xml:space="preserve"> 10 mg </w:t>
      </w:r>
      <w:r w:rsidR="003A1B70">
        <w:t>BD</w:t>
      </w:r>
      <w:r>
        <w:t xml:space="preserve"> for 3 months</w:t>
      </w:r>
      <w:r w:rsidR="00FD4AB0">
        <w:t>.</w:t>
      </w:r>
    </w:p>
    <w:p w14:paraId="4461B0AC" w14:textId="77777777" w:rsidR="00615860" w:rsidRDefault="00615860" w:rsidP="00615860">
      <w:pPr>
        <w:rPr>
          <w:lang w:eastAsia="ja-JP"/>
        </w:rPr>
      </w:pPr>
      <w:r>
        <w:rPr>
          <w:lang w:eastAsia="ja-JP"/>
        </w:rPr>
        <w:t>The baseline demographics were compa</w:t>
      </w:r>
      <w:r w:rsidR="00FD4AB0">
        <w:rPr>
          <w:lang w:eastAsia="ja-JP"/>
        </w:rPr>
        <w:t xml:space="preserve">rable in each treatment group. </w:t>
      </w:r>
      <w:r>
        <w:rPr>
          <w:lang w:eastAsia="ja-JP"/>
        </w:rPr>
        <w:t>The majority of patients were White (92.1%), and female (55.3%), wi</w:t>
      </w:r>
      <w:r w:rsidR="00FD4AB0">
        <w:rPr>
          <w:lang w:eastAsia="ja-JP"/>
        </w:rPr>
        <w:t>th a mean age of 50.0 years.</w:t>
      </w:r>
    </w:p>
    <w:p w14:paraId="72C38275" w14:textId="77777777" w:rsidR="00615860" w:rsidRDefault="00615860" w:rsidP="00615860">
      <w:pPr>
        <w:rPr>
          <w:lang w:eastAsia="ja-JP"/>
        </w:rPr>
      </w:pPr>
      <w:r>
        <w:rPr>
          <w:lang w:eastAsia="ja-JP"/>
        </w:rPr>
        <w:t>The primary efficacy endpo</w:t>
      </w:r>
      <w:r w:rsidR="00FD4AB0">
        <w:rPr>
          <w:lang w:eastAsia="ja-JP"/>
        </w:rPr>
        <w:t>ints (ACR20 responder rate and change in HAQ-DI at Month 3) were met.</w:t>
      </w:r>
      <w:r>
        <w:rPr>
          <w:lang w:eastAsia="ja-JP"/>
        </w:rPr>
        <w:t xml:space="preserve"> The ACR20 response rate was statistically significantly higher for </w:t>
      </w:r>
      <w:proofErr w:type="spellStart"/>
      <w:r>
        <w:rPr>
          <w:lang w:eastAsia="ja-JP"/>
        </w:rPr>
        <w:t>tofacitinib</w:t>
      </w:r>
      <w:proofErr w:type="spellEnd"/>
      <w:r>
        <w:rPr>
          <w:lang w:eastAsia="ja-JP"/>
        </w:rPr>
        <w:t xml:space="preserve"> 5 mg </w:t>
      </w:r>
      <w:r w:rsidR="003A1B70">
        <w:rPr>
          <w:lang w:eastAsia="ja-JP"/>
        </w:rPr>
        <w:t>BD</w:t>
      </w:r>
      <w:r>
        <w:rPr>
          <w:lang w:eastAsia="ja-JP"/>
        </w:rPr>
        <w:t xml:space="preserve"> and </w:t>
      </w:r>
      <w:proofErr w:type="spellStart"/>
      <w:r>
        <w:rPr>
          <w:lang w:eastAsia="ja-JP"/>
        </w:rPr>
        <w:t>tofacitinib</w:t>
      </w:r>
      <w:proofErr w:type="spellEnd"/>
      <w:r>
        <w:rPr>
          <w:lang w:eastAsia="ja-JP"/>
        </w:rPr>
        <w:t xml:space="preserve"> 10 mg </w:t>
      </w:r>
      <w:r w:rsidR="003A1B70">
        <w:rPr>
          <w:lang w:eastAsia="ja-JP"/>
        </w:rPr>
        <w:t>BD</w:t>
      </w:r>
      <w:r>
        <w:rPr>
          <w:lang w:eastAsia="ja-JP"/>
        </w:rPr>
        <w:t xml:space="preserve"> compared with placebo. The response rates were 49.62%, 46.97% and 23.66% in the </w:t>
      </w:r>
      <w:proofErr w:type="spellStart"/>
      <w:r>
        <w:rPr>
          <w:lang w:eastAsia="ja-JP"/>
        </w:rPr>
        <w:t>tofacitinib</w:t>
      </w:r>
      <w:proofErr w:type="spellEnd"/>
      <w:r>
        <w:rPr>
          <w:lang w:eastAsia="ja-JP"/>
        </w:rPr>
        <w:t xml:space="preserve"> 5 mg </w:t>
      </w:r>
      <w:r w:rsidR="003A1B70">
        <w:rPr>
          <w:lang w:eastAsia="ja-JP"/>
        </w:rPr>
        <w:t>BD</w:t>
      </w:r>
      <w:r>
        <w:rPr>
          <w:lang w:eastAsia="ja-JP"/>
        </w:rPr>
        <w:t xml:space="preserve">, </w:t>
      </w:r>
      <w:proofErr w:type="spellStart"/>
      <w:r>
        <w:rPr>
          <w:lang w:eastAsia="ja-JP"/>
        </w:rPr>
        <w:t>tofacitinib</w:t>
      </w:r>
      <w:proofErr w:type="spellEnd"/>
      <w:r>
        <w:rPr>
          <w:lang w:eastAsia="ja-JP"/>
        </w:rPr>
        <w:t xml:space="preserve"> 10 mg </w:t>
      </w:r>
      <w:r w:rsidR="003A1B70">
        <w:rPr>
          <w:lang w:eastAsia="ja-JP"/>
        </w:rPr>
        <w:t>BD</w:t>
      </w:r>
      <w:r>
        <w:rPr>
          <w:lang w:eastAsia="ja-JP"/>
        </w:rPr>
        <w:t xml:space="preserve"> and placebo groups, respectively. The treatment difference for </w:t>
      </w:r>
      <w:proofErr w:type="spellStart"/>
      <w:r>
        <w:rPr>
          <w:lang w:eastAsia="ja-JP"/>
        </w:rPr>
        <w:t>tofacitinib</w:t>
      </w:r>
      <w:proofErr w:type="spellEnd"/>
      <w:r>
        <w:rPr>
          <w:lang w:eastAsia="ja-JP"/>
        </w:rPr>
        <w:t xml:space="preserve"> 5 mg </w:t>
      </w:r>
      <w:r w:rsidR="003A1B70">
        <w:rPr>
          <w:lang w:eastAsia="ja-JP"/>
        </w:rPr>
        <w:t>BD</w:t>
      </w:r>
      <w:r>
        <w:rPr>
          <w:lang w:eastAsia="ja-JP"/>
        </w:rPr>
        <w:t xml:space="preserve"> versus placebo was 25.95% (95% CI: 14.72, 37.19; p</w:t>
      </w:r>
      <w:r w:rsidR="00BD60C9">
        <w:rPr>
          <w:lang w:eastAsia="ja-JP"/>
        </w:rPr>
        <w:t xml:space="preserve"> </w:t>
      </w:r>
      <w:r>
        <w:rPr>
          <w:lang w:eastAsia="ja-JP"/>
        </w:rPr>
        <w:t>&lt;</w:t>
      </w:r>
      <w:r w:rsidR="00BD60C9">
        <w:rPr>
          <w:lang w:eastAsia="ja-JP"/>
        </w:rPr>
        <w:t xml:space="preserve"> </w:t>
      </w:r>
      <w:r>
        <w:rPr>
          <w:lang w:eastAsia="ja-JP"/>
        </w:rPr>
        <w:t xml:space="preserve">0.0001). The treatment difference for </w:t>
      </w:r>
      <w:proofErr w:type="spellStart"/>
      <w:r>
        <w:rPr>
          <w:lang w:eastAsia="ja-JP"/>
        </w:rPr>
        <w:t>tofacitinib</w:t>
      </w:r>
      <w:proofErr w:type="spellEnd"/>
      <w:r>
        <w:rPr>
          <w:lang w:eastAsia="ja-JP"/>
        </w:rPr>
        <w:t xml:space="preserve"> 10 mg </w:t>
      </w:r>
      <w:r w:rsidR="003A1B70">
        <w:rPr>
          <w:lang w:eastAsia="ja-JP"/>
        </w:rPr>
        <w:t>BD</w:t>
      </w:r>
      <w:r>
        <w:rPr>
          <w:lang w:eastAsia="ja-JP"/>
        </w:rPr>
        <w:t xml:space="preserve"> versus placebo was 23.31% (95% CI: 12.10, 34.51; p</w:t>
      </w:r>
      <w:r w:rsidR="008978B8">
        <w:rPr>
          <w:lang w:eastAsia="ja-JP"/>
        </w:rPr>
        <w:t xml:space="preserve"> </w:t>
      </w:r>
      <w:r>
        <w:rPr>
          <w:lang w:eastAsia="ja-JP"/>
        </w:rPr>
        <w:t>&lt;</w:t>
      </w:r>
      <w:r w:rsidR="008978B8">
        <w:rPr>
          <w:lang w:eastAsia="ja-JP"/>
        </w:rPr>
        <w:t xml:space="preserve"> 0.0001). </w:t>
      </w:r>
      <w:r>
        <w:rPr>
          <w:lang w:eastAsia="ja-JP"/>
        </w:rPr>
        <w:t xml:space="preserve">The mean HAQ-DI decreases were also statistically significantly greater for </w:t>
      </w:r>
      <w:proofErr w:type="spellStart"/>
      <w:r>
        <w:rPr>
          <w:lang w:eastAsia="ja-JP"/>
        </w:rPr>
        <w:t>tofacitinib</w:t>
      </w:r>
      <w:proofErr w:type="spellEnd"/>
      <w:r>
        <w:rPr>
          <w:lang w:eastAsia="ja-JP"/>
        </w:rPr>
        <w:t xml:space="preserve"> 5 mg </w:t>
      </w:r>
      <w:r w:rsidR="003A1B70">
        <w:rPr>
          <w:lang w:eastAsia="ja-JP"/>
        </w:rPr>
        <w:t>BD</w:t>
      </w:r>
      <w:r>
        <w:rPr>
          <w:lang w:eastAsia="ja-JP"/>
        </w:rPr>
        <w:t xml:space="preserve"> and </w:t>
      </w:r>
      <w:proofErr w:type="spellStart"/>
      <w:r>
        <w:rPr>
          <w:lang w:eastAsia="ja-JP"/>
        </w:rPr>
        <w:t>tofacitinib</w:t>
      </w:r>
      <w:proofErr w:type="spellEnd"/>
      <w:r>
        <w:rPr>
          <w:lang w:eastAsia="ja-JP"/>
        </w:rPr>
        <w:t xml:space="preserve"> 10 mg </w:t>
      </w:r>
      <w:r w:rsidR="003A1B70">
        <w:rPr>
          <w:lang w:eastAsia="ja-JP"/>
        </w:rPr>
        <w:t>BD</w:t>
      </w:r>
      <w:r>
        <w:rPr>
          <w:lang w:eastAsia="ja-JP"/>
        </w:rPr>
        <w:t xml:space="preserve"> compared with placebo.</w:t>
      </w:r>
    </w:p>
    <w:p w14:paraId="5170C9C0" w14:textId="1C593531" w:rsidR="00615860" w:rsidRDefault="00615860" w:rsidP="00182961">
      <w:pPr>
        <w:pStyle w:val="FigureTitle"/>
      </w:pPr>
      <w:r w:rsidRPr="00431E1D">
        <w:lastRenderedPageBreak/>
        <w:t xml:space="preserve">Figure </w:t>
      </w:r>
      <w:fldSimple w:instr=" SEQ Figure \* ARABIC ">
        <w:r w:rsidR="00BD60C9">
          <w:rPr>
            <w:noProof/>
          </w:rPr>
          <w:t>5</w:t>
        </w:r>
      </w:fldSimple>
      <w:r w:rsidR="00182961">
        <w:t xml:space="preserve">: </w:t>
      </w:r>
      <w:r w:rsidRPr="00431E1D">
        <w:t>Study A3921125 ACR20 response rates up to Month 6</w:t>
      </w:r>
    </w:p>
    <w:p w14:paraId="6EF89F57" w14:textId="77777777" w:rsidR="00182961" w:rsidRDefault="00182961" w:rsidP="00182961">
      <w:pPr>
        <w:rPr>
          <w:lang w:eastAsia="ja-JP"/>
        </w:rPr>
      </w:pPr>
      <w:r>
        <w:rPr>
          <w:noProof/>
          <w:lang w:eastAsia="en-AU"/>
        </w:rPr>
        <w:drawing>
          <wp:inline distT="0" distB="0" distL="0" distR="0" wp14:anchorId="681648BE" wp14:editId="39F1953D">
            <wp:extent cx="5117911" cy="3335391"/>
            <wp:effectExtent l="0" t="0" r="6985" b="0"/>
            <wp:docPr id="36" name="Picture 36" descr="Study A3921125: ACR20 response rates up to Mont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25133" cy="3340098"/>
                    </a:xfrm>
                    <a:prstGeom prst="rect">
                      <a:avLst/>
                    </a:prstGeom>
                  </pic:spPr>
                </pic:pic>
              </a:graphicData>
            </a:graphic>
          </wp:inline>
        </w:drawing>
      </w:r>
    </w:p>
    <w:p w14:paraId="5305CF94" w14:textId="77777777" w:rsidR="00615860" w:rsidRDefault="00615860" w:rsidP="00615860">
      <w:pPr>
        <w:rPr>
          <w:lang w:eastAsia="ja-JP"/>
        </w:rPr>
      </w:pPr>
      <w:r>
        <w:rPr>
          <w:lang w:eastAsia="ja-JP"/>
        </w:rPr>
        <w:t xml:space="preserve">Secondary efficacy endpoints included changes in individual ACR components, ACR20, ACR50 and ACR70 responder rates, PASI75 response rates, </w:t>
      </w:r>
      <w:proofErr w:type="spellStart"/>
      <w:r>
        <w:rPr>
          <w:lang w:eastAsia="ja-JP"/>
        </w:rPr>
        <w:t>enthesitis</w:t>
      </w:r>
      <w:proofErr w:type="spellEnd"/>
      <w:r>
        <w:rPr>
          <w:lang w:eastAsia="ja-JP"/>
        </w:rPr>
        <w:t xml:space="preserve"> and </w:t>
      </w:r>
      <w:proofErr w:type="spellStart"/>
      <w:r>
        <w:rPr>
          <w:lang w:eastAsia="ja-JP"/>
        </w:rPr>
        <w:t>dactylitis</w:t>
      </w:r>
      <w:proofErr w:type="spellEnd"/>
      <w:r>
        <w:rPr>
          <w:lang w:eastAsia="ja-JP"/>
        </w:rPr>
        <w:t xml:space="preserve"> measures, </w:t>
      </w:r>
      <w:r w:rsidR="00182961">
        <w:rPr>
          <w:lang w:eastAsia="ja-JP"/>
        </w:rPr>
        <w:t>and patient reported outcomes.</w:t>
      </w:r>
    </w:p>
    <w:p w14:paraId="20F94E17" w14:textId="77777777" w:rsidR="00615860" w:rsidRPr="004B576D" w:rsidRDefault="00615860" w:rsidP="00615860">
      <w:r>
        <w:rPr>
          <w:lang w:eastAsia="ja-JP"/>
        </w:rPr>
        <w:t>Secondary efficacy outcomes were largely consis</w:t>
      </w:r>
      <w:r w:rsidR="00182961">
        <w:rPr>
          <w:lang w:eastAsia="ja-JP"/>
        </w:rPr>
        <w:t xml:space="preserve">tent with the primary outcome. </w:t>
      </w:r>
      <w:r>
        <w:rPr>
          <w:lang w:eastAsia="ja-JP"/>
        </w:rPr>
        <w:t>ACR</w:t>
      </w:r>
      <w:r w:rsidRPr="00F27240">
        <w:rPr>
          <w:lang w:eastAsia="ja-JP"/>
        </w:rPr>
        <w:t xml:space="preserve">50 response rates </w:t>
      </w:r>
      <w:r>
        <w:rPr>
          <w:lang w:eastAsia="ja-JP"/>
        </w:rPr>
        <w:t xml:space="preserve">at Month 3 </w:t>
      </w:r>
      <w:r w:rsidRPr="00F27240">
        <w:rPr>
          <w:lang w:eastAsia="ja-JP"/>
        </w:rPr>
        <w:t xml:space="preserve">were significantly higher in both </w:t>
      </w:r>
      <w:proofErr w:type="spellStart"/>
      <w:r w:rsidRPr="00F27240">
        <w:rPr>
          <w:lang w:eastAsia="ja-JP"/>
        </w:rPr>
        <w:t>tofacitin</w:t>
      </w:r>
      <w:r>
        <w:rPr>
          <w:lang w:eastAsia="ja-JP"/>
        </w:rPr>
        <w:t>ib</w:t>
      </w:r>
      <w:proofErr w:type="spellEnd"/>
      <w:r w:rsidR="00182961">
        <w:rPr>
          <w:lang w:eastAsia="ja-JP"/>
        </w:rPr>
        <w:t xml:space="preserve"> groups compared with placebo. </w:t>
      </w:r>
      <w:r>
        <w:rPr>
          <w:lang w:eastAsia="ja-JP"/>
        </w:rPr>
        <w:t>ACR20 and ACR50 response rates were</w:t>
      </w:r>
      <w:r w:rsidRPr="00F27240">
        <w:rPr>
          <w:lang w:eastAsia="ja-JP"/>
        </w:rPr>
        <w:t xml:space="preserve"> maintained or improved in </w:t>
      </w:r>
      <w:r>
        <w:rPr>
          <w:lang w:eastAsia="ja-JP"/>
        </w:rPr>
        <w:t>both</w:t>
      </w:r>
      <w:r w:rsidRPr="00F27240">
        <w:rPr>
          <w:lang w:eastAsia="ja-JP"/>
        </w:rPr>
        <w:t xml:space="preserve"> </w:t>
      </w:r>
      <w:r>
        <w:rPr>
          <w:lang w:eastAsia="ja-JP"/>
        </w:rPr>
        <w:t>groups</w:t>
      </w:r>
      <w:r w:rsidRPr="004B576D">
        <w:rPr>
          <w:lang w:eastAsia="ja-JP"/>
        </w:rPr>
        <w:t xml:space="preserve"> </w:t>
      </w:r>
      <w:r>
        <w:rPr>
          <w:lang w:eastAsia="ja-JP"/>
        </w:rPr>
        <w:t>to</w:t>
      </w:r>
      <w:r w:rsidRPr="00F27240">
        <w:rPr>
          <w:lang w:eastAsia="ja-JP"/>
        </w:rPr>
        <w:t xml:space="preserve"> Month 6</w:t>
      </w:r>
      <w:r>
        <w:rPr>
          <w:lang w:eastAsia="ja-JP"/>
        </w:rPr>
        <w:t xml:space="preserve">. </w:t>
      </w:r>
      <w:r w:rsidRPr="00F27240">
        <w:rPr>
          <w:lang w:eastAsia="ja-JP"/>
        </w:rPr>
        <w:t>ACR</w:t>
      </w:r>
      <w:r>
        <w:rPr>
          <w:lang w:eastAsia="ja-JP"/>
        </w:rPr>
        <w:t>7</w:t>
      </w:r>
      <w:r w:rsidRPr="00F27240">
        <w:rPr>
          <w:lang w:eastAsia="ja-JP"/>
        </w:rPr>
        <w:t xml:space="preserve">0 response rates were </w:t>
      </w:r>
      <w:r>
        <w:rPr>
          <w:lang w:eastAsia="ja-JP"/>
        </w:rPr>
        <w:t xml:space="preserve">numerically </w:t>
      </w:r>
      <w:r w:rsidRPr="00F27240">
        <w:rPr>
          <w:lang w:eastAsia="ja-JP"/>
        </w:rPr>
        <w:t xml:space="preserve">higher in both </w:t>
      </w:r>
      <w:proofErr w:type="spellStart"/>
      <w:r w:rsidRPr="00F27240">
        <w:rPr>
          <w:lang w:eastAsia="ja-JP"/>
        </w:rPr>
        <w:t>tofacitinib</w:t>
      </w:r>
      <w:proofErr w:type="spellEnd"/>
      <w:r w:rsidRPr="00F27240">
        <w:rPr>
          <w:lang w:eastAsia="ja-JP"/>
        </w:rPr>
        <w:t xml:space="preserve"> groups compared with placebo</w:t>
      </w:r>
      <w:r>
        <w:rPr>
          <w:lang w:eastAsia="ja-JP"/>
        </w:rPr>
        <w:t>; however, the treatment differences did not ach</w:t>
      </w:r>
      <w:r w:rsidR="00182961">
        <w:rPr>
          <w:lang w:eastAsia="ja-JP"/>
        </w:rPr>
        <w:t xml:space="preserve">ieve statistical significance. </w:t>
      </w:r>
      <w:r>
        <w:rPr>
          <w:lang w:eastAsia="ja-JP"/>
        </w:rPr>
        <w:t>T</w:t>
      </w:r>
      <w:r w:rsidRPr="00F27240">
        <w:rPr>
          <w:lang w:eastAsia="ja-JP"/>
        </w:rPr>
        <w:t xml:space="preserve">here were no meaningful differences in </w:t>
      </w:r>
      <w:r>
        <w:rPr>
          <w:lang w:eastAsia="ja-JP"/>
        </w:rPr>
        <w:t xml:space="preserve">ACR20, ACR50 and </w:t>
      </w:r>
      <w:r w:rsidRPr="00F27240">
        <w:rPr>
          <w:lang w:eastAsia="ja-JP"/>
        </w:rPr>
        <w:t>ACR</w:t>
      </w:r>
      <w:r>
        <w:rPr>
          <w:lang w:eastAsia="ja-JP"/>
        </w:rPr>
        <w:t>7</w:t>
      </w:r>
      <w:r w:rsidRPr="00F27240">
        <w:rPr>
          <w:lang w:eastAsia="ja-JP"/>
        </w:rPr>
        <w:t xml:space="preserve">0 response rates </w:t>
      </w:r>
      <w:r>
        <w:rPr>
          <w:lang w:eastAsia="ja-JP"/>
        </w:rPr>
        <w:t>between</w:t>
      </w:r>
      <w:r w:rsidRPr="00F27240">
        <w:rPr>
          <w:lang w:eastAsia="ja-JP"/>
        </w:rPr>
        <w:t xml:space="preserve"> the </w:t>
      </w:r>
      <w:proofErr w:type="spellStart"/>
      <w:r w:rsidRPr="00F27240">
        <w:rPr>
          <w:lang w:eastAsia="ja-JP"/>
        </w:rPr>
        <w:t>tofacitinib</w:t>
      </w:r>
      <w:proofErr w:type="spellEnd"/>
      <w:r w:rsidRPr="00F27240">
        <w:rPr>
          <w:lang w:eastAsia="ja-JP"/>
        </w:rPr>
        <w:t xml:space="preserve"> 5 mg </w:t>
      </w:r>
      <w:r w:rsidR="003A1B70">
        <w:rPr>
          <w:lang w:eastAsia="ja-JP"/>
        </w:rPr>
        <w:t>BD</w:t>
      </w:r>
      <w:r w:rsidRPr="00F27240">
        <w:rPr>
          <w:lang w:eastAsia="ja-JP"/>
        </w:rPr>
        <w:t xml:space="preserve"> and 10 mg </w:t>
      </w:r>
      <w:r w:rsidR="003A1B70">
        <w:rPr>
          <w:lang w:eastAsia="ja-JP"/>
        </w:rPr>
        <w:t>BD</w:t>
      </w:r>
      <w:r w:rsidRPr="00F27240">
        <w:rPr>
          <w:lang w:eastAsia="ja-JP"/>
        </w:rPr>
        <w:t xml:space="preserve"> groups</w:t>
      </w:r>
      <w:r>
        <w:rPr>
          <w:lang w:eastAsia="ja-JP"/>
        </w:rPr>
        <w:t xml:space="preserve"> at Months 3 and 6</w:t>
      </w:r>
      <w:r w:rsidRPr="00F27240">
        <w:rPr>
          <w:lang w:eastAsia="ja-JP"/>
        </w:rPr>
        <w:t>.</w:t>
      </w:r>
      <w:r w:rsidR="00182961">
        <w:rPr>
          <w:lang w:eastAsia="ja-JP"/>
        </w:rPr>
        <w:t xml:space="preserve"> </w:t>
      </w:r>
      <w:r w:rsidRPr="00722E39">
        <w:rPr>
          <w:lang w:eastAsia="ja-JP"/>
        </w:rPr>
        <w:t>Patients randomised to placebo until Month 3, showed comparable increases in ACR20 response rates at Month 6</w:t>
      </w:r>
      <w:r>
        <w:rPr>
          <w:lang w:eastAsia="ja-JP"/>
        </w:rPr>
        <w:t>.</w:t>
      </w:r>
    </w:p>
    <w:p w14:paraId="17357C5C" w14:textId="77777777" w:rsidR="00615860" w:rsidRDefault="00615860" w:rsidP="00615860">
      <w:pPr>
        <w:pStyle w:val="Heading5"/>
        <w:rPr>
          <w:lang w:eastAsia="ja-JP"/>
        </w:rPr>
      </w:pPr>
      <w:r w:rsidRPr="00AA53F4">
        <w:t xml:space="preserve">Study </w:t>
      </w:r>
      <w:r w:rsidRPr="0089282E">
        <w:rPr>
          <w:lang w:eastAsia="ja-JP"/>
        </w:rPr>
        <w:t>A3921</w:t>
      </w:r>
      <w:r>
        <w:rPr>
          <w:lang w:eastAsia="ja-JP"/>
        </w:rPr>
        <w:t>092</w:t>
      </w:r>
    </w:p>
    <w:p w14:paraId="79F08B24" w14:textId="73E93B4B" w:rsidR="00615860" w:rsidRDefault="00615860" w:rsidP="00615860">
      <w:pPr>
        <w:rPr>
          <w:lang w:eastAsia="ja-JP"/>
        </w:rPr>
      </w:pPr>
      <w:r>
        <w:rPr>
          <w:lang w:eastAsia="ja-JP"/>
        </w:rPr>
        <w:t>This is an ongoing open</w:t>
      </w:r>
      <w:r w:rsidR="00182961">
        <w:rPr>
          <w:lang w:eastAsia="ja-JP"/>
        </w:rPr>
        <w:t xml:space="preserve"> label, long </w:t>
      </w:r>
      <w:r>
        <w:rPr>
          <w:lang w:eastAsia="ja-JP"/>
        </w:rPr>
        <w:t xml:space="preserve">term extension study of </w:t>
      </w:r>
      <w:proofErr w:type="spellStart"/>
      <w:r>
        <w:rPr>
          <w:lang w:eastAsia="ja-JP"/>
        </w:rPr>
        <w:t>tofacitinib</w:t>
      </w:r>
      <w:proofErr w:type="spellEnd"/>
      <w:r>
        <w:rPr>
          <w:lang w:eastAsia="ja-JP"/>
        </w:rPr>
        <w:t xml:space="preserve"> for the treatment of </w:t>
      </w:r>
      <w:proofErr w:type="spellStart"/>
      <w:r>
        <w:rPr>
          <w:lang w:eastAsia="ja-JP"/>
        </w:rPr>
        <w:t>PsA</w:t>
      </w:r>
      <w:proofErr w:type="spellEnd"/>
      <w:r>
        <w:rPr>
          <w:lang w:eastAsia="ja-JP"/>
        </w:rPr>
        <w:t xml:space="preserve"> whi</w:t>
      </w:r>
      <w:r w:rsidR="00182961">
        <w:rPr>
          <w:lang w:eastAsia="ja-JP"/>
        </w:rPr>
        <w:t>ch started on 17 February 2014.</w:t>
      </w:r>
      <w:r>
        <w:rPr>
          <w:lang w:eastAsia="ja-JP"/>
        </w:rPr>
        <w:t xml:space="preserve"> Eligible patients were</w:t>
      </w:r>
      <w:r w:rsidR="00182961">
        <w:rPr>
          <w:lang w:eastAsia="ja-JP"/>
        </w:rPr>
        <w:t xml:space="preserve"> enrolled from the two pivotal </w:t>
      </w:r>
      <w:r w:rsidR="009E0948">
        <w:rPr>
          <w:lang w:eastAsia="ja-JP"/>
        </w:rPr>
        <w:t>studies</w:t>
      </w:r>
      <w:r w:rsidR="00182961">
        <w:rPr>
          <w:lang w:eastAsia="ja-JP"/>
        </w:rPr>
        <w:t xml:space="preserve">, </w:t>
      </w:r>
      <w:r w:rsidR="009E0948">
        <w:rPr>
          <w:lang w:eastAsia="ja-JP"/>
        </w:rPr>
        <w:t>Study</w:t>
      </w:r>
      <w:r w:rsidR="00182961">
        <w:rPr>
          <w:lang w:eastAsia="ja-JP"/>
        </w:rPr>
        <w:t xml:space="preserve">A3921091 and </w:t>
      </w:r>
      <w:r w:rsidR="009E0948">
        <w:rPr>
          <w:lang w:eastAsia="ja-JP"/>
        </w:rPr>
        <w:t xml:space="preserve">Study </w:t>
      </w:r>
      <w:r w:rsidR="00182961">
        <w:rPr>
          <w:lang w:eastAsia="ja-JP"/>
        </w:rPr>
        <w:t xml:space="preserve">A3921125. </w:t>
      </w:r>
      <w:r>
        <w:rPr>
          <w:lang w:eastAsia="ja-JP"/>
        </w:rPr>
        <w:t>The int</w:t>
      </w:r>
      <w:r w:rsidR="00182961">
        <w:rPr>
          <w:lang w:eastAsia="ja-JP"/>
        </w:rPr>
        <w:t>erim analysis cut-off date</w:t>
      </w:r>
      <w:r>
        <w:rPr>
          <w:lang w:eastAsia="ja-JP"/>
        </w:rPr>
        <w:t xml:space="preserve"> is 4 April 2016, the interim report is dated 31 August 2017, and the</w:t>
      </w:r>
      <w:r w:rsidR="00182961">
        <w:rPr>
          <w:lang w:eastAsia="ja-JP"/>
        </w:rPr>
        <w:t xml:space="preserve"> estimated completion date is 4 February 2019. </w:t>
      </w:r>
      <w:r>
        <w:rPr>
          <w:lang w:eastAsia="ja-JP"/>
        </w:rPr>
        <w:t>Data were available up to Month 15.</w:t>
      </w:r>
    </w:p>
    <w:p w14:paraId="1C16ED59" w14:textId="77777777" w:rsidR="00615860" w:rsidRDefault="00615860" w:rsidP="00615860">
      <w:pPr>
        <w:rPr>
          <w:lang w:eastAsia="ja-JP"/>
        </w:rPr>
      </w:pPr>
      <w:r>
        <w:rPr>
          <w:lang w:eastAsia="ja-JP"/>
        </w:rPr>
        <w:t xml:space="preserve">The primary objective was the long-term safety and tolerability of </w:t>
      </w:r>
      <w:proofErr w:type="spellStart"/>
      <w:r>
        <w:rPr>
          <w:lang w:eastAsia="ja-JP"/>
        </w:rPr>
        <w:t>tofacitinib</w:t>
      </w:r>
      <w:proofErr w:type="spellEnd"/>
      <w:r>
        <w:rPr>
          <w:lang w:eastAsia="ja-JP"/>
        </w:rPr>
        <w:t xml:space="preserve"> 5 mg </w:t>
      </w:r>
      <w:r w:rsidR="003A1B70">
        <w:rPr>
          <w:lang w:eastAsia="ja-JP"/>
        </w:rPr>
        <w:t>BD</w:t>
      </w:r>
      <w:r>
        <w:rPr>
          <w:lang w:eastAsia="ja-JP"/>
        </w:rPr>
        <w:t xml:space="preserve"> or 10 mg </w:t>
      </w:r>
      <w:r w:rsidR="003A1B70">
        <w:rPr>
          <w:lang w:eastAsia="ja-JP"/>
        </w:rPr>
        <w:t>BD</w:t>
      </w:r>
      <w:r w:rsidR="00182961">
        <w:rPr>
          <w:lang w:eastAsia="ja-JP"/>
        </w:rPr>
        <w:t xml:space="preserve"> in patients with </w:t>
      </w:r>
      <w:proofErr w:type="spellStart"/>
      <w:r w:rsidR="00182961">
        <w:rPr>
          <w:lang w:eastAsia="ja-JP"/>
        </w:rPr>
        <w:t>PsA.</w:t>
      </w:r>
      <w:proofErr w:type="spellEnd"/>
      <w:r w:rsidR="00182961">
        <w:rPr>
          <w:lang w:eastAsia="ja-JP"/>
        </w:rPr>
        <w:t xml:space="preserve"> </w:t>
      </w:r>
      <w:r>
        <w:rPr>
          <w:lang w:eastAsia="ja-JP"/>
        </w:rPr>
        <w:t>T</w:t>
      </w:r>
      <w:r w:rsidR="00182961">
        <w:rPr>
          <w:lang w:eastAsia="ja-JP"/>
        </w:rPr>
        <w:t xml:space="preserve">he secondary objective was long </w:t>
      </w:r>
      <w:r>
        <w:rPr>
          <w:lang w:eastAsia="ja-JP"/>
        </w:rPr>
        <w:t xml:space="preserve">term </w:t>
      </w:r>
      <w:r w:rsidR="00182961">
        <w:rPr>
          <w:lang w:eastAsia="ja-JP"/>
        </w:rPr>
        <w:t xml:space="preserve">efficacy. </w:t>
      </w:r>
      <w:r>
        <w:rPr>
          <w:lang w:eastAsia="ja-JP"/>
        </w:rPr>
        <w:t xml:space="preserve">All patients received </w:t>
      </w:r>
      <w:proofErr w:type="spellStart"/>
      <w:r>
        <w:rPr>
          <w:lang w:eastAsia="ja-JP"/>
        </w:rPr>
        <w:t>tofacitinib</w:t>
      </w:r>
      <w:proofErr w:type="spellEnd"/>
      <w:r>
        <w:rPr>
          <w:lang w:eastAsia="ja-JP"/>
        </w:rPr>
        <w:t xml:space="preserve"> 5 mg </w:t>
      </w:r>
      <w:r w:rsidR="003A1B70">
        <w:rPr>
          <w:lang w:eastAsia="ja-JP"/>
        </w:rPr>
        <w:t>BD</w:t>
      </w:r>
      <w:r w:rsidR="00182961">
        <w:rPr>
          <w:lang w:eastAsia="ja-JP"/>
        </w:rPr>
        <w:t xml:space="preserve"> on entry into the study. </w:t>
      </w:r>
      <w:r>
        <w:rPr>
          <w:lang w:eastAsia="ja-JP"/>
        </w:rPr>
        <w:t xml:space="preserve">Starting at Month 1, patients receiving </w:t>
      </w:r>
      <w:proofErr w:type="spellStart"/>
      <w:r>
        <w:rPr>
          <w:lang w:eastAsia="ja-JP"/>
        </w:rPr>
        <w:t>tofacitinib</w:t>
      </w:r>
      <w:proofErr w:type="spellEnd"/>
      <w:r>
        <w:rPr>
          <w:lang w:eastAsia="ja-JP"/>
        </w:rPr>
        <w:t xml:space="preserve"> 5 mg </w:t>
      </w:r>
      <w:r w:rsidR="003A1B70">
        <w:rPr>
          <w:lang w:eastAsia="ja-JP"/>
        </w:rPr>
        <w:t>BD</w:t>
      </w:r>
      <w:r>
        <w:rPr>
          <w:lang w:eastAsia="ja-JP"/>
        </w:rPr>
        <w:t xml:space="preserve"> were given the option to increase the dose to 10 mg </w:t>
      </w:r>
      <w:r w:rsidR="003A1B70">
        <w:rPr>
          <w:lang w:eastAsia="ja-JP"/>
        </w:rPr>
        <w:t>BD</w:t>
      </w:r>
      <w:r>
        <w:rPr>
          <w:lang w:eastAsia="ja-JP"/>
        </w:rPr>
        <w:t xml:space="preserve"> at the discretion of the investigator. Patients receiving </w:t>
      </w:r>
      <w:proofErr w:type="spellStart"/>
      <w:r>
        <w:rPr>
          <w:lang w:eastAsia="ja-JP"/>
        </w:rPr>
        <w:t>tofacitinib</w:t>
      </w:r>
      <w:proofErr w:type="spellEnd"/>
      <w:r>
        <w:rPr>
          <w:lang w:eastAsia="ja-JP"/>
        </w:rPr>
        <w:t xml:space="preserve"> 10 mg </w:t>
      </w:r>
      <w:r w:rsidR="003A1B70">
        <w:rPr>
          <w:lang w:eastAsia="ja-JP"/>
        </w:rPr>
        <w:t>BD</w:t>
      </w:r>
      <w:r>
        <w:rPr>
          <w:lang w:eastAsia="ja-JP"/>
        </w:rPr>
        <w:t xml:space="preserve"> were later given the option to reduce the dose to 5 mg </w:t>
      </w:r>
      <w:r w:rsidR="003A1B70">
        <w:rPr>
          <w:lang w:eastAsia="ja-JP"/>
        </w:rPr>
        <w:t>BD</w:t>
      </w:r>
      <w:r>
        <w:rPr>
          <w:lang w:eastAsia="ja-JP"/>
        </w:rPr>
        <w:t xml:space="preserve"> for safety reasons.</w:t>
      </w:r>
    </w:p>
    <w:p w14:paraId="369C402E" w14:textId="77777777" w:rsidR="00615860" w:rsidRDefault="00182961" w:rsidP="00615860">
      <w:pPr>
        <w:rPr>
          <w:lang w:eastAsia="ja-JP"/>
        </w:rPr>
      </w:pPr>
      <w:r>
        <w:rPr>
          <w:lang w:eastAsia="ja-JP"/>
        </w:rPr>
        <w:t>At the data cut-off</w:t>
      </w:r>
      <w:r w:rsidR="00615860">
        <w:rPr>
          <w:lang w:eastAsia="ja-JP"/>
        </w:rPr>
        <w:t>, 685 patients were enrolled from the qualifying studies, 680 patients (99.3%) were treated,</w:t>
      </w:r>
      <w:r>
        <w:rPr>
          <w:lang w:eastAsia="ja-JP"/>
        </w:rPr>
        <w:t xml:space="preserve"> and 608 (89.4%) were ongoing. </w:t>
      </w:r>
      <w:r w:rsidR="00615860">
        <w:rPr>
          <w:lang w:eastAsia="ja-JP"/>
        </w:rPr>
        <w:t>A total of 72 (10.6%) patients discontinued from the study, most commonly due to inadequate clinical response (2.6%), withdrawal of consent (2.6%), and AEs</w:t>
      </w:r>
      <w:r>
        <w:rPr>
          <w:lang w:eastAsia="ja-JP"/>
        </w:rPr>
        <w:t xml:space="preserve"> related to study drug (1.9%). </w:t>
      </w:r>
      <w:r w:rsidR="00615860">
        <w:rPr>
          <w:lang w:eastAsia="ja-JP"/>
        </w:rPr>
        <w:t>The majority of patients were White (94.2%) and female (53.9%), with a mean age of 48.8 yea</w:t>
      </w:r>
      <w:r>
        <w:rPr>
          <w:lang w:eastAsia="ja-JP"/>
        </w:rPr>
        <w:t xml:space="preserve">rs. </w:t>
      </w:r>
      <w:r w:rsidR="00615860">
        <w:rPr>
          <w:lang w:eastAsia="ja-JP"/>
        </w:rPr>
        <w:t>The median duration of treatment was 175 days (range 3 to 754 days).</w:t>
      </w:r>
    </w:p>
    <w:p w14:paraId="2356FE2D" w14:textId="77777777" w:rsidR="00615860" w:rsidRDefault="00615860" w:rsidP="00615860">
      <w:pPr>
        <w:rPr>
          <w:lang w:eastAsia="ja-JP"/>
        </w:rPr>
      </w:pPr>
      <w:r>
        <w:rPr>
          <w:lang w:eastAsia="ja-JP"/>
        </w:rPr>
        <w:lastRenderedPageBreak/>
        <w:t>In general, ACR20 response rates at Month 1 were sustained through Month 15, irrespective of which qualifying stud</w:t>
      </w:r>
      <w:r w:rsidR="00182961">
        <w:rPr>
          <w:lang w:eastAsia="ja-JP"/>
        </w:rPr>
        <w:t xml:space="preserve">y patients were enrolled from. The stability of the change in </w:t>
      </w:r>
      <w:r>
        <w:rPr>
          <w:lang w:eastAsia="ja-JP"/>
        </w:rPr>
        <w:t>HAQ-DI was also sustained over time.</w:t>
      </w:r>
    </w:p>
    <w:p w14:paraId="5B61D98A" w14:textId="77777777" w:rsidR="00615860" w:rsidRDefault="00615860" w:rsidP="00615860">
      <w:pPr>
        <w:pStyle w:val="Heading5"/>
      </w:pPr>
      <w:r>
        <w:t>Other efficacy s</w:t>
      </w:r>
      <w:r w:rsidRPr="00AA53F4">
        <w:t>tud</w:t>
      </w:r>
      <w:r>
        <w:t>ies and analyses</w:t>
      </w:r>
    </w:p>
    <w:p w14:paraId="53E37120" w14:textId="77777777" w:rsidR="00615860" w:rsidRPr="00974A6C" w:rsidRDefault="00615860" w:rsidP="00615860">
      <w:r>
        <w:rPr>
          <w:lang w:eastAsia="ja-JP"/>
        </w:rPr>
        <w:t>A number of pooled analyses of the pivotal studies were performed and were supportive of the primary analyses.</w:t>
      </w:r>
    </w:p>
    <w:p w14:paraId="5777CB57" w14:textId="77777777" w:rsidR="00615860" w:rsidRDefault="00615860" w:rsidP="00615860">
      <w:r>
        <w:t xml:space="preserve">Studies </w:t>
      </w:r>
      <w:r w:rsidRPr="00252963">
        <w:rPr>
          <w:lang w:eastAsia="ja-JP"/>
        </w:rPr>
        <w:t>A3921137</w:t>
      </w:r>
      <w:r>
        <w:rPr>
          <w:lang w:eastAsia="ja-JP"/>
        </w:rPr>
        <w:t xml:space="preserve"> </w:t>
      </w:r>
      <w:r w:rsidRPr="00252963">
        <w:rPr>
          <w:lang w:eastAsia="ja-JP"/>
        </w:rPr>
        <w:t>and A3921119</w:t>
      </w:r>
      <w:r>
        <w:rPr>
          <w:lang w:eastAsia="ja-JP"/>
        </w:rPr>
        <w:t xml:space="preserve"> are described in the evaluation report but do not contribute meaningfully to efficacy in </w:t>
      </w:r>
      <w:proofErr w:type="spellStart"/>
      <w:r>
        <w:rPr>
          <w:lang w:eastAsia="ja-JP"/>
        </w:rPr>
        <w:t>PsA</w:t>
      </w:r>
      <w:proofErr w:type="spellEnd"/>
      <w:r>
        <w:rPr>
          <w:lang w:eastAsia="ja-JP"/>
        </w:rPr>
        <w:t>, so are not discussed further.</w:t>
      </w:r>
    </w:p>
    <w:p w14:paraId="29C0A5F8" w14:textId="77777777" w:rsidR="00615860" w:rsidRDefault="00615860" w:rsidP="00615860">
      <w:pPr>
        <w:pStyle w:val="Heading4"/>
      </w:pPr>
      <w:r w:rsidRPr="00AA53F4">
        <w:t>Safety</w:t>
      </w:r>
    </w:p>
    <w:p w14:paraId="5EABDB02" w14:textId="0AB43909" w:rsidR="00615860" w:rsidRDefault="00615860" w:rsidP="00615860">
      <w:pPr>
        <w:rPr>
          <w:lang w:eastAsia="ja-JP"/>
        </w:rPr>
      </w:pPr>
      <w:r>
        <w:rPr>
          <w:lang w:eastAsia="ja-JP"/>
        </w:rPr>
        <w:t xml:space="preserve">The safety profile of </w:t>
      </w:r>
      <w:proofErr w:type="spellStart"/>
      <w:r>
        <w:rPr>
          <w:lang w:eastAsia="ja-JP"/>
        </w:rPr>
        <w:t>tofacitinib</w:t>
      </w:r>
      <w:proofErr w:type="spellEnd"/>
      <w:r>
        <w:rPr>
          <w:lang w:eastAsia="ja-JP"/>
        </w:rPr>
        <w:t xml:space="preserve"> was assessed in </w:t>
      </w:r>
      <w:proofErr w:type="spellStart"/>
      <w:r>
        <w:rPr>
          <w:lang w:eastAsia="ja-JP"/>
        </w:rPr>
        <w:t>PsA</w:t>
      </w:r>
      <w:proofErr w:type="spellEnd"/>
      <w:r>
        <w:rPr>
          <w:lang w:eastAsia="ja-JP"/>
        </w:rPr>
        <w:t xml:space="preserve"> patients in the </w:t>
      </w:r>
      <w:r w:rsidR="00182961">
        <w:rPr>
          <w:lang w:eastAsia="ja-JP"/>
        </w:rPr>
        <w:t xml:space="preserve">two placebo-controlled pivotal </w:t>
      </w:r>
      <w:r w:rsidR="009E0948">
        <w:rPr>
          <w:lang w:eastAsia="ja-JP"/>
        </w:rPr>
        <w:t xml:space="preserve">studies </w:t>
      </w:r>
      <w:r>
        <w:rPr>
          <w:lang w:eastAsia="ja-JP"/>
        </w:rPr>
        <w:t>(</w:t>
      </w:r>
      <w:r w:rsidR="009E0948">
        <w:rPr>
          <w:lang w:eastAsia="ja-JP"/>
        </w:rPr>
        <w:t xml:space="preserve">Studies </w:t>
      </w:r>
      <w:r>
        <w:rPr>
          <w:lang w:eastAsia="ja-JP"/>
        </w:rPr>
        <w:t>A</w:t>
      </w:r>
      <w:r w:rsidR="00182961">
        <w:rPr>
          <w:lang w:eastAsia="ja-JP"/>
        </w:rPr>
        <w:t>3921091 and A3921125), the open label long term extension</w:t>
      </w:r>
      <w:r>
        <w:rPr>
          <w:lang w:eastAsia="ja-JP"/>
        </w:rPr>
        <w:t xml:space="preserve"> study (</w:t>
      </w:r>
      <w:r w:rsidR="009E0948">
        <w:rPr>
          <w:lang w:eastAsia="ja-JP"/>
        </w:rPr>
        <w:t xml:space="preserve">Study </w:t>
      </w:r>
      <w:r>
        <w:rPr>
          <w:lang w:eastAsia="ja-JP"/>
        </w:rPr>
        <w:t xml:space="preserve">A3921092) and the supporting </w:t>
      </w:r>
      <w:r w:rsidR="009E0948">
        <w:rPr>
          <w:lang w:eastAsia="ja-JP"/>
        </w:rPr>
        <w:t>S</w:t>
      </w:r>
      <w:r w:rsidR="00182961">
        <w:rPr>
          <w:lang w:eastAsia="ja-JP"/>
        </w:rPr>
        <w:t xml:space="preserve">tudies A3921137 and A3921119. </w:t>
      </w:r>
      <w:r>
        <w:rPr>
          <w:lang w:eastAsia="ja-JP"/>
        </w:rPr>
        <w:t xml:space="preserve">A total of 783 </w:t>
      </w:r>
      <w:proofErr w:type="spellStart"/>
      <w:r>
        <w:rPr>
          <w:lang w:eastAsia="ja-JP"/>
        </w:rPr>
        <w:t>PsA</w:t>
      </w:r>
      <w:proofErr w:type="spellEnd"/>
      <w:r>
        <w:rPr>
          <w:lang w:eastAsia="ja-JP"/>
        </w:rPr>
        <w:t xml:space="preserve"> patients received </w:t>
      </w:r>
      <w:proofErr w:type="spellStart"/>
      <w:r>
        <w:rPr>
          <w:lang w:eastAsia="ja-JP"/>
        </w:rPr>
        <w:t>tofacitinib</w:t>
      </w:r>
      <w:proofErr w:type="spellEnd"/>
      <w:r>
        <w:rPr>
          <w:lang w:eastAsia="ja-JP"/>
        </w:rPr>
        <w:t xml:space="preserve"> for a t</w:t>
      </w:r>
      <w:r w:rsidR="00182961">
        <w:rPr>
          <w:lang w:eastAsia="ja-JP"/>
        </w:rPr>
        <w:t xml:space="preserve">otal of 1237.89 patient years. </w:t>
      </w:r>
      <w:r>
        <w:rPr>
          <w:lang w:eastAsia="ja-JP"/>
        </w:rPr>
        <w:t xml:space="preserve">635 patients received </w:t>
      </w:r>
      <w:proofErr w:type="spellStart"/>
      <w:r>
        <w:rPr>
          <w:lang w:eastAsia="ja-JP"/>
        </w:rPr>
        <w:t>tofacitinib</w:t>
      </w:r>
      <w:proofErr w:type="spellEnd"/>
      <w:r>
        <w:rPr>
          <w:lang w:eastAsia="ja-JP"/>
        </w:rPr>
        <w:t xml:space="preserve"> for ≥</w:t>
      </w:r>
      <w:r w:rsidR="00182961">
        <w:rPr>
          <w:lang w:eastAsia="ja-JP"/>
        </w:rPr>
        <w:t xml:space="preserve"> </w:t>
      </w:r>
      <w:r>
        <w:rPr>
          <w:lang w:eastAsia="ja-JP"/>
        </w:rPr>
        <w:t xml:space="preserve">12 months and 335 patients received </w:t>
      </w:r>
      <w:proofErr w:type="spellStart"/>
      <w:r>
        <w:rPr>
          <w:lang w:eastAsia="ja-JP"/>
        </w:rPr>
        <w:t>tofacitinib</w:t>
      </w:r>
      <w:proofErr w:type="spellEnd"/>
      <w:r>
        <w:rPr>
          <w:lang w:eastAsia="ja-JP"/>
        </w:rPr>
        <w:t xml:space="preserve"> for ≥</w:t>
      </w:r>
      <w:r w:rsidR="009E0948">
        <w:rPr>
          <w:lang w:eastAsia="ja-JP"/>
        </w:rPr>
        <w:t> </w:t>
      </w:r>
      <w:r w:rsidR="00182961">
        <w:rPr>
          <w:lang w:eastAsia="ja-JP"/>
        </w:rPr>
        <w:t>24</w:t>
      </w:r>
      <w:r w:rsidR="009E0948">
        <w:rPr>
          <w:lang w:eastAsia="ja-JP"/>
        </w:rPr>
        <w:t> </w:t>
      </w:r>
      <w:r w:rsidR="00182961">
        <w:rPr>
          <w:lang w:eastAsia="ja-JP"/>
        </w:rPr>
        <w:t>months.</w:t>
      </w:r>
    </w:p>
    <w:p w14:paraId="01FDB33F" w14:textId="77777777" w:rsidR="00615860" w:rsidRDefault="00615860" w:rsidP="00615860">
      <w:pPr>
        <w:rPr>
          <w:lang w:eastAsia="ja-JP"/>
        </w:rPr>
      </w:pPr>
      <w:r>
        <w:rPr>
          <w:lang w:eastAsia="ja-JP"/>
        </w:rPr>
        <w:t>From the pivotal studies, 238, 236, 236 and 106 patients wer</w:t>
      </w:r>
      <w:r w:rsidR="00182961">
        <w:rPr>
          <w:lang w:eastAsia="ja-JP"/>
        </w:rPr>
        <w:t xml:space="preserve">e included in the </w:t>
      </w:r>
      <w:proofErr w:type="spellStart"/>
      <w:r w:rsidR="00182961">
        <w:rPr>
          <w:lang w:eastAsia="ja-JP"/>
        </w:rPr>
        <w:t>tofacitinib</w:t>
      </w:r>
      <w:proofErr w:type="spellEnd"/>
      <w:r w:rsidR="00182961">
        <w:rPr>
          <w:lang w:eastAsia="ja-JP"/>
        </w:rPr>
        <w:t xml:space="preserve"> 5 </w:t>
      </w:r>
      <w:r>
        <w:rPr>
          <w:lang w:eastAsia="ja-JP"/>
        </w:rPr>
        <w:t xml:space="preserve">mg </w:t>
      </w:r>
      <w:r w:rsidR="003A1B70">
        <w:rPr>
          <w:lang w:eastAsia="ja-JP"/>
        </w:rPr>
        <w:t>BD</w:t>
      </w:r>
      <w:r>
        <w:rPr>
          <w:lang w:eastAsia="ja-JP"/>
        </w:rPr>
        <w:t xml:space="preserve">, </w:t>
      </w:r>
      <w:proofErr w:type="spellStart"/>
      <w:r>
        <w:rPr>
          <w:lang w:eastAsia="ja-JP"/>
        </w:rPr>
        <w:t>tofacitinib</w:t>
      </w:r>
      <w:proofErr w:type="spellEnd"/>
      <w:r>
        <w:rPr>
          <w:lang w:eastAsia="ja-JP"/>
        </w:rPr>
        <w:t xml:space="preserve"> 10 mg </w:t>
      </w:r>
      <w:r w:rsidR="003A1B70">
        <w:rPr>
          <w:lang w:eastAsia="ja-JP"/>
        </w:rPr>
        <w:t>BD</w:t>
      </w:r>
      <w:r>
        <w:rPr>
          <w:lang w:eastAsia="ja-JP"/>
        </w:rPr>
        <w:t xml:space="preserve">, placebo and </w:t>
      </w:r>
      <w:proofErr w:type="spellStart"/>
      <w:r>
        <w:rPr>
          <w:lang w:eastAsia="ja-JP"/>
        </w:rPr>
        <w:t>ad</w:t>
      </w:r>
      <w:r w:rsidR="00182961">
        <w:rPr>
          <w:lang w:eastAsia="ja-JP"/>
        </w:rPr>
        <w:t>alimumab</w:t>
      </w:r>
      <w:proofErr w:type="spellEnd"/>
      <w:r w:rsidR="00182961">
        <w:rPr>
          <w:lang w:eastAsia="ja-JP"/>
        </w:rPr>
        <w:t xml:space="preserve"> groups, respectively. </w:t>
      </w:r>
      <w:r>
        <w:rPr>
          <w:lang w:eastAsia="ja-JP"/>
        </w:rPr>
        <w:t>A pooled analysis approach involving 3 cohorts was a</w:t>
      </w:r>
      <w:r w:rsidR="00182961">
        <w:rPr>
          <w:lang w:eastAsia="ja-JP"/>
        </w:rPr>
        <w:t>dopted for the pivotal studies:</w:t>
      </w:r>
    </w:p>
    <w:p w14:paraId="7CD2315A" w14:textId="7B1B00E6" w:rsidR="00615860" w:rsidRPr="00182961" w:rsidRDefault="00182961" w:rsidP="00182961">
      <w:pPr>
        <w:pStyle w:val="ListBullet"/>
        <w:rPr>
          <w:lang w:eastAsia="ja-JP"/>
        </w:rPr>
      </w:pPr>
      <w:r>
        <w:rPr>
          <w:lang w:eastAsia="ja-JP"/>
        </w:rPr>
        <w:t xml:space="preserve">Cohort 1 (placebo </w:t>
      </w:r>
      <w:r w:rsidR="00615860" w:rsidRPr="00182961">
        <w:rPr>
          <w:lang w:eastAsia="ja-JP"/>
        </w:rPr>
        <w:t>controlled period): In</w:t>
      </w:r>
      <w:r>
        <w:rPr>
          <w:lang w:eastAsia="ja-JP"/>
        </w:rPr>
        <w:t>tegrated data from the pivotal Studies </w:t>
      </w:r>
      <w:r w:rsidR="00615860" w:rsidRPr="00182961">
        <w:rPr>
          <w:lang w:eastAsia="ja-JP"/>
        </w:rPr>
        <w:t xml:space="preserve">A3921091 and A3921125 compared the safety profiles of </w:t>
      </w:r>
      <w:proofErr w:type="spellStart"/>
      <w:r w:rsidR="00615860" w:rsidRPr="00182961">
        <w:rPr>
          <w:lang w:eastAsia="ja-JP"/>
        </w:rPr>
        <w:t>tofacitinib</w:t>
      </w:r>
      <w:proofErr w:type="spellEnd"/>
      <w:r w:rsidR="00615860" w:rsidRPr="00182961">
        <w:rPr>
          <w:lang w:eastAsia="ja-JP"/>
        </w:rPr>
        <w:t xml:space="preserve"> 5 mg </w:t>
      </w:r>
      <w:r w:rsidR="003A1B70">
        <w:rPr>
          <w:lang w:eastAsia="ja-JP"/>
        </w:rPr>
        <w:t>BD</w:t>
      </w:r>
      <w:r w:rsidR="00615860" w:rsidRPr="00182961">
        <w:rPr>
          <w:lang w:eastAsia="ja-JP"/>
        </w:rPr>
        <w:t xml:space="preserve">, </w:t>
      </w:r>
      <w:proofErr w:type="spellStart"/>
      <w:r w:rsidR="00615860" w:rsidRPr="00182961">
        <w:rPr>
          <w:lang w:eastAsia="ja-JP"/>
        </w:rPr>
        <w:t>tofacitinib</w:t>
      </w:r>
      <w:proofErr w:type="spellEnd"/>
      <w:r w:rsidR="00615860" w:rsidRPr="00182961">
        <w:rPr>
          <w:lang w:eastAsia="ja-JP"/>
        </w:rPr>
        <w:t xml:space="preserve"> 10 mg </w:t>
      </w:r>
      <w:r w:rsidR="003A1B70">
        <w:rPr>
          <w:lang w:eastAsia="ja-JP"/>
        </w:rPr>
        <w:t>BD</w:t>
      </w:r>
      <w:r w:rsidR="00615860" w:rsidRPr="00182961">
        <w:rPr>
          <w:lang w:eastAsia="ja-JP"/>
        </w:rPr>
        <w:t xml:space="preserve">, placebo and </w:t>
      </w:r>
      <w:proofErr w:type="spellStart"/>
      <w:r w:rsidR="00615860" w:rsidRPr="00182961">
        <w:rPr>
          <w:lang w:eastAsia="ja-JP"/>
        </w:rPr>
        <w:t>adalim</w:t>
      </w:r>
      <w:r>
        <w:rPr>
          <w:lang w:eastAsia="ja-JP"/>
        </w:rPr>
        <w:t>umab</w:t>
      </w:r>
      <w:proofErr w:type="spellEnd"/>
      <w:r>
        <w:rPr>
          <w:lang w:eastAsia="ja-JP"/>
        </w:rPr>
        <w:t xml:space="preserve"> </w:t>
      </w:r>
      <w:r w:rsidR="00317963">
        <w:rPr>
          <w:lang w:eastAsia="ja-JP"/>
        </w:rPr>
        <w:t>from Baseline</w:t>
      </w:r>
      <w:r>
        <w:rPr>
          <w:lang w:eastAsia="ja-JP"/>
        </w:rPr>
        <w:t xml:space="preserve"> to Month 3.</w:t>
      </w:r>
    </w:p>
    <w:p w14:paraId="26BC561D" w14:textId="77777777" w:rsidR="00615860" w:rsidRPr="00182961" w:rsidRDefault="00182961" w:rsidP="00182961">
      <w:pPr>
        <w:pStyle w:val="ListBullet"/>
        <w:rPr>
          <w:lang w:eastAsia="ja-JP"/>
        </w:rPr>
      </w:pPr>
      <w:r>
        <w:rPr>
          <w:lang w:eastAsia="ja-JP"/>
        </w:rPr>
        <w:t xml:space="preserve">Cohort 2 (6 </w:t>
      </w:r>
      <w:r w:rsidR="00615860" w:rsidRPr="00182961">
        <w:rPr>
          <w:lang w:eastAsia="ja-JP"/>
        </w:rPr>
        <w:t xml:space="preserve">month dose comparison): Integrated data from six months of treatment compared the two doses of </w:t>
      </w:r>
      <w:proofErr w:type="spellStart"/>
      <w:r w:rsidR="00615860" w:rsidRPr="00182961">
        <w:rPr>
          <w:lang w:eastAsia="ja-JP"/>
        </w:rPr>
        <w:t>tofacitinib</w:t>
      </w:r>
      <w:proofErr w:type="spellEnd"/>
      <w:r w:rsidR="00615860" w:rsidRPr="00182961">
        <w:rPr>
          <w:lang w:eastAsia="ja-JP"/>
        </w:rPr>
        <w:t xml:space="preserve"> and </w:t>
      </w:r>
      <w:proofErr w:type="spellStart"/>
      <w:r w:rsidR="00615860" w:rsidRPr="00182961">
        <w:rPr>
          <w:lang w:eastAsia="ja-JP"/>
        </w:rPr>
        <w:t>adalimumab</w:t>
      </w:r>
      <w:proofErr w:type="spellEnd"/>
      <w:r w:rsidR="00615860" w:rsidRPr="00182961">
        <w:rPr>
          <w:lang w:eastAsia="ja-JP"/>
        </w:rPr>
        <w:t>. The analysis excluded patients randomised to the placebo/</w:t>
      </w:r>
      <w:proofErr w:type="spellStart"/>
      <w:r w:rsidR="00615860" w:rsidRPr="00182961">
        <w:rPr>
          <w:lang w:eastAsia="ja-JP"/>
        </w:rPr>
        <w:t>tofacitinib</w:t>
      </w:r>
      <w:proofErr w:type="spellEnd"/>
      <w:r w:rsidR="00615860" w:rsidRPr="00182961">
        <w:rPr>
          <w:lang w:eastAsia="ja-JP"/>
        </w:rPr>
        <w:t xml:space="preserve"> 5 mg </w:t>
      </w:r>
      <w:r w:rsidR="003A1B70">
        <w:rPr>
          <w:lang w:eastAsia="ja-JP"/>
        </w:rPr>
        <w:t>BD</w:t>
      </w:r>
      <w:r w:rsidR="00615860" w:rsidRPr="00182961">
        <w:rPr>
          <w:lang w:eastAsia="ja-JP"/>
        </w:rPr>
        <w:t xml:space="preserve"> and placebo/</w:t>
      </w:r>
      <w:proofErr w:type="spellStart"/>
      <w:r w:rsidR="00615860" w:rsidRPr="00182961">
        <w:rPr>
          <w:lang w:eastAsia="ja-JP"/>
        </w:rPr>
        <w:t>tofacitinib</w:t>
      </w:r>
      <w:proofErr w:type="spellEnd"/>
      <w:r w:rsidR="00615860" w:rsidRPr="00182961">
        <w:rPr>
          <w:lang w:eastAsia="ja-JP"/>
        </w:rPr>
        <w:t xml:space="preserve"> 10 mg </w:t>
      </w:r>
      <w:r w:rsidR="003A1B70">
        <w:rPr>
          <w:lang w:eastAsia="ja-JP"/>
        </w:rPr>
        <w:t>BD</w:t>
      </w:r>
      <w:r>
        <w:rPr>
          <w:lang w:eastAsia="ja-JP"/>
        </w:rPr>
        <w:t xml:space="preserve"> groups.</w:t>
      </w:r>
    </w:p>
    <w:p w14:paraId="2240703A" w14:textId="77777777" w:rsidR="00615860" w:rsidRPr="00182961" w:rsidRDefault="00182961" w:rsidP="00182961">
      <w:pPr>
        <w:pStyle w:val="ListBullet"/>
        <w:rPr>
          <w:lang w:eastAsia="ja-JP"/>
        </w:rPr>
      </w:pPr>
      <w:r>
        <w:rPr>
          <w:lang w:eastAsia="ja-JP"/>
        </w:rPr>
        <w:t xml:space="preserve">Cohort 2a (12 </w:t>
      </w:r>
      <w:r w:rsidR="00615860" w:rsidRPr="00182961">
        <w:rPr>
          <w:lang w:eastAsia="ja-JP"/>
        </w:rPr>
        <w:t xml:space="preserve">month dose comparison): Integrated data from 12 months of treatment compared patients randomised to </w:t>
      </w:r>
      <w:proofErr w:type="spellStart"/>
      <w:r w:rsidR="00615860" w:rsidRPr="00182961">
        <w:rPr>
          <w:lang w:eastAsia="ja-JP"/>
        </w:rPr>
        <w:t>tofacitinib</w:t>
      </w:r>
      <w:proofErr w:type="spellEnd"/>
      <w:r w:rsidR="00615860" w:rsidRPr="00182961">
        <w:rPr>
          <w:lang w:eastAsia="ja-JP"/>
        </w:rPr>
        <w:t xml:space="preserve"> 5 mg </w:t>
      </w:r>
      <w:r w:rsidR="003A1B70">
        <w:rPr>
          <w:lang w:eastAsia="ja-JP"/>
        </w:rPr>
        <w:t>BD</w:t>
      </w:r>
      <w:r w:rsidR="00615860" w:rsidRPr="00182961">
        <w:rPr>
          <w:lang w:eastAsia="ja-JP"/>
        </w:rPr>
        <w:t xml:space="preserve">, </w:t>
      </w:r>
      <w:proofErr w:type="spellStart"/>
      <w:r w:rsidR="00615860" w:rsidRPr="00182961">
        <w:rPr>
          <w:lang w:eastAsia="ja-JP"/>
        </w:rPr>
        <w:t>tofacitinib</w:t>
      </w:r>
      <w:proofErr w:type="spellEnd"/>
      <w:r w:rsidR="00615860" w:rsidRPr="00182961">
        <w:rPr>
          <w:lang w:eastAsia="ja-JP"/>
        </w:rPr>
        <w:t xml:space="preserve"> 10 mg </w:t>
      </w:r>
      <w:r w:rsidR="003A1B70">
        <w:rPr>
          <w:lang w:eastAsia="ja-JP"/>
        </w:rPr>
        <w:t>BD</w:t>
      </w:r>
      <w:r w:rsidR="00615860" w:rsidRPr="00182961">
        <w:rPr>
          <w:lang w:eastAsia="ja-JP"/>
        </w:rPr>
        <w:t xml:space="preserve"> and </w:t>
      </w:r>
      <w:proofErr w:type="spellStart"/>
      <w:r w:rsidR="00615860" w:rsidRPr="00182961">
        <w:rPr>
          <w:lang w:eastAsia="ja-JP"/>
        </w:rPr>
        <w:t>adalimumab</w:t>
      </w:r>
      <w:proofErr w:type="spellEnd"/>
      <w:r w:rsidR="00615860" w:rsidRPr="00182961">
        <w:rPr>
          <w:lang w:eastAsia="ja-JP"/>
        </w:rPr>
        <w:t>.</w:t>
      </w:r>
    </w:p>
    <w:p w14:paraId="1D1E24CF" w14:textId="77777777" w:rsidR="00615860" w:rsidRPr="00182961" w:rsidRDefault="00615860" w:rsidP="00182961">
      <w:pPr>
        <w:pStyle w:val="ListBullet"/>
        <w:rPr>
          <w:lang w:eastAsia="ja-JP"/>
        </w:rPr>
      </w:pPr>
      <w:r w:rsidRPr="00182961">
        <w:rPr>
          <w:lang w:eastAsia="ja-JP"/>
        </w:rPr>
        <w:t xml:space="preserve">Cohort 3 (All </w:t>
      </w:r>
      <w:proofErr w:type="spellStart"/>
      <w:r w:rsidRPr="00182961">
        <w:rPr>
          <w:lang w:eastAsia="ja-JP"/>
        </w:rPr>
        <w:t>PsA</w:t>
      </w:r>
      <w:proofErr w:type="spellEnd"/>
      <w:r w:rsidRPr="00182961">
        <w:rPr>
          <w:lang w:eastAsia="ja-JP"/>
        </w:rPr>
        <w:t xml:space="preserve">): Integrated data from all patients who received </w:t>
      </w:r>
      <w:proofErr w:type="spellStart"/>
      <w:r w:rsidRPr="00182961">
        <w:rPr>
          <w:lang w:eastAsia="ja-JP"/>
        </w:rPr>
        <w:t>tofacitinib</w:t>
      </w:r>
      <w:proofErr w:type="spellEnd"/>
      <w:r w:rsidRPr="00182961">
        <w:rPr>
          <w:lang w:eastAsia="ja-JP"/>
        </w:rPr>
        <w:t xml:space="preserve"> in the </w:t>
      </w:r>
      <w:proofErr w:type="spellStart"/>
      <w:r w:rsidRPr="00182961">
        <w:rPr>
          <w:lang w:eastAsia="ja-JP"/>
        </w:rPr>
        <w:t>PsA</w:t>
      </w:r>
      <w:proofErr w:type="spellEnd"/>
      <w:r w:rsidR="00182961">
        <w:rPr>
          <w:lang w:eastAsia="ja-JP"/>
        </w:rPr>
        <w:t xml:space="preserve"> program (pivotal and long term extension</w:t>
      </w:r>
      <w:r w:rsidRPr="00182961">
        <w:rPr>
          <w:lang w:eastAsia="ja-JP"/>
        </w:rPr>
        <w:t xml:space="preserve"> studies) were analysed. Analyses of AEs over time are based on Cohort 3 only.</w:t>
      </w:r>
    </w:p>
    <w:p w14:paraId="2876D478" w14:textId="77777777" w:rsidR="00615860" w:rsidRDefault="00615860" w:rsidP="00615860">
      <w:pPr>
        <w:rPr>
          <w:lang w:eastAsia="ja-JP"/>
        </w:rPr>
      </w:pPr>
      <w:r>
        <w:t xml:space="preserve">The incidence of TEAEs in the </w:t>
      </w:r>
      <w:proofErr w:type="spellStart"/>
      <w:r>
        <w:t>tofacitinib</w:t>
      </w:r>
      <w:proofErr w:type="spellEnd"/>
      <w:r>
        <w:t xml:space="preserve"> groups was generally higher than plac</w:t>
      </w:r>
      <w:r w:rsidR="00182961">
        <w:t xml:space="preserve">ebo and similar to </w:t>
      </w:r>
      <w:proofErr w:type="spellStart"/>
      <w:r w:rsidR="00182961">
        <w:t>adalimumab</w:t>
      </w:r>
      <w:proofErr w:type="spellEnd"/>
      <w:r w:rsidR="00182961">
        <w:t>. In C</w:t>
      </w:r>
      <w:r>
        <w:t>ohort 1, TE</w:t>
      </w:r>
      <w:r>
        <w:rPr>
          <w:lang w:eastAsia="ja-JP"/>
        </w:rPr>
        <w:t xml:space="preserve">AEs </w:t>
      </w:r>
      <w:r w:rsidRPr="00970FD7">
        <w:rPr>
          <w:lang w:eastAsia="ja-JP"/>
        </w:rPr>
        <w:t>were</w:t>
      </w:r>
      <w:r>
        <w:rPr>
          <w:b/>
          <w:lang w:eastAsia="ja-JP"/>
        </w:rPr>
        <w:t xml:space="preserve"> </w:t>
      </w:r>
      <w:r w:rsidRPr="00970FD7">
        <w:rPr>
          <w:lang w:eastAsia="ja-JP"/>
        </w:rPr>
        <w:t>reported in 47.9%</w:t>
      </w:r>
      <w:r>
        <w:rPr>
          <w:lang w:eastAsia="ja-JP"/>
        </w:rPr>
        <w:t xml:space="preserve">, 49.6%, 40.3% and 46.2% of the </w:t>
      </w:r>
      <w:proofErr w:type="spellStart"/>
      <w:r>
        <w:rPr>
          <w:lang w:eastAsia="ja-JP"/>
        </w:rPr>
        <w:t>tofacitinib</w:t>
      </w:r>
      <w:proofErr w:type="spellEnd"/>
      <w:r>
        <w:rPr>
          <w:lang w:eastAsia="ja-JP"/>
        </w:rPr>
        <w:t xml:space="preserve"> 5 mg </w:t>
      </w:r>
      <w:r w:rsidR="003A1B70">
        <w:rPr>
          <w:lang w:eastAsia="ja-JP"/>
        </w:rPr>
        <w:t>BD</w:t>
      </w:r>
      <w:r>
        <w:rPr>
          <w:lang w:eastAsia="ja-JP"/>
        </w:rPr>
        <w:t xml:space="preserve">, </w:t>
      </w:r>
      <w:proofErr w:type="spellStart"/>
      <w:r>
        <w:rPr>
          <w:lang w:eastAsia="ja-JP"/>
        </w:rPr>
        <w:t>tofacitinib</w:t>
      </w:r>
      <w:proofErr w:type="spellEnd"/>
      <w:r>
        <w:rPr>
          <w:lang w:eastAsia="ja-JP"/>
        </w:rPr>
        <w:t xml:space="preserve"> 10 mg </w:t>
      </w:r>
      <w:r w:rsidR="003A1B70">
        <w:rPr>
          <w:lang w:eastAsia="ja-JP"/>
        </w:rPr>
        <w:t>BD</w:t>
      </w:r>
      <w:r>
        <w:rPr>
          <w:lang w:eastAsia="ja-JP"/>
        </w:rPr>
        <w:t xml:space="preserve">, placebo and </w:t>
      </w:r>
      <w:proofErr w:type="spellStart"/>
      <w:r>
        <w:rPr>
          <w:lang w:eastAsia="ja-JP"/>
        </w:rPr>
        <w:t>adalimumab</w:t>
      </w:r>
      <w:proofErr w:type="spellEnd"/>
      <w:r>
        <w:rPr>
          <w:lang w:eastAsia="ja-JP"/>
        </w:rPr>
        <w:t xml:space="preserve"> groups, respectively. Nearly all TEAEs were</w:t>
      </w:r>
      <w:r w:rsidR="00182961">
        <w:rPr>
          <w:lang w:eastAsia="ja-JP"/>
        </w:rPr>
        <w:t xml:space="preserve"> mild to moderate in severity. </w:t>
      </w:r>
      <w:r>
        <w:rPr>
          <w:lang w:eastAsia="ja-JP"/>
        </w:rPr>
        <w:t xml:space="preserve">Overall, the most commonly reported TEAEs by PT were </w:t>
      </w:r>
      <w:proofErr w:type="spellStart"/>
      <w:r>
        <w:rPr>
          <w:lang w:eastAsia="ja-JP"/>
        </w:rPr>
        <w:t>nasopharyngitis</w:t>
      </w:r>
      <w:proofErr w:type="spellEnd"/>
      <w:r>
        <w:rPr>
          <w:lang w:eastAsia="ja-JP"/>
        </w:rPr>
        <w:t xml:space="preserve">, headache and </w:t>
      </w:r>
      <w:r w:rsidR="00182961">
        <w:rPr>
          <w:lang w:eastAsia="ja-JP"/>
        </w:rPr>
        <w:t>URTI.</w:t>
      </w:r>
      <w:r>
        <w:rPr>
          <w:lang w:eastAsia="ja-JP"/>
        </w:rPr>
        <w:t xml:space="preserve"> Compared with placebo, TEAEs reported at least 1% more frequently in patients receiving </w:t>
      </w:r>
      <w:proofErr w:type="spellStart"/>
      <w:r>
        <w:rPr>
          <w:lang w:eastAsia="ja-JP"/>
        </w:rPr>
        <w:t>tofacitinib</w:t>
      </w:r>
      <w:proofErr w:type="spellEnd"/>
      <w:r>
        <w:rPr>
          <w:lang w:eastAsia="ja-JP"/>
        </w:rPr>
        <w:t xml:space="preserve"> were bronchitis, diarrhoea, dyspepsia, fatigue, headache, </w:t>
      </w:r>
      <w:proofErr w:type="spellStart"/>
      <w:r>
        <w:rPr>
          <w:lang w:eastAsia="ja-JP"/>
        </w:rPr>
        <w:t>nasopharyngitis</w:t>
      </w:r>
      <w:proofErr w:type="spellEnd"/>
      <w:r>
        <w:rPr>
          <w:lang w:eastAsia="ja-JP"/>
        </w:rPr>
        <w:t xml:space="preserve"> and pharyngitis.</w:t>
      </w:r>
    </w:p>
    <w:p w14:paraId="71C1CD11" w14:textId="77777777" w:rsidR="00615860" w:rsidRDefault="00615860" w:rsidP="00615860">
      <w:pPr>
        <w:rPr>
          <w:lang w:eastAsia="ja-JP"/>
        </w:rPr>
      </w:pPr>
      <w:r>
        <w:rPr>
          <w:lang w:eastAsia="ja-JP"/>
        </w:rPr>
        <w:t>The incidence of SAEs was low in all treatment groups with no mea</w:t>
      </w:r>
      <w:r w:rsidR="00182961">
        <w:rPr>
          <w:lang w:eastAsia="ja-JP"/>
        </w:rPr>
        <w:t>ningful treatment differences. In C</w:t>
      </w:r>
      <w:r>
        <w:rPr>
          <w:lang w:eastAsia="ja-JP"/>
        </w:rPr>
        <w:t xml:space="preserve">ohort 1, SAEs were reported in 1.7%, 1.7%, 1.7% and 0.9% of the </w:t>
      </w:r>
      <w:proofErr w:type="spellStart"/>
      <w:r>
        <w:rPr>
          <w:lang w:eastAsia="ja-JP"/>
        </w:rPr>
        <w:t>tofacitinib</w:t>
      </w:r>
      <w:proofErr w:type="spellEnd"/>
      <w:r>
        <w:rPr>
          <w:lang w:eastAsia="ja-JP"/>
        </w:rPr>
        <w:t xml:space="preserve"> 5 mg </w:t>
      </w:r>
      <w:r w:rsidR="003A1B70">
        <w:rPr>
          <w:lang w:eastAsia="ja-JP"/>
        </w:rPr>
        <w:t>BD</w:t>
      </w:r>
      <w:r>
        <w:rPr>
          <w:lang w:eastAsia="ja-JP"/>
        </w:rPr>
        <w:t xml:space="preserve">, </w:t>
      </w:r>
      <w:proofErr w:type="spellStart"/>
      <w:r>
        <w:rPr>
          <w:lang w:eastAsia="ja-JP"/>
        </w:rPr>
        <w:t>tofacitinib</w:t>
      </w:r>
      <w:proofErr w:type="spellEnd"/>
      <w:r>
        <w:rPr>
          <w:lang w:eastAsia="ja-JP"/>
        </w:rPr>
        <w:t xml:space="preserve"> 10 mg </w:t>
      </w:r>
      <w:r w:rsidR="003A1B70">
        <w:rPr>
          <w:lang w:eastAsia="ja-JP"/>
        </w:rPr>
        <w:t>BD</w:t>
      </w:r>
      <w:r>
        <w:rPr>
          <w:lang w:eastAsia="ja-JP"/>
        </w:rPr>
        <w:t xml:space="preserve">, placebo and </w:t>
      </w:r>
      <w:proofErr w:type="spellStart"/>
      <w:r>
        <w:rPr>
          <w:lang w:eastAsia="ja-JP"/>
        </w:rPr>
        <w:t>ad</w:t>
      </w:r>
      <w:r w:rsidR="00182961">
        <w:rPr>
          <w:lang w:eastAsia="ja-JP"/>
        </w:rPr>
        <w:t>alimumab</w:t>
      </w:r>
      <w:proofErr w:type="spellEnd"/>
      <w:r w:rsidR="00182961">
        <w:rPr>
          <w:lang w:eastAsia="ja-JP"/>
        </w:rPr>
        <w:t xml:space="preserve"> groups, respectively. </w:t>
      </w:r>
      <w:r>
        <w:rPr>
          <w:lang w:eastAsia="ja-JP"/>
        </w:rPr>
        <w:t>The percentage of patients who discontinued due to AEs was low</w:t>
      </w:r>
      <w:r w:rsidR="00182961">
        <w:rPr>
          <w:lang w:eastAsia="ja-JP"/>
        </w:rPr>
        <w:t xml:space="preserve"> and comparable in each group. </w:t>
      </w:r>
      <w:r>
        <w:rPr>
          <w:lang w:eastAsia="ja-JP"/>
        </w:rPr>
        <w:t xml:space="preserve">The incidence of SAEs was comparable in each treatment </w:t>
      </w:r>
      <w:r w:rsidR="00182961">
        <w:rPr>
          <w:lang w:eastAsia="ja-JP"/>
        </w:rPr>
        <w:t xml:space="preserve">group in Cohort 2 during the 12 </w:t>
      </w:r>
      <w:r>
        <w:rPr>
          <w:lang w:eastAsia="ja-JP"/>
        </w:rPr>
        <w:t>month reporting period.</w:t>
      </w:r>
    </w:p>
    <w:p w14:paraId="32E4FE56" w14:textId="77777777" w:rsidR="00615860" w:rsidRDefault="00615860" w:rsidP="00615860">
      <w:pPr>
        <w:rPr>
          <w:lang w:eastAsia="ja-JP"/>
        </w:rPr>
      </w:pPr>
      <w:r>
        <w:rPr>
          <w:lang w:eastAsia="ja-JP"/>
        </w:rPr>
        <w:t xml:space="preserve">The incidence of serious infections for all doses of </w:t>
      </w:r>
      <w:proofErr w:type="spellStart"/>
      <w:r>
        <w:rPr>
          <w:lang w:eastAsia="ja-JP"/>
        </w:rPr>
        <w:t>tofacitinib</w:t>
      </w:r>
      <w:proofErr w:type="spellEnd"/>
      <w:r>
        <w:rPr>
          <w:lang w:eastAsia="ja-JP"/>
        </w:rPr>
        <w:t xml:space="preserve"> was 2.3%</w:t>
      </w:r>
      <w:r w:rsidR="00182961">
        <w:rPr>
          <w:lang w:eastAsia="ja-JP"/>
        </w:rPr>
        <w:t xml:space="preserve"> with an incidence rate of 1.43 out of </w:t>
      </w:r>
      <w:r>
        <w:rPr>
          <w:lang w:eastAsia="ja-JP"/>
        </w:rPr>
        <w:t xml:space="preserve">100 PY, comparable to the rates in the RA and </w:t>
      </w:r>
      <w:proofErr w:type="spellStart"/>
      <w:r>
        <w:rPr>
          <w:lang w:eastAsia="ja-JP"/>
        </w:rPr>
        <w:t>PsO</w:t>
      </w:r>
      <w:proofErr w:type="spellEnd"/>
      <w:r>
        <w:rPr>
          <w:lang w:eastAsia="ja-JP"/>
        </w:rPr>
        <w:t xml:space="preserve"> programs.</w:t>
      </w:r>
    </w:p>
    <w:p w14:paraId="15FDF825" w14:textId="77777777" w:rsidR="00615860" w:rsidRDefault="00615860" w:rsidP="00615860">
      <w:r>
        <w:t xml:space="preserve">26 herpes zoster events were reported, an incidence of 3.3% of </w:t>
      </w:r>
      <w:proofErr w:type="spellStart"/>
      <w:r>
        <w:t>PsA</w:t>
      </w:r>
      <w:proofErr w:type="spellEnd"/>
      <w:r>
        <w:t xml:space="preserve"> patients given any dose of </w:t>
      </w:r>
      <w:proofErr w:type="spellStart"/>
      <w:r>
        <w:t>tofacitinib</w:t>
      </w:r>
      <w:proofErr w:type="spellEnd"/>
      <w:r>
        <w:t>,</w:t>
      </w:r>
      <w:r w:rsidR="00182961">
        <w:t xml:space="preserve"> with an incidence rate of 2.10 out of </w:t>
      </w:r>
      <w:r>
        <w:t xml:space="preserve">100 PY, comparable to rates </w:t>
      </w:r>
      <w:r>
        <w:lastRenderedPageBreak/>
        <w:t xml:space="preserve">observed </w:t>
      </w:r>
      <w:r w:rsidR="00182961">
        <w:t xml:space="preserve">in the RA and </w:t>
      </w:r>
      <w:proofErr w:type="spellStart"/>
      <w:r w:rsidR="00182961">
        <w:t>PsO</w:t>
      </w:r>
      <w:proofErr w:type="spellEnd"/>
      <w:r w:rsidR="00182961">
        <w:t xml:space="preserve"> populations. </w:t>
      </w:r>
      <w:r>
        <w:t>The incidence of opportunistic infections was low, with only 3 events (all he</w:t>
      </w:r>
      <w:r w:rsidR="00182961">
        <w:t>rpes zoster) in C</w:t>
      </w:r>
      <w:r>
        <w:t>ohort 3.</w:t>
      </w:r>
    </w:p>
    <w:p w14:paraId="4B25612F" w14:textId="77777777" w:rsidR="00615860" w:rsidRDefault="00615860" w:rsidP="00615860">
      <w:r>
        <w:rPr>
          <w:lang w:eastAsia="ja-JP"/>
        </w:rPr>
        <w:t xml:space="preserve">The incidence rate of malignancies was low with nine events reported in Cohort 3. The incidence for all doses of </w:t>
      </w:r>
      <w:proofErr w:type="spellStart"/>
      <w:r>
        <w:rPr>
          <w:lang w:eastAsia="ja-JP"/>
        </w:rPr>
        <w:t>tofacitinib</w:t>
      </w:r>
      <w:proofErr w:type="spellEnd"/>
      <w:r>
        <w:rPr>
          <w:lang w:eastAsia="ja-JP"/>
        </w:rPr>
        <w:t xml:space="preserve"> was 1.1%</w:t>
      </w:r>
      <w:r w:rsidR="00182961">
        <w:rPr>
          <w:lang w:eastAsia="ja-JP"/>
        </w:rPr>
        <w:t xml:space="preserve"> with an incidence rate of 0.72 out of </w:t>
      </w:r>
      <w:r>
        <w:rPr>
          <w:lang w:eastAsia="ja-JP"/>
        </w:rPr>
        <w:t xml:space="preserve">100 PY, comparable to the rates in the RA and </w:t>
      </w:r>
      <w:proofErr w:type="spellStart"/>
      <w:r>
        <w:rPr>
          <w:lang w:eastAsia="ja-JP"/>
        </w:rPr>
        <w:t>PsO</w:t>
      </w:r>
      <w:proofErr w:type="spellEnd"/>
      <w:r>
        <w:rPr>
          <w:lang w:eastAsia="ja-JP"/>
        </w:rPr>
        <w:t xml:space="preserve"> programs. The most commonly reported malignancies were bladder (2) and thyroid (2).</w:t>
      </w:r>
      <w:r w:rsidRPr="0021057F">
        <w:t xml:space="preserve"> </w:t>
      </w:r>
      <w:r>
        <w:t xml:space="preserve">A possible excess of sporadic cases of pancreatic cancer were identified in the </w:t>
      </w:r>
      <w:proofErr w:type="spellStart"/>
      <w:r>
        <w:t>tofacitinib</w:t>
      </w:r>
      <w:proofErr w:type="spellEnd"/>
      <w:r>
        <w:t xml:space="preserve"> RA and other development programs. The only death due to pancreatic cancer in the </w:t>
      </w:r>
      <w:proofErr w:type="spellStart"/>
      <w:r>
        <w:t>PsA</w:t>
      </w:r>
      <w:proofErr w:type="spellEnd"/>
      <w:r>
        <w:t xml:space="preserve"> program occurred after 84</w:t>
      </w:r>
      <w:r w:rsidR="00182961">
        <w:t xml:space="preserve"> days of </w:t>
      </w:r>
      <w:proofErr w:type="spellStart"/>
      <w:r w:rsidR="00182961">
        <w:t>tofacitinib</w:t>
      </w:r>
      <w:proofErr w:type="spellEnd"/>
      <w:r w:rsidR="00182961">
        <w:t xml:space="preserve"> treatment.</w:t>
      </w:r>
      <w:r>
        <w:t xml:space="preserve"> Direct causality is implausible due to the short exposure, and the investigator did not consider it drug related.</w:t>
      </w:r>
    </w:p>
    <w:p w14:paraId="740E1553" w14:textId="77777777" w:rsidR="00615860" w:rsidRDefault="00615860" w:rsidP="00615860">
      <w:pPr>
        <w:rPr>
          <w:lang w:eastAsia="ja-JP"/>
        </w:rPr>
      </w:pPr>
      <w:r>
        <w:rPr>
          <w:lang w:eastAsia="ja-JP"/>
        </w:rPr>
        <w:t xml:space="preserve">A total of five deaths occurred during the </w:t>
      </w:r>
      <w:proofErr w:type="spellStart"/>
      <w:r>
        <w:rPr>
          <w:lang w:eastAsia="ja-JP"/>
        </w:rPr>
        <w:t>tofacitinib</w:t>
      </w:r>
      <w:proofErr w:type="spellEnd"/>
      <w:r>
        <w:rPr>
          <w:lang w:eastAsia="ja-JP"/>
        </w:rPr>
        <w:t xml:space="preserve"> program. All deaths occurred in patients receiving </w:t>
      </w:r>
      <w:proofErr w:type="spellStart"/>
      <w:r>
        <w:rPr>
          <w:lang w:eastAsia="ja-JP"/>
        </w:rPr>
        <w:t>tofacitinib</w:t>
      </w:r>
      <w:proofErr w:type="spellEnd"/>
      <w:r>
        <w:rPr>
          <w:lang w:eastAsia="ja-JP"/>
        </w:rPr>
        <w:t xml:space="preserve"> 5 mg </w:t>
      </w:r>
      <w:r w:rsidR="003A1B70">
        <w:rPr>
          <w:lang w:eastAsia="ja-JP"/>
        </w:rPr>
        <w:t>BD</w:t>
      </w:r>
      <w:r>
        <w:rPr>
          <w:lang w:eastAsia="ja-JP"/>
        </w:rPr>
        <w:t xml:space="preserve"> but none were con</w:t>
      </w:r>
      <w:r w:rsidR="00182961">
        <w:rPr>
          <w:lang w:eastAsia="ja-JP"/>
        </w:rPr>
        <w:t xml:space="preserve">sidered related to study drug. </w:t>
      </w:r>
      <w:r>
        <w:rPr>
          <w:lang w:eastAsia="ja-JP"/>
        </w:rPr>
        <w:t>The causes of death were pancreatic cancer, cardiac arrest, acute cardiac failure, chronic obstructive pulmonary disease and pulmonary embolism. Four deaths occurred during</w:t>
      </w:r>
      <w:r w:rsidR="00182961">
        <w:rPr>
          <w:lang w:eastAsia="ja-JP"/>
        </w:rPr>
        <w:t xml:space="preserve"> the long term extension study. </w:t>
      </w:r>
      <w:r>
        <w:rPr>
          <w:lang w:eastAsia="ja-JP"/>
        </w:rPr>
        <w:t xml:space="preserve">The remaining death (cardiac arrest) occurred in a 73 year old female 29 days after starting </w:t>
      </w:r>
      <w:proofErr w:type="spellStart"/>
      <w:r>
        <w:rPr>
          <w:lang w:eastAsia="ja-JP"/>
        </w:rPr>
        <w:t>tofacitinib</w:t>
      </w:r>
      <w:proofErr w:type="spellEnd"/>
      <w:r>
        <w:rPr>
          <w:lang w:eastAsia="ja-JP"/>
        </w:rPr>
        <w:t xml:space="preserve"> therapy. She died in hospital while receiving treatment for unstable diabetes.</w:t>
      </w:r>
    </w:p>
    <w:p w14:paraId="5B54F568" w14:textId="77777777" w:rsidR="00615860" w:rsidRDefault="00615860" w:rsidP="00615860">
      <w:r>
        <w:t xml:space="preserve">Overall, the </w:t>
      </w:r>
      <w:r>
        <w:rPr>
          <w:lang w:eastAsia="ja-JP"/>
        </w:rPr>
        <w:t xml:space="preserve">safety profile in the </w:t>
      </w:r>
      <w:proofErr w:type="spellStart"/>
      <w:r>
        <w:rPr>
          <w:lang w:eastAsia="ja-JP"/>
        </w:rPr>
        <w:t>PsA</w:t>
      </w:r>
      <w:proofErr w:type="spellEnd"/>
      <w:r>
        <w:rPr>
          <w:lang w:eastAsia="ja-JP"/>
        </w:rPr>
        <w:t xml:space="preserve"> program is consistent with the </w:t>
      </w:r>
      <w:r w:rsidR="00182961">
        <w:rPr>
          <w:lang w:eastAsia="ja-JP"/>
        </w:rPr>
        <w:t xml:space="preserve">RA development program and post marketing experience. </w:t>
      </w:r>
      <w:r>
        <w:rPr>
          <w:lang w:eastAsia="ja-JP"/>
        </w:rPr>
        <w:t>Tofacitinib was</w:t>
      </w:r>
      <w:r w:rsidR="00182961">
        <w:rPr>
          <w:lang w:eastAsia="ja-JP"/>
        </w:rPr>
        <w:t xml:space="preserve"> first approved in the USA on 6 </w:t>
      </w:r>
      <w:r>
        <w:rPr>
          <w:lang w:eastAsia="ja-JP"/>
        </w:rPr>
        <w:t xml:space="preserve">November 2012 for adults with RA. Up until 5 November 2016, exposure to </w:t>
      </w:r>
      <w:proofErr w:type="spellStart"/>
      <w:r>
        <w:rPr>
          <w:lang w:eastAsia="ja-JP"/>
        </w:rPr>
        <w:t>tofacitinib</w:t>
      </w:r>
      <w:proofErr w:type="spellEnd"/>
      <w:r>
        <w:rPr>
          <w:lang w:eastAsia="ja-JP"/>
        </w:rPr>
        <w:t xml:space="preserve"> has</w:t>
      </w:r>
      <w:r w:rsidR="00182961">
        <w:rPr>
          <w:lang w:eastAsia="ja-JP"/>
        </w:rPr>
        <w:t xml:space="preserve"> been approximately 61,043 PY. </w:t>
      </w:r>
      <w:r>
        <w:t>No new safety signals have been detected in the 4 year p</w:t>
      </w:r>
      <w:r w:rsidR="00182961">
        <w:t>eriod since marketing approval.</w:t>
      </w:r>
    </w:p>
    <w:p w14:paraId="6557721E" w14:textId="77777777" w:rsidR="00615860" w:rsidRPr="00615860" w:rsidRDefault="00615860" w:rsidP="008C58C9">
      <w:pPr>
        <w:autoSpaceDE w:val="0"/>
        <w:autoSpaceDN w:val="0"/>
        <w:adjustRightInd w:val="0"/>
        <w:spacing w:line="240" w:lineRule="auto"/>
      </w:pPr>
      <w:r>
        <w:rPr>
          <w:rFonts w:asciiTheme="minorHAnsi" w:eastAsiaTheme="minorHAnsi" w:hAnsiTheme="minorHAnsi" w:cs="TimesNewRomanPSMT"/>
        </w:rPr>
        <w:t xml:space="preserve">There are some differences in </w:t>
      </w:r>
      <w:r w:rsidR="00182961">
        <w:rPr>
          <w:rFonts w:asciiTheme="minorHAnsi" w:eastAsiaTheme="minorHAnsi" w:hAnsiTheme="minorHAnsi" w:cs="TimesNewRomanPSMT"/>
        </w:rPr>
        <w:t>ADR</w:t>
      </w:r>
      <w:r>
        <w:rPr>
          <w:rFonts w:asciiTheme="minorHAnsi" w:eastAsiaTheme="minorHAnsi" w:hAnsiTheme="minorHAnsi" w:cs="TimesNewRomanPSMT"/>
        </w:rPr>
        <w:t xml:space="preserve"> frequencies betw</w:t>
      </w:r>
      <w:r w:rsidR="00182961">
        <w:rPr>
          <w:rFonts w:asciiTheme="minorHAnsi" w:eastAsiaTheme="minorHAnsi" w:hAnsiTheme="minorHAnsi" w:cs="TimesNewRomanPSMT"/>
        </w:rPr>
        <w:t xml:space="preserve">een the draft PI and the </w:t>
      </w:r>
      <w:proofErr w:type="spellStart"/>
      <w:r w:rsidR="00182961">
        <w:rPr>
          <w:rFonts w:asciiTheme="minorHAnsi" w:eastAsiaTheme="minorHAnsi" w:hAnsiTheme="minorHAnsi" w:cs="TimesNewRomanPSMT"/>
        </w:rPr>
        <w:t>SmPC</w:t>
      </w:r>
      <w:proofErr w:type="spellEnd"/>
      <w:r w:rsidR="00182961">
        <w:rPr>
          <w:rFonts w:asciiTheme="minorHAnsi" w:eastAsiaTheme="minorHAnsi" w:hAnsiTheme="minorHAnsi" w:cs="TimesNewRomanPSMT"/>
        </w:rPr>
        <w:t xml:space="preserve">. </w:t>
      </w:r>
      <w:r>
        <w:rPr>
          <w:rFonts w:asciiTheme="minorHAnsi" w:eastAsiaTheme="minorHAnsi" w:hAnsiTheme="minorHAnsi" w:cs="TimesNewRomanPSMT"/>
        </w:rPr>
        <w:t xml:space="preserve">Updates to ADR </w:t>
      </w:r>
      <w:r w:rsidRPr="00B504A7">
        <w:rPr>
          <w:rFonts w:asciiTheme="minorHAnsi" w:eastAsiaTheme="minorHAnsi" w:hAnsiTheme="minorHAnsi" w:cs="TimesNewRomanPSMT"/>
        </w:rPr>
        <w:t>frequencies were initially proposed in the draft EU</w:t>
      </w:r>
      <w:r>
        <w:rPr>
          <w:rFonts w:asciiTheme="minorHAnsi" w:eastAsiaTheme="minorHAnsi" w:hAnsiTheme="minorHAnsi" w:cs="TimesNewRomanPSMT"/>
        </w:rPr>
        <w:t xml:space="preserve"> </w:t>
      </w:r>
      <w:proofErr w:type="spellStart"/>
      <w:r>
        <w:rPr>
          <w:rFonts w:asciiTheme="minorHAnsi" w:eastAsiaTheme="minorHAnsi" w:hAnsiTheme="minorHAnsi" w:cs="TimesNewRomanPSMT"/>
        </w:rPr>
        <w:t>SmPC</w:t>
      </w:r>
      <w:proofErr w:type="spellEnd"/>
      <w:r>
        <w:rPr>
          <w:rFonts w:asciiTheme="minorHAnsi" w:eastAsiaTheme="minorHAnsi" w:hAnsiTheme="minorHAnsi" w:cs="TimesNewRomanPSMT"/>
        </w:rPr>
        <w:t xml:space="preserve"> that </w:t>
      </w:r>
      <w:r w:rsidRPr="00B504A7">
        <w:rPr>
          <w:rFonts w:asciiTheme="minorHAnsi" w:eastAsiaTheme="minorHAnsi" w:hAnsiTheme="minorHAnsi" w:cs="TimesNewRomanPSMT"/>
        </w:rPr>
        <w:t>were</w:t>
      </w:r>
      <w:r w:rsidR="00182961">
        <w:rPr>
          <w:rFonts w:asciiTheme="minorHAnsi" w:eastAsiaTheme="minorHAnsi" w:hAnsiTheme="minorHAnsi" w:cs="TimesNewRomanPSMT"/>
        </w:rPr>
        <w:t xml:space="preserve"> based on pooled Phase III randomised controlled trial</w:t>
      </w:r>
      <w:r>
        <w:rPr>
          <w:rFonts w:asciiTheme="minorHAnsi" w:eastAsiaTheme="minorHAnsi" w:hAnsiTheme="minorHAnsi" w:cs="TimesNewRomanPSMT"/>
        </w:rPr>
        <w:t xml:space="preserve"> data across 4 </w:t>
      </w:r>
      <w:proofErr w:type="spellStart"/>
      <w:r>
        <w:rPr>
          <w:rFonts w:asciiTheme="minorHAnsi" w:eastAsiaTheme="minorHAnsi" w:hAnsiTheme="minorHAnsi" w:cs="TimesNewRomanPSMT"/>
        </w:rPr>
        <w:t>tofacitinib</w:t>
      </w:r>
      <w:proofErr w:type="spellEnd"/>
      <w:r>
        <w:rPr>
          <w:rFonts w:asciiTheme="minorHAnsi" w:eastAsiaTheme="minorHAnsi" w:hAnsiTheme="minorHAnsi" w:cs="TimesNewRomanPSMT"/>
        </w:rPr>
        <w:t xml:space="preserve"> </w:t>
      </w:r>
      <w:r w:rsidRPr="00B504A7">
        <w:rPr>
          <w:rFonts w:asciiTheme="minorHAnsi" w:eastAsiaTheme="minorHAnsi" w:hAnsiTheme="minorHAnsi" w:cs="TimesNewRomanPSMT"/>
        </w:rPr>
        <w:t>programmes (rheumatoid arthritis, psoriasis, psoriatic arthriti</w:t>
      </w:r>
      <w:r>
        <w:rPr>
          <w:rFonts w:asciiTheme="minorHAnsi" w:eastAsiaTheme="minorHAnsi" w:hAnsiTheme="minorHAnsi" w:cs="TimesNewRomanPSMT"/>
        </w:rPr>
        <w:t xml:space="preserve">s and ulcerative colitis). This </w:t>
      </w:r>
      <w:r w:rsidRPr="00B504A7">
        <w:rPr>
          <w:rFonts w:asciiTheme="minorHAnsi" w:eastAsiaTheme="minorHAnsi" w:hAnsiTheme="minorHAnsi" w:cs="TimesNewRomanPSMT"/>
        </w:rPr>
        <w:t xml:space="preserve">differed from the draft PI which proposed to include updated </w:t>
      </w:r>
      <w:r>
        <w:rPr>
          <w:rFonts w:asciiTheme="minorHAnsi" w:eastAsiaTheme="minorHAnsi" w:hAnsiTheme="minorHAnsi" w:cs="TimesNewRomanPSMT"/>
        </w:rPr>
        <w:t xml:space="preserve">ADR frequencies based on </w:t>
      </w:r>
      <w:r w:rsidR="00182961">
        <w:rPr>
          <w:rFonts w:asciiTheme="minorHAnsi" w:eastAsiaTheme="minorHAnsi" w:hAnsiTheme="minorHAnsi" w:cs="TimesNewRomanPSMT"/>
        </w:rPr>
        <w:t>pooled Phase III randomised controlled trial</w:t>
      </w:r>
      <w:r w:rsidRPr="00B504A7">
        <w:rPr>
          <w:rFonts w:asciiTheme="minorHAnsi" w:eastAsiaTheme="minorHAnsi" w:hAnsiTheme="minorHAnsi" w:cs="TimesNewRomanPSMT"/>
        </w:rPr>
        <w:t xml:space="preserve"> data across rheumatoid arthriti</w:t>
      </w:r>
      <w:r>
        <w:rPr>
          <w:rFonts w:asciiTheme="minorHAnsi" w:eastAsiaTheme="minorHAnsi" w:hAnsiTheme="minorHAnsi" w:cs="TimesNewRomanPSMT"/>
        </w:rPr>
        <w:t xml:space="preserve">s and psoriatic arthritis only. </w:t>
      </w:r>
      <w:r w:rsidRPr="00B504A7">
        <w:rPr>
          <w:rFonts w:asciiTheme="minorHAnsi" w:eastAsiaTheme="minorHAnsi" w:hAnsiTheme="minorHAnsi" w:cs="TimesNewRomanPSMT"/>
        </w:rPr>
        <w:t>Subsequently, a change in methodology to ADR frequency d</w:t>
      </w:r>
      <w:r>
        <w:rPr>
          <w:rFonts w:asciiTheme="minorHAnsi" w:eastAsiaTheme="minorHAnsi" w:hAnsiTheme="minorHAnsi" w:cs="TimesNewRomanPSMT"/>
        </w:rPr>
        <w:t xml:space="preserve">etermination was applied to the </w:t>
      </w:r>
      <w:proofErr w:type="spellStart"/>
      <w:r w:rsidRPr="00B504A7">
        <w:rPr>
          <w:rFonts w:asciiTheme="minorHAnsi" w:eastAsiaTheme="minorHAnsi" w:hAnsiTheme="minorHAnsi" w:cs="TimesNewRomanPSMT"/>
        </w:rPr>
        <w:t>SmPC</w:t>
      </w:r>
      <w:proofErr w:type="spellEnd"/>
      <w:r w:rsidRPr="00B504A7">
        <w:rPr>
          <w:rFonts w:asciiTheme="minorHAnsi" w:eastAsiaTheme="minorHAnsi" w:hAnsiTheme="minorHAnsi" w:cs="TimesNewRomanPSMT"/>
        </w:rPr>
        <w:t xml:space="preserve"> in response</w:t>
      </w:r>
      <w:r w:rsidR="008978B8">
        <w:rPr>
          <w:rFonts w:asciiTheme="minorHAnsi" w:eastAsiaTheme="minorHAnsi" w:hAnsiTheme="minorHAnsi" w:cs="TimesNewRomanPSMT"/>
        </w:rPr>
        <w:t xml:space="preserve"> to CHMP comments;</w:t>
      </w:r>
      <w:r>
        <w:rPr>
          <w:rFonts w:asciiTheme="minorHAnsi" w:eastAsiaTheme="minorHAnsi" w:hAnsiTheme="minorHAnsi" w:cs="TimesNewRomanPSMT"/>
        </w:rPr>
        <w:t xml:space="preserve"> with the CHMP-</w:t>
      </w:r>
      <w:r w:rsidRPr="00B504A7">
        <w:rPr>
          <w:rFonts w:asciiTheme="minorHAnsi" w:eastAsiaTheme="minorHAnsi" w:hAnsiTheme="minorHAnsi" w:cs="TimesNewRomanPSMT"/>
        </w:rPr>
        <w:t xml:space="preserve">adopted </w:t>
      </w:r>
      <w:proofErr w:type="spellStart"/>
      <w:r w:rsidRPr="00B504A7">
        <w:rPr>
          <w:rFonts w:asciiTheme="minorHAnsi" w:eastAsiaTheme="minorHAnsi" w:hAnsiTheme="minorHAnsi" w:cs="TimesNewRomanPSMT"/>
        </w:rPr>
        <w:t>SmPC</w:t>
      </w:r>
      <w:proofErr w:type="spellEnd"/>
      <w:r w:rsidRPr="00B504A7">
        <w:rPr>
          <w:rFonts w:asciiTheme="minorHAnsi" w:eastAsiaTheme="minorHAnsi" w:hAnsiTheme="minorHAnsi" w:cs="TimesNewRomanPSMT"/>
        </w:rPr>
        <w:t xml:space="preserve"> </w:t>
      </w:r>
      <w:r>
        <w:rPr>
          <w:rFonts w:asciiTheme="minorHAnsi" w:eastAsiaTheme="minorHAnsi" w:hAnsiTheme="minorHAnsi" w:cs="TimesNewRomanPSMT"/>
        </w:rPr>
        <w:t xml:space="preserve">presenting ADR </w:t>
      </w:r>
      <w:r w:rsidRPr="00B504A7">
        <w:rPr>
          <w:rFonts w:asciiTheme="minorHAnsi" w:eastAsiaTheme="minorHAnsi" w:hAnsiTheme="minorHAnsi" w:cs="TimesNewRomanPSMT"/>
        </w:rPr>
        <w:t>frequencies based on pooled P</w:t>
      </w:r>
      <w:r w:rsidR="00077BCB">
        <w:rPr>
          <w:rFonts w:asciiTheme="minorHAnsi" w:eastAsiaTheme="minorHAnsi" w:hAnsiTheme="minorHAnsi" w:cs="TimesNewRomanPSMT"/>
        </w:rPr>
        <w:t>hase III randomised controlled trial</w:t>
      </w:r>
      <w:r w:rsidRPr="00B504A7">
        <w:rPr>
          <w:rFonts w:asciiTheme="minorHAnsi" w:eastAsiaTheme="minorHAnsi" w:hAnsiTheme="minorHAnsi" w:cs="TimesNewRomanPSMT"/>
        </w:rPr>
        <w:t xml:space="preserve"> and long t</w:t>
      </w:r>
      <w:r w:rsidR="00077BCB">
        <w:rPr>
          <w:rFonts w:asciiTheme="minorHAnsi" w:eastAsiaTheme="minorHAnsi" w:hAnsiTheme="minorHAnsi" w:cs="TimesNewRomanPSMT"/>
        </w:rPr>
        <w:t xml:space="preserve">erm extension </w:t>
      </w:r>
      <w:r>
        <w:rPr>
          <w:rFonts w:asciiTheme="minorHAnsi" w:eastAsiaTheme="minorHAnsi" w:hAnsiTheme="minorHAnsi" w:cs="TimesNewRomanPSMT"/>
        </w:rPr>
        <w:t xml:space="preserve">data across </w:t>
      </w:r>
      <w:r w:rsidRPr="00B504A7">
        <w:rPr>
          <w:rFonts w:asciiTheme="minorHAnsi" w:eastAsiaTheme="minorHAnsi" w:hAnsiTheme="minorHAnsi" w:cs="TimesNewRomanPSMT"/>
        </w:rPr>
        <w:t>rheumatoid arthritis and psoriatic arthritis. As a result, some</w:t>
      </w:r>
      <w:r>
        <w:rPr>
          <w:rFonts w:asciiTheme="minorHAnsi" w:eastAsiaTheme="minorHAnsi" w:hAnsiTheme="minorHAnsi" w:cs="TimesNewRomanPSMT"/>
        </w:rPr>
        <w:t xml:space="preserve"> ADR frequencies differ between </w:t>
      </w:r>
      <w:r w:rsidR="00077BCB">
        <w:rPr>
          <w:rFonts w:asciiTheme="minorHAnsi" w:eastAsiaTheme="minorHAnsi" w:hAnsiTheme="minorHAnsi" w:cs="TimesNewRomanPSMT"/>
        </w:rPr>
        <w:t xml:space="preserve">the PI and </w:t>
      </w:r>
      <w:proofErr w:type="spellStart"/>
      <w:r w:rsidR="00077BCB">
        <w:rPr>
          <w:rFonts w:asciiTheme="minorHAnsi" w:eastAsiaTheme="minorHAnsi" w:hAnsiTheme="minorHAnsi" w:cs="TimesNewRomanPSMT"/>
        </w:rPr>
        <w:t>SmPC</w:t>
      </w:r>
      <w:proofErr w:type="spellEnd"/>
      <w:r w:rsidR="00077BCB">
        <w:rPr>
          <w:rFonts w:asciiTheme="minorHAnsi" w:eastAsiaTheme="minorHAnsi" w:hAnsiTheme="minorHAnsi" w:cs="TimesNewRomanPSMT"/>
        </w:rPr>
        <w:t>.</w:t>
      </w:r>
      <w:r>
        <w:rPr>
          <w:rFonts w:asciiTheme="minorHAnsi" w:eastAsiaTheme="minorHAnsi" w:hAnsiTheme="minorHAnsi" w:cs="TimesNewRomanPSMT"/>
        </w:rPr>
        <w:t xml:space="preserve"> </w:t>
      </w:r>
      <w:r w:rsidRPr="00B504A7">
        <w:rPr>
          <w:rFonts w:asciiTheme="minorHAnsi" w:eastAsiaTheme="minorHAnsi" w:hAnsiTheme="minorHAnsi" w:cs="TimesNewRomanPSMT"/>
        </w:rPr>
        <w:t xml:space="preserve">In all cases, the ADRs are more frequent in the PI compared to the </w:t>
      </w:r>
      <w:proofErr w:type="spellStart"/>
      <w:r w:rsidRPr="00B504A7">
        <w:rPr>
          <w:rFonts w:asciiTheme="minorHAnsi" w:eastAsiaTheme="minorHAnsi" w:hAnsiTheme="minorHAnsi" w:cs="TimesNewRomanPSMT"/>
        </w:rPr>
        <w:t>SmPC</w:t>
      </w:r>
      <w:proofErr w:type="spellEnd"/>
      <w:r w:rsidRPr="00B504A7">
        <w:rPr>
          <w:rFonts w:asciiTheme="minorHAnsi" w:eastAsiaTheme="minorHAnsi" w:hAnsiTheme="minorHAnsi" w:cs="TimesNewRomanPSMT"/>
        </w:rPr>
        <w:t>.</w:t>
      </w:r>
      <w:r w:rsidR="00077BCB">
        <w:rPr>
          <w:rFonts w:asciiTheme="minorHAnsi" w:eastAsiaTheme="minorHAnsi" w:hAnsiTheme="minorHAnsi" w:cs="TimesNewRomanPSMT"/>
        </w:rPr>
        <w:t xml:space="preserve"> </w:t>
      </w:r>
      <w:r>
        <w:rPr>
          <w:rFonts w:asciiTheme="minorHAnsi" w:eastAsiaTheme="minorHAnsi" w:hAnsiTheme="minorHAnsi" w:cs="TimesNewRomanPSMT"/>
        </w:rPr>
        <w:t xml:space="preserve">No new ADRs have been identified based on the pooled RA and </w:t>
      </w:r>
      <w:proofErr w:type="spellStart"/>
      <w:r>
        <w:rPr>
          <w:rFonts w:asciiTheme="minorHAnsi" w:eastAsiaTheme="minorHAnsi" w:hAnsiTheme="minorHAnsi" w:cs="TimesNewRomanPSMT"/>
        </w:rPr>
        <w:t>PsA</w:t>
      </w:r>
      <w:proofErr w:type="spellEnd"/>
      <w:r>
        <w:rPr>
          <w:rFonts w:asciiTheme="minorHAnsi" w:eastAsiaTheme="minorHAnsi" w:hAnsiTheme="minorHAnsi" w:cs="TimesNewRomanPSMT"/>
        </w:rPr>
        <w:t xml:space="preserve"> dataset and no ADRs currently in the PI have been removed.</w:t>
      </w:r>
    </w:p>
    <w:p w14:paraId="66C1D2D8" w14:textId="77777777" w:rsidR="008E7846" w:rsidRDefault="00386150" w:rsidP="007B6132">
      <w:pPr>
        <w:pStyle w:val="Heading3"/>
        <w:rPr>
          <w:lang w:eastAsia="en-AU"/>
        </w:rPr>
      </w:pPr>
      <w:bookmarkStart w:id="195" w:name="_Toc314842514"/>
      <w:bookmarkStart w:id="196" w:name="_Toc22048630"/>
      <w:r>
        <w:rPr>
          <w:lang w:eastAsia="en-AU"/>
        </w:rPr>
        <w:t>Risk m</w:t>
      </w:r>
      <w:r w:rsidR="008E7846">
        <w:rPr>
          <w:lang w:eastAsia="en-AU"/>
        </w:rPr>
        <w:t xml:space="preserve">anagement </w:t>
      </w:r>
      <w:r>
        <w:rPr>
          <w:lang w:eastAsia="en-AU"/>
        </w:rPr>
        <w:t>p</w:t>
      </w:r>
      <w:r w:rsidR="008E7846">
        <w:rPr>
          <w:lang w:eastAsia="en-AU"/>
        </w:rPr>
        <w:t>lan</w:t>
      </w:r>
      <w:bookmarkEnd w:id="195"/>
      <w:bookmarkEnd w:id="196"/>
    </w:p>
    <w:p w14:paraId="34C2A287" w14:textId="33913332" w:rsidR="00615860" w:rsidRPr="004E24F6" w:rsidRDefault="00615860" w:rsidP="00077BCB">
      <w:r w:rsidRPr="004E24F6">
        <w:t xml:space="preserve">In support </w:t>
      </w:r>
      <w:r>
        <w:t>of the current submission, the s</w:t>
      </w:r>
      <w:r w:rsidRPr="004E24F6">
        <w:t>ponsor has submitted EU-RMP version 3.0 (date</w:t>
      </w:r>
      <w:r w:rsidR="009E0948">
        <w:t>d</w:t>
      </w:r>
      <w:r w:rsidRPr="004E24F6">
        <w:t xml:space="preserve"> 26 July 2017; DLP 7 March 2017) and ASA versio</w:t>
      </w:r>
      <w:r w:rsidR="008978B8">
        <w:t>n 1.0 (date</w:t>
      </w:r>
      <w:r w:rsidR="009E0948">
        <w:t>d</w:t>
      </w:r>
      <w:r w:rsidR="008978B8">
        <w:t xml:space="preserve"> 27 September 2017).</w:t>
      </w:r>
    </w:p>
    <w:p w14:paraId="29E1EAC3" w14:textId="77777777" w:rsidR="00615860" w:rsidRDefault="00615860" w:rsidP="00077BCB">
      <w:r w:rsidRPr="004E24F6">
        <w:t xml:space="preserve">The proposed Summary of Safety Concerns and their associated risk monitoring and mitigation strategies as outlined in the EU RMP </w:t>
      </w:r>
      <w:r>
        <w:t xml:space="preserve">and ASA </w:t>
      </w:r>
      <w:r w:rsidRPr="004E24F6">
        <w:t xml:space="preserve">are summarised </w:t>
      </w:r>
      <w:r>
        <w:t xml:space="preserve">in </w:t>
      </w:r>
      <w:r w:rsidR="00077BCB">
        <w:fldChar w:fldCharType="begin"/>
      </w:r>
      <w:r w:rsidR="00077BCB">
        <w:instrText xml:space="preserve"> REF _Ref17355660 \h </w:instrText>
      </w:r>
      <w:r w:rsidR="00077BCB">
        <w:fldChar w:fldCharType="separate"/>
      </w:r>
      <w:r w:rsidR="00BD60C9">
        <w:t xml:space="preserve">Table </w:t>
      </w:r>
      <w:r w:rsidR="00BD60C9">
        <w:rPr>
          <w:noProof/>
        </w:rPr>
        <w:t>20</w:t>
      </w:r>
      <w:r w:rsidR="00077BCB">
        <w:fldChar w:fldCharType="end"/>
      </w:r>
      <w:r w:rsidR="00077BCB">
        <w:t>.</w:t>
      </w:r>
    </w:p>
    <w:p w14:paraId="5AF80CE3" w14:textId="77777777" w:rsidR="00615860" w:rsidRDefault="00615860" w:rsidP="00077BCB">
      <w:r>
        <w:t xml:space="preserve">Following the </w:t>
      </w:r>
      <w:r w:rsidR="00077BCB">
        <w:t>first round</w:t>
      </w:r>
      <w:r w:rsidR="002D6420">
        <w:t xml:space="preserve"> evaluation, the s</w:t>
      </w:r>
      <w:r>
        <w:t>ponsor committed to the following three recommendations:</w:t>
      </w:r>
    </w:p>
    <w:p w14:paraId="79133654" w14:textId="77777777" w:rsidR="00615860" w:rsidRPr="00110C32" w:rsidRDefault="00615860" w:rsidP="00077BCB">
      <w:pPr>
        <w:pStyle w:val="Numberbullet0"/>
        <w:numPr>
          <w:ilvl w:val="0"/>
          <w:numId w:val="27"/>
        </w:numPr>
      </w:pPr>
      <w:r w:rsidRPr="00110C32">
        <w:t>To include ‘Herpes zoster reactivation’ in the summary of safety concerns of the ASA as an important identified risk.</w:t>
      </w:r>
    </w:p>
    <w:p w14:paraId="71183ADC" w14:textId="77777777" w:rsidR="00615860" w:rsidRPr="00110C32" w:rsidRDefault="00615860" w:rsidP="00077BCB">
      <w:pPr>
        <w:pStyle w:val="Numberbullet0"/>
        <w:numPr>
          <w:ilvl w:val="0"/>
          <w:numId w:val="27"/>
        </w:numPr>
      </w:pPr>
      <w:r w:rsidRPr="00110C32">
        <w:t>To include the following important potential risks in the summary of safety concerns of the ASA:</w:t>
      </w:r>
    </w:p>
    <w:p w14:paraId="4996FDFC" w14:textId="77777777" w:rsidR="00615860" w:rsidRPr="00110C32" w:rsidRDefault="00615860" w:rsidP="00077BCB">
      <w:pPr>
        <w:pStyle w:val="ListBullet2"/>
      </w:pPr>
      <w:r w:rsidRPr="00110C32">
        <w:t xml:space="preserve">Increased immunosuppression when used in combination with biologic DMARDs and </w:t>
      </w:r>
      <w:proofErr w:type="spellStart"/>
      <w:r w:rsidRPr="00110C32">
        <w:t>immunosuppressants</w:t>
      </w:r>
      <w:proofErr w:type="spellEnd"/>
      <w:r w:rsidRPr="00110C32">
        <w:t xml:space="preserve"> including B lymphocyte depleting agents</w:t>
      </w:r>
    </w:p>
    <w:p w14:paraId="409A9453" w14:textId="77777777" w:rsidR="00615860" w:rsidRPr="00110C32" w:rsidRDefault="00615860" w:rsidP="00077BCB">
      <w:pPr>
        <w:pStyle w:val="ListBullet2"/>
      </w:pPr>
      <w:r w:rsidRPr="00110C32">
        <w:lastRenderedPageBreak/>
        <w:t xml:space="preserve">Increased risk of adverse events when </w:t>
      </w:r>
      <w:proofErr w:type="spellStart"/>
      <w:r w:rsidRPr="00110C32">
        <w:t>tofacitinib</w:t>
      </w:r>
      <w:proofErr w:type="spellEnd"/>
      <w:r w:rsidRPr="00110C32">
        <w:t xml:space="preserve"> is administered in combination with MTX</w:t>
      </w:r>
    </w:p>
    <w:p w14:paraId="0538FD96" w14:textId="77777777" w:rsidR="00615860" w:rsidRPr="00110C32" w:rsidRDefault="00615860" w:rsidP="00077BCB">
      <w:pPr>
        <w:pStyle w:val="ListBullet2"/>
      </w:pPr>
      <w:r w:rsidRPr="00110C32">
        <w:t>Primary viral infection following live vaccination</w:t>
      </w:r>
    </w:p>
    <w:p w14:paraId="76651744" w14:textId="77777777" w:rsidR="00615860" w:rsidRPr="00110C32" w:rsidRDefault="00615860" w:rsidP="00077BCB">
      <w:pPr>
        <w:pStyle w:val="ListBullet2"/>
      </w:pPr>
      <w:r w:rsidRPr="00110C32">
        <w:t xml:space="preserve">Increased exposure to </w:t>
      </w:r>
      <w:proofErr w:type="spellStart"/>
      <w:r w:rsidRPr="00110C32">
        <w:t>tofacitinib</w:t>
      </w:r>
      <w:proofErr w:type="spellEnd"/>
      <w:r w:rsidRPr="00110C32">
        <w:t xml:space="preserve"> when co-administered with CYP3A4 and CYP2C19 inhibitors</w:t>
      </w:r>
    </w:p>
    <w:p w14:paraId="1F3A7940" w14:textId="77777777" w:rsidR="00615860" w:rsidRPr="00110C32" w:rsidRDefault="00615860" w:rsidP="00077BCB">
      <w:pPr>
        <w:pStyle w:val="ListBullet2"/>
      </w:pPr>
      <w:r w:rsidRPr="00110C32">
        <w:t>Off-label use including children with Juvenile Idiopathic Arthritis (JIA)</w:t>
      </w:r>
    </w:p>
    <w:p w14:paraId="214A554F" w14:textId="77777777" w:rsidR="00615860" w:rsidRPr="00110C32" w:rsidRDefault="00615860" w:rsidP="00077BCB">
      <w:pPr>
        <w:pStyle w:val="ListBullet2"/>
      </w:pPr>
      <w:r w:rsidRPr="00110C32">
        <w:t>Higher incidence and severity of adverse events in the elderly</w:t>
      </w:r>
    </w:p>
    <w:p w14:paraId="3BB76EFF" w14:textId="77777777" w:rsidR="00615860" w:rsidRPr="00110C32" w:rsidRDefault="00615860" w:rsidP="00077BCB">
      <w:pPr>
        <w:pStyle w:val="Numberbullet0"/>
      </w:pPr>
      <w:r w:rsidRPr="00110C32">
        <w:t>To</w:t>
      </w:r>
      <w:r w:rsidRPr="00110C32">
        <w:rPr>
          <w:b/>
        </w:rPr>
        <w:t xml:space="preserve"> </w:t>
      </w:r>
      <w:r w:rsidRPr="00110C32">
        <w:t>provide the updated educational materials to the TGA prior to distribution.</w:t>
      </w:r>
    </w:p>
    <w:p w14:paraId="072A086D" w14:textId="77777777" w:rsidR="00615860" w:rsidRDefault="00615860" w:rsidP="00615860">
      <w:r>
        <w:t xml:space="preserve">The RMP evaluator made two further recommendations in the </w:t>
      </w:r>
      <w:r w:rsidR="00077BCB">
        <w:t>second round report:</w:t>
      </w:r>
    </w:p>
    <w:p w14:paraId="729204A0" w14:textId="77777777" w:rsidR="00615860" w:rsidRPr="00077BCB" w:rsidRDefault="00615860" w:rsidP="00077BCB">
      <w:pPr>
        <w:pStyle w:val="Numberbullet0"/>
      </w:pPr>
      <w:r w:rsidRPr="00077BCB">
        <w:t xml:space="preserve">The sponsor should provide the updated </w:t>
      </w:r>
      <w:r w:rsidR="00077BCB">
        <w:t>Australian specific annex (</w:t>
      </w:r>
      <w:r w:rsidRPr="00077BCB">
        <w:t>ASA</w:t>
      </w:r>
      <w:r w:rsidR="00077BCB">
        <w:t>)</w:t>
      </w:r>
      <w:r w:rsidRPr="00077BCB">
        <w:t xml:space="preserve"> which incorporates the RMP evaluator’s recommendations within 3 months of approval of this submission.</w:t>
      </w:r>
    </w:p>
    <w:p w14:paraId="66C875D1" w14:textId="77777777" w:rsidR="00615860" w:rsidRDefault="00615860" w:rsidP="00077BCB">
      <w:pPr>
        <w:pStyle w:val="Numberbullet0"/>
      </w:pPr>
      <w:r w:rsidRPr="00110C32">
        <w:t>The sponsor should ensure that appropriate pharmacovigilance and risk minimisation measures are assigned to the safety concerns that are added to the ASA. These should be consistent with the measures in place in the EU-RMP.</w:t>
      </w:r>
    </w:p>
    <w:p w14:paraId="335CD155" w14:textId="77777777" w:rsidR="00615860" w:rsidRDefault="00077BCB" w:rsidP="00615860">
      <w:pPr>
        <w:pStyle w:val="Standard"/>
        <w:rPr>
          <w:szCs w:val="22"/>
        </w:rPr>
      </w:pPr>
      <w:r>
        <w:rPr>
          <w:szCs w:val="22"/>
        </w:rPr>
        <w:t>At the time this conclusion was written, the sponsor had</w:t>
      </w:r>
      <w:r w:rsidR="00615860">
        <w:rPr>
          <w:szCs w:val="22"/>
        </w:rPr>
        <w:t xml:space="preserve"> not yet confirmed its response to these recommendations.</w:t>
      </w:r>
    </w:p>
    <w:p w14:paraId="0AD76DC4" w14:textId="77777777" w:rsidR="00615860" w:rsidRDefault="00615860" w:rsidP="00615860">
      <w:pPr>
        <w:pStyle w:val="Standard"/>
        <w:rPr>
          <w:szCs w:val="22"/>
        </w:rPr>
      </w:pPr>
      <w:r>
        <w:rPr>
          <w:szCs w:val="22"/>
        </w:rPr>
        <w:t>The RMP evaluator concluded that the proposed pharmacovigilance and risk minimisation activi</w:t>
      </w:r>
      <w:r w:rsidR="00077BCB">
        <w:rPr>
          <w:szCs w:val="22"/>
        </w:rPr>
        <w:t xml:space="preserve">ties are otherwise acceptable. </w:t>
      </w:r>
      <w:r>
        <w:rPr>
          <w:szCs w:val="22"/>
        </w:rPr>
        <w:t>The clinical evaluator commented that the summary of safety concerns in the draft RMP is acceptable.</w:t>
      </w:r>
    </w:p>
    <w:p w14:paraId="059AC169" w14:textId="77777777" w:rsidR="00077BCB" w:rsidRDefault="00615860" w:rsidP="008C58C9">
      <w:pPr>
        <w:pStyle w:val="Standard"/>
        <w:rPr>
          <w:szCs w:val="22"/>
        </w:rPr>
      </w:pPr>
      <w:r>
        <w:rPr>
          <w:szCs w:val="22"/>
        </w:rPr>
        <w:t>The RMP evaluator recommended a condition of registration</w:t>
      </w:r>
      <w:r w:rsidR="00077BCB">
        <w:rPr>
          <w:szCs w:val="22"/>
        </w:rPr>
        <w:t>:</w:t>
      </w:r>
    </w:p>
    <w:p w14:paraId="1CFA9E61" w14:textId="0C448F1C" w:rsidR="008E7846" w:rsidRPr="008C58C9" w:rsidRDefault="00077BCB" w:rsidP="00077BCB">
      <w:pPr>
        <w:ind w:left="720"/>
      </w:pPr>
      <w:r w:rsidRPr="00154291">
        <w:t xml:space="preserve">The </w:t>
      </w:r>
      <w:r w:rsidRPr="00077BCB">
        <w:t>Xeljanz</w:t>
      </w:r>
      <w:r w:rsidRPr="00154291">
        <w:rPr>
          <w:smallCaps/>
        </w:rPr>
        <w:t xml:space="preserve"> </w:t>
      </w:r>
      <w:r w:rsidRPr="00154291">
        <w:t xml:space="preserve">EU-Risk Management Plan (RMP) </w:t>
      </w:r>
      <w:r w:rsidRPr="00154291">
        <w:rPr>
          <w:kern w:val="2"/>
        </w:rPr>
        <w:t>ver</w:t>
      </w:r>
      <w:r>
        <w:rPr>
          <w:kern w:val="2"/>
        </w:rPr>
        <w:t>sion 3.0 (date 26 July 2017; data lock point</w:t>
      </w:r>
      <w:r w:rsidRPr="00154291">
        <w:rPr>
          <w:kern w:val="2"/>
        </w:rPr>
        <w:t xml:space="preserve"> 7 March 2017) </w:t>
      </w:r>
      <w:r w:rsidRPr="00154291">
        <w:t>with Australian Specific Annex version</w:t>
      </w:r>
      <w:r w:rsidRPr="00154291">
        <w:rPr>
          <w:kern w:val="2"/>
        </w:rPr>
        <w:t xml:space="preserve"> 1.0 (date</w:t>
      </w:r>
      <w:r w:rsidR="009E0948">
        <w:rPr>
          <w:kern w:val="2"/>
        </w:rPr>
        <w:t> </w:t>
      </w:r>
      <w:r w:rsidRPr="00154291">
        <w:rPr>
          <w:kern w:val="2"/>
        </w:rPr>
        <w:t>27</w:t>
      </w:r>
      <w:r w:rsidR="009E0948">
        <w:rPr>
          <w:kern w:val="2"/>
        </w:rPr>
        <w:t> </w:t>
      </w:r>
      <w:r w:rsidRPr="00154291">
        <w:rPr>
          <w:kern w:val="2"/>
        </w:rPr>
        <w:t>September 2017</w:t>
      </w:r>
      <w:r w:rsidRPr="00154291">
        <w:t>), included with submission PM-2017-03802-1-3, to be revised to the satisfaction of the TGA, will be implemented in Australia.</w:t>
      </w:r>
    </w:p>
    <w:p w14:paraId="559AC2C8" w14:textId="77777777" w:rsidR="008E7846" w:rsidRDefault="00AA0ED0" w:rsidP="008E7846">
      <w:pPr>
        <w:pStyle w:val="Heading3"/>
      </w:pPr>
      <w:bookmarkStart w:id="197" w:name="_Toc247691531"/>
      <w:bookmarkStart w:id="198" w:name="_Toc314842515"/>
      <w:bookmarkStart w:id="199" w:name="_Toc196046505"/>
      <w:bookmarkStart w:id="200" w:name="_Toc196046949"/>
      <w:bookmarkStart w:id="201" w:name="_Toc22048631"/>
      <w:r>
        <w:t>Risk-benefit a</w:t>
      </w:r>
      <w:r w:rsidR="008E7846">
        <w:t>nalysis</w:t>
      </w:r>
      <w:bookmarkEnd w:id="197"/>
      <w:bookmarkEnd w:id="198"/>
      <w:bookmarkEnd w:id="201"/>
    </w:p>
    <w:p w14:paraId="2D2F60CD" w14:textId="77777777" w:rsidR="00D23139" w:rsidRDefault="00D23139" w:rsidP="00D23139">
      <w:pPr>
        <w:pStyle w:val="Heading4"/>
      </w:pPr>
      <w:r w:rsidRPr="00D23139">
        <w:t>Delegate’s considera</w:t>
      </w:r>
      <w:r w:rsidR="00615860">
        <w:t>tions</w:t>
      </w:r>
    </w:p>
    <w:p w14:paraId="0DA172C4" w14:textId="77777777" w:rsidR="00615860" w:rsidRDefault="00615860" w:rsidP="00615860">
      <w:pPr>
        <w:pStyle w:val="Heading5"/>
      </w:pPr>
      <w:r>
        <w:t>Discussion</w:t>
      </w:r>
    </w:p>
    <w:p w14:paraId="05BC77F6" w14:textId="77777777" w:rsidR="00615860" w:rsidRDefault="00615860" w:rsidP="008C58C9">
      <w:pPr>
        <w:pStyle w:val="Heading6"/>
      </w:pPr>
      <w:r>
        <w:t>Efficacy</w:t>
      </w:r>
    </w:p>
    <w:p w14:paraId="2A52D908" w14:textId="01323D06" w:rsidR="00615860" w:rsidRDefault="00077BCB" w:rsidP="00615860">
      <w:pPr>
        <w:rPr>
          <w:lang w:eastAsia="ja-JP"/>
        </w:rPr>
      </w:pPr>
      <w:r>
        <w:rPr>
          <w:lang w:eastAsia="ja-JP"/>
        </w:rPr>
        <w:t>The Phase III</w:t>
      </w:r>
      <w:r w:rsidR="00615860">
        <w:rPr>
          <w:lang w:eastAsia="ja-JP"/>
        </w:rPr>
        <w:t xml:space="preserve"> program was based on two pivotal efficacy studies in 816 adult patients with active </w:t>
      </w:r>
      <w:proofErr w:type="spellStart"/>
      <w:r w:rsidR="00615860">
        <w:rPr>
          <w:lang w:eastAsia="ja-JP"/>
        </w:rPr>
        <w:t>PsA.</w:t>
      </w:r>
      <w:proofErr w:type="spellEnd"/>
      <w:r w:rsidR="00615860">
        <w:rPr>
          <w:lang w:eastAsia="ja-JP"/>
        </w:rPr>
        <w:t xml:space="preserve"> The studies were designed in line with regulator</w:t>
      </w:r>
      <w:r>
        <w:rPr>
          <w:lang w:eastAsia="ja-JP"/>
        </w:rPr>
        <w:t xml:space="preserve">y advice from the FDA and EMA. </w:t>
      </w:r>
      <w:r w:rsidR="00615860">
        <w:rPr>
          <w:lang w:eastAsia="ja-JP"/>
        </w:rPr>
        <w:t xml:space="preserve">Background </w:t>
      </w:r>
      <w:proofErr w:type="spellStart"/>
      <w:r w:rsidR="00615860">
        <w:rPr>
          <w:lang w:eastAsia="ja-JP"/>
        </w:rPr>
        <w:t>csDMARD</w:t>
      </w:r>
      <w:proofErr w:type="spellEnd"/>
      <w:r w:rsidR="00615860">
        <w:rPr>
          <w:lang w:eastAsia="ja-JP"/>
        </w:rPr>
        <w:t xml:space="preserve"> therapy was required in both studies. Patients in </w:t>
      </w:r>
      <w:r w:rsidR="009E0948">
        <w:rPr>
          <w:lang w:eastAsia="ja-JP"/>
        </w:rPr>
        <w:t>Study </w:t>
      </w:r>
      <w:r w:rsidR="00615860">
        <w:rPr>
          <w:lang w:eastAsia="ja-JP"/>
        </w:rPr>
        <w:t xml:space="preserve">A3921091 were required to have had an inadequate response to a </w:t>
      </w:r>
      <w:proofErr w:type="spellStart"/>
      <w:r w:rsidR="00615860">
        <w:rPr>
          <w:lang w:eastAsia="ja-JP"/>
        </w:rPr>
        <w:t>csDMARD</w:t>
      </w:r>
      <w:proofErr w:type="spellEnd"/>
      <w:r w:rsidR="00615860">
        <w:rPr>
          <w:lang w:eastAsia="ja-JP"/>
        </w:rPr>
        <w:t xml:space="preserve"> and were TNFI-naïve, and patients in </w:t>
      </w:r>
      <w:r w:rsidR="009E0948">
        <w:rPr>
          <w:lang w:eastAsia="ja-JP"/>
        </w:rPr>
        <w:t xml:space="preserve">Study </w:t>
      </w:r>
      <w:r w:rsidR="00615860">
        <w:rPr>
          <w:lang w:eastAsia="ja-JP"/>
        </w:rPr>
        <w:t>A3921125 were required to have had an inadeq</w:t>
      </w:r>
      <w:r>
        <w:rPr>
          <w:lang w:eastAsia="ja-JP"/>
        </w:rPr>
        <w:t xml:space="preserve">uate response to TNFI therapy. Both studies were placebo </w:t>
      </w:r>
      <w:r w:rsidR="00615860">
        <w:rPr>
          <w:lang w:eastAsia="ja-JP"/>
        </w:rPr>
        <w:t xml:space="preserve">controlled for the first three months, and </w:t>
      </w:r>
      <w:r w:rsidR="009E0948">
        <w:rPr>
          <w:lang w:eastAsia="ja-JP"/>
        </w:rPr>
        <w:t xml:space="preserve">Study </w:t>
      </w:r>
      <w:r w:rsidR="00615860">
        <w:rPr>
          <w:lang w:eastAsia="ja-JP"/>
        </w:rPr>
        <w:t xml:space="preserve">A3921091 had an </w:t>
      </w:r>
      <w:proofErr w:type="spellStart"/>
      <w:r w:rsidR="00615860">
        <w:rPr>
          <w:lang w:eastAsia="ja-JP"/>
        </w:rPr>
        <w:t>adalimumab</w:t>
      </w:r>
      <w:proofErr w:type="spellEnd"/>
      <w:r w:rsidR="00615860">
        <w:rPr>
          <w:lang w:eastAsia="ja-JP"/>
        </w:rPr>
        <w:t xml:space="preserve"> active control arm. The doses of </w:t>
      </w:r>
      <w:proofErr w:type="spellStart"/>
      <w:r w:rsidR="00615860">
        <w:rPr>
          <w:lang w:eastAsia="ja-JP"/>
        </w:rPr>
        <w:t>tofacitinib</w:t>
      </w:r>
      <w:proofErr w:type="spellEnd"/>
      <w:r w:rsidR="00615860">
        <w:rPr>
          <w:lang w:eastAsia="ja-JP"/>
        </w:rPr>
        <w:t xml:space="preserve"> (5</w:t>
      </w:r>
      <w:r w:rsidR="009E0948">
        <w:rPr>
          <w:lang w:eastAsia="ja-JP"/>
        </w:rPr>
        <w:t> </w:t>
      </w:r>
      <w:r w:rsidR="00615860">
        <w:rPr>
          <w:lang w:eastAsia="ja-JP"/>
        </w:rPr>
        <w:t xml:space="preserve">mg </w:t>
      </w:r>
      <w:r w:rsidR="003A1B70">
        <w:rPr>
          <w:lang w:eastAsia="ja-JP"/>
        </w:rPr>
        <w:t>BD</w:t>
      </w:r>
      <w:r w:rsidR="00615860">
        <w:rPr>
          <w:lang w:eastAsia="ja-JP"/>
        </w:rPr>
        <w:t xml:space="preserve"> and 10 mg </w:t>
      </w:r>
      <w:r w:rsidR="003A1B70">
        <w:rPr>
          <w:lang w:eastAsia="ja-JP"/>
        </w:rPr>
        <w:t>BD</w:t>
      </w:r>
      <w:r w:rsidR="00615860">
        <w:rPr>
          <w:lang w:eastAsia="ja-JP"/>
        </w:rPr>
        <w:t xml:space="preserve">) selected for the </w:t>
      </w:r>
      <w:proofErr w:type="spellStart"/>
      <w:r w:rsidR="00615860">
        <w:rPr>
          <w:lang w:eastAsia="ja-JP"/>
        </w:rPr>
        <w:t>PsA</w:t>
      </w:r>
      <w:proofErr w:type="spellEnd"/>
      <w:r w:rsidR="00615860">
        <w:rPr>
          <w:lang w:eastAsia="ja-JP"/>
        </w:rPr>
        <w:t xml:space="preserve"> program were bas</w:t>
      </w:r>
      <w:r>
        <w:rPr>
          <w:lang w:eastAsia="ja-JP"/>
        </w:rPr>
        <w:t xml:space="preserve">ed on the RA and </w:t>
      </w:r>
      <w:proofErr w:type="spellStart"/>
      <w:r>
        <w:rPr>
          <w:lang w:eastAsia="ja-JP"/>
        </w:rPr>
        <w:t>PsO</w:t>
      </w:r>
      <w:proofErr w:type="spellEnd"/>
      <w:r>
        <w:rPr>
          <w:lang w:eastAsia="ja-JP"/>
        </w:rPr>
        <w:t xml:space="preserve"> programs. </w:t>
      </w:r>
      <w:r w:rsidR="00615860">
        <w:rPr>
          <w:lang w:eastAsia="ja-JP"/>
        </w:rPr>
        <w:t xml:space="preserve">In both pivotal studies, there was a significant benefit in favour of </w:t>
      </w:r>
      <w:proofErr w:type="spellStart"/>
      <w:r w:rsidR="00615860">
        <w:rPr>
          <w:lang w:eastAsia="ja-JP"/>
        </w:rPr>
        <w:t>tofacitinib</w:t>
      </w:r>
      <w:proofErr w:type="spellEnd"/>
      <w:r w:rsidR="00615860">
        <w:rPr>
          <w:lang w:eastAsia="ja-JP"/>
        </w:rPr>
        <w:t xml:space="preserve"> 5</w:t>
      </w:r>
      <w:r w:rsidR="009E0948">
        <w:rPr>
          <w:lang w:eastAsia="ja-JP"/>
        </w:rPr>
        <w:t> </w:t>
      </w:r>
      <w:r w:rsidR="00615860">
        <w:rPr>
          <w:lang w:eastAsia="ja-JP"/>
        </w:rPr>
        <w:t xml:space="preserve">mg </w:t>
      </w:r>
      <w:r w:rsidR="003A1B70">
        <w:rPr>
          <w:lang w:eastAsia="ja-JP"/>
        </w:rPr>
        <w:t>BD</w:t>
      </w:r>
      <w:r w:rsidR="00615860">
        <w:rPr>
          <w:lang w:eastAsia="ja-JP"/>
        </w:rPr>
        <w:t xml:space="preserve"> and 10 mg </w:t>
      </w:r>
      <w:r w:rsidR="003A1B70">
        <w:rPr>
          <w:lang w:eastAsia="ja-JP"/>
        </w:rPr>
        <w:t>BD</w:t>
      </w:r>
      <w:r w:rsidR="00615860">
        <w:rPr>
          <w:lang w:eastAsia="ja-JP"/>
        </w:rPr>
        <w:t xml:space="preserve"> compared with placebo.</w:t>
      </w:r>
    </w:p>
    <w:p w14:paraId="475CD861" w14:textId="77777777" w:rsidR="00615860" w:rsidRDefault="00615860" w:rsidP="00615860">
      <w:pPr>
        <w:rPr>
          <w:noProof/>
          <w:lang w:eastAsia="en-AU"/>
        </w:rPr>
      </w:pPr>
      <w:r>
        <w:t xml:space="preserve">In Study A3921091, </w:t>
      </w:r>
      <w:proofErr w:type="spellStart"/>
      <w:r>
        <w:t>tofacitinib</w:t>
      </w:r>
      <w:proofErr w:type="spellEnd"/>
      <w:r>
        <w:t xml:space="preserve"> 5 mg </w:t>
      </w:r>
      <w:r w:rsidR="003A1B70">
        <w:t>BD</w:t>
      </w:r>
      <w:r>
        <w:t xml:space="preserve"> and 10 mg </w:t>
      </w:r>
      <w:r w:rsidR="003A1B70">
        <w:t>BD</w:t>
      </w:r>
      <w:r>
        <w:t xml:space="preserve"> were both superior to placebo f</w:t>
      </w:r>
      <w:r>
        <w:rPr>
          <w:noProof/>
          <w:lang w:eastAsia="en-AU"/>
        </w:rPr>
        <w:t xml:space="preserve">or the primary endpoints of ACR20 response rates and </w:t>
      </w:r>
      <w:r w:rsidR="00077BCB">
        <w:rPr>
          <w:lang w:eastAsia="ja-JP"/>
        </w:rPr>
        <w:t xml:space="preserve">change in </w:t>
      </w:r>
      <w:r>
        <w:rPr>
          <w:lang w:eastAsia="ja-JP"/>
        </w:rPr>
        <w:t xml:space="preserve">HAQ-DI </w:t>
      </w:r>
      <w:r w:rsidR="00077BCB">
        <w:rPr>
          <w:noProof/>
          <w:lang w:eastAsia="en-AU"/>
        </w:rPr>
        <w:t>at Month 3. Tofacitinib 10 </w:t>
      </w:r>
      <w:r>
        <w:rPr>
          <w:noProof/>
          <w:lang w:eastAsia="en-AU"/>
        </w:rPr>
        <w:t xml:space="preserve">mg </w:t>
      </w:r>
      <w:r w:rsidR="003A1B70">
        <w:rPr>
          <w:noProof/>
          <w:lang w:eastAsia="en-AU"/>
        </w:rPr>
        <w:t>BD</w:t>
      </w:r>
      <w:r>
        <w:rPr>
          <w:noProof/>
          <w:lang w:eastAsia="en-AU"/>
        </w:rPr>
        <w:t xml:space="preserve"> was numerically superior to tofacitinib 5 mg </w:t>
      </w:r>
      <w:r w:rsidR="003A1B70">
        <w:rPr>
          <w:noProof/>
          <w:lang w:eastAsia="en-AU"/>
        </w:rPr>
        <w:t>BD</w:t>
      </w:r>
      <w:r>
        <w:rPr>
          <w:noProof/>
          <w:lang w:eastAsia="en-AU"/>
        </w:rPr>
        <w:t xml:space="preserve"> for the primary </w:t>
      </w:r>
      <w:r>
        <w:rPr>
          <w:noProof/>
          <w:lang w:eastAsia="en-AU"/>
        </w:rPr>
        <w:lastRenderedPageBreak/>
        <w:t>endpoints but the d</w:t>
      </w:r>
      <w:r w:rsidR="00077BCB">
        <w:rPr>
          <w:noProof/>
          <w:lang w:eastAsia="en-AU"/>
        </w:rPr>
        <w:t xml:space="preserve">ifference was not significant. </w:t>
      </w:r>
      <w:r>
        <w:rPr>
          <w:noProof/>
          <w:lang w:eastAsia="en-AU"/>
        </w:rPr>
        <w:t xml:space="preserve">Over 12 months, there was no meaningful difference between 5 mg </w:t>
      </w:r>
      <w:r w:rsidR="003A1B70">
        <w:rPr>
          <w:noProof/>
          <w:lang w:eastAsia="en-AU"/>
        </w:rPr>
        <w:t>BD</w:t>
      </w:r>
      <w:r>
        <w:rPr>
          <w:noProof/>
          <w:lang w:eastAsia="en-AU"/>
        </w:rPr>
        <w:t xml:space="preserve"> and 10 mg </w:t>
      </w:r>
      <w:r w:rsidR="003A1B70">
        <w:rPr>
          <w:noProof/>
          <w:lang w:eastAsia="en-AU"/>
        </w:rPr>
        <w:t>BD</w:t>
      </w:r>
      <w:r w:rsidR="00077BCB">
        <w:rPr>
          <w:noProof/>
          <w:lang w:eastAsia="en-AU"/>
        </w:rPr>
        <w:t xml:space="preserve">. </w:t>
      </w:r>
      <w:r>
        <w:rPr>
          <w:noProof/>
          <w:lang w:eastAsia="en-AU"/>
        </w:rPr>
        <w:t xml:space="preserve">The benefit with both doses was statistically significant and clinically meaningful, and it was maintained </w:t>
      </w:r>
      <w:r w:rsidRPr="00F27240">
        <w:rPr>
          <w:lang w:eastAsia="ja-JP"/>
        </w:rPr>
        <w:t xml:space="preserve">or improved </w:t>
      </w:r>
      <w:r w:rsidR="00077BCB">
        <w:rPr>
          <w:noProof/>
          <w:lang w:eastAsia="en-AU"/>
        </w:rPr>
        <w:t>over the 12 </w:t>
      </w:r>
      <w:r>
        <w:rPr>
          <w:noProof/>
          <w:lang w:eastAsia="en-AU"/>
        </w:rPr>
        <w:t>month treatment period. There was no meaningful difference between the tofacitinib an</w:t>
      </w:r>
      <w:r w:rsidR="00077BCB">
        <w:rPr>
          <w:noProof/>
          <w:lang w:eastAsia="en-AU"/>
        </w:rPr>
        <w:t>d adalimumab treatment groups.</w:t>
      </w:r>
    </w:p>
    <w:p w14:paraId="4FE5DE39" w14:textId="77777777" w:rsidR="00615860" w:rsidRDefault="00615860" w:rsidP="00615860">
      <w:pPr>
        <w:rPr>
          <w:lang w:eastAsia="ja-JP"/>
        </w:rPr>
      </w:pPr>
      <w:r>
        <w:t xml:space="preserve">In Study A3921125, which involved 394 patients with </w:t>
      </w:r>
      <w:proofErr w:type="spellStart"/>
      <w:r>
        <w:t>PsA</w:t>
      </w:r>
      <w:proofErr w:type="spellEnd"/>
      <w:r>
        <w:t xml:space="preserve"> who were inadequate responders to at least 1 TNFI, </w:t>
      </w:r>
      <w:proofErr w:type="spellStart"/>
      <w:r>
        <w:t>tofacitinib</w:t>
      </w:r>
      <w:proofErr w:type="spellEnd"/>
      <w:r>
        <w:t xml:space="preserve"> 5 mg </w:t>
      </w:r>
      <w:r w:rsidR="003A1B70">
        <w:t>BD</w:t>
      </w:r>
      <w:r>
        <w:t xml:space="preserve"> and 10 mg </w:t>
      </w:r>
      <w:r w:rsidR="003A1B70">
        <w:t>BD</w:t>
      </w:r>
      <w:r>
        <w:t xml:space="preserve"> were both superior to placebo f</w:t>
      </w:r>
      <w:r>
        <w:rPr>
          <w:noProof/>
          <w:lang w:eastAsia="en-AU"/>
        </w:rPr>
        <w:t xml:space="preserve">or the primary endpoints of ACR20 response rates and </w:t>
      </w:r>
      <w:r w:rsidR="00077BCB">
        <w:rPr>
          <w:lang w:eastAsia="ja-JP"/>
        </w:rPr>
        <w:t xml:space="preserve">change in </w:t>
      </w:r>
      <w:r>
        <w:rPr>
          <w:lang w:eastAsia="ja-JP"/>
        </w:rPr>
        <w:t xml:space="preserve">HAQ-DI </w:t>
      </w:r>
      <w:r>
        <w:rPr>
          <w:noProof/>
          <w:lang w:eastAsia="en-AU"/>
        </w:rPr>
        <w:t xml:space="preserve">at Month 3, and the benefit  was maintained </w:t>
      </w:r>
      <w:r w:rsidRPr="00F27240">
        <w:rPr>
          <w:lang w:eastAsia="ja-JP"/>
        </w:rPr>
        <w:t xml:space="preserve">or improved </w:t>
      </w:r>
      <w:r w:rsidR="00077BCB">
        <w:rPr>
          <w:noProof/>
          <w:lang w:eastAsia="en-AU"/>
        </w:rPr>
        <w:t xml:space="preserve">to Month 6. </w:t>
      </w:r>
      <w:r>
        <w:rPr>
          <w:lang w:eastAsia="ja-JP"/>
        </w:rPr>
        <w:t>This study did not demonstrate a benefit in favour of the higher dose.</w:t>
      </w:r>
    </w:p>
    <w:p w14:paraId="408B1A82" w14:textId="77777777" w:rsidR="00615860" w:rsidRDefault="00615860" w:rsidP="00615860">
      <w:pPr>
        <w:rPr>
          <w:noProof/>
          <w:lang w:eastAsia="en-AU"/>
        </w:rPr>
      </w:pPr>
      <w:r>
        <w:rPr>
          <w:lang w:eastAsia="ja-JP"/>
        </w:rPr>
        <w:t xml:space="preserve">Persistence of effect is being assessed in the on-going </w:t>
      </w:r>
      <w:r w:rsidR="00077BCB">
        <w:rPr>
          <w:lang w:eastAsia="ja-JP"/>
        </w:rPr>
        <w:t>open label long term extension</w:t>
      </w:r>
      <w:r>
        <w:rPr>
          <w:lang w:eastAsia="ja-JP"/>
        </w:rPr>
        <w:t xml:space="preserve"> </w:t>
      </w:r>
      <w:r w:rsidR="00077BCB">
        <w:rPr>
          <w:lang w:eastAsia="ja-JP"/>
        </w:rPr>
        <w:t>S</w:t>
      </w:r>
      <w:r w:rsidRPr="004E4457">
        <w:t>tudy A3921092</w:t>
      </w:r>
      <w:r>
        <w:rPr>
          <w:lang w:eastAsia="ja-JP"/>
        </w:rPr>
        <w:t xml:space="preserve">. A total of 680 patients have received treatment for a median duration of 175 days (range 3 to 754 days). In the interim analysis, the efficacy benefits of </w:t>
      </w:r>
      <w:proofErr w:type="spellStart"/>
      <w:r>
        <w:rPr>
          <w:lang w:eastAsia="ja-JP"/>
        </w:rPr>
        <w:t>tofacitinib</w:t>
      </w:r>
      <w:proofErr w:type="spellEnd"/>
      <w:r>
        <w:rPr>
          <w:lang w:eastAsia="ja-JP"/>
        </w:rPr>
        <w:t xml:space="preserve"> treatment were sustained to Month 15. Withdrawals due to lack of efficacy occurred in only 2.6% of patients.</w:t>
      </w:r>
    </w:p>
    <w:p w14:paraId="3384B2FC" w14:textId="77777777" w:rsidR="00615860" w:rsidRDefault="008978B8" w:rsidP="008C58C9">
      <w:pPr>
        <w:pStyle w:val="Heading6"/>
      </w:pPr>
      <w:r>
        <w:t>Safety</w:t>
      </w:r>
    </w:p>
    <w:p w14:paraId="04D34B83" w14:textId="77777777" w:rsidR="00615860" w:rsidRDefault="00615860" w:rsidP="00615860">
      <w:pPr>
        <w:autoSpaceDE w:val="0"/>
        <w:autoSpaceDN w:val="0"/>
        <w:adjustRightInd w:val="0"/>
        <w:spacing w:line="240" w:lineRule="auto"/>
        <w:rPr>
          <w:lang w:eastAsia="ja-JP"/>
        </w:rPr>
      </w:pPr>
      <w:r>
        <w:rPr>
          <w:lang w:eastAsia="ja-JP"/>
        </w:rPr>
        <w:t xml:space="preserve">The safety profile for </w:t>
      </w:r>
      <w:proofErr w:type="spellStart"/>
      <w:r>
        <w:rPr>
          <w:lang w:eastAsia="ja-JP"/>
        </w:rPr>
        <w:t>tofacitinib</w:t>
      </w:r>
      <w:proofErr w:type="spellEnd"/>
      <w:r>
        <w:rPr>
          <w:lang w:eastAsia="ja-JP"/>
        </w:rPr>
        <w:t xml:space="preserve"> in </w:t>
      </w:r>
      <w:proofErr w:type="spellStart"/>
      <w:r>
        <w:rPr>
          <w:lang w:eastAsia="ja-JP"/>
        </w:rPr>
        <w:t>PsA</w:t>
      </w:r>
      <w:proofErr w:type="spellEnd"/>
      <w:r>
        <w:rPr>
          <w:lang w:eastAsia="ja-JP"/>
        </w:rPr>
        <w:t xml:space="preserve"> has been evaluated in the </w:t>
      </w:r>
      <w:r w:rsidR="00077BCB">
        <w:rPr>
          <w:lang w:eastAsia="ja-JP"/>
        </w:rPr>
        <w:t xml:space="preserve">two pivotal studies, and the ongoing open label long term extension study. </w:t>
      </w:r>
      <w:r>
        <w:rPr>
          <w:lang w:eastAsia="ja-JP"/>
        </w:rPr>
        <w:t xml:space="preserve">Overall, the safety profile of the proposed 5 mg </w:t>
      </w:r>
      <w:r w:rsidR="003A1B70">
        <w:rPr>
          <w:lang w:eastAsia="ja-JP"/>
        </w:rPr>
        <w:t>BD</w:t>
      </w:r>
      <w:r>
        <w:rPr>
          <w:lang w:eastAsia="ja-JP"/>
        </w:rPr>
        <w:t xml:space="preserve"> dosage in </w:t>
      </w:r>
      <w:proofErr w:type="spellStart"/>
      <w:r>
        <w:rPr>
          <w:lang w:eastAsia="ja-JP"/>
        </w:rPr>
        <w:t>PsA</w:t>
      </w:r>
      <w:proofErr w:type="spellEnd"/>
      <w:r>
        <w:rPr>
          <w:lang w:eastAsia="ja-JP"/>
        </w:rPr>
        <w:t xml:space="preserve"> is consistent with the established safety profile in RA.</w:t>
      </w:r>
    </w:p>
    <w:p w14:paraId="39048B86" w14:textId="77777777" w:rsidR="00615860" w:rsidRDefault="00615860" w:rsidP="00615860">
      <w:pPr>
        <w:autoSpaceDE w:val="0"/>
        <w:autoSpaceDN w:val="0"/>
        <w:adjustRightInd w:val="0"/>
        <w:spacing w:line="240" w:lineRule="auto"/>
        <w:rPr>
          <w:lang w:eastAsia="ja-JP"/>
        </w:rPr>
      </w:pPr>
      <w:r>
        <w:t xml:space="preserve">The incidence of TEAEs in the </w:t>
      </w:r>
      <w:proofErr w:type="spellStart"/>
      <w:r>
        <w:t>tofacitinib</w:t>
      </w:r>
      <w:proofErr w:type="spellEnd"/>
      <w:r>
        <w:t xml:space="preserve"> groups was generally higher than plac</w:t>
      </w:r>
      <w:r w:rsidR="00077BCB">
        <w:t xml:space="preserve">ebo and similar to </w:t>
      </w:r>
      <w:proofErr w:type="spellStart"/>
      <w:r w:rsidR="00077BCB">
        <w:t>adalimumab</w:t>
      </w:r>
      <w:proofErr w:type="spellEnd"/>
      <w:r w:rsidR="00077BCB">
        <w:t xml:space="preserve">. </w:t>
      </w:r>
      <w:r>
        <w:rPr>
          <w:lang w:eastAsia="ja-JP"/>
        </w:rPr>
        <w:t xml:space="preserve">Overall, the most commonly reported TEAEs by PT were </w:t>
      </w:r>
      <w:proofErr w:type="spellStart"/>
      <w:r>
        <w:rPr>
          <w:lang w:eastAsia="ja-JP"/>
        </w:rPr>
        <w:t>nasopharyngitis</w:t>
      </w:r>
      <w:proofErr w:type="spellEnd"/>
      <w:r>
        <w:rPr>
          <w:lang w:eastAsia="ja-JP"/>
        </w:rPr>
        <w:t>, headache and</w:t>
      </w:r>
      <w:r w:rsidR="00077BCB">
        <w:rPr>
          <w:lang w:eastAsia="ja-JP"/>
        </w:rPr>
        <w:t xml:space="preserve">. </w:t>
      </w:r>
      <w:r>
        <w:rPr>
          <w:lang w:eastAsia="ja-JP"/>
        </w:rPr>
        <w:t>Severe AEs and SAEs were infrequent in all treatment groups with no meaningful treatment differences. There were few AEs of special interest, including serious infections, opportunistic infections and malignancies, and no new safety signals were identified.  Herpes zoster was reported in 26 cases, but the incidence rate was comparable to that seen in the RA program.</w:t>
      </w:r>
      <w:r w:rsidRPr="005F660D">
        <w:rPr>
          <w:lang w:eastAsia="ja-JP"/>
        </w:rPr>
        <w:t xml:space="preserve"> </w:t>
      </w:r>
      <w:r>
        <w:rPr>
          <w:lang w:eastAsia="ja-JP"/>
        </w:rPr>
        <w:t>No new safety signals have been identified from four years of post-marketing experience in RA patients.</w:t>
      </w:r>
    </w:p>
    <w:p w14:paraId="7E697096" w14:textId="77777777" w:rsidR="00615860" w:rsidRDefault="00615860" w:rsidP="008C58C9">
      <w:pPr>
        <w:pStyle w:val="Heading6"/>
      </w:pPr>
      <w:r w:rsidRPr="005529C3">
        <w:t>Proposed indication</w:t>
      </w:r>
    </w:p>
    <w:p w14:paraId="2E1133B0" w14:textId="77777777" w:rsidR="00077BCB" w:rsidRDefault="00615860" w:rsidP="00615860">
      <w:r>
        <w:rPr>
          <w:lang w:eastAsia="ja-JP"/>
        </w:rPr>
        <w:t>The clinical ev</w:t>
      </w:r>
      <w:r w:rsidR="00077BCB">
        <w:rPr>
          <w:lang w:eastAsia="ja-JP"/>
        </w:rPr>
        <w:t>aluator was satisfied with the s</w:t>
      </w:r>
      <w:r>
        <w:rPr>
          <w:lang w:eastAsia="ja-JP"/>
        </w:rPr>
        <w:t>ponsor’s responses to comments and questions on the PI and supported the other proposed changes to the PI.</w:t>
      </w:r>
      <w:r w:rsidR="00077BCB">
        <w:t xml:space="preserve"> </w:t>
      </w:r>
      <w:r>
        <w:t>The clinical evaluator recommends approval of</w:t>
      </w:r>
      <w:r w:rsidR="00077BCB">
        <w:t xml:space="preserve"> a revised indication for </w:t>
      </w:r>
      <w:proofErr w:type="spellStart"/>
      <w:r w:rsidR="00077BCB">
        <w:t>PsA</w:t>
      </w:r>
      <w:proofErr w:type="spellEnd"/>
      <w:r w:rsidR="00077BCB">
        <w:t>:</w:t>
      </w:r>
    </w:p>
    <w:p w14:paraId="64F8B0E4" w14:textId="7721D8A6" w:rsidR="00615860" w:rsidRPr="00771C94" w:rsidRDefault="009E0948" w:rsidP="00077BCB">
      <w:pPr>
        <w:ind w:left="720"/>
      </w:pPr>
      <w:proofErr w:type="spellStart"/>
      <w:r>
        <w:rPr>
          <w:i/>
          <w:lang w:eastAsia="ja-JP"/>
        </w:rPr>
        <w:t>Xeljianz</w:t>
      </w:r>
      <w:proofErr w:type="spellEnd"/>
      <w:r>
        <w:rPr>
          <w:i/>
          <w:lang w:eastAsia="ja-JP"/>
        </w:rPr>
        <w:t xml:space="preserve"> </w:t>
      </w:r>
      <w:r w:rsidR="00615860">
        <w:rPr>
          <w:i/>
          <w:lang w:eastAsia="ja-JP"/>
        </w:rPr>
        <w:t>in combination with non-biological DMARDs is indicated for the treatment of active psoriatic arthritis in adult patients who have had an inadequate response to a prior DMARD therapy.</w:t>
      </w:r>
    </w:p>
    <w:p w14:paraId="33A6FF62" w14:textId="77777777" w:rsidR="00615860" w:rsidRPr="00C909DA" w:rsidRDefault="00615860" w:rsidP="00BD60C9">
      <w:r w:rsidRPr="00C909DA">
        <w:t xml:space="preserve">The </w:t>
      </w:r>
      <w:r>
        <w:t xml:space="preserve">pivotal studies both required background </w:t>
      </w:r>
      <w:proofErr w:type="spellStart"/>
      <w:r>
        <w:t>csDMARD</w:t>
      </w:r>
      <w:proofErr w:type="spellEnd"/>
      <w:r>
        <w:t xml:space="preserve"> therapy, so the proposed use in combination with </w:t>
      </w:r>
      <w:proofErr w:type="spellStart"/>
      <w:r>
        <w:t>nonbiological</w:t>
      </w:r>
      <w:proofErr w:type="spellEnd"/>
      <w:r>
        <w:t xml:space="preserve"> DMA</w:t>
      </w:r>
      <w:r w:rsidR="00077BCB">
        <w:t xml:space="preserve">RDs is considered appropriate. </w:t>
      </w:r>
      <w:r>
        <w:t xml:space="preserve">The </w:t>
      </w:r>
      <w:proofErr w:type="spellStart"/>
      <w:r>
        <w:t>PsA</w:t>
      </w:r>
      <w:proofErr w:type="spellEnd"/>
      <w:r>
        <w:t xml:space="preserve"> studies did not include </w:t>
      </w:r>
      <w:proofErr w:type="spellStart"/>
      <w:r>
        <w:t>tofacitinib</w:t>
      </w:r>
      <w:proofErr w:type="spellEnd"/>
      <w:r w:rsidRPr="00C909DA">
        <w:t xml:space="preserve"> </w:t>
      </w:r>
      <w:r>
        <w:t xml:space="preserve">as </w:t>
      </w:r>
      <w:r w:rsidRPr="00C909DA">
        <w:t>monotherapy.</w:t>
      </w:r>
    </w:p>
    <w:p w14:paraId="28A0234D" w14:textId="2558CFFA" w:rsidR="00077BCB" w:rsidRDefault="00615860" w:rsidP="00BD60C9">
      <w:pPr>
        <w:rPr>
          <w:rFonts w:cs="Calibri"/>
          <w:bCs/>
          <w:color w:val="000000"/>
        </w:rPr>
      </w:pPr>
      <w:r>
        <w:rPr>
          <w:rFonts w:cs="Calibri"/>
          <w:bCs/>
          <w:color w:val="000000"/>
        </w:rPr>
        <w:t xml:space="preserve">The clinical evaluator recommended the removal of </w:t>
      </w:r>
      <w:r w:rsidR="00317963">
        <w:rPr>
          <w:rFonts w:cs="Calibri"/>
          <w:bCs/>
          <w:color w:val="000000"/>
        </w:rPr>
        <w:t>‘</w:t>
      </w:r>
      <w:r>
        <w:rPr>
          <w:rFonts w:cs="Calibri"/>
          <w:bCs/>
          <w:color w:val="000000"/>
        </w:rPr>
        <w:t>or who have been intolerant</w:t>
      </w:r>
      <w:r w:rsidR="00317963">
        <w:rPr>
          <w:rFonts w:cs="Calibri"/>
          <w:bCs/>
          <w:color w:val="000000"/>
        </w:rPr>
        <w:t>’</w:t>
      </w:r>
      <w:r>
        <w:rPr>
          <w:rFonts w:cs="Calibri"/>
          <w:bCs/>
          <w:color w:val="000000"/>
        </w:rPr>
        <w:t xml:space="preserve"> to a prior DMARD therapy from the indication on the basis that patients intolerant to a prior DMARD therapy were excl</w:t>
      </w:r>
      <w:r w:rsidR="00077BCB">
        <w:rPr>
          <w:rFonts w:cs="Calibri"/>
          <w:bCs/>
          <w:color w:val="000000"/>
        </w:rPr>
        <w:t>uded from the pivotal studies. The s</w:t>
      </w:r>
      <w:r>
        <w:rPr>
          <w:rFonts w:cs="Calibri"/>
          <w:bCs/>
          <w:color w:val="000000"/>
        </w:rPr>
        <w:t>ponsor responded that the pivotal studies did include patients who experienced intolerance to a</w:t>
      </w:r>
      <w:r w:rsidR="00077BCB">
        <w:rPr>
          <w:rFonts w:cs="Calibri"/>
          <w:bCs/>
          <w:color w:val="000000"/>
        </w:rPr>
        <w:t xml:space="preserve"> prior DMARD (</w:t>
      </w:r>
      <w:proofErr w:type="spellStart"/>
      <w:r w:rsidR="00077BCB">
        <w:rPr>
          <w:rFonts w:cs="Calibri"/>
          <w:bCs/>
          <w:color w:val="000000"/>
        </w:rPr>
        <w:t>csDMARD</w:t>
      </w:r>
      <w:proofErr w:type="spellEnd"/>
      <w:r w:rsidR="00077BCB">
        <w:rPr>
          <w:rFonts w:cs="Calibri"/>
          <w:bCs/>
          <w:color w:val="000000"/>
        </w:rPr>
        <w:t xml:space="preserve"> or TNF</w:t>
      </w:r>
      <w:r w:rsidR="009E0948">
        <w:rPr>
          <w:rFonts w:cs="Calibri"/>
          <w:bCs/>
          <w:color w:val="000000"/>
        </w:rPr>
        <w:t>I</w:t>
      </w:r>
      <w:r w:rsidR="00077BCB">
        <w:rPr>
          <w:rFonts w:cs="Calibri"/>
          <w:bCs/>
          <w:color w:val="000000"/>
        </w:rPr>
        <w:t>):</w:t>
      </w:r>
    </w:p>
    <w:p w14:paraId="22770C81" w14:textId="660D57E2" w:rsidR="00077BCB" w:rsidRDefault="00317963" w:rsidP="008978B8">
      <w:pPr>
        <w:ind w:left="720"/>
      </w:pPr>
      <w:r>
        <w:rPr>
          <w:rFonts w:cs="Calibri"/>
          <w:bCs/>
        </w:rPr>
        <w:t>‘</w:t>
      </w:r>
      <w:r w:rsidR="00615860" w:rsidRPr="00A927B0">
        <w:t xml:space="preserve">When reasons for inadequate response to prior </w:t>
      </w:r>
      <w:proofErr w:type="spellStart"/>
      <w:r w:rsidR="00615860" w:rsidRPr="00A927B0">
        <w:t>csDMARDs</w:t>
      </w:r>
      <w:proofErr w:type="spellEnd"/>
      <w:r w:rsidR="00615860" w:rsidRPr="00A927B0">
        <w:t xml:space="preserve"> were examined, it was found that 2.4% of subjects enrolled into Study A3921091 reported intolerance to at least 1 </w:t>
      </w:r>
      <w:proofErr w:type="spellStart"/>
      <w:r w:rsidR="00615860" w:rsidRPr="00A927B0">
        <w:t>csDMARD</w:t>
      </w:r>
      <w:proofErr w:type="spellEnd"/>
      <w:r w:rsidR="00615860" w:rsidRPr="00A927B0">
        <w:t xml:space="preserve"> as the only reason</w:t>
      </w:r>
      <w:r w:rsidR="00615860">
        <w:t xml:space="preserve"> </w:t>
      </w:r>
      <w:r w:rsidR="00615860" w:rsidRPr="00A927B0">
        <w:t xml:space="preserve">for inadequate response, whereas 18.0% of subjects reported both lack of efficacy and intolerance to at least 1 </w:t>
      </w:r>
      <w:proofErr w:type="spellStart"/>
      <w:r w:rsidR="00615860" w:rsidRPr="00A927B0">
        <w:t>csDMARD</w:t>
      </w:r>
      <w:proofErr w:type="spellEnd"/>
      <w:r w:rsidR="00615860" w:rsidRPr="0056332B">
        <w:t xml:space="preserve">. Subjects in Study A3921125 were </w:t>
      </w:r>
      <w:r w:rsidR="00615860" w:rsidRPr="00A927B0">
        <w:t>required to have had an inadequate response (defined as above) to a tumour necrosis factor inhibitor (TNF</w:t>
      </w:r>
      <w:r w:rsidR="009E0948">
        <w:t>I</w:t>
      </w:r>
      <w:r w:rsidR="00615860" w:rsidRPr="00A927B0">
        <w:t xml:space="preserve">). While </w:t>
      </w:r>
      <w:r w:rsidR="00615860">
        <w:t>i</w:t>
      </w:r>
      <w:r w:rsidR="00615860" w:rsidRPr="00A927B0">
        <w:t xml:space="preserve">ntolerance was reported in 8.9% of the subjects enrolled into Study A3921125 as the only </w:t>
      </w:r>
      <w:r w:rsidR="00615860" w:rsidRPr="00A927B0">
        <w:lastRenderedPageBreak/>
        <w:t xml:space="preserve">reason for </w:t>
      </w:r>
      <w:r w:rsidR="009E0948" w:rsidRPr="00A927B0">
        <w:t>TNF</w:t>
      </w:r>
      <w:r w:rsidR="009E0948">
        <w:t>I</w:t>
      </w:r>
      <w:r w:rsidR="009E0948" w:rsidRPr="00A927B0">
        <w:t xml:space="preserve"> </w:t>
      </w:r>
      <w:r w:rsidR="00615860" w:rsidRPr="00A927B0">
        <w:t xml:space="preserve">discontinuation, 14.2% of subjects </w:t>
      </w:r>
      <w:r w:rsidR="00615860" w:rsidRPr="0056332B">
        <w:t>reported both lack of efficacy and intol</w:t>
      </w:r>
      <w:r w:rsidR="00615860">
        <w:t>erance to at least 1 prior TNF</w:t>
      </w:r>
      <w:r w:rsidR="009E0948">
        <w:t>I</w:t>
      </w:r>
      <w:r w:rsidR="00077BCB">
        <w:t xml:space="preserve">. </w:t>
      </w:r>
      <w:r w:rsidR="00615860" w:rsidRPr="0056332B">
        <w:t xml:space="preserve">Since there were subjects who participated in the </w:t>
      </w:r>
      <w:r w:rsidR="00615860" w:rsidRPr="00A927B0">
        <w:t>pivotal studies who experienced intolerance</w:t>
      </w:r>
      <w:r w:rsidR="00615860">
        <w:t xml:space="preserve"> </w:t>
      </w:r>
      <w:r w:rsidR="00615860" w:rsidRPr="00A927B0">
        <w:t>to a prior DMARD (</w:t>
      </w:r>
      <w:proofErr w:type="spellStart"/>
      <w:r w:rsidR="00615860" w:rsidRPr="00A927B0">
        <w:t>csDMARD</w:t>
      </w:r>
      <w:proofErr w:type="spellEnd"/>
      <w:r w:rsidR="00615860" w:rsidRPr="00A927B0">
        <w:t xml:space="preserve"> or TNF</w:t>
      </w:r>
      <w:r w:rsidR="009E0948">
        <w:t>I</w:t>
      </w:r>
      <w:r w:rsidR="00615860" w:rsidRPr="00A927B0">
        <w:t>) as per study inclusion criteria, we believe the</w:t>
      </w:r>
      <w:r w:rsidR="00615860">
        <w:t xml:space="preserve"> </w:t>
      </w:r>
      <w:r w:rsidR="00615860" w:rsidRPr="00A927B0">
        <w:t>statement in the PI, as written, is an accurate reflection of the data.</w:t>
      </w:r>
      <w:r>
        <w:t>’</w:t>
      </w:r>
    </w:p>
    <w:p w14:paraId="4C2767EF" w14:textId="77777777" w:rsidR="00615860" w:rsidRDefault="00615860" w:rsidP="008978B8">
      <w:r w:rsidRPr="00A927B0">
        <w:t xml:space="preserve">However, the </w:t>
      </w:r>
      <w:r w:rsidR="00077BCB">
        <w:t>s</w:t>
      </w:r>
      <w:r w:rsidRPr="00A927B0">
        <w:t xml:space="preserve">ponsor </w:t>
      </w:r>
      <w:r>
        <w:t xml:space="preserve">has </w:t>
      </w:r>
      <w:r w:rsidRPr="00A927B0">
        <w:t xml:space="preserve">agreed to the evaluator’s </w:t>
      </w:r>
      <w:r>
        <w:t>proposed wording, noting</w:t>
      </w:r>
      <w:r w:rsidRPr="00A927B0">
        <w:t xml:space="preserve"> that </w:t>
      </w:r>
      <w:r>
        <w:t xml:space="preserve">the indications for </w:t>
      </w:r>
      <w:r w:rsidRPr="00A927B0">
        <w:t xml:space="preserve">other targeted DMARDs approved for </w:t>
      </w:r>
      <w:proofErr w:type="spellStart"/>
      <w:r w:rsidRPr="00A927B0">
        <w:t>PsA</w:t>
      </w:r>
      <w:proofErr w:type="spellEnd"/>
      <w:r w:rsidRPr="00A927B0">
        <w:t xml:space="preserve"> in Australia do not delineate inadequate response due to inadequate efficacy from intolerance.</w:t>
      </w:r>
    </w:p>
    <w:p w14:paraId="1ECB2912" w14:textId="12D0ACA0" w:rsidR="00615860" w:rsidRDefault="00615860" w:rsidP="008978B8">
      <w:pPr>
        <w:rPr>
          <w:rFonts w:cs="Calibri"/>
          <w:bCs/>
          <w:color w:val="000000"/>
        </w:rPr>
      </w:pPr>
      <w:r>
        <w:rPr>
          <w:rFonts w:cs="Calibri"/>
          <w:bCs/>
          <w:color w:val="000000"/>
        </w:rPr>
        <w:t xml:space="preserve">The proposed relocation of the sentence regarding specialist involvement from </w:t>
      </w:r>
      <w:r w:rsidRPr="007E5F52">
        <w:rPr>
          <w:rFonts w:cs="Calibri"/>
          <w:bCs/>
          <w:i/>
          <w:color w:val="000000"/>
        </w:rPr>
        <w:t>section 4.1</w:t>
      </w:r>
      <w:r>
        <w:rPr>
          <w:rFonts w:cs="Calibri"/>
          <w:bCs/>
          <w:color w:val="000000"/>
        </w:rPr>
        <w:t xml:space="preserve"> to </w:t>
      </w:r>
      <w:r w:rsidRPr="007E5F52">
        <w:rPr>
          <w:rFonts w:cs="Calibri"/>
          <w:bCs/>
          <w:i/>
          <w:color w:val="000000"/>
        </w:rPr>
        <w:t>section 4.2</w:t>
      </w:r>
      <w:r>
        <w:rPr>
          <w:rFonts w:cs="Calibri"/>
          <w:bCs/>
          <w:color w:val="000000"/>
        </w:rPr>
        <w:t xml:space="preserve"> of the PI is reasonable when considered in the context of the safety profile of </w:t>
      </w:r>
      <w:proofErr w:type="spellStart"/>
      <w:r>
        <w:rPr>
          <w:rFonts w:cs="Calibri"/>
          <w:bCs/>
          <w:color w:val="000000"/>
        </w:rPr>
        <w:t>tofacitinib</w:t>
      </w:r>
      <w:proofErr w:type="spellEnd"/>
      <w:r>
        <w:rPr>
          <w:rFonts w:cs="Calibri"/>
          <w:bCs/>
          <w:color w:val="000000"/>
        </w:rPr>
        <w:t xml:space="preserve"> since registration. </w:t>
      </w:r>
      <w:r w:rsidRPr="00EA0FE3">
        <w:rPr>
          <w:rFonts w:cs="Calibri"/>
          <w:bCs/>
          <w:color w:val="000000"/>
        </w:rPr>
        <w:t xml:space="preserve">The sponsor provided the </w:t>
      </w:r>
      <w:r>
        <w:rPr>
          <w:rFonts w:cs="Calibri"/>
          <w:bCs/>
          <w:color w:val="000000"/>
        </w:rPr>
        <w:t>PIs</w:t>
      </w:r>
      <w:r w:rsidRPr="00EA0FE3">
        <w:rPr>
          <w:rFonts w:cs="Calibri"/>
          <w:bCs/>
          <w:color w:val="000000"/>
        </w:rPr>
        <w:t xml:space="preserve"> of </w:t>
      </w:r>
      <w:r>
        <w:rPr>
          <w:rFonts w:cs="Calibri"/>
          <w:bCs/>
          <w:color w:val="000000"/>
        </w:rPr>
        <w:t>other</w:t>
      </w:r>
      <w:r w:rsidRPr="00EA0FE3">
        <w:rPr>
          <w:rFonts w:cs="Calibri"/>
          <w:bCs/>
          <w:color w:val="000000"/>
        </w:rPr>
        <w:t xml:space="preserve"> approved treatments for </w:t>
      </w:r>
      <w:proofErr w:type="spellStart"/>
      <w:r w:rsidRPr="00EA0FE3">
        <w:rPr>
          <w:rFonts w:cs="Calibri"/>
          <w:bCs/>
          <w:color w:val="000000"/>
        </w:rPr>
        <w:t>PsA</w:t>
      </w:r>
      <w:proofErr w:type="spellEnd"/>
      <w:r w:rsidRPr="00EA0FE3">
        <w:rPr>
          <w:rFonts w:cs="Calibri"/>
          <w:bCs/>
          <w:color w:val="000000"/>
        </w:rPr>
        <w:t xml:space="preserve"> in Australia, and none include th</w:t>
      </w:r>
      <w:r>
        <w:rPr>
          <w:rFonts w:cs="Calibri"/>
          <w:bCs/>
          <w:color w:val="000000"/>
        </w:rPr>
        <w:t>at</w:t>
      </w:r>
      <w:r w:rsidRPr="00EA0FE3">
        <w:rPr>
          <w:rFonts w:cs="Calibri"/>
          <w:bCs/>
          <w:color w:val="000000"/>
        </w:rPr>
        <w:t xml:space="preserve"> precaution in the indication.</w:t>
      </w:r>
      <w:r w:rsidRPr="00777F06">
        <w:rPr>
          <w:rFonts w:cs="Calibri"/>
          <w:bCs/>
          <w:color w:val="000000"/>
        </w:rPr>
        <w:t xml:space="preserve"> </w:t>
      </w:r>
      <w:r>
        <w:rPr>
          <w:rFonts w:cs="Calibri"/>
          <w:bCs/>
          <w:color w:val="000000"/>
        </w:rPr>
        <w:t xml:space="preserve">Rheumatologist (or specialist physician with expertise in the condition) involvement in the initiation and monitoring of therapy with </w:t>
      </w:r>
      <w:proofErr w:type="spellStart"/>
      <w:r>
        <w:rPr>
          <w:rFonts w:cs="Calibri"/>
          <w:bCs/>
          <w:color w:val="000000"/>
        </w:rPr>
        <w:t>tofacitinib</w:t>
      </w:r>
      <w:proofErr w:type="spellEnd"/>
      <w:r>
        <w:rPr>
          <w:rFonts w:cs="Calibri"/>
          <w:bCs/>
          <w:color w:val="000000"/>
        </w:rPr>
        <w:t xml:space="preserve"> remains essential, but it is appropriate for this guidance to be removed from the indication and relocated to </w:t>
      </w:r>
      <w:r w:rsidRPr="007E5F52">
        <w:rPr>
          <w:rFonts w:cs="Calibri"/>
          <w:bCs/>
          <w:i/>
          <w:color w:val="000000"/>
        </w:rPr>
        <w:t>section 4.2</w:t>
      </w:r>
      <w:r>
        <w:rPr>
          <w:rFonts w:cs="Calibri"/>
          <w:bCs/>
          <w:color w:val="000000"/>
        </w:rPr>
        <w:t xml:space="preserve"> (noting that the same message is repeated in </w:t>
      </w:r>
      <w:r w:rsidRPr="007E5F52">
        <w:rPr>
          <w:rFonts w:cs="Calibri"/>
          <w:bCs/>
          <w:i/>
          <w:color w:val="000000"/>
        </w:rPr>
        <w:t>section 4.4 Special War</w:t>
      </w:r>
      <w:r w:rsidR="00077BCB" w:rsidRPr="007E5F52">
        <w:rPr>
          <w:rFonts w:cs="Calibri"/>
          <w:bCs/>
          <w:i/>
          <w:color w:val="000000"/>
        </w:rPr>
        <w:t>nings and Precautions For Use</w:t>
      </w:r>
      <w:r w:rsidR="00077BCB">
        <w:rPr>
          <w:rFonts w:cs="Calibri"/>
          <w:bCs/>
          <w:color w:val="000000"/>
        </w:rPr>
        <w:t>).</w:t>
      </w:r>
    </w:p>
    <w:p w14:paraId="72F36AEE" w14:textId="77777777" w:rsidR="00615860" w:rsidRDefault="00615860" w:rsidP="008C58C9">
      <w:pPr>
        <w:pStyle w:val="Heading6"/>
      </w:pPr>
      <w:r>
        <w:t>Proposed dosage</w:t>
      </w:r>
    </w:p>
    <w:p w14:paraId="7F5A3307" w14:textId="77777777" w:rsidR="00615860" w:rsidRDefault="00615860" w:rsidP="00615860">
      <w:pPr>
        <w:rPr>
          <w:noProof/>
          <w:lang w:eastAsia="en-AU"/>
        </w:rPr>
      </w:pPr>
      <w:r>
        <w:rPr>
          <w:noProof/>
          <w:lang w:eastAsia="en-AU"/>
        </w:rPr>
        <w:t xml:space="preserve">The data from the pivotal studies support the proposed 5 mg </w:t>
      </w:r>
      <w:r w:rsidR="003A1B70">
        <w:rPr>
          <w:noProof/>
          <w:lang w:eastAsia="en-AU"/>
        </w:rPr>
        <w:t>BD</w:t>
      </w:r>
      <w:r>
        <w:rPr>
          <w:noProof/>
          <w:lang w:eastAsia="en-AU"/>
        </w:rPr>
        <w:t xml:space="preserve"> dosage for PsA. </w:t>
      </w:r>
      <w:r>
        <w:t>The same dosage is a</w:t>
      </w:r>
      <w:r w:rsidR="00077BCB">
        <w:t xml:space="preserve">pproved for </w:t>
      </w:r>
      <w:proofErr w:type="spellStart"/>
      <w:r w:rsidR="00077BCB">
        <w:t>PsA</w:t>
      </w:r>
      <w:proofErr w:type="spellEnd"/>
      <w:r w:rsidR="00077BCB">
        <w:t xml:space="preserve"> in EU and USA.</w:t>
      </w:r>
    </w:p>
    <w:p w14:paraId="42649C70" w14:textId="77777777" w:rsidR="00615860" w:rsidRDefault="00615860" w:rsidP="008C58C9">
      <w:pPr>
        <w:pStyle w:val="Heading6"/>
      </w:pPr>
      <w:r>
        <w:t>Deficiencies of the data</w:t>
      </w:r>
    </w:p>
    <w:p w14:paraId="28D24922" w14:textId="7FE12CA8" w:rsidR="00615860" w:rsidRDefault="00615860" w:rsidP="00615860">
      <w:pPr>
        <w:autoSpaceDE w:val="0"/>
        <w:autoSpaceDN w:val="0"/>
        <w:adjustRightInd w:val="0"/>
        <w:spacing w:line="240" w:lineRule="auto"/>
        <w:rPr>
          <w:rFonts w:asciiTheme="minorHAnsi" w:eastAsiaTheme="minorHAnsi" w:hAnsiTheme="minorHAnsi" w:cs="TimesNewRomanPSMT"/>
        </w:rPr>
      </w:pPr>
      <w:r w:rsidRPr="00C909DA">
        <w:rPr>
          <w:rFonts w:asciiTheme="minorHAnsi" w:eastAsiaTheme="minorHAnsi" w:hAnsiTheme="minorHAnsi" w:cs="TimesNewRomanPSMT"/>
        </w:rPr>
        <w:t xml:space="preserve">The efficacy of </w:t>
      </w:r>
      <w:r w:rsidR="00077BCB" w:rsidRPr="00C909DA">
        <w:rPr>
          <w:rFonts w:asciiTheme="minorHAnsi" w:eastAsiaTheme="minorHAnsi" w:hAnsiTheme="minorHAnsi" w:cs="TimesNewRomanPSMT"/>
        </w:rPr>
        <w:t>Xeljanz</w:t>
      </w:r>
      <w:r w:rsidRPr="00C909DA">
        <w:rPr>
          <w:rFonts w:asciiTheme="minorHAnsi" w:eastAsiaTheme="minorHAnsi" w:hAnsiTheme="minorHAnsi" w:cs="TimesNewRomanPSMT"/>
        </w:rPr>
        <w:t xml:space="preserve"> as monotherapy has not been studied in patients with </w:t>
      </w:r>
      <w:proofErr w:type="spellStart"/>
      <w:r w:rsidRPr="00C909DA">
        <w:rPr>
          <w:rFonts w:asciiTheme="minorHAnsi" w:eastAsiaTheme="minorHAnsi" w:hAnsiTheme="minorHAnsi" w:cs="TimesNewRomanPSMT"/>
        </w:rPr>
        <w:t>PsA.</w:t>
      </w:r>
      <w:proofErr w:type="spellEnd"/>
      <w:r w:rsidR="00077BCB">
        <w:rPr>
          <w:rFonts w:asciiTheme="minorHAnsi" w:eastAsiaTheme="minorHAnsi" w:hAnsiTheme="minorHAnsi" w:cs="TimesNewRomanPSMT"/>
        </w:rPr>
        <w:t xml:space="preserve"> </w:t>
      </w:r>
      <w:r>
        <w:rPr>
          <w:rFonts w:asciiTheme="minorHAnsi" w:eastAsiaTheme="minorHAnsi" w:hAnsiTheme="minorHAnsi" w:cs="TimesNewRomanPSMT"/>
        </w:rPr>
        <w:t>A</w:t>
      </w:r>
      <w:r w:rsidR="009E0948">
        <w:rPr>
          <w:rFonts w:asciiTheme="minorHAnsi" w:eastAsiaTheme="minorHAnsi" w:hAnsiTheme="minorHAnsi" w:cs="TimesNewRomanPSMT"/>
        </w:rPr>
        <w:t> </w:t>
      </w:r>
      <w:r>
        <w:rPr>
          <w:rFonts w:asciiTheme="minorHAnsi" w:eastAsiaTheme="minorHAnsi" w:hAnsiTheme="minorHAnsi" w:cs="TimesNewRomanPSMT"/>
        </w:rPr>
        <w:t>statement to this effect has been included in section 4.4 of the PI.</w:t>
      </w:r>
    </w:p>
    <w:p w14:paraId="264C6C07" w14:textId="77777777" w:rsidR="00615860" w:rsidRPr="00C909DA" w:rsidRDefault="00615860" w:rsidP="00615860">
      <w:pPr>
        <w:autoSpaceDE w:val="0"/>
        <w:autoSpaceDN w:val="0"/>
        <w:adjustRightInd w:val="0"/>
        <w:spacing w:line="240" w:lineRule="auto"/>
        <w:rPr>
          <w:rFonts w:asciiTheme="minorHAnsi" w:eastAsiaTheme="minorHAnsi" w:hAnsiTheme="minorHAnsi" w:cs="TimesNewRomanPSMT"/>
        </w:rPr>
      </w:pPr>
      <w:r>
        <w:rPr>
          <w:rFonts w:asciiTheme="minorHAnsi" w:eastAsiaTheme="minorHAnsi" w:hAnsiTheme="minorHAnsi" w:cs="TimesNewRomanPSMT"/>
        </w:rPr>
        <w:t xml:space="preserve">The majority of subjects in the </w:t>
      </w:r>
      <w:proofErr w:type="spellStart"/>
      <w:r>
        <w:rPr>
          <w:rFonts w:asciiTheme="minorHAnsi" w:eastAsiaTheme="minorHAnsi" w:hAnsiTheme="minorHAnsi" w:cs="TimesNewRomanPSMT"/>
        </w:rPr>
        <w:t>PsA</w:t>
      </w:r>
      <w:proofErr w:type="spellEnd"/>
      <w:r>
        <w:rPr>
          <w:rFonts w:asciiTheme="minorHAnsi" w:eastAsiaTheme="minorHAnsi" w:hAnsiTheme="minorHAnsi" w:cs="TimesNewRomanPSMT"/>
        </w:rPr>
        <w:t xml:space="preserve"> pivotal studies were White, so safety and efficacy data for other racial groups are very limited.</w:t>
      </w:r>
    </w:p>
    <w:p w14:paraId="5CD917BE" w14:textId="77777777" w:rsidR="00615860" w:rsidRDefault="00615860" w:rsidP="008C58C9">
      <w:pPr>
        <w:pStyle w:val="Heading6"/>
      </w:pPr>
      <w:r>
        <w:t>Conditions of registration</w:t>
      </w:r>
    </w:p>
    <w:p w14:paraId="0F70ADA4" w14:textId="77777777" w:rsidR="00615860" w:rsidRPr="00154291" w:rsidRDefault="00615860" w:rsidP="00077BCB">
      <w:pPr>
        <w:ind w:left="720"/>
      </w:pPr>
      <w:bookmarkStart w:id="202" w:name="_Ref521400578"/>
      <w:r w:rsidRPr="00154291">
        <w:t xml:space="preserve">The </w:t>
      </w:r>
      <w:r w:rsidRPr="00077BCB">
        <w:t>Xeljanz</w:t>
      </w:r>
      <w:r w:rsidRPr="00154291">
        <w:rPr>
          <w:smallCaps/>
        </w:rPr>
        <w:t xml:space="preserve"> </w:t>
      </w:r>
      <w:r w:rsidRPr="00154291">
        <w:t xml:space="preserve">EU-Risk Management Plan (RMP) </w:t>
      </w:r>
      <w:r w:rsidRPr="00154291">
        <w:rPr>
          <w:kern w:val="2"/>
        </w:rPr>
        <w:t xml:space="preserve">version 3.0 (date 26 July 2017; </w:t>
      </w:r>
      <w:r w:rsidR="00077BCB">
        <w:rPr>
          <w:kern w:val="2"/>
        </w:rPr>
        <w:t>data lock point</w:t>
      </w:r>
      <w:r w:rsidRPr="00154291">
        <w:rPr>
          <w:kern w:val="2"/>
        </w:rPr>
        <w:t xml:space="preserve"> 7 March 2017) </w:t>
      </w:r>
      <w:r w:rsidRPr="00154291">
        <w:t>with Australian Specific Annex version</w:t>
      </w:r>
      <w:r w:rsidRPr="00154291">
        <w:rPr>
          <w:kern w:val="2"/>
        </w:rPr>
        <w:t xml:space="preserve"> 1.0 (date 27 September 2017</w:t>
      </w:r>
      <w:r w:rsidRPr="00154291">
        <w:t>), included with submission PM-2017-03802-1-3, to be revised to the satisfaction of the TGA, will be implemented in Australia.</w:t>
      </w:r>
      <w:bookmarkEnd w:id="202"/>
    </w:p>
    <w:p w14:paraId="70C22958" w14:textId="77777777" w:rsidR="00615860" w:rsidRDefault="00615860" w:rsidP="008C58C9">
      <w:pPr>
        <w:pStyle w:val="Heading6"/>
      </w:pPr>
      <w:r w:rsidRPr="005529C3">
        <w:t>Conclusion</w:t>
      </w:r>
    </w:p>
    <w:p w14:paraId="63B8FAB8" w14:textId="77777777" w:rsidR="00615860" w:rsidRDefault="00615860" w:rsidP="00077BCB">
      <w:r>
        <w:t xml:space="preserve">The two pivotal studies have satisfactorily demonstrated the efficacy of </w:t>
      </w:r>
      <w:proofErr w:type="spellStart"/>
      <w:r>
        <w:t>tofacitinib</w:t>
      </w:r>
      <w:proofErr w:type="spellEnd"/>
      <w:r>
        <w:t xml:space="preserve"> when used in combination with a </w:t>
      </w:r>
      <w:proofErr w:type="spellStart"/>
      <w:r>
        <w:t>csDMARD</w:t>
      </w:r>
      <w:proofErr w:type="spellEnd"/>
      <w:r>
        <w:t xml:space="preserve"> in </w:t>
      </w:r>
      <w:r w:rsidR="00077BCB">
        <w:t xml:space="preserve">adult patients with active </w:t>
      </w:r>
      <w:proofErr w:type="spellStart"/>
      <w:r w:rsidR="00077BCB">
        <w:t>PsA.</w:t>
      </w:r>
      <w:proofErr w:type="spellEnd"/>
      <w:r>
        <w:t xml:space="preserve"> Study </w:t>
      </w:r>
      <w:r>
        <w:rPr>
          <w:lang w:eastAsia="ja-JP"/>
        </w:rPr>
        <w:t>A3921091</w:t>
      </w:r>
      <w:r>
        <w:t xml:space="preserve"> demonstrated a benefit in patients who have had an inadequate response to </w:t>
      </w:r>
      <w:proofErr w:type="spellStart"/>
      <w:r>
        <w:t>csDMARD</w:t>
      </w:r>
      <w:proofErr w:type="spellEnd"/>
      <w:r>
        <w:t xml:space="preserve"> therapy (no prior TNFI) and Study </w:t>
      </w:r>
      <w:r>
        <w:rPr>
          <w:lang w:eastAsia="ja-JP"/>
        </w:rPr>
        <w:t xml:space="preserve">A3921125 </w:t>
      </w:r>
      <w:r>
        <w:t>demonstrated a benefit in patients who have had an inadequate response to TNFI therapy.</w:t>
      </w:r>
      <w:r w:rsidRPr="00EF7B0B">
        <w:t xml:space="preserve"> </w:t>
      </w:r>
      <w:r>
        <w:t xml:space="preserve">Tofacitinib 5 mg </w:t>
      </w:r>
      <w:r w:rsidR="003A1B70">
        <w:t>BD</w:t>
      </w:r>
      <w:r>
        <w:t xml:space="preserve"> and 10 mg </w:t>
      </w:r>
      <w:r w:rsidR="003A1B70">
        <w:t>BD</w:t>
      </w:r>
      <w:r>
        <w:t xml:space="preserve"> dosages were both superior to placebo, but a benefit of the 10 mg </w:t>
      </w:r>
      <w:r w:rsidR="003A1B70">
        <w:t>BD</w:t>
      </w:r>
      <w:r>
        <w:t xml:space="preserve"> dosage over the 5 mg </w:t>
      </w:r>
      <w:r w:rsidR="003A1B70">
        <w:t>BD</w:t>
      </w:r>
      <w:r>
        <w:t xml:space="preserve"> do</w:t>
      </w:r>
      <w:r w:rsidR="000D1D48">
        <w:t xml:space="preserve">sage has not been established. </w:t>
      </w:r>
      <w:r>
        <w:t xml:space="preserve">Efficacy of </w:t>
      </w:r>
      <w:proofErr w:type="spellStart"/>
      <w:r>
        <w:t>tofacitinib</w:t>
      </w:r>
      <w:proofErr w:type="spellEnd"/>
      <w:r>
        <w:t xml:space="preserve"> as monotherapy in </w:t>
      </w:r>
      <w:proofErr w:type="spellStart"/>
      <w:r>
        <w:t>PsA</w:t>
      </w:r>
      <w:proofErr w:type="spellEnd"/>
      <w:r>
        <w:t xml:space="preserve"> has not been demonstrated.</w:t>
      </w:r>
    </w:p>
    <w:p w14:paraId="4A775875" w14:textId="77777777" w:rsidR="00615860" w:rsidRDefault="00615860" w:rsidP="00077BCB">
      <w:pPr>
        <w:rPr>
          <w:lang w:eastAsia="ja-JP"/>
        </w:rPr>
      </w:pPr>
      <w:r>
        <w:rPr>
          <w:lang w:eastAsia="ja-JP"/>
        </w:rPr>
        <w:t xml:space="preserve">The proposed 5 mg </w:t>
      </w:r>
      <w:r w:rsidR="003A1B70">
        <w:rPr>
          <w:lang w:eastAsia="ja-JP"/>
        </w:rPr>
        <w:t>BD</w:t>
      </w:r>
      <w:r>
        <w:rPr>
          <w:lang w:eastAsia="ja-JP"/>
        </w:rPr>
        <w:t xml:space="preserve"> dose of </w:t>
      </w:r>
      <w:proofErr w:type="spellStart"/>
      <w:r>
        <w:rPr>
          <w:lang w:eastAsia="ja-JP"/>
        </w:rPr>
        <w:t>tofacitinib</w:t>
      </w:r>
      <w:proofErr w:type="spellEnd"/>
      <w:r>
        <w:rPr>
          <w:lang w:eastAsia="ja-JP"/>
        </w:rPr>
        <w:t xml:space="preserve"> has an acceptable safety profile in </w:t>
      </w:r>
      <w:proofErr w:type="spellStart"/>
      <w:r>
        <w:rPr>
          <w:lang w:eastAsia="ja-JP"/>
        </w:rPr>
        <w:t>PsA</w:t>
      </w:r>
      <w:proofErr w:type="spellEnd"/>
      <w:r>
        <w:rPr>
          <w:lang w:eastAsia="ja-JP"/>
        </w:rPr>
        <w:t xml:space="preserve">, similar to the established safety </w:t>
      </w:r>
      <w:r w:rsidR="00077BCB">
        <w:rPr>
          <w:lang w:eastAsia="ja-JP"/>
        </w:rPr>
        <w:t xml:space="preserve">profile of </w:t>
      </w:r>
      <w:proofErr w:type="spellStart"/>
      <w:r w:rsidR="00077BCB">
        <w:rPr>
          <w:lang w:eastAsia="ja-JP"/>
        </w:rPr>
        <w:t>tofacitinib</w:t>
      </w:r>
      <w:proofErr w:type="spellEnd"/>
      <w:r w:rsidR="00077BCB">
        <w:rPr>
          <w:lang w:eastAsia="ja-JP"/>
        </w:rPr>
        <w:t xml:space="preserve"> in RA.</w:t>
      </w:r>
    </w:p>
    <w:p w14:paraId="5F8964C2" w14:textId="77777777" w:rsidR="00615860" w:rsidRPr="00615860" w:rsidRDefault="00615860" w:rsidP="00615860">
      <w:pPr>
        <w:pStyle w:val="Heading5"/>
      </w:pPr>
      <w:r>
        <w:t>Summary of issues</w:t>
      </w:r>
    </w:p>
    <w:p w14:paraId="34EB41AA" w14:textId="77777777" w:rsidR="00456765" w:rsidRPr="00456765" w:rsidRDefault="00615860" w:rsidP="000D1D48">
      <w:r>
        <w:t xml:space="preserve">The efficacy and safety of </w:t>
      </w:r>
      <w:proofErr w:type="spellStart"/>
      <w:r>
        <w:t>tofacitinib</w:t>
      </w:r>
      <w:proofErr w:type="spellEnd"/>
      <w:r>
        <w:t xml:space="preserve"> 5 mg </w:t>
      </w:r>
      <w:r w:rsidR="003A1B70">
        <w:t>BD</w:t>
      </w:r>
      <w:r>
        <w:t xml:space="preserve"> in combination with </w:t>
      </w:r>
      <w:proofErr w:type="spellStart"/>
      <w:r>
        <w:t>csDMARDs</w:t>
      </w:r>
      <w:proofErr w:type="spellEnd"/>
      <w:r>
        <w:t xml:space="preserve"> in adults with active </w:t>
      </w:r>
      <w:proofErr w:type="spellStart"/>
      <w:r>
        <w:t>PsA</w:t>
      </w:r>
      <w:proofErr w:type="spellEnd"/>
      <w:r>
        <w:t xml:space="preserve"> has been satisfactorily demons</w:t>
      </w:r>
      <w:r w:rsidR="000D1D48">
        <w:t xml:space="preserve">trated in two pivotal studies. </w:t>
      </w:r>
      <w:r>
        <w:t xml:space="preserve">The proposed indication for </w:t>
      </w:r>
      <w:proofErr w:type="spellStart"/>
      <w:r>
        <w:t>PsA</w:t>
      </w:r>
      <w:proofErr w:type="spellEnd"/>
      <w:r>
        <w:t xml:space="preserve"> has been modified in response to the clinical evaluator’s recommendations.</w:t>
      </w:r>
    </w:p>
    <w:p w14:paraId="4042F2C5" w14:textId="77777777" w:rsidR="00D23139" w:rsidRDefault="00D23139" w:rsidP="00D23139">
      <w:pPr>
        <w:pStyle w:val="Heading4"/>
      </w:pPr>
      <w:r w:rsidRPr="00D23139">
        <w:lastRenderedPageBreak/>
        <w:t>Proposed action</w:t>
      </w:r>
    </w:p>
    <w:p w14:paraId="63684B80" w14:textId="77777777" w:rsidR="00615860" w:rsidRDefault="00615860" w:rsidP="00615860">
      <w:r>
        <w:t xml:space="preserve">Subject to the advice of ACM, </w:t>
      </w:r>
      <w:r w:rsidR="000D1D48">
        <w:t>the Delegate</w:t>
      </w:r>
      <w:r>
        <w:t xml:space="preserve"> propose</w:t>
      </w:r>
      <w:r w:rsidR="000D1D48">
        <w:t>s</w:t>
      </w:r>
      <w:r>
        <w:t xml:space="preserve"> to approve the revised indication:</w:t>
      </w:r>
    </w:p>
    <w:p w14:paraId="7DA0B04E" w14:textId="77777777" w:rsidR="000D1D48" w:rsidRPr="008978B8" w:rsidRDefault="000D1D48" w:rsidP="000D1D48">
      <w:pPr>
        <w:ind w:left="720"/>
        <w:rPr>
          <w:rFonts w:eastAsiaTheme="minorHAnsi" w:cs="TimesNewRomanPSMT"/>
          <w:i/>
        </w:rPr>
      </w:pPr>
      <w:r w:rsidRPr="008978B8">
        <w:rPr>
          <w:rFonts w:eastAsiaTheme="minorHAnsi" w:cs="TimesNewRomanPSMT"/>
          <w:i/>
        </w:rPr>
        <w:t>Psoriatic Arthritis</w:t>
      </w:r>
    </w:p>
    <w:p w14:paraId="1898A2F0" w14:textId="77777777" w:rsidR="00456765" w:rsidRPr="000D1D48" w:rsidRDefault="000D1D48" w:rsidP="000D1D48">
      <w:pPr>
        <w:ind w:left="720"/>
        <w:rPr>
          <w:i/>
        </w:rPr>
      </w:pPr>
      <w:r w:rsidRPr="000D1D48">
        <w:rPr>
          <w:rFonts w:eastAsiaTheme="minorHAnsi" w:cs="TimesNewRomanPSMT"/>
          <w:i/>
        </w:rPr>
        <w:t xml:space="preserve">Xeljanz </w:t>
      </w:r>
      <w:r w:rsidR="00615860" w:rsidRPr="000D1D48">
        <w:rPr>
          <w:i/>
          <w:lang w:eastAsia="ja-JP"/>
        </w:rPr>
        <w:t xml:space="preserve">in combination with </w:t>
      </w:r>
      <w:proofErr w:type="spellStart"/>
      <w:r w:rsidR="00615860" w:rsidRPr="000D1D48">
        <w:rPr>
          <w:i/>
          <w:lang w:eastAsia="ja-JP"/>
        </w:rPr>
        <w:t>nonbiological</w:t>
      </w:r>
      <w:proofErr w:type="spellEnd"/>
      <w:r w:rsidR="00615860" w:rsidRPr="000D1D48">
        <w:rPr>
          <w:i/>
          <w:lang w:eastAsia="ja-JP"/>
        </w:rPr>
        <w:t xml:space="preserve"> DMARDs is indicated for the treatment of active psoriatic arthritis in adult patients who have had an inadequate response to a prior DMARD therapy.</w:t>
      </w:r>
    </w:p>
    <w:p w14:paraId="32AF9BBE" w14:textId="77777777" w:rsidR="00D23139" w:rsidRDefault="00A22D57" w:rsidP="00D23139">
      <w:pPr>
        <w:pStyle w:val="Heading4"/>
      </w:pPr>
      <w:r>
        <w:t>Request for AC</w:t>
      </w:r>
      <w:r w:rsidR="00D23139" w:rsidRPr="00D23139">
        <w:t>M advice</w:t>
      </w:r>
    </w:p>
    <w:p w14:paraId="15F6979A" w14:textId="23B6A4D7" w:rsidR="00615860" w:rsidRDefault="00615860" w:rsidP="000D1D48">
      <w:pPr>
        <w:pStyle w:val="Numberbullet0"/>
        <w:numPr>
          <w:ilvl w:val="0"/>
          <w:numId w:val="28"/>
        </w:numPr>
      </w:pPr>
      <w:r>
        <w:t>What is the committee’s opinion rega</w:t>
      </w:r>
      <w:r w:rsidR="000D1D48">
        <w:t xml:space="preserve">rding the proposed indication? </w:t>
      </w:r>
      <w:r>
        <w:t xml:space="preserve">Does the committee agree with the addition of </w:t>
      </w:r>
      <w:r w:rsidR="00317963">
        <w:t>‘</w:t>
      </w:r>
      <w:r>
        <w:t>in combinati</w:t>
      </w:r>
      <w:r w:rsidR="000D1D48">
        <w:t xml:space="preserve">on with </w:t>
      </w:r>
      <w:proofErr w:type="spellStart"/>
      <w:r w:rsidR="000D1D48">
        <w:t>nonbiological</w:t>
      </w:r>
      <w:proofErr w:type="spellEnd"/>
      <w:r w:rsidR="000D1D48">
        <w:t xml:space="preserve"> DMARDs</w:t>
      </w:r>
      <w:r w:rsidR="00317963">
        <w:t>’</w:t>
      </w:r>
      <w:r w:rsidR="000D1D48">
        <w:t xml:space="preserve">? </w:t>
      </w:r>
      <w:r>
        <w:t xml:space="preserve">Does the committee anticipate any clinical issue arising from the removal of the phrase </w:t>
      </w:r>
      <w:r w:rsidR="00317963">
        <w:t>‘</w:t>
      </w:r>
      <w:r>
        <w:t>or who have been intoler</w:t>
      </w:r>
      <w:r w:rsidR="000D1D48">
        <w:t>ant</w:t>
      </w:r>
      <w:r w:rsidR="00317963">
        <w:t>’</w:t>
      </w:r>
      <w:r w:rsidR="000D1D48">
        <w:t xml:space="preserve"> from the </w:t>
      </w:r>
      <w:proofErr w:type="spellStart"/>
      <w:r w:rsidR="000D1D48">
        <w:t>PsA</w:t>
      </w:r>
      <w:proofErr w:type="spellEnd"/>
      <w:r w:rsidR="000D1D48">
        <w:t xml:space="preserve"> indication’?</w:t>
      </w:r>
    </w:p>
    <w:p w14:paraId="30229EAD" w14:textId="77777777" w:rsidR="00456765" w:rsidRDefault="00615860" w:rsidP="000D1D48">
      <w:r>
        <w:t xml:space="preserve">The committee is </w:t>
      </w:r>
      <w:r w:rsidRPr="007F38DB">
        <w:t>also requested to provide advice on any other issues that it thinks may be relevant to a decision on whether or not to approve this application.</w:t>
      </w:r>
    </w:p>
    <w:p w14:paraId="3B2E2160" w14:textId="77777777" w:rsidR="00615860" w:rsidRDefault="00615860" w:rsidP="00615860">
      <w:pPr>
        <w:pStyle w:val="Heading4"/>
      </w:pPr>
      <w:bookmarkStart w:id="203" w:name="_Toc523476084"/>
      <w:r>
        <w:t>Questions for sponsor</w:t>
      </w:r>
      <w:bookmarkEnd w:id="203"/>
    </w:p>
    <w:p w14:paraId="73C32122" w14:textId="77777777" w:rsidR="00615860" w:rsidRPr="00456765" w:rsidRDefault="00615860" w:rsidP="000D1D48">
      <w:pPr>
        <w:pStyle w:val="Numberbullet0"/>
        <w:numPr>
          <w:ilvl w:val="0"/>
          <w:numId w:val="29"/>
        </w:numPr>
      </w:pPr>
      <w:r>
        <w:t xml:space="preserve">Please confirm your response to recommendations 4 and 5 in the </w:t>
      </w:r>
      <w:r w:rsidR="000D1D48">
        <w:t>second round</w:t>
      </w:r>
      <w:r>
        <w:t xml:space="preserve"> RMP report.</w:t>
      </w:r>
    </w:p>
    <w:p w14:paraId="1FDB1D93" w14:textId="77777777" w:rsidR="00D23139" w:rsidRDefault="002D6420" w:rsidP="00D23139">
      <w:pPr>
        <w:pStyle w:val="Heading4"/>
      </w:pPr>
      <w:r>
        <w:t>Response from the s</w:t>
      </w:r>
      <w:r w:rsidR="00456765">
        <w:t>ponsor</w:t>
      </w:r>
    </w:p>
    <w:p w14:paraId="340A4C92" w14:textId="77777777" w:rsidR="00615860" w:rsidRDefault="000D1D48" w:rsidP="000D1D48">
      <w:pPr>
        <w:pStyle w:val="Heading5"/>
      </w:pPr>
      <w:r>
        <w:t>Introduction</w:t>
      </w:r>
    </w:p>
    <w:p w14:paraId="0A285169" w14:textId="77777777" w:rsidR="00615860" w:rsidRDefault="000D1D48" w:rsidP="000D1D48">
      <w:r>
        <w:t>The sponsor</w:t>
      </w:r>
      <w:r w:rsidR="00615860">
        <w:t xml:space="preserve"> welcomes and agrees with the Delegate’s assess</w:t>
      </w:r>
      <w:r>
        <w:t>ment under ‘Summary of Issue/s’</w:t>
      </w:r>
      <w:r w:rsidR="00615860">
        <w:t xml:space="preserve"> that the efficacy and safety of </w:t>
      </w:r>
      <w:proofErr w:type="spellStart"/>
      <w:r w:rsidR="00615860">
        <w:t>tofacitinib</w:t>
      </w:r>
      <w:proofErr w:type="spellEnd"/>
      <w:r w:rsidR="00615860">
        <w:t xml:space="preserve"> 5 mg twice daily in combination with conventional synthetic disease-modifying </w:t>
      </w:r>
      <w:proofErr w:type="spellStart"/>
      <w:r w:rsidR="00615860">
        <w:t>antirheumatic</w:t>
      </w:r>
      <w:proofErr w:type="spellEnd"/>
      <w:r w:rsidR="00615860">
        <w:t xml:space="preserve"> drugs (</w:t>
      </w:r>
      <w:proofErr w:type="spellStart"/>
      <w:r w:rsidR="00615860">
        <w:t>csDMARDs</w:t>
      </w:r>
      <w:proofErr w:type="spellEnd"/>
      <w:r w:rsidR="00615860">
        <w:t>) in adults with active psoriatic arthritis (</w:t>
      </w:r>
      <w:proofErr w:type="spellStart"/>
      <w:r w:rsidR="00615860">
        <w:t>PsA</w:t>
      </w:r>
      <w:proofErr w:type="spellEnd"/>
      <w:r w:rsidR="00615860">
        <w:t>) has been satisfactorily demonstrated in two pivotal studies.</w:t>
      </w:r>
    </w:p>
    <w:p w14:paraId="47C7F0DA" w14:textId="77777777" w:rsidR="000D1D48" w:rsidRDefault="000D1D48" w:rsidP="000D1D48">
      <w:r>
        <w:t>The sponsor</w:t>
      </w:r>
      <w:r w:rsidR="00615860">
        <w:t xml:space="preserve"> initially proposed the following </w:t>
      </w:r>
      <w:r>
        <w:t>indication in the application:</w:t>
      </w:r>
    </w:p>
    <w:p w14:paraId="5C6FAE84" w14:textId="77777777" w:rsidR="00615860" w:rsidRPr="000D1D48" w:rsidRDefault="000D1D48" w:rsidP="000D1D48">
      <w:pPr>
        <w:ind w:left="720"/>
        <w:rPr>
          <w:i/>
        </w:rPr>
      </w:pPr>
      <w:r w:rsidRPr="000D1D48">
        <w:rPr>
          <w:i/>
        </w:rPr>
        <w:t>Xeljanz</w:t>
      </w:r>
      <w:r w:rsidR="00615860" w:rsidRPr="000D1D48">
        <w:rPr>
          <w:i/>
        </w:rPr>
        <w:t xml:space="preserve"> is indicated for the treatment of active psoriatic arthritis in adult patients who have had an inadequate response or who have been intol</w:t>
      </w:r>
      <w:r w:rsidRPr="000D1D48">
        <w:rPr>
          <w:i/>
        </w:rPr>
        <w:t>erant to a prior DMARD therapy.</w:t>
      </w:r>
    </w:p>
    <w:p w14:paraId="4386D731" w14:textId="77777777" w:rsidR="000D1D48" w:rsidRDefault="00615860" w:rsidP="000D1D48">
      <w:r>
        <w:t>In response to the clinical evaluator’s recommendation, the prop</w:t>
      </w:r>
      <w:r w:rsidR="000D1D48">
        <w:t>osed indication was revised to:</w:t>
      </w:r>
    </w:p>
    <w:p w14:paraId="26FA5974" w14:textId="77777777" w:rsidR="00615860" w:rsidRPr="000D1D48" w:rsidRDefault="000D1D48" w:rsidP="000D1D48">
      <w:pPr>
        <w:ind w:left="720"/>
        <w:rPr>
          <w:i/>
        </w:rPr>
      </w:pPr>
      <w:r w:rsidRPr="000D1D48">
        <w:rPr>
          <w:i/>
        </w:rPr>
        <w:t xml:space="preserve">Xeljanz </w:t>
      </w:r>
      <w:r w:rsidR="00615860" w:rsidRPr="000D1D48">
        <w:rPr>
          <w:i/>
        </w:rPr>
        <w:t xml:space="preserve">in combination with </w:t>
      </w:r>
      <w:proofErr w:type="spellStart"/>
      <w:r w:rsidR="00615860" w:rsidRPr="000D1D48">
        <w:rPr>
          <w:i/>
        </w:rPr>
        <w:t>nonbiological</w:t>
      </w:r>
      <w:proofErr w:type="spellEnd"/>
      <w:r w:rsidR="00615860" w:rsidRPr="000D1D48">
        <w:rPr>
          <w:i/>
        </w:rPr>
        <w:t xml:space="preserve"> DMARDs is indicated for the treatment of active psoriatic arthritis in adult patients who have had an inadequate resp</w:t>
      </w:r>
      <w:r w:rsidRPr="000D1D48">
        <w:rPr>
          <w:i/>
        </w:rPr>
        <w:t>onse to a prior DMARD therapy.</w:t>
      </w:r>
    </w:p>
    <w:p w14:paraId="6D468B22" w14:textId="512264B5" w:rsidR="00615860" w:rsidRDefault="000D1D48" w:rsidP="000D1D48">
      <w:pPr>
        <w:pStyle w:val="Heading5"/>
      </w:pPr>
      <w:r>
        <w:t xml:space="preserve">Advice </w:t>
      </w:r>
      <w:r w:rsidR="0063014B">
        <w:t>s</w:t>
      </w:r>
      <w:r>
        <w:t>ought</w:t>
      </w:r>
    </w:p>
    <w:p w14:paraId="465488F1" w14:textId="77777777" w:rsidR="00615860" w:rsidRDefault="000D1D48" w:rsidP="00615860">
      <w:r>
        <w:t>The sponsor</w:t>
      </w:r>
      <w:r w:rsidR="00615860">
        <w:t xml:space="preserve"> acknowledges the Delegate’s request for advice from the Advisory Committee on Medicines (ACM) as follows.</w:t>
      </w:r>
    </w:p>
    <w:p w14:paraId="34166D7A" w14:textId="41B982AD" w:rsidR="00615860" w:rsidRPr="000D1D48" w:rsidRDefault="00615860" w:rsidP="000D1D48">
      <w:pPr>
        <w:pStyle w:val="Numberbullet0"/>
        <w:numPr>
          <w:ilvl w:val="0"/>
          <w:numId w:val="30"/>
        </w:numPr>
        <w:rPr>
          <w:b/>
          <w:i/>
        </w:rPr>
      </w:pPr>
      <w:r w:rsidRPr="000D1D48">
        <w:rPr>
          <w:b/>
          <w:i/>
        </w:rPr>
        <w:t xml:space="preserve">What is the committee’s opinion regarding the proposed indication? Does the committee agree with the addition of </w:t>
      </w:r>
      <w:r w:rsidR="00317963">
        <w:rPr>
          <w:b/>
          <w:i/>
        </w:rPr>
        <w:t>‘</w:t>
      </w:r>
      <w:r w:rsidRPr="000D1D48">
        <w:rPr>
          <w:b/>
          <w:i/>
        </w:rPr>
        <w:t xml:space="preserve">in combination with </w:t>
      </w:r>
      <w:proofErr w:type="spellStart"/>
      <w:r w:rsidRPr="000D1D48">
        <w:rPr>
          <w:b/>
          <w:i/>
        </w:rPr>
        <w:t>nonbiological</w:t>
      </w:r>
      <w:proofErr w:type="spellEnd"/>
      <w:r w:rsidRPr="000D1D48">
        <w:rPr>
          <w:b/>
          <w:i/>
        </w:rPr>
        <w:t xml:space="preserve"> DMARDs</w:t>
      </w:r>
      <w:r w:rsidR="00317963">
        <w:rPr>
          <w:b/>
          <w:i/>
        </w:rPr>
        <w:t>’</w:t>
      </w:r>
      <w:r w:rsidRPr="000D1D48">
        <w:rPr>
          <w:b/>
          <w:i/>
        </w:rPr>
        <w:t xml:space="preserve">? Does the committee anticipate any clinical issue arising from the removal of the phrase </w:t>
      </w:r>
      <w:r w:rsidR="00317963">
        <w:rPr>
          <w:b/>
          <w:i/>
        </w:rPr>
        <w:t>‘</w:t>
      </w:r>
      <w:r w:rsidRPr="000D1D48">
        <w:rPr>
          <w:b/>
          <w:i/>
        </w:rPr>
        <w:t>or who have been intol</w:t>
      </w:r>
      <w:r w:rsidR="000D1D48" w:rsidRPr="000D1D48">
        <w:rPr>
          <w:b/>
          <w:i/>
        </w:rPr>
        <w:t>erant</w:t>
      </w:r>
      <w:r w:rsidR="00317963">
        <w:rPr>
          <w:b/>
          <w:i/>
        </w:rPr>
        <w:t>’</w:t>
      </w:r>
      <w:r w:rsidR="000D1D48" w:rsidRPr="000D1D48">
        <w:rPr>
          <w:b/>
          <w:i/>
        </w:rPr>
        <w:t xml:space="preserve"> from the </w:t>
      </w:r>
      <w:proofErr w:type="spellStart"/>
      <w:r w:rsidR="000D1D48" w:rsidRPr="000D1D48">
        <w:rPr>
          <w:b/>
          <w:i/>
        </w:rPr>
        <w:t>PsA</w:t>
      </w:r>
      <w:proofErr w:type="spellEnd"/>
      <w:r w:rsidR="000D1D48" w:rsidRPr="000D1D48">
        <w:rPr>
          <w:b/>
          <w:i/>
        </w:rPr>
        <w:t xml:space="preserve"> indication?</w:t>
      </w:r>
    </w:p>
    <w:p w14:paraId="5B72B8AF" w14:textId="77777777" w:rsidR="00615860" w:rsidRDefault="008978B8" w:rsidP="00615860">
      <w:r>
        <w:t>The sponsor</w:t>
      </w:r>
      <w:r w:rsidR="00615860">
        <w:t xml:space="preserve"> agrees with the addition of ‘in combination with </w:t>
      </w:r>
      <w:proofErr w:type="spellStart"/>
      <w:r w:rsidR="00615860">
        <w:t>nonbiological</w:t>
      </w:r>
      <w:proofErr w:type="spellEnd"/>
      <w:r w:rsidR="00615860">
        <w:t xml:space="preserve"> DMARDs’ in the wording of the indication since it is consistent with the population in the pivotal studies.</w:t>
      </w:r>
    </w:p>
    <w:p w14:paraId="5B2409D5" w14:textId="77777777" w:rsidR="00615860" w:rsidRDefault="000D1D48" w:rsidP="000D1D48">
      <w:r>
        <w:lastRenderedPageBreak/>
        <w:t>The sponsor</w:t>
      </w:r>
      <w:r w:rsidR="00615860">
        <w:t xml:space="preserve"> does not anticipate there to be any clinical issues arising from the removal of the phrase ‘or who have been intolerant’ from the indication. As noted by the Delegate, </w:t>
      </w:r>
      <w:r>
        <w:t>the sponsor</w:t>
      </w:r>
      <w:r w:rsidR="00615860">
        <w:t xml:space="preserve"> considers this phrase to be an accurate reflection of the data since there were subjects who participated in the pivotal studies who experienced intolerance to a prior DMARD (</w:t>
      </w:r>
      <w:proofErr w:type="spellStart"/>
      <w:r w:rsidR="00615860">
        <w:t>csDMARD</w:t>
      </w:r>
      <w:proofErr w:type="spellEnd"/>
      <w:r w:rsidR="00615860">
        <w:t xml:space="preserve"> or tumour necrosis factor inhibitor (</w:t>
      </w:r>
      <w:proofErr w:type="spellStart"/>
      <w:r w:rsidR="00615860">
        <w:t>TNFi</w:t>
      </w:r>
      <w:proofErr w:type="spellEnd"/>
      <w:r w:rsidR="00615860">
        <w:t xml:space="preserve">)) as per study inclusion criteria. However, given that other targeted DMARDs approved for </w:t>
      </w:r>
      <w:proofErr w:type="spellStart"/>
      <w:r w:rsidR="00615860">
        <w:t>PsA</w:t>
      </w:r>
      <w:proofErr w:type="spellEnd"/>
      <w:r w:rsidR="00615860">
        <w:t xml:space="preserve"> in Australia do not delineate inadequate response due to inadequate efficacy from intolerance in the indication wording, Pfizer had agreed to the request to revise the indication wording.</w:t>
      </w:r>
    </w:p>
    <w:p w14:paraId="109A1EAD" w14:textId="77777777" w:rsidR="00615860" w:rsidRDefault="000D1D48" w:rsidP="000D1D48">
      <w:pPr>
        <w:pStyle w:val="Heading5"/>
      </w:pPr>
      <w:r>
        <w:t>Questions for sponsor</w:t>
      </w:r>
    </w:p>
    <w:p w14:paraId="039794B7" w14:textId="750F545B" w:rsidR="00615860" w:rsidRDefault="00615860" w:rsidP="00615860">
      <w:r>
        <w:t xml:space="preserve">The Delegate has raised the following question in relation to the </w:t>
      </w:r>
      <w:r w:rsidR="000D1D48">
        <w:t>RMP</w:t>
      </w:r>
      <w:r>
        <w:t xml:space="preserve"> which </w:t>
      </w:r>
      <w:r w:rsidR="00317963">
        <w:t>the sponsor</w:t>
      </w:r>
      <w:r w:rsidR="007E5F52">
        <w:t xml:space="preserve"> </w:t>
      </w:r>
      <w:r>
        <w:t>will address in this response:</w:t>
      </w:r>
    </w:p>
    <w:p w14:paraId="6930D6FE" w14:textId="77777777" w:rsidR="00615860" w:rsidRPr="007E5F52" w:rsidRDefault="00615860" w:rsidP="007E5F52">
      <w:pPr>
        <w:ind w:left="720"/>
        <w:rPr>
          <w:i/>
        </w:rPr>
      </w:pPr>
      <w:r w:rsidRPr="007E5F52">
        <w:rPr>
          <w:i/>
        </w:rPr>
        <w:t>Please confirm your response to recommendations 4 and 5 in the Round 2 RMP report’ The RMP evaluator made two further recommendations</w:t>
      </w:r>
      <w:r w:rsidR="000D1D48" w:rsidRPr="007E5F52">
        <w:rPr>
          <w:i/>
        </w:rPr>
        <w:t xml:space="preserve"> in the second round report, namely:</w:t>
      </w:r>
    </w:p>
    <w:p w14:paraId="11B4B60D" w14:textId="77777777" w:rsidR="00615860" w:rsidRPr="007E5F52" w:rsidRDefault="00615860" w:rsidP="007E5F52">
      <w:pPr>
        <w:pStyle w:val="ListBullet"/>
        <w:ind w:left="720"/>
        <w:rPr>
          <w:i/>
        </w:rPr>
      </w:pPr>
      <w:r w:rsidRPr="007E5F52">
        <w:rPr>
          <w:i/>
        </w:rPr>
        <w:t>Recommendation 4. The sponsor should provide the updated ASA which incorporates the RMP evaluator’s recommendations within 3 months of approval of this submission.</w:t>
      </w:r>
    </w:p>
    <w:p w14:paraId="5CB8DA27" w14:textId="77777777" w:rsidR="00615860" w:rsidRPr="007E5F52" w:rsidRDefault="00615860" w:rsidP="007E5F52">
      <w:pPr>
        <w:pStyle w:val="ListBullet"/>
        <w:ind w:left="720"/>
        <w:rPr>
          <w:i/>
        </w:rPr>
      </w:pPr>
      <w:r w:rsidRPr="007E5F52">
        <w:rPr>
          <w:i/>
        </w:rPr>
        <w:t>Recommendation 5. The sponsor should ensure that appropriate pharmacovigilance and risk minimisation measures are assigned to the safety concerns that are added to the ASA. These</w:t>
      </w:r>
      <w:r w:rsidR="000D1D48" w:rsidRPr="007E5F52">
        <w:rPr>
          <w:i/>
        </w:rPr>
        <w:t xml:space="preserve"> </w:t>
      </w:r>
      <w:r w:rsidRPr="007E5F52">
        <w:rPr>
          <w:i/>
        </w:rPr>
        <w:t>should be consistent with the measures in place in the EU-RMP.</w:t>
      </w:r>
    </w:p>
    <w:p w14:paraId="3A95E44F" w14:textId="4B7EA6E8" w:rsidR="00615860" w:rsidRDefault="00615860" w:rsidP="00615860">
      <w:r>
        <w:t xml:space="preserve">For </w:t>
      </w:r>
      <w:r w:rsidR="009E0948">
        <w:t xml:space="preserve">recommendation </w:t>
      </w:r>
      <w:r>
        <w:t xml:space="preserve">4, </w:t>
      </w:r>
      <w:r w:rsidR="000D1D48">
        <w:t>the sponsor</w:t>
      </w:r>
      <w:r>
        <w:t xml:space="preserve"> confirms that it will provide the updated Australian Specific Annex (ASA) which incorporates the RMP evalu</w:t>
      </w:r>
      <w:r w:rsidR="000D1D48">
        <w:t>ator’s recommendations within 3 </w:t>
      </w:r>
      <w:r>
        <w:t>months of approval of the submission.</w:t>
      </w:r>
    </w:p>
    <w:p w14:paraId="236471E2" w14:textId="2DED25E5" w:rsidR="00615860" w:rsidRDefault="00615860" w:rsidP="00615860">
      <w:r>
        <w:t xml:space="preserve">For </w:t>
      </w:r>
      <w:r w:rsidR="009E0948">
        <w:t xml:space="preserve">recommendation </w:t>
      </w:r>
      <w:r>
        <w:t xml:space="preserve">5, </w:t>
      </w:r>
      <w:r w:rsidR="000D1D48">
        <w:t>the sponsor</w:t>
      </w:r>
      <w:r>
        <w:t xml:space="preserve"> confirms that appropriate pharmacovigilance and risk minimisation measures will be assigned to the safety concerns that are added to the ASA and that these will be consistent with the measures in place in the EU-RMP. The draft </w:t>
      </w:r>
      <w:r w:rsidR="000D1D48">
        <w:t>PI</w:t>
      </w:r>
      <w:r>
        <w:t xml:space="preserve"> has been revised as part of this pre-ACM response to include additional wording copied from the European Summary of Product Characteristics (</w:t>
      </w:r>
      <w:proofErr w:type="spellStart"/>
      <w:r>
        <w:t>SmPC</w:t>
      </w:r>
      <w:proofErr w:type="spellEnd"/>
      <w:r>
        <w:t xml:space="preserve">) which are assigned to the EU safety concerns that will be added to the ASA. </w:t>
      </w:r>
      <w:r w:rsidR="009E0948">
        <w:t>[The sponsor also provided comments on the PI, however inclusion of these is beyond the scope of this AusPAR].</w:t>
      </w:r>
    </w:p>
    <w:p w14:paraId="5F71B401" w14:textId="77777777" w:rsidR="00615860" w:rsidRDefault="000D1D48" w:rsidP="000D1D48">
      <w:pPr>
        <w:pStyle w:val="Heading5"/>
      </w:pPr>
      <w:r>
        <w:t>Conclusion</w:t>
      </w:r>
    </w:p>
    <w:p w14:paraId="28138074" w14:textId="77777777" w:rsidR="00615860" w:rsidRPr="00615860" w:rsidRDefault="000D1D48" w:rsidP="00615860">
      <w:r>
        <w:t>The sponsor</w:t>
      </w:r>
      <w:r w:rsidR="00615860">
        <w:t xml:space="preserve"> concurs with the Delegate’s overall conclusion that the two pivotal studies (Study A3921091 and A3921125) have satisfactorily demonstrated the efficacy of </w:t>
      </w:r>
      <w:proofErr w:type="spellStart"/>
      <w:r w:rsidR="00615860">
        <w:t>tofacitinib</w:t>
      </w:r>
      <w:proofErr w:type="spellEnd"/>
      <w:r w:rsidR="00615860">
        <w:t xml:space="preserve"> when used in combination with a </w:t>
      </w:r>
      <w:proofErr w:type="spellStart"/>
      <w:r w:rsidR="00615860">
        <w:t>csDMARD</w:t>
      </w:r>
      <w:proofErr w:type="spellEnd"/>
      <w:r w:rsidR="00615860">
        <w:t xml:space="preserve"> in adult patients with active </w:t>
      </w:r>
      <w:proofErr w:type="spellStart"/>
      <w:r w:rsidR="00615860">
        <w:t>PsA.</w:t>
      </w:r>
      <w:proofErr w:type="spellEnd"/>
      <w:r w:rsidR="00615860">
        <w:t xml:space="preserve"> </w:t>
      </w:r>
      <w:r>
        <w:t>The sponsor</w:t>
      </w:r>
      <w:r w:rsidR="00615860">
        <w:t xml:space="preserve"> also agrees with the Delegate that the proposed 5 mg twice daily dose of </w:t>
      </w:r>
      <w:proofErr w:type="spellStart"/>
      <w:r w:rsidR="00615860">
        <w:t>tofacitinib</w:t>
      </w:r>
      <w:proofErr w:type="spellEnd"/>
      <w:r w:rsidR="00615860">
        <w:t xml:space="preserve"> has an acceptable safety profile in </w:t>
      </w:r>
      <w:proofErr w:type="spellStart"/>
      <w:r w:rsidR="00615860">
        <w:t>PsA</w:t>
      </w:r>
      <w:proofErr w:type="spellEnd"/>
      <w:r w:rsidR="00615860">
        <w:t xml:space="preserve">, similar to the established safety profile of </w:t>
      </w:r>
      <w:proofErr w:type="spellStart"/>
      <w:r w:rsidR="00615860">
        <w:t>tofacitinib</w:t>
      </w:r>
      <w:proofErr w:type="spellEnd"/>
      <w:r w:rsidR="00615860">
        <w:t xml:space="preserve"> in rheumatoid arthritis. </w:t>
      </w:r>
      <w:r>
        <w:t>The sponsor</w:t>
      </w:r>
      <w:r w:rsidR="00615860">
        <w:t xml:space="preserve"> looks forward to the deliberations of the ACM on </w:t>
      </w:r>
      <w:proofErr w:type="spellStart"/>
      <w:r w:rsidR="00615860">
        <w:t>tofacitinib</w:t>
      </w:r>
      <w:proofErr w:type="spellEnd"/>
      <w:r w:rsidR="00615860">
        <w:t xml:space="preserve"> for use in adult patients with active </w:t>
      </w:r>
      <w:proofErr w:type="spellStart"/>
      <w:r w:rsidR="00615860">
        <w:t>PsA.</w:t>
      </w:r>
      <w:proofErr w:type="spellEnd"/>
    </w:p>
    <w:p w14:paraId="0F339FCF" w14:textId="77777777" w:rsidR="008E7846" w:rsidRPr="000D1D48" w:rsidRDefault="008E7846" w:rsidP="008E7846">
      <w:pPr>
        <w:pStyle w:val="Heading4"/>
      </w:pPr>
      <w:r w:rsidRPr="000D1D48">
        <w:lastRenderedPageBreak/>
        <w:t>Advisory Committee Considerations</w:t>
      </w:r>
      <w:r w:rsidR="00456765" w:rsidRPr="000D1D48">
        <w:rPr>
          <w:rStyle w:val="FootnoteReference"/>
        </w:rPr>
        <w:footnoteReference w:id="8"/>
      </w:r>
    </w:p>
    <w:p w14:paraId="4A868E7B" w14:textId="332BBFEE" w:rsidR="008E7846" w:rsidRPr="000D1D48" w:rsidRDefault="00456765" w:rsidP="008E7846">
      <w:pPr>
        <w:rPr>
          <w:bCs/>
        </w:rPr>
      </w:pPr>
      <w:r w:rsidRPr="000D1D48">
        <w:rPr>
          <w:bCs/>
        </w:rPr>
        <w:t>The Advisory Committee on Medicines (ACM), having considered the evaluations and the Delegate’s overview, as well as the sponsor’s response to these d</w:t>
      </w:r>
      <w:r w:rsidR="00170A8F" w:rsidRPr="000D1D48">
        <w:rPr>
          <w:bCs/>
        </w:rPr>
        <w:t>ocuments, advised the following</w:t>
      </w:r>
      <w:r w:rsidR="009E0948">
        <w:rPr>
          <w:bCs/>
        </w:rPr>
        <w:t>.</w:t>
      </w:r>
    </w:p>
    <w:p w14:paraId="2714ED10" w14:textId="77777777" w:rsidR="00170A8F" w:rsidRPr="000D1D48" w:rsidRDefault="00170A8F" w:rsidP="00170A8F">
      <w:pPr>
        <w:rPr>
          <w:bCs/>
        </w:rPr>
      </w:pPr>
      <w:r w:rsidRPr="000D1D48">
        <w:rPr>
          <w:bCs/>
        </w:rPr>
        <w:t>The ACM taking into account the submitted evidence of effica</w:t>
      </w:r>
      <w:r w:rsidR="002D6420">
        <w:rPr>
          <w:bCs/>
        </w:rPr>
        <w:t>cy and safety, agreed with the D</w:t>
      </w:r>
      <w:r w:rsidRPr="000D1D48">
        <w:rPr>
          <w:bCs/>
        </w:rPr>
        <w:t xml:space="preserve">elegate and considered </w:t>
      </w:r>
      <w:r w:rsidR="003F518F" w:rsidRPr="000D1D48">
        <w:rPr>
          <w:bCs/>
        </w:rPr>
        <w:t>Xeljanz</w:t>
      </w:r>
      <w:r w:rsidRPr="000D1D48">
        <w:rPr>
          <w:bCs/>
        </w:rPr>
        <w:t xml:space="preserve"> film-coated tablet containing 5 mg of </w:t>
      </w:r>
      <w:proofErr w:type="spellStart"/>
      <w:r w:rsidRPr="000D1D48">
        <w:rPr>
          <w:bCs/>
        </w:rPr>
        <w:t>tofacitinib</w:t>
      </w:r>
      <w:proofErr w:type="spellEnd"/>
      <w:r w:rsidRPr="000D1D48">
        <w:rPr>
          <w:bCs/>
        </w:rPr>
        <w:t xml:space="preserve"> to have an overall positive benefit-risk profile for the proposed indication:</w:t>
      </w:r>
    </w:p>
    <w:p w14:paraId="68D73343" w14:textId="77777777" w:rsidR="00170A8F" w:rsidRPr="00170A8F" w:rsidRDefault="003F518F" w:rsidP="00170A8F">
      <w:pPr>
        <w:ind w:left="720"/>
        <w:rPr>
          <w:i/>
        </w:rPr>
      </w:pPr>
      <w:r w:rsidRPr="000D1D48">
        <w:rPr>
          <w:i/>
        </w:rPr>
        <w:t>Xeljanz</w:t>
      </w:r>
      <w:r w:rsidR="00170A8F" w:rsidRPr="000D1D48">
        <w:rPr>
          <w:i/>
        </w:rPr>
        <w:t xml:space="preserve"> in combination with </w:t>
      </w:r>
      <w:proofErr w:type="spellStart"/>
      <w:r w:rsidR="00170A8F" w:rsidRPr="000D1D48">
        <w:rPr>
          <w:i/>
        </w:rPr>
        <w:t>nonbiological</w:t>
      </w:r>
      <w:proofErr w:type="spellEnd"/>
      <w:r w:rsidR="00170A8F" w:rsidRPr="000D1D48">
        <w:rPr>
          <w:i/>
        </w:rPr>
        <w:t xml:space="preserve"> DMARDs is indicated for the treatment of active psoriatic arthritis in adult patients who have had an inadequate response to a prior DMARD therapy.</w:t>
      </w:r>
    </w:p>
    <w:p w14:paraId="22D670E0" w14:textId="77777777" w:rsidR="00170A8F" w:rsidRPr="00170A8F" w:rsidRDefault="00170A8F" w:rsidP="003F518F">
      <w:r w:rsidRPr="00170A8F">
        <w:t>In providing this advice the ACM noted the following:</w:t>
      </w:r>
    </w:p>
    <w:p w14:paraId="17B50B8F" w14:textId="02E554AF" w:rsidR="00170A8F" w:rsidRPr="00170A8F" w:rsidRDefault="009E0948" w:rsidP="003F518F">
      <w:pPr>
        <w:pStyle w:val="ListBullet"/>
      </w:pPr>
      <w:r>
        <w:t xml:space="preserve">Study </w:t>
      </w:r>
      <w:r w:rsidR="00170A8F" w:rsidRPr="00170A8F">
        <w:t>A3</w:t>
      </w:r>
      <w:r w:rsidR="003F518F">
        <w:t xml:space="preserve">921091 was a randomised, double blind, placebo </w:t>
      </w:r>
      <w:r w:rsidR="00170A8F" w:rsidRPr="00170A8F">
        <w:t xml:space="preserve">controlled study of the efficacy and safety of </w:t>
      </w:r>
      <w:proofErr w:type="spellStart"/>
      <w:r w:rsidR="00170A8F" w:rsidRPr="00170A8F">
        <w:t>tofacitinib</w:t>
      </w:r>
      <w:proofErr w:type="spellEnd"/>
      <w:r w:rsidR="00170A8F" w:rsidRPr="00170A8F">
        <w:t xml:space="preserve"> (5 mg twice daily or 10 mg twice daily) in patients with active </w:t>
      </w:r>
      <w:proofErr w:type="spellStart"/>
      <w:r w:rsidR="003F518F">
        <w:t>PsA</w:t>
      </w:r>
      <w:proofErr w:type="spellEnd"/>
      <w:r w:rsidR="00170A8F" w:rsidRPr="00170A8F">
        <w:t xml:space="preserve">, and included </w:t>
      </w:r>
      <w:proofErr w:type="spellStart"/>
      <w:r w:rsidR="00170A8F" w:rsidRPr="00170A8F">
        <w:t>adalimumab</w:t>
      </w:r>
      <w:proofErr w:type="spellEnd"/>
      <w:r w:rsidR="00170A8F" w:rsidRPr="00170A8F">
        <w:t xml:space="preserve"> as an active control. Patients were required to have had an inadequate response to at least one conventional synthetic DMARD (</w:t>
      </w:r>
      <w:proofErr w:type="spellStart"/>
      <w:r w:rsidR="00170A8F" w:rsidRPr="00170A8F">
        <w:t>csDMARD</w:t>
      </w:r>
      <w:proofErr w:type="spellEnd"/>
      <w:r w:rsidR="00170A8F" w:rsidRPr="00170A8F">
        <w:t>) and to be TNF inhibitor naïve. Tofacitinib (in both dose groups) demonstrated superior efficacy compared to placebo in the primary endpoints (ACR20 response rates and changes in HAQ-DI at Month 3).</w:t>
      </w:r>
    </w:p>
    <w:p w14:paraId="178919AF" w14:textId="32EE62F7" w:rsidR="00170A8F" w:rsidRPr="00170A8F" w:rsidRDefault="009E0948" w:rsidP="003F518F">
      <w:pPr>
        <w:pStyle w:val="ListBullet"/>
      </w:pPr>
      <w:r>
        <w:t xml:space="preserve">Study </w:t>
      </w:r>
      <w:r w:rsidR="00170A8F" w:rsidRPr="00170A8F">
        <w:t>A3</w:t>
      </w:r>
      <w:r w:rsidR="003F518F">
        <w:t xml:space="preserve">921125 was a randomised, double blind, placebo </w:t>
      </w:r>
      <w:r w:rsidR="00170A8F" w:rsidRPr="00170A8F">
        <w:t xml:space="preserve">controlled, study of the efficacy and safety of </w:t>
      </w:r>
      <w:proofErr w:type="spellStart"/>
      <w:r w:rsidR="00170A8F" w:rsidRPr="00170A8F">
        <w:t>tofacitinib</w:t>
      </w:r>
      <w:proofErr w:type="spellEnd"/>
      <w:r w:rsidR="00170A8F" w:rsidRPr="00170A8F">
        <w:t xml:space="preserve"> (5 mg twice daily or 10 mg twice daily) in patients with active </w:t>
      </w:r>
      <w:proofErr w:type="spellStart"/>
      <w:r w:rsidR="00170A8F" w:rsidRPr="00170A8F">
        <w:t>PsA</w:t>
      </w:r>
      <w:proofErr w:type="spellEnd"/>
      <w:r w:rsidR="00170A8F" w:rsidRPr="00170A8F">
        <w:t xml:space="preserve"> who had an inadequate response to at least one TNF inhibitor. The primary endpoints were ACR20 response rates and changes in HAQ-DI at Month 3. Tofacitinib was added to previous stable </w:t>
      </w:r>
      <w:proofErr w:type="spellStart"/>
      <w:r w:rsidR="00170A8F" w:rsidRPr="00170A8F">
        <w:t>csDMARD</w:t>
      </w:r>
      <w:proofErr w:type="spellEnd"/>
      <w:r w:rsidR="00170A8F" w:rsidRPr="00170A8F">
        <w:t xml:space="preserve"> therapy without an option for monotherapy. Tofacitinib (in both dose groups) demonstrated superior efficacy compared to placebo in the primary endpoints (ACR20 response rates and changes in HAQ-DI at Month 3).</w:t>
      </w:r>
    </w:p>
    <w:p w14:paraId="01AB12EA" w14:textId="77777777" w:rsidR="00170A8F" w:rsidRPr="00170A8F" w:rsidRDefault="00170A8F" w:rsidP="003F518F">
      <w:pPr>
        <w:pStyle w:val="ListBullet"/>
      </w:pPr>
      <w:r w:rsidRPr="00170A8F">
        <w:t>There were no clinically meaningful differences in effic</w:t>
      </w:r>
      <w:r w:rsidR="003F518F">
        <w:t>acy between the 5 mg and 10 </w:t>
      </w:r>
      <w:r w:rsidRPr="00170A8F">
        <w:t xml:space="preserve">mg doses of </w:t>
      </w:r>
      <w:proofErr w:type="spellStart"/>
      <w:r w:rsidRPr="00170A8F">
        <w:t>tofacitinib</w:t>
      </w:r>
      <w:proofErr w:type="spellEnd"/>
      <w:r w:rsidRPr="00170A8F">
        <w:t xml:space="preserve"> in either of the pivotal trials.</w:t>
      </w:r>
    </w:p>
    <w:p w14:paraId="1B01414C" w14:textId="77777777" w:rsidR="00170A8F" w:rsidRDefault="00170A8F" w:rsidP="003F518F">
      <w:pPr>
        <w:pStyle w:val="ListBullet"/>
      </w:pPr>
      <w:r w:rsidRPr="00170A8F">
        <w:t xml:space="preserve">The safety profile of </w:t>
      </w:r>
      <w:proofErr w:type="spellStart"/>
      <w:r w:rsidRPr="00170A8F">
        <w:t>tofacitinib</w:t>
      </w:r>
      <w:proofErr w:type="spellEnd"/>
      <w:r w:rsidRPr="00170A8F">
        <w:t xml:space="preserve"> was acceptable and consistent with the rheuma</w:t>
      </w:r>
      <w:r w:rsidR="003F518F">
        <w:t xml:space="preserve">toid arthritis program and post </w:t>
      </w:r>
      <w:r w:rsidRPr="00170A8F">
        <w:t>market experience. Tofacitinib was first approved in the US in 2012 for adu</w:t>
      </w:r>
      <w:r w:rsidR="003F518F">
        <w:t xml:space="preserve">lts with rheumatoid arthritis; </w:t>
      </w:r>
      <w:r w:rsidRPr="00170A8F">
        <w:t>no new safety signals</w:t>
      </w:r>
      <w:r w:rsidR="003F518F">
        <w:t xml:space="preserve"> have been detected in the four </w:t>
      </w:r>
      <w:r w:rsidRPr="00170A8F">
        <w:t>year period since marketing approval.</w:t>
      </w:r>
    </w:p>
    <w:p w14:paraId="1A32D37C" w14:textId="77777777" w:rsidR="00170A8F" w:rsidRDefault="00170A8F" w:rsidP="00170A8F">
      <w:pPr>
        <w:pStyle w:val="Heading5"/>
      </w:pPr>
      <w:r>
        <w:t>Proposed conditions of registration</w:t>
      </w:r>
    </w:p>
    <w:p w14:paraId="2AE8027B" w14:textId="77777777" w:rsidR="00170A8F" w:rsidRDefault="002D6420" w:rsidP="003F518F">
      <w:r>
        <w:t>The ACM agreed with the D</w:t>
      </w:r>
      <w:r w:rsidR="00170A8F">
        <w:t>elegate on the proposed conditions of registration.</w:t>
      </w:r>
    </w:p>
    <w:p w14:paraId="21B3F8A2" w14:textId="77777777" w:rsidR="00170A8F" w:rsidRPr="00170A8F" w:rsidRDefault="00170A8F" w:rsidP="00170A8F">
      <w:pPr>
        <w:pStyle w:val="Heading5"/>
      </w:pPr>
      <w:r w:rsidRPr="00170A8F">
        <w:t>Pro</w:t>
      </w:r>
      <w:r>
        <w:t>posed Product Information (PI)/</w:t>
      </w:r>
      <w:r w:rsidRPr="00170A8F">
        <w:t>Consumer Medicine Information (CMI) amendments</w:t>
      </w:r>
    </w:p>
    <w:p w14:paraId="1056316D" w14:textId="77777777" w:rsidR="00170A8F" w:rsidRPr="00170A8F" w:rsidRDefault="002D6420" w:rsidP="003F518F">
      <w:r>
        <w:t>The ACM agreed with the D</w:t>
      </w:r>
      <w:r w:rsidR="00170A8F" w:rsidRPr="00170A8F">
        <w:t xml:space="preserve">elegate to the proposed amendments to the </w:t>
      </w:r>
      <w:r w:rsidR="00170A8F">
        <w:t>PI</w:t>
      </w:r>
      <w:r w:rsidR="00170A8F" w:rsidRPr="00170A8F">
        <w:t xml:space="preserve"> and C</w:t>
      </w:r>
      <w:r w:rsidR="00170A8F">
        <w:t>MI</w:t>
      </w:r>
      <w:r w:rsidR="00170A8F" w:rsidRPr="00170A8F">
        <w:t xml:space="preserve"> and specifically advised on the inclusion of the following:</w:t>
      </w:r>
    </w:p>
    <w:p w14:paraId="55B2DC84" w14:textId="7E5769B5" w:rsidR="00170A8F" w:rsidRPr="00170A8F" w:rsidRDefault="00170A8F" w:rsidP="003F518F">
      <w:pPr>
        <w:pStyle w:val="ListBullet"/>
      </w:pPr>
      <w:r w:rsidRPr="00170A8F">
        <w:lastRenderedPageBreak/>
        <w:t>The ACM was of the view that the word descri</w:t>
      </w:r>
      <w:r w:rsidR="00082C7C">
        <w:t>ptions of renal impairment (that is,</w:t>
      </w:r>
      <w:r w:rsidRPr="00170A8F">
        <w:t xml:space="preserve"> mild, moderate and severe) are not routinely used, and that the numerical references assigned to these terms were inconsistent. Therefore the committee suggested that the relevant sections of the PI under </w:t>
      </w:r>
      <w:r w:rsidR="009E0948">
        <w:t xml:space="preserve">sections </w:t>
      </w:r>
      <w:r w:rsidRPr="00170A8F">
        <w:t>4.2 and 4.4 include the following replacement text:</w:t>
      </w:r>
    </w:p>
    <w:p w14:paraId="49C29D74" w14:textId="30255C4E" w:rsidR="00170A8F" w:rsidRPr="007E5F52" w:rsidRDefault="00317963" w:rsidP="007E5F52">
      <w:pPr>
        <w:pStyle w:val="ListBullet"/>
        <w:numPr>
          <w:ilvl w:val="0"/>
          <w:numId w:val="0"/>
        </w:numPr>
        <w:ind w:left="720"/>
        <w:rPr>
          <w:i/>
        </w:rPr>
      </w:pPr>
      <w:r w:rsidRPr="007E5F52">
        <w:rPr>
          <w:i/>
        </w:rPr>
        <w:t>‘</w:t>
      </w:r>
      <w:r w:rsidR="00170A8F" w:rsidRPr="007E5F52">
        <w:rPr>
          <w:i/>
        </w:rPr>
        <w:t xml:space="preserve">No dose adjustment is required in patients </w:t>
      </w:r>
      <w:r w:rsidR="00082C7C" w:rsidRPr="007E5F52">
        <w:rPr>
          <w:i/>
        </w:rPr>
        <w:t>with estimated GFR more than 50 </w:t>
      </w:r>
      <w:r w:rsidR="00170A8F" w:rsidRPr="007E5F52">
        <w:rPr>
          <w:i/>
        </w:rPr>
        <w:t>mL/min. Xeljanz dose should be reduced to 5 mg once daily in patients with estimated GFR less than 50 mL/min, (including but not limited to those with severe renal impairment who are undergoing haemodialysis).</w:t>
      </w:r>
      <w:r w:rsidRPr="007E5F52">
        <w:rPr>
          <w:i/>
        </w:rPr>
        <w:t>’</w:t>
      </w:r>
    </w:p>
    <w:p w14:paraId="4A1F3B63" w14:textId="74F78F9F" w:rsidR="00170A8F" w:rsidRDefault="00170A8F" w:rsidP="00170A8F">
      <w:pPr>
        <w:pStyle w:val="Heading5"/>
      </w:pPr>
      <w:r>
        <w:t xml:space="preserve">Specific </w:t>
      </w:r>
      <w:r w:rsidR="0063014B">
        <w:t>a</w:t>
      </w:r>
      <w:r>
        <w:t>dvice</w:t>
      </w:r>
    </w:p>
    <w:p w14:paraId="2B363369" w14:textId="77777777" w:rsidR="00170A8F" w:rsidRDefault="00170A8F" w:rsidP="00170A8F">
      <w:r>
        <w:t>The ACM advised th</w:t>
      </w:r>
      <w:r w:rsidR="002D6420">
        <w:t>e following in response to the D</w:t>
      </w:r>
      <w:r>
        <w:t>elegate’s specific questions on the submission.</w:t>
      </w:r>
    </w:p>
    <w:p w14:paraId="595F12F1" w14:textId="0ABFBFEB" w:rsidR="00170A8F" w:rsidRPr="007E5F52" w:rsidRDefault="00170A8F" w:rsidP="008C101E">
      <w:pPr>
        <w:pStyle w:val="Numberbullet0"/>
        <w:numPr>
          <w:ilvl w:val="0"/>
          <w:numId w:val="31"/>
        </w:numPr>
        <w:rPr>
          <w:i/>
        </w:rPr>
      </w:pPr>
      <w:r w:rsidRPr="007E5F52">
        <w:rPr>
          <w:i/>
        </w:rPr>
        <w:t xml:space="preserve">What is the committee’s opinion regarding the proposed indication? Does the committee agree with the addition of </w:t>
      </w:r>
      <w:r w:rsidR="00317963" w:rsidRPr="007E5F52">
        <w:rPr>
          <w:i/>
        </w:rPr>
        <w:t>‘</w:t>
      </w:r>
      <w:r w:rsidRPr="007E5F52">
        <w:rPr>
          <w:i/>
        </w:rPr>
        <w:t xml:space="preserve">in combination with </w:t>
      </w:r>
      <w:proofErr w:type="spellStart"/>
      <w:r w:rsidRPr="007E5F52">
        <w:rPr>
          <w:i/>
        </w:rPr>
        <w:t>nonbiological</w:t>
      </w:r>
      <w:proofErr w:type="spellEnd"/>
      <w:r w:rsidRPr="007E5F52">
        <w:rPr>
          <w:i/>
        </w:rPr>
        <w:t xml:space="preserve"> DMARDs</w:t>
      </w:r>
      <w:r w:rsidR="00317963" w:rsidRPr="007E5F52">
        <w:rPr>
          <w:i/>
        </w:rPr>
        <w:t>’</w:t>
      </w:r>
      <w:r w:rsidRPr="007E5F52">
        <w:rPr>
          <w:i/>
        </w:rPr>
        <w:t xml:space="preserve">? Does the committee anticipate any clinical issue arising from the removal of the phrase </w:t>
      </w:r>
      <w:r w:rsidR="00317963" w:rsidRPr="007E5F52">
        <w:rPr>
          <w:i/>
        </w:rPr>
        <w:t>‘</w:t>
      </w:r>
      <w:r w:rsidRPr="007E5F52">
        <w:rPr>
          <w:i/>
        </w:rPr>
        <w:t>or who have been intolerant</w:t>
      </w:r>
      <w:r w:rsidR="00317963" w:rsidRPr="007E5F52">
        <w:rPr>
          <w:i/>
        </w:rPr>
        <w:t>’</w:t>
      </w:r>
      <w:r w:rsidRPr="007E5F52">
        <w:rPr>
          <w:i/>
        </w:rPr>
        <w:t xml:space="preserve"> from the </w:t>
      </w:r>
      <w:proofErr w:type="spellStart"/>
      <w:r w:rsidRPr="007E5F52">
        <w:rPr>
          <w:i/>
        </w:rPr>
        <w:t>PsA</w:t>
      </w:r>
      <w:proofErr w:type="spellEnd"/>
      <w:r w:rsidRPr="007E5F52">
        <w:rPr>
          <w:i/>
        </w:rPr>
        <w:t xml:space="preserve"> indication’?</w:t>
      </w:r>
    </w:p>
    <w:p w14:paraId="2F66928D" w14:textId="77777777" w:rsidR="008C101E" w:rsidRDefault="00170A8F" w:rsidP="007E5F52">
      <w:r>
        <w:t>The ACM considered the prop</w:t>
      </w:r>
      <w:r w:rsidR="008C101E">
        <w:t>osed wording of the indication to be appropriate:</w:t>
      </w:r>
    </w:p>
    <w:p w14:paraId="0D10ED63" w14:textId="3B8A18FF" w:rsidR="008C101E" w:rsidRDefault="00170A8F" w:rsidP="007E5F52">
      <w:pPr>
        <w:ind w:left="720"/>
      </w:pPr>
      <w:r w:rsidRPr="00170A8F">
        <w:rPr>
          <w:i/>
        </w:rPr>
        <w:t xml:space="preserve">Xeljanz in combination with </w:t>
      </w:r>
      <w:proofErr w:type="spellStart"/>
      <w:r w:rsidRPr="00170A8F">
        <w:rPr>
          <w:i/>
        </w:rPr>
        <w:t>nonbiological</w:t>
      </w:r>
      <w:proofErr w:type="spellEnd"/>
      <w:r w:rsidRPr="00170A8F">
        <w:rPr>
          <w:i/>
        </w:rPr>
        <w:t xml:space="preserve"> DMARDs is indicated for the treatment of active psoriatic arthritis in adult patients who have had an inadequate response to a prior DMARD therapy</w:t>
      </w:r>
      <w:r w:rsidR="00317963">
        <w:rPr>
          <w:i/>
        </w:rPr>
        <w:t>.</w:t>
      </w:r>
    </w:p>
    <w:p w14:paraId="5D6FB15A" w14:textId="1A3C6818" w:rsidR="00170A8F" w:rsidRDefault="00170A8F" w:rsidP="007E5F52">
      <w:r>
        <w:t xml:space="preserve">The addition of </w:t>
      </w:r>
      <w:r w:rsidR="00317963">
        <w:t>‘</w:t>
      </w:r>
      <w:r>
        <w:t xml:space="preserve">in combination with </w:t>
      </w:r>
      <w:proofErr w:type="spellStart"/>
      <w:r>
        <w:t>nonbiological</w:t>
      </w:r>
      <w:proofErr w:type="spellEnd"/>
      <w:r>
        <w:t xml:space="preserve"> DMARDs</w:t>
      </w:r>
      <w:r w:rsidR="00317963">
        <w:t>’</w:t>
      </w:r>
      <w:r>
        <w:t xml:space="preserve"> was consistent with the pivotal studies presented in the submission, although the ACM noted that the vast majority of patients were taking methotrexate, and evidence about the efficacy of </w:t>
      </w:r>
      <w:proofErr w:type="spellStart"/>
      <w:r>
        <w:t>tofacitinib</w:t>
      </w:r>
      <w:proofErr w:type="spellEnd"/>
      <w:r>
        <w:t xml:space="preserve"> with other </w:t>
      </w:r>
      <w:proofErr w:type="spellStart"/>
      <w:r>
        <w:t>nonbiological</w:t>
      </w:r>
      <w:proofErr w:type="spellEnd"/>
      <w:r>
        <w:t xml:space="preserve"> DMARDs was limited. With respect to the removal of the phrase </w:t>
      </w:r>
      <w:r w:rsidR="00317963">
        <w:t>‘</w:t>
      </w:r>
      <w:r>
        <w:t>or who have been intolerant</w:t>
      </w:r>
      <w:r w:rsidR="00317963">
        <w:t>’</w:t>
      </w:r>
      <w:r>
        <w:t xml:space="preserve">, the ACM noted that there were only a limited number of patients who were intolerant to </w:t>
      </w:r>
      <w:proofErr w:type="spellStart"/>
      <w:r>
        <w:t>csDMARDs</w:t>
      </w:r>
      <w:proofErr w:type="spellEnd"/>
      <w:r>
        <w:t>.</w:t>
      </w:r>
    </w:p>
    <w:p w14:paraId="20F3A0FD" w14:textId="274F3EE3" w:rsidR="00170A8F" w:rsidRDefault="00170A8F" w:rsidP="007E5F52">
      <w:r>
        <w:t xml:space="preserve">The Committee also noted that the phrase </w:t>
      </w:r>
      <w:r w:rsidR="00317963">
        <w:t>‘</w:t>
      </w:r>
      <w:r w:rsidRPr="00170A8F">
        <w:rPr>
          <w:i/>
        </w:rPr>
        <w:t xml:space="preserve">Therapy with </w:t>
      </w:r>
      <w:r>
        <w:rPr>
          <w:i/>
        </w:rPr>
        <w:t>X</w:t>
      </w:r>
      <w:r w:rsidRPr="00170A8F">
        <w:rPr>
          <w:i/>
        </w:rPr>
        <w:t>eljanz should be initiated and monitored by a rheumatologist or specialist physician with expertise in the management of rheumatoid arthritis</w:t>
      </w:r>
      <w:r w:rsidR="00317963">
        <w:t>’</w:t>
      </w:r>
      <w:r>
        <w:t xml:space="preserve"> originally included in the therapeutic indication, will be moved to the section relating to Dose and Method of Administration.</w:t>
      </w:r>
    </w:p>
    <w:p w14:paraId="3D73D4D7" w14:textId="77777777" w:rsidR="00170A8F" w:rsidRDefault="00170A8F" w:rsidP="00170A8F">
      <w:r>
        <w:t>The ACM advised that implementation by the sponsor of the recommendations outlined above to the satisfaction of the TGA, in addition to the evidence of efficacy and safety provided would support the safe and effective use of this product.</w:t>
      </w:r>
    </w:p>
    <w:p w14:paraId="1FB90829" w14:textId="77777777" w:rsidR="008E7846" w:rsidRPr="002E238E" w:rsidRDefault="008E7846" w:rsidP="008E7846">
      <w:pPr>
        <w:pStyle w:val="Heading3"/>
      </w:pPr>
      <w:bookmarkStart w:id="204" w:name="_Toc247691532"/>
      <w:bookmarkStart w:id="205" w:name="_Toc314842516"/>
      <w:bookmarkStart w:id="206" w:name="_Toc22048632"/>
      <w:bookmarkEnd w:id="159"/>
      <w:bookmarkEnd w:id="199"/>
      <w:bookmarkEnd w:id="200"/>
      <w:r>
        <w:t>Outcome</w:t>
      </w:r>
      <w:bookmarkEnd w:id="204"/>
      <w:bookmarkEnd w:id="205"/>
      <w:bookmarkEnd w:id="206"/>
    </w:p>
    <w:p w14:paraId="187ACE62" w14:textId="77777777" w:rsidR="00D23139" w:rsidRPr="00D23139" w:rsidRDefault="00D23139" w:rsidP="00D23139">
      <w:bookmarkStart w:id="207" w:name="_Toc247691533"/>
      <w:bookmarkStart w:id="208" w:name="_Toc314842517"/>
      <w:r w:rsidRPr="00D23139">
        <w:t xml:space="preserve">Based on a review of quality, safety and efficacy, TGA approved the registration of </w:t>
      </w:r>
      <w:r w:rsidR="00170A8F">
        <w:t>Xeljanz (</w:t>
      </w:r>
      <w:proofErr w:type="spellStart"/>
      <w:r w:rsidR="00170A8F">
        <w:t>tofacitinib</w:t>
      </w:r>
      <w:proofErr w:type="spellEnd"/>
      <w:r w:rsidR="00170A8F">
        <w:t xml:space="preserve"> as citrate)</w:t>
      </w:r>
      <w:r w:rsidRPr="00D23139">
        <w:t xml:space="preserve"> for </w:t>
      </w:r>
      <w:r w:rsidR="00170A8F">
        <w:t>5 mg film coated tablet</w:t>
      </w:r>
      <w:r w:rsidRPr="00D23139">
        <w:t>,</w:t>
      </w:r>
      <w:r w:rsidR="00170A8F">
        <w:t xml:space="preserve"> for the following extension of indications</w:t>
      </w:r>
      <w:r w:rsidRPr="00D23139">
        <w:t>:</w:t>
      </w:r>
    </w:p>
    <w:p w14:paraId="3A4C5600" w14:textId="77777777" w:rsidR="00512856" w:rsidRPr="00512856" w:rsidRDefault="00512856" w:rsidP="00512856">
      <w:pPr>
        <w:ind w:left="720"/>
        <w:rPr>
          <w:i/>
        </w:rPr>
      </w:pPr>
      <w:r w:rsidRPr="00512856">
        <w:rPr>
          <w:i/>
        </w:rPr>
        <w:t>Psoriatic Arthritis</w:t>
      </w:r>
    </w:p>
    <w:p w14:paraId="1D8C1405" w14:textId="77777777" w:rsidR="00D23139" w:rsidRPr="00D23139" w:rsidRDefault="00512856" w:rsidP="00512856">
      <w:pPr>
        <w:ind w:left="720"/>
      </w:pPr>
      <w:r w:rsidRPr="00512856">
        <w:rPr>
          <w:i/>
        </w:rPr>
        <w:t>Xeljanz in combination with conventional synthetic DMARDs is indicated for the treatment of active psoriatic arthritis in adult patients who have had an inadequate response to a prior DMARD therapy.</w:t>
      </w:r>
    </w:p>
    <w:p w14:paraId="21E8CB60" w14:textId="77777777" w:rsidR="00D23139" w:rsidRDefault="00512856" w:rsidP="00D23139">
      <w:r>
        <w:t>As such, the full indications at this time were:</w:t>
      </w:r>
    </w:p>
    <w:p w14:paraId="7ACEE741" w14:textId="77777777" w:rsidR="00512856" w:rsidRPr="00512856" w:rsidRDefault="00512856" w:rsidP="00512856">
      <w:pPr>
        <w:ind w:left="720"/>
        <w:rPr>
          <w:i/>
        </w:rPr>
      </w:pPr>
      <w:r w:rsidRPr="00512856">
        <w:rPr>
          <w:i/>
        </w:rPr>
        <w:t>Rheumatoid Arthritis</w:t>
      </w:r>
    </w:p>
    <w:p w14:paraId="6E8AB075" w14:textId="77777777" w:rsidR="00512856" w:rsidRPr="00512856" w:rsidRDefault="00512856" w:rsidP="00512856">
      <w:pPr>
        <w:ind w:left="720"/>
        <w:rPr>
          <w:i/>
        </w:rPr>
      </w:pPr>
      <w:r w:rsidRPr="00512856">
        <w:rPr>
          <w:i/>
        </w:rPr>
        <w:t xml:space="preserve">Xeljanz is indicated for the treatment of moderate to severe active rheumatoid arthritis in adults who have had an inadequate response or are intolerant to </w:t>
      </w:r>
      <w:r w:rsidRPr="00512856">
        <w:rPr>
          <w:i/>
        </w:rPr>
        <w:lastRenderedPageBreak/>
        <w:t xml:space="preserve">methotrexate. Xeljanz can be used alone or in combination with conventional synthetic disease-modifying </w:t>
      </w:r>
      <w:proofErr w:type="spellStart"/>
      <w:r w:rsidRPr="00512856">
        <w:rPr>
          <w:i/>
        </w:rPr>
        <w:t>antirheumatic</w:t>
      </w:r>
      <w:proofErr w:type="spellEnd"/>
      <w:r w:rsidRPr="00512856">
        <w:rPr>
          <w:i/>
        </w:rPr>
        <w:t xml:space="preserve"> drugs (DMARDs), including methotrexate.</w:t>
      </w:r>
    </w:p>
    <w:p w14:paraId="59A05E7B" w14:textId="77777777" w:rsidR="00512856" w:rsidRPr="00512856" w:rsidRDefault="00512856" w:rsidP="00512856">
      <w:pPr>
        <w:ind w:left="720"/>
        <w:rPr>
          <w:i/>
        </w:rPr>
      </w:pPr>
      <w:r w:rsidRPr="00512856">
        <w:rPr>
          <w:i/>
        </w:rPr>
        <w:t>Psoriatic Arthritis</w:t>
      </w:r>
    </w:p>
    <w:p w14:paraId="785576C3" w14:textId="77777777" w:rsidR="00512856" w:rsidRDefault="00512856" w:rsidP="00512856">
      <w:pPr>
        <w:ind w:left="720"/>
      </w:pPr>
      <w:r w:rsidRPr="00512856">
        <w:rPr>
          <w:i/>
        </w:rPr>
        <w:t>Xeljanz in combination with conventional synthetic DMARDs is indicated for the treatment of active psoriatic arthritis in adult patients who have had an inadequate response to a prior DMARD therapy.</w:t>
      </w:r>
    </w:p>
    <w:p w14:paraId="01BA0E21" w14:textId="77777777" w:rsidR="00D23139" w:rsidRDefault="00D23139" w:rsidP="00D23139">
      <w:pPr>
        <w:pStyle w:val="Heading4"/>
      </w:pPr>
      <w:r w:rsidRPr="00D23139">
        <w:t>Specific conditions of registration applying to these goods</w:t>
      </w:r>
    </w:p>
    <w:p w14:paraId="59BCC20E" w14:textId="77777777" w:rsidR="00512856" w:rsidRDefault="00512856" w:rsidP="00512856">
      <w:r>
        <w:t xml:space="preserve">The </w:t>
      </w:r>
      <w:r w:rsidR="00170A8F">
        <w:t>Xeljanz</w:t>
      </w:r>
      <w:r>
        <w:t xml:space="preserve"> EU-Risk Management Plan (RMP) version 3.0 (date 26 July 2017; </w:t>
      </w:r>
      <w:r w:rsidR="00170A8F">
        <w:t>data lock point</w:t>
      </w:r>
      <w:r>
        <w:t xml:space="preserve"> 7 March 2017) with Australian Specific Annex version 1.0 (date 27 September 2017), included with submission PM-2017-03802-1-3, to be revised to the satisfaction of the TGA, will be implemented in Australia.</w:t>
      </w:r>
    </w:p>
    <w:p w14:paraId="396D8A86" w14:textId="77777777" w:rsidR="00512856" w:rsidRDefault="00512856" w:rsidP="00512856">
      <w:r>
        <w:t>An obligatory component of risk management plans is routine pharmacovigilance. Routine pharmacovigilance includes the submission of Periodic Safety Update Reports (PSURs).</w:t>
      </w:r>
    </w:p>
    <w:p w14:paraId="3A6815B0" w14:textId="77777777" w:rsidR="00512856" w:rsidRDefault="00512856" w:rsidP="00512856">
      <w:r>
        <w:t>Reports are to be provided in line with the current published list of EU reference dates and frequency of submission of PSURs until the period covered by such reports is not less than three years from the date of this approval letter.</w:t>
      </w:r>
    </w:p>
    <w:p w14:paraId="4614E711" w14:textId="77777777" w:rsidR="00512856" w:rsidRPr="00512856" w:rsidRDefault="00512856" w:rsidP="00512856">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2AF140C2" w14:textId="77777777" w:rsidR="008E7846" w:rsidRDefault="00A80B5B" w:rsidP="00D23139">
      <w:pPr>
        <w:pStyle w:val="Heading2"/>
      </w:pPr>
      <w:bookmarkStart w:id="209" w:name="_Toc22048633"/>
      <w:r>
        <w:t xml:space="preserve">Attachment 1. </w:t>
      </w:r>
      <w:r w:rsidR="008E7846">
        <w:t xml:space="preserve">Product </w:t>
      </w:r>
      <w:r w:rsidR="00AA0ED0">
        <w:t>I</w:t>
      </w:r>
      <w:r w:rsidR="008E7846">
        <w:t>nformation</w:t>
      </w:r>
      <w:bookmarkEnd w:id="207"/>
      <w:bookmarkEnd w:id="208"/>
      <w:bookmarkEnd w:id="209"/>
    </w:p>
    <w:p w14:paraId="044E1431" w14:textId="77777777" w:rsidR="00C80137" w:rsidRDefault="006136D7" w:rsidP="00C80137">
      <w:pPr>
        <w:rPr>
          <w:color w:val="000000"/>
          <w:lang w:eastAsia="en-AU"/>
        </w:rPr>
      </w:pPr>
      <w:r w:rsidRPr="002B3624">
        <w:t xml:space="preserve">The </w:t>
      </w:r>
      <w:r>
        <w:t>PI</w:t>
      </w:r>
      <w:r w:rsidRPr="002B3624">
        <w:t xml:space="preserve"> for </w:t>
      </w:r>
      <w:r w:rsidR="00512856">
        <w:t>Xeljanz</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7" w:history="1">
        <w:r w:rsidR="007C6B9B" w:rsidRPr="007C6B9B">
          <w:rPr>
            <w:rStyle w:val="Hyperlink"/>
          </w:rPr>
          <w:t>https://www.tga.gov.au/product-information-pi</w:t>
        </w:r>
      </w:hyperlink>
      <w:r w:rsidR="00512856">
        <w:t>&gt;.</w:t>
      </w:r>
    </w:p>
    <w:p w14:paraId="42695ABE" w14:textId="77777777" w:rsidR="00291957" w:rsidRDefault="00291957" w:rsidP="00291957">
      <w:pPr>
        <w:rPr>
          <w:lang w:eastAsia="ja-JP"/>
        </w:rPr>
      </w:pPr>
    </w:p>
    <w:p w14:paraId="5ECAF4AD" w14:textId="77777777" w:rsidR="00C80137" w:rsidRPr="001D043B" w:rsidRDefault="00C80137" w:rsidP="003A7F6C">
      <w:pPr>
        <w:pStyle w:val="TableTitle"/>
        <w:sectPr w:rsidR="00C80137" w:rsidRPr="001D043B" w:rsidSect="00B452CE">
          <w:headerReference w:type="even" r:id="rId38"/>
          <w:headerReference w:type="default" r:id="rId39"/>
          <w:headerReference w:type="first" r:id="rId40"/>
          <w:footerReference w:type="first" r:id="rId41"/>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0C4C2F03" w14:textId="77777777" w:rsidTr="00A05FA4">
        <w:trPr>
          <w:trHeight w:hRule="exact" w:val="704"/>
        </w:trPr>
        <w:tc>
          <w:tcPr>
            <w:tcW w:w="9175" w:type="dxa"/>
          </w:tcPr>
          <w:p w14:paraId="2B197FE5" w14:textId="77777777" w:rsidR="001C32CD" w:rsidRPr="00487162" w:rsidRDefault="001C32CD" w:rsidP="00A05FA4">
            <w:pPr>
              <w:pStyle w:val="TGASignoff"/>
            </w:pPr>
            <w:r w:rsidRPr="00487162">
              <w:lastRenderedPageBreak/>
              <w:t>Therapeutic Goods Administration</w:t>
            </w:r>
          </w:p>
        </w:tc>
      </w:tr>
      <w:tr w:rsidR="001C32CD" w:rsidRPr="004C239D" w14:paraId="2AE8F077" w14:textId="77777777" w:rsidTr="00A05FA4">
        <w:trPr>
          <w:trHeight w:val="1221"/>
        </w:trPr>
        <w:tc>
          <w:tcPr>
            <w:tcW w:w="9175" w:type="dxa"/>
            <w:tcMar>
              <w:top w:w="28" w:type="dxa"/>
            </w:tcMar>
          </w:tcPr>
          <w:p w14:paraId="61B4501E" w14:textId="77777777" w:rsidR="001C32CD" w:rsidRPr="00487162" w:rsidRDefault="001C32CD" w:rsidP="00A05FA4">
            <w:pPr>
              <w:pStyle w:val="Address"/>
            </w:pPr>
            <w:r w:rsidRPr="00487162">
              <w:t>PO Box 100 Woden ACT 2606 Australia</w:t>
            </w:r>
          </w:p>
          <w:p w14:paraId="5D727A6B" w14:textId="77777777" w:rsidR="001C32CD" w:rsidRPr="00487162" w:rsidRDefault="001C32CD" w:rsidP="00A05FA4">
            <w:pPr>
              <w:pStyle w:val="Address"/>
            </w:pPr>
            <w:r w:rsidRPr="00487162">
              <w:t xml:space="preserve">Email: </w:t>
            </w:r>
            <w:hyperlink r:id="rId42" w:history="1">
              <w:r w:rsidRPr="004C239D">
                <w:rPr>
                  <w:rStyle w:val="Hyperlink"/>
                </w:rPr>
                <w:t>info@tga.gov.au</w:t>
              </w:r>
            </w:hyperlink>
            <w:r w:rsidRPr="00487162">
              <w:t xml:space="preserve">  Phone: 1800 020 653  Fax: 02 6232 8605</w:t>
            </w:r>
          </w:p>
          <w:p w14:paraId="0BCF4DD1" w14:textId="77777777" w:rsidR="001C32CD" w:rsidRPr="004C239D" w:rsidRDefault="00F04F3B" w:rsidP="00A05FA4">
            <w:pPr>
              <w:pStyle w:val="Address"/>
              <w:spacing w:line="260" w:lineRule="atLeast"/>
              <w:rPr>
                <w:b/>
                <w:color w:val="0000FF"/>
                <w:u w:val="single"/>
              </w:rPr>
            </w:pPr>
            <w:hyperlink r:id="rId43" w:history="1">
              <w:r w:rsidR="007C6B9B" w:rsidRPr="007C6B9B">
                <w:rPr>
                  <w:rStyle w:val="Hyperlink"/>
                  <w:b/>
                </w:rPr>
                <w:t>https://www.tga.gov.au</w:t>
              </w:r>
            </w:hyperlink>
          </w:p>
        </w:tc>
      </w:tr>
    </w:tbl>
    <w:p w14:paraId="455DDF25" w14:textId="77777777" w:rsidR="00774E1D" w:rsidRPr="008A5E0B" w:rsidRDefault="00774E1D" w:rsidP="004C239D"/>
    <w:sectPr w:rsidR="00774E1D" w:rsidRPr="008A5E0B" w:rsidSect="001C32CD">
      <w:headerReference w:type="even" r:id="rId44"/>
      <w:headerReference w:type="default" r:id="rId45"/>
      <w:footerReference w:type="default" r:id="rId46"/>
      <w:headerReference w:type="first" r:id="rId47"/>
      <w:footerReference w:type="first" r:id="rId48"/>
      <w:pgSz w:w="11906" w:h="16838" w:code="9"/>
      <w:pgMar w:top="13467" w:right="1701" w:bottom="426" w:left="1701" w:header="907"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D7C6E8" w16cid:durableId="2120D847"/>
  <w16cid:commentId w16cid:paraId="6550827C" w16cid:durableId="2120F6F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247A40" w14:textId="77777777" w:rsidR="00F04F3B" w:rsidRDefault="00F04F3B" w:rsidP="00C40A36">
      <w:pPr>
        <w:spacing w:after="0"/>
      </w:pPr>
      <w:r>
        <w:separator/>
      </w:r>
    </w:p>
  </w:endnote>
  <w:endnote w:type="continuationSeparator" w:id="0">
    <w:p w14:paraId="2D20D8A5" w14:textId="77777777" w:rsidR="00F04F3B" w:rsidRDefault="00F04F3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ingLiU">
    <w:altName w:val="細明體"/>
    <w:panose1 w:val="02020509000000000000"/>
    <w:charset w:val="88"/>
    <w:family w:val="modern"/>
    <w:pitch w:val="fixed"/>
    <w:sig w:usb0="A00002FF" w:usb1="2A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TimesNewRoman">
    <w:altName w:val="Arial Unicode MS"/>
    <w:panose1 w:val="00000000000000000000"/>
    <w:charset w:val="00"/>
    <w:family w:val="roman"/>
    <w:notTrueType/>
    <w:pitch w:val="default"/>
    <w:sig w:usb0="00000003" w:usb1="08070000" w:usb2="00000010" w:usb3="00000000" w:csb0="0002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D16B1" w14:textId="77777777" w:rsidR="00F04F3B" w:rsidRDefault="00F04F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F04F3B" w:rsidRPr="00487162" w14:paraId="750897E6" w14:textId="77777777" w:rsidTr="00DB750B">
      <w:trPr>
        <w:trHeight w:val="269"/>
      </w:trPr>
      <w:tc>
        <w:tcPr>
          <w:tcW w:w="7371" w:type="dxa"/>
          <w:tcMar>
            <w:top w:w="142" w:type="dxa"/>
            <w:bottom w:w="0" w:type="dxa"/>
          </w:tcMar>
        </w:tcPr>
        <w:p w14:paraId="3E079BB9" w14:textId="23E66CD6" w:rsidR="00F04F3B" w:rsidRPr="00487162" w:rsidRDefault="00F04F3B" w:rsidP="00DB750B">
          <w:pPr>
            <w:pStyle w:val="Footer"/>
          </w:pPr>
          <w:r w:rsidRPr="00487162">
            <w:t>AusPA</w:t>
          </w:r>
          <w:r>
            <w:t>R- X</w:t>
          </w:r>
          <w:r w:rsidRPr="00A348A0">
            <w:t xml:space="preserve">eljanz - </w:t>
          </w:r>
          <w:proofErr w:type="spellStart"/>
          <w:r w:rsidRPr="00A348A0">
            <w:t>tofacitinib</w:t>
          </w:r>
          <w:proofErr w:type="spellEnd"/>
          <w:r w:rsidRPr="00A348A0">
            <w:t xml:space="preserve"> - Pfizer Australia Pty Ltd  - PM-2017-03802-1-3</w:t>
          </w:r>
          <w:r>
            <w:br/>
            <w:t>FINAL 25 September 2019</w:t>
          </w:r>
        </w:p>
      </w:tc>
      <w:tc>
        <w:tcPr>
          <w:tcW w:w="1490" w:type="dxa"/>
          <w:tcMar>
            <w:top w:w="142" w:type="dxa"/>
            <w:bottom w:w="0" w:type="dxa"/>
          </w:tcMar>
        </w:tcPr>
        <w:p w14:paraId="44EDE21F" w14:textId="5C51A692" w:rsidR="00F04F3B" w:rsidRPr="00487162" w:rsidRDefault="00F04F3B" w:rsidP="00DB750B">
          <w:pPr>
            <w:pStyle w:val="Footer"/>
            <w:jc w:val="right"/>
          </w:pPr>
          <w:r w:rsidRPr="00487162">
            <w:t xml:space="preserve">Page </w:t>
          </w:r>
          <w:r>
            <w:fldChar w:fldCharType="begin"/>
          </w:r>
          <w:r>
            <w:instrText xml:space="preserve"> PAGE  \* Arabic </w:instrText>
          </w:r>
          <w:r>
            <w:fldChar w:fldCharType="separate"/>
          </w:r>
          <w:r w:rsidR="0063014B">
            <w:rPr>
              <w:noProof/>
            </w:rPr>
            <w:t>21</w:t>
          </w:r>
          <w:r>
            <w:fldChar w:fldCharType="end"/>
          </w:r>
          <w:r w:rsidRPr="00487162">
            <w:t xml:space="preserve"> of </w:t>
          </w:r>
          <w:fldSimple w:instr=" NUMPAGES  \* Arabic ">
            <w:r w:rsidR="0063014B">
              <w:rPr>
                <w:noProof/>
              </w:rPr>
              <w:t>67</w:t>
            </w:r>
          </w:fldSimple>
        </w:p>
      </w:tc>
    </w:tr>
  </w:tbl>
  <w:p w14:paraId="65B84E2F" w14:textId="77777777" w:rsidR="00F04F3B" w:rsidRDefault="00F04F3B"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A183E" w14:textId="77777777" w:rsidR="00F04F3B" w:rsidRDefault="00F04F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04F3B" w:rsidRPr="00487162" w14:paraId="28838ED0" w14:textId="77777777" w:rsidTr="00E45619">
      <w:trPr>
        <w:trHeight w:val="269"/>
      </w:trPr>
      <w:tc>
        <w:tcPr>
          <w:tcW w:w="4519" w:type="dxa"/>
          <w:tcBorders>
            <w:top w:val="single" w:sz="4" w:space="0" w:color="auto"/>
          </w:tcBorders>
          <w:tcMar>
            <w:top w:w="142" w:type="dxa"/>
            <w:bottom w:w="0" w:type="dxa"/>
          </w:tcMar>
        </w:tcPr>
        <w:p w14:paraId="609900EB" w14:textId="77777777" w:rsidR="00F04F3B" w:rsidRPr="00487162" w:rsidRDefault="00F04F3B" w:rsidP="00FE1DEE">
          <w:pPr>
            <w:pStyle w:val="Footer"/>
          </w:pPr>
          <w:r w:rsidRPr="00487162">
            <w:t>Document title, Part #, Section # - Section title</w:t>
          </w:r>
        </w:p>
        <w:p w14:paraId="68C51E8C" w14:textId="77777777" w:rsidR="00F04F3B" w:rsidRPr="00487162" w:rsidRDefault="00F04F3B" w:rsidP="00FE1DEE">
          <w:pPr>
            <w:pStyle w:val="Footer"/>
          </w:pPr>
          <w:r w:rsidRPr="00487162">
            <w:t>V1.0 October 2010</w:t>
          </w:r>
        </w:p>
      </w:tc>
      <w:tc>
        <w:tcPr>
          <w:tcW w:w="4342" w:type="dxa"/>
          <w:tcBorders>
            <w:top w:val="single" w:sz="4" w:space="0" w:color="auto"/>
          </w:tcBorders>
          <w:tcMar>
            <w:top w:w="142" w:type="dxa"/>
            <w:bottom w:w="0" w:type="dxa"/>
          </w:tcMar>
        </w:tcPr>
        <w:p w14:paraId="6D31BF44" w14:textId="77777777" w:rsidR="00F04F3B" w:rsidRPr="00487162" w:rsidRDefault="00F04F3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14:paraId="5A0A85D2" w14:textId="77777777" w:rsidR="00F04F3B" w:rsidRDefault="00F04F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AB8D1" w14:textId="77777777" w:rsidR="00F04F3B" w:rsidRPr="001C32CD" w:rsidRDefault="00F04F3B"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04F3B" w14:paraId="134C9408" w14:textId="77777777" w:rsidTr="0010601F">
      <w:trPr>
        <w:trHeight w:val="108"/>
      </w:trPr>
      <w:tc>
        <w:tcPr>
          <w:tcW w:w="8875" w:type="dxa"/>
          <w:gridSpan w:val="2"/>
          <w:tcBorders>
            <w:bottom w:val="single" w:sz="4" w:space="0" w:color="auto"/>
          </w:tcBorders>
          <w:tcMar>
            <w:right w:w="284" w:type="dxa"/>
          </w:tcMar>
        </w:tcPr>
        <w:p w14:paraId="413002DD" w14:textId="77777777" w:rsidR="00F04F3B" w:rsidRDefault="00F04F3B" w:rsidP="006E08B3">
          <w:pPr>
            <w:pStyle w:val="Heading3"/>
          </w:pPr>
          <w:r>
            <w:t>Copyright</w:t>
          </w:r>
        </w:p>
        <w:p w14:paraId="69EABA37" w14:textId="77777777" w:rsidR="00F04F3B" w:rsidRDefault="00F04F3B" w:rsidP="006E08B3">
          <w:r>
            <w:rPr>
              <w:rFonts w:cs="Arial"/>
            </w:rPr>
            <w:t>©</w:t>
          </w:r>
          <w:r>
            <w:t xml:space="preserve"> Commonwealth of Australia (add year)</w:t>
          </w:r>
        </w:p>
        <w:p w14:paraId="6CF6B954" w14:textId="77777777" w:rsidR="00F04F3B" w:rsidRDefault="00F04F3B" w:rsidP="006E08B3"/>
        <w:p w14:paraId="5030B431" w14:textId="77777777" w:rsidR="00F04F3B" w:rsidRDefault="00F04F3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777D8C32" w14:textId="77777777" w:rsidR="00F04F3B" w:rsidRDefault="00F04F3B" w:rsidP="006E08B3"/>
        <w:p w14:paraId="2678568C" w14:textId="77777777" w:rsidR="00F04F3B" w:rsidRDefault="00F04F3B" w:rsidP="006E08B3">
          <w:pPr>
            <w:pStyle w:val="Heading3"/>
          </w:pPr>
          <w:r>
            <w:t>Confidentiality</w:t>
          </w:r>
        </w:p>
        <w:p w14:paraId="719D006A" w14:textId="77777777" w:rsidR="00F04F3B" w:rsidRDefault="00F04F3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F25CE42" w14:textId="77777777" w:rsidR="00F04F3B" w:rsidRDefault="00F04F3B" w:rsidP="006E08B3"/>
        <w:p w14:paraId="5866753E" w14:textId="77777777" w:rsidR="00F04F3B" w:rsidRDefault="00F04F3B" w:rsidP="006E08B3">
          <w:r>
            <w:t>For submission made by individuals, all personal details, other than your name, will be removed from your submission before it is published on the TGA’s Internet site.</w:t>
          </w:r>
        </w:p>
        <w:p w14:paraId="6DACBF5C" w14:textId="77777777" w:rsidR="00F04F3B" w:rsidRDefault="00F04F3B" w:rsidP="006E08B3"/>
        <w:p w14:paraId="17362595" w14:textId="77777777" w:rsidR="00F04F3B" w:rsidRDefault="00F04F3B"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F04F3B" w14:paraId="091FEB2B" w14:textId="77777777" w:rsidTr="0010601F">
      <w:trPr>
        <w:trHeight w:val="417"/>
      </w:trPr>
      <w:tc>
        <w:tcPr>
          <w:tcW w:w="4519" w:type="dxa"/>
          <w:tcBorders>
            <w:top w:val="single" w:sz="4" w:space="0" w:color="auto"/>
          </w:tcBorders>
          <w:tcMar>
            <w:top w:w="142" w:type="dxa"/>
            <w:bottom w:w="0" w:type="dxa"/>
          </w:tcMar>
        </w:tcPr>
        <w:p w14:paraId="7BD7B4A5" w14:textId="77777777" w:rsidR="00F04F3B" w:rsidRDefault="00F04F3B" w:rsidP="006E08B3">
          <w:r>
            <w:t>Document title, Part #, Section # - Section title</w:t>
          </w:r>
        </w:p>
        <w:p w14:paraId="1D3A118F" w14:textId="77777777" w:rsidR="00F04F3B" w:rsidRDefault="00F04F3B" w:rsidP="006E08B3">
          <w:r>
            <w:t>V1.0 October 2010</w:t>
          </w:r>
        </w:p>
      </w:tc>
      <w:tc>
        <w:tcPr>
          <w:tcW w:w="4356" w:type="dxa"/>
          <w:tcBorders>
            <w:top w:val="single" w:sz="4" w:space="0" w:color="auto"/>
          </w:tcBorders>
          <w:tcMar>
            <w:top w:w="142" w:type="dxa"/>
            <w:bottom w:w="0" w:type="dxa"/>
          </w:tcMar>
        </w:tcPr>
        <w:p w14:paraId="57C058EA" w14:textId="77777777" w:rsidR="00F04F3B" w:rsidRDefault="00F04F3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14:paraId="288D8227" w14:textId="77777777" w:rsidR="00F04F3B" w:rsidRDefault="00F04F3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30AA03" w14:textId="77777777" w:rsidR="00F04F3B" w:rsidRDefault="00F04F3B" w:rsidP="00C40A36">
      <w:pPr>
        <w:spacing w:after="0"/>
      </w:pPr>
      <w:r>
        <w:separator/>
      </w:r>
    </w:p>
  </w:footnote>
  <w:footnote w:type="continuationSeparator" w:id="0">
    <w:p w14:paraId="3594CE33" w14:textId="77777777" w:rsidR="00F04F3B" w:rsidRDefault="00F04F3B" w:rsidP="00C40A36">
      <w:pPr>
        <w:spacing w:after="0"/>
      </w:pPr>
      <w:r>
        <w:continuationSeparator/>
      </w:r>
    </w:p>
  </w:footnote>
  <w:footnote w:id="1">
    <w:p w14:paraId="4CEC4497" w14:textId="61492727" w:rsidR="00F04F3B" w:rsidRPr="00DE118A" w:rsidRDefault="00F04F3B">
      <w:pPr>
        <w:pStyle w:val="FootnoteText"/>
        <w:rPr>
          <w:lang w:val="en-GB"/>
        </w:rPr>
      </w:pPr>
      <w:r>
        <w:rPr>
          <w:rStyle w:val="FootnoteReference"/>
        </w:rPr>
        <w:footnoteRef/>
      </w:r>
      <w:r>
        <w:t xml:space="preserve"> CP-690550 is the drug development code for </w:t>
      </w:r>
      <w:proofErr w:type="spellStart"/>
      <w:r>
        <w:t>tofacitinib</w:t>
      </w:r>
      <w:proofErr w:type="spellEnd"/>
      <w:r>
        <w:t>.</w:t>
      </w:r>
    </w:p>
  </w:footnote>
  <w:footnote w:id="2">
    <w:p w14:paraId="2E4D2FA2" w14:textId="565FDE55" w:rsidR="00F04F3B" w:rsidRPr="00DE118A" w:rsidRDefault="00F04F3B">
      <w:pPr>
        <w:pStyle w:val="FootnoteText"/>
        <w:rPr>
          <w:lang w:val="en-GB"/>
        </w:rPr>
      </w:pPr>
      <w:r>
        <w:rPr>
          <w:rStyle w:val="FootnoteReference"/>
        </w:rPr>
        <w:footnoteRef/>
      </w:r>
      <w:r>
        <w:t xml:space="preserve"> Study No 15GR329, PF 05211077_DEREK_08NOV2012 and PF 05211077_Leadscope_7Jun2013) or PF-05198213 (Study No 15GR330, PF</w:t>
      </w:r>
      <w:r>
        <w:noBreakHyphen/>
        <w:t>05198213_DEREK_04JUN2013, PF 05198213_DEREK_08NOV2012 and PF</w:t>
      </w:r>
      <w:r>
        <w:noBreakHyphen/>
        <w:t>05198213_LEADSCOPE_07JUN2013).</w:t>
      </w:r>
    </w:p>
  </w:footnote>
  <w:footnote w:id="3">
    <w:p w14:paraId="4DD0CADC" w14:textId="77777777" w:rsidR="00F04F3B" w:rsidRDefault="00F04F3B">
      <w:pPr>
        <w:pStyle w:val="FootnoteText"/>
      </w:pPr>
      <w:r>
        <w:rPr>
          <w:rStyle w:val="FootnoteReference"/>
        </w:rPr>
        <w:footnoteRef/>
      </w:r>
      <w:r>
        <w:t xml:space="preserve"> European Medicines Agency (EMA), </w:t>
      </w:r>
      <w:r w:rsidRPr="00B5763A">
        <w:t xml:space="preserve">Committee for Proprietary Medicinal Products </w:t>
      </w:r>
      <w:r>
        <w:t>(CPMP), Guidelines on c</w:t>
      </w:r>
      <w:r w:rsidRPr="00B5763A">
        <w:t>linical investigation of medicinal products for the treatment of psoriatic arthritis</w:t>
      </w:r>
      <w:r>
        <w:t xml:space="preserve">, 14 December 2006, </w:t>
      </w:r>
      <w:r w:rsidRPr="00B5763A">
        <w:t>CPMP/EWP/438/04</w:t>
      </w:r>
    </w:p>
  </w:footnote>
  <w:footnote w:id="4">
    <w:p w14:paraId="54637D35" w14:textId="30064EA1" w:rsidR="00F04F3B" w:rsidRDefault="00F04F3B">
      <w:pPr>
        <w:pStyle w:val="FootnoteText"/>
      </w:pPr>
      <w:r>
        <w:rPr>
          <w:rStyle w:val="FootnoteReference"/>
        </w:rPr>
        <w:footnoteRef/>
      </w:r>
      <w:r>
        <w:t xml:space="preserve"> </w:t>
      </w:r>
      <w:proofErr w:type="spellStart"/>
      <w:r>
        <w:t>Hy’s</w:t>
      </w:r>
      <w:proofErr w:type="spellEnd"/>
      <w:r>
        <w:t xml:space="preserve"> Law: ALT &gt; 3 x ULN and total bilirubin &gt; 2 x ULN.</w:t>
      </w:r>
    </w:p>
  </w:footnote>
  <w:footnote w:id="5">
    <w:p w14:paraId="5E034824" w14:textId="77777777" w:rsidR="00F04F3B" w:rsidRDefault="00F04F3B" w:rsidP="00456765">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3EF36E56" w14:textId="77777777" w:rsidR="00F04F3B" w:rsidRDefault="00F04F3B" w:rsidP="00456765">
      <w:pPr>
        <w:pStyle w:val="FootnoteText"/>
      </w:pPr>
      <w:r w:rsidRPr="00F12492">
        <w:rPr>
          <w:i/>
        </w:rPr>
        <w:t>Routine pharmacovigilance</w:t>
      </w:r>
      <w:r>
        <w:t xml:space="preserve"> practices involve the following activities:</w:t>
      </w:r>
    </w:p>
    <w:p w14:paraId="1BDCAA3E" w14:textId="77777777" w:rsidR="00F04F3B" w:rsidRDefault="00F04F3B" w:rsidP="007A55D9">
      <w:pPr>
        <w:pStyle w:val="FootnoteText"/>
        <w:numPr>
          <w:ilvl w:val="0"/>
          <w:numId w:val="6"/>
        </w:numPr>
      </w:pPr>
      <w:r>
        <w:t>All suspected adverse reactions that are reported to the personnel of the company are collected and collated in an accessible manner;</w:t>
      </w:r>
    </w:p>
    <w:p w14:paraId="7B7BCD8F" w14:textId="77777777" w:rsidR="00F04F3B" w:rsidRDefault="00F04F3B" w:rsidP="007A55D9">
      <w:pPr>
        <w:pStyle w:val="FootnoteText"/>
        <w:numPr>
          <w:ilvl w:val="0"/>
          <w:numId w:val="6"/>
        </w:numPr>
      </w:pPr>
      <w:r>
        <w:t>Reporting to regulatory authorities;</w:t>
      </w:r>
    </w:p>
    <w:p w14:paraId="5789DA43" w14:textId="77777777" w:rsidR="00F04F3B" w:rsidRDefault="00F04F3B" w:rsidP="007A55D9">
      <w:pPr>
        <w:pStyle w:val="FootnoteText"/>
        <w:numPr>
          <w:ilvl w:val="0"/>
          <w:numId w:val="6"/>
        </w:numPr>
      </w:pPr>
      <w:r>
        <w:t xml:space="preserve">Continuous monitoring of the safety profiles of approved products including signal detection and updating of </w:t>
      </w:r>
      <w:proofErr w:type="spellStart"/>
      <w:r>
        <w:t>labeling</w:t>
      </w:r>
      <w:proofErr w:type="spellEnd"/>
      <w:r>
        <w:t>;</w:t>
      </w:r>
    </w:p>
    <w:p w14:paraId="5E872B28" w14:textId="77777777" w:rsidR="00F04F3B" w:rsidRDefault="00F04F3B" w:rsidP="007A55D9">
      <w:pPr>
        <w:pStyle w:val="FootnoteText"/>
        <w:numPr>
          <w:ilvl w:val="0"/>
          <w:numId w:val="6"/>
        </w:numPr>
      </w:pPr>
      <w:r>
        <w:t>Submission of PSURs;</w:t>
      </w:r>
    </w:p>
    <w:p w14:paraId="028F902D" w14:textId="77777777" w:rsidR="00F04F3B" w:rsidRPr="00F12492" w:rsidRDefault="00F04F3B" w:rsidP="007A55D9">
      <w:pPr>
        <w:pStyle w:val="FootnoteText"/>
        <w:numPr>
          <w:ilvl w:val="0"/>
          <w:numId w:val="6"/>
        </w:numPr>
        <w:rPr>
          <w:lang w:val="en-US"/>
        </w:rPr>
      </w:pPr>
      <w:r>
        <w:t>Meeting other local regulatory agency requirements.</w:t>
      </w:r>
    </w:p>
  </w:footnote>
  <w:footnote w:id="6">
    <w:p w14:paraId="7B72EE81" w14:textId="381B9565" w:rsidR="00F04F3B" w:rsidRPr="007E5F52" w:rsidRDefault="00F04F3B">
      <w:pPr>
        <w:pStyle w:val="FootnoteText"/>
        <w:rPr>
          <w:lang w:val="en-GB"/>
        </w:rPr>
      </w:pPr>
      <w:r>
        <w:rPr>
          <w:rStyle w:val="FootnoteReference"/>
        </w:rPr>
        <w:footnoteRef/>
      </w:r>
      <w:r>
        <w:t xml:space="preserve"> The </w:t>
      </w:r>
      <w:r w:rsidRPr="007D794E">
        <w:t>Advisory Committee on Prescription Medicines (ACPM) was formed in January 2010</w:t>
      </w:r>
      <w:r>
        <w:t xml:space="preserve"> and superseded by the</w:t>
      </w:r>
      <w:r w:rsidRPr="007D794E">
        <w:t xml:space="preserve">. </w:t>
      </w:r>
      <w:r>
        <w:t>Advisory Committee on Medicines (</w:t>
      </w:r>
      <w:r w:rsidRPr="007D794E">
        <w:t>ACM</w:t>
      </w:r>
      <w:r>
        <w:t>) in 2017.</w:t>
      </w:r>
    </w:p>
  </w:footnote>
  <w:footnote w:id="7">
    <w:p w14:paraId="77D8612B" w14:textId="62E95A76" w:rsidR="00F04F3B" w:rsidRPr="007E5F52" w:rsidRDefault="00F04F3B">
      <w:pPr>
        <w:pStyle w:val="FootnoteText"/>
        <w:rPr>
          <w:lang w:val="en-GB"/>
        </w:rPr>
      </w:pPr>
      <w:r>
        <w:rPr>
          <w:rStyle w:val="FootnoteReference"/>
        </w:rPr>
        <w:footnoteRef/>
      </w:r>
      <w:r>
        <w:t xml:space="preserve"> </w:t>
      </w:r>
      <w:r>
        <w:rPr>
          <w:lang w:val="en-GB"/>
        </w:rPr>
        <w:t xml:space="preserve">The Therapeutic Goods Act 1989 allows for initial decisions made under the </w:t>
      </w:r>
      <w:r w:rsidRPr="007D794E">
        <w:rPr>
          <w:lang w:val="en-GB"/>
        </w:rPr>
        <w:t>provision</w:t>
      </w:r>
      <w:r>
        <w:rPr>
          <w:lang w:val="en-GB"/>
        </w:rPr>
        <w:t xml:space="preserve"> (Section 60)</w:t>
      </w:r>
      <w:r w:rsidRPr="007D794E">
        <w:rPr>
          <w:lang w:val="en-GB"/>
        </w:rPr>
        <w:t xml:space="preserve"> of the Act by the Secretary of the Department of Health, or a delegate of the Secretary</w:t>
      </w:r>
    </w:p>
  </w:footnote>
  <w:footnote w:id="8">
    <w:p w14:paraId="589ABE60" w14:textId="77777777" w:rsidR="00F04F3B" w:rsidRDefault="00F04F3B"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43865347" w14:textId="77777777" w:rsidR="00F04F3B" w:rsidRPr="00456765" w:rsidRDefault="00F04F3B"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445EB" w14:textId="77777777" w:rsidR="00F04F3B" w:rsidRDefault="00F04F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6449D" w14:textId="77777777" w:rsidR="00F04F3B" w:rsidRDefault="00F04F3B"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3459C" w14:textId="77777777" w:rsidR="00F04F3B" w:rsidRDefault="00F04F3B">
    <w:pPr>
      <w:rPr>
        <w:noProof/>
        <w:lang w:eastAsia="en-AU"/>
      </w:rPr>
    </w:pPr>
    <w:r w:rsidRPr="00347824">
      <w:rPr>
        <w:noProof/>
        <w:lang w:eastAsia="en-AU"/>
      </w:rPr>
      <w:drawing>
        <wp:anchor distT="0" distB="0" distL="114300" distR="114300" simplePos="0" relativeHeight="251658240" behindDoc="1" locked="0" layoutInCell="1" allowOverlap="1" wp14:anchorId="66FF32D1" wp14:editId="674D56A9">
          <wp:simplePos x="0" y="0"/>
          <wp:positionH relativeFrom="column">
            <wp:posOffset>-1089660</wp:posOffset>
          </wp:positionH>
          <wp:positionV relativeFrom="paragraph">
            <wp:posOffset>-585470</wp:posOffset>
          </wp:positionV>
          <wp:extent cx="7572375" cy="10706100"/>
          <wp:effectExtent l="19050" t="0" r="0" b="0"/>
          <wp:wrapNone/>
          <wp:docPr id="16"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34B220CE" w14:textId="77777777" w:rsidR="00F04F3B" w:rsidRDefault="00F04F3B" w:rsidP="00593AD1">
    <w:pPr>
      <w:pStyle w:val="HeaderNoLine"/>
    </w:pPr>
    <w:r>
      <w:rPr>
        <w:noProof/>
        <w:lang w:eastAsia="en-AU"/>
      </w:rPr>
      <w:drawing>
        <wp:inline distT="0" distB="0" distL="0" distR="0" wp14:anchorId="1D029053" wp14:editId="06678E75">
          <wp:extent cx="5400675" cy="7639050"/>
          <wp:effectExtent l="0" t="0" r="9525" b="0"/>
          <wp:docPr id="17" name="Picture 17"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6C80D" w14:textId="77777777" w:rsidR="00F04F3B" w:rsidRDefault="00F04F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62152" w14:textId="77777777" w:rsidR="00F04F3B" w:rsidRDefault="00F04F3B">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20000" w14:textId="77777777" w:rsidR="00F04F3B" w:rsidRDefault="00F04F3B">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57B3C" w14:textId="77777777" w:rsidR="00F04F3B" w:rsidRDefault="00F04F3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15484" w14:textId="77777777" w:rsidR="00F04F3B" w:rsidRDefault="00F04F3B"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1E26E" w14:textId="77777777" w:rsidR="00F04F3B" w:rsidRDefault="00F04F3B" w:rsidP="006E08B3">
    <w:r>
      <w:t>Therapeutic Goods Administration</w:t>
    </w:r>
  </w:p>
  <w:p w14:paraId="43F8550D" w14:textId="77777777" w:rsidR="00F04F3B" w:rsidRDefault="00F04F3B"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7BC772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C1D5D86"/>
    <w:multiLevelType w:val="hybridMultilevel"/>
    <w:tmpl w:val="56B4B8FA"/>
    <w:lvl w:ilvl="0" w:tplc="D834E83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543796"/>
    <w:multiLevelType w:val="hybridMultilevel"/>
    <w:tmpl w:val="67046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168F13E9"/>
    <w:multiLevelType w:val="multilevel"/>
    <w:tmpl w:val="8572F7BE"/>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76236FF"/>
    <w:multiLevelType w:val="hybridMultilevel"/>
    <w:tmpl w:val="479EE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314924"/>
    <w:multiLevelType w:val="hybridMultilevel"/>
    <w:tmpl w:val="60D4074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27A52BD"/>
    <w:multiLevelType w:val="multilevel"/>
    <w:tmpl w:val="E966A0C6"/>
    <w:lvl w:ilvl="0">
      <w:start w:val="4"/>
      <w:numFmt w:val="decimal"/>
      <w:suff w:val="space"/>
      <w:lvlText w:val="Recommendation %1."/>
      <w:lvlJc w:val="left"/>
      <w:pPr>
        <w:ind w:left="360" w:hanging="360"/>
      </w:pPr>
      <w:rPr>
        <w:rFonts w:asciiTheme="majorHAnsi" w:hAnsiTheme="majorHAnsi" w:hint="default"/>
        <w:b w:val="0"/>
        <w:sz w:val="23"/>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9BF48A3"/>
    <w:multiLevelType w:val="hybridMultilevel"/>
    <w:tmpl w:val="A2F88A6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0" w15:restartNumberingAfterBreak="0">
    <w:nsid w:val="370F714B"/>
    <w:multiLevelType w:val="hybridMultilevel"/>
    <w:tmpl w:val="48320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15:restartNumberingAfterBreak="0">
    <w:nsid w:val="468635DB"/>
    <w:multiLevelType w:val="hybridMultilevel"/>
    <w:tmpl w:val="9BD60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A851A2"/>
    <w:multiLevelType w:val="hybridMultilevel"/>
    <w:tmpl w:val="D6B6917E"/>
    <w:lvl w:ilvl="0" w:tplc="99F6DCF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EB0D86"/>
    <w:multiLevelType w:val="hybridMultilevel"/>
    <w:tmpl w:val="134C8AD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4DF0264B"/>
    <w:multiLevelType w:val="hybridMultilevel"/>
    <w:tmpl w:val="3836C3D2"/>
    <w:lvl w:ilvl="0" w:tplc="929E50E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49B7FCE"/>
    <w:multiLevelType w:val="hybridMultilevel"/>
    <w:tmpl w:val="A1D010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7F841BE"/>
    <w:multiLevelType w:val="hybridMultilevel"/>
    <w:tmpl w:val="930EE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C006096"/>
    <w:multiLevelType w:val="hybridMultilevel"/>
    <w:tmpl w:val="745413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D4807B2"/>
    <w:multiLevelType w:val="hybridMultilevel"/>
    <w:tmpl w:val="F57C4610"/>
    <w:lvl w:ilvl="0" w:tplc="96780D20">
      <w:start w:val="1"/>
      <w:numFmt w:val="bullet"/>
      <w:pStyle w:val="Tabletextbullet"/>
      <w:lvlText w:val="•"/>
      <w:lvlJc w:val="left"/>
      <w:pPr>
        <w:ind w:left="777" w:hanging="360"/>
      </w:pPr>
      <w:rPr>
        <w:rFonts w:ascii="Cambria" w:hAnsi="Cambria"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num w:numId="1">
    <w:abstractNumId w:val="5"/>
  </w:num>
  <w:num w:numId="2">
    <w:abstractNumId w:val="4"/>
  </w:num>
  <w:num w:numId="3">
    <w:abstractNumId w:val="5"/>
  </w:num>
  <w:num w:numId="4">
    <w:abstractNumId w:val="4"/>
  </w:num>
  <w:num w:numId="5">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19"/>
  </w:num>
  <w:num w:numId="7">
    <w:abstractNumId w:val="14"/>
  </w:num>
  <w:num w:numId="8">
    <w:abstractNumId w:val="22"/>
  </w:num>
  <w:num w:numId="9">
    <w:abstractNumId w:val="11"/>
  </w:num>
  <w:num w:numId="10">
    <w:abstractNumId w:val="18"/>
  </w:num>
  <w:num w:numId="11">
    <w:abstractNumId w:val="20"/>
  </w:num>
  <w:num w:numId="12">
    <w:abstractNumId w:val="6"/>
  </w:num>
  <w:num w:numId="13">
    <w:abstractNumId w:val="12"/>
  </w:num>
  <w:num w:numId="14">
    <w:abstractNumId w:val="9"/>
  </w:num>
  <w:num w:numId="15">
    <w:abstractNumId w:val="7"/>
  </w:num>
  <w:num w:numId="16">
    <w:abstractNumId w:val="15"/>
  </w:num>
  <w:num w:numId="17">
    <w:abstractNumId w:val="17"/>
  </w:num>
  <w:num w:numId="18">
    <w:abstractNumId w:val="2"/>
  </w:num>
  <w:num w:numId="19">
    <w:abstractNumId w:val="8"/>
  </w:num>
  <w:num w:numId="20">
    <w:abstractNumId w:val="16"/>
  </w:num>
  <w:num w:numId="21">
    <w:abstractNumId w:val="3"/>
  </w:num>
  <w:num w:numId="22">
    <w:abstractNumId w:val="10"/>
  </w:num>
  <w:num w:numId="23">
    <w:abstractNumId w:val="13"/>
  </w:num>
  <w:num w:numId="24">
    <w:abstractNumId w:val="21"/>
  </w:num>
  <w:num w:numId="25">
    <w:abstractNumId w:val="1"/>
  </w:num>
  <w:num w:numId="26">
    <w:abstractNumId w:val="0"/>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AB8"/>
    <w:rsid w:val="00002031"/>
    <w:rsid w:val="00004734"/>
    <w:rsid w:val="00006B22"/>
    <w:rsid w:val="0001276A"/>
    <w:rsid w:val="00022F7F"/>
    <w:rsid w:val="000246AE"/>
    <w:rsid w:val="00025C67"/>
    <w:rsid w:val="00044772"/>
    <w:rsid w:val="0004541C"/>
    <w:rsid w:val="00055303"/>
    <w:rsid w:val="0005559E"/>
    <w:rsid w:val="000604D6"/>
    <w:rsid w:val="000734D8"/>
    <w:rsid w:val="00075298"/>
    <w:rsid w:val="00077775"/>
    <w:rsid w:val="00077BCB"/>
    <w:rsid w:val="00082C7C"/>
    <w:rsid w:val="00090471"/>
    <w:rsid w:val="00094CCF"/>
    <w:rsid w:val="000969F9"/>
    <w:rsid w:val="00096AA7"/>
    <w:rsid w:val="000A3AED"/>
    <w:rsid w:val="000B3532"/>
    <w:rsid w:val="000B3A75"/>
    <w:rsid w:val="000C00C2"/>
    <w:rsid w:val="000C129E"/>
    <w:rsid w:val="000C690F"/>
    <w:rsid w:val="000D1295"/>
    <w:rsid w:val="000D1D48"/>
    <w:rsid w:val="000D391B"/>
    <w:rsid w:val="000D3D6D"/>
    <w:rsid w:val="000D4FC7"/>
    <w:rsid w:val="000E38D0"/>
    <w:rsid w:val="000E6196"/>
    <w:rsid w:val="000E7C32"/>
    <w:rsid w:val="000F4869"/>
    <w:rsid w:val="000F5B42"/>
    <w:rsid w:val="000F6E6F"/>
    <w:rsid w:val="0010601F"/>
    <w:rsid w:val="0010788A"/>
    <w:rsid w:val="00107A31"/>
    <w:rsid w:val="00110AA9"/>
    <w:rsid w:val="00110EA5"/>
    <w:rsid w:val="00112F56"/>
    <w:rsid w:val="00124ACD"/>
    <w:rsid w:val="00124F51"/>
    <w:rsid w:val="00125318"/>
    <w:rsid w:val="001305A2"/>
    <w:rsid w:val="00133238"/>
    <w:rsid w:val="00133A1B"/>
    <w:rsid w:val="0014197B"/>
    <w:rsid w:val="001447CD"/>
    <w:rsid w:val="001516B1"/>
    <w:rsid w:val="00154EBB"/>
    <w:rsid w:val="00156316"/>
    <w:rsid w:val="00161181"/>
    <w:rsid w:val="00162D14"/>
    <w:rsid w:val="00163780"/>
    <w:rsid w:val="00165389"/>
    <w:rsid w:val="00170A8F"/>
    <w:rsid w:val="0017693F"/>
    <w:rsid w:val="0018110E"/>
    <w:rsid w:val="00181684"/>
    <w:rsid w:val="00182626"/>
    <w:rsid w:val="00182961"/>
    <w:rsid w:val="001843C6"/>
    <w:rsid w:val="001850E0"/>
    <w:rsid w:val="001908D6"/>
    <w:rsid w:val="00197578"/>
    <w:rsid w:val="001A03AF"/>
    <w:rsid w:val="001A2158"/>
    <w:rsid w:val="001A3E3F"/>
    <w:rsid w:val="001A525F"/>
    <w:rsid w:val="001B09F9"/>
    <w:rsid w:val="001B5C90"/>
    <w:rsid w:val="001B6448"/>
    <w:rsid w:val="001C32CD"/>
    <w:rsid w:val="001D2984"/>
    <w:rsid w:val="001E07CF"/>
    <w:rsid w:val="001E59F1"/>
    <w:rsid w:val="001F2CEE"/>
    <w:rsid w:val="001F49EB"/>
    <w:rsid w:val="001F6CBA"/>
    <w:rsid w:val="00201D4E"/>
    <w:rsid w:val="002076C9"/>
    <w:rsid w:val="00220B8A"/>
    <w:rsid w:val="002219D4"/>
    <w:rsid w:val="002242A5"/>
    <w:rsid w:val="002257F3"/>
    <w:rsid w:val="00233456"/>
    <w:rsid w:val="002339A5"/>
    <w:rsid w:val="00255C41"/>
    <w:rsid w:val="00257848"/>
    <w:rsid w:val="002608ED"/>
    <w:rsid w:val="0027084A"/>
    <w:rsid w:val="00280265"/>
    <w:rsid w:val="00286434"/>
    <w:rsid w:val="00286C59"/>
    <w:rsid w:val="00291957"/>
    <w:rsid w:val="00292C7E"/>
    <w:rsid w:val="002942D1"/>
    <w:rsid w:val="0029501A"/>
    <w:rsid w:val="002A3721"/>
    <w:rsid w:val="002B1638"/>
    <w:rsid w:val="002B3624"/>
    <w:rsid w:val="002C57FB"/>
    <w:rsid w:val="002D0952"/>
    <w:rsid w:val="002D32F5"/>
    <w:rsid w:val="002D540D"/>
    <w:rsid w:val="002D5559"/>
    <w:rsid w:val="002D5D76"/>
    <w:rsid w:val="002D6420"/>
    <w:rsid w:val="002E40B3"/>
    <w:rsid w:val="002E4C9A"/>
    <w:rsid w:val="002F11F8"/>
    <w:rsid w:val="002F3F56"/>
    <w:rsid w:val="002F44B5"/>
    <w:rsid w:val="002F5122"/>
    <w:rsid w:val="00311AC0"/>
    <w:rsid w:val="003176FC"/>
    <w:rsid w:val="00317963"/>
    <w:rsid w:val="00323474"/>
    <w:rsid w:val="0032583B"/>
    <w:rsid w:val="00327883"/>
    <w:rsid w:val="00335504"/>
    <w:rsid w:val="00340C18"/>
    <w:rsid w:val="00342FD6"/>
    <w:rsid w:val="003442FD"/>
    <w:rsid w:val="00347824"/>
    <w:rsid w:val="00350567"/>
    <w:rsid w:val="00350F2C"/>
    <w:rsid w:val="003521E8"/>
    <w:rsid w:val="00355A64"/>
    <w:rsid w:val="0036216D"/>
    <w:rsid w:val="00370CE3"/>
    <w:rsid w:val="003728F3"/>
    <w:rsid w:val="003735BC"/>
    <w:rsid w:val="00373F5F"/>
    <w:rsid w:val="0037496E"/>
    <w:rsid w:val="00381199"/>
    <w:rsid w:val="00383221"/>
    <w:rsid w:val="00386150"/>
    <w:rsid w:val="003874CE"/>
    <w:rsid w:val="00390900"/>
    <w:rsid w:val="003A1B70"/>
    <w:rsid w:val="003A7F6C"/>
    <w:rsid w:val="003B0095"/>
    <w:rsid w:val="003B4D60"/>
    <w:rsid w:val="003B7E39"/>
    <w:rsid w:val="003C58DC"/>
    <w:rsid w:val="003D1CE4"/>
    <w:rsid w:val="003D1E62"/>
    <w:rsid w:val="003E0B99"/>
    <w:rsid w:val="003E2486"/>
    <w:rsid w:val="003E29C1"/>
    <w:rsid w:val="003E3208"/>
    <w:rsid w:val="003E3C30"/>
    <w:rsid w:val="003F0B04"/>
    <w:rsid w:val="003F2F0B"/>
    <w:rsid w:val="003F518F"/>
    <w:rsid w:val="0040134E"/>
    <w:rsid w:val="00403A18"/>
    <w:rsid w:val="00406D9E"/>
    <w:rsid w:val="004334C7"/>
    <w:rsid w:val="00440A2D"/>
    <w:rsid w:val="00441C3F"/>
    <w:rsid w:val="00450021"/>
    <w:rsid w:val="0045186A"/>
    <w:rsid w:val="004564A7"/>
    <w:rsid w:val="00456765"/>
    <w:rsid w:val="0045772F"/>
    <w:rsid w:val="004617BF"/>
    <w:rsid w:val="00463658"/>
    <w:rsid w:val="004637A0"/>
    <w:rsid w:val="004722CC"/>
    <w:rsid w:val="004936E4"/>
    <w:rsid w:val="00494E60"/>
    <w:rsid w:val="00497487"/>
    <w:rsid w:val="004A6189"/>
    <w:rsid w:val="004A7390"/>
    <w:rsid w:val="004B7B76"/>
    <w:rsid w:val="004C06EF"/>
    <w:rsid w:val="004C239D"/>
    <w:rsid w:val="004C2DCA"/>
    <w:rsid w:val="004C61D2"/>
    <w:rsid w:val="004E3C70"/>
    <w:rsid w:val="004E7F1A"/>
    <w:rsid w:val="004F0C4A"/>
    <w:rsid w:val="004F0F38"/>
    <w:rsid w:val="004F47D6"/>
    <w:rsid w:val="00500337"/>
    <w:rsid w:val="00501921"/>
    <w:rsid w:val="00507AF2"/>
    <w:rsid w:val="00512856"/>
    <w:rsid w:val="00530354"/>
    <w:rsid w:val="0053625B"/>
    <w:rsid w:val="005434C6"/>
    <w:rsid w:val="00543B39"/>
    <w:rsid w:val="00546154"/>
    <w:rsid w:val="00550096"/>
    <w:rsid w:val="00555280"/>
    <w:rsid w:val="00557FF9"/>
    <w:rsid w:val="00562327"/>
    <w:rsid w:val="005711D5"/>
    <w:rsid w:val="00576378"/>
    <w:rsid w:val="00577130"/>
    <w:rsid w:val="00577945"/>
    <w:rsid w:val="00577E38"/>
    <w:rsid w:val="00585322"/>
    <w:rsid w:val="005857C6"/>
    <w:rsid w:val="00591694"/>
    <w:rsid w:val="00592F6E"/>
    <w:rsid w:val="00593AD1"/>
    <w:rsid w:val="00595186"/>
    <w:rsid w:val="005A68B6"/>
    <w:rsid w:val="005C3265"/>
    <w:rsid w:val="005C5570"/>
    <w:rsid w:val="005C79A4"/>
    <w:rsid w:val="005D2715"/>
    <w:rsid w:val="005D4FE2"/>
    <w:rsid w:val="005D5442"/>
    <w:rsid w:val="005E088D"/>
    <w:rsid w:val="005E246B"/>
    <w:rsid w:val="00603F32"/>
    <w:rsid w:val="00605AD4"/>
    <w:rsid w:val="0061158C"/>
    <w:rsid w:val="006136D7"/>
    <w:rsid w:val="00615860"/>
    <w:rsid w:val="0062308D"/>
    <w:rsid w:val="00625A6E"/>
    <w:rsid w:val="0063014B"/>
    <w:rsid w:val="00632398"/>
    <w:rsid w:val="00640FC3"/>
    <w:rsid w:val="00642020"/>
    <w:rsid w:val="0065337B"/>
    <w:rsid w:val="0065419D"/>
    <w:rsid w:val="0065766C"/>
    <w:rsid w:val="006603BC"/>
    <w:rsid w:val="006604D8"/>
    <w:rsid w:val="00664A5B"/>
    <w:rsid w:val="0066735C"/>
    <w:rsid w:val="006763D2"/>
    <w:rsid w:val="00680C08"/>
    <w:rsid w:val="0068477E"/>
    <w:rsid w:val="006913EF"/>
    <w:rsid w:val="006916A0"/>
    <w:rsid w:val="006931B1"/>
    <w:rsid w:val="0069655B"/>
    <w:rsid w:val="006A15C0"/>
    <w:rsid w:val="006A58A8"/>
    <w:rsid w:val="006C3E2A"/>
    <w:rsid w:val="006C642F"/>
    <w:rsid w:val="006D03E5"/>
    <w:rsid w:val="006D5D3E"/>
    <w:rsid w:val="006E08B3"/>
    <w:rsid w:val="006E0F16"/>
    <w:rsid w:val="006F17AC"/>
    <w:rsid w:val="006F25B8"/>
    <w:rsid w:val="006F572E"/>
    <w:rsid w:val="007046D6"/>
    <w:rsid w:val="00705DB0"/>
    <w:rsid w:val="00710D96"/>
    <w:rsid w:val="00722B57"/>
    <w:rsid w:val="00726684"/>
    <w:rsid w:val="00730F8A"/>
    <w:rsid w:val="00735A8C"/>
    <w:rsid w:val="0074253D"/>
    <w:rsid w:val="00743598"/>
    <w:rsid w:val="0074429B"/>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94CFD"/>
    <w:rsid w:val="00797316"/>
    <w:rsid w:val="007A231A"/>
    <w:rsid w:val="007A46F5"/>
    <w:rsid w:val="007A55D9"/>
    <w:rsid w:val="007A6505"/>
    <w:rsid w:val="007B6132"/>
    <w:rsid w:val="007B6E9F"/>
    <w:rsid w:val="007C1216"/>
    <w:rsid w:val="007C1AF7"/>
    <w:rsid w:val="007C26E8"/>
    <w:rsid w:val="007C6B9B"/>
    <w:rsid w:val="007D794E"/>
    <w:rsid w:val="007E1EFD"/>
    <w:rsid w:val="007E5F52"/>
    <w:rsid w:val="00801B62"/>
    <w:rsid w:val="00805D27"/>
    <w:rsid w:val="00806DCB"/>
    <w:rsid w:val="00821776"/>
    <w:rsid w:val="00824BE2"/>
    <w:rsid w:val="008320E6"/>
    <w:rsid w:val="008321F5"/>
    <w:rsid w:val="00832369"/>
    <w:rsid w:val="00834660"/>
    <w:rsid w:val="00836BC2"/>
    <w:rsid w:val="00840304"/>
    <w:rsid w:val="0085156D"/>
    <w:rsid w:val="00852B28"/>
    <w:rsid w:val="0085641B"/>
    <w:rsid w:val="00857136"/>
    <w:rsid w:val="00875A6B"/>
    <w:rsid w:val="00885B11"/>
    <w:rsid w:val="00886D15"/>
    <w:rsid w:val="00887DD8"/>
    <w:rsid w:val="00891BA9"/>
    <w:rsid w:val="00896018"/>
    <w:rsid w:val="008960DD"/>
    <w:rsid w:val="0089635C"/>
    <w:rsid w:val="008978B8"/>
    <w:rsid w:val="008A094A"/>
    <w:rsid w:val="008A2B9D"/>
    <w:rsid w:val="008A3D9F"/>
    <w:rsid w:val="008A5E0B"/>
    <w:rsid w:val="008A6D59"/>
    <w:rsid w:val="008B4B03"/>
    <w:rsid w:val="008B596F"/>
    <w:rsid w:val="008C101E"/>
    <w:rsid w:val="008C159F"/>
    <w:rsid w:val="008C1623"/>
    <w:rsid w:val="008C1850"/>
    <w:rsid w:val="008C51A9"/>
    <w:rsid w:val="008C58C9"/>
    <w:rsid w:val="008E18C3"/>
    <w:rsid w:val="008E7846"/>
    <w:rsid w:val="008F02E5"/>
    <w:rsid w:val="008F1CCC"/>
    <w:rsid w:val="008F2967"/>
    <w:rsid w:val="008F6943"/>
    <w:rsid w:val="00902A21"/>
    <w:rsid w:val="0091523F"/>
    <w:rsid w:val="00920330"/>
    <w:rsid w:val="009219D7"/>
    <w:rsid w:val="00922D53"/>
    <w:rsid w:val="00923B70"/>
    <w:rsid w:val="00924482"/>
    <w:rsid w:val="00930237"/>
    <w:rsid w:val="00937C17"/>
    <w:rsid w:val="00940A89"/>
    <w:rsid w:val="00941F77"/>
    <w:rsid w:val="00946EA5"/>
    <w:rsid w:val="00963C08"/>
    <w:rsid w:val="009645E7"/>
    <w:rsid w:val="009752A5"/>
    <w:rsid w:val="0098585A"/>
    <w:rsid w:val="009917DE"/>
    <w:rsid w:val="00997B75"/>
    <w:rsid w:val="009A4CED"/>
    <w:rsid w:val="009A690D"/>
    <w:rsid w:val="009B1D12"/>
    <w:rsid w:val="009B416B"/>
    <w:rsid w:val="009B7AE8"/>
    <w:rsid w:val="009C4BD5"/>
    <w:rsid w:val="009C5CD8"/>
    <w:rsid w:val="009D7B77"/>
    <w:rsid w:val="009E0948"/>
    <w:rsid w:val="009E0BB0"/>
    <w:rsid w:val="009E3FBB"/>
    <w:rsid w:val="009F7353"/>
    <w:rsid w:val="00A04F85"/>
    <w:rsid w:val="00A05FA4"/>
    <w:rsid w:val="00A102E4"/>
    <w:rsid w:val="00A12C42"/>
    <w:rsid w:val="00A14DF7"/>
    <w:rsid w:val="00A22D57"/>
    <w:rsid w:val="00A307DE"/>
    <w:rsid w:val="00A3246D"/>
    <w:rsid w:val="00A348A0"/>
    <w:rsid w:val="00A36FA7"/>
    <w:rsid w:val="00A37709"/>
    <w:rsid w:val="00A44DDB"/>
    <w:rsid w:val="00A475B7"/>
    <w:rsid w:val="00A47AF7"/>
    <w:rsid w:val="00A47C3E"/>
    <w:rsid w:val="00A50226"/>
    <w:rsid w:val="00A54F5C"/>
    <w:rsid w:val="00A60BAD"/>
    <w:rsid w:val="00A65BE3"/>
    <w:rsid w:val="00A77F87"/>
    <w:rsid w:val="00A80B5B"/>
    <w:rsid w:val="00A8332B"/>
    <w:rsid w:val="00A83509"/>
    <w:rsid w:val="00A84E36"/>
    <w:rsid w:val="00A964D1"/>
    <w:rsid w:val="00AA0ED0"/>
    <w:rsid w:val="00AA577E"/>
    <w:rsid w:val="00AA715E"/>
    <w:rsid w:val="00AB54D0"/>
    <w:rsid w:val="00AB59A7"/>
    <w:rsid w:val="00AC2B40"/>
    <w:rsid w:val="00AC2BB2"/>
    <w:rsid w:val="00AC2C3C"/>
    <w:rsid w:val="00AC512D"/>
    <w:rsid w:val="00AD0083"/>
    <w:rsid w:val="00AD29FD"/>
    <w:rsid w:val="00AD3935"/>
    <w:rsid w:val="00AD48D7"/>
    <w:rsid w:val="00AE2B5F"/>
    <w:rsid w:val="00AE65EB"/>
    <w:rsid w:val="00AE67A7"/>
    <w:rsid w:val="00AF1421"/>
    <w:rsid w:val="00AF1D94"/>
    <w:rsid w:val="00AF30A1"/>
    <w:rsid w:val="00AF60C5"/>
    <w:rsid w:val="00B009C6"/>
    <w:rsid w:val="00B01548"/>
    <w:rsid w:val="00B02FFF"/>
    <w:rsid w:val="00B07AB8"/>
    <w:rsid w:val="00B10CCB"/>
    <w:rsid w:val="00B13EBD"/>
    <w:rsid w:val="00B21D29"/>
    <w:rsid w:val="00B25034"/>
    <w:rsid w:val="00B25535"/>
    <w:rsid w:val="00B33588"/>
    <w:rsid w:val="00B33863"/>
    <w:rsid w:val="00B37D17"/>
    <w:rsid w:val="00B4175E"/>
    <w:rsid w:val="00B41C85"/>
    <w:rsid w:val="00B452CE"/>
    <w:rsid w:val="00B54C25"/>
    <w:rsid w:val="00B57398"/>
    <w:rsid w:val="00B5763A"/>
    <w:rsid w:val="00B76B91"/>
    <w:rsid w:val="00B77EB1"/>
    <w:rsid w:val="00B811C6"/>
    <w:rsid w:val="00B855B0"/>
    <w:rsid w:val="00B92E08"/>
    <w:rsid w:val="00BA68F1"/>
    <w:rsid w:val="00BB1CE2"/>
    <w:rsid w:val="00BC622A"/>
    <w:rsid w:val="00BD1BB5"/>
    <w:rsid w:val="00BD60C9"/>
    <w:rsid w:val="00BE0A78"/>
    <w:rsid w:val="00BE79F0"/>
    <w:rsid w:val="00BF046D"/>
    <w:rsid w:val="00BF1190"/>
    <w:rsid w:val="00BF3774"/>
    <w:rsid w:val="00BF5D04"/>
    <w:rsid w:val="00C009AA"/>
    <w:rsid w:val="00C1164D"/>
    <w:rsid w:val="00C16861"/>
    <w:rsid w:val="00C26374"/>
    <w:rsid w:val="00C346AB"/>
    <w:rsid w:val="00C404A6"/>
    <w:rsid w:val="00C40A36"/>
    <w:rsid w:val="00C44419"/>
    <w:rsid w:val="00C45E7B"/>
    <w:rsid w:val="00C471B1"/>
    <w:rsid w:val="00C47D14"/>
    <w:rsid w:val="00C52E24"/>
    <w:rsid w:val="00C54528"/>
    <w:rsid w:val="00C6316B"/>
    <w:rsid w:val="00C634A9"/>
    <w:rsid w:val="00C636D8"/>
    <w:rsid w:val="00C64586"/>
    <w:rsid w:val="00C70D53"/>
    <w:rsid w:val="00C73D0B"/>
    <w:rsid w:val="00C772FF"/>
    <w:rsid w:val="00C80137"/>
    <w:rsid w:val="00C801AF"/>
    <w:rsid w:val="00C80256"/>
    <w:rsid w:val="00C8568D"/>
    <w:rsid w:val="00C94CD4"/>
    <w:rsid w:val="00C9747E"/>
    <w:rsid w:val="00CA2E63"/>
    <w:rsid w:val="00CB1A4F"/>
    <w:rsid w:val="00CB4590"/>
    <w:rsid w:val="00CB6BC0"/>
    <w:rsid w:val="00CC1B7C"/>
    <w:rsid w:val="00CC727F"/>
    <w:rsid w:val="00CE0FB2"/>
    <w:rsid w:val="00CF15C3"/>
    <w:rsid w:val="00CF2B6F"/>
    <w:rsid w:val="00CF2F3E"/>
    <w:rsid w:val="00CF58B6"/>
    <w:rsid w:val="00CF7033"/>
    <w:rsid w:val="00D0062D"/>
    <w:rsid w:val="00D00E0F"/>
    <w:rsid w:val="00D017ED"/>
    <w:rsid w:val="00D040D3"/>
    <w:rsid w:val="00D0468C"/>
    <w:rsid w:val="00D04C65"/>
    <w:rsid w:val="00D153D8"/>
    <w:rsid w:val="00D201D2"/>
    <w:rsid w:val="00D224FE"/>
    <w:rsid w:val="00D23139"/>
    <w:rsid w:val="00D273EC"/>
    <w:rsid w:val="00D41264"/>
    <w:rsid w:val="00D41A90"/>
    <w:rsid w:val="00D425BB"/>
    <w:rsid w:val="00D453FA"/>
    <w:rsid w:val="00D518BB"/>
    <w:rsid w:val="00D6493E"/>
    <w:rsid w:val="00D64F76"/>
    <w:rsid w:val="00D674E2"/>
    <w:rsid w:val="00D7195D"/>
    <w:rsid w:val="00D7301E"/>
    <w:rsid w:val="00D83AE1"/>
    <w:rsid w:val="00D84F49"/>
    <w:rsid w:val="00D855D4"/>
    <w:rsid w:val="00D902C9"/>
    <w:rsid w:val="00D90D3C"/>
    <w:rsid w:val="00D93466"/>
    <w:rsid w:val="00DA1124"/>
    <w:rsid w:val="00DB06B8"/>
    <w:rsid w:val="00DB39F5"/>
    <w:rsid w:val="00DB6124"/>
    <w:rsid w:val="00DB750B"/>
    <w:rsid w:val="00DB75B7"/>
    <w:rsid w:val="00DC0A2F"/>
    <w:rsid w:val="00DC6E02"/>
    <w:rsid w:val="00DD28CD"/>
    <w:rsid w:val="00DE02AE"/>
    <w:rsid w:val="00DE118A"/>
    <w:rsid w:val="00DE39D1"/>
    <w:rsid w:val="00DF1D7F"/>
    <w:rsid w:val="00DF4BE4"/>
    <w:rsid w:val="00E02382"/>
    <w:rsid w:val="00E02FB4"/>
    <w:rsid w:val="00E063E0"/>
    <w:rsid w:val="00E13FC7"/>
    <w:rsid w:val="00E171ED"/>
    <w:rsid w:val="00E20571"/>
    <w:rsid w:val="00E235F7"/>
    <w:rsid w:val="00E23659"/>
    <w:rsid w:val="00E239D4"/>
    <w:rsid w:val="00E26130"/>
    <w:rsid w:val="00E40B22"/>
    <w:rsid w:val="00E44C3F"/>
    <w:rsid w:val="00E44ED1"/>
    <w:rsid w:val="00E45619"/>
    <w:rsid w:val="00E4588F"/>
    <w:rsid w:val="00E46DA3"/>
    <w:rsid w:val="00E51BB1"/>
    <w:rsid w:val="00E55CB0"/>
    <w:rsid w:val="00E624A5"/>
    <w:rsid w:val="00E64BA4"/>
    <w:rsid w:val="00E72BDF"/>
    <w:rsid w:val="00E7344E"/>
    <w:rsid w:val="00E746AF"/>
    <w:rsid w:val="00E80EF1"/>
    <w:rsid w:val="00E82665"/>
    <w:rsid w:val="00EA38FE"/>
    <w:rsid w:val="00EA3CE4"/>
    <w:rsid w:val="00EB0798"/>
    <w:rsid w:val="00EB40AD"/>
    <w:rsid w:val="00EB586E"/>
    <w:rsid w:val="00EB5FC8"/>
    <w:rsid w:val="00EB7676"/>
    <w:rsid w:val="00EC463D"/>
    <w:rsid w:val="00EC7A85"/>
    <w:rsid w:val="00ED2922"/>
    <w:rsid w:val="00ED3CAD"/>
    <w:rsid w:val="00ED5A41"/>
    <w:rsid w:val="00EE1DE8"/>
    <w:rsid w:val="00EE27C2"/>
    <w:rsid w:val="00EF4BAD"/>
    <w:rsid w:val="00EF59DC"/>
    <w:rsid w:val="00F033EC"/>
    <w:rsid w:val="00F04F3B"/>
    <w:rsid w:val="00F04F68"/>
    <w:rsid w:val="00F12670"/>
    <w:rsid w:val="00F13766"/>
    <w:rsid w:val="00F14B27"/>
    <w:rsid w:val="00F3148D"/>
    <w:rsid w:val="00F325C5"/>
    <w:rsid w:val="00F32FE0"/>
    <w:rsid w:val="00F343BC"/>
    <w:rsid w:val="00F35298"/>
    <w:rsid w:val="00F47333"/>
    <w:rsid w:val="00F47E37"/>
    <w:rsid w:val="00F505AE"/>
    <w:rsid w:val="00F53C07"/>
    <w:rsid w:val="00F54B65"/>
    <w:rsid w:val="00F640B6"/>
    <w:rsid w:val="00F66DF2"/>
    <w:rsid w:val="00F80E40"/>
    <w:rsid w:val="00F848D9"/>
    <w:rsid w:val="00FA5069"/>
    <w:rsid w:val="00FA5B82"/>
    <w:rsid w:val="00FA639E"/>
    <w:rsid w:val="00FC1FCA"/>
    <w:rsid w:val="00FC25E4"/>
    <w:rsid w:val="00FC4EF7"/>
    <w:rsid w:val="00FD0824"/>
    <w:rsid w:val="00FD119B"/>
    <w:rsid w:val="00FD1EDC"/>
    <w:rsid w:val="00FD4AB0"/>
    <w:rsid w:val="00FE1DEE"/>
    <w:rsid w:val="00FE7527"/>
    <w:rsid w:val="00FF128A"/>
    <w:rsid w:val="00FF2126"/>
    <w:rsid w:val="00FF2B8D"/>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412BA6C"/>
  <w15:docId w15:val="{620F4C16-1106-4F36-9D53-0C781B661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12856"/>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unhideWhenUsed/>
    <w:qFormat/>
    <w:rsid w:val="002608E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2608ED"/>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F04F3B"/>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170A8F"/>
    <w:pPr>
      <w:autoSpaceDE w:val="0"/>
      <w:autoSpaceDN w:val="0"/>
      <w:adjustRightInd w:val="0"/>
      <w:spacing w:after="0" w:line="240" w:lineRule="auto"/>
    </w:pPr>
    <w:rPr>
      <w:rFonts w:ascii="Cambria" w:hAnsi="Cambria" w:cs="Cambria"/>
      <w:color w:val="000000"/>
      <w:sz w:val="24"/>
      <w:szCs w:val="24"/>
    </w:rPr>
  </w:style>
  <w:style w:type="paragraph" w:customStyle="1" w:styleId="Bulletpoint">
    <w:name w:val="Bullet point"/>
    <w:basedOn w:val="Normal"/>
    <w:rsid w:val="00082C7C"/>
    <w:pPr>
      <w:numPr>
        <w:numId w:val="7"/>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qFormat/>
    <w:rsid w:val="00082C7C"/>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082C7C"/>
    <w:rPr>
      <w:rFonts w:ascii="Cambria" w:eastAsia="Times New Roman" w:hAnsi="Cambria" w:cs="Times New Roman"/>
      <w:snapToGrid w:val="0"/>
      <w:kern w:val="16"/>
      <w:szCs w:val="24"/>
    </w:rPr>
  </w:style>
  <w:style w:type="character" w:customStyle="1" w:styleId="TabletextChar">
    <w:name w:val="Table text Char"/>
    <w:basedOn w:val="DefaultParagraphFont"/>
    <w:link w:val="Tabletext"/>
    <w:rsid w:val="00082C7C"/>
    <w:rPr>
      <w:rFonts w:ascii="Cambria" w:eastAsia="Cambria" w:hAnsi="Cambria" w:cs="Times New Roman"/>
      <w:sz w:val="19"/>
    </w:rPr>
  </w:style>
  <w:style w:type="paragraph" w:customStyle="1" w:styleId="Tabletextbullet">
    <w:name w:val="Table text (bullet)"/>
    <w:basedOn w:val="Tabletext"/>
    <w:rsid w:val="00082C7C"/>
    <w:pPr>
      <w:numPr>
        <w:numId w:val="8"/>
      </w:numPr>
      <w:tabs>
        <w:tab w:val="num" w:pos="360"/>
      </w:tabs>
      <w:spacing w:before="30" w:after="30" w:line="200" w:lineRule="exact"/>
      <w:ind w:left="170" w:right="57" w:hanging="113"/>
    </w:pPr>
    <w:rPr>
      <w:rFonts w:eastAsia="Times New Roman"/>
      <w:snapToGrid w:val="0"/>
      <w:kern w:val="16"/>
      <w:sz w:val="18"/>
      <w:szCs w:val="19"/>
    </w:rPr>
  </w:style>
  <w:style w:type="paragraph" w:customStyle="1" w:styleId="WhiteSpace">
    <w:name w:val="White Space"/>
    <w:basedOn w:val="Standard"/>
    <w:next w:val="Standard"/>
    <w:link w:val="WhiteSpaceChar"/>
    <w:rsid w:val="002C57FB"/>
    <w:pPr>
      <w:spacing w:after="0"/>
    </w:pPr>
    <w:rPr>
      <w:sz w:val="16"/>
      <w:szCs w:val="16"/>
    </w:rPr>
  </w:style>
  <w:style w:type="character" w:customStyle="1" w:styleId="WhiteSpaceChar">
    <w:name w:val="White Space Char"/>
    <w:basedOn w:val="DefaultParagraphFont"/>
    <w:link w:val="WhiteSpace"/>
    <w:rsid w:val="002C57FB"/>
    <w:rPr>
      <w:rFonts w:ascii="Cambria" w:eastAsia="Times New Roman" w:hAnsi="Cambria" w:cs="Times New Roman"/>
      <w:snapToGrid w:val="0"/>
      <w:kern w:val="16"/>
      <w:sz w:val="16"/>
      <w:szCs w:val="16"/>
    </w:rPr>
  </w:style>
  <w:style w:type="paragraph" w:customStyle="1" w:styleId="TableHeader">
    <w:name w:val="Table Header"/>
    <w:basedOn w:val="Normal"/>
    <w:rsid w:val="002C57FB"/>
    <w:pPr>
      <w:keepNext/>
      <w:keepLines/>
      <w:widowControl w:val="0"/>
      <w:spacing w:before="60" w:after="60" w:line="200" w:lineRule="exact"/>
      <w:jc w:val="center"/>
    </w:pPr>
    <w:rPr>
      <w:rFonts w:eastAsia="MS Mincho" w:cstheme="minorBidi"/>
      <w:b/>
      <w:kern w:val="2"/>
      <w:sz w:val="19"/>
      <w:szCs w:val="19"/>
    </w:rPr>
  </w:style>
  <w:style w:type="character" w:customStyle="1" w:styleId="Heading8Char">
    <w:name w:val="Heading 8 Char"/>
    <w:basedOn w:val="DefaultParagraphFont"/>
    <w:link w:val="Heading8"/>
    <w:uiPriority w:val="9"/>
    <w:rsid w:val="002608E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2608ED"/>
    <w:rPr>
      <w:rFonts w:asciiTheme="majorHAnsi" w:eastAsiaTheme="majorEastAsia" w:hAnsiTheme="majorHAnsi" w:cstheme="majorBidi"/>
      <w:i/>
      <w:iCs/>
      <w:color w:val="404040" w:themeColor="text1" w:themeTint="BF"/>
      <w:sz w:val="20"/>
      <w:szCs w:val="20"/>
    </w:rPr>
  </w:style>
  <w:style w:type="paragraph" w:customStyle="1" w:styleId="TableHeading">
    <w:name w:val="Table Heading"/>
    <w:basedOn w:val="Normal"/>
    <w:rsid w:val="002608ED"/>
    <w:rPr>
      <w:rFonts w:ascii="Calibri" w:eastAsia="Calibri" w:hAnsi="Calibri"/>
      <w:b/>
      <w:color w:val="FFFFFF"/>
      <w:sz w:val="20"/>
    </w:rPr>
  </w:style>
  <w:style w:type="paragraph" w:customStyle="1" w:styleId="Tabletitle0">
    <w:name w:val="Table title"/>
    <w:basedOn w:val="Normal"/>
    <w:next w:val="Normal"/>
    <w:rsid w:val="002608ED"/>
    <w:pPr>
      <w:keepNext/>
      <w:spacing w:after="180"/>
      <w:outlineLvl w:val="4"/>
    </w:pPr>
    <w:rPr>
      <w:rFonts w:cstheme="minorBidi"/>
      <w:b/>
    </w:rPr>
  </w:style>
  <w:style w:type="paragraph" w:customStyle="1" w:styleId="Bullet2">
    <w:name w:val="Bullet 2"/>
    <w:basedOn w:val="Normal"/>
    <w:rsid w:val="002608ED"/>
    <w:pPr>
      <w:numPr>
        <w:numId w:val="9"/>
      </w:numPr>
      <w:spacing w:after="0" w:line="240" w:lineRule="auto"/>
    </w:pPr>
    <w:rPr>
      <w:rFonts w:eastAsia="Times New Roman"/>
      <w:kern w:val="24"/>
      <w:szCs w:val="24"/>
      <w:lang w:eastAsia="en-AU"/>
    </w:rPr>
  </w:style>
  <w:style w:type="paragraph" w:customStyle="1" w:styleId="Instructions1">
    <w:name w:val="Instructions 1"/>
    <w:basedOn w:val="Normal"/>
    <w:qFormat/>
    <w:rsid w:val="002608ED"/>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2608ED"/>
    <w:pPr>
      <w:numPr>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2608E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2608ED"/>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2608ED"/>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2608ED"/>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2608ED"/>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2608ED"/>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2608ED"/>
    <w:pPr>
      <w:spacing w:before="0" w:after="0"/>
      <w:ind w:left="1760"/>
    </w:pPr>
    <w:rPr>
      <w:rFonts w:asciiTheme="minorHAnsi" w:hAnsiTheme="minorHAnsi"/>
      <w:sz w:val="18"/>
      <w:szCs w:val="18"/>
    </w:rPr>
  </w:style>
  <w:style w:type="paragraph" w:styleId="TableofFigures">
    <w:name w:val="table of figures"/>
    <w:basedOn w:val="Normal"/>
    <w:next w:val="Normal"/>
    <w:uiPriority w:val="99"/>
    <w:unhideWhenUsed/>
    <w:rsid w:val="002608ED"/>
    <w:pPr>
      <w:spacing w:after="0"/>
    </w:pPr>
  </w:style>
  <w:style w:type="paragraph" w:styleId="ListParagraph">
    <w:name w:val="List Paragraph"/>
    <w:basedOn w:val="Normal"/>
    <w:uiPriority w:val="34"/>
    <w:rsid w:val="002608ED"/>
    <w:pPr>
      <w:ind w:left="720"/>
      <w:contextualSpacing/>
    </w:pPr>
  </w:style>
  <w:style w:type="paragraph" w:styleId="BodyText">
    <w:name w:val="Body Text"/>
    <w:basedOn w:val="Normal"/>
    <w:link w:val="BodyTextChar"/>
    <w:uiPriority w:val="1"/>
    <w:qFormat/>
    <w:rsid w:val="002608ED"/>
    <w:pPr>
      <w:autoSpaceDE w:val="0"/>
      <w:autoSpaceDN w:val="0"/>
      <w:adjustRightInd w:val="0"/>
      <w:spacing w:before="119" w:after="0" w:line="240" w:lineRule="auto"/>
      <w:ind w:left="94"/>
    </w:pPr>
    <w:rPr>
      <w:rFonts w:ascii="Arial" w:eastAsiaTheme="minorHAnsi" w:hAnsi="Arial" w:cs="Arial"/>
      <w:sz w:val="20"/>
      <w:szCs w:val="20"/>
    </w:rPr>
  </w:style>
  <w:style w:type="character" w:customStyle="1" w:styleId="BodyTextChar">
    <w:name w:val="Body Text Char"/>
    <w:basedOn w:val="DefaultParagraphFont"/>
    <w:link w:val="BodyText"/>
    <w:uiPriority w:val="1"/>
    <w:rsid w:val="002608ED"/>
    <w:rPr>
      <w:rFonts w:ascii="Arial" w:hAnsi="Arial" w:cs="Arial"/>
      <w:sz w:val="20"/>
      <w:szCs w:val="20"/>
    </w:rPr>
  </w:style>
  <w:style w:type="paragraph" w:customStyle="1" w:styleId="p7">
    <w:name w:val="p7"/>
    <w:basedOn w:val="Normal"/>
    <w:rsid w:val="002608ED"/>
    <w:pPr>
      <w:tabs>
        <w:tab w:val="left" w:pos="380"/>
      </w:tabs>
      <w:spacing w:before="0" w:after="0" w:line="280" w:lineRule="atLeast"/>
      <w:ind w:left="1008" w:hanging="432"/>
    </w:pPr>
    <w:rPr>
      <w:rFonts w:ascii="Times New Roman" w:eastAsia="Times New Roman" w:hAnsi="Times New Roman"/>
      <w:sz w:val="24"/>
      <w:szCs w:val="20"/>
      <w:lang w:val="en-US"/>
    </w:rPr>
  </w:style>
  <w:style w:type="paragraph" w:customStyle="1" w:styleId="Bulletlist">
    <w:name w:val="Bullet list"/>
    <w:basedOn w:val="Standard"/>
    <w:link w:val="BulletlistChar"/>
    <w:qFormat/>
    <w:rsid w:val="007A55D9"/>
    <w:pPr>
      <w:numPr>
        <w:numId w:val="18"/>
      </w:numPr>
      <w:spacing w:after="180"/>
      <w:ind w:left="426" w:hanging="284"/>
    </w:pPr>
    <w:rPr>
      <w:kern w:val="2"/>
      <w:sz w:val="23"/>
    </w:rPr>
  </w:style>
  <w:style w:type="character" w:customStyle="1" w:styleId="BulletlistChar">
    <w:name w:val="Bullet list Char"/>
    <w:basedOn w:val="StandardChar"/>
    <w:link w:val="Bulletlist"/>
    <w:rsid w:val="007A55D9"/>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7A55D9"/>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7A55D9"/>
    <w:rPr>
      <w:rFonts w:ascii="Cambria" w:eastAsia="Times New Roman" w:hAnsi="Cambria" w:cs="Times New Roman"/>
      <w:b/>
      <w:snapToGrid w:val="0"/>
      <w:kern w:val="16"/>
      <w:sz w:val="20"/>
      <w:szCs w:val="24"/>
    </w:rPr>
  </w:style>
  <w:style w:type="character" w:customStyle="1" w:styleId="keywords">
    <w:name w:val="keywords"/>
    <w:basedOn w:val="DefaultParagraphFont"/>
    <w:rsid w:val="006158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mailto:info@tga.gov.au" TargetMode="External"/><Relationship Id="rId47" Type="http://schemas.openxmlformats.org/officeDocument/2006/relationships/header" Target="header9.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4.xm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www.tga.gov.au/product-information-pi" TargetMode="External"/><Relationship Id="rId40" Type="http://schemas.openxmlformats.org/officeDocument/2006/relationships/header" Target="header6.xml"/><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eader" Target="header7.xml"/><Relationship Id="rId52"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www.tga.gov.au" TargetMode="External"/><Relationship Id="rId48" Type="http://schemas.openxmlformats.org/officeDocument/2006/relationships/footer" Target="footer6.xml"/><Relationship Id="rId8" Type="http://schemas.openxmlformats.org/officeDocument/2006/relationships/hyperlink" Target="https://www.tga.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GUL\AppData\Local\Hewlett-Packard\HP%20TRIM\TEMP\HPTRIM.451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BC05E-882D-4D91-BE2A-6E77212C7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16</TotalTime>
  <Pages>67</Pages>
  <Words>21029</Words>
  <Characters>119866</Characters>
  <Application>Microsoft Office Word</Application>
  <DocSecurity>0</DocSecurity>
  <Lines>998</Lines>
  <Paragraphs>281</Paragraphs>
  <ScaleCrop>false</ScaleCrop>
  <HeadingPairs>
    <vt:vector size="2" baseType="variant">
      <vt:variant>
        <vt:lpstr>Title</vt:lpstr>
      </vt:variant>
      <vt:variant>
        <vt:i4>1</vt:i4>
      </vt:variant>
    </vt:vector>
  </HeadingPairs>
  <TitlesOfParts>
    <vt:vector size="1" baseType="lpstr">
      <vt:lpstr>Australian Public Assessment Report for Tofacitinib (as citrate)</vt:lpstr>
    </vt:vector>
  </TitlesOfParts>
  <Company>Department of Health Therapeutic Goods Administration</Company>
  <LinksUpToDate>false</LinksUpToDate>
  <CharactersWithSpaces>140614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Tofacitinib (as citrate)</dc:title>
  <dc:subject>prescription medicines</dc:subject>
  <dc:creator>Therapeutic Goods Administration</dc:creator>
  <cp:keywords>AusPARs</cp:keywords>
  <cp:lastPrinted>2015-09-22T23:39:00Z</cp:lastPrinted>
  <dcterms:created xsi:type="dcterms:W3CDTF">2019-10-15T04:44:00Z</dcterms:created>
  <dcterms:modified xsi:type="dcterms:W3CDTF">2019-10-15T05:16:00Z</dcterms:modified>
  <cp:category/>
</cp:coreProperties>
</file>