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81470B8" w14:textId="77777777" w:rsidTr="00BF1190">
        <w:trPr>
          <w:trHeight w:val="1863"/>
        </w:trPr>
        <w:tc>
          <w:tcPr>
            <w:tcW w:w="3652" w:type="dxa"/>
            <w:tcBorders>
              <w:top w:val="nil"/>
              <w:left w:val="nil"/>
              <w:bottom w:val="nil"/>
              <w:right w:val="nil"/>
            </w:tcBorders>
          </w:tcPr>
          <w:p w14:paraId="2130CC25" w14:textId="6A2471A1" w:rsidR="008E7846" w:rsidRPr="00096AA7" w:rsidRDefault="00AD3BFD" w:rsidP="00096AA7">
            <w:pPr>
              <w:rPr>
                <w:rFonts w:ascii="Arial" w:hAnsi="Arial" w:cs="Arial"/>
                <w:b/>
                <w:color w:val="002C47"/>
                <w:sz w:val="36"/>
                <w:szCs w:val="36"/>
              </w:rPr>
            </w:pPr>
            <w:r>
              <w:rPr>
                <w:rFonts w:ascii="Arial" w:hAnsi="Arial" w:cs="Arial"/>
                <w:b/>
                <w:color w:val="002C47"/>
                <w:sz w:val="36"/>
                <w:szCs w:val="36"/>
              </w:rPr>
              <w:t xml:space="preserve">September </w:t>
            </w:r>
            <w:r w:rsidR="00DE1377">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B4ECC91" w14:textId="77777777" w:rsidTr="0032583B">
        <w:trPr>
          <w:trHeight w:val="868"/>
        </w:trPr>
        <w:tc>
          <w:tcPr>
            <w:tcW w:w="9079" w:type="dxa"/>
          </w:tcPr>
          <w:p w14:paraId="73353568" w14:textId="1A8F5951"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DE1377" w:rsidRPr="00DE1377">
              <w:rPr>
                <w:color w:val="FFFFFF" w:themeColor="background1"/>
              </w:rPr>
              <w:t>Tofacitinib</w:t>
            </w:r>
            <w:proofErr w:type="spellEnd"/>
            <w:r w:rsidR="0064631E">
              <w:rPr>
                <w:color w:val="FFFFFF" w:themeColor="background1"/>
              </w:rPr>
              <w:t xml:space="preserve"> (as citrate)</w:t>
            </w:r>
          </w:p>
        </w:tc>
      </w:tr>
      <w:tr w:rsidR="0032583B" w:rsidRPr="00B64760" w14:paraId="2D3BE5EF" w14:textId="77777777" w:rsidTr="0032583B">
        <w:tc>
          <w:tcPr>
            <w:tcW w:w="9079" w:type="dxa"/>
          </w:tcPr>
          <w:p w14:paraId="790AC531" w14:textId="77777777"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DE1377">
              <w:rPr>
                <w:color w:val="FFFFFF" w:themeColor="background1"/>
              </w:rPr>
              <w:t>X</w:t>
            </w:r>
            <w:r w:rsidR="00DE1377" w:rsidRPr="00DE1377">
              <w:rPr>
                <w:color w:val="FFFFFF" w:themeColor="background1"/>
              </w:rPr>
              <w:t>eljanz</w:t>
            </w:r>
            <w:proofErr w:type="spellEnd"/>
          </w:p>
        </w:tc>
      </w:tr>
      <w:tr w:rsidR="0032583B" w:rsidRPr="00B64760" w14:paraId="486205E2" w14:textId="77777777" w:rsidTr="0032583B">
        <w:trPr>
          <w:trHeight w:val="486"/>
        </w:trPr>
        <w:tc>
          <w:tcPr>
            <w:tcW w:w="9079" w:type="dxa"/>
          </w:tcPr>
          <w:p w14:paraId="6DF0C27C"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DE1377" w:rsidRPr="00DE1377">
              <w:rPr>
                <w:color w:val="FFFFFF" w:themeColor="background1"/>
              </w:rPr>
              <w:t>Pfizer Australia Pty Ltd</w:t>
            </w:r>
          </w:p>
        </w:tc>
      </w:tr>
    </w:tbl>
    <w:p w14:paraId="73888C3C" w14:textId="77777777" w:rsidR="008E7846" w:rsidRPr="0085156D" w:rsidRDefault="008E7846" w:rsidP="0085156D">
      <w:r w:rsidRPr="0085156D">
        <w:br w:type="page"/>
      </w:r>
    </w:p>
    <w:p w14:paraId="5878D188" w14:textId="77777777" w:rsidR="008E7846" w:rsidRPr="001F6CBA" w:rsidRDefault="008E7846" w:rsidP="008E7846">
      <w:pPr>
        <w:pStyle w:val="NonTOCHeading2"/>
      </w:pPr>
      <w:r w:rsidRPr="001F6CBA">
        <w:lastRenderedPageBreak/>
        <w:t>About the Therapeutic Goods Administration (TGA)</w:t>
      </w:r>
    </w:p>
    <w:p w14:paraId="2E0B3270" w14:textId="77777777" w:rsidR="008E7846" w:rsidRDefault="008E7846" w:rsidP="00BB24E0">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E9AB8F7" w14:textId="77777777" w:rsidR="008E7846" w:rsidRDefault="00C80137" w:rsidP="00BB24E0">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0B6EA79" w14:textId="77777777" w:rsidR="008E7846" w:rsidRDefault="008E7846" w:rsidP="00BB24E0">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544DD87B" w14:textId="77777777" w:rsidR="008E7846" w:rsidRDefault="008E7846" w:rsidP="00BB24E0">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4976CD2F" w14:textId="77777777" w:rsidR="00441C3F" w:rsidRDefault="008E7846" w:rsidP="00BB24E0">
      <w:pPr>
        <w:pStyle w:val="ListBullet"/>
        <w:numPr>
          <w:ilvl w:val="0"/>
          <w:numId w:val="1"/>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6DAA707E" w14:textId="77777777" w:rsidR="008E7846" w:rsidRDefault="008E7846" w:rsidP="00875A6B">
      <w:pPr>
        <w:pStyle w:val="NonTOCHeading2"/>
      </w:pPr>
      <w:r>
        <w:t>About AusPARs</w:t>
      </w:r>
    </w:p>
    <w:p w14:paraId="3EAA8B9B" w14:textId="77777777" w:rsidR="008E7846" w:rsidRDefault="008E7846" w:rsidP="00BB24E0">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2FBAA0A3" w14:textId="77777777" w:rsidR="008E7846" w:rsidRDefault="008E7846" w:rsidP="00BB24E0">
      <w:pPr>
        <w:pStyle w:val="ListBullet"/>
        <w:numPr>
          <w:ilvl w:val="0"/>
          <w:numId w:val="1"/>
        </w:numPr>
        <w:ind w:left="357" w:hanging="357"/>
      </w:pPr>
      <w:r>
        <w:t>AusPARs are prepared and published by the TGA.</w:t>
      </w:r>
    </w:p>
    <w:p w14:paraId="25B15333" w14:textId="77777777" w:rsidR="008E7846" w:rsidRDefault="008E7846" w:rsidP="00BB24E0">
      <w:pPr>
        <w:pStyle w:val="ListBullet"/>
        <w:numPr>
          <w:ilvl w:val="0"/>
          <w:numId w:val="1"/>
        </w:numPr>
        <w:ind w:left="357" w:hanging="357"/>
      </w:pPr>
      <w:r>
        <w:t>An AusPAR is prepared for submissions that relate to new chemical entities, generic medicines, major variations and extensions of indications.</w:t>
      </w:r>
    </w:p>
    <w:p w14:paraId="1ED19808" w14:textId="77777777" w:rsidR="008E7846" w:rsidRDefault="008E7846" w:rsidP="00BB24E0">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9C22FD7" w14:textId="77777777" w:rsidR="00B452CE" w:rsidRDefault="008E7846" w:rsidP="00BB24E0">
      <w:pPr>
        <w:pStyle w:val="ListBullet"/>
        <w:numPr>
          <w:ilvl w:val="0"/>
          <w:numId w:val="1"/>
        </w:numPr>
        <w:ind w:left="357" w:hanging="357"/>
      </w:pPr>
      <w:r>
        <w:t>A new AusPAR will be developed to reflect changes to indications and/or major variations to a prescription medicine subject to evaluation by the TGA.</w:t>
      </w:r>
    </w:p>
    <w:p w14:paraId="59B22924" w14:textId="77777777" w:rsidR="00924482" w:rsidRPr="00DF1D7F" w:rsidRDefault="00924482" w:rsidP="00F54B65">
      <w:pPr>
        <w:pStyle w:val="LegalSubheading"/>
        <w:spacing w:before="3120"/>
      </w:pPr>
      <w:r w:rsidRPr="00DF1D7F">
        <w:t>Copyright</w:t>
      </w:r>
    </w:p>
    <w:p w14:paraId="22E12259" w14:textId="77777777"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31EF62C3"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7AC8FAE" w14:textId="77777777" w:rsidR="0089635C" w:rsidRPr="0089635C" w:rsidRDefault="0089635C" w:rsidP="0010788A">
          <w:pPr>
            <w:pStyle w:val="Contents"/>
          </w:pPr>
          <w:r w:rsidRPr="0010788A">
            <w:t>Cont</w:t>
          </w:r>
          <w:bookmarkStart w:id="2" w:name="_GoBack"/>
          <w:bookmarkEnd w:id="2"/>
          <w:r w:rsidRPr="0010788A">
            <w:t>ents</w:t>
          </w:r>
        </w:p>
        <w:p w14:paraId="1A3CBD39" w14:textId="4B58495A" w:rsidR="009870DC"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0301880" w:history="1">
            <w:r w:rsidR="009870DC" w:rsidRPr="003F764D">
              <w:rPr>
                <w:rStyle w:val="Hyperlink"/>
                <w:noProof/>
              </w:rPr>
              <w:t>Common abbreviations</w:t>
            </w:r>
            <w:r w:rsidR="009870DC">
              <w:rPr>
                <w:noProof/>
                <w:webHidden/>
              </w:rPr>
              <w:tab/>
            </w:r>
            <w:r w:rsidR="009870DC">
              <w:rPr>
                <w:noProof/>
                <w:webHidden/>
              </w:rPr>
              <w:fldChar w:fldCharType="begin"/>
            </w:r>
            <w:r w:rsidR="009870DC">
              <w:rPr>
                <w:noProof/>
                <w:webHidden/>
              </w:rPr>
              <w:instrText xml:space="preserve"> PAGEREF _Toc20301880 \h </w:instrText>
            </w:r>
            <w:r w:rsidR="009870DC">
              <w:rPr>
                <w:noProof/>
                <w:webHidden/>
              </w:rPr>
            </w:r>
            <w:r w:rsidR="009870DC">
              <w:rPr>
                <w:noProof/>
                <w:webHidden/>
              </w:rPr>
              <w:fldChar w:fldCharType="separate"/>
            </w:r>
            <w:r w:rsidR="009870DC">
              <w:rPr>
                <w:noProof/>
                <w:webHidden/>
              </w:rPr>
              <w:t>5</w:t>
            </w:r>
            <w:r w:rsidR="009870DC">
              <w:rPr>
                <w:noProof/>
                <w:webHidden/>
              </w:rPr>
              <w:fldChar w:fldCharType="end"/>
            </w:r>
          </w:hyperlink>
        </w:p>
        <w:p w14:paraId="2733FC9D" w14:textId="5EBD70D9" w:rsidR="009870DC" w:rsidRDefault="009870DC">
          <w:pPr>
            <w:pStyle w:val="TOC2"/>
            <w:rPr>
              <w:rFonts w:asciiTheme="minorHAnsi" w:eastAsiaTheme="minorEastAsia" w:hAnsiTheme="minorHAnsi" w:cstheme="minorBidi"/>
              <w:b w:val="0"/>
              <w:noProof/>
              <w:sz w:val="22"/>
              <w:lang w:eastAsia="en-AU"/>
            </w:rPr>
          </w:pPr>
          <w:hyperlink w:anchor="_Toc20301881" w:history="1">
            <w:r w:rsidRPr="003F764D">
              <w:rPr>
                <w:rStyle w:val="Hyperlink"/>
                <w:noProof/>
              </w:rPr>
              <w:t>I. Introduction to product submission</w:t>
            </w:r>
            <w:r>
              <w:rPr>
                <w:noProof/>
                <w:webHidden/>
              </w:rPr>
              <w:tab/>
            </w:r>
            <w:r>
              <w:rPr>
                <w:noProof/>
                <w:webHidden/>
              </w:rPr>
              <w:fldChar w:fldCharType="begin"/>
            </w:r>
            <w:r>
              <w:rPr>
                <w:noProof/>
                <w:webHidden/>
              </w:rPr>
              <w:instrText xml:space="preserve"> PAGEREF _Toc20301881 \h </w:instrText>
            </w:r>
            <w:r>
              <w:rPr>
                <w:noProof/>
                <w:webHidden/>
              </w:rPr>
            </w:r>
            <w:r>
              <w:rPr>
                <w:noProof/>
                <w:webHidden/>
              </w:rPr>
              <w:fldChar w:fldCharType="separate"/>
            </w:r>
            <w:r>
              <w:rPr>
                <w:noProof/>
                <w:webHidden/>
              </w:rPr>
              <w:t>10</w:t>
            </w:r>
            <w:r>
              <w:rPr>
                <w:noProof/>
                <w:webHidden/>
              </w:rPr>
              <w:fldChar w:fldCharType="end"/>
            </w:r>
          </w:hyperlink>
        </w:p>
        <w:p w14:paraId="106EE2C3" w14:textId="0CAEDAD9" w:rsidR="009870DC" w:rsidRDefault="009870DC">
          <w:pPr>
            <w:pStyle w:val="TOC3"/>
            <w:rPr>
              <w:rFonts w:asciiTheme="minorHAnsi" w:eastAsiaTheme="minorEastAsia" w:hAnsiTheme="minorHAnsi" w:cstheme="minorBidi"/>
              <w:noProof/>
              <w:lang w:eastAsia="en-AU"/>
            </w:rPr>
          </w:pPr>
          <w:hyperlink w:anchor="_Toc20301882" w:history="1">
            <w:r w:rsidRPr="003F764D">
              <w:rPr>
                <w:rStyle w:val="Hyperlink"/>
                <w:noProof/>
                <w:lang w:eastAsia="en-AU"/>
              </w:rPr>
              <w:t>Submission details</w:t>
            </w:r>
            <w:r>
              <w:rPr>
                <w:noProof/>
                <w:webHidden/>
              </w:rPr>
              <w:tab/>
            </w:r>
            <w:r>
              <w:rPr>
                <w:noProof/>
                <w:webHidden/>
              </w:rPr>
              <w:fldChar w:fldCharType="begin"/>
            </w:r>
            <w:r>
              <w:rPr>
                <w:noProof/>
                <w:webHidden/>
              </w:rPr>
              <w:instrText xml:space="preserve"> PAGEREF _Toc20301882 \h </w:instrText>
            </w:r>
            <w:r>
              <w:rPr>
                <w:noProof/>
                <w:webHidden/>
              </w:rPr>
            </w:r>
            <w:r>
              <w:rPr>
                <w:noProof/>
                <w:webHidden/>
              </w:rPr>
              <w:fldChar w:fldCharType="separate"/>
            </w:r>
            <w:r>
              <w:rPr>
                <w:noProof/>
                <w:webHidden/>
              </w:rPr>
              <w:t>10</w:t>
            </w:r>
            <w:r>
              <w:rPr>
                <w:noProof/>
                <w:webHidden/>
              </w:rPr>
              <w:fldChar w:fldCharType="end"/>
            </w:r>
          </w:hyperlink>
        </w:p>
        <w:p w14:paraId="08FE1082" w14:textId="516922A9" w:rsidR="009870DC" w:rsidRDefault="009870DC">
          <w:pPr>
            <w:pStyle w:val="TOC3"/>
            <w:rPr>
              <w:rFonts w:asciiTheme="minorHAnsi" w:eastAsiaTheme="minorEastAsia" w:hAnsiTheme="minorHAnsi" w:cstheme="minorBidi"/>
              <w:noProof/>
              <w:lang w:eastAsia="en-AU"/>
            </w:rPr>
          </w:pPr>
          <w:hyperlink w:anchor="_Toc20301883" w:history="1">
            <w:r w:rsidRPr="003F764D">
              <w:rPr>
                <w:rStyle w:val="Hyperlink"/>
                <w:noProof/>
              </w:rPr>
              <w:t>Product background</w:t>
            </w:r>
            <w:r>
              <w:rPr>
                <w:noProof/>
                <w:webHidden/>
              </w:rPr>
              <w:tab/>
            </w:r>
            <w:r>
              <w:rPr>
                <w:noProof/>
                <w:webHidden/>
              </w:rPr>
              <w:fldChar w:fldCharType="begin"/>
            </w:r>
            <w:r>
              <w:rPr>
                <w:noProof/>
                <w:webHidden/>
              </w:rPr>
              <w:instrText xml:space="preserve"> PAGEREF _Toc20301883 \h </w:instrText>
            </w:r>
            <w:r>
              <w:rPr>
                <w:noProof/>
                <w:webHidden/>
              </w:rPr>
            </w:r>
            <w:r>
              <w:rPr>
                <w:noProof/>
                <w:webHidden/>
              </w:rPr>
              <w:fldChar w:fldCharType="separate"/>
            </w:r>
            <w:r>
              <w:rPr>
                <w:noProof/>
                <w:webHidden/>
              </w:rPr>
              <w:t>11</w:t>
            </w:r>
            <w:r>
              <w:rPr>
                <w:noProof/>
                <w:webHidden/>
              </w:rPr>
              <w:fldChar w:fldCharType="end"/>
            </w:r>
          </w:hyperlink>
        </w:p>
        <w:p w14:paraId="15CC1183" w14:textId="4F8555CF" w:rsidR="009870DC" w:rsidRDefault="009870DC">
          <w:pPr>
            <w:pStyle w:val="TOC3"/>
            <w:rPr>
              <w:rFonts w:asciiTheme="minorHAnsi" w:eastAsiaTheme="minorEastAsia" w:hAnsiTheme="minorHAnsi" w:cstheme="minorBidi"/>
              <w:noProof/>
              <w:lang w:eastAsia="en-AU"/>
            </w:rPr>
          </w:pPr>
          <w:hyperlink w:anchor="_Toc20301884" w:history="1">
            <w:r w:rsidRPr="003F764D">
              <w:rPr>
                <w:rStyle w:val="Hyperlink"/>
                <w:noProof/>
              </w:rPr>
              <w:t>Regulatory status</w:t>
            </w:r>
            <w:r>
              <w:rPr>
                <w:noProof/>
                <w:webHidden/>
              </w:rPr>
              <w:tab/>
            </w:r>
            <w:r>
              <w:rPr>
                <w:noProof/>
                <w:webHidden/>
              </w:rPr>
              <w:fldChar w:fldCharType="begin"/>
            </w:r>
            <w:r>
              <w:rPr>
                <w:noProof/>
                <w:webHidden/>
              </w:rPr>
              <w:instrText xml:space="preserve"> PAGEREF _Toc20301884 \h </w:instrText>
            </w:r>
            <w:r>
              <w:rPr>
                <w:noProof/>
                <w:webHidden/>
              </w:rPr>
            </w:r>
            <w:r>
              <w:rPr>
                <w:noProof/>
                <w:webHidden/>
              </w:rPr>
              <w:fldChar w:fldCharType="separate"/>
            </w:r>
            <w:r>
              <w:rPr>
                <w:noProof/>
                <w:webHidden/>
              </w:rPr>
              <w:t>11</w:t>
            </w:r>
            <w:r>
              <w:rPr>
                <w:noProof/>
                <w:webHidden/>
              </w:rPr>
              <w:fldChar w:fldCharType="end"/>
            </w:r>
          </w:hyperlink>
        </w:p>
        <w:p w14:paraId="50C8909A" w14:textId="6878314C" w:rsidR="009870DC" w:rsidRDefault="009870DC">
          <w:pPr>
            <w:pStyle w:val="TOC3"/>
            <w:rPr>
              <w:rFonts w:asciiTheme="minorHAnsi" w:eastAsiaTheme="minorEastAsia" w:hAnsiTheme="minorHAnsi" w:cstheme="minorBidi"/>
              <w:noProof/>
              <w:lang w:eastAsia="en-AU"/>
            </w:rPr>
          </w:pPr>
          <w:hyperlink w:anchor="_Toc20301885" w:history="1">
            <w:r w:rsidRPr="003F764D">
              <w:rPr>
                <w:rStyle w:val="Hyperlink"/>
                <w:noProof/>
              </w:rPr>
              <w:t>Product Information</w:t>
            </w:r>
            <w:r>
              <w:rPr>
                <w:noProof/>
                <w:webHidden/>
              </w:rPr>
              <w:tab/>
            </w:r>
            <w:r>
              <w:rPr>
                <w:noProof/>
                <w:webHidden/>
              </w:rPr>
              <w:fldChar w:fldCharType="begin"/>
            </w:r>
            <w:r>
              <w:rPr>
                <w:noProof/>
                <w:webHidden/>
              </w:rPr>
              <w:instrText xml:space="preserve"> PAGEREF _Toc20301885 \h </w:instrText>
            </w:r>
            <w:r>
              <w:rPr>
                <w:noProof/>
                <w:webHidden/>
              </w:rPr>
            </w:r>
            <w:r>
              <w:rPr>
                <w:noProof/>
                <w:webHidden/>
              </w:rPr>
              <w:fldChar w:fldCharType="separate"/>
            </w:r>
            <w:r>
              <w:rPr>
                <w:noProof/>
                <w:webHidden/>
              </w:rPr>
              <w:t>13</w:t>
            </w:r>
            <w:r>
              <w:rPr>
                <w:noProof/>
                <w:webHidden/>
              </w:rPr>
              <w:fldChar w:fldCharType="end"/>
            </w:r>
          </w:hyperlink>
        </w:p>
        <w:p w14:paraId="39603EC2" w14:textId="12E2CC4D" w:rsidR="009870DC" w:rsidRDefault="009870DC">
          <w:pPr>
            <w:pStyle w:val="TOC2"/>
            <w:rPr>
              <w:rFonts w:asciiTheme="minorHAnsi" w:eastAsiaTheme="minorEastAsia" w:hAnsiTheme="minorHAnsi" w:cstheme="minorBidi"/>
              <w:b w:val="0"/>
              <w:noProof/>
              <w:sz w:val="22"/>
              <w:lang w:eastAsia="en-AU"/>
            </w:rPr>
          </w:pPr>
          <w:hyperlink w:anchor="_Toc20301886" w:history="1">
            <w:r w:rsidRPr="003F764D">
              <w:rPr>
                <w:rStyle w:val="Hyperlink"/>
                <w:noProof/>
              </w:rPr>
              <w:t>II. Registration time line</w:t>
            </w:r>
            <w:r>
              <w:rPr>
                <w:noProof/>
                <w:webHidden/>
              </w:rPr>
              <w:tab/>
            </w:r>
            <w:r>
              <w:rPr>
                <w:noProof/>
                <w:webHidden/>
              </w:rPr>
              <w:fldChar w:fldCharType="begin"/>
            </w:r>
            <w:r>
              <w:rPr>
                <w:noProof/>
                <w:webHidden/>
              </w:rPr>
              <w:instrText xml:space="preserve"> PAGEREF _Toc20301886 \h </w:instrText>
            </w:r>
            <w:r>
              <w:rPr>
                <w:noProof/>
                <w:webHidden/>
              </w:rPr>
            </w:r>
            <w:r>
              <w:rPr>
                <w:noProof/>
                <w:webHidden/>
              </w:rPr>
              <w:fldChar w:fldCharType="separate"/>
            </w:r>
            <w:r>
              <w:rPr>
                <w:noProof/>
                <w:webHidden/>
              </w:rPr>
              <w:t>13</w:t>
            </w:r>
            <w:r>
              <w:rPr>
                <w:noProof/>
                <w:webHidden/>
              </w:rPr>
              <w:fldChar w:fldCharType="end"/>
            </w:r>
          </w:hyperlink>
        </w:p>
        <w:p w14:paraId="3C547803" w14:textId="0AE2DF64" w:rsidR="009870DC" w:rsidRDefault="009870DC">
          <w:pPr>
            <w:pStyle w:val="TOC2"/>
            <w:rPr>
              <w:rFonts w:asciiTheme="minorHAnsi" w:eastAsiaTheme="minorEastAsia" w:hAnsiTheme="minorHAnsi" w:cstheme="minorBidi"/>
              <w:b w:val="0"/>
              <w:noProof/>
              <w:sz w:val="22"/>
              <w:lang w:eastAsia="en-AU"/>
            </w:rPr>
          </w:pPr>
          <w:hyperlink w:anchor="_Toc20301887" w:history="1">
            <w:r w:rsidRPr="003F764D">
              <w:rPr>
                <w:rStyle w:val="Hyperlink"/>
                <w:noProof/>
              </w:rPr>
              <w:t>III. Quality findings</w:t>
            </w:r>
            <w:r>
              <w:rPr>
                <w:noProof/>
                <w:webHidden/>
              </w:rPr>
              <w:tab/>
            </w:r>
            <w:r>
              <w:rPr>
                <w:noProof/>
                <w:webHidden/>
              </w:rPr>
              <w:fldChar w:fldCharType="begin"/>
            </w:r>
            <w:r>
              <w:rPr>
                <w:noProof/>
                <w:webHidden/>
              </w:rPr>
              <w:instrText xml:space="preserve"> PAGEREF _Toc20301887 \h </w:instrText>
            </w:r>
            <w:r>
              <w:rPr>
                <w:noProof/>
                <w:webHidden/>
              </w:rPr>
            </w:r>
            <w:r>
              <w:rPr>
                <w:noProof/>
                <w:webHidden/>
              </w:rPr>
              <w:fldChar w:fldCharType="separate"/>
            </w:r>
            <w:r>
              <w:rPr>
                <w:noProof/>
                <w:webHidden/>
              </w:rPr>
              <w:t>14</w:t>
            </w:r>
            <w:r>
              <w:rPr>
                <w:noProof/>
                <w:webHidden/>
              </w:rPr>
              <w:fldChar w:fldCharType="end"/>
            </w:r>
          </w:hyperlink>
        </w:p>
        <w:p w14:paraId="0F8CD546" w14:textId="575873F2" w:rsidR="009870DC" w:rsidRDefault="009870DC">
          <w:pPr>
            <w:pStyle w:val="TOC3"/>
            <w:rPr>
              <w:rFonts w:asciiTheme="minorHAnsi" w:eastAsiaTheme="minorEastAsia" w:hAnsiTheme="minorHAnsi" w:cstheme="minorBidi"/>
              <w:noProof/>
              <w:lang w:eastAsia="en-AU"/>
            </w:rPr>
          </w:pPr>
          <w:hyperlink w:anchor="_Toc20301888" w:history="1">
            <w:r w:rsidRPr="003F764D">
              <w:rPr>
                <w:rStyle w:val="Hyperlink"/>
                <w:noProof/>
              </w:rPr>
              <w:t>Introduction</w:t>
            </w:r>
            <w:r>
              <w:rPr>
                <w:noProof/>
                <w:webHidden/>
              </w:rPr>
              <w:tab/>
            </w:r>
            <w:r>
              <w:rPr>
                <w:noProof/>
                <w:webHidden/>
              </w:rPr>
              <w:fldChar w:fldCharType="begin"/>
            </w:r>
            <w:r>
              <w:rPr>
                <w:noProof/>
                <w:webHidden/>
              </w:rPr>
              <w:instrText xml:space="preserve"> PAGEREF _Toc20301888 \h </w:instrText>
            </w:r>
            <w:r>
              <w:rPr>
                <w:noProof/>
                <w:webHidden/>
              </w:rPr>
            </w:r>
            <w:r>
              <w:rPr>
                <w:noProof/>
                <w:webHidden/>
              </w:rPr>
              <w:fldChar w:fldCharType="separate"/>
            </w:r>
            <w:r>
              <w:rPr>
                <w:noProof/>
                <w:webHidden/>
              </w:rPr>
              <w:t>14</w:t>
            </w:r>
            <w:r>
              <w:rPr>
                <w:noProof/>
                <w:webHidden/>
              </w:rPr>
              <w:fldChar w:fldCharType="end"/>
            </w:r>
          </w:hyperlink>
        </w:p>
        <w:p w14:paraId="28DE8B2A" w14:textId="7225BFEB" w:rsidR="009870DC" w:rsidRDefault="009870DC">
          <w:pPr>
            <w:pStyle w:val="TOC3"/>
            <w:rPr>
              <w:rFonts w:asciiTheme="minorHAnsi" w:eastAsiaTheme="minorEastAsia" w:hAnsiTheme="minorHAnsi" w:cstheme="minorBidi"/>
              <w:noProof/>
              <w:lang w:eastAsia="en-AU"/>
            </w:rPr>
          </w:pPr>
          <w:hyperlink w:anchor="_Toc20301889" w:history="1">
            <w:r w:rsidRPr="003F764D">
              <w:rPr>
                <w:rStyle w:val="Hyperlink"/>
                <w:noProof/>
              </w:rPr>
              <w:t>Drug substance (active ingredient)</w:t>
            </w:r>
            <w:r>
              <w:rPr>
                <w:noProof/>
                <w:webHidden/>
              </w:rPr>
              <w:tab/>
            </w:r>
            <w:r>
              <w:rPr>
                <w:noProof/>
                <w:webHidden/>
              </w:rPr>
              <w:fldChar w:fldCharType="begin"/>
            </w:r>
            <w:r>
              <w:rPr>
                <w:noProof/>
                <w:webHidden/>
              </w:rPr>
              <w:instrText xml:space="preserve"> PAGEREF _Toc20301889 \h </w:instrText>
            </w:r>
            <w:r>
              <w:rPr>
                <w:noProof/>
                <w:webHidden/>
              </w:rPr>
            </w:r>
            <w:r>
              <w:rPr>
                <w:noProof/>
                <w:webHidden/>
              </w:rPr>
              <w:fldChar w:fldCharType="separate"/>
            </w:r>
            <w:r>
              <w:rPr>
                <w:noProof/>
                <w:webHidden/>
              </w:rPr>
              <w:t>14</w:t>
            </w:r>
            <w:r>
              <w:rPr>
                <w:noProof/>
                <w:webHidden/>
              </w:rPr>
              <w:fldChar w:fldCharType="end"/>
            </w:r>
          </w:hyperlink>
        </w:p>
        <w:p w14:paraId="7C8D8E97" w14:textId="1DE29FEC" w:rsidR="009870DC" w:rsidRDefault="009870DC">
          <w:pPr>
            <w:pStyle w:val="TOC3"/>
            <w:rPr>
              <w:rFonts w:asciiTheme="minorHAnsi" w:eastAsiaTheme="minorEastAsia" w:hAnsiTheme="minorHAnsi" w:cstheme="minorBidi"/>
              <w:noProof/>
              <w:lang w:eastAsia="en-AU"/>
            </w:rPr>
          </w:pPr>
          <w:hyperlink w:anchor="_Toc20301890" w:history="1">
            <w:r w:rsidRPr="003F764D">
              <w:rPr>
                <w:rStyle w:val="Hyperlink"/>
                <w:noProof/>
              </w:rPr>
              <w:t>Drug product</w:t>
            </w:r>
            <w:r>
              <w:rPr>
                <w:noProof/>
                <w:webHidden/>
              </w:rPr>
              <w:tab/>
            </w:r>
            <w:r>
              <w:rPr>
                <w:noProof/>
                <w:webHidden/>
              </w:rPr>
              <w:fldChar w:fldCharType="begin"/>
            </w:r>
            <w:r>
              <w:rPr>
                <w:noProof/>
                <w:webHidden/>
              </w:rPr>
              <w:instrText xml:space="preserve"> PAGEREF _Toc20301890 \h </w:instrText>
            </w:r>
            <w:r>
              <w:rPr>
                <w:noProof/>
                <w:webHidden/>
              </w:rPr>
            </w:r>
            <w:r>
              <w:rPr>
                <w:noProof/>
                <w:webHidden/>
              </w:rPr>
              <w:fldChar w:fldCharType="separate"/>
            </w:r>
            <w:r>
              <w:rPr>
                <w:noProof/>
                <w:webHidden/>
              </w:rPr>
              <w:t>14</w:t>
            </w:r>
            <w:r>
              <w:rPr>
                <w:noProof/>
                <w:webHidden/>
              </w:rPr>
              <w:fldChar w:fldCharType="end"/>
            </w:r>
          </w:hyperlink>
        </w:p>
        <w:p w14:paraId="5DA429DE" w14:textId="0020CC63" w:rsidR="009870DC" w:rsidRDefault="009870DC">
          <w:pPr>
            <w:pStyle w:val="TOC3"/>
            <w:rPr>
              <w:rFonts w:asciiTheme="minorHAnsi" w:eastAsiaTheme="minorEastAsia" w:hAnsiTheme="minorHAnsi" w:cstheme="minorBidi"/>
              <w:noProof/>
              <w:lang w:eastAsia="en-AU"/>
            </w:rPr>
          </w:pPr>
          <w:hyperlink w:anchor="_Toc20301891" w:history="1">
            <w:r w:rsidRPr="003F764D">
              <w:rPr>
                <w:rStyle w:val="Hyperlink"/>
                <w:noProof/>
              </w:rPr>
              <w:t>Quality summary and conclusions</w:t>
            </w:r>
            <w:r>
              <w:rPr>
                <w:noProof/>
                <w:webHidden/>
              </w:rPr>
              <w:tab/>
            </w:r>
            <w:r>
              <w:rPr>
                <w:noProof/>
                <w:webHidden/>
              </w:rPr>
              <w:fldChar w:fldCharType="begin"/>
            </w:r>
            <w:r>
              <w:rPr>
                <w:noProof/>
                <w:webHidden/>
              </w:rPr>
              <w:instrText xml:space="preserve"> PAGEREF _Toc20301891 \h </w:instrText>
            </w:r>
            <w:r>
              <w:rPr>
                <w:noProof/>
                <w:webHidden/>
              </w:rPr>
            </w:r>
            <w:r>
              <w:rPr>
                <w:noProof/>
                <w:webHidden/>
              </w:rPr>
              <w:fldChar w:fldCharType="separate"/>
            </w:r>
            <w:r>
              <w:rPr>
                <w:noProof/>
                <w:webHidden/>
              </w:rPr>
              <w:t>14</w:t>
            </w:r>
            <w:r>
              <w:rPr>
                <w:noProof/>
                <w:webHidden/>
              </w:rPr>
              <w:fldChar w:fldCharType="end"/>
            </w:r>
          </w:hyperlink>
        </w:p>
        <w:p w14:paraId="7DE722F4" w14:textId="19128A55" w:rsidR="009870DC" w:rsidRDefault="009870DC">
          <w:pPr>
            <w:pStyle w:val="TOC2"/>
            <w:rPr>
              <w:rFonts w:asciiTheme="minorHAnsi" w:eastAsiaTheme="minorEastAsia" w:hAnsiTheme="minorHAnsi" w:cstheme="minorBidi"/>
              <w:b w:val="0"/>
              <w:noProof/>
              <w:sz w:val="22"/>
              <w:lang w:eastAsia="en-AU"/>
            </w:rPr>
          </w:pPr>
          <w:hyperlink w:anchor="_Toc20301892" w:history="1">
            <w:r w:rsidRPr="003F764D">
              <w:rPr>
                <w:rStyle w:val="Hyperlink"/>
                <w:noProof/>
              </w:rPr>
              <w:t>IV. Nonclinical findings</w:t>
            </w:r>
            <w:r>
              <w:rPr>
                <w:noProof/>
                <w:webHidden/>
              </w:rPr>
              <w:tab/>
            </w:r>
            <w:r>
              <w:rPr>
                <w:noProof/>
                <w:webHidden/>
              </w:rPr>
              <w:fldChar w:fldCharType="begin"/>
            </w:r>
            <w:r>
              <w:rPr>
                <w:noProof/>
                <w:webHidden/>
              </w:rPr>
              <w:instrText xml:space="preserve"> PAGEREF _Toc20301892 \h </w:instrText>
            </w:r>
            <w:r>
              <w:rPr>
                <w:noProof/>
                <w:webHidden/>
              </w:rPr>
            </w:r>
            <w:r>
              <w:rPr>
                <w:noProof/>
                <w:webHidden/>
              </w:rPr>
              <w:fldChar w:fldCharType="separate"/>
            </w:r>
            <w:r>
              <w:rPr>
                <w:noProof/>
                <w:webHidden/>
              </w:rPr>
              <w:t>15</w:t>
            </w:r>
            <w:r>
              <w:rPr>
                <w:noProof/>
                <w:webHidden/>
              </w:rPr>
              <w:fldChar w:fldCharType="end"/>
            </w:r>
          </w:hyperlink>
        </w:p>
        <w:p w14:paraId="2734EDC4" w14:textId="4D81AA48" w:rsidR="009870DC" w:rsidRDefault="009870DC">
          <w:pPr>
            <w:pStyle w:val="TOC3"/>
            <w:rPr>
              <w:rFonts w:asciiTheme="minorHAnsi" w:eastAsiaTheme="minorEastAsia" w:hAnsiTheme="minorHAnsi" w:cstheme="minorBidi"/>
              <w:noProof/>
              <w:lang w:eastAsia="en-AU"/>
            </w:rPr>
          </w:pPr>
          <w:hyperlink w:anchor="_Toc20301893" w:history="1">
            <w:r w:rsidRPr="003F764D">
              <w:rPr>
                <w:rStyle w:val="Hyperlink"/>
                <w:noProof/>
              </w:rPr>
              <w:t>Introduction</w:t>
            </w:r>
            <w:r>
              <w:rPr>
                <w:noProof/>
                <w:webHidden/>
              </w:rPr>
              <w:tab/>
            </w:r>
            <w:r>
              <w:rPr>
                <w:noProof/>
                <w:webHidden/>
              </w:rPr>
              <w:fldChar w:fldCharType="begin"/>
            </w:r>
            <w:r>
              <w:rPr>
                <w:noProof/>
                <w:webHidden/>
              </w:rPr>
              <w:instrText xml:space="preserve"> PAGEREF _Toc20301893 \h </w:instrText>
            </w:r>
            <w:r>
              <w:rPr>
                <w:noProof/>
                <w:webHidden/>
              </w:rPr>
            </w:r>
            <w:r>
              <w:rPr>
                <w:noProof/>
                <w:webHidden/>
              </w:rPr>
              <w:fldChar w:fldCharType="separate"/>
            </w:r>
            <w:r>
              <w:rPr>
                <w:noProof/>
                <w:webHidden/>
              </w:rPr>
              <w:t>15</w:t>
            </w:r>
            <w:r>
              <w:rPr>
                <w:noProof/>
                <w:webHidden/>
              </w:rPr>
              <w:fldChar w:fldCharType="end"/>
            </w:r>
          </w:hyperlink>
        </w:p>
        <w:p w14:paraId="34924D3F" w14:textId="64FB85C2" w:rsidR="009870DC" w:rsidRDefault="009870DC">
          <w:pPr>
            <w:pStyle w:val="TOC3"/>
            <w:rPr>
              <w:rFonts w:asciiTheme="minorHAnsi" w:eastAsiaTheme="minorEastAsia" w:hAnsiTheme="minorHAnsi" w:cstheme="minorBidi"/>
              <w:noProof/>
              <w:lang w:eastAsia="en-AU"/>
            </w:rPr>
          </w:pPr>
          <w:hyperlink w:anchor="_Toc20301894" w:history="1">
            <w:r w:rsidRPr="003F764D">
              <w:rPr>
                <w:rStyle w:val="Hyperlink"/>
                <w:noProof/>
              </w:rPr>
              <w:t>Toxicology</w:t>
            </w:r>
            <w:r>
              <w:rPr>
                <w:noProof/>
                <w:webHidden/>
              </w:rPr>
              <w:tab/>
            </w:r>
            <w:r>
              <w:rPr>
                <w:noProof/>
                <w:webHidden/>
              </w:rPr>
              <w:fldChar w:fldCharType="begin"/>
            </w:r>
            <w:r>
              <w:rPr>
                <w:noProof/>
                <w:webHidden/>
              </w:rPr>
              <w:instrText xml:space="preserve"> PAGEREF _Toc20301894 \h </w:instrText>
            </w:r>
            <w:r>
              <w:rPr>
                <w:noProof/>
                <w:webHidden/>
              </w:rPr>
            </w:r>
            <w:r>
              <w:rPr>
                <w:noProof/>
                <w:webHidden/>
              </w:rPr>
              <w:fldChar w:fldCharType="separate"/>
            </w:r>
            <w:r>
              <w:rPr>
                <w:noProof/>
                <w:webHidden/>
              </w:rPr>
              <w:t>16</w:t>
            </w:r>
            <w:r>
              <w:rPr>
                <w:noProof/>
                <w:webHidden/>
              </w:rPr>
              <w:fldChar w:fldCharType="end"/>
            </w:r>
          </w:hyperlink>
        </w:p>
        <w:p w14:paraId="6BAA49F1" w14:textId="1D5D05C6" w:rsidR="009870DC" w:rsidRDefault="009870DC">
          <w:pPr>
            <w:pStyle w:val="TOC3"/>
            <w:rPr>
              <w:rFonts w:asciiTheme="minorHAnsi" w:eastAsiaTheme="minorEastAsia" w:hAnsiTheme="minorHAnsi" w:cstheme="minorBidi"/>
              <w:noProof/>
              <w:lang w:eastAsia="en-AU"/>
            </w:rPr>
          </w:pPr>
          <w:hyperlink w:anchor="_Toc20301895" w:history="1">
            <w:r w:rsidRPr="003F764D">
              <w:rPr>
                <w:rStyle w:val="Hyperlink"/>
                <w:noProof/>
              </w:rPr>
              <w:t>Nonclinical summary and conclusions</w:t>
            </w:r>
            <w:r>
              <w:rPr>
                <w:noProof/>
                <w:webHidden/>
              </w:rPr>
              <w:tab/>
            </w:r>
            <w:r>
              <w:rPr>
                <w:noProof/>
                <w:webHidden/>
              </w:rPr>
              <w:fldChar w:fldCharType="begin"/>
            </w:r>
            <w:r>
              <w:rPr>
                <w:noProof/>
                <w:webHidden/>
              </w:rPr>
              <w:instrText xml:space="preserve"> PAGEREF _Toc20301895 \h </w:instrText>
            </w:r>
            <w:r>
              <w:rPr>
                <w:noProof/>
                <w:webHidden/>
              </w:rPr>
            </w:r>
            <w:r>
              <w:rPr>
                <w:noProof/>
                <w:webHidden/>
              </w:rPr>
              <w:fldChar w:fldCharType="separate"/>
            </w:r>
            <w:r>
              <w:rPr>
                <w:noProof/>
                <w:webHidden/>
              </w:rPr>
              <w:t>17</w:t>
            </w:r>
            <w:r>
              <w:rPr>
                <w:noProof/>
                <w:webHidden/>
              </w:rPr>
              <w:fldChar w:fldCharType="end"/>
            </w:r>
          </w:hyperlink>
        </w:p>
        <w:p w14:paraId="7EE39D81" w14:textId="0CA6F0E7" w:rsidR="009870DC" w:rsidRDefault="009870DC">
          <w:pPr>
            <w:pStyle w:val="TOC2"/>
            <w:rPr>
              <w:rFonts w:asciiTheme="minorHAnsi" w:eastAsiaTheme="minorEastAsia" w:hAnsiTheme="minorHAnsi" w:cstheme="minorBidi"/>
              <w:b w:val="0"/>
              <w:noProof/>
              <w:sz w:val="22"/>
              <w:lang w:eastAsia="en-AU"/>
            </w:rPr>
          </w:pPr>
          <w:hyperlink w:anchor="_Toc20301896" w:history="1">
            <w:r w:rsidRPr="003F764D">
              <w:rPr>
                <w:rStyle w:val="Hyperlink"/>
                <w:noProof/>
              </w:rPr>
              <w:t>V. Clinical findings</w:t>
            </w:r>
            <w:r>
              <w:rPr>
                <w:noProof/>
                <w:webHidden/>
              </w:rPr>
              <w:tab/>
            </w:r>
            <w:r>
              <w:rPr>
                <w:noProof/>
                <w:webHidden/>
              </w:rPr>
              <w:fldChar w:fldCharType="begin"/>
            </w:r>
            <w:r>
              <w:rPr>
                <w:noProof/>
                <w:webHidden/>
              </w:rPr>
              <w:instrText xml:space="preserve"> PAGEREF _Toc20301896 \h </w:instrText>
            </w:r>
            <w:r>
              <w:rPr>
                <w:noProof/>
                <w:webHidden/>
              </w:rPr>
            </w:r>
            <w:r>
              <w:rPr>
                <w:noProof/>
                <w:webHidden/>
              </w:rPr>
              <w:fldChar w:fldCharType="separate"/>
            </w:r>
            <w:r>
              <w:rPr>
                <w:noProof/>
                <w:webHidden/>
              </w:rPr>
              <w:t>17</w:t>
            </w:r>
            <w:r>
              <w:rPr>
                <w:noProof/>
                <w:webHidden/>
              </w:rPr>
              <w:fldChar w:fldCharType="end"/>
            </w:r>
          </w:hyperlink>
        </w:p>
        <w:p w14:paraId="7D1E60E9" w14:textId="6D0BA59A" w:rsidR="009870DC" w:rsidRDefault="009870DC">
          <w:pPr>
            <w:pStyle w:val="TOC3"/>
            <w:rPr>
              <w:rFonts w:asciiTheme="minorHAnsi" w:eastAsiaTheme="minorEastAsia" w:hAnsiTheme="minorHAnsi" w:cstheme="minorBidi"/>
              <w:noProof/>
              <w:lang w:eastAsia="en-AU"/>
            </w:rPr>
          </w:pPr>
          <w:hyperlink w:anchor="_Toc20301897" w:history="1">
            <w:r w:rsidRPr="003F764D">
              <w:rPr>
                <w:rStyle w:val="Hyperlink"/>
                <w:noProof/>
              </w:rPr>
              <w:t>Introduction</w:t>
            </w:r>
            <w:r>
              <w:rPr>
                <w:noProof/>
                <w:webHidden/>
              </w:rPr>
              <w:tab/>
            </w:r>
            <w:r>
              <w:rPr>
                <w:noProof/>
                <w:webHidden/>
              </w:rPr>
              <w:fldChar w:fldCharType="begin"/>
            </w:r>
            <w:r>
              <w:rPr>
                <w:noProof/>
                <w:webHidden/>
              </w:rPr>
              <w:instrText xml:space="preserve"> PAGEREF _Toc20301897 \h </w:instrText>
            </w:r>
            <w:r>
              <w:rPr>
                <w:noProof/>
                <w:webHidden/>
              </w:rPr>
            </w:r>
            <w:r>
              <w:rPr>
                <w:noProof/>
                <w:webHidden/>
              </w:rPr>
              <w:fldChar w:fldCharType="separate"/>
            </w:r>
            <w:r>
              <w:rPr>
                <w:noProof/>
                <w:webHidden/>
              </w:rPr>
              <w:t>17</w:t>
            </w:r>
            <w:r>
              <w:rPr>
                <w:noProof/>
                <w:webHidden/>
              </w:rPr>
              <w:fldChar w:fldCharType="end"/>
            </w:r>
          </w:hyperlink>
        </w:p>
        <w:p w14:paraId="1178BF03" w14:textId="2A20D4CE" w:rsidR="009870DC" w:rsidRDefault="009870DC">
          <w:pPr>
            <w:pStyle w:val="TOC3"/>
            <w:rPr>
              <w:rFonts w:asciiTheme="minorHAnsi" w:eastAsiaTheme="minorEastAsia" w:hAnsiTheme="minorHAnsi" w:cstheme="minorBidi"/>
              <w:noProof/>
              <w:lang w:eastAsia="en-AU"/>
            </w:rPr>
          </w:pPr>
          <w:hyperlink w:anchor="_Toc20301898" w:history="1">
            <w:r w:rsidRPr="003F764D">
              <w:rPr>
                <w:rStyle w:val="Hyperlink"/>
                <w:noProof/>
              </w:rPr>
              <w:t>Pharmacokinetics</w:t>
            </w:r>
            <w:r>
              <w:rPr>
                <w:noProof/>
                <w:webHidden/>
              </w:rPr>
              <w:tab/>
            </w:r>
            <w:r>
              <w:rPr>
                <w:noProof/>
                <w:webHidden/>
              </w:rPr>
              <w:fldChar w:fldCharType="begin"/>
            </w:r>
            <w:r>
              <w:rPr>
                <w:noProof/>
                <w:webHidden/>
              </w:rPr>
              <w:instrText xml:space="preserve"> PAGEREF _Toc20301898 \h </w:instrText>
            </w:r>
            <w:r>
              <w:rPr>
                <w:noProof/>
                <w:webHidden/>
              </w:rPr>
            </w:r>
            <w:r>
              <w:rPr>
                <w:noProof/>
                <w:webHidden/>
              </w:rPr>
              <w:fldChar w:fldCharType="separate"/>
            </w:r>
            <w:r>
              <w:rPr>
                <w:noProof/>
                <w:webHidden/>
              </w:rPr>
              <w:t>20</w:t>
            </w:r>
            <w:r>
              <w:rPr>
                <w:noProof/>
                <w:webHidden/>
              </w:rPr>
              <w:fldChar w:fldCharType="end"/>
            </w:r>
          </w:hyperlink>
        </w:p>
        <w:p w14:paraId="60448D03" w14:textId="59C8F232" w:rsidR="009870DC" w:rsidRDefault="009870DC">
          <w:pPr>
            <w:pStyle w:val="TOC3"/>
            <w:rPr>
              <w:rFonts w:asciiTheme="minorHAnsi" w:eastAsiaTheme="minorEastAsia" w:hAnsiTheme="minorHAnsi" w:cstheme="minorBidi"/>
              <w:noProof/>
              <w:lang w:eastAsia="en-AU"/>
            </w:rPr>
          </w:pPr>
          <w:hyperlink w:anchor="_Toc20301899" w:history="1">
            <w:r w:rsidRPr="003F764D">
              <w:rPr>
                <w:rStyle w:val="Hyperlink"/>
                <w:noProof/>
              </w:rPr>
              <w:t>Pharmacodynamics</w:t>
            </w:r>
            <w:r>
              <w:rPr>
                <w:noProof/>
                <w:webHidden/>
              </w:rPr>
              <w:tab/>
            </w:r>
            <w:r>
              <w:rPr>
                <w:noProof/>
                <w:webHidden/>
              </w:rPr>
              <w:fldChar w:fldCharType="begin"/>
            </w:r>
            <w:r>
              <w:rPr>
                <w:noProof/>
                <w:webHidden/>
              </w:rPr>
              <w:instrText xml:space="preserve"> PAGEREF _Toc20301899 \h </w:instrText>
            </w:r>
            <w:r>
              <w:rPr>
                <w:noProof/>
                <w:webHidden/>
              </w:rPr>
            </w:r>
            <w:r>
              <w:rPr>
                <w:noProof/>
                <w:webHidden/>
              </w:rPr>
              <w:fldChar w:fldCharType="separate"/>
            </w:r>
            <w:r>
              <w:rPr>
                <w:noProof/>
                <w:webHidden/>
              </w:rPr>
              <w:t>20</w:t>
            </w:r>
            <w:r>
              <w:rPr>
                <w:noProof/>
                <w:webHidden/>
              </w:rPr>
              <w:fldChar w:fldCharType="end"/>
            </w:r>
          </w:hyperlink>
        </w:p>
        <w:p w14:paraId="40E28B66" w14:textId="35BA374C" w:rsidR="009870DC" w:rsidRDefault="009870DC">
          <w:pPr>
            <w:pStyle w:val="TOC3"/>
            <w:rPr>
              <w:rFonts w:asciiTheme="minorHAnsi" w:eastAsiaTheme="minorEastAsia" w:hAnsiTheme="minorHAnsi" w:cstheme="minorBidi"/>
              <w:noProof/>
              <w:lang w:eastAsia="en-AU"/>
            </w:rPr>
          </w:pPr>
          <w:hyperlink w:anchor="_Toc20301900" w:history="1">
            <w:r w:rsidRPr="003F764D">
              <w:rPr>
                <w:rStyle w:val="Hyperlink"/>
                <w:noProof/>
              </w:rPr>
              <w:t>Dosage selection for the pivotal studies</w:t>
            </w:r>
            <w:r>
              <w:rPr>
                <w:noProof/>
                <w:webHidden/>
              </w:rPr>
              <w:tab/>
            </w:r>
            <w:r>
              <w:rPr>
                <w:noProof/>
                <w:webHidden/>
              </w:rPr>
              <w:fldChar w:fldCharType="begin"/>
            </w:r>
            <w:r>
              <w:rPr>
                <w:noProof/>
                <w:webHidden/>
              </w:rPr>
              <w:instrText xml:space="preserve"> PAGEREF _Toc20301900 \h </w:instrText>
            </w:r>
            <w:r>
              <w:rPr>
                <w:noProof/>
                <w:webHidden/>
              </w:rPr>
            </w:r>
            <w:r>
              <w:rPr>
                <w:noProof/>
                <w:webHidden/>
              </w:rPr>
              <w:fldChar w:fldCharType="separate"/>
            </w:r>
            <w:r>
              <w:rPr>
                <w:noProof/>
                <w:webHidden/>
              </w:rPr>
              <w:t>21</w:t>
            </w:r>
            <w:r>
              <w:rPr>
                <w:noProof/>
                <w:webHidden/>
              </w:rPr>
              <w:fldChar w:fldCharType="end"/>
            </w:r>
          </w:hyperlink>
        </w:p>
        <w:p w14:paraId="4E0AA3B1" w14:textId="2B32743F" w:rsidR="009870DC" w:rsidRDefault="009870DC">
          <w:pPr>
            <w:pStyle w:val="TOC3"/>
            <w:rPr>
              <w:rFonts w:asciiTheme="minorHAnsi" w:eastAsiaTheme="minorEastAsia" w:hAnsiTheme="minorHAnsi" w:cstheme="minorBidi"/>
              <w:noProof/>
              <w:lang w:eastAsia="en-AU"/>
            </w:rPr>
          </w:pPr>
          <w:hyperlink w:anchor="_Toc20301901" w:history="1">
            <w:r w:rsidRPr="003F764D">
              <w:rPr>
                <w:rStyle w:val="Hyperlink"/>
                <w:noProof/>
              </w:rPr>
              <w:t>Efficacy</w:t>
            </w:r>
            <w:r>
              <w:rPr>
                <w:noProof/>
                <w:webHidden/>
              </w:rPr>
              <w:tab/>
            </w:r>
            <w:r>
              <w:rPr>
                <w:noProof/>
                <w:webHidden/>
              </w:rPr>
              <w:fldChar w:fldCharType="begin"/>
            </w:r>
            <w:r>
              <w:rPr>
                <w:noProof/>
                <w:webHidden/>
              </w:rPr>
              <w:instrText xml:space="preserve"> PAGEREF _Toc20301901 \h </w:instrText>
            </w:r>
            <w:r>
              <w:rPr>
                <w:noProof/>
                <w:webHidden/>
              </w:rPr>
            </w:r>
            <w:r>
              <w:rPr>
                <w:noProof/>
                <w:webHidden/>
              </w:rPr>
              <w:fldChar w:fldCharType="separate"/>
            </w:r>
            <w:r>
              <w:rPr>
                <w:noProof/>
                <w:webHidden/>
              </w:rPr>
              <w:t>22</w:t>
            </w:r>
            <w:r>
              <w:rPr>
                <w:noProof/>
                <w:webHidden/>
              </w:rPr>
              <w:fldChar w:fldCharType="end"/>
            </w:r>
          </w:hyperlink>
        </w:p>
        <w:p w14:paraId="09369CC3" w14:textId="3CC06A6C" w:rsidR="009870DC" w:rsidRDefault="009870DC">
          <w:pPr>
            <w:pStyle w:val="TOC3"/>
            <w:rPr>
              <w:rFonts w:asciiTheme="minorHAnsi" w:eastAsiaTheme="minorEastAsia" w:hAnsiTheme="minorHAnsi" w:cstheme="minorBidi"/>
              <w:noProof/>
              <w:lang w:eastAsia="en-AU"/>
            </w:rPr>
          </w:pPr>
          <w:hyperlink w:anchor="_Toc20301902" w:history="1">
            <w:r w:rsidRPr="003F764D">
              <w:rPr>
                <w:rStyle w:val="Hyperlink"/>
                <w:noProof/>
              </w:rPr>
              <w:t>Safety</w:t>
            </w:r>
            <w:r>
              <w:rPr>
                <w:noProof/>
                <w:webHidden/>
              </w:rPr>
              <w:tab/>
            </w:r>
            <w:r>
              <w:rPr>
                <w:noProof/>
                <w:webHidden/>
              </w:rPr>
              <w:fldChar w:fldCharType="begin"/>
            </w:r>
            <w:r>
              <w:rPr>
                <w:noProof/>
                <w:webHidden/>
              </w:rPr>
              <w:instrText xml:space="preserve"> PAGEREF _Toc20301902 \h </w:instrText>
            </w:r>
            <w:r>
              <w:rPr>
                <w:noProof/>
                <w:webHidden/>
              </w:rPr>
            </w:r>
            <w:r>
              <w:rPr>
                <w:noProof/>
                <w:webHidden/>
              </w:rPr>
              <w:fldChar w:fldCharType="separate"/>
            </w:r>
            <w:r>
              <w:rPr>
                <w:noProof/>
                <w:webHidden/>
              </w:rPr>
              <w:t>24</w:t>
            </w:r>
            <w:r>
              <w:rPr>
                <w:noProof/>
                <w:webHidden/>
              </w:rPr>
              <w:fldChar w:fldCharType="end"/>
            </w:r>
          </w:hyperlink>
        </w:p>
        <w:p w14:paraId="0F28A80E" w14:textId="46BF95A7" w:rsidR="009870DC" w:rsidRDefault="009870DC">
          <w:pPr>
            <w:pStyle w:val="TOC3"/>
            <w:rPr>
              <w:rFonts w:asciiTheme="minorHAnsi" w:eastAsiaTheme="minorEastAsia" w:hAnsiTheme="minorHAnsi" w:cstheme="minorBidi"/>
              <w:noProof/>
              <w:lang w:eastAsia="en-AU"/>
            </w:rPr>
          </w:pPr>
          <w:hyperlink w:anchor="_Toc20301903" w:history="1">
            <w:r w:rsidRPr="003F764D">
              <w:rPr>
                <w:rStyle w:val="Hyperlink"/>
                <w:noProof/>
              </w:rPr>
              <w:t>First round benefit-risk assessment</w:t>
            </w:r>
            <w:r>
              <w:rPr>
                <w:noProof/>
                <w:webHidden/>
              </w:rPr>
              <w:tab/>
            </w:r>
            <w:r>
              <w:rPr>
                <w:noProof/>
                <w:webHidden/>
              </w:rPr>
              <w:fldChar w:fldCharType="begin"/>
            </w:r>
            <w:r>
              <w:rPr>
                <w:noProof/>
                <w:webHidden/>
              </w:rPr>
              <w:instrText xml:space="preserve"> PAGEREF _Toc20301903 \h </w:instrText>
            </w:r>
            <w:r>
              <w:rPr>
                <w:noProof/>
                <w:webHidden/>
              </w:rPr>
            </w:r>
            <w:r>
              <w:rPr>
                <w:noProof/>
                <w:webHidden/>
              </w:rPr>
              <w:fldChar w:fldCharType="separate"/>
            </w:r>
            <w:r>
              <w:rPr>
                <w:noProof/>
                <w:webHidden/>
              </w:rPr>
              <w:t>44</w:t>
            </w:r>
            <w:r>
              <w:rPr>
                <w:noProof/>
                <w:webHidden/>
              </w:rPr>
              <w:fldChar w:fldCharType="end"/>
            </w:r>
          </w:hyperlink>
        </w:p>
        <w:p w14:paraId="25C3D1F1" w14:textId="7739D2DA" w:rsidR="009870DC" w:rsidRDefault="009870DC">
          <w:pPr>
            <w:pStyle w:val="TOC3"/>
            <w:rPr>
              <w:rFonts w:asciiTheme="minorHAnsi" w:eastAsiaTheme="minorEastAsia" w:hAnsiTheme="minorHAnsi" w:cstheme="minorBidi"/>
              <w:noProof/>
              <w:lang w:eastAsia="en-AU"/>
            </w:rPr>
          </w:pPr>
          <w:hyperlink w:anchor="_Toc20301904" w:history="1">
            <w:r w:rsidRPr="003F764D">
              <w:rPr>
                <w:rStyle w:val="Hyperlink"/>
                <w:noProof/>
              </w:rPr>
              <w:t>First round recommendation regarding authorisation</w:t>
            </w:r>
            <w:r>
              <w:rPr>
                <w:noProof/>
                <w:webHidden/>
              </w:rPr>
              <w:tab/>
            </w:r>
            <w:r>
              <w:rPr>
                <w:noProof/>
                <w:webHidden/>
              </w:rPr>
              <w:fldChar w:fldCharType="begin"/>
            </w:r>
            <w:r>
              <w:rPr>
                <w:noProof/>
                <w:webHidden/>
              </w:rPr>
              <w:instrText xml:space="preserve"> PAGEREF _Toc20301904 \h </w:instrText>
            </w:r>
            <w:r>
              <w:rPr>
                <w:noProof/>
                <w:webHidden/>
              </w:rPr>
            </w:r>
            <w:r>
              <w:rPr>
                <w:noProof/>
                <w:webHidden/>
              </w:rPr>
              <w:fldChar w:fldCharType="separate"/>
            </w:r>
            <w:r>
              <w:rPr>
                <w:noProof/>
                <w:webHidden/>
              </w:rPr>
              <w:t>47</w:t>
            </w:r>
            <w:r>
              <w:rPr>
                <w:noProof/>
                <w:webHidden/>
              </w:rPr>
              <w:fldChar w:fldCharType="end"/>
            </w:r>
          </w:hyperlink>
        </w:p>
        <w:p w14:paraId="6459CE82" w14:textId="1F6A5DD5" w:rsidR="009870DC" w:rsidRDefault="009870DC">
          <w:pPr>
            <w:pStyle w:val="TOC3"/>
            <w:rPr>
              <w:rFonts w:asciiTheme="minorHAnsi" w:eastAsiaTheme="minorEastAsia" w:hAnsiTheme="minorHAnsi" w:cstheme="minorBidi"/>
              <w:noProof/>
              <w:lang w:eastAsia="en-AU"/>
            </w:rPr>
          </w:pPr>
          <w:hyperlink w:anchor="_Toc20301905" w:history="1">
            <w:r w:rsidRPr="003F764D">
              <w:rPr>
                <w:rStyle w:val="Hyperlink"/>
                <w:noProof/>
              </w:rPr>
              <w:t>Clinical questions and second round evaluation</w:t>
            </w:r>
            <w:r>
              <w:rPr>
                <w:noProof/>
                <w:webHidden/>
              </w:rPr>
              <w:tab/>
            </w:r>
            <w:r>
              <w:rPr>
                <w:noProof/>
                <w:webHidden/>
              </w:rPr>
              <w:fldChar w:fldCharType="begin"/>
            </w:r>
            <w:r>
              <w:rPr>
                <w:noProof/>
                <w:webHidden/>
              </w:rPr>
              <w:instrText xml:space="preserve"> PAGEREF _Toc20301905 \h </w:instrText>
            </w:r>
            <w:r>
              <w:rPr>
                <w:noProof/>
                <w:webHidden/>
              </w:rPr>
            </w:r>
            <w:r>
              <w:rPr>
                <w:noProof/>
                <w:webHidden/>
              </w:rPr>
              <w:fldChar w:fldCharType="separate"/>
            </w:r>
            <w:r>
              <w:rPr>
                <w:noProof/>
                <w:webHidden/>
              </w:rPr>
              <w:t>47</w:t>
            </w:r>
            <w:r>
              <w:rPr>
                <w:noProof/>
                <w:webHidden/>
              </w:rPr>
              <w:fldChar w:fldCharType="end"/>
            </w:r>
          </w:hyperlink>
        </w:p>
        <w:p w14:paraId="645447C3" w14:textId="78A0F8E9" w:rsidR="009870DC" w:rsidRDefault="009870DC">
          <w:pPr>
            <w:pStyle w:val="TOC3"/>
            <w:rPr>
              <w:rFonts w:asciiTheme="minorHAnsi" w:eastAsiaTheme="minorEastAsia" w:hAnsiTheme="minorHAnsi" w:cstheme="minorBidi"/>
              <w:noProof/>
              <w:lang w:eastAsia="en-AU"/>
            </w:rPr>
          </w:pPr>
          <w:hyperlink w:anchor="_Toc20301906" w:history="1">
            <w:r w:rsidRPr="003F764D">
              <w:rPr>
                <w:rStyle w:val="Hyperlink"/>
                <w:noProof/>
              </w:rPr>
              <w:t>Second round benefit-risk assessment</w:t>
            </w:r>
            <w:r>
              <w:rPr>
                <w:noProof/>
                <w:webHidden/>
              </w:rPr>
              <w:tab/>
            </w:r>
            <w:r>
              <w:rPr>
                <w:noProof/>
                <w:webHidden/>
              </w:rPr>
              <w:fldChar w:fldCharType="begin"/>
            </w:r>
            <w:r>
              <w:rPr>
                <w:noProof/>
                <w:webHidden/>
              </w:rPr>
              <w:instrText xml:space="preserve"> PAGEREF _Toc20301906 \h </w:instrText>
            </w:r>
            <w:r>
              <w:rPr>
                <w:noProof/>
                <w:webHidden/>
              </w:rPr>
            </w:r>
            <w:r>
              <w:rPr>
                <w:noProof/>
                <w:webHidden/>
              </w:rPr>
              <w:fldChar w:fldCharType="separate"/>
            </w:r>
            <w:r>
              <w:rPr>
                <w:noProof/>
                <w:webHidden/>
              </w:rPr>
              <w:t>59</w:t>
            </w:r>
            <w:r>
              <w:rPr>
                <w:noProof/>
                <w:webHidden/>
              </w:rPr>
              <w:fldChar w:fldCharType="end"/>
            </w:r>
          </w:hyperlink>
        </w:p>
        <w:p w14:paraId="1051EB52" w14:textId="35CF60A8" w:rsidR="009870DC" w:rsidRDefault="009870DC">
          <w:pPr>
            <w:pStyle w:val="TOC3"/>
            <w:rPr>
              <w:rFonts w:asciiTheme="minorHAnsi" w:eastAsiaTheme="minorEastAsia" w:hAnsiTheme="minorHAnsi" w:cstheme="minorBidi"/>
              <w:noProof/>
              <w:lang w:eastAsia="en-AU"/>
            </w:rPr>
          </w:pPr>
          <w:hyperlink w:anchor="_Toc20301907" w:history="1">
            <w:r w:rsidRPr="003F764D">
              <w:rPr>
                <w:rStyle w:val="Hyperlink"/>
                <w:noProof/>
              </w:rPr>
              <w:t>Second round recommendation regarding authorisation</w:t>
            </w:r>
            <w:r>
              <w:rPr>
                <w:noProof/>
                <w:webHidden/>
              </w:rPr>
              <w:tab/>
            </w:r>
            <w:r>
              <w:rPr>
                <w:noProof/>
                <w:webHidden/>
              </w:rPr>
              <w:fldChar w:fldCharType="begin"/>
            </w:r>
            <w:r>
              <w:rPr>
                <w:noProof/>
                <w:webHidden/>
              </w:rPr>
              <w:instrText xml:space="preserve"> PAGEREF _Toc20301907 \h </w:instrText>
            </w:r>
            <w:r>
              <w:rPr>
                <w:noProof/>
                <w:webHidden/>
              </w:rPr>
            </w:r>
            <w:r>
              <w:rPr>
                <w:noProof/>
                <w:webHidden/>
              </w:rPr>
              <w:fldChar w:fldCharType="separate"/>
            </w:r>
            <w:r>
              <w:rPr>
                <w:noProof/>
                <w:webHidden/>
              </w:rPr>
              <w:t>64</w:t>
            </w:r>
            <w:r>
              <w:rPr>
                <w:noProof/>
                <w:webHidden/>
              </w:rPr>
              <w:fldChar w:fldCharType="end"/>
            </w:r>
          </w:hyperlink>
        </w:p>
        <w:p w14:paraId="31BD5659" w14:textId="7C38568C" w:rsidR="009870DC" w:rsidRDefault="009870DC">
          <w:pPr>
            <w:pStyle w:val="TOC2"/>
            <w:rPr>
              <w:rFonts w:asciiTheme="minorHAnsi" w:eastAsiaTheme="minorEastAsia" w:hAnsiTheme="minorHAnsi" w:cstheme="minorBidi"/>
              <w:b w:val="0"/>
              <w:noProof/>
              <w:sz w:val="22"/>
              <w:lang w:eastAsia="en-AU"/>
            </w:rPr>
          </w:pPr>
          <w:hyperlink w:anchor="_Toc20301908" w:history="1">
            <w:r w:rsidRPr="003F764D">
              <w:rPr>
                <w:rStyle w:val="Hyperlink"/>
                <w:noProof/>
              </w:rPr>
              <w:t>VI. Pharmacovigilance findings</w:t>
            </w:r>
            <w:r>
              <w:rPr>
                <w:noProof/>
                <w:webHidden/>
              </w:rPr>
              <w:tab/>
            </w:r>
            <w:r>
              <w:rPr>
                <w:noProof/>
                <w:webHidden/>
              </w:rPr>
              <w:fldChar w:fldCharType="begin"/>
            </w:r>
            <w:r>
              <w:rPr>
                <w:noProof/>
                <w:webHidden/>
              </w:rPr>
              <w:instrText xml:space="preserve"> PAGEREF _Toc20301908 \h </w:instrText>
            </w:r>
            <w:r>
              <w:rPr>
                <w:noProof/>
                <w:webHidden/>
              </w:rPr>
            </w:r>
            <w:r>
              <w:rPr>
                <w:noProof/>
                <w:webHidden/>
              </w:rPr>
              <w:fldChar w:fldCharType="separate"/>
            </w:r>
            <w:r>
              <w:rPr>
                <w:noProof/>
                <w:webHidden/>
              </w:rPr>
              <w:t>64</w:t>
            </w:r>
            <w:r>
              <w:rPr>
                <w:noProof/>
                <w:webHidden/>
              </w:rPr>
              <w:fldChar w:fldCharType="end"/>
            </w:r>
          </w:hyperlink>
        </w:p>
        <w:p w14:paraId="47A65897" w14:textId="5189899B" w:rsidR="009870DC" w:rsidRDefault="009870DC">
          <w:pPr>
            <w:pStyle w:val="TOC3"/>
            <w:rPr>
              <w:rFonts w:asciiTheme="minorHAnsi" w:eastAsiaTheme="minorEastAsia" w:hAnsiTheme="minorHAnsi" w:cstheme="minorBidi"/>
              <w:noProof/>
              <w:lang w:eastAsia="en-AU"/>
            </w:rPr>
          </w:pPr>
          <w:hyperlink w:anchor="_Toc20301909" w:history="1">
            <w:r w:rsidRPr="003F764D">
              <w:rPr>
                <w:rStyle w:val="Hyperlink"/>
                <w:noProof/>
                <w:lang w:eastAsia="en-AU"/>
              </w:rPr>
              <w:t>Risk management plan</w:t>
            </w:r>
            <w:r>
              <w:rPr>
                <w:noProof/>
                <w:webHidden/>
              </w:rPr>
              <w:tab/>
            </w:r>
            <w:r>
              <w:rPr>
                <w:noProof/>
                <w:webHidden/>
              </w:rPr>
              <w:fldChar w:fldCharType="begin"/>
            </w:r>
            <w:r>
              <w:rPr>
                <w:noProof/>
                <w:webHidden/>
              </w:rPr>
              <w:instrText xml:space="preserve"> PAGEREF _Toc20301909 \h </w:instrText>
            </w:r>
            <w:r>
              <w:rPr>
                <w:noProof/>
                <w:webHidden/>
              </w:rPr>
            </w:r>
            <w:r>
              <w:rPr>
                <w:noProof/>
                <w:webHidden/>
              </w:rPr>
              <w:fldChar w:fldCharType="separate"/>
            </w:r>
            <w:r>
              <w:rPr>
                <w:noProof/>
                <w:webHidden/>
              </w:rPr>
              <w:t>64</w:t>
            </w:r>
            <w:r>
              <w:rPr>
                <w:noProof/>
                <w:webHidden/>
              </w:rPr>
              <w:fldChar w:fldCharType="end"/>
            </w:r>
          </w:hyperlink>
        </w:p>
        <w:p w14:paraId="53A184E7" w14:textId="707FAFDD" w:rsidR="009870DC" w:rsidRDefault="009870DC">
          <w:pPr>
            <w:pStyle w:val="TOC2"/>
            <w:rPr>
              <w:rFonts w:asciiTheme="minorHAnsi" w:eastAsiaTheme="minorEastAsia" w:hAnsiTheme="minorHAnsi" w:cstheme="minorBidi"/>
              <w:b w:val="0"/>
              <w:noProof/>
              <w:sz w:val="22"/>
              <w:lang w:eastAsia="en-AU"/>
            </w:rPr>
          </w:pPr>
          <w:hyperlink w:anchor="_Toc20301910" w:history="1">
            <w:r w:rsidRPr="003F764D">
              <w:rPr>
                <w:rStyle w:val="Hyperlink"/>
                <w:noProof/>
              </w:rPr>
              <w:t>VII. Overall conclusion and risk/benefit assessment</w:t>
            </w:r>
            <w:r>
              <w:rPr>
                <w:noProof/>
                <w:webHidden/>
              </w:rPr>
              <w:tab/>
            </w:r>
            <w:r>
              <w:rPr>
                <w:noProof/>
                <w:webHidden/>
              </w:rPr>
              <w:fldChar w:fldCharType="begin"/>
            </w:r>
            <w:r>
              <w:rPr>
                <w:noProof/>
                <w:webHidden/>
              </w:rPr>
              <w:instrText xml:space="preserve"> PAGEREF _Toc20301910 \h </w:instrText>
            </w:r>
            <w:r>
              <w:rPr>
                <w:noProof/>
                <w:webHidden/>
              </w:rPr>
            </w:r>
            <w:r>
              <w:rPr>
                <w:noProof/>
                <w:webHidden/>
              </w:rPr>
              <w:fldChar w:fldCharType="separate"/>
            </w:r>
            <w:r>
              <w:rPr>
                <w:noProof/>
                <w:webHidden/>
              </w:rPr>
              <w:t>70</w:t>
            </w:r>
            <w:r>
              <w:rPr>
                <w:noProof/>
                <w:webHidden/>
              </w:rPr>
              <w:fldChar w:fldCharType="end"/>
            </w:r>
          </w:hyperlink>
        </w:p>
        <w:p w14:paraId="767468E8" w14:textId="398FAAFD" w:rsidR="009870DC" w:rsidRDefault="009870DC">
          <w:pPr>
            <w:pStyle w:val="TOC3"/>
            <w:rPr>
              <w:rFonts w:asciiTheme="minorHAnsi" w:eastAsiaTheme="minorEastAsia" w:hAnsiTheme="minorHAnsi" w:cstheme="minorBidi"/>
              <w:noProof/>
              <w:lang w:eastAsia="en-AU"/>
            </w:rPr>
          </w:pPr>
          <w:hyperlink w:anchor="_Toc20301911" w:history="1">
            <w:r w:rsidRPr="003F764D">
              <w:rPr>
                <w:rStyle w:val="Hyperlink"/>
                <w:noProof/>
              </w:rPr>
              <w:t>Background</w:t>
            </w:r>
            <w:r>
              <w:rPr>
                <w:noProof/>
                <w:webHidden/>
              </w:rPr>
              <w:tab/>
            </w:r>
            <w:r>
              <w:rPr>
                <w:noProof/>
                <w:webHidden/>
              </w:rPr>
              <w:fldChar w:fldCharType="begin"/>
            </w:r>
            <w:r>
              <w:rPr>
                <w:noProof/>
                <w:webHidden/>
              </w:rPr>
              <w:instrText xml:space="preserve"> PAGEREF _Toc20301911 \h </w:instrText>
            </w:r>
            <w:r>
              <w:rPr>
                <w:noProof/>
                <w:webHidden/>
              </w:rPr>
            </w:r>
            <w:r>
              <w:rPr>
                <w:noProof/>
                <w:webHidden/>
              </w:rPr>
              <w:fldChar w:fldCharType="separate"/>
            </w:r>
            <w:r>
              <w:rPr>
                <w:noProof/>
                <w:webHidden/>
              </w:rPr>
              <w:t>70</w:t>
            </w:r>
            <w:r>
              <w:rPr>
                <w:noProof/>
                <w:webHidden/>
              </w:rPr>
              <w:fldChar w:fldCharType="end"/>
            </w:r>
          </w:hyperlink>
        </w:p>
        <w:p w14:paraId="6AE9880F" w14:textId="4C4AF0D0" w:rsidR="009870DC" w:rsidRDefault="009870DC">
          <w:pPr>
            <w:pStyle w:val="TOC3"/>
            <w:rPr>
              <w:rFonts w:asciiTheme="minorHAnsi" w:eastAsiaTheme="minorEastAsia" w:hAnsiTheme="minorHAnsi" w:cstheme="minorBidi"/>
              <w:noProof/>
              <w:lang w:eastAsia="en-AU"/>
            </w:rPr>
          </w:pPr>
          <w:hyperlink w:anchor="_Toc20301912" w:history="1">
            <w:r w:rsidRPr="003F764D">
              <w:rPr>
                <w:rStyle w:val="Hyperlink"/>
                <w:noProof/>
              </w:rPr>
              <w:t>Quality</w:t>
            </w:r>
            <w:r>
              <w:rPr>
                <w:noProof/>
                <w:webHidden/>
              </w:rPr>
              <w:tab/>
            </w:r>
            <w:r>
              <w:rPr>
                <w:noProof/>
                <w:webHidden/>
              </w:rPr>
              <w:fldChar w:fldCharType="begin"/>
            </w:r>
            <w:r>
              <w:rPr>
                <w:noProof/>
                <w:webHidden/>
              </w:rPr>
              <w:instrText xml:space="preserve"> PAGEREF _Toc20301912 \h </w:instrText>
            </w:r>
            <w:r>
              <w:rPr>
                <w:noProof/>
                <w:webHidden/>
              </w:rPr>
            </w:r>
            <w:r>
              <w:rPr>
                <w:noProof/>
                <w:webHidden/>
              </w:rPr>
              <w:fldChar w:fldCharType="separate"/>
            </w:r>
            <w:r>
              <w:rPr>
                <w:noProof/>
                <w:webHidden/>
              </w:rPr>
              <w:t>72</w:t>
            </w:r>
            <w:r>
              <w:rPr>
                <w:noProof/>
                <w:webHidden/>
              </w:rPr>
              <w:fldChar w:fldCharType="end"/>
            </w:r>
          </w:hyperlink>
        </w:p>
        <w:p w14:paraId="1C15AA5A" w14:textId="03884500" w:rsidR="009870DC" w:rsidRDefault="009870DC">
          <w:pPr>
            <w:pStyle w:val="TOC3"/>
            <w:rPr>
              <w:rFonts w:asciiTheme="minorHAnsi" w:eastAsiaTheme="minorEastAsia" w:hAnsiTheme="minorHAnsi" w:cstheme="minorBidi"/>
              <w:noProof/>
              <w:lang w:eastAsia="en-AU"/>
            </w:rPr>
          </w:pPr>
          <w:hyperlink w:anchor="_Toc20301913" w:history="1">
            <w:r w:rsidRPr="003F764D">
              <w:rPr>
                <w:rStyle w:val="Hyperlink"/>
                <w:noProof/>
              </w:rPr>
              <w:t>Nonclinical</w:t>
            </w:r>
            <w:r>
              <w:rPr>
                <w:noProof/>
                <w:webHidden/>
              </w:rPr>
              <w:tab/>
            </w:r>
            <w:r>
              <w:rPr>
                <w:noProof/>
                <w:webHidden/>
              </w:rPr>
              <w:fldChar w:fldCharType="begin"/>
            </w:r>
            <w:r>
              <w:rPr>
                <w:noProof/>
                <w:webHidden/>
              </w:rPr>
              <w:instrText xml:space="preserve"> PAGEREF _Toc20301913 \h </w:instrText>
            </w:r>
            <w:r>
              <w:rPr>
                <w:noProof/>
                <w:webHidden/>
              </w:rPr>
            </w:r>
            <w:r>
              <w:rPr>
                <w:noProof/>
                <w:webHidden/>
              </w:rPr>
              <w:fldChar w:fldCharType="separate"/>
            </w:r>
            <w:r>
              <w:rPr>
                <w:noProof/>
                <w:webHidden/>
              </w:rPr>
              <w:t>72</w:t>
            </w:r>
            <w:r>
              <w:rPr>
                <w:noProof/>
                <w:webHidden/>
              </w:rPr>
              <w:fldChar w:fldCharType="end"/>
            </w:r>
          </w:hyperlink>
        </w:p>
        <w:p w14:paraId="0634FEC3" w14:textId="7E787F84" w:rsidR="009870DC" w:rsidRDefault="009870DC">
          <w:pPr>
            <w:pStyle w:val="TOC3"/>
            <w:rPr>
              <w:rFonts w:asciiTheme="minorHAnsi" w:eastAsiaTheme="minorEastAsia" w:hAnsiTheme="minorHAnsi" w:cstheme="minorBidi"/>
              <w:noProof/>
              <w:lang w:eastAsia="en-AU"/>
            </w:rPr>
          </w:pPr>
          <w:hyperlink w:anchor="_Toc20301914" w:history="1">
            <w:r w:rsidRPr="003F764D">
              <w:rPr>
                <w:rStyle w:val="Hyperlink"/>
                <w:noProof/>
              </w:rPr>
              <w:t>Clinical</w:t>
            </w:r>
            <w:r>
              <w:rPr>
                <w:noProof/>
                <w:webHidden/>
              </w:rPr>
              <w:tab/>
            </w:r>
            <w:r>
              <w:rPr>
                <w:noProof/>
                <w:webHidden/>
              </w:rPr>
              <w:fldChar w:fldCharType="begin"/>
            </w:r>
            <w:r>
              <w:rPr>
                <w:noProof/>
                <w:webHidden/>
              </w:rPr>
              <w:instrText xml:space="preserve"> PAGEREF _Toc20301914 \h </w:instrText>
            </w:r>
            <w:r>
              <w:rPr>
                <w:noProof/>
                <w:webHidden/>
              </w:rPr>
            </w:r>
            <w:r>
              <w:rPr>
                <w:noProof/>
                <w:webHidden/>
              </w:rPr>
              <w:fldChar w:fldCharType="separate"/>
            </w:r>
            <w:r>
              <w:rPr>
                <w:noProof/>
                <w:webHidden/>
              </w:rPr>
              <w:t>72</w:t>
            </w:r>
            <w:r>
              <w:rPr>
                <w:noProof/>
                <w:webHidden/>
              </w:rPr>
              <w:fldChar w:fldCharType="end"/>
            </w:r>
          </w:hyperlink>
        </w:p>
        <w:p w14:paraId="3A1E3DEE" w14:textId="642C7E28" w:rsidR="009870DC" w:rsidRDefault="009870DC">
          <w:pPr>
            <w:pStyle w:val="TOC3"/>
            <w:rPr>
              <w:rFonts w:asciiTheme="minorHAnsi" w:eastAsiaTheme="minorEastAsia" w:hAnsiTheme="minorHAnsi" w:cstheme="minorBidi"/>
              <w:noProof/>
              <w:lang w:eastAsia="en-AU"/>
            </w:rPr>
          </w:pPr>
          <w:hyperlink w:anchor="_Toc20301915" w:history="1">
            <w:r w:rsidRPr="003F764D">
              <w:rPr>
                <w:rStyle w:val="Hyperlink"/>
                <w:noProof/>
                <w:lang w:eastAsia="en-AU"/>
              </w:rPr>
              <w:t>Risk management plan</w:t>
            </w:r>
            <w:r>
              <w:rPr>
                <w:noProof/>
                <w:webHidden/>
              </w:rPr>
              <w:tab/>
            </w:r>
            <w:r>
              <w:rPr>
                <w:noProof/>
                <w:webHidden/>
              </w:rPr>
              <w:fldChar w:fldCharType="begin"/>
            </w:r>
            <w:r>
              <w:rPr>
                <w:noProof/>
                <w:webHidden/>
              </w:rPr>
              <w:instrText xml:space="preserve"> PAGEREF _Toc20301915 \h </w:instrText>
            </w:r>
            <w:r>
              <w:rPr>
                <w:noProof/>
                <w:webHidden/>
              </w:rPr>
            </w:r>
            <w:r>
              <w:rPr>
                <w:noProof/>
                <w:webHidden/>
              </w:rPr>
              <w:fldChar w:fldCharType="separate"/>
            </w:r>
            <w:r>
              <w:rPr>
                <w:noProof/>
                <w:webHidden/>
              </w:rPr>
              <w:t>77</w:t>
            </w:r>
            <w:r>
              <w:rPr>
                <w:noProof/>
                <w:webHidden/>
              </w:rPr>
              <w:fldChar w:fldCharType="end"/>
            </w:r>
          </w:hyperlink>
        </w:p>
        <w:p w14:paraId="353AAB0E" w14:textId="4EECA81E" w:rsidR="009870DC" w:rsidRDefault="009870DC">
          <w:pPr>
            <w:pStyle w:val="TOC3"/>
            <w:rPr>
              <w:rFonts w:asciiTheme="minorHAnsi" w:eastAsiaTheme="minorEastAsia" w:hAnsiTheme="minorHAnsi" w:cstheme="minorBidi"/>
              <w:noProof/>
              <w:lang w:eastAsia="en-AU"/>
            </w:rPr>
          </w:pPr>
          <w:hyperlink w:anchor="_Toc20301916" w:history="1">
            <w:r w:rsidRPr="003F764D">
              <w:rPr>
                <w:rStyle w:val="Hyperlink"/>
                <w:noProof/>
              </w:rPr>
              <w:t>Risk-benefit analysis</w:t>
            </w:r>
            <w:r>
              <w:rPr>
                <w:noProof/>
                <w:webHidden/>
              </w:rPr>
              <w:tab/>
            </w:r>
            <w:r>
              <w:rPr>
                <w:noProof/>
                <w:webHidden/>
              </w:rPr>
              <w:fldChar w:fldCharType="begin"/>
            </w:r>
            <w:r>
              <w:rPr>
                <w:noProof/>
                <w:webHidden/>
              </w:rPr>
              <w:instrText xml:space="preserve"> PAGEREF _Toc20301916 \h </w:instrText>
            </w:r>
            <w:r>
              <w:rPr>
                <w:noProof/>
                <w:webHidden/>
              </w:rPr>
            </w:r>
            <w:r>
              <w:rPr>
                <w:noProof/>
                <w:webHidden/>
              </w:rPr>
              <w:fldChar w:fldCharType="separate"/>
            </w:r>
            <w:r>
              <w:rPr>
                <w:noProof/>
                <w:webHidden/>
              </w:rPr>
              <w:t>78</w:t>
            </w:r>
            <w:r>
              <w:rPr>
                <w:noProof/>
                <w:webHidden/>
              </w:rPr>
              <w:fldChar w:fldCharType="end"/>
            </w:r>
          </w:hyperlink>
        </w:p>
        <w:p w14:paraId="26C0F887" w14:textId="3951CDA5" w:rsidR="009870DC" w:rsidRDefault="009870DC">
          <w:pPr>
            <w:pStyle w:val="TOC3"/>
            <w:rPr>
              <w:rFonts w:asciiTheme="minorHAnsi" w:eastAsiaTheme="minorEastAsia" w:hAnsiTheme="minorHAnsi" w:cstheme="minorBidi"/>
              <w:noProof/>
              <w:lang w:eastAsia="en-AU"/>
            </w:rPr>
          </w:pPr>
          <w:hyperlink w:anchor="_Toc20301917" w:history="1">
            <w:r w:rsidRPr="003F764D">
              <w:rPr>
                <w:rStyle w:val="Hyperlink"/>
                <w:noProof/>
              </w:rPr>
              <w:t>Outcome</w:t>
            </w:r>
            <w:r>
              <w:rPr>
                <w:noProof/>
                <w:webHidden/>
              </w:rPr>
              <w:tab/>
            </w:r>
            <w:r>
              <w:rPr>
                <w:noProof/>
                <w:webHidden/>
              </w:rPr>
              <w:fldChar w:fldCharType="begin"/>
            </w:r>
            <w:r>
              <w:rPr>
                <w:noProof/>
                <w:webHidden/>
              </w:rPr>
              <w:instrText xml:space="preserve"> PAGEREF _Toc20301917 \h </w:instrText>
            </w:r>
            <w:r>
              <w:rPr>
                <w:noProof/>
                <w:webHidden/>
              </w:rPr>
            </w:r>
            <w:r>
              <w:rPr>
                <w:noProof/>
                <w:webHidden/>
              </w:rPr>
              <w:fldChar w:fldCharType="separate"/>
            </w:r>
            <w:r>
              <w:rPr>
                <w:noProof/>
                <w:webHidden/>
              </w:rPr>
              <w:t>86</w:t>
            </w:r>
            <w:r>
              <w:rPr>
                <w:noProof/>
                <w:webHidden/>
              </w:rPr>
              <w:fldChar w:fldCharType="end"/>
            </w:r>
          </w:hyperlink>
        </w:p>
        <w:p w14:paraId="540B0E9C" w14:textId="290411A9" w:rsidR="009870DC" w:rsidRDefault="009870DC">
          <w:pPr>
            <w:pStyle w:val="TOC2"/>
            <w:rPr>
              <w:rFonts w:asciiTheme="minorHAnsi" w:eastAsiaTheme="minorEastAsia" w:hAnsiTheme="minorHAnsi" w:cstheme="minorBidi"/>
              <w:b w:val="0"/>
              <w:noProof/>
              <w:sz w:val="22"/>
              <w:lang w:eastAsia="en-AU"/>
            </w:rPr>
          </w:pPr>
          <w:hyperlink w:anchor="_Toc20301918" w:history="1">
            <w:r w:rsidRPr="003F764D">
              <w:rPr>
                <w:rStyle w:val="Hyperlink"/>
                <w:noProof/>
              </w:rPr>
              <w:t>Attachment 1. Product Information</w:t>
            </w:r>
            <w:r>
              <w:rPr>
                <w:noProof/>
                <w:webHidden/>
              </w:rPr>
              <w:tab/>
            </w:r>
            <w:r>
              <w:rPr>
                <w:noProof/>
                <w:webHidden/>
              </w:rPr>
              <w:fldChar w:fldCharType="begin"/>
            </w:r>
            <w:r>
              <w:rPr>
                <w:noProof/>
                <w:webHidden/>
              </w:rPr>
              <w:instrText xml:space="preserve"> PAGEREF _Toc20301918 \h </w:instrText>
            </w:r>
            <w:r>
              <w:rPr>
                <w:noProof/>
                <w:webHidden/>
              </w:rPr>
            </w:r>
            <w:r>
              <w:rPr>
                <w:noProof/>
                <w:webHidden/>
              </w:rPr>
              <w:fldChar w:fldCharType="separate"/>
            </w:r>
            <w:r>
              <w:rPr>
                <w:noProof/>
                <w:webHidden/>
              </w:rPr>
              <w:t>87</w:t>
            </w:r>
            <w:r>
              <w:rPr>
                <w:noProof/>
                <w:webHidden/>
              </w:rPr>
              <w:fldChar w:fldCharType="end"/>
            </w:r>
          </w:hyperlink>
        </w:p>
        <w:p w14:paraId="7698CE76" w14:textId="1D171992" w:rsidR="003A7F6C" w:rsidRPr="00B811C6" w:rsidRDefault="00DB6124" w:rsidP="00B811C6">
          <w:pPr>
            <w:pStyle w:val="TOC2"/>
          </w:pPr>
          <w:r>
            <w:fldChar w:fldCharType="end"/>
          </w:r>
        </w:p>
      </w:sdtContent>
    </w:sdt>
    <w:bookmarkStart w:id="3" w:name="_Toc314842482" w:displacedByCustomXml="prev"/>
    <w:p w14:paraId="5F3569A6" w14:textId="77777777" w:rsidR="00FD119B" w:rsidRDefault="00FD119B">
      <w:pPr>
        <w:spacing w:before="0" w:after="200" w:line="0" w:lineRule="auto"/>
      </w:pPr>
      <w:r>
        <w:br w:type="page"/>
      </w:r>
    </w:p>
    <w:p w14:paraId="1F22DB8D" w14:textId="77777777" w:rsidR="00C52E24" w:rsidRPr="00C52E24" w:rsidRDefault="00441C3F" w:rsidP="00C301AE">
      <w:pPr>
        <w:pStyle w:val="Heading2"/>
      </w:pPr>
      <w:bookmarkStart w:id="4" w:name="_Toc351716269"/>
      <w:bookmarkStart w:id="5" w:name="_Toc351718881"/>
      <w:bookmarkStart w:id="6" w:name="_Toc355338616"/>
      <w:bookmarkStart w:id="7" w:name="_Toc356306144"/>
      <w:bookmarkStart w:id="8" w:name="_Toc20301880"/>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704"/>
      </w:tblGrid>
      <w:tr w:rsidR="004D03E1" w14:paraId="39607597" w14:textId="77777777" w:rsidTr="0019299D">
        <w:trPr>
          <w:cnfStyle w:val="100000000000" w:firstRow="1" w:lastRow="0" w:firstColumn="0" w:lastColumn="0" w:oddVBand="0" w:evenVBand="0" w:oddHBand="0" w:evenHBand="0" w:firstRowFirstColumn="0" w:firstRowLastColumn="0" w:lastRowFirstColumn="0" w:lastRowLastColumn="0"/>
          <w:trHeight w:val="144"/>
        </w:trPr>
        <w:tc>
          <w:tcPr>
            <w:tcW w:w="1890" w:type="dxa"/>
          </w:tcPr>
          <w:p w14:paraId="174D6653" w14:textId="77777777" w:rsidR="004D03E1" w:rsidRDefault="004D03E1" w:rsidP="00C301AE">
            <w:r>
              <w:t>Abbreviation</w:t>
            </w:r>
          </w:p>
        </w:tc>
        <w:tc>
          <w:tcPr>
            <w:tcW w:w="6704" w:type="dxa"/>
          </w:tcPr>
          <w:p w14:paraId="0F5B372D" w14:textId="77777777" w:rsidR="004D03E1" w:rsidRDefault="004D03E1" w:rsidP="00C301AE">
            <w:r>
              <w:t>Meaning</w:t>
            </w:r>
          </w:p>
        </w:tc>
      </w:tr>
      <w:tr w:rsidR="004D03E1" w14:paraId="61DDDB71" w14:textId="77777777" w:rsidTr="0019299D">
        <w:trPr>
          <w:trHeight w:val="144"/>
        </w:trPr>
        <w:tc>
          <w:tcPr>
            <w:tcW w:w="1890" w:type="dxa"/>
          </w:tcPr>
          <w:p w14:paraId="448BFD31" w14:textId="77777777" w:rsidR="004D03E1" w:rsidRDefault="004D03E1" w:rsidP="00C301AE">
            <w:r>
              <w:t>5-ASA</w:t>
            </w:r>
          </w:p>
        </w:tc>
        <w:tc>
          <w:tcPr>
            <w:tcW w:w="6704" w:type="dxa"/>
          </w:tcPr>
          <w:p w14:paraId="497D2AC0" w14:textId="77777777" w:rsidR="004D03E1" w:rsidRDefault="004D03E1" w:rsidP="00C301AE">
            <w:r>
              <w:t>5-aminosalicylic acid</w:t>
            </w:r>
          </w:p>
        </w:tc>
      </w:tr>
      <w:tr w:rsidR="004D03E1" w14:paraId="0CC3EAED" w14:textId="77777777" w:rsidTr="0019299D">
        <w:trPr>
          <w:trHeight w:val="144"/>
        </w:trPr>
        <w:tc>
          <w:tcPr>
            <w:tcW w:w="1890" w:type="dxa"/>
          </w:tcPr>
          <w:p w14:paraId="17387A23" w14:textId="77777777" w:rsidR="004D03E1" w:rsidRDefault="004D03E1" w:rsidP="00C301AE">
            <w:r>
              <w:t>6-MP</w:t>
            </w:r>
          </w:p>
        </w:tc>
        <w:tc>
          <w:tcPr>
            <w:tcW w:w="6704" w:type="dxa"/>
          </w:tcPr>
          <w:p w14:paraId="6CB23C65" w14:textId="77777777" w:rsidR="004D03E1" w:rsidRDefault="004D03E1" w:rsidP="00847384">
            <w:r>
              <w:t>6-mercaptopurine</w:t>
            </w:r>
          </w:p>
        </w:tc>
      </w:tr>
      <w:tr w:rsidR="004D03E1" w14:paraId="7923071B" w14:textId="77777777" w:rsidTr="0019299D">
        <w:trPr>
          <w:trHeight w:val="144"/>
        </w:trPr>
        <w:tc>
          <w:tcPr>
            <w:tcW w:w="1890" w:type="dxa"/>
          </w:tcPr>
          <w:p w14:paraId="53183FDE" w14:textId="77777777" w:rsidR="004D03E1" w:rsidRDefault="004D03E1" w:rsidP="00C301AE">
            <w:r>
              <w:t>AE</w:t>
            </w:r>
          </w:p>
        </w:tc>
        <w:tc>
          <w:tcPr>
            <w:tcW w:w="6704" w:type="dxa"/>
          </w:tcPr>
          <w:p w14:paraId="64570335" w14:textId="6BE5B7ED" w:rsidR="004D03E1" w:rsidRDefault="004D03E1" w:rsidP="00C301AE">
            <w:r>
              <w:t xml:space="preserve">Adverse </w:t>
            </w:r>
            <w:r w:rsidR="00AD3BFD">
              <w:t>e</w:t>
            </w:r>
            <w:r>
              <w:t>vent</w:t>
            </w:r>
          </w:p>
        </w:tc>
      </w:tr>
      <w:tr w:rsidR="004D03E1" w14:paraId="4B892A3C" w14:textId="77777777" w:rsidTr="0019299D">
        <w:trPr>
          <w:trHeight w:val="144"/>
        </w:trPr>
        <w:tc>
          <w:tcPr>
            <w:tcW w:w="1890" w:type="dxa"/>
          </w:tcPr>
          <w:p w14:paraId="4FD48481" w14:textId="77777777" w:rsidR="004D03E1" w:rsidRDefault="004D03E1" w:rsidP="00C301AE">
            <w:r>
              <w:t>ALC</w:t>
            </w:r>
          </w:p>
        </w:tc>
        <w:tc>
          <w:tcPr>
            <w:tcW w:w="6704" w:type="dxa"/>
          </w:tcPr>
          <w:p w14:paraId="26EC1FB5" w14:textId="77777777" w:rsidR="004D03E1" w:rsidRDefault="004D03E1" w:rsidP="00C301AE">
            <w:r>
              <w:t>Absolute lymphocyte count</w:t>
            </w:r>
          </w:p>
        </w:tc>
      </w:tr>
      <w:tr w:rsidR="004D03E1" w14:paraId="707168E3" w14:textId="77777777" w:rsidTr="0019299D">
        <w:trPr>
          <w:trHeight w:val="144"/>
        </w:trPr>
        <w:tc>
          <w:tcPr>
            <w:tcW w:w="1890" w:type="dxa"/>
          </w:tcPr>
          <w:p w14:paraId="68262493" w14:textId="77777777" w:rsidR="004D03E1" w:rsidRDefault="004D03E1" w:rsidP="00C301AE">
            <w:r>
              <w:t>ALP</w:t>
            </w:r>
          </w:p>
        </w:tc>
        <w:tc>
          <w:tcPr>
            <w:tcW w:w="6704" w:type="dxa"/>
          </w:tcPr>
          <w:p w14:paraId="1A560102" w14:textId="77777777" w:rsidR="004D03E1" w:rsidRDefault="004D03E1" w:rsidP="00C301AE">
            <w:r>
              <w:t>Alkaline phosphatase</w:t>
            </w:r>
          </w:p>
        </w:tc>
      </w:tr>
      <w:tr w:rsidR="004D03E1" w14:paraId="5D974CFD" w14:textId="77777777" w:rsidTr="0019299D">
        <w:trPr>
          <w:trHeight w:val="144"/>
        </w:trPr>
        <w:tc>
          <w:tcPr>
            <w:tcW w:w="1890" w:type="dxa"/>
          </w:tcPr>
          <w:p w14:paraId="49D1D163" w14:textId="77777777" w:rsidR="004D03E1" w:rsidRDefault="004D03E1" w:rsidP="00C301AE">
            <w:r>
              <w:t>ALT</w:t>
            </w:r>
          </w:p>
        </w:tc>
        <w:tc>
          <w:tcPr>
            <w:tcW w:w="6704" w:type="dxa"/>
          </w:tcPr>
          <w:p w14:paraId="115AA5CC" w14:textId="77777777" w:rsidR="004D03E1" w:rsidRDefault="004D03E1" w:rsidP="00C301AE">
            <w:r>
              <w:t>Alanine aminotransferase</w:t>
            </w:r>
          </w:p>
        </w:tc>
      </w:tr>
      <w:tr w:rsidR="004D03E1" w14:paraId="2C8A2929" w14:textId="77777777" w:rsidTr="0019299D">
        <w:trPr>
          <w:trHeight w:val="144"/>
        </w:trPr>
        <w:tc>
          <w:tcPr>
            <w:tcW w:w="1890" w:type="dxa"/>
          </w:tcPr>
          <w:p w14:paraId="10716380" w14:textId="77777777" w:rsidR="004D03E1" w:rsidRDefault="004D03E1" w:rsidP="00C301AE">
            <w:r>
              <w:t>AML</w:t>
            </w:r>
          </w:p>
        </w:tc>
        <w:tc>
          <w:tcPr>
            <w:tcW w:w="6704" w:type="dxa"/>
          </w:tcPr>
          <w:p w14:paraId="6902D3F4" w14:textId="77777777" w:rsidR="004D03E1" w:rsidRDefault="004D03E1" w:rsidP="00C301AE">
            <w:r>
              <w:t>Acute myeloid leukaemia</w:t>
            </w:r>
          </w:p>
        </w:tc>
      </w:tr>
      <w:tr w:rsidR="004D03E1" w14:paraId="511BAB13" w14:textId="77777777" w:rsidTr="0019299D">
        <w:trPr>
          <w:trHeight w:val="144"/>
        </w:trPr>
        <w:tc>
          <w:tcPr>
            <w:tcW w:w="1890" w:type="dxa"/>
          </w:tcPr>
          <w:p w14:paraId="4B59C47D" w14:textId="77777777" w:rsidR="004D03E1" w:rsidRDefault="004D03E1" w:rsidP="00C301AE">
            <w:r>
              <w:t>ANC</w:t>
            </w:r>
          </w:p>
        </w:tc>
        <w:tc>
          <w:tcPr>
            <w:tcW w:w="6704" w:type="dxa"/>
          </w:tcPr>
          <w:p w14:paraId="4DD3CAE6" w14:textId="77777777" w:rsidR="004D03E1" w:rsidRDefault="004D03E1" w:rsidP="00C301AE">
            <w:r>
              <w:t>Absolute neutrophil count</w:t>
            </w:r>
          </w:p>
        </w:tc>
      </w:tr>
      <w:tr w:rsidR="004D03E1" w14:paraId="3A06DE11" w14:textId="77777777" w:rsidTr="0019299D">
        <w:trPr>
          <w:trHeight w:val="144"/>
        </w:trPr>
        <w:tc>
          <w:tcPr>
            <w:tcW w:w="1890" w:type="dxa"/>
          </w:tcPr>
          <w:p w14:paraId="2D7EE9B8" w14:textId="77777777" w:rsidR="004D03E1" w:rsidRDefault="004D03E1" w:rsidP="00C301AE">
            <w:r>
              <w:t>ARTG</w:t>
            </w:r>
          </w:p>
        </w:tc>
        <w:tc>
          <w:tcPr>
            <w:tcW w:w="6704" w:type="dxa"/>
          </w:tcPr>
          <w:p w14:paraId="78D90E4F" w14:textId="77777777" w:rsidR="004D03E1" w:rsidRDefault="004D03E1" w:rsidP="00847384">
            <w:r w:rsidRPr="00940A89">
              <w:t>Australian Register</w:t>
            </w:r>
            <w:r>
              <w:t xml:space="preserve"> of Therapeutic Goods</w:t>
            </w:r>
          </w:p>
        </w:tc>
      </w:tr>
      <w:tr w:rsidR="004D03E1" w14:paraId="5909B5DB" w14:textId="77777777" w:rsidTr="0019299D">
        <w:trPr>
          <w:trHeight w:val="144"/>
        </w:trPr>
        <w:tc>
          <w:tcPr>
            <w:tcW w:w="1890" w:type="dxa"/>
          </w:tcPr>
          <w:p w14:paraId="34820546" w14:textId="77777777" w:rsidR="004D03E1" w:rsidRDefault="004D03E1" w:rsidP="00C301AE">
            <w:r>
              <w:t>ASA</w:t>
            </w:r>
          </w:p>
        </w:tc>
        <w:tc>
          <w:tcPr>
            <w:tcW w:w="6704" w:type="dxa"/>
          </w:tcPr>
          <w:p w14:paraId="7B1112C3" w14:textId="77777777" w:rsidR="004D03E1" w:rsidRDefault="004D03E1" w:rsidP="00F905F3">
            <w:r>
              <w:t>Australian Specific Annex</w:t>
            </w:r>
          </w:p>
        </w:tc>
      </w:tr>
      <w:tr w:rsidR="004D03E1" w14:paraId="239EE905" w14:textId="77777777" w:rsidTr="0019299D">
        <w:trPr>
          <w:trHeight w:val="144"/>
        </w:trPr>
        <w:tc>
          <w:tcPr>
            <w:tcW w:w="1890" w:type="dxa"/>
          </w:tcPr>
          <w:p w14:paraId="64926581" w14:textId="77777777" w:rsidR="004D03E1" w:rsidRDefault="004D03E1" w:rsidP="00C301AE">
            <w:r>
              <w:t>AST</w:t>
            </w:r>
          </w:p>
        </w:tc>
        <w:tc>
          <w:tcPr>
            <w:tcW w:w="6704" w:type="dxa"/>
          </w:tcPr>
          <w:p w14:paraId="5F4CE29F" w14:textId="77777777" w:rsidR="004D03E1" w:rsidRDefault="004D03E1" w:rsidP="00C301AE">
            <w:r>
              <w:t>Aspartate aminotransferase</w:t>
            </w:r>
          </w:p>
        </w:tc>
      </w:tr>
      <w:tr w:rsidR="004D03E1" w14:paraId="0F192C0C" w14:textId="77777777" w:rsidTr="0019299D">
        <w:trPr>
          <w:trHeight w:val="144"/>
        </w:trPr>
        <w:tc>
          <w:tcPr>
            <w:tcW w:w="1890" w:type="dxa"/>
          </w:tcPr>
          <w:p w14:paraId="225E36F1" w14:textId="77777777" w:rsidR="004D03E1" w:rsidRDefault="004D03E1" w:rsidP="00C301AE">
            <w:r>
              <w:t>AUC</w:t>
            </w:r>
          </w:p>
        </w:tc>
        <w:tc>
          <w:tcPr>
            <w:tcW w:w="6704" w:type="dxa"/>
          </w:tcPr>
          <w:p w14:paraId="136E7207" w14:textId="77777777" w:rsidR="004D03E1" w:rsidRDefault="004D03E1" w:rsidP="00C301AE">
            <w:r>
              <w:t>Area under the plasma concentration-time curve</w:t>
            </w:r>
          </w:p>
        </w:tc>
      </w:tr>
      <w:tr w:rsidR="004D03E1" w14:paraId="01AA6B2D" w14:textId="77777777" w:rsidTr="0019299D">
        <w:trPr>
          <w:trHeight w:val="144"/>
        </w:trPr>
        <w:tc>
          <w:tcPr>
            <w:tcW w:w="1890" w:type="dxa"/>
          </w:tcPr>
          <w:p w14:paraId="53BB6FFF" w14:textId="77777777" w:rsidR="004D03E1" w:rsidRDefault="004D03E1" w:rsidP="00C301AE">
            <w:r>
              <w:t>AZA</w:t>
            </w:r>
          </w:p>
        </w:tc>
        <w:tc>
          <w:tcPr>
            <w:tcW w:w="6704" w:type="dxa"/>
          </w:tcPr>
          <w:p w14:paraId="58C466D9" w14:textId="77777777" w:rsidR="004D03E1" w:rsidRDefault="004D03E1" w:rsidP="00847384">
            <w:r>
              <w:t>Azathioprine</w:t>
            </w:r>
          </w:p>
        </w:tc>
      </w:tr>
      <w:tr w:rsidR="004D03E1" w14:paraId="63358DE7" w14:textId="77777777" w:rsidTr="0019299D">
        <w:trPr>
          <w:trHeight w:val="144"/>
        </w:trPr>
        <w:tc>
          <w:tcPr>
            <w:tcW w:w="1890" w:type="dxa"/>
          </w:tcPr>
          <w:p w14:paraId="01DE56BF" w14:textId="77777777" w:rsidR="004D03E1" w:rsidRDefault="004D03E1" w:rsidP="00C301AE">
            <w:r>
              <w:t>BCC</w:t>
            </w:r>
          </w:p>
        </w:tc>
        <w:tc>
          <w:tcPr>
            <w:tcW w:w="6704" w:type="dxa"/>
          </w:tcPr>
          <w:p w14:paraId="49B2961C" w14:textId="77777777" w:rsidR="004D03E1" w:rsidRDefault="004D03E1" w:rsidP="00C301AE">
            <w:r>
              <w:t>Basal cell carcinoma</w:t>
            </w:r>
          </w:p>
        </w:tc>
      </w:tr>
      <w:tr w:rsidR="004D03E1" w14:paraId="2D229756" w14:textId="77777777" w:rsidTr="0019299D">
        <w:trPr>
          <w:trHeight w:val="144"/>
        </w:trPr>
        <w:tc>
          <w:tcPr>
            <w:tcW w:w="1890" w:type="dxa"/>
          </w:tcPr>
          <w:p w14:paraId="1891B209" w14:textId="77777777" w:rsidR="004D03E1" w:rsidRDefault="004D03E1" w:rsidP="00C301AE">
            <w:r>
              <w:t>BID</w:t>
            </w:r>
          </w:p>
        </w:tc>
        <w:tc>
          <w:tcPr>
            <w:tcW w:w="6704" w:type="dxa"/>
          </w:tcPr>
          <w:p w14:paraId="2867B1F4" w14:textId="77777777" w:rsidR="004D03E1" w:rsidRDefault="004D03E1" w:rsidP="00C301AE">
            <w:proofErr w:type="spellStart"/>
            <w:r>
              <w:t>Bis</w:t>
            </w:r>
            <w:proofErr w:type="spellEnd"/>
            <w:r>
              <w:t xml:space="preserve"> in die (twice a day)</w:t>
            </w:r>
          </w:p>
        </w:tc>
      </w:tr>
      <w:tr w:rsidR="004D03E1" w14:paraId="4EB18204" w14:textId="77777777" w:rsidTr="0019299D">
        <w:trPr>
          <w:trHeight w:val="144"/>
        </w:trPr>
        <w:tc>
          <w:tcPr>
            <w:tcW w:w="1890" w:type="dxa"/>
          </w:tcPr>
          <w:p w14:paraId="231492D7" w14:textId="77777777" w:rsidR="004D03E1" w:rsidRDefault="004D03E1" w:rsidP="00C301AE">
            <w:r>
              <w:t>BP</w:t>
            </w:r>
          </w:p>
        </w:tc>
        <w:tc>
          <w:tcPr>
            <w:tcW w:w="6704" w:type="dxa"/>
          </w:tcPr>
          <w:p w14:paraId="6751F85A" w14:textId="77777777" w:rsidR="004D03E1" w:rsidRDefault="004D03E1" w:rsidP="00C301AE">
            <w:r>
              <w:t>Blood Pressure</w:t>
            </w:r>
          </w:p>
        </w:tc>
      </w:tr>
      <w:tr w:rsidR="004D03E1" w14:paraId="5E6BE0FE" w14:textId="77777777" w:rsidTr="0019299D">
        <w:trPr>
          <w:trHeight w:val="144"/>
        </w:trPr>
        <w:tc>
          <w:tcPr>
            <w:tcW w:w="1890" w:type="dxa"/>
          </w:tcPr>
          <w:p w14:paraId="0AD5ADD2" w14:textId="77777777" w:rsidR="004D03E1" w:rsidRDefault="004D03E1" w:rsidP="00C301AE">
            <w:r>
              <w:t>CHMP</w:t>
            </w:r>
          </w:p>
        </w:tc>
        <w:tc>
          <w:tcPr>
            <w:tcW w:w="6704" w:type="dxa"/>
          </w:tcPr>
          <w:p w14:paraId="427A0703" w14:textId="77777777" w:rsidR="004D03E1" w:rsidRDefault="004D03E1" w:rsidP="00C301AE">
            <w:r>
              <w:t>Committee of Medicinal Products for Human use</w:t>
            </w:r>
          </w:p>
        </w:tc>
      </w:tr>
      <w:tr w:rsidR="004D03E1" w14:paraId="1F364BEF" w14:textId="77777777" w:rsidTr="0019299D">
        <w:trPr>
          <w:trHeight w:val="144"/>
        </w:trPr>
        <w:tc>
          <w:tcPr>
            <w:tcW w:w="1890" w:type="dxa"/>
          </w:tcPr>
          <w:p w14:paraId="6BA3677B" w14:textId="77777777" w:rsidR="004D03E1" w:rsidRDefault="004D03E1" w:rsidP="00C301AE">
            <w:r>
              <w:t>CI</w:t>
            </w:r>
          </w:p>
        </w:tc>
        <w:tc>
          <w:tcPr>
            <w:tcW w:w="6704" w:type="dxa"/>
          </w:tcPr>
          <w:p w14:paraId="76C5D982" w14:textId="64D665CD" w:rsidR="004D03E1" w:rsidRDefault="004D03E1" w:rsidP="00C301AE">
            <w:r>
              <w:t xml:space="preserve">Confidence </w:t>
            </w:r>
            <w:r w:rsidR="006E3A34">
              <w:t>i</w:t>
            </w:r>
            <w:r>
              <w:t>nterval</w:t>
            </w:r>
          </w:p>
        </w:tc>
      </w:tr>
      <w:tr w:rsidR="004D03E1" w14:paraId="7C205B79" w14:textId="77777777" w:rsidTr="0019299D">
        <w:trPr>
          <w:trHeight w:val="144"/>
        </w:trPr>
        <w:tc>
          <w:tcPr>
            <w:tcW w:w="1890" w:type="dxa"/>
          </w:tcPr>
          <w:p w14:paraId="010BE579" w14:textId="77777777" w:rsidR="004D03E1" w:rsidRDefault="004D03E1" w:rsidP="00C301AE">
            <w:r>
              <w:t>CMH</w:t>
            </w:r>
          </w:p>
        </w:tc>
        <w:tc>
          <w:tcPr>
            <w:tcW w:w="6704" w:type="dxa"/>
          </w:tcPr>
          <w:p w14:paraId="406EF7AC" w14:textId="77777777" w:rsidR="004D03E1" w:rsidRDefault="004D03E1" w:rsidP="00C301AE">
            <w:r>
              <w:t>Cochran-Mantel-</w:t>
            </w:r>
            <w:proofErr w:type="spellStart"/>
            <w:r>
              <w:t>Haenszel</w:t>
            </w:r>
            <w:proofErr w:type="spellEnd"/>
          </w:p>
        </w:tc>
      </w:tr>
      <w:tr w:rsidR="004D03E1" w14:paraId="2241A5C6" w14:textId="77777777" w:rsidTr="0019299D">
        <w:trPr>
          <w:trHeight w:val="144"/>
        </w:trPr>
        <w:tc>
          <w:tcPr>
            <w:tcW w:w="1890" w:type="dxa"/>
          </w:tcPr>
          <w:p w14:paraId="00621C09" w14:textId="77777777" w:rsidR="004D03E1" w:rsidRDefault="004D03E1" w:rsidP="00C301AE">
            <w:r>
              <w:t>CMI</w:t>
            </w:r>
          </w:p>
        </w:tc>
        <w:tc>
          <w:tcPr>
            <w:tcW w:w="6704" w:type="dxa"/>
          </w:tcPr>
          <w:p w14:paraId="4EDA281C" w14:textId="77777777" w:rsidR="004D03E1" w:rsidRDefault="004D03E1" w:rsidP="00C301AE">
            <w:r>
              <w:t>Consumer Medicines Information</w:t>
            </w:r>
          </w:p>
        </w:tc>
      </w:tr>
      <w:tr w:rsidR="004D03E1" w14:paraId="220622B9" w14:textId="77777777" w:rsidTr="0019299D">
        <w:trPr>
          <w:trHeight w:val="144"/>
        </w:trPr>
        <w:tc>
          <w:tcPr>
            <w:tcW w:w="1890" w:type="dxa"/>
          </w:tcPr>
          <w:p w14:paraId="4B81587F" w14:textId="77777777" w:rsidR="004D03E1" w:rsidRDefault="004D03E1" w:rsidP="00C301AE">
            <w:r>
              <w:t>CMV</w:t>
            </w:r>
          </w:p>
        </w:tc>
        <w:tc>
          <w:tcPr>
            <w:tcW w:w="6704" w:type="dxa"/>
          </w:tcPr>
          <w:p w14:paraId="3C2CE97D" w14:textId="77777777" w:rsidR="004D03E1" w:rsidRDefault="004D03E1" w:rsidP="00C301AE">
            <w:r>
              <w:t>Cytomegalovirus</w:t>
            </w:r>
          </w:p>
        </w:tc>
      </w:tr>
      <w:tr w:rsidR="004D03E1" w14:paraId="54F3FF2E" w14:textId="77777777" w:rsidTr="0019299D">
        <w:trPr>
          <w:trHeight w:val="144"/>
        </w:trPr>
        <w:tc>
          <w:tcPr>
            <w:tcW w:w="1890" w:type="dxa"/>
          </w:tcPr>
          <w:p w14:paraId="606EE387" w14:textId="77777777" w:rsidR="004D03E1" w:rsidRDefault="004D03E1" w:rsidP="00C301AE">
            <w:r>
              <w:t>CP-690,550</w:t>
            </w:r>
          </w:p>
        </w:tc>
        <w:tc>
          <w:tcPr>
            <w:tcW w:w="6704" w:type="dxa"/>
          </w:tcPr>
          <w:p w14:paraId="191BA775" w14:textId="3470E882" w:rsidR="004D03E1" w:rsidRDefault="004D03E1" w:rsidP="00C301AE">
            <w:proofErr w:type="spellStart"/>
            <w:r>
              <w:t>Tofacitinib</w:t>
            </w:r>
            <w:proofErr w:type="spellEnd"/>
            <w:r w:rsidR="006E3A34">
              <w:t xml:space="preserve"> (drug development code)</w:t>
            </w:r>
          </w:p>
        </w:tc>
      </w:tr>
      <w:tr w:rsidR="004D03E1" w14:paraId="598F07FF" w14:textId="77777777" w:rsidTr="0019299D">
        <w:trPr>
          <w:trHeight w:val="144"/>
        </w:trPr>
        <w:tc>
          <w:tcPr>
            <w:tcW w:w="1890" w:type="dxa"/>
          </w:tcPr>
          <w:p w14:paraId="2F917316" w14:textId="77777777" w:rsidR="004D03E1" w:rsidRDefault="004D03E1" w:rsidP="00C301AE">
            <w:r>
              <w:t>CPK</w:t>
            </w:r>
          </w:p>
        </w:tc>
        <w:tc>
          <w:tcPr>
            <w:tcW w:w="6704" w:type="dxa"/>
          </w:tcPr>
          <w:p w14:paraId="79F8D1A1" w14:textId="77777777" w:rsidR="004D03E1" w:rsidRDefault="004D03E1" w:rsidP="00C301AE">
            <w:proofErr w:type="spellStart"/>
            <w:r>
              <w:t>Creatine</w:t>
            </w:r>
            <w:proofErr w:type="spellEnd"/>
            <w:r>
              <w:t xml:space="preserve"> phosphokinase</w:t>
            </w:r>
          </w:p>
        </w:tc>
      </w:tr>
      <w:tr w:rsidR="004D03E1" w14:paraId="612C6289" w14:textId="77777777" w:rsidTr="0019299D">
        <w:trPr>
          <w:trHeight w:val="144"/>
        </w:trPr>
        <w:tc>
          <w:tcPr>
            <w:tcW w:w="1890" w:type="dxa"/>
          </w:tcPr>
          <w:p w14:paraId="5F329AE0" w14:textId="77777777" w:rsidR="004D03E1" w:rsidRDefault="004D03E1" w:rsidP="00C301AE">
            <w:r>
              <w:rPr>
                <w:lang w:eastAsia="ja-JP"/>
              </w:rPr>
              <w:t>CRF</w:t>
            </w:r>
          </w:p>
        </w:tc>
        <w:tc>
          <w:tcPr>
            <w:tcW w:w="6704" w:type="dxa"/>
          </w:tcPr>
          <w:p w14:paraId="336C6A07" w14:textId="77777777" w:rsidR="004D03E1" w:rsidRDefault="004D03E1" w:rsidP="003771B1">
            <w:r>
              <w:rPr>
                <w:lang w:eastAsia="ja-JP"/>
              </w:rPr>
              <w:t>Case report form</w:t>
            </w:r>
          </w:p>
        </w:tc>
      </w:tr>
      <w:tr w:rsidR="004D03E1" w14:paraId="0D1D65C7" w14:textId="77777777" w:rsidTr="0019299D">
        <w:trPr>
          <w:trHeight w:val="144"/>
        </w:trPr>
        <w:tc>
          <w:tcPr>
            <w:tcW w:w="1890" w:type="dxa"/>
          </w:tcPr>
          <w:p w14:paraId="7ECD135B" w14:textId="77777777" w:rsidR="004D03E1" w:rsidRDefault="004D03E1" w:rsidP="00C301AE">
            <w:r>
              <w:t>CRP</w:t>
            </w:r>
          </w:p>
        </w:tc>
        <w:tc>
          <w:tcPr>
            <w:tcW w:w="6704" w:type="dxa"/>
          </w:tcPr>
          <w:p w14:paraId="1C6C985A" w14:textId="77777777" w:rsidR="004D03E1" w:rsidRDefault="004D03E1" w:rsidP="00C301AE">
            <w:r>
              <w:t>C-reactive protein</w:t>
            </w:r>
          </w:p>
        </w:tc>
      </w:tr>
      <w:tr w:rsidR="004D03E1" w14:paraId="13DC9DF9" w14:textId="77777777" w:rsidTr="0019299D">
        <w:trPr>
          <w:trHeight w:val="144"/>
        </w:trPr>
        <w:tc>
          <w:tcPr>
            <w:tcW w:w="1890" w:type="dxa"/>
          </w:tcPr>
          <w:p w14:paraId="3BD635CC" w14:textId="77777777" w:rsidR="004D03E1" w:rsidRDefault="004D03E1" w:rsidP="00C301AE">
            <w:r>
              <w:lastRenderedPageBreak/>
              <w:t>CV-EAC</w:t>
            </w:r>
          </w:p>
        </w:tc>
        <w:tc>
          <w:tcPr>
            <w:tcW w:w="6704" w:type="dxa"/>
          </w:tcPr>
          <w:p w14:paraId="23DA96EC" w14:textId="77777777" w:rsidR="004D03E1" w:rsidRDefault="004D03E1" w:rsidP="00C301AE">
            <w:r>
              <w:t>Cardiovascular Endpoint Adjudication Committee</w:t>
            </w:r>
          </w:p>
        </w:tc>
      </w:tr>
      <w:tr w:rsidR="004D03E1" w14:paraId="2499EF9A" w14:textId="77777777" w:rsidTr="0019299D">
        <w:trPr>
          <w:trHeight w:val="144"/>
        </w:trPr>
        <w:tc>
          <w:tcPr>
            <w:tcW w:w="1890" w:type="dxa"/>
          </w:tcPr>
          <w:p w14:paraId="11A522D1" w14:textId="77777777" w:rsidR="004D03E1" w:rsidRDefault="004D03E1" w:rsidP="00C301AE">
            <w:r>
              <w:t>CYP3A</w:t>
            </w:r>
          </w:p>
        </w:tc>
        <w:tc>
          <w:tcPr>
            <w:tcW w:w="6704" w:type="dxa"/>
          </w:tcPr>
          <w:p w14:paraId="073558BD" w14:textId="77777777" w:rsidR="004D03E1" w:rsidRDefault="004D03E1" w:rsidP="00C301AE">
            <w:r>
              <w:t>Cytochrome P450, family 3, subfamily A</w:t>
            </w:r>
          </w:p>
        </w:tc>
      </w:tr>
      <w:tr w:rsidR="004D03E1" w14:paraId="76BEC2F2" w14:textId="77777777" w:rsidTr="0019299D">
        <w:trPr>
          <w:trHeight w:val="144"/>
        </w:trPr>
        <w:tc>
          <w:tcPr>
            <w:tcW w:w="1890" w:type="dxa"/>
          </w:tcPr>
          <w:p w14:paraId="4089AF7A" w14:textId="77777777" w:rsidR="004D03E1" w:rsidRDefault="004D03E1" w:rsidP="00C301AE">
            <w:r>
              <w:t>DILI</w:t>
            </w:r>
          </w:p>
        </w:tc>
        <w:tc>
          <w:tcPr>
            <w:tcW w:w="6704" w:type="dxa"/>
          </w:tcPr>
          <w:p w14:paraId="7D1DAE90" w14:textId="77777777" w:rsidR="004D03E1" w:rsidRDefault="004D03E1" w:rsidP="00C301AE">
            <w:r>
              <w:t>Drug-induced liver injury</w:t>
            </w:r>
          </w:p>
        </w:tc>
      </w:tr>
      <w:tr w:rsidR="004D03E1" w14:paraId="605E5F59" w14:textId="77777777" w:rsidTr="0019299D">
        <w:trPr>
          <w:trHeight w:val="144"/>
        </w:trPr>
        <w:tc>
          <w:tcPr>
            <w:tcW w:w="1890" w:type="dxa"/>
          </w:tcPr>
          <w:p w14:paraId="0F49A8D7" w14:textId="77777777" w:rsidR="004D03E1" w:rsidRDefault="004D03E1" w:rsidP="00C301AE">
            <w:r>
              <w:t>DMARD</w:t>
            </w:r>
          </w:p>
        </w:tc>
        <w:tc>
          <w:tcPr>
            <w:tcW w:w="6704" w:type="dxa"/>
          </w:tcPr>
          <w:p w14:paraId="17DEFB60" w14:textId="77777777" w:rsidR="004D03E1" w:rsidRDefault="004D03E1" w:rsidP="00C301AE">
            <w:r>
              <w:t>Disease-modifying anti-rheumatic drug</w:t>
            </w:r>
          </w:p>
        </w:tc>
      </w:tr>
      <w:tr w:rsidR="004D03E1" w14:paraId="37D19CB8" w14:textId="77777777" w:rsidTr="0019299D">
        <w:trPr>
          <w:trHeight w:val="144"/>
        </w:trPr>
        <w:tc>
          <w:tcPr>
            <w:tcW w:w="1890" w:type="dxa"/>
          </w:tcPr>
          <w:p w14:paraId="1F7CD27E" w14:textId="77777777" w:rsidR="004D03E1" w:rsidRDefault="004D03E1" w:rsidP="00C301AE">
            <w:r w:rsidRPr="00601D2D">
              <w:t>DRESS</w:t>
            </w:r>
          </w:p>
        </w:tc>
        <w:tc>
          <w:tcPr>
            <w:tcW w:w="6704" w:type="dxa"/>
          </w:tcPr>
          <w:p w14:paraId="12A3FA9A" w14:textId="77777777" w:rsidR="004D03E1" w:rsidRDefault="004D03E1" w:rsidP="006C148C">
            <w:r>
              <w:t>D</w:t>
            </w:r>
            <w:r w:rsidRPr="00601D2D">
              <w:t>rug reaction with eosi</w:t>
            </w:r>
            <w:r>
              <w:t>nophilia and systemic symptoms</w:t>
            </w:r>
          </w:p>
        </w:tc>
      </w:tr>
      <w:tr w:rsidR="004D03E1" w14:paraId="424363B5" w14:textId="77777777" w:rsidTr="0019299D">
        <w:trPr>
          <w:trHeight w:val="144"/>
        </w:trPr>
        <w:tc>
          <w:tcPr>
            <w:tcW w:w="1890" w:type="dxa"/>
          </w:tcPr>
          <w:p w14:paraId="7F761036" w14:textId="77777777" w:rsidR="004D03E1" w:rsidRDefault="004D03E1" w:rsidP="00C301AE">
            <w:r>
              <w:t>EBV</w:t>
            </w:r>
          </w:p>
        </w:tc>
        <w:tc>
          <w:tcPr>
            <w:tcW w:w="6704" w:type="dxa"/>
          </w:tcPr>
          <w:p w14:paraId="6F58F1DB" w14:textId="77777777" w:rsidR="004D03E1" w:rsidRDefault="004D03E1" w:rsidP="00C301AE">
            <w:r>
              <w:t>Epstein-Barr virus</w:t>
            </w:r>
          </w:p>
        </w:tc>
      </w:tr>
      <w:tr w:rsidR="004D03E1" w14:paraId="4A3284AF" w14:textId="77777777" w:rsidTr="0019299D">
        <w:trPr>
          <w:trHeight w:val="144"/>
        </w:trPr>
        <w:tc>
          <w:tcPr>
            <w:tcW w:w="1890" w:type="dxa"/>
          </w:tcPr>
          <w:p w14:paraId="2E54E80D" w14:textId="77777777" w:rsidR="004D03E1" w:rsidRDefault="004D03E1" w:rsidP="00C301AE">
            <w:r>
              <w:t>ECG</w:t>
            </w:r>
          </w:p>
        </w:tc>
        <w:tc>
          <w:tcPr>
            <w:tcW w:w="6704" w:type="dxa"/>
          </w:tcPr>
          <w:p w14:paraId="0A5717A3" w14:textId="77777777" w:rsidR="004D03E1" w:rsidRDefault="004D03E1" w:rsidP="00C301AE">
            <w:r>
              <w:t>Electrocardiogram</w:t>
            </w:r>
          </w:p>
        </w:tc>
      </w:tr>
      <w:tr w:rsidR="004D03E1" w14:paraId="04748665" w14:textId="77777777" w:rsidTr="0019299D">
        <w:trPr>
          <w:trHeight w:val="144"/>
        </w:trPr>
        <w:tc>
          <w:tcPr>
            <w:tcW w:w="1890" w:type="dxa"/>
          </w:tcPr>
          <w:p w14:paraId="0F18F775" w14:textId="77777777" w:rsidR="004D03E1" w:rsidRDefault="004D03E1" w:rsidP="00C301AE">
            <w:r>
              <w:t>EMA</w:t>
            </w:r>
          </w:p>
        </w:tc>
        <w:tc>
          <w:tcPr>
            <w:tcW w:w="6704" w:type="dxa"/>
          </w:tcPr>
          <w:p w14:paraId="4BD9FABA" w14:textId="77777777" w:rsidR="004D03E1" w:rsidRDefault="004D03E1" w:rsidP="00C301AE">
            <w:r>
              <w:rPr>
                <w:rFonts w:eastAsiaTheme="minorHAnsi" w:cs="TimesNewRomanPSMT"/>
              </w:rPr>
              <w:t>European Medicines Agency</w:t>
            </w:r>
          </w:p>
        </w:tc>
      </w:tr>
      <w:tr w:rsidR="004D03E1" w14:paraId="6FEFFF10" w14:textId="77777777" w:rsidTr="0019299D">
        <w:trPr>
          <w:trHeight w:val="144"/>
        </w:trPr>
        <w:tc>
          <w:tcPr>
            <w:tcW w:w="1890" w:type="dxa"/>
          </w:tcPr>
          <w:p w14:paraId="0554757C" w14:textId="77777777" w:rsidR="004D03E1" w:rsidRDefault="004D03E1" w:rsidP="00C301AE">
            <w:r>
              <w:t>EU</w:t>
            </w:r>
          </w:p>
        </w:tc>
        <w:tc>
          <w:tcPr>
            <w:tcW w:w="6704" w:type="dxa"/>
          </w:tcPr>
          <w:p w14:paraId="142BD0A5" w14:textId="77777777" w:rsidR="004D03E1" w:rsidRDefault="004D03E1" w:rsidP="00C301AE">
            <w:r>
              <w:t>European Union</w:t>
            </w:r>
          </w:p>
        </w:tc>
      </w:tr>
      <w:tr w:rsidR="004D03E1" w14:paraId="2F98AB27" w14:textId="77777777" w:rsidTr="0019299D">
        <w:trPr>
          <w:trHeight w:val="144"/>
        </w:trPr>
        <w:tc>
          <w:tcPr>
            <w:tcW w:w="1890" w:type="dxa"/>
          </w:tcPr>
          <w:p w14:paraId="651900B2" w14:textId="77777777" w:rsidR="004D03E1" w:rsidRDefault="004D03E1" w:rsidP="00C301AE">
            <w:r>
              <w:t>FDA</w:t>
            </w:r>
          </w:p>
        </w:tc>
        <w:tc>
          <w:tcPr>
            <w:tcW w:w="6704" w:type="dxa"/>
          </w:tcPr>
          <w:p w14:paraId="0B3C9E7C" w14:textId="6A948E87" w:rsidR="004D03E1" w:rsidRDefault="004D03E1" w:rsidP="00553680">
            <w:r>
              <w:t>Food and Drug Administration</w:t>
            </w:r>
            <w:r w:rsidR="006E3A34">
              <w:t xml:space="preserve"> (United States)</w:t>
            </w:r>
          </w:p>
        </w:tc>
      </w:tr>
      <w:tr w:rsidR="004D03E1" w14:paraId="18893B18" w14:textId="77777777" w:rsidTr="0019299D">
        <w:trPr>
          <w:trHeight w:val="144"/>
        </w:trPr>
        <w:tc>
          <w:tcPr>
            <w:tcW w:w="1890" w:type="dxa"/>
          </w:tcPr>
          <w:p w14:paraId="0EEAC22D" w14:textId="77777777" w:rsidR="004D03E1" w:rsidRDefault="004D03E1" w:rsidP="00C301AE">
            <w:r>
              <w:t>GCP</w:t>
            </w:r>
          </w:p>
        </w:tc>
        <w:tc>
          <w:tcPr>
            <w:tcW w:w="6704" w:type="dxa"/>
          </w:tcPr>
          <w:p w14:paraId="5F27E501" w14:textId="77777777" w:rsidR="004D03E1" w:rsidRDefault="004D03E1" w:rsidP="00C301AE">
            <w:r>
              <w:t>Good Clinical Practice</w:t>
            </w:r>
          </w:p>
        </w:tc>
      </w:tr>
      <w:tr w:rsidR="004D03E1" w14:paraId="30812C62" w14:textId="77777777" w:rsidTr="0019299D">
        <w:trPr>
          <w:trHeight w:val="144"/>
        </w:trPr>
        <w:tc>
          <w:tcPr>
            <w:tcW w:w="1890" w:type="dxa"/>
          </w:tcPr>
          <w:p w14:paraId="63ACD87D" w14:textId="77777777" w:rsidR="004D03E1" w:rsidRDefault="004D03E1" w:rsidP="00C301AE">
            <w:r>
              <w:t>GGT</w:t>
            </w:r>
          </w:p>
        </w:tc>
        <w:tc>
          <w:tcPr>
            <w:tcW w:w="6704" w:type="dxa"/>
          </w:tcPr>
          <w:p w14:paraId="78FA2C44" w14:textId="77777777" w:rsidR="004D03E1" w:rsidRDefault="004D03E1" w:rsidP="00C301AE">
            <w:r>
              <w:t>Gamma-</w:t>
            </w:r>
            <w:proofErr w:type="spellStart"/>
            <w:r>
              <w:t>glutamyl</w:t>
            </w:r>
            <w:proofErr w:type="spellEnd"/>
            <w:r>
              <w:t xml:space="preserve"> transferase</w:t>
            </w:r>
          </w:p>
        </w:tc>
      </w:tr>
      <w:tr w:rsidR="004D03E1" w14:paraId="7FEA2AB5" w14:textId="77777777" w:rsidTr="0019299D">
        <w:trPr>
          <w:trHeight w:val="144"/>
        </w:trPr>
        <w:tc>
          <w:tcPr>
            <w:tcW w:w="1890" w:type="dxa"/>
          </w:tcPr>
          <w:p w14:paraId="669072DB" w14:textId="77777777" w:rsidR="004D03E1" w:rsidRDefault="004D03E1" w:rsidP="00C301AE">
            <w:r>
              <w:t>GI</w:t>
            </w:r>
          </w:p>
        </w:tc>
        <w:tc>
          <w:tcPr>
            <w:tcW w:w="6704" w:type="dxa"/>
          </w:tcPr>
          <w:p w14:paraId="4E9331CB" w14:textId="39F33B8D" w:rsidR="004D03E1" w:rsidRDefault="006E3A34" w:rsidP="00C301AE">
            <w:r>
              <w:t>Gastrointestinal</w:t>
            </w:r>
          </w:p>
        </w:tc>
      </w:tr>
      <w:tr w:rsidR="004D03E1" w14:paraId="33E3A9D2" w14:textId="77777777" w:rsidTr="0019299D">
        <w:trPr>
          <w:trHeight w:val="144"/>
        </w:trPr>
        <w:tc>
          <w:tcPr>
            <w:tcW w:w="1890" w:type="dxa"/>
          </w:tcPr>
          <w:p w14:paraId="55756C85" w14:textId="77777777" w:rsidR="004D03E1" w:rsidRDefault="004D03E1" w:rsidP="00C301AE">
            <w:r>
              <w:t>GIPRC</w:t>
            </w:r>
          </w:p>
        </w:tc>
        <w:tc>
          <w:tcPr>
            <w:tcW w:w="6704" w:type="dxa"/>
          </w:tcPr>
          <w:p w14:paraId="14D11372" w14:textId="77777777" w:rsidR="004D03E1" w:rsidRDefault="004D03E1" w:rsidP="00C301AE">
            <w:r>
              <w:t>Gastrointestinal Perforation Review Committee</w:t>
            </w:r>
          </w:p>
        </w:tc>
      </w:tr>
      <w:tr w:rsidR="004D03E1" w14:paraId="58D06AA1" w14:textId="77777777" w:rsidTr="0019299D">
        <w:trPr>
          <w:trHeight w:val="144"/>
        </w:trPr>
        <w:tc>
          <w:tcPr>
            <w:tcW w:w="1890" w:type="dxa"/>
          </w:tcPr>
          <w:p w14:paraId="3FF6B9FA" w14:textId="77777777" w:rsidR="004D03E1" w:rsidRDefault="004D03E1" w:rsidP="00C301AE">
            <w:r w:rsidRPr="0097542E">
              <w:t>GLMM</w:t>
            </w:r>
          </w:p>
        </w:tc>
        <w:tc>
          <w:tcPr>
            <w:tcW w:w="6704" w:type="dxa"/>
          </w:tcPr>
          <w:p w14:paraId="774979BE" w14:textId="77777777" w:rsidR="004D03E1" w:rsidRDefault="004D03E1" w:rsidP="00D83BB0">
            <w:r>
              <w:rPr>
                <w:color w:val="000000"/>
                <w:shd w:val="clear" w:color="auto" w:fill="FFFFFF"/>
              </w:rPr>
              <w:t>Generalised linear mixed model</w:t>
            </w:r>
          </w:p>
        </w:tc>
      </w:tr>
      <w:tr w:rsidR="004D03E1" w14:paraId="4A2212E4" w14:textId="77777777" w:rsidTr="0019299D">
        <w:trPr>
          <w:trHeight w:val="144"/>
        </w:trPr>
        <w:tc>
          <w:tcPr>
            <w:tcW w:w="1890" w:type="dxa"/>
          </w:tcPr>
          <w:p w14:paraId="4E977F06" w14:textId="77777777" w:rsidR="004D03E1" w:rsidRDefault="004D03E1" w:rsidP="00C301AE">
            <w:r>
              <w:t>HDL</w:t>
            </w:r>
          </w:p>
        </w:tc>
        <w:tc>
          <w:tcPr>
            <w:tcW w:w="6704" w:type="dxa"/>
          </w:tcPr>
          <w:p w14:paraId="24F0EF89" w14:textId="77777777" w:rsidR="004D03E1" w:rsidRDefault="004D03E1" w:rsidP="00C301AE">
            <w:r>
              <w:t>High-density lipoprotein</w:t>
            </w:r>
          </w:p>
        </w:tc>
      </w:tr>
      <w:tr w:rsidR="004D03E1" w14:paraId="62612766" w14:textId="77777777" w:rsidTr="0019299D">
        <w:trPr>
          <w:trHeight w:val="144"/>
        </w:trPr>
        <w:tc>
          <w:tcPr>
            <w:tcW w:w="1890" w:type="dxa"/>
          </w:tcPr>
          <w:p w14:paraId="183B908B" w14:textId="77777777" w:rsidR="004D03E1" w:rsidRDefault="004D03E1" w:rsidP="00C301AE">
            <w:r>
              <w:t>HERC</w:t>
            </w:r>
          </w:p>
        </w:tc>
        <w:tc>
          <w:tcPr>
            <w:tcW w:w="6704" w:type="dxa"/>
          </w:tcPr>
          <w:p w14:paraId="4024E48F" w14:textId="77777777" w:rsidR="004D03E1" w:rsidRDefault="004D03E1" w:rsidP="00C301AE">
            <w:r>
              <w:t>Hepatic Event Review Committee</w:t>
            </w:r>
          </w:p>
        </w:tc>
      </w:tr>
      <w:tr w:rsidR="004D03E1" w14:paraId="7E7B25F9" w14:textId="77777777" w:rsidTr="0019299D">
        <w:trPr>
          <w:trHeight w:val="144"/>
        </w:trPr>
        <w:tc>
          <w:tcPr>
            <w:tcW w:w="1890" w:type="dxa"/>
          </w:tcPr>
          <w:p w14:paraId="44317202" w14:textId="77777777" w:rsidR="004D03E1" w:rsidRDefault="004D03E1" w:rsidP="00C301AE">
            <w:proofErr w:type="spellStart"/>
            <w:r>
              <w:t>hsCRP</w:t>
            </w:r>
            <w:proofErr w:type="spellEnd"/>
          </w:p>
        </w:tc>
        <w:tc>
          <w:tcPr>
            <w:tcW w:w="6704" w:type="dxa"/>
          </w:tcPr>
          <w:p w14:paraId="37EF9D87" w14:textId="77777777" w:rsidR="004D03E1" w:rsidRDefault="004D03E1" w:rsidP="00C301AE">
            <w:r>
              <w:t>High sensitivity C-reactive protein</w:t>
            </w:r>
          </w:p>
        </w:tc>
      </w:tr>
      <w:tr w:rsidR="004D03E1" w14:paraId="1B6AF6A8" w14:textId="77777777" w:rsidTr="0019299D">
        <w:trPr>
          <w:trHeight w:val="144"/>
        </w:trPr>
        <w:tc>
          <w:tcPr>
            <w:tcW w:w="1890" w:type="dxa"/>
          </w:tcPr>
          <w:p w14:paraId="556CAACE" w14:textId="77777777" w:rsidR="004D03E1" w:rsidRDefault="004D03E1" w:rsidP="00C301AE">
            <w:r>
              <w:t>HZ</w:t>
            </w:r>
          </w:p>
        </w:tc>
        <w:tc>
          <w:tcPr>
            <w:tcW w:w="6704" w:type="dxa"/>
          </w:tcPr>
          <w:p w14:paraId="44E189A9" w14:textId="77777777" w:rsidR="004D03E1" w:rsidRDefault="004D03E1" w:rsidP="00C301AE">
            <w:r>
              <w:t>Herpes zoster</w:t>
            </w:r>
          </w:p>
        </w:tc>
      </w:tr>
      <w:tr w:rsidR="004D03E1" w14:paraId="268D52BD" w14:textId="77777777" w:rsidTr="0019299D">
        <w:trPr>
          <w:trHeight w:val="144"/>
        </w:trPr>
        <w:tc>
          <w:tcPr>
            <w:tcW w:w="1890" w:type="dxa"/>
          </w:tcPr>
          <w:p w14:paraId="718551D6" w14:textId="77777777" w:rsidR="004D03E1" w:rsidRDefault="004D03E1" w:rsidP="00C301AE">
            <w:r>
              <w:t>IBD</w:t>
            </w:r>
          </w:p>
        </w:tc>
        <w:tc>
          <w:tcPr>
            <w:tcW w:w="6704" w:type="dxa"/>
          </w:tcPr>
          <w:p w14:paraId="22A17189" w14:textId="705AA808" w:rsidR="004D03E1" w:rsidRDefault="004D03E1" w:rsidP="006E3A34">
            <w:r>
              <w:t xml:space="preserve">Inflammatory </w:t>
            </w:r>
            <w:r w:rsidR="006E3A34">
              <w:t>bowel disease</w:t>
            </w:r>
          </w:p>
        </w:tc>
      </w:tr>
      <w:tr w:rsidR="004D03E1" w14:paraId="4509B938" w14:textId="77777777" w:rsidTr="0019299D">
        <w:trPr>
          <w:trHeight w:val="144"/>
        </w:trPr>
        <w:tc>
          <w:tcPr>
            <w:tcW w:w="1890" w:type="dxa"/>
          </w:tcPr>
          <w:p w14:paraId="16ABD875" w14:textId="77777777" w:rsidR="004D03E1" w:rsidRDefault="004D03E1" w:rsidP="00C301AE">
            <w:r>
              <w:t>ICH</w:t>
            </w:r>
          </w:p>
        </w:tc>
        <w:tc>
          <w:tcPr>
            <w:tcW w:w="6704" w:type="dxa"/>
          </w:tcPr>
          <w:p w14:paraId="599BB208" w14:textId="77777777" w:rsidR="004D03E1" w:rsidRDefault="004D03E1" w:rsidP="00C301AE">
            <w:r>
              <w:t>International Conference on Harmonisation</w:t>
            </w:r>
          </w:p>
        </w:tc>
      </w:tr>
      <w:tr w:rsidR="004D03E1" w14:paraId="46665C06" w14:textId="77777777" w:rsidTr="0019299D">
        <w:trPr>
          <w:trHeight w:val="144"/>
        </w:trPr>
        <w:tc>
          <w:tcPr>
            <w:tcW w:w="1890" w:type="dxa"/>
          </w:tcPr>
          <w:p w14:paraId="21136ACB" w14:textId="77777777" w:rsidR="004D03E1" w:rsidRDefault="004D03E1" w:rsidP="00C301AE">
            <w:r>
              <w:t>IL</w:t>
            </w:r>
          </w:p>
        </w:tc>
        <w:tc>
          <w:tcPr>
            <w:tcW w:w="6704" w:type="dxa"/>
          </w:tcPr>
          <w:p w14:paraId="00F4B23C" w14:textId="77777777" w:rsidR="004D03E1" w:rsidRDefault="004D03E1" w:rsidP="00C301AE">
            <w:r>
              <w:t>Interleukin</w:t>
            </w:r>
          </w:p>
        </w:tc>
      </w:tr>
      <w:tr w:rsidR="004D03E1" w14:paraId="52E0A235" w14:textId="77777777" w:rsidTr="0019299D">
        <w:trPr>
          <w:trHeight w:val="144"/>
        </w:trPr>
        <w:tc>
          <w:tcPr>
            <w:tcW w:w="1890" w:type="dxa"/>
          </w:tcPr>
          <w:p w14:paraId="5FE51CCF" w14:textId="77777777" w:rsidR="004D03E1" w:rsidRDefault="004D03E1" w:rsidP="00C301AE">
            <w:r>
              <w:t>ILD</w:t>
            </w:r>
          </w:p>
        </w:tc>
        <w:tc>
          <w:tcPr>
            <w:tcW w:w="6704" w:type="dxa"/>
          </w:tcPr>
          <w:p w14:paraId="738F1334" w14:textId="77777777" w:rsidR="004D03E1" w:rsidRDefault="004D03E1" w:rsidP="00C301AE">
            <w:r>
              <w:t>Interstitial lung disease</w:t>
            </w:r>
          </w:p>
        </w:tc>
      </w:tr>
      <w:tr w:rsidR="004D03E1" w14:paraId="1C8F74FA" w14:textId="77777777" w:rsidTr="0019299D">
        <w:trPr>
          <w:trHeight w:val="144"/>
        </w:trPr>
        <w:tc>
          <w:tcPr>
            <w:tcW w:w="1890" w:type="dxa"/>
          </w:tcPr>
          <w:p w14:paraId="0EBBAFE3" w14:textId="77777777" w:rsidR="004D03E1" w:rsidRDefault="004D03E1" w:rsidP="00C301AE">
            <w:r>
              <w:t>ILDRC</w:t>
            </w:r>
          </w:p>
        </w:tc>
        <w:tc>
          <w:tcPr>
            <w:tcW w:w="6704" w:type="dxa"/>
          </w:tcPr>
          <w:p w14:paraId="515748C4" w14:textId="77777777" w:rsidR="004D03E1" w:rsidRDefault="004D03E1" w:rsidP="00C301AE">
            <w:r>
              <w:t>Interstitial Lung Disease Review Committee</w:t>
            </w:r>
          </w:p>
        </w:tc>
      </w:tr>
      <w:tr w:rsidR="004D03E1" w14:paraId="56270EC0" w14:textId="77777777" w:rsidTr="0019299D">
        <w:trPr>
          <w:trHeight w:val="144"/>
        </w:trPr>
        <w:tc>
          <w:tcPr>
            <w:tcW w:w="1890" w:type="dxa"/>
          </w:tcPr>
          <w:p w14:paraId="46875244" w14:textId="77777777" w:rsidR="004D03E1" w:rsidRDefault="004D03E1" w:rsidP="00C301AE">
            <w:proofErr w:type="spellStart"/>
            <w:r>
              <w:t>IndNR</w:t>
            </w:r>
            <w:proofErr w:type="spellEnd"/>
          </w:p>
        </w:tc>
        <w:tc>
          <w:tcPr>
            <w:tcW w:w="6704" w:type="dxa"/>
          </w:tcPr>
          <w:p w14:paraId="506BE46D" w14:textId="77777777" w:rsidR="004D03E1" w:rsidRDefault="004D03E1" w:rsidP="00C301AE">
            <w:r>
              <w:t>Induction non-responder</w:t>
            </w:r>
          </w:p>
        </w:tc>
      </w:tr>
      <w:tr w:rsidR="004D03E1" w14:paraId="06F31B69" w14:textId="77777777" w:rsidTr="0019299D">
        <w:trPr>
          <w:trHeight w:val="144"/>
        </w:trPr>
        <w:tc>
          <w:tcPr>
            <w:tcW w:w="1890" w:type="dxa"/>
          </w:tcPr>
          <w:p w14:paraId="336DBDD5" w14:textId="77777777" w:rsidR="004D03E1" w:rsidRDefault="004D03E1" w:rsidP="00C301AE">
            <w:r>
              <w:t>IR</w:t>
            </w:r>
          </w:p>
        </w:tc>
        <w:tc>
          <w:tcPr>
            <w:tcW w:w="6704" w:type="dxa"/>
          </w:tcPr>
          <w:p w14:paraId="1418654E" w14:textId="77777777" w:rsidR="004D03E1" w:rsidRDefault="004D03E1" w:rsidP="00C301AE">
            <w:r>
              <w:t>Incidence rate</w:t>
            </w:r>
          </w:p>
        </w:tc>
      </w:tr>
      <w:tr w:rsidR="004D03E1" w14:paraId="6ADAB581" w14:textId="77777777" w:rsidTr="0019299D">
        <w:trPr>
          <w:trHeight w:val="144"/>
        </w:trPr>
        <w:tc>
          <w:tcPr>
            <w:tcW w:w="1890" w:type="dxa"/>
          </w:tcPr>
          <w:p w14:paraId="376F35DB" w14:textId="77777777" w:rsidR="004D03E1" w:rsidRDefault="004D03E1" w:rsidP="00C301AE">
            <w:r>
              <w:lastRenderedPageBreak/>
              <w:t>IV</w:t>
            </w:r>
          </w:p>
        </w:tc>
        <w:tc>
          <w:tcPr>
            <w:tcW w:w="6704" w:type="dxa"/>
          </w:tcPr>
          <w:p w14:paraId="4071DA91" w14:textId="77777777" w:rsidR="004D03E1" w:rsidRDefault="004D03E1" w:rsidP="00C301AE">
            <w:r>
              <w:t>Intravenous</w:t>
            </w:r>
          </w:p>
        </w:tc>
      </w:tr>
      <w:tr w:rsidR="004D03E1" w14:paraId="39ADFE06" w14:textId="77777777" w:rsidTr="0019299D">
        <w:trPr>
          <w:trHeight w:val="144"/>
        </w:trPr>
        <w:tc>
          <w:tcPr>
            <w:tcW w:w="1890" w:type="dxa"/>
          </w:tcPr>
          <w:p w14:paraId="637204FB" w14:textId="77777777" w:rsidR="004D03E1" w:rsidRDefault="004D03E1" w:rsidP="00C301AE">
            <w:r>
              <w:t>IVRS</w:t>
            </w:r>
          </w:p>
        </w:tc>
        <w:tc>
          <w:tcPr>
            <w:tcW w:w="6704" w:type="dxa"/>
          </w:tcPr>
          <w:p w14:paraId="2835F969" w14:textId="77777777" w:rsidR="004D03E1" w:rsidRDefault="004D03E1" w:rsidP="00C301AE">
            <w:r>
              <w:t>Interactive voice recording system</w:t>
            </w:r>
          </w:p>
        </w:tc>
      </w:tr>
      <w:tr w:rsidR="004D03E1" w14:paraId="124A1F72" w14:textId="77777777" w:rsidTr="0019299D">
        <w:trPr>
          <w:trHeight w:val="144"/>
        </w:trPr>
        <w:tc>
          <w:tcPr>
            <w:tcW w:w="1890" w:type="dxa"/>
          </w:tcPr>
          <w:p w14:paraId="62F6ED97" w14:textId="77777777" w:rsidR="004D03E1" w:rsidRDefault="004D03E1" w:rsidP="00C301AE">
            <w:r>
              <w:t>JAK</w:t>
            </w:r>
          </w:p>
        </w:tc>
        <w:tc>
          <w:tcPr>
            <w:tcW w:w="6704" w:type="dxa"/>
          </w:tcPr>
          <w:p w14:paraId="3605A9A6" w14:textId="77777777" w:rsidR="004D03E1" w:rsidRDefault="004D03E1" w:rsidP="00C301AE">
            <w:r>
              <w:t>Janus kinase</w:t>
            </w:r>
          </w:p>
        </w:tc>
      </w:tr>
      <w:tr w:rsidR="004D03E1" w14:paraId="0EA50023" w14:textId="77777777" w:rsidTr="0019299D">
        <w:trPr>
          <w:trHeight w:val="144"/>
        </w:trPr>
        <w:tc>
          <w:tcPr>
            <w:tcW w:w="1890" w:type="dxa"/>
          </w:tcPr>
          <w:p w14:paraId="40A51F99" w14:textId="77777777" w:rsidR="004D03E1" w:rsidRDefault="004D03E1" w:rsidP="00C301AE">
            <w:r>
              <w:t>JIA</w:t>
            </w:r>
          </w:p>
        </w:tc>
        <w:tc>
          <w:tcPr>
            <w:tcW w:w="6704" w:type="dxa"/>
          </w:tcPr>
          <w:p w14:paraId="19B9F97D" w14:textId="77777777" w:rsidR="004D03E1" w:rsidRDefault="004D03E1" w:rsidP="00C301AE">
            <w:r>
              <w:t>Juvenile idiopathic arthritis</w:t>
            </w:r>
          </w:p>
        </w:tc>
      </w:tr>
      <w:tr w:rsidR="004D03E1" w14:paraId="44EA23A0" w14:textId="77777777" w:rsidTr="0019299D">
        <w:trPr>
          <w:trHeight w:val="144"/>
        </w:trPr>
        <w:tc>
          <w:tcPr>
            <w:tcW w:w="1890" w:type="dxa"/>
          </w:tcPr>
          <w:p w14:paraId="6B02FC61" w14:textId="77777777" w:rsidR="004D03E1" w:rsidRDefault="004D03E1" w:rsidP="00C301AE">
            <w:r>
              <w:t>LDL</w:t>
            </w:r>
          </w:p>
        </w:tc>
        <w:tc>
          <w:tcPr>
            <w:tcW w:w="6704" w:type="dxa"/>
          </w:tcPr>
          <w:p w14:paraId="6C9901E2" w14:textId="77777777" w:rsidR="004D03E1" w:rsidRDefault="004D03E1" w:rsidP="00C301AE">
            <w:r>
              <w:t>Low-density lipoprotein</w:t>
            </w:r>
          </w:p>
        </w:tc>
      </w:tr>
      <w:tr w:rsidR="004D03E1" w14:paraId="1272BDF1" w14:textId="77777777" w:rsidTr="0019299D">
        <w:trPr>
          <w:trHeight w:val="144"/>
        </w:trPr>
        <w:tc>
          <w:tcPr>
            <w:tcW w:w="1890" w:type="dxa"/>
          </w:tcPr>
          <w:p w14:paraId="656599F3" w14:textId="77777777" w:rsidR="004D03E1" w:rsidRDefault="004D03E1" w:rsidP="00C301AE">
            <w:r>
              <w:t>LFT</w:t>
            </w:r>
          </w:p>
        </w:tc>
        <w:tc>
          <w:tcPr>
            <w:tcW w:w="6704" w:type="dxa"/>
          </w:tcPr>
          <w:p w14:paraId="05CFDD8A" w14:textId="77777777" w:rsidR="004D03E1" w:rsidRDefault="004D03E1" w:rsidP="00C301AE">
            <w:r>
              <w:t>Liver function test</w:t>
            </w:r>
          </w:p>
        </w:tc>
      </w:tr>
      <w:tr w:rsidR="004D03E1" w14:paraId="093144F7" w14:textId="77777777" w:rsidTr="0019299D">
        <w:trPr>
          <w:trHeight w:val="144"/>
        </w:trPr>
        <w:tc>
          <w:tcPr>
            <w:tcW w:w="1890" w:type="dxa"/>
          </w:tcPr>
          <w:p w14:paraId="56ED92FA" w14:textId="77777777" w:rsidR="004D03E1" w:rsidRDefault="004D03E1" w:rsidP="00C301AE">
            <w:r>
              <w:t>LLN</w:t>
            </w:r>
          </w:p>
        </w:tc>
        <w:tc>
          <w:tcPr>
            <w:tcW w:w="6704" w:type="dxa"/>
          </w:tcPr>
          <w:p w14:paraId="732C6526" w14:textId="77777777" w:rsidR="004D03E1" w:rsidRDefault="004D03E1" w:rsidP="00C301AE">
            <w:r>
              <w:t>Lower limit of normal</w:t>
            </w:r>
          </w:p>
        </w:tc>
      </w:tr>
      <w:tr w:rsidR="004D03E1" w14:paraId="7E26ED1C" w14:textId="77777777" w:rsidTr="0019299D">
        <w:trPr>
          <w:trHeight w:val="144"/>
        </w:trPr>
        <w:tc>
          <w:tcPr>
            <w:tcW w:w="1890" w:type="dxa"/>
          </w:tcPr>
          <w:p w14:paraId="422F6968" w14:textId="77777777" w:rsidR="004D03E1" w:rsidRDefault="004D03E1" w:rsidP="00C301AE">
            <w:r>
              <w:t>LOCF</w:t>
            </w:r>
          </w:p>
        </w:tc>
        <w:tc>
          <w:tcPr>
            <w:tcW w:w="6704" w:type="dxa"/>
          </w:tcPr>
          <w:p w14:paraId="2FEBA508" w14:textId="66590DCE" w:rsidR="004D03E1" w:rsidRDefault="004D03E1" w:rsidP="00C301AE">
            <w:r>
              <w:t xml:space="preserve">Last </w:t>
            </w:r>
            <w:r w:rsidR="006E3A34">
              <w:t>observation carried forward</w:t>
            </w:r>
          </w:p>
        </w:tc>
      </w:tr>
      <w:tr w:rsidR="004D03E1" w14:paraId="7F6CDB50" w14:textId="77777777" w:rsidTr="0019299D">
        <w:trPr>
          <w:trHeight w:val="144"/>
        </w:trPr>
        <w:tc>
          <w:tcPr>
            <w:tcW w:w="1890" w:type="dxa"/>
          </w:tcPr>
          <w:p w14:paraId="366336C5" w14:textId="77777777" w:rsidR="004D03E1" w:rsidRDefault="004D03E1" w:rsidP="00C301AE">
            <w:r>
              <w:t>MAC</w:t>
            </w:r>
          </w:p>
        </w:tc>
        <w:tc>
          <w:tcPr>
            <w:tcW w:w="6704" w:type="dxa"/>
          </w:tcPr>
          <w:p w14:paraId="1738F71D" w14:textId="77777777" w:rsidR="004D03E1" w:rsidRDefault="004D03E1" w:rsidP="00C301AE">
            <w:r>
              <w:t>Malignancy Adjudication Committee</w:t>
            </w:r>
          </w:p>
        </w:tc>
      </w:tr>
      <w:tr w:rsidR="004D03E1" w14:paraId="780C3D7A" w14:textId="77777777" w:rsidTr="0019299D">
        <w:trPr>
          <w:trHeight w:val="144"/>
        </w:trPr>
        <w:tc>
          <w:tcPr>
            <w:tcW w:w="1890" w:type="dxa"/>
          </w:tcPr>
          <w:p w14:paraId="0E268CB8" w14:textId="77777777" w:rsidR="004D03E1" w:rsidRDefault="004D03E1" w:rsidP="00C301AE">
            <w:r>
              <w:t>MACE</w:t>
            </w:r>
          </w:p>
        </w:tc>
        <w:tc>
          <w:tcPr>
            <w:tcW w:w="6704" w:type="dxa"/>
          </w:tcPr>
          <w:p w14:paraId="77F11DAC" w14:textId="77777777" w:rsidR="004D03E1" w:rsidRDefault="004D03E1" w:rsidP="00C301AE">
            <w:r>
              <w:t>Major adverse cardiovascular event</w:t>
            </w:r>
          </w:p>
        </w:tc>
      </w:tr>
      <w:tr w:rsidR="004D03E1" w14:paraId="194F08A4" w14:textId="77777777" w:rsidTr="0019299D">
        <w:trPr>
          <w:trHeight w:val="144"/>
        </w:trPr>
        <w:tc>
          <w:tcPr>
            <w:tcW w:w="1890" w:type="dxa"/>
          </w:tcPr>
          <w:p w14:paraId="089F640A" w14:textId="77777777" w:rsidR="004D03E1" w:rsidRDefault="004D03E1" w:rsidP="00C301AE">
            <w:proofErr w:type="spellStart"/>
            <w:r>
              <w:t>MedDRA</w:t>
            </w:r>
            <w:proofErr w:type="spellEnd"/>
          </w:p>
        </w:tc>
        <w:tc>
          <w:tcPr>
            <w:tcW w:w="6704" w:type="dxa"/>
          </w:tcPr>
          <w:p w14:paraId="65CD8AB4" w14:textId="77777777" w:rsidR="004D03E1" w:rsidRDefault="004D03E1" w:rsidP="00C301AE">
            <w:r>
              <w:t>Medical Dictionary for Regulatory Activities</w:t>
            </w:r>
          </w:p>
        </w:tc>
      </w:tr>
      <w:tr w:rsidR="004D03E1" w14:paraId="3E244245" w14:textId="77777777" w:rsidTr="0019299D">
        <w:trPr>
          <w:trHeight w:val="144"/>
        </w:trPr>
        <w:tc>
          <w:tcPr>
            <w:tcW w:w="1890" w:type="dxa"/>
          </w:tcPr>
          <w:p w14:paraId="080B289D" w14:textId="77777777" w:rsidR="004D03E1" w:rsidRDefault="004D03E1" w:rsidP="00C301AE">
            <w:r>
              <w:t>mL</w:t>
            </w:r>
          </w:p>
        </w:tc>
        <w:tc>
          <w:tcPr>
            <w:tcW w:w="6704" w:type="dxa"/>
          </w:tcPr>
          <w:p w14:paraId="2F21C8E2" w14:textId="0B207628" w:rsidR="004D03E1" w:rsidRDefault="006E3A34" w:rsidP="00C301AE">
            <w:r>
              <w:t>Millilitre</w:t>
            </w:r>
          </w:p>
        </w:tc>
      </w:tr>
      <w:tr w:rsidR="004D03E1" w14:paraId="3D6E5303" w14:textId="77777777" w:rsidTr="0019299D">
        <w:trPr>
          <w:trHeight w:val="144"/>
        </w:trPr>
        <w:tc>
          <w:tcPr>
            <w:tcW w:w="1890" w:type="dxa"/>
          </w:tcPr>
          <w:p w14:paraId="100F2570" w14:textId="77777777" w:rsidR="004D03E1" w:rsidRDefault="004D03E1" w:rsidP="00C301AE">
            <w:r>
              <w:t>mm Hg</w:t>
            </w:r>
          </w:p>
        </w:tc>
        <w:tc>
          <w:tcPr>
            <w:tcW w:w="6704" w:type="dxa"/>
          </w:tcPr>
          <w:p w14:paraId="301C0165" w14:textId="77777777" w:rsidR="004D03E1" w:rsidRDefault="004D03E1" w:rsidP="00C301AE">
            <w:r>
              <w:t>Millimetres of mercury</w:t>
            </w:r>
          </w:p>
        </w:tc>
      </w:tr>
      <w:tr w:rsidR="004D03E1" w14:paraId="4B6FF99E" w14:textId="77777777" w:rsidTr="0019299D">
        <w:trPr>
          <w:trHeight w:val="144"/>
        </w:trPr>
        <w:tc>
          <w:tcPr>
            <w:tcW w:w="1890" w:type="dxa"/>
          </w:tcPr>
          <w:p w14:paraId="4C737354" w14:textId="77777777" w:rsidR="004D03E1" w:rsidRDefault="004D03E1" w:rsidP="00C301AE">
            <w:r>
              <w:t>MMRM</w:t>
            </w:r>
          </w:p>
        </w:tc>
        <w:tc>
          <w:tcPr>
            <w:tcW w:w="6704" w:type="dxa"/>
          </w:tcPr>
          <w:p w14:paraId="041C442C" w14:textId="77777777" w:rsidR="004D03E1" w:rsidRDefault="004D03E1" w:rsidP="00C301AE">
            <w:r>
              <w:t>Mixed-effects model repeated measures</w:t>
            </w:r>
          </w:p>
        </w:tc>
      </w:tr>
      <w:tr w:rsidR="004D03E1" w14:paraId="63F2F916" w14:textId="77777777" w:rsidTr="0019299D">
        <w:trPr>
          <w:trHeight w:val="144"/>
        </w:trPr>
        <w:tc>
          <w:tcPr>
            <w:tcW w:w="1890" w:type="dxa"/>
          </w:tcPr>
          <w:p w14:paraId="21C7EDA1" w14:textId="77777777" w:rsidR="004D03E1" w:rsidRDefault="004D03E1" w:rsidP="00C301AE">
            <w:proofErr w:type="spellStart"/>
            <w:r>
              <w:t>ms</w:t>
            </w:r>
            <w:proofErr w:type="spellEnd"/>
          </w:p>
        </w:tc>
        <w:tc>
          <w:tcPr>
            <w:tcW w:w="6704" w:type="dxa"/>
          </w:tcPr>
          <w:p w14:paraId="0DF3FB0E" w14:textId="77777777" w:rsidR="004D03E1" w:rsidRDefault="004D03E1" w:rsidP="00C301AE">
            <w:r>
              <w:t>Millisecond</w:t>
            </w:r>
          </w:p>
        </w:tc>
      </w:tr>
      <w:tr w:rsidR="004D03E1" w14:paraId="494E4EB9" w14:textId="77777777" w:rsidTr="0019299D">
        <w:trPr>
          <w:trHeight w:val="144"/>
        </w:trPr>
        <w:tc>
          <w:tcPr>
            <w:tcW w:w="1890" w:type="dxa"/>
          </w:tcPr>
          <w:p w14:paraId="7B4AB940" w14:textId="77777777" w:rsidR="004D03E1" w:rsidRDefault="004D03E1" w:rsidP="00C301AE">
            <w:r>
              <w:t>MTX</w:t>
            </w:r>
          </w:p>
        </w:tc>
        <w:tc>
          <w:tcPr>
            <w:tcW w:w="6704" w:type="dxa"/>
          </w:tcPr>
          <w:p w14:paraId="7CB1BA8B" w14:textId="77777777" w:rsidR="004D03E1" w:rsidRDefault="004D03E1" w:rsidP="00C301AE">
            <w:r>
              <w:t>Methotrexate</w:t>
            </w:r>
          </w:p>
        </w:tc>
      </w:tr>
      <w:tr w:rsidR="004D03E1" w14:paraId="5D5C3E1A" w14:textId="77777777" w:rsidTr="0019299D">
        <w:trPr>
          <w:trHeight w:val="144"/>
        </w:trPr>
        <w:tc>
          <w:tcPr>
            <w:tcW w:w="1890" w:type="dxa"/>
          </w:tcPr>
          <w:p w14:paraId="5C2EDC28" w14:textId="77777777" w:rsidR="004D03E1" w:rsidRDefault="004D03E1" w:rsidP="00C301AE">
            <w:r>
              <w:t>N (or n)</w:t>
            </w:r>
          </w:p>
        </w:tc>
        <w:tc>
          <w:tcPr>
            <w:tcW w:w="6704" w:type="dxa"/>
          </w:tcPr>
          <w:p w14:paraId="0CC0D947" w14:textId="77777777" w:rsidR="004D03E1" w:rsidRDefault="004D03E1" w:rsidP="00C301AE">
            <w:r>
              <w:t>Number</w:t>
            </w:r>
          </w:p>
        </w:tc>
      </w:tr>
      <w:tr w:rsidR="004D03E1" w14:paraId="75619134" w14:textId="77777777" w:rsidTr="0019299D">
        <w:trPr>
          <w:trHeight w:val="144"/>
        </w:trPr>
        <w:tc>
          <w:tcPr>
            <w:tcW w:w="1890" w:type="dxa"/>
          </w:tcPr>
          <w:p w14:paraId="36C745F6" w14:textId="77777777" w:rsidR="004D03E1" w:rsidRDefault="004D03E1" w:rsidP="00C301AE">
            <w:r>
              <w:t>NMSC</w:t>
            </w:r>
          </w:p>
        </w:tc>
        <w:tc>
          <w:tcPr>
            <w:tcW w:w="6704" w:type="dxa"/>
          </w:tcPr>
          <w:p w14:paraId="15D3B208" w14:textId="77777777" w:rsidR="004D03E1" w:rsidRDefault="004D03E1" w:rsidP="00C301AE">
            <w:r>
              <w:t>Non-melanoma skin cancer</w:t>
            </w:r>
          </w:p>
        </w:tc>
      </w:tr>
      <w:tr w:rsidR="004D03E1" w14:paraId="16F1EF9E" w14:textId="77777777" w:rsidTr="0019299D">
        <w:trPr>
          <w:trHeight w:val="144"/>
        </w:trPr>
        <w:tc>
          <w:tcPr>
            <w:tcW w:w="1890" w:type="dxa"/>
          </w:tcPr>
          <w:p w14:paraId="3B0C6FDA" w14:textId="77777777" w:rsidR="004D03E1" w:rsidRDefault="004D03E1" w:rsidP="00C301AE">
            <w:r>
              <w:rPr>
                <w:rFonts w:eastAsia="TimesNewRoman" w:cs="TimesNewRoman"/>
                <w:color w:val="000000"/>
              </w:rPr>
              <w:t>NNT</w:t>
            </w:r>
          </w:p>
        </w:tc>
        <w:tc>
          <w:tcPr>
            <w:tcW w:w="6704" w:type="dxa"/>
          </w:tcPr>
          <w:p w14:paraId="672BD0B0" w14:textId="77777777" w:rsidR="004D03E1" w:rsidRDefault="004D03E1" w:rsidP="00A97676">
            <w:r>
              <w:rPr>
                <w:rFonts w:eastAsia="TimesNewRoman" w:cs="TimesNewRoman"/>
                <w:color w:val="000000"/>
              </w:rPr>
              <w:t>Numbers needed to treat</w:t>
            </w:r>
          </w:p>
        </w:tc>
      </w:tr>
      <w:tr w:rsidR="004D03E1" w14:paraId="5318DAE2" w14:textId="77777777" w:rsidTr="0019299D">
        <w:trPr>
          <w:trHeight w:val="144"/>
        </w:trPr>
        <w:tc>
          <w:tcPr>
            <w:tcW w:w="1890" w:type="dxa"/>
          </w:tcPr>
          <w:p w14:paraId="5A8247A7" w14:textId="77777777" w:rsidR="004D03E1" w:rsidRDefault="004D03E1" w:rsidP="00C301AE">
            <w:r>
              <w:t>NRI</w:t>
            </w:r>
          </w:p>
        </w:tc>
        <w:tc>
          <w:tcPr>
            <w:tcW w:w="6704" w:type="dxa"/>
          </w:tcPr>
          <w:p w14:paraId="5303C7E7" w14:textId="77777777" w:rsidR="004D03E1" w:rsidRDefault="004D03E1" w:rsidP="00C301AE">
            <w:r>
              <w:t>Non-responder imputation</w:t>
            </w:r>
          </w:p>
        </w:tc>
      </w:tr>
      <w:tr w:rsidR="004D03E1" w14:paraId="11B37AC2" w14:textId="77777777" w:rsidTr="0019299D">
        <w:trPr>
          <w:trHeight w:val="144"/>
        </w:trPr>
        <w:tc>
          <w:tcPr>
            <w:tcW w:w="1890" w:type="dxa"/>
          </w:tcPr>
          <w:p w14:paraId="7B91F481" w14:textId="77777777" w:rsidR="004D03E1" w:rsidRDefault="004D03E1" w:rsidP="00C301AE">
            <w:r>
              <w:t>OI</w:t>
            </w:r>
          </w:p>
        </w:tc>
        <w:tc>
          <w:tcPr>
            <w:tcW w:w="6704" w:type="dxa"/>
          </w:tcPr>
          <w:p w14:paraId="295DE1FD" w14:textId="77777777" w:rsidR="004D03E1" w:rsidRDefault="004D03E1" w:rsidP="00C301AE">
            <w:r>
              <w:t>Opportunistic infection</w:t>
            </w:r>
          </w:p>
        </w:tc>
      </w:tr>
      <w:tr w:rsidR="004D03E1" w14:paraId="01ABAF22" w14:textId="77777777" w:rsidTr="0019299D">
        <w:trPr>
          <w:trHeight w:val="144"/>
        </w:trPr>
        <w:tc>
          <w:tcPr>
            <w:tcW w:w="1890" w:type="dxa"/>
          </w:tcPr>
          <w:p w14:paraId="2D7921C5" w14:textId="77777777" w:rsidR="004D03E1" w:rsidRDefault="004D03E1" w:rsidP="00C301AE">
            <w:r>
              <w:t>OIRC</w:t>
            </w:r>
          </w:p>
        </w:tc>
        <w:tc>
          <w:tcPr>
            <w:tcW w:w="6704" w:type="dxa"/>
          </w:tcPr>
          <w:p w14:paraId="1B114C60" w14:textId="77777777" w:rsidR="004D03E1" w:rsidRDefault="004D03E1" w:rsidP="00C301AE">
            <w:r>
              <w:t>Opportunistic Infection Review Committee</w:t>
            </w:r>
          </w:p>
        </w:tc>
      </w:tr>
      <w:tr w:rsidR="004D03E1" w14:paraId="2C3AA5A5" w14:textId="77777777" w:rsidTr="0019299D">
        <w:trPr>
          <w:trHeight w:val="144"/>
        </w:trPr>
        <w:tc>
          <w:tcPr>
            <w:tcW w:w="1890" w:type="dxa"/>
          </w:tcPr>
          <w:p w14:paraId="326A5DEE" w14:textId="77777777" w:rsidR="004D03E1" w:rsidRDefault="004D03E1" w:rsidP="00C301AE">
            <w:r>
              <w:t>OL</w:t>
            </w:r>
          </w:p>
        </w:tc>
        <w:tc>
          <w:tcPr>
            <w:tcW w:w="6704" w:type="dxa"/>
          </w:tcPr>
          <w:p w14:paraId="35A23E3E" w14:textId="77777777" w:rsidR="004D03E1" w:rsidRDefault="004D03E1" w:rsidP="00C301AE">
            <w:r>
              <w:t>Open label</w:t>
            </w:r>
          </w:p>
        </w:tc>
      </w:tr>
      <w:tr w:rsidR="004D03E1" w14:paraId="7F4A7AA4" w14:textId="77777777" w:rsidTr="0019299D">
        <w:trPr>
          <w:trHeight w:val="144"/>
        </w:trPr>
        <w:tc>
          <w:tcPr>
            <w:tcW w:w="1890" w:type="dxa"/>
          </w:tcPr>
          <w:p w14:paraId="60F16B9A" w14:textId="77777777" w:rsidR="004D03E1" w:rsidRDefault="004D03E1" w:rsidP="00C301AE">
            <w:r w:rsidRPr="004D03E1">
              <w:t>OPC</w:t>
            </w:r>
          </w:p>
        </w:tc>
        <w:tc>
          <w:tcPr>
            <w:tcW w:w="6704" w:type="dxa"/>
          </w:tcPr>
          <w:p w14:paraId="28B9E9C9" w14:textId="77777777" w:rsidR="004D03E1" w:rsidRDefault="004D03E1" w:rsidP="004D03E1">
            <w:r>
              <w:t>Oral powder for constitution</w:t>
            </w:r>
          </w:p>
        </w:tc>
      </w:tr>
      <w:tr w:rsidR="004D03E1" w14:paraId="7C2EF198" w14:textId="77777777" w:rsidTr="0019299D">
        <w:trPr>
          <w:trHeight w:val="144"/>
        </w:trPr>
        <w:tc>
          <w:tcPr>
            <w:tcW w:w="1890" w:type="dxa"/>
          </w:tcPr>
          <w:p w14:paraId="674FCF60" w14:textId="77777777" w:rsidR="004D03E1" w:rsidRDefault="004D03E1" w:rsidP="00C301AE">
            <w:r>
              <w:t>PD</w:t>
            </w:r>
          </w:p>
        </w:tc>
        <w:tc>
          <w:tcPr>
            <w:tcW w:w="6704" w:type="dxa"/>
          </w:tcPr>
          <w:p w14:paraId="7BD381FE" w14:textId="10E5F5FD" w:rsidR="004D03E1" w:rsidRDefault="004D03E1" w:rsidP="00C301AE">
            <w:proofErr w:type="spellStart"/>
            <w:r>
              <w:t>Pharmacodynamic</w:t>
            </w:r>
            <w:proofErr w:type="spellEnd"/>
            <w:r w:rsidR="006E3A34">
              <w:t>(</w:t>
            </w:r>
            <w:r>
              <w:t>s</w:t>
            </w:r>
            <w:r w:rsidR="006E3A34">
              <w:t>)</w:t>
            </w:r>
          </w:p>
        </w:tc>
      </w:tr>
      <w:tr w:rsidR="004D03E1" w14:paraId="72221DC9" w14:textId="77777777" w:rsidTr="0019299D">
        <w:trPr>
          <w:trHeight w:val="144"/>
        </w:trPr>
        <w:tc>
          <w:tcPr>
            <w:tcW w:w="1890" w:type="dxa"/>
          </w:tcPr>
          <w:p w14:paraId="2FF74C08" w14:textId="0E04CD96" w:rsidR="004D03E1" w:rsidRDefault="004D03E1" w:rsidP="00C301AE">
            <w:r>
              <w:t>PI</w:t>
            </w:r>
          </w:p>
        </w:tc>
        <w:tc>
          <w:tcPr>
            <w:tcW w:w="6704" w:type="dxa"/>
          </w:tcPr>
          <w:p w14:paraId="3D2C9377" w14:textId="77777777" w:rsidR="004D03E1" w:rsidRDefault="004D03E1" w:rsidP="00C301AE">
            <w:r>
              <w:t>Product Information</w:t>
            </w:r>
          </w:p>
        </w:tc>
      </w:tr>
      <w:tr w:rsidR="004D03E1" w14:paraId="0EA2DEB6" w14:textId="77777777" w:rsidTr="0019299D">
        <w:trPr>
          <w:trHeight w:val="144"/>
        </w:trPr>
        <w:tc>
          <w:tcPr>
            <w:tcW w:w="1890" w:type="dxa"/>
          </w:tcPr>
          <w:p w14:paraId="21DD94E4" w14:textId="77777777" w:rsidR="004D03E1" w:rsidRDefault="004D03E1" w:rsidP="00C301AE">
            <w:r>
              <w:lastRenderedPageBreak/>
              <w:t>PK</w:t>
            </w:r>
          </w:p>
        </w:tc>
        <w:tc>
          <w:tcPr>
            <w:tcW w:w="6704" w:type="dxa"/>
          </w:tcPr>
          <w:p w14:paraId="4CA5C5D2" w14:textId="6A25908A" w:rsidR="004D03E1" w:rsidRDefault="004D03E1" w:rsidP="00C301AE">
            <w:r>
              <w:t>Pharmacokinetic</w:t>
            </w:r>
            <w:r w:rsidR="006E3A34">
              <w:t>(</w:t>
            </w:r>
            <w:r>
              <w:t>s</w:t>
            </w:r>
            <w:r w:rsidR="006E3A34">
              <w:t>)</w:t>
            </w:r>
          </w:p>
        </w:tc>
      </w:tr>
      <w:tr w:rsidR="004D03E1" w14:paraId="5E69F748" w14:textId="77777777" w:rsidTr="0019299D">
        <w:trPr>
          <w:trHeight w:val="144"/>
        </w:trPr>
        <w:tc>
          <w:tcPr>
            <w:tcW w:w="1890" w:type="dxa"/>
          </w:tcPr>
          <w:p w14:paraId="1946A24B" w14:textId="77777777" w:rsidR="004D03E1" w:rsidRDefault="004D03E1" w:rsidP="00C301AE">
            <w:r>
              <w:t>PMAR</w:t>
            </w:r>
          </w:p>
        </w:tc>
        <w:tc>
          <w:tcPr>
            <w:tcW w:w="6704" w:type="dxa"/>
          </w:tcPr>
          <w:p w14:paraId="45CCD73C" w14:textId="77777777" w:rsidR="004D03E1" w:rsidRDefault="004D03E1" w:rsidP="00C301AE">
            <w:r>
              <w:t>Population modelling analysis report</w:t>
            </w:r>
          </w:p>
        </w:tc>
      </w:tr>
      <w:tr w:rsidR="004D03E1" w14:paraId="60A2BD5B" w14:textId="77777777" w:rsidTr="0019299D">
        <w:trPr>
          <w:trHeight w:val="144"/>
        </w:trPr>
        <w:tc>
          <w:tcPr>
            <w:tcW w:w="1890" w:type="dxa"/>
          </w:tcPr>
          <w:p w14:paraId="224060DF" w14:textId="77777777" w:rsidR="004D03E1" w:rsidRDefault="004D03E1" w:rsidP="00C301AE">
            <w:proofErr w:type="spellStart"/>
            <w:r>
              <w:t>PopPK</w:t>
            </w:r>
            <w:proofErr w:type="spellEnd"/>
          </w:p>
        </w:tc>
        <w:tc>
          <w:tcPr>
            <w:tcW w:w="6704" w:type="dxa"/>
          </w:tcPr>
          <w:p w14:paraId="1AD10B14" w14:textId="77777777" w:rsidR="004D03E1" w:rsidRDefault="004D03E1" w:rsidP="00C301AE">
            <w:r>
              <w:t>Population pharmacokinetic analysis</w:t>
            </w:r>
          </w:p>
        </w:tc>
      </w:tr>
      <w:tr w:rsidR="004D03E1" w14:paraId="3B05B3BE" w14:textId="77777777" w:rsidTr="0019299D">
        <w:trPr>
          <w:trHeight w:val="144"/>
        </w:trPr>
        <w:tc>
          <w:tcPr>
            <w:tcW w:w="1890" w:type="dxa"/>
          </w:tcPr>
          <w:p w14:paraId="5E4723A6" w14:textId="77777777" w:rsidR="004D03E1" w:rsidRDefault="004D03E1" w:rsidP="00C301AE">
            <w:r>
              <w:t>PPAS</w:t>
            </w:r>
          </w:p>
        </w:tc>
        <w:tc>
          <w:tcPr>
            <w:tcW w:w="6704" w:type="dxa"/>
          </w:tcPr>
          <w:p w14:paraId="6A2F7E1B" w14:textId="77777777" w:rsidR="004D03E1" w:rsidRDefault="004D03E1" w:rsidP="00C301AE">
            <w:r>
              <w:t>Per Protocol Analysis Set</w:t>
            </w:r>
          </w:p>
        </w:tc>
      </w:tr>
      <w:tr w:rsidR="004D03E1" w14:paraId="11671BBF" w14:textId="77777777" w:rsidTr="0019299D">
        <w:trPr>
          <w:trHeight w:val="144"/>
        </w:trPr>
        <w:tc>
          <w:tcPr>
            <w:tcW w:w="1890" w:type="dxa"/>
          </w:tcPr>
          <w:p w14:paraId="64CD4302" w14:textId="77777777" w:rsidR="004D03E1" w:rsidRDefault="004D03E1" w:rsidP="00C301AE">
            <w:proofErr w:type="spellStart"/>
            <w:r w:rsidRPr="009B2DD4">
              <w:t>PsA</w:t>
            </w:r>
            <w:proofErr w:type="spellEnd"/>
          </w:p>
        </w:tc>
        <w:tc>
          <w:tcPr>
            <w:tcW w:w="6704" w:type="dxa"/>
          </w:tcPr>
          <w:p w14:paraId="31908C67" w14:textId="77777777" w:rsidR="004D03E1" w:rsidRDefault="004D03E1" w:rsidP="00B7366A">
            <w:r>
              <w:t>Psoriatic arthritis</w:t>
            </w:r>
          </w:p>
        </w:tc>
      </w:tr>
      <w:tr w:rsidR="004D03E1" w14:paraId="6CD6BC23" w14:textId="77777777" w:rsidTr="0019299D">
        <w:trPr>
          <w:trHeight w:val="144"/>
        </w:trPr>
        <w:tc>
          <w:tcPr>
            <w:tcW w:w="1890" w:type="dxa"/>
          </w:tcPr>
          <w:p w14:paraId="3BA01713" w14:textId="77777777" w:rsidR="004D03E1" w:rsidRDefault="004D03E1" w:rsidP="00C301AE">
            <w:proofErr w:type="spellStart"/>
            <w:r w:rsidRPr="00156DA7">
              <w:t>PsO</w:t>
            </w:r>
            <w:proofErr w:type="spellEnd"/>
          </w:p>
        </w:tc>
        <w:tc>
          <w:tcPr>
            <w:tcW w:w="6704" w:type="dxa"/>
          </w:tcPr>
          <w:p w14:paraId="07A1FF95" w14:textId="77777777" w:rsidR="004D03E1" w:rsidRDefault="004D03E1" w:rsidP="00F14B34">
            <w:r>
              <w:t>Psoriasis</w:t>
            </w:r>
          </w:p>
        </w:tc>
      </w:tr>
      <w:tr w:rsidR="004D03E1" w14:paraId="1129F814" w14:textId="77777777" w:rsidTr="0019299D">
        <w:trPr>
          <w:trHeight w:val="144"/>
        </w:trPr>
        <w:tc>
          <w:tcPr>
            <w:tcW w:w="1890" w:type="dxa"/>
          </w:tcPr>
          <w:p w14:paraId="04FC6FB9" w14:textId="77777777" w:rsidR="004D03E1" w:rsidRDefault="004D03E1" w:rsidP="00C301AE">
            <w:r>
              <w:t>PSUR</w:t>
            </w:r>
          </w:p>
        </w:tc>
        <w:tc>
          <w:tcPr>
            <w:tcW w:w="6704" w:type="dxa"/>
          </w:tcPr>
          <w:p w14:paraId="6356B9FD" w14:textId="77777777" w:rsidR="004D03E1" w:rsidRDefault="004D03E1" w:rsidP="00C301AE">
            <w:r>
              <w:t>Periodic Safety Update Report</w:t>
            </w:r>
          </w:p>
        </w:tc>
      </w:tr>
      <w:tr w:rsidR="004D03E1" w14:paraId="5EE64586" w14:textId="77777777" w:rsidTr="0019299D">
        <w:trPr>
          <w:trHeight w:val="144"/>
        </w:trPr>
        <w:tc>
          <w:tcPr>
            <w:tcW w:w="1890" w:type="dxa"/>
          </w:tcPr>
          <w:p w14:paraId="121ED097" w14:textId="77777777" w:rsidR="004D03E1" w:rsidRDefault="004D03E1" w:rsidP="00C301AE">
            <w:r>
              <w:t>PT</w:t>
            </w:r>
          </w:p>
        </w:tc>
        <w:tc>
          <w:tcPr>
            <w:tcW w:w="6704" w:type="dxa"/>
          </w:tcPr>
          <w:p w14:paraId="4334E29C" w14:textId="77777777" w:rsidR="004D03E1" w:rsidRDefault="004D03E1" w:rsidP="00C301AE">
            <w:r>
              <w:t>Preferred Term</w:t>
            </w:r>
          </w:p>
        </w:tc>
      </w:tr>
      <w:tr w:rsidR="004D03E1" w14:paraId="5B0D919B" w14:textId="77777777" w:rsidTr="0019299D">
        <w:trPr>
          <w:trHeight w:val="144"/>
        </w:trPr>
        <w:tc>
          <w:tcPr>
            <w:tcW w:w="1890" w:type="dxa"/>
          </w:tcPr>
          <w:p w14:paraId="43061121" w14:textId="77777777" w:rsidR="004D03E1" w:rsidRDefault="004D03E1" w:rsidP="00C301AE">
            <w:r>
              <w:t>PY</w:t>
            </w:r>
          </w:p>
        </w:tc>
        <w:tc>
          <w:tcPr>
            <w:tcW w:w="6704" w:type="dxa"/>
          </w:tcPr>
          <w:p w14:paraId="5ACBE498" w14:textId="77777777" w:rsidR="004D03E1" w:rsidRDefault="004D03E1" w:rsidP="00C301AE">
            <w:r>
              <w:t>Patient-year</w:t>
            </w:r>
          </w:p>
        </w:tc>
      </w:tr>
      <w:tr w:rsidR="004D03E1" w14:paraId="38D49A26" w14:textId="77777777" w:rsidTr="0019299D">
        <w:trPr>
          <w:trHeight w:val="144"/>
        </w:trPr>
        <w:tc>
          <w:tcPr>
            <w:tcW w:w="1890" w:type="dxa"/>
          </w:tcPr>
          <w:p w14:paraId="3297C0D9" w14:textId="77777777" w:rsidR="004D03E1" w:rsidRDefault="004D03E1" w:rsidP="00C301AE">
            <w:proofErr w:type="spellStart"/>
            <w:r>
              <w:t>QoL</w:t>
            </w:r>
            <w:proofErr w:type="spellEnd"/>
          </w:p>
        </w:tc>
        <w:tc>
          <w:tcPr>
            <w:tcW w:w="6704" w:type="dxa"/>
          </w:tcPr>
          <w:p w14:paraId="02CE20FF" w14:textId="77777777" w:rsidR="004D03E1" w:rsidRDefault="004D03E1" w:rsidP="00C301AE">
            <w:r>
              <w:t>Quality of life</w:t>
            </w:r>
          </w:p>
        </w:tc>
      </w:tr>
      <w:tr w:rsidR="004D03E1" w14:paraId="755F19DA" w14:textId="77777777" w:rsidTr="0019299D">
        <w:trPr>
          <w:trHeight w:val="144"/>
        </w:trPr>
        <w:tc>
          <w:tcPr>
            <w:tcW w:w="1890" w:type="dxa"/>
          </w:tcPr>
          <w:p w14:paraId="4F2A7088" w14:textId="77777777" w:rsidR="004D03E1" w:rsidRDefault="004D03E1" w:rsidP="00C301AE">
            <w:r>
              <w:t>RA</w:t>
            </w:r>
          </w:p>
        </w:tc>
        <w:tc>
          <w:tcPr>
            <w:tcW w:w="6704" w:type="dxa"/>
          </w:tcPr>
          <w:p w14:paraId="2A2C0240" w14:textId="77777777" w:rsidR="004D03E1" w:rsidRDefault="004D03E1" w:rsidP="00C301AE">
            <w:r>
              <w:t>Rheumatoid arthritis</w:t>
            </w:r>
          </w:p>
        </w:tc>
      </w:tr>
      <w:tr w:rsidR="004D03E1" w14:paraId="1C17FC6A" w14:textId="77777777" w:rsidTr="0019299D">
        <w:trPr>
          <w:trHeight w:val="144"/>
        </w:trPr>
        <w:tc>
          <w:tcPr>
            <w:tcW w:w="1890" w:type="dxa"/>
          </w:tcPr>
          <w:p w14:paraId="5C6FC0C5" w14:textId="77777777" w:rsidR="004D03E1" w:rsidRDefault="004D03E1" w:rsidP="00C301AE">
            <w:r>
              <w:t>RMP</w:t>
            </w:r>
          </w:p>
        </w:tc>
        <w:tc>
          <w:tcPr>
            <w:tcW w:w="6704" w:type="dxa"/>
          </w:tcPr>
          <w:p w14:paraId="46433A14" w14:textId="77777777" w:rsidR="004D03E1" w:rsidRDefault="004D03E1" w:rsidP="00C301AE">
            <w:r>
              <w:t>Risk management plan</w:t>
            </w:r>
          </w:p>
        </w:tc>
      </w:tr>
      <w:tr w:rsidR="004D03E1" w14:paraId="176F49F8" w14:textId="77777777" w:rsidTr="0019299D">
        <w:trPr>
          <w:trHeight w:val="144"/>
        </w:trPr>
        <w:tc>
          <w:tcPr>
            <w:tcW w:w="1890" w:type="dxa"/>
          </w:tcPr>
          <w:p w14:paraId="5F3B3E9B" w14:textId="77777777" w:rsidR="004D03E1" w:rsidRDefault="004D03E1" w:rsidP="00C301AE">
            <w:r>
              <w:t>SAE</w:t>
            </w:r>
          </w:p>
        </w:tc>
        <w:tc>
          <w:tcPr>
            <w:tcW w:w="6704" w:type="dxa"/>
          </w:tcPr>
          <w:p w14:paraId="7EDDA0D0" w14:textId="2DBF34C7" w:rsidR="004D03E1" w:rsidRDefault="004D03E1" w:rsidP="006E3A34">
            <w:r>
              <w:t xml:space="preserve">Serious </w:t>
            </w:r>
            <w:r w:rsidR="006E3A34">
              <w:t>adverse event</w:t>
            </w:r>
          </w:p>
        </w:tc>
      </w:tr>
      <w:tr w:rsidR="004D03E1" w14:paraId="0035BB75" w14:textId="77777777" w:rsidTr="0019299D">
        <w:trPr>
          <w:trHeight w:val="495"/>
        </w:trPr>
        <w:tc>
          <w:tcPr>
            <w:tcW w:w="1890" w:type="dxa"/>
          </w:tcPr>
          <w:p w14:paraId="2375730E" w14:textId="77777777" w:rsidR="004D03E1" w:rsidRDefault="004D03E1" w:rsidP="00C301AE">
            <w:r>
              <w:t>SCC</w:t>
            </w:r>
          </w:p>
        </w:tc>
        <w:tc>
          <w:tcPr>
            <w:tcW w:w="6704" w:type="dxa"/>
          </w:tcPr>
          <w:p w14:paraId="6BCBB042" w14:textId="77777777" w:rsidR="004D03E1" w:rsidRDefault="004D03E1" w:rsidP="00C301AE">
            <w:r>
              <w:t>Squamous cell carcinoma</w:t>
            </w:r>
          </w:p>
        </w:tc>
      </w:tr>
      <w:tr w:rsidR="004D03E1" w14:paraId="1CCF65DD" w14:textId="77777777" w:rsidTr="0019299D">
        <w:trPr>
          <w:trHeight w:val="495"/>
        </w:trPr>
        <w:tc>
          <w:tcPr>
            <w:tcW w:w="1890" w:type="dxa"/>
          </w:tcPr>
          <w:p w14:paraId="28652523" w14:textId="77777777" w:rsidR="004D03E1" w:rsidRDefault="004D03E1" w:rsidP="00C301AE">
            <w:r>
              <w:t>SD</w:t>
            </w:r>
          </w:p>
        </w:tc>
        <w:tc>
          <w:tcPr>
            <w:tcW w:w="6704" w:type="dxa"/>
          </w:tcPr>
          <w:p w14:paraId="4B4E7AF2" w14:textId="0665CE41" w:rsidR="004D03E1" w:rsidRDefault="004D03E1" w:rsidP="006E3A34">
            <w:r>
              <w:t xml:space="preserve">Standard </w:t>
            </w:r>
            <w:r w:rsidR="006E3A34">
              <w:t>deviation</w:t>
            </w:r>
          </w:p>
        </w:tc>
      </w:tr>
      <w:tr w:rsidR="004D03E1" w14:paraId="6A42D79A" w14:textId="77777777" w:rsidTr="0019299D">
        <w:trPr>
          <w:trHeight w:val="495"/>
        </w:trPr>
        <w:tc>
          <w:tcPr>
            <w:tcW w:w="1890" w:type="dxa"/>
          </w:tcPr>
          <w:p w14:paraId="5B83A1DB" w14:textId="77777777" w:rsidR="004D03E1" w:rsidRDefault="004D03E1" w:rsidP="00C301AE">
            <w:r>
              <w:t>SE</w:t>
            </w:r>
          </w:p>
        </w:tc>
        <w:tc>
          <w:tcPr>
            <w:tcW w:w="6704" w:type="dxa"/>
          </w:tcPr>
          <w:p w14:paraId="63E52ED7" w14:textId="06C79C22" w:rsidR="004D03E1" w:rsidRDefault="004D03E1" w:rsidP="006E3A34">
            <w:r>
              <w:t xml:space="preserve">Standard </w:t>
            </w:r>
            <w:r w:rsidR="006E3A34">
              <w:t>error</w:t>
            </w:r>
          </w:p>
        </w:tc>
      </w:tr>
      <w:tr w:rsidR="004D03E1" w14:paraId="6B73ADB4" w14:textId="77777777" w:rsidTr="0019299D">
        <w:trPr>
          <w:trHeight w:val="495"/>
        </w:trPr>
        <w:tc>
          <w:tcPr>
            <w:tcW w:w="1890" w:type="dxa"/>
          </w:tcPr>
          <w:p w14:paraId="2156258F" w14:textId="77777777" w:rsidR="004D03E1" w:rsidRDefault="004D03E1" w:rsidP="00C301AE">
            <w:proofErr w:type="spellStart"/>
            <w:r>
              <w:t>SmPC</w:t>
            </w:r>
            <w:proofErr w:type="spellEnd"/>
          </w:p>
        </w:tc>
        <w:tc>
          <w:tcPr>
            <w:tcW w:w="6704" w:type="dxa"/>
          </w:tcPr>
          <w:p w14:paraId="00EBA709" w14:textId="77777777" w:rsidR="004D03E1" w:rsidRDefault="004D03E1" w:rsidP="00C301AE">
            <w:r>
              <w:t>Summary of Product Characteristics</w:t>
            </w:r>
          </w:p>
        </w:tc>
      </w:tr>
      <w:tr w:rsidR="004D03E1" w14:paraId="0532BB3F" w14:textId="77777777" w:rsidTr="0019299D">
        <w:trPr>
          <w:trHeight w:val="495"/>
        </w:trPr>
        <w:tc>
          <w:tcPr>
            <w:tcW w:w="1890" w:type="dxa"/>
          </w:tcPr>
          <w:p w14:paraId="4FDBBD64" w14:textId="77777777" w:rsidR="004D03E1" w:rsidRDefault="004D03E1" w:rsidP="00C301AE">
            <w:r>
              <w:t>SOC</w:t>
            </w:r>
          </w:p>
        </w:tc>
        <w:tc>
          <w:tcPr>
            <w:tcW w:w="6704" w:type="dxa"/>
          </w:tcPr>
          <w:p w14:paraId="3BFD7308" w14:textId="77777777" w:rsidR="004D03E1" w:rsidRDefault="004D03E1" w:rsidP="00C301AE">
            <w:r>
              <w:t>System Organ Class</w:t>
            </w:r>
          </w:p>
        </w:tc>
      </w:tr>
      <w:tr w:rsidR="004D03E1" w14:paraId="698B2406" w14:textId="77777777" w:rsidTr="0019299D">
        <w:trPr>
          <w:trHeight w:val="495"/>
        </w:trPr>
        <w:tc>
          <w:tcPr>
            <w:tcW w:w="1890" w:type="dxa"/>
          </w:tcPr>
          <w:p w14:paraId="0646225A" w14:textId="77777777" w:rsidR="004D03E1" w:rsidRDefault="004D03E1" w:rsidP="00C301AE">
            <w:r w:rsidRPr="0014385F">
              <w:t>STAT</w:t>
            </w:r>
          </w:p>
        </w:tc>
        <w:tc>
          <w:tcPr>
            <w:tcW w:w="6704" w:type="dxa"/>
          </w:tcPr>
          <w:p w14:paraId="4BA08E97" w14:textId="77777777" w:rsidR="004D03E1" w:rsidRDefault="004D03E1" w:rsidP="001A5B43">
            <w:r>
              <w:t>S</w:t>
            </w:r>
            <w:r w:rsidRPr="001A5B43">
              <w:t>ignal transducer and activator of transcription</w:t>
            </w:r>
          </w:p>
        </w:tc>
      </w:tr>
      <w:tr w:rsidR="004D03E1" w14:paraId="788E7363" w14:textId="77777777" w:rsidTr="0019299D">
        <w:trPr>
          <w:trHeight w:val="495"/>
        </w:trPr>
        <w:tc>
          <w:tcPr>
            <w:tcW w:w="1890" w:type="dxa"/>
          </w:tcPr>
          <w:p w14:paraId="19F1ECF9" w14:textId="77777777" w:rsidR="004D03E1" w:rsidRDefault="004D03E1" w:rsidP="00C301AE">
            <w:r>
              <w:t>TB</w:t>
            </w:r>
          </w:p>
        </w:tc>
        <w:tc>
          <w:tcPr>
            <w:tcW w:w="6704" w:type="dxa"/>
          </w:tcPr>
          <w:p w14:paraId="711CCA6C" w14:textId="77777777" w:rsidR="004D03E1" w:rsidRDefault="004D03E1" w:rsidP="00C301AE">
            <w:r>
              <w:t>Tuberculosis</w:t>
            </w:r>
          </w:p>
        </w:tc>
      </w:tr>
      <w:tr w:rsidR="004D03E1" w14:paraId="63EBA521" w14:textId="77777777" w:rsidTr="0019299D">
        <w:trPr>
          <w:trHeight w:val="495"/>
        </w:trPr>
        <w:tc>
          <w:tcPr>
            <w:tcW w:w="1890" w:type="dxa"/>
          </w:tcPr>
          <w:p w14:paraId="0BED9B5F" w14:textId="77777777" w:rsidR="004D03E1" w:rsidRDefault="004D03E1" w:rsidP="00C301AE">
            <w:r>
              <w:t>TEAE</w:t>
            </w:r>
          </w:p>
        </w:tc>
        <w:tc>
          <w:tcPr>
            <w:tcW w:w="6704" w:type="dxa"/>
          </w:tcPr>
          <w:p w14:paraId="356E4F79" w14:textId="77777777" w:rsidR="004D03E1" w:rsidRDefault="004D03E1" w:rsidP="00C301AE">
            <w:r>
              <w:t>Treatment-emergent adverse event</w:t>
            </w:r>
          </w:p>
        </w:tc>
      </w:tr>
      <w:tr w:rsidR="004D03E1" w14:paraId="63069B6D" w14:textId="77777777" w:rsidTr="0019299D">
        <w:trPr>
          <w:trHeight w:val="495"/>
        </w:trPr>
        <w:tc>
          <w:tcPr>
            <w:tcW w:w="1890" w:type="dxa"/>
          </w:tcPr>
          <w:p w14:paraId="622ACA76" w14:textId="77777777" w:rsidR="004D03E1" w:rsidRDefault="004D03E1" w:rsidP="00C301AE">
            <w:r>
              <w:t>TGA</w:t>
            </w:r>
          </w:p>
        </w:tc>
        <w:tc>
          <w:tcPr>
            <w:tcW w:w="6704" w:type="dxa"/>
          </w:tcPr>
          <w:p w14:paraId="1EA60B27" w14:textId="77777777" w:rsidR="004D03E1" w:rsidRDefault="004D03E1" w:rsidP="00C301AE">
            <w:r>
              <w:t>Therapeutic Goods Administration</w:t>
            </w:r>
          </w:p>
        </w:tc>
      </w:tr>
      <w:tr w:rsidR="004D03E1" w14:paraId="4664063E" w14:textId="77777777" w:rsidTr="0019299D">
        <w:trPr>
          <w:trHeight w:val="495"/>
        </w:trPr>
        <w:tc>
          <w:tcPr>
            <w:tcW w:w="1890" w:type="dxa"/>
          </w:tcPr>
          <w:p w14:paraId="0F8590A6" w14:textId="77777777" w:rsidR="004D03E1" w:rsidRDefault="004D03E1" w:rsidP="00C301AE">
            <w:r>
              <w:t>TNF</w:t>
            </w:r>
          </w:p>
        </w:tc>
        <w:tc>
          <w:tcPr>
            <w:tcW w:w="6704" w:type="dxa"/>
          </w:tcPr>
          <w:p w14:paraId="120AE0F0" w14:textId="77777777" w:rsidR="004D03E1" w:rsidRDefault="004D03E1" w:rsidP="00C301AE">
            <w:r>
              <w:t>Tumour necrosis factor</w:t>
            </w:r>
          </w:p>
        </w:tc>
      </w:tr>
      <w:tr w:rsidR="004D03E1" w14:paraId="5DFDC4F5" w14:textId="77777777" w:rsidTr="0019299D">
        <w:trPr>
          <w:trHeight w:val="495"/>
        </w:trPr>
        <w:tc>
          <w:tcPr>
            <w:tcW w:w="1890" w:type="dxa"/>
          </w:tcPr>
          <w:p w14:paraId="06505510" w14:textId="77777777" w:rsidR="004D03E1" w:rsidRDefault="004D03E1" w:rsidP="00C301AE">
            <w:proofErr w:type="spellStart"/>
            <w:r>
              <w:t>TNFi</w:t>
            </w:r>
            <w:proofErr w:type="spellEnd"/>
          </w:p>
        </w:tc>
        <w:tc>
          <w:tcPr>
            <w:tcW w:w="6704" w:type="dxa"/>
          </w:tcPr>
          <w:p w14:paraId="52DC06CD" w14:textId="77777777" w:rsidR="004D03E1" w:rsidRDefault="004D03E1" w:rsidP="00847384">
            <w:r>
              <w:t>Tumour necrosis factor inhibitor</w:t>
            </w:r>
          </w:p>
        </w:tc>
      </w:tr>
      <w:tr w:rsidR="004D03E1" w14:paraId="78CBE9CE" w14:textId="77777777" w:rsidTr="0019299D">
        <w:trPr>
          <w:trHeight w:val="495"/>
        </w:trPr>
        <w:tc>
          <w:tcPr>
            <w:tcW w:w="1890" w:type="dxa"/>
          </w:tcPr>
          <w:p w14:paraId="6B79C6B7" w14:textId="77777777" w:rsidR="004D03E1" w:rsidRDefault="004D03E1" w:rsidP="00C301AE">
            <w:r>
              <w:t>UC</w:t>
            </w:r>
          </w:p>
        </w:tc>
        <w:tc>
          <w:tcPr>
            <w:tcW w:w="6704" w:type="dxa"/>
          </w:tcPr>
          <w:p w14:paraId="39C940E8" w14:textId="5BCEFEA2" w:rsidR="004D03E1" w:rsidRDefault="004D03E1" w:rsidP="006E3A34">
            <w:r>
              <w:t xml:space="preserve">Ulcerative </w:t>
            </w:r>
            <w:r w:rsidR="006E3A34">
              <w:t>colitis</w:t>
            </w:r>
          </w:p>
        </w:tc>
      </w:tr>
      <w:tr w:rsidR="004D03E1" w14:paraId="01C46995" w14:textId="77777777" w:rsidTr="0019299D">
        <w:trPr>
          <w:trHeight w:val="495"/>
        </w:trPr>
        <w:tc>
          <w:tcPr>
            <w:tcW w:w="1890" w:type="dxa"/>
          </w:tcPr>
          <w:p w14:paraId="41D588C2" w14:textId="77777777" w:rsidR="004D03E1" w:rsidRDefault="004D03E1" w:rsidP="00C301AE">
            <w:r>
              <w:t>ULN</w:t>
            </w:r>
          </w:p>
        </w:tc>
        <w:tc>
          <w:tcPr>
            <w:tcW w:w="6704" w:type="dxa"/>
          </w:tcPr>
          <w:p w14:paraId="37EC5D4F" w14:textId="77777777" w:rsidR="004D03E1" w:rsidRDefault="004D03E1" w:rsidP="00C301AE">
            <w:r>
              <w:t>Upper limit of normal</w:t>
            </w:r>
          </w:p>
        </w:tc>
      </w:tr>
      <w:tr w:rsidR="004D03E1" w14:paraId="4436C71C" w14:textId="77777777" w:rsidTr="0019299D">
        <w:trPr>
          <w:trHeight w:val="495"/>
        </w:trPr>
        <w:tc>
          <w:tcPr>
            <w:tcW w:w="1890" w:type="dxa"/>
          </w:tcPr>
          <w:p w14:paraId="67133059" w14:textId="77777777" w:rsidR="004D03E1" w:rsidRDefault="004D03E1" w:rsidP="00C301AE">
            <w:r>
              <w:lastRenderedPageBreak/>
              <w:t>URTI</w:t>
            </w:r>
          </w:p>
        </w:tc>
        <w:tc>
          <w:tcPr>
            <w:tcW w:w="6704" w:type="dxa"/>
          </w:tcPr>
          <w:p w14:paraId="6632C184" w14:textId="77777777" w:rsidR="004D03E1" w:rsidRDefault="004D03E1" w:rsidP="00C301AE">
            <w:r>
              <w:t>Upper respiratory tract infection</w:t>
            </w:r>
          </w:p>
        </w:tc>
      </w:tr>
      <w:tr w:rsidR="004D03E1" w14:paraId="23B55413" w14:textId="77777777" w:rsidTr="0019299D">
        <w:trPr>
          <w:trHeight w:val="495"/>
        </w:trPr>
        <w:tc>
          <w:tcPr>
            <w:tcW w:w="1890" w:type="dxa"/>
          </w:tcPr>
          <w:p w14:paraId="04815511" w14:textId="7C0773C0" w:rsidR="004D03E1" w:rsidRDefault="004D03E1" w:rsidP="00C301AE">
            <w:r>
              <w:t>US(A</w:t>
            </w:r>
            <w:r w:rsidR="003B27DF">
              <w:t>)</w:t>
            </w:r>
          </w:p>
        </w:tc>
        <w:tc>
          <w:tcPr>
            <w:tcW w:w="6704" w:type="dxa"/>
          </w:tcPr>
          <w:p w14:paraId="70A9231F" w14:textId="3D24F229" w:rsidR="004D03E1" w:rsidRDefault="004D03E1" w:rsidP="003B27DF">
            <w:r>
              <w:t>United States (of America</w:t>
            </w:r>
            <w:r w:rsidR="003B27DF">
              <w:t>)</w:t>
            </w:r>
          </w:p>
        </w:tc>
      </w:tr>
      <w:tr w:rsidR="006E3A34" w14:paraId="48D746B1" w14:textId="77777777" w:rsidTr="0019299D">
        <w:trPr>
          <w:trHeight w:val="495"/>
        </w:trPr>
        <w:tc>
          <w:tcPr>
            <w:tcW w:w="1890" w:type="dxa"/>
          </w:tcPr>
          <w:p w14:paraId="59FB513A" w14:textId="3C3BD889" w:rsidR="006E3A34" w:rsidRDefault="006E3A34" w:rsidP="00C301AE">
            <w:r>
              <w:t>USPI</w:t>
            </w:r>
          </w:p>
        </w:tc>
        <w:tc>
          <w:tcPr>
            <w:tcW w:w="6704" w:type="dxa"/>
          </w:tcPr>
          <w:p w14:paraId="19681416" w14:textId="5EEEC813" w:rsidR="006E3A34" w:rsidRDefault="006E3A34" w:rsidP="0019299D">
            <w:r>
              <w:t>United States Package Insert</w:t>
            </w:r>
          </w:p>
        </w:tc>
      </w:tr>
      <w:tr w:rsidR="004D03E1" w14:paraId="7FED5540" w14:textId="77777777" w:rsidTr="0019299D">
        <w:trPr>
          <w:trHeight w:val="484"/>
        </w:trPr>
        <w:tc>
          <w:tcPr>
            <w:tcW w:w="1890" w:type="dxa"/>
          </w:tcPr>
          <w:p w14:paraId="7E672175" w14:textId="77777777" w:rsidR="004D03E1" w:rsidRDefault="004D03E1" w:rsidP="00C301AE">
            <w:r>
              <w:t>WBC</w:t>
            </w:r>
          </w:p>
        </w:tc>
        <w:tc>
          <w:tcPr>
            <w:tcW w:w="6704" w:type="dxa"/>
          </w:tcPr>
          <w:p w14:paraId="557B8D6C" w14:textId="77777777" w:rsidR="004D03E1" w:rsidRDefault="004D03E1" w:rsidP="00C301AE">
            <w:r>
              <w:t>White blood cell</w:t>
            </w:r>
          </w:p>
        </w:tc>
      </w:tr>
    </w:tbl>
    <w:p w14:paraId="4EEC8377" w14:textId="77777777" w:rsidR="00FD119B" w:rsidRDefault="00FD119B" w:rsidP="00FD119B"/>
    <w:p w14:paraId="627C58F3" w14:textId="77777777" w:rsidR="00FD119B" w:rsidRPr="00FD119B" w:rsidRDefault="00FD119B" w:rsidP="00FD119B">
      <w:pPr>
        <w:spacing w:before="0" w:after="200" w:line="0" w:lineRule="auto"/>
        <w:rPr>
          <w:b/>
          <w:i/>
          <w:sz w:val="24"/>
          <w:szCs w:val="24"/>
        </w:rPr>
      </w:pPr>
      <w:r w:rsidRPr="00FD119B">
        <w:rPr>
          <w:b/>
          <w:i/>
          <w:sz w:val="24"/>
          <w:szCs w:val="24"/>
        </w:rPr>
        <w:br w:type="page"/>
      </w:r>
    </w:p>
    <w:p w14:paraId="576D519F" w14:textId="77777777" w:rsidR="008E7846" w:rsidRDefault="00F53C07" w:rsidP="008E7846">
      <w:pPr>
        <w:pStyle w:val="Heading2"/>
      </w:pPr>
      <w:bookmarkStart w:id="9" w:name="_Toc20301881"/>
      <w:r>
        <w:lastRenderedPageBreak/>
        <w:t>I.</w:t>
      </w:r>
      <w:r w:rsidR="008E7846">
        <w:t xml:space="preserve"> Introduction to product submission</w:t>
      </w:r>
      <w:bookmarkEnd w:id="0"/>
      <w:bookmarkEnd w:id="3"/>
      <w:bookmarkEnd w:id="9"/>
    </w:p>
    <w:p w14:paraId="17E11775" w14:textId="77777777" w:rsidR="008E7846" w:rsidRDefault="008E7846" w:rsidP="008E7846">
      <w:pPr>
        <w:pStyle w:val="Heading3"/>
        <w:rPr>
          <w:lang w:eastAsia="en-AU"/>
        </w:rPr>
      </w:pPr>
      <w:bookmarkStart w:id="10" w:name="_Toc247691502"/>
      <w:bookmarkStart w:id="11" w:name="_Toc314842483"/>
      <w:bookmarkStart w:id="12" w:name="_Toc20301882"/>
      <w:r>
        <w:rPr>
          <w:lang w:eastAsia="en-AU"/>
        </w:rPr>
        <w:t>Submission details</w:t>
      </w:r>
      <w:bookmarkEnd w:id="10"/>
      <w:bookmarkEnd w:id="11"/>
      <w:bookmarkEnd w:id="12"/>
    </w:p>
    <w:tbl>
      <w:tblPr>
        <w:tblW w:w="8440" w:type="dxa"/>
        <w:tblInd w:w="108" w:type="dxa"/>
        <w:tblLook w:val="01E0" w:firstRow="1" w:lastRow="1" w:firstColumn="1" w:lastColumn="1" w:noHBand="0" w:noVBand="0"/>
      </w:tblPr>
      <w:tblGrid>
        <w:gridCol w:w="2648"/>
        <w:gridCol w:w="15"/>
        <w:gridCol w:w="5731"/>
        <w:gridCol w:w="46"/>
      </w:tblGrid>
      <w:tr w:rsidR="008E7846" w:rsidRPr="003D1E62" w14:paraId="44C3E817" w14:textId="77777777" w:rsidTr="009870DC">
        <w:trPr>
          <w:trHeight w:val="520"/>
        </w:trPr>
        <w:tc>
          <w:tcPr>
            <w:tcW w:w="2663" w:type="dxa"/>
            <w:gridSpan w:val="2"/>
          </w:tcPr>
          <w:p w14:paraId="314D9D0D" w14:textId="77777777" w:rsidR="008E7846" w:rsidRPr="003D1E62" w:rsidRDefault="001B5C90" w:rsidP="001B5C90">
            <w:pPr>
              <w:rPr>
                <w:i/>
              </w:rPr>
            </w:pPr>
            <w:r>
              <w:rPr>
                <w:i/>
              </w:rPr>
              <w:t>Type of s</w:t>
            </w:r>
            <w:r w:rsidR="008E7846" w:rsidRPr="003D1E62">
              <w:rPr>
                <w:i/>
              </w:rPr>
              <w:t>ubmission</w:t>
            </w:r>
            <w:r>
              <w:rPr>
                <w:i/>
              </w:rPr>
              <w:t>:</w:t>
            </w:r>
          </w:p>
        </w:tc>
        <w:tc>
          <w:tcPr>
            <w:tcW w:w="5777" w:type="dxa"/>
            <w:gridSpan w:val="2"/>
          </w:tcPr>
          <w:p w14:paraId="098EC262" w14:textId="77777777" w:rsidR="008E7846" w:rsidRPr="003D1E62" w:rsidRDefault="00DE1377" w:rsidP="001B5C90">
            <w:r>
              <w:t xml:space="preserve">Extension of indication and </w:t>
            </w:r>
            <w:r w:rsidR="001B5C90">
              <w:t>m</w:t>
            </w:r>
            <w:r w:rsidR="008E7846" w:rsidRPr="003D1E62">
              <w:t xml:space="preserve">ajor </w:t>
            </w:r>
            <w:r w:rsidR="001B5C90">
              <w:t>v</w:t>
            </w:r>
            <w:r w:rsidR="008E7846" w:rsidRPr="003D1E62">
              <w:t>ariation (</w:t>
            </w:r>
            <w:r w:rsidR="001B5C90">
              <w:t>n</w:t>
            </w:r>
            <w:r w:rsidR="008E7846" w:rsidRPr="003D1E62">
              <w:t xml:space="preserve">ew </w:t>
            </w:r>
            <w:r w:rsidR="001B5C90">
              <w:t>s</w:t>
            </w:r>
            <w:r w:rsidR="008E7846" w:rsidRPr="003D1E62">
              <w:t>trength)</w:t>
            </w:r>
          </w:p>
        </w:tc>
      </w:tr>
      <w:tr w:rsidR="008E7846" w:rsidRPr="003D1E62" w14:paraId="3F063ACC" w14:textId="77777777" w:rsidTr="009870DC">
        <w:trPr>
          <w:trHeight w:val="508"/>
        </w:trPr>
        <w:tc>
          <w:tcPr>
            <w:tcW w:w="2663" w:type="dxa"/>
            <w:gridSpan w:val="2"/>
          </w:tcPr>
          <w:p w14:paraId="2AABA6EE" w14:textId="77777777" w:rsidR="008E7846" w:rsidRPr="003D1E62" w:rsidRDefault="008E7846" w:rsidP="003D1E62">
            <w:r w:rsidRPr="003D1E62">
              <w:rPr>
                <w:i/>
              </w:rPr>
              <w:t>Decision</w:t>
            </w:r>
            <w:r w:rsidRPr="003D1E62">
              <w:t>:</w:t>
            </w:r>
          </w:p>
        </w:tc>
        <w:tc>
          <w:tcPr>
            <w:tcW w:w="5777" w:type="dxa"/>
            <w:gridSpan w:val="2"/>
          </w:tcPr>
          <w:p w14:paraId="162FB382" w14:textId="77777777" w:rsidR="008E7846" w:rsidRPr="003D1E62" w:rsidRDefault="00DE1377" w:rsidP="00DE1377">
            <w:r>
              <w:t>Approved</w:t>
            </w:r>
          </w:p>
        </w:tc>
      </w:tr>
      <w:tr w:rsidR="008E7846" w:rsidRPr="003D1E62" w14:paraId="7EE235FA" w14:textId="77777777" w:rsidTr="009870DC">
        <w:trPr>
          <w:trHeight w:val="508"/>
        </w:trPr>
        <w:tc>
          <w:tcPr>
            <w:tcW w:w="2663" w:type="dxa"/>
            <w:gridSpan w:val="2"/>
          </w:tcPr>
          <w:p w14:paraId="6D0A8344"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5777" w:type="dxa"/>
            <w:gridSpan w:val="2"/>
          </w:tcPr>
          <w:p w14:paraId="475ABBC4" w14:textId="77777777" w:rsidR="008E7846" w:rsidRPr="003D1E62" w:rsidRDefault="00054D61" w:rsidP="001B5C90">
            <w:r>
              <w:t>11 February 2019</w:t>
            </w:r>
          </w:p>
        </w:tc>
      </w:tr>
      <w:tr w:rsidR="00ED2922" w:rsidRPr="003D1E62" w14:paraId="6A63E187" w14:textId="77777777" w:rsidTr="009870DC">
        <w:trPr>
          <w:trHeight w:val="508"/>
        </w:trPr>
        <w:tc>
          <w:tcPr>
            <w:tcW w:w="2663" w:type="dxa"/>
            <w:gridSpan w:val="2"/>
          </w:tcPr>
          <w:p w14:paraId="473DA79D" w14:textId="77777777" w:rsidR="00ED2922" w:rsidRPr="00441C3F" w:rsidRDefault="00ED2922" w:rsidP="001B5C90">
            <w:pPr>
              <w:rPr>
                <w:i/>
              </w:rPr>
            </w:pPr>
            <w:r w:rsidRPr="00441C3F">
              <w:rPr>
                <w:i/>
              </w:rPr>
              <w:t>Date of entry onto ARTG</w:t>
            </w:r>
            <w:r w:rsidR="00500337">
              <w:rPr>
                <w:i/>
              </w:rPr>
              <w:t>:</w:t>
            </w:r>
          </w:p>
        </w:tc>
        <w:tc>
          <w:tcPr>
            <w:tcW w:w="5777" w:type="dxa"/>
            <w:gridSpan w:val="2"/>
          </w:tcPr>
          <w:p w14:paraId="23540C2D" w14:textId="77777777" w:rsidR="00ED2922" w:rsidRPr="00441C3F" w:rsidRDefault="00054D61" w:rsidP="00D153D8">
            <w:pPr>
              <w:rPr>
                <w:i/>
              </w:rPr>
            </w:pPr>
            <w:r>
              <w:t>19 February 2019</w:t>
            </w:r>
          </w:p>
        </w:tc>
      </w:tr>
      <w:tr w:rsidR="00500337" w:rsidRPr="003D1E62" w14:paraId="4F3C7E0C" w14:textId="77777777" w:rsidTr="009870DC">
        <w:trPr>
          <w:trHeight w:val="508"/>
        </w:trPr>
        <w:tc>
          <w:tcPr>
            <w:tcW w:w="2663" w:type="dxa"/>
            <w:gridSpan w:val="2"/>
          </w:tcPr>
          <w:p w14:paraId="14CFE750" w14:textId="77777777" w:rsidR="00500337" w:rsidRPr="00441C3F" w:rsidRDefault="00054D61" w:rsidP="001B5C90">
            <w:pPr>
              <w:rPr>
                <w:i/>
              </w:rPr>
            </w:pPr>
            <w:r>
              <w:rPr>
                <w:i/>
              </w:rPr>
              <w:t>ARTG numbers</w:t>
            </w:r>
            <w:r w:rsidR="00500337">
              <w:rPr>
                <w:i/>
              </w:rPr>
              <w:t>:</w:t>
            </w:r>
          </w:p>
        </w:tc>
        <w:tc>
          <w:tcPr>
            <w:tcW w:w="5777" w:type="dxa"/>
            <w:gridSpan w:val="2"/>
          </w:tcPr>
          <w:p w14:paraId="06E9B7CA" w14:textId="77777777" w:rsidR="00500337" w:rsidRPr="00441C3F" w:rsidRDefault="00054D61" w:rsidP="00EC463D">
            <w:r>
              <w:t>196987, 233439, 298307</w:t>
            </w:r>
          </w:p>
        </w:tc>
      </w:tr>
      <w:tr w:rsidR="003735BC" w:rsidRPr="003D1E62" w14:paraId="323ED37E" w14:textId="77777777" w:rsidTr="009870DC">
        <w:trPr>
          <w:trHeight w:val="1169"/>
        </w:trPr>
        <w:tc>
          <w:tcPr>
            <w:tcW w:w="2663" w:type="dxa"/>
            <w:gridSpan w:val="2"/>
          </w:tcPr>
          <w:p w14:paraId="5EBC7F01"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5777" w:type="dxa"/>
            <w:gridSpan w:val="2"/>
          </w:tcPr>
          <w:p w14:paraId="006131BE" w14:textId="77777777" w:rsidR="003735BC" w:rsidRDefault="00054D61" w:rsidP="003735BC">
            <w:r>
              <w:t>Yes</w:t>
            </w:r>
          </w:p>
          <w:p w14:paraId="2BBDFA7A" w14:textId="77777777" w:rsidR="003735BC" w:rsidRPr="00487162" w:rsidRDefault="003735BC" w:rsidP="003735BC">
            <w:r>
              <w:t xml:space="preserve">This product will remain in the scheme for 5 years, starting on the date the new indication was </w:t>
            </w:r>
            <w:r w:rsidRPr="00054D61">
              <w:t>approved</w:t>
            </w:r>
            <w:r w:rsidR="00054D61" w:rsidRPr="00054D61">
              <w:t>.</w:t>
            </w:r>
          </w:p>
        </w:tc>
      </w:tr>
      <w:tr w:rsidR="008E7846" w:rsidRPr="00487162" w14:paraId="1AE37D39" w14:textId="77777777" w:rsidTr="009870DC">
        <w:trPr>
          <w:gridAfter w:val="1"/>
          <w:wAfter w:w="46" w:type="dxa"/>
          <w:trHeight w:val="497"/>
        </w:trPr>
        <w:tc>
          <w:tcPr>
            <w:tcW w:w="2648" w:type="dxa"/>
          </w:tcPr>
          <w:p w14:paraId="6D5714E7" w14:textId="77777777" w:rsidR="008E7846" w:rsidRPr="00487162" w:rsidRDefault="00C44345" w:rsidP="00E45619">
            <w:pPr>
              <w:rPr>
                <w:i/>
              </w:rPr>
            </w:pPr>
            <w:r>
              <w:rPr>
                <w:i/>
              </w:rPr>
              <w:t>Active ingredient</w:t>
            </w:r>
            <w:r w:rsidR="001B5C90">
              <w:rPr>
                <w:i/>
              </w:rPr>
              <w:t>:</w:t>
            </w:r>
          </w:p>
        </w:tc>
        <w:tc>
          <w:tcPr>
            <w:tcW w:w="5746" w:type="dxa"/>
            <w:gridSpan w:val="2"/>
          </w:tcPr>
          <w:p w14:paraId="40C9DB01" w14:textId="77777777" w:rsidR="008E7846" w:rsidRPr="00487162" w:rsidRDefault="0088335E" w:rsidP="00C44345">
            <w:proofErr w:type="spellStart"/>
            <w:r>
              <w:t>T</w:t>
            </w:r>
            <w:r w:rsidR="00C44345">
              <w:t>ofacitinib</w:t>
            </w:r>
            <w:proofErr w:type="spellEnd"/>
            <w:r w:rsidR="00C44345">
              <w:t xml:space="preserve"> (as citrate)</w:t>
            </w:r>
          </w:p>
        </w:tc>
      </w:tr>
      <w:tr w:rsidR="008E7846" w:rsidRPr="00487162" w14:paraId="04D076F5" w14:textId="77777777" w:rsidTr="009870DC">
        <w:trPr>
          <w:gridAfter w:val="1"/>
          <w:wAfter w:w="46" w:type="dxa"/>
          <w:trHeight w:val="497"/>
        </w:trPr>
        <w:tc>
          <w:tcPr>
            <w:tcW w:w="2648" w:type="dxa"/>
          </w:tcPr>
          <w:p w14:paraId="2447AE9A" w14:textId="77777777" w:rsidR="008E7846" w:rsidRPr="00487162" w:rsidRDefault="008E7846" w:rsidP="001B5C90">
            <w:pPr>
              <w:rPr>
                <w:i/>
              </w:rPr>
            </w:pPr>
            <w:r w:rsidRPr="00487162">
              <w:rPr>
                <w:i/>
              </w:rPr>
              <w:t>Product</w:t>
            </w:r>
            <w:r w:rsidR="00C44345">
              <w:rPr>
                <w:i/>
              </w:rPr>
              <w:t xml:space="preserve"> name</w:t>
            </w:r>
            <w:r w:rsidR="001B5C90">
              <w:rPr>
                <w:i/>
              </w:rPr>
              <w:t>:</w:t>
            </w:r>
          </w:p>
        </w:tc>
        <w:tc>
          <w:tcPr>
            <w:tcW w:w="5746" w:type="dxa"/>
            <w:gridSpan w:val="2"/>
          </w:tcPr>
          <w:p w14:paraId="6D021AF1" w14:textId="77777777" w:rsidR="008E7846" w:rsidRPr="00487162" w:rsidRDefault="00C44345" w:rsidP="00E45619">
            <w:proofErr w:type="spellStart"/>
            <w:r>
              <w:t>Xeljanz</w:t>
            </w:r>
            <w:proofErr w:type="spellEnd"/>
          </w:p>
        </w:tc>
      </w:tr>
      <w:tr w:rsidR="008E7846" w:rsidRPr="00487162" w14:paraId="15F844A7" w14:textId="77777777" w:rsidTr="009870DC">
        <w:trPr>
          <w:gridAfter w:val="1"/>
          <w:wAfter w:w="46" w:type="dxa"/>
          <w:trHeight w:val="1262"/>
        </w:trPr>
        <w:tc>
          <w:tcPr>
            <w:tcW w:w="2648" w:type="dxa"/>
          </w:tcPr>
          <w:p w14:paraId="4C703B97"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5746" w:type="dxa"/>
            <w:gridSpan w:val="2"/>
          </w:tcPr>
          <w:p w14:paraId="08AAFE9A" w14:textId="77777777" w:rsidR="00C44345" w:rsidRDefault="00C44345" w:rsidP="00E45619">
            <w:r w:rsidRPr="00C44345">
              <w:t>Pfizer Australia Pty Ltd</w:t>
            </w:r>
          </w:p>
          <w:p w14:paraId="22F61F42" w14:textId="77777777" w:rsidR="008E7846" w:rsidRDefault="00043029" w:rsidP="00E45619">
            <w:r>
              <w:t>Level 17, 151 Clarence Street</w:t>
            </w:r>
          </w:p>
          <w:p w14:paraId="5719DB20" w14:textId="77777777" w:rsidR="00C44345" w:rsidRPr="00487162" w:rsidRDefault="00043029" w:rsidP="00043029">
            <w:r>
              <w:t>Sydney</w:t>
            </w:r>
            <w:r w:rsidR="00C44345">
              <w:t xml:space="preserve">, NSW, </w:t>
            </w:r>
            <w:r>
              <w:t>2000</w:t>
            </w:r>
          </w:p>
        </w:tc>
      </w:tr>
      <w:tr w:rsidR="008E7846" w:rsidRPr="00487162" w14:paraId="477BE5CC" w14:textId="77777777" w:rsidTr="009870DC">
        <w:trPr>
          <w:gridAfter w:val="1"/>
          <w:wAfter w:w="46" w:type="dxa"/>
          <w:trHeight w:val="497"/>
        </w:trPr>
        <w:tc>
          <w:tcPr>
            <w:tcW w:w="2648" w:type="dxa"/>
          </w:tcPr>
          <w:p w14:paraId="706E6EF7" w14:textId="77777777" w:rsidR="008E7846" w:rsidRPr="00487162" w:rsidRDefault="002757A8" w:rsidP="00E45619">
            <w:pPr>
              <w:rPr>
                <w:i/>
              </w:rPr>
            </w:pPr>
            <w:r>
              <w:rPr>
                <w:i/>
              </w:rPr>
              <w:t>Dose form</w:t>
            </w:r>
            <w:r w:rsidR="001B5C90">
              <w:rPr>
                <w:i/>
              </w:rPr>
              <w:t>:</w:t>
            </w:r>
          </w:p>
        </w:tc>
        <w:tc>
          <w:tcPr>
            <w:tcW w:w="5746" w:type="dxa"/>
            <w:gridSpan w:val="2"/>
          </w:tcPr>
          <w:p w14:paraId="57A3F1B1" w14:textId="77777777" w:rsidR="008E7846" w:rsidRPr="00487162" w:rsidRDefault="00C44345" w:rsidP="00E45619">
            <w:r>
              <w:t>Film coated tablet</w:t>
            </w:r>
          </w:p>
        </w:tc>
      </w:tr>
      <w:tr w:rsidR="008E7846" w:rsidRPr="00487162" w14:paraId="6E524981" w14:textId="77777777" w:rsidTr="009870DC">
        <w:trPr>
          <w:gridAfter w:val="1"/>
          <w:wAfter w:w="46" w:type="dxa"/>
          <w:trHeight w:val="497"/>
        </w:trPr>
        <w:tc>
          <w:tcPr>
            <w:tcW w:w="2648" w:type="dxa"/>
          </w:tcPr>
          <w:p w14:paraId="772B9C6C" w14:textId="77777777" w:rsidR="008E7846" w:rsidRPr="00487162" w:rsidRDefault="002757A8" w:rsidP="00E45619">
            <w:pPr>
              <w:rPr>
                <w:i/>
              </w:rPr>
            </w:pPr>
            <w:r>
              <w:rPr>
                <w:i/>
              </w:rPr>
              <w:t>Strengths</w:t>
            </w:r>
            <w:r w:rsidR="008E7846" w:rsidRPr="00487162">
              <w:rPr>
                <w:i/>
              </w:rPr>
              <w:t xml:space="preserve">: </w:t>
            </w:r>
          </w:p>
        </w:tc>
        <w:tc>
          <w:tcPr>
            <w:tcW w:w="5746" w:type="dxa"/>
            <w:gridSpan w:val="2"/>
          </w:tcPr>
          <w:p w14:paraId="5F1CC8DA" w14:textId="77777777" w:rsidR="008E7846" w:rsidRPr="00487162" w:rsidRDefault="00C44345" w:rsidP="00E45619">
            <w:r>
              <w:t>5</w:t>
            </w:r>
            <w:r w:rsidR="006A3836">
              <w:t xml:space="preserve"> </w:t>
            </w:r>
            <w:r>
              <w:t>mg and 10 mg</w:t>
            </w:r>
          </w:p>
        </w:tc>
      </w:tr>
      <w:tr w:rsidR="008E7846" w:rsidRPr="00487162" w14:paraId="20AEF192" w14:textId="77777777" w:rsidTr="009870DC">
        <w:trPr>
          <w:gridAfter w:val="1"/>
          <w:wAfter w:w="46" w:type="dxa"/>
          <w:trHeight w:val="509"/>
        </w:trPr>
        <w:tc>
          <w:tcPr>
            <w:tcW w:w="2648" w:type="dxa"/>
          </w:tcPr>
          <w:p w14:paraId="65DAD2CC" w14:textId="77777777" w:rsidR="008E7846" w:rsidRPr="00487162" w:rsidRDefault="002757A8" w:rsidP="00E45619">
            <w:pPr>
              <w:rPr>
                <w:i/>
              </w:rPr>
            </w:pPr>
            <w:r>
              <w:rPr>
                <w:i/>
              </w:rPr>
              <w:t>Containers</w:t>
            </w:r>
            <w:r w:rsidR="008E7846" w:rsidRPr="00487162">
              <w:rPr>
                <w:i/>
              </w:rPr>
              <w:t>:</w:t>
            </w:r>
          </w:p>
        </w:tc>
        <w:tc>
          <w:tcPr>
            <w:tcW w:w="5746" w:type="dxa"/>
            <w:gridSpan w:val="2"/>
          </w:tcPr>
          <w:p w14:paraId="16D5BC8C" w14:textId="77777777" w:rsidR="008E7846" w:rsidRPr="00487162" w:rsidRDefault="00C44345" w:rsidP="00E45619">
            <w:r>
              <w:t>Bottle</w:t>
            </w:r>
            <w:r w:rsidR="002757A8">
              <w:t xml:space="preserve"> (5 mg tablets)</w:t>
            </w:r>
            <w:r>
              <w:t>, blister pack</w:t>
            </w:r>
            <w:r w:rsidR="002757A8">
              <w:t xml:space="preserve"> (5 and 10 mg tablets)</w:t>
            </w:r>
          </w:p>
        </w:tc>
      </w:tr>
      <w:tr w:rsidR="008E7846" w:rsidRPr="00487162" w14:paraId="082CA78F" w14:textId="77777777" w:rsidTr="009870DC">
        <w:trPr>
          <w:gridAfter w:val="1"/>
          <w:wAfter w:w="46" w:type="dxa"/>
          <w:trHeight w:val="753"/>
        </w:trPr>
        <w:tc>
          <w:tcPr>
            <w:tcW w:w="2648" w:type="dxa"/>
          </w:tcPr>
          <w:p w14:paraId="7276360B" w14:textId="08B79F28" w:rsidR="008E7846" w:rsidRPr="00487162" w:rsidRDefault="008E7846" w:rsidP="00E45619">
            <w:pPr>
              <w:rPr>
                <w:i/>
              </w:rPr>
            </w:pPr>
            <w:r w:rsidRPr="00487162">
              <w:rPr>
                <w:i/>
              </w:rPr>
              <w:t>Pack sizes:</w:t>
            </w:r>
          </w:p>
        </w:tc>
        <w:tc>
          <w:tcPr>
            <w:tcW w:w="5746" w:type="dxa"/>
            <w:gridSpan w:val="2"/>
          </w:tcPr>
          <w:p w14:paraId="3C043331" w14:textId="77777777" w:rsidR="008E7846" w:rsidRPr="00487162" w:rsidRDefault="0079259F" w:rsidP="0079259F">
            <w:r>
              <w:t>Bottle: 60 and</w:t>
            </w:r>
            <w:r w:rsidR="00C44345">
              <w:t xml:space="preserve"> 180 tablets, blister pack: 14 (sample size) </w:t>
            </w:r>
            <w:r>
              <w:t>and</w:t>
            </w:r>
            <w:r w:rsidR="00C44345">
              <w:t xml:space="preserve"> 56 tablets</w:t>
            </w:r>
          </w:p>
        </w:tc>
      </w:tr>
      <w:tr w:rsidR="008E7846" w:rsidRPr="00487162" w14:paraId="2A613876" w14:textId="77777777" w:rsidTr="009870DC">
        <w:trPr>
          <w:gridAfter w:val="1"/>
          <w:wAfter w:w="46" w:type="dxa"/>
          <w:trHeight w:val="1655"/>
        </w:trPr>
        <w:tc>
          <w:tcPr>
            <w:tcW w:w="2648" w:type="dxa"/>
          </w:tcPr>
          <w:p w14:paraId="3424DABD"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5746" w:type="dxa"/>
            <w:gridSpan w:val="2"/>
          </w:tcPr>
          <w:p w14:paraId="04E84A92" w14:textId="77777777" w:rsidR="00565B30" w:rsidRDefault="00565B30" w:rsidP="00E45619">
            <w:pPr>
              <w:rPr>
                <w:i/>
              </w:rPr>
            </w:pPr>
            <w:r>
              <w:rPr>
                <w:i/>
              </w:rPr>
              <w:t>Ulcerative colitis</w:t>
            </w:r>
          </w:p>
          <w:p w14:paraId="5E818892" w14:textId="53C53BAA" w:rsidR="002757A8" w:rsidRPr="002757A8" w:rsidRDefault="002757A8" w:rsidP="00E45619">
            <w:pPr>
              <w:rPr>
                <w:rFonts w:eastAsia="MS Mincho"/>
                <w:i/>
                <w:lang w:eastAsia="ja-JP"/>
              </w:rPr>
            </w:pPr>
            <w:proofErr w:type="spellStart"/>
            <w:r w:rsidRPr="002757A8">
              <w:rPr>
                <w:i/>
              </w:rPr>
              <w:t>Xeljanz</w:t>
            </w:r>
            <w:proofErr w:type="spellEnd"/>
            <w:r w:rsidRPr="002757A8">
              <w:rPr>
                <w:i/>
              </w:rPr>
              <w:t xml:space="preserve"> is indicated for the treatment of adult patients with moderately to severely active ulcerative colitis (UC) who have had an inadequate response, lost response, or were intolerant to either conventional therapy or a biological therapy</w:t>
            </w:r>
            <w:r w:rsidR="0064631E">
              <w:rPr>
                <w:i/>
              </w:rPr>
              <w:t>.</w:t>
            </w:r>
          </w:p>
        </w:tc>
      </w:tr>
      <w:tr w:rsidR="008E7846" w:rsidRPr="00487162" w14:paraId="0E9FEC78" w14:textId="77777777" w:rsidTr="009870DC">
        <w:trPr>
          <w:gridAfter w:val="1"/>
          <w:wAfter w:w="46" w:type="dxa"/>
          <w:trHeight w:val="509"/>
        </w:trPr>
        <w:tc>
          <w:tcPr>
            <w:tcW w:w="2648" w:type="dxa"/>
          </w:tcPr>
          <w:p w14:paraId="6EBFBE29" w14:textId="77777777" w:rsidR="008E7846" w:rsidRPr="00487162" w:rsidRDefault="00C44345" w:rsidP="00E45619">
            <w:pPr>
              <w:rPr>
                <w:i/>
              </w:rPr>
            </w:pPr>
            <w:r>
              <w:rPr>
                <w:i/>
              </w:rPr>
              <w:t>Route</w:t>
            </w:r>
            <w:r w:rsidR="008E7846" w:rsidRPr="00487162">
              <w:rPr>
                <w:i/>
              </w:rPr>
              <w:t xml:space="preserve"> of administration:</w:t>
            </w:r>
          </w:p>
        </w:tc>
        <w:tc>
          <w:tcPr>
            <w:tcW w:w="5746" w:type="dxa"/>
            <w:gridSpan w:val="2"/>
          </w:tcPr>
          <w:p w14:paraId="4CEF2D0B" w14:textId="77777777" w:rsidR="008E7846" w:rsidRPr="00487162" w:rsidRDefault="00C44345" w:rsidP="00E45619">
            <w:r>
              <w:t>Oral</w:t>
            </w:r>
          </w:p>
        </w:tc>
      </w:tr>
      <w:tr w:rsidR="008E7846" w:rsidRPr="00487162" w14:paraId="3F6EDA16" w14:textId="77777777" w:rsidTr="009870DC">
        <w:trPr>
          <w:gridAfter w:val="1"/>
          <w:wAfter w:w="46" w:type="dxa"/>
          <w:trHeight w:val="753"/>
        </w:trPr>
        <w:tc>
          <w:tcPr>
            <w:tcW w:w="2648" w:type="dxa"/>
          </w:tcPr>
          <w:p w14:paraId="283F7988" w14:textId="77777777" w:rsidR="008E7846" w:rsidRPr="00487162" w:rsidRDefault="008E7846" w:rsidP="00E45619">
            <w:pPr>
              <w:rPr>
                <w:i/>
              </w:rPr>
            </w:pPr>
            <w:r w:rsidRPr="00487162">
              <w:rPr>
                <w:i/>
              </w:rPr>
              <w:t>Dosage:</w:t>
            </w:r>
          </w:p>
        </w:tc>
        <w:tc>
          <w:tcPr>
            <w:tcW w:w="5746" w:type="dxa"/>
            <w:gridSpan w:val="2"/>
          </w:tcPr>
          <w:p w14:paraId="26262A41" w14:textId="6B15CC10" w:rsidR="003343FF" w:rsidRDefault="003343FF" w:rsidP="00E45619">
            <w:r>
              <w:t>For ulcerative colitis: 10</w:t>
            </w:r>
            <w:r w:rsidR="003B27DF">
              <w:t> </w:t>
            </w:r>
            <w:r>
              <w:t>mg twice daily for induction for 8</w:t>
            </w:r>
            <w:r w:rsidR="003B27DF">
              <w:t> </w:t>
            </w:r>
            <w:r>
              <w:t>weeks and 5 mg twice daily for maintenance.</w:t>
            </w:r>
          </w:p>
          <w:p w14:paraId="212FBCE8" w14:textId="67E63E9A" w:rsidR="003343FF" w:rsidRPr="00487162" w:rsidRDefault="003343FF" w:rsidP="00E45619">
            <w:r>
              <w:t>For further details refer to the Product Information</w:t>
            </w:r>
            <w:r w:rsidR="003B27DF">
              <w:t xml:space="preserve"> (PI)</w:t>
            </w:r>
            <w:r>
              <w:t>.</w:t>
            </w:r>
          </w:p>
        </w:tc>
      </w:tr>
    </w:tbl>
    <w:p w14:paraId="1AB1549D" w14:textId="77777777" w:rsidR="008E7846" w:rsidRDefault="008E7846" w:rsidP="008E7846">
      <w:pPr>
        <w:pStyle w:val="Heading3"/>
      </w:pPr>
      <w:bookmarkStart w:id="13" w:name="_Toc247691503"/>
      <w:bookmarkStart w:id="14" w:name="_Toc314842484"/>
      <w:bookmarkStart w:id="15" w:name="_Toc20301883"/>
      <w:r>
        <w:lastRenderedPageBreak/>
        <w:t>Product background</w:t>
      </w:r>
      <w:bookmarkEnd w:id="13"/>
      <w:bookmarkEnd w:id="14"/>
      <w:bookmarkEnd w:id="15"/>
    </w:p>
    <w:p w14:paraId="2007BD9D" w14:textId="4F7A964C" w:rsidR="008E7846" w:rsidRDefault="00940A89" w:rsidP="005F7896">
      <w:r w:rsidRPr="00940A89">
        <w:t xml:space="preserve">This AusPAR describes the application by </w:t>
      </w:r>
      <w:r w:rsidR="005F7896" w:rsidRPr="00C44345">
        <w:t>Pfizer Australia Pty Ltd</w:t>
      </w:r>
      <w:r w:rsidR="005F7896">
        <w:t xml:space="preserve"> (</w:t>
      </w:r>
      <w:r w:rsidRPr="00940A89">
        <w:t>the sponsor</w:t>
      </w:r>
      <w:r w:rsidR="005F7896">
        <w:t>)</w:t>
      </w:r>
      <w:r w:rsidRPr="00940A89">
        <w:t xml:space="preserve"> to register </w:t>
      </w:r>
      <w:r w:rsidR="00A35612">
        <w:t xml:space="preserve">a new 10 mg tablet strength of </w:t>
      </w:r>
      <w:proofErr w:type="spellStart"/>
      <w:r w:rsidR="005F7896">
        <w:t>Xeljanz</w:t>
      </w:r>
      <w:proofErr w:type="spellEnd"/>
      <w:r w:rsidR="005F7896">
        <w:t xml:space="preserve"> (</w:t>
      </w:r>
      <w:proofErr w:type="spellStart"/>
      <w:r w:rsidR="005F7896">
        <w:t>tofacitinib</w:t>
      </w:r>
      <w:proofErr w:type="spellEnd"/>
      <w:r w:rsidR="005F7896">
        <w:t xml:space="preserve"> as citrate</w:t>
      </w:r>
      <w:r w:rsidR="002757A8">
        <w:t xml:space="preserve">) </w:t>
      </w:r>
      <w:r w:rsidR="00A35612">
        <w:t xml:space="preserve">and </w:t>
      </w:r>
      <w:r w:rsidR="00DD49C6">
        <w:t xml:space="preserve">to </w:t>
      </w:r>
      <w:r w:rsidR="00A35612">
        <w:t>extend the indication</w:t>
      </w:r>
      <w:r w:rsidR="00DD49C6">
        <w:t>s</w:t>
      </w:r>
      <w:r w:rsidR="00A35612">
        <w:t xml:space="preserve"> of the previously approved </w:t>
      </w:r>
      <w:r w:rsidR="009872B2">
        <w:t xml:space="preserve">5 mg tablet </w:t>
      </w:r>
      <w:r w:rsidR="003B27DF">
        <w:t xml:space="preserve">to include </w:t>
      </w:r>
      <w:r w:rsidR="009872B2">
        <w:t>the following indication</w:t>
      </w:r>
      <w:r w:rsidR="002757A8">
        <w:t>:</w:t>
      </w:r>
    </w:p>
    <w:p w14:paraId="6401FAD0" w14:textId="77777777" w:rsidR="00490F35" w:rsidRDefault="00490F35" w:rsidP="009872B2">
      <w:pPr>
        <w:ind w:left="720"/>
        <w:rPr>
          <w:i/>
        </w:rPr>
      </w:pPr>
      <w:r>
        <w:rPr>
          <w:i/>
        </w:rPr>
        <w:t>Ulcerative colitis</w:t>
      </w:r>
    </w:p>
    <w:p w14:paraId="3AFFE20B" w14:textId="77777777" w:rsidR="009872B2" w:rsidRPr="009872B2" w:rsidRDefault="009872B2" w:rsidP="009872B2">
      <w:pPr>
        <w:ind w:left="720"/>
        <w:rPr>
          <w:i/>
        </w:rPr>
      </w:pPr>
      <w:proofErr w:type="spellStart"/>
      <w:r w:rsidRPr="009872B2">
        <w:rPr>
          <w:i/>
        </w:rPr>
        <w:t>Xeljanz</w:t>
      </w:r>
      <w:proofErr w:type="spellEnd"/>
      <w:r w:rsidRPr="009872B2">
        <w:rPr>
          <w:i/>
        </w:rPr>
        <w:t xml:space="preserve"> is indicated for the induction and maintenance of treatment of adult patients with moderately to severely active ulcerative colitis (UC) who have had an inadequate response, lost response, or were intolerant to conventional therapy.</w:t>
      </w:r>
    </w:p>
    <w:p w14:paraId="058F89BB" w14:textId="77777777" w:rsidR="00DD49C6" w:rsidRDefault="00DD49C6" w:rsidP="0079259F">
      <w:pPr>
        <w:rPr>
          <w:rFonts w:eastAsiaTheme="minorHAnsi" w:cs="TimesNewRomanPSMT"/>
        </w:rPr>
      </w:pPr>
      <w:bookmarkStart w:id="16" w:name="_Toc314842485"/>
      <w:bookmarkStart w:id="17" w:name="_Toc247691504"/>
      <w:r>
        <w:t>Ulcerative colitis (</w:t>
      </w:r>
      <w:r w:rsidR="00490F35" w:rsidRPr="007D685F">
        <w:t>UC</w:t>
      </w:r>
      <w:r>
        <w:t>)</w:t>
      </w:r>
      <w:r w:rsidR="00490F35" w:rsidRPr="007D685F">
        <w:t xml:space="preserve"> is a chronic, relapsing, inflammatory disease of the colon characterised by alternating episodes of spontaneous remission and relapse.</w:t>
      </w:r>
      <w:r w:rsidR="00490F35">
        <w:t xml:space="preserve"> </w:t>
      </w:r>
      <w:r w:rsidR="00043029">
        <w:rPr>
          <w:rFonts w:eastAsiaTheme="minorHAnsi" w:cs="TimesNewRomanPSMT"/>
        </w:rPr>
        <w:t>The</w:t>
      </w:r>
      <w:r w:rsidR="00043029" w:rsidRPr="00F63E35">
        <w:rPr>
          <w:rFonts w:eastAsiaTheme="minorHAnsi" w:cs="TimesNewRomanPSMT"/>
        </w:rPr>
        <w:t xml:space="preserve"> pathogenesis </w:t>
      </w:r>
      <w:r w:rsidR="00043029">
        <w:rPr>
          <w:rFonts w:eastAsiaTheme="minorHAnsi" w:cs="TimesNewRomanPSMT"/>
        </w:rPr>
        <w:t xml:space="preserve">of UC </w:t>
      </w:r>
      <w:r w:rsidR="00043029" w:rsidRPr="00F63E35">
        <w:rPr>
          <w:rFonts w:eastAsiaTheme="minorHAnsi" w:cs="TimesNewRomanPSMT"/>
        </w:rPr>
        <w:t>involves the complex</w:t>
      </w:r>
      <w:r w:rsidR="00043029">
        <w:rPr>
          <w:rFonts w:eastAsiaTheme="minorHAnsi" w:cs="TimesNewRomanPSMT"/>
        </w:rPr>
        <w:t xml:space="preserve"> </w:t>
      </w:r>
      <w:r w:rsidR="00043029" w:rsidRPr="00F63E35">
        <w:rPr>
          <w:rFonts w:eastAsiaTheme="minorHAnsi" w:cs="TimesNewRomanPSMT"/>
        </w:rPr>
        <w:t>interaction of genetic predisposition, epithelial barrier defects, dysregulated host immune</w:t>
      </w:r>
      <w:r w:rsidR="00043029">
        <w:rPr>
          <w:rFonts w:eastAsiaTheme="minorHAnsi" w:cs="TimesNewRomanPSMT"/>
        </w:rPr>
        <w:t xml:space="preserve"> </w:t>
      </w:r>
      <w:r w:rsidR="00043029" w:rsidRPr="00F63E35">
        <w:rPr>
          <w:rFonts w:eastAsiaTheme="minorHAnsi" w:cs="TimesNewRomanPSMT"/>
        </w:rPr>
        <w:t>responses and environmental factor</w:t>
      </w:r>
      <w:r w:rsidR="00043029">
        <w:rPr>
          <w:rFonts w:eastAsiaTheme="minorHAnsi" w:cs="TimesNewRomanPSMT"/>
        </w:rPr>
        <w:t>s. Clinically, UC is characteris</w:t>
      </w:r>
      <w:r w:rsidR="00043029" w:rsidRPr="00F63E35">
        <w:rPr>
          <w:rFonts w:eastAsiaTheme="minorHAnsi" w:cs="TimesNewRomanPSMT"/>
        </w:rPr>
        <w:t>ed by colonic mucosal</w:t>
      </w:r>
      <w:r w:rsidR="00043029">
        <w:rPr>
          <w:rFonts w:eastAsiaTheme="minorHAnsi" w:cs="TimesNewRomanPSMT"/>
        </w:rPr>
        <w:t xml:space="preserve"> </w:t>
      </w:r>
      <w:r w:rsidR="00043029" w:rsidRPr="00F63E35">
        <w:rPr>
          <w:rFonts w:eastAsiaTheme="minorHAnsi" w:cs="TimesNewRomanPSMT"/>
        </w:rPr>
        <w:t>ulcer</w:t>
      </w:r>
      <w:r>
        <w:rPr>
          <w:rFonts w:eastAsiaTheme="minorHAnsi" w:cs="TimesNewRomanPSMT"/>
        </w:rPr>
        <w:t>ation.</w:t>
      </w:r>
    </w:p>
    <w:p w14:paraId="6EA37437" w14:textId="73F28CF8" w:rsidR="005742E4" w:rsidRPr="0079259F" w:rsidRDefault="00490F35" w:rsidP="0079259F">
      <w:pPr>
        <w:rPr>
          <w:rFonts w:eastAsiaTheme="minorHAnsi" w:cs="TimesNewRomanPSMT"/>
        </w:rPr>
      </w:pPr>
      <w:r>
        <w:t xml:space="preserve">Current treatment options for moderately to severely active UC include: corticosteroids; </w:t>
      </w:r>
      <w:proofErr w:type="spellStart"/>
      <w:r>
        <w:t>immunosuppressants</w:t>
      </w:r>
      <w:proofErr w:type="spellEnd"/>
      <w:r>
        <w:t xml:space="preserve"> such as azathioprine (AZA) and 6-mercaptopurine (6-MP); tumour necrosis factor inhibitors (</w:t>
      </w:r>
      <w:proofErr w:type="spellStart"/>
      <w:r>
        <w:t>TNFi</w:t>
      </w:r>
      <w:proofErr w:type="spellEnd"/>
      <w:r>
        <w:t xml:space="preserve">) such as infliximab, </w:t>
      </w:r>
      <w:proofErr w:type="spellStart"/>
      <w:r>
        <w:t>adalimumab</w:t>
      </w:r>
      <w:proofErr w:type="spellEnd"/>
      <w:r>
        <w:t xml:space="preserve"> and </w:t>
      </w:r>
      <w:proofErr w:type="spellStart"/>
      <w:r>
        <w:t>golimumab</w:t>
      </w:r>
      <w:proofErr w:type="spellEnd"/>
      <w:r>
        <w:t xml:space="preserve">; and the anti-integrin treatment, </w:t>
      </w:r>
      <w:proofErr w:type="spellStart"/>
      <w:r>
        <w:t>vedolizumab</w:t>
      </w:r>
      <w:proofErr w:type="spellEnd"/>
      <w:r>
        <w:t>.</w:t>
      </w:r>
      <w:r w:rsidR="005F7896">
        <w:t xml:space="preserve"> </w:t>
      </w:r>
      <w:r>
        <w:t>Corticosteroids are used during acute flare</w:t>
      </w:r>
      <w:r w:rsidR="0079259F">
        <w:t>, however they</w:t>
      </w:r>
      <w:r w:rsidR="0079259F" w:rsidRPr="00A74895">
        <w:rPr>
          <w:rFonts w:eastAsiaTheme="minorHAnsi" w:cs="TimesNewRomanPSMT"/>
        </w:rPr>
        <w:t xml:space="preserve"> are associated with</w:t>
      </w:r>
      <w:r w:rsidR="0079259F">
        <w:rPr>
          <w:rFonts w:eastAsiaTheme="minorHAnsi" w:cs="TimesNewRomanPSMT"/>
        </w:rPr>
        <w:t xml:space="preserve"> </w:t>
      </w:r>
      <w:r w:rsidR="0079259F" w:rsidRPr="00A74895">
        <w:rPr>
          <w:rFonts w:eastAsiaTheme="minorHAnsi" w:cs="TimesNewRomanPSMT"/>
        </w:rPr>
        <w:t>significant problems with intolerance and side effects, and have no role in maintenance. A</w:t>
      </w:r>
      <w:r w:rsidR="0079259F">
        <w:rPr>
          <w:rFonts w:eastAsiaTheme="minorHAnsi" w:cs="TimesNewRomanPSMT"/>
        </w:rPr>
        <w:t xml:space="preserve"> </w:t>
      </w:r>
      <w:r w:rsidR="0079259F" w:rsidRPr="00A74895">
        <w:rPr>
          <w:rFonts w:eastAsiaTheme="minorHAnsi" w:cs="TimesNewRomanPSMT"/>
        </w:rPr>
        <w:t>substantial proportion of patients with moderately to severely active UC fail to respond to</w:t>
      </w:r>
      <w:r w:rsidR="0079259F">
        <w:rPr>
          <w:rFonts w:eastAsiaTheme="minorHAnsi" w:cs="TimesNewRomanPSMT"/>
        </w:rPr>
        <w:t xml:space="preserve"> </w:t>
      </w:r>
      <w:proofErr w:type="spellStart"/>
      <w:r w:rsidR="0079259F" w:rsidRPr="00A74895">
        <w:rPr>
          <w:rFonts w:eastAsiaTheme="minorHAnsi" w:cs="TimesNewRomanPSMT"/>
        </w:rPr>
        <w:t>TNFi</w:t>
      </w:r>
      <w:proofErr w:type="spellEnd"/>
      <w:r w:rsidR="0079259F" w:rsidRPr="00A74895">
        <w:rPr>
          <w:rFonts w:eastAsiaTheme="minorHAnsi" w:cs="TimesNewRomanPSMT"/>
        </w:rPr>
        <w:t xml:space="preserve"> agents either initially or lose their initial response</w:t>
      </w:r>
      <w:r w:rsidR="0079259F">
        <w:rPr>
          <w:rFonts w:eastAsiaTheme="minorHAnsi" w:cs="TimesNewRomanPSMT"/>
        </w:rPr>
        <w:t>.</w:t>
      </w:r>
      <w:r w:rsidR="009D3935">
        <w:rPr>
          <w:rFonts w:eastAsiaTheme="minorHAnsi" w:cs="TimesNewRomanPSMT"/>
        </w:rPr>
        <w:t xml:space="preserve"> </w:t>
      </w:r>
      <w:r w:rsidR="005742E4">
        <w:t>T</w:t>
      </w:r>
      <w:r w:rsidR="005742E4" w:rsidRPr="007D2D92">
        <w:t>here is</w:t>
      </w:r>
      <w:r w:rsidR="005742E4" w:rsidRPr="00A74895">
        <w:t xml:space="preserve"> a significant unmet need in patients with moderately to severely active UC</w:t>
      </w:r>
      <w:r w:rsidR="005742E4">
        <w:t xml:space="preserve"> </w:t>
      </w:r>
      <w:r w:rsidR="005742E4" w:rsidRPr="00A74895">
        <w:t xml:space="preserve">who have previously failed corticosteroids, AZA/6-MP, or biologics such as </w:t>
      </w:r>
      <w:proofErr w:type="spellStart"/>
      <w:r w:rsidR="005742E4" w:rsidRPr="00A74895">
        <w:t>TNFi</w:t>
      </w:r>
      <w:proofErr w:type="spellEnd"/>
      <w:r w:rsidR="005742E4" w:rsidRPr="00A74895">
        <w:t>.</w:t>
      </w:r>
      <w:r w:rsidR="005742E4">
        <w:t xml:space="preserve"> Importantly</w:t>
      </w:r>
      <w:r w:rsidR="005742E4" w:rsidRPr="00A74895">
        <w:t>, there is no single current therapeutic option that offers fast onset of action, strong induction and maintenance efficacy, as well as</w:t>
      </w:r>
      <w:r w:rsidR="005742E4">
        <w:t xml:space="preserve"> efficacy in the most difficult to </w:t>
      </w:r>
      <w:r w:rsidR="005742E4" w:rsidRPr="00A74895">
        <w:t>treat</w:t>
      </w:r>
      <w:r w:rsidR="005742E4">
        <w:t xml:space="preserve"> patient population. The </w:t>
      </w:r>
      <w:r w:rsidR="005742E4" w:rsidRPr="00A74895">
        <w:t>gastroenterology field is in need of a treatment that offers an advance</w:t>
      </w:r>
      <w:r w:rsidR="005742E4">
        <w:t xml:space="preserve"> </w:t>
      </w:r>
      <w:r w:rsidR="005742E4" w:rsidRPr="00A74895">
        <w:t>from 5-ASA, is not a steroid or biological</w:t>
      </w:r>
      <w:r w:rsidR="005742E4">
        <w:t xml:space="preserve"> </w:t>
      </w:r>
      <w:r w:rsidR="003B27DF">
        <w:t>disease modifying anti-rheumatic drug (</w:t>
      </w:r>
      <w:r w:rsidR="005742E4">
        <w:t>DMARD</w:t>
      </w:r>
      <w:r w:rsidR="003B27DF">
        <w:t>)</w:t>
      </w:r>
      <w:r w:rsidR="005742E4" w:rsidRPr="00A74895">
        <w:t>, and is not an injection.</w:t>
      </w:r>
    </w:p>
    <w:p w14:paraId="0FAE6568" w14:textId="73490CAC" w:rsidR="00490F35" w:rsidRDefault="00490F35" w:rsidP="0079259F">
      <w:proofErr w:type="spellStart"/>
      <w:r w:rsidRPr="00BF19F3">
        <w:t>Tofacitinib</w:t>
      </w:r>
      <w:proofErr w:type="spellEnd"/>
      <w:r w:rsidRPr="00BF19F3">
        <w:t xml:space="preserve"> is a Janus kinase (JAK) inhibitor. JAKs are intracellular enzymes which transmit signals arising from cytokine or growth factor-receptor interactions on the cellular membrane to influence cellular processes of haematopoiesis and immune cell function.</w:t>
      </w:r>
      <w:r>
        <w:t xml:space="preserve"> </w:t>
      </w:r>
      <w:r w:rsidRPr="00BF19F3">
        <w:t xml:space="preserve">Inhibition of JAK1 and JAK3 by </w:t>
      </w:r>
      <w:proofErr w:type="spellStart"/>
      <w:r w:rsidRPr="00BF19F3">
        <w:t>tofacitinib</w:t>
      </w:r>
      <w:proofErr w:type="spellEnd"/>
      <w:r w:rsidRPr="00BF19F3">
        <w:t xml:space="preserve"> blocks signa</w:t>
      </w:r>
      <w:r>
        <w:t>l</w:t>
      </w:r>
      <w:r w:rsidRPr="00BF19F3">
        <w:t xml:space="preserve">ling through the common gamma chain-containing receptors for several cytokines, including </w:t>
      </w:r>
      <w:r w:rsidR="00847384">
        <w:t>interleukin</w:t>
      </w:r>
      <w:r w:rsidR="003B27DF">
        <w:t>s</w:t>
      </w:r>
      <w:r w:rsidR="00847384">
        <w:t xml:space="preserve"> (</w:t>
      </w:r>
      <w:r w:rsidRPr="00BF19F3">
        <w:t>IL</w:t>
      </w:r>
      <w:r w:rsidR="00847384">
        <w:t>)</w:t>
      </w:r>
      <w:r w:rsidRPr="00BF19F3">
        <w:t xml:space="preserve">-2, -4, -7, -9, </w:t>
      </w:r>
      <w:r w:rsidR="003B27DF">
        <w:noBreakHyphen/>
      </w:r>
      <w:r w:rsidRPr="00BF19F3">
        <w:t>15, and -21. These cytokines are integral to lymphocyte activation, proliferation and function, and inhibition of their signa</w:t>
      </w:r>
      <w:r>
        <w:t>l</w:t>
      </w:r>
      <w:r w:rsidRPr="00BF19F3">
        <w:t>ling may thus result in modulation of multiple aspects of the immune response. In addition, inhibition of JAK1 will result in attenuation of signa</w:t>
      </w:r>
      <w:r>
        <w:t>l</w:t>
      </w:r>
      <w:r w:rsidRPr="00BF19F3">
        <w:t>ling by additional pro-inflammatory cytokines, such as IL-6</w:t>
      </w:r>
      <w:r w:rsidR="005F7896">
        <w:t xml:space="preserve"> and type I and II interferons.</w:t>
      </w:r>
    </w:p>
    <w:p w14:paraId="30751156" w14:textId="77777777" w:rsidR="008E7846" w:rsidRPr="003F31A2" w:rsidRDefault="00386150" w:rsidP="008E7846">
      <w:pPr>
        <w:pStyle w:val="Heading3"/>
      </w:pPr>
      <w:bookmarkStart w:id="18" w:name="_Toc20301884"/>
      <w:r>
        <w:t>Regulatory s</w:t>
      </w:r>
      <w:r w:rsidR="008E7846">
        <w:t>tatus</w:t>
      </w:r>
      <w:bookmarkEnd w:id="16"/>
      <w:bookmarkEnd w:id="17"/>
      <w:bookmarkEnd w:id="18"/>
    </w:p>
    <w:p w14:paraId="1626DFD2" w14:textId="77777777" w:rsidR="00940A89" w:rsidRDefault="00940A89" w:rsidP="00940A89">
      <w:bookmarkStart w:id="19" w:name="_Toc247691505"/>
      <w:bookmarkStart w:id="20" w:name="_Toc314842486"/>
      <w:r w:rsidRPr="00940A89">
        <w:t>The product received initial registration on the Australian Register</w:t>
      </w:r>
      <w:r w:rsidR="004E24BB">
        <w:t xml:space="preserve"> of Therapeutic Goods (ARTG</w:t>
      </w:r>
      <w:r w:rsidR="002E3754">
        <w:t>, Submission PM-2012-00788-3-3</w:t>
      </w:r>
      <w:r w:rsidR="004E24BB">
        <w:t>) as a 5 mg tablet blister pack (ARTG 196987) and bottle (ARTG 233439) on 5 February 2015 for the following indication:</w:t>
      </w:r>
    </w:p>
    <w:p w14:paraId="6C652B04" w14:textId="77777777" w:rsidR="00EC13EB" w:rsidRPr="004E24BB" w:rsidRDefault="00EC13EB" w:rsidP="004E24BB">
      <w:pPr>
        <w:ind w:left="720"/>
        <w:rPr>
          <w:i/>
        </w:rPr>
      </w:pPr>
      <w:proofErr w:type="spellStart"/>
      <w:r w:rsidRPr="004E24BB">
        <w:rPr>
          <w:i/>
        </w:rPr>
        <w:t>Xeljanz</w:t>
      </w:r>
      <w:proofErr w:type="spellEnd"/>
      <w:r w:rsidRPr="004E24BB">
        <w:rPr>
          <w:i/>
        </w:rPr>
        <w:t xml:space="preserve"> is indicated for the treatment of the signs and symptoms of moderate to severe active rheumatoid arthritis in adults who have had an inadequate response or are intolerant to methotrexate. </w:t>
      </w:r>
      <w:proofErr w:type="spellStart"/>
      <w:r w:rsidRPr="004E24BB">
        <w:rPr>
          <w:i/>
        </w:rPr>
        <w:t>Xeljanz</w:t>
      </w:r>
      <w:proofErr w:type="spellEnd"/>
      <w:r w:rsidRPr="004E24BB">
        <w:rPr>
          <w:i/>
        </w:rPr>
        <w:t xml:space="preserve"> con be used alone or </w:t>
      </w:r>
      <w:r w:rsidR="00225681">
        <w:rPr>
          <w:i/>
        </w:rPr>
        <w:t>in combination with non-biologica</w:t>
      </w:r>
      <w:r w:rsidRPr="004E24BB">
        <w:rPr>
          <w:i/>
        </w:rPr>
        <w:t xml:space="preserve">l </w:t>
      </w:r>
      <w:r w:rsidR="00565B30">
        <w:rPr>
          <w:i/>
        </w:rPr>
        <w:t>d</w:t>
      </w:r>
      <w:r w:rsidR="00565B30" w:rsidRPr="00565B30">
        <w:rPr>
          <w:i/>
        </w:rPr>
        <w:t>isease-modifying anti</w:t>
      </w:r>
      <w:r w:rsidR="00565B30">
        <w:rPr>
          <w:i/>
        </w:rPr>
        <w:t>-</w:t>
      </w:r>
      <w:r w:rsidR="00565B30" w:rsidRPr="00565B30">
        <w:rPr>
          <w:i/>
        </w:rPr>
        <w:t>rheumatic drugs</w:t>
      </w:r>
      <w:r w:rsidR="00565B30">
        <w:rPr>
          <w:i/>
        </w:rPr>
        <w:t xml:space="preserve"> (</w:t>
      </w:r>
      <w:r w:rsidRPr="004E24BB">
        <w:rPr>
          <w:i/>
        </w:rPr>
        <w:t>DMARDs</w:t>
      </w:r>
      <w:r w:rsidR="00565B30">
        <w:rPr>
          <w:i/>
        </w:rPr>
        <w:t>)</w:t>
      </w:r>
      <w:r w:rsidRPr="004E24BB">
        <w:rPr>
          <w:i/>
        </w:rPr>
        <w:t>, including methotrexate.</w:t>
      </w:r>
    </w:p>
    <w:p w14:paraId="00302D58" w14:textId="77777777" w:rsidR="00EC13EB" w:rsidRPr="004E24BB" w:rsidRDefault="00EC13EB" w:rsidP="004E24BB">
      <w:pPr>
        <w:ind w:left="720"/>
        <w:rPr>
          <w:i/>
        </w:rPr>
      </w:pPr>
      <w:r w:rsidRPr="004E24BB">
        <w:rPr>
          <w:i/>
        </w:rPr>
        <w:t xml:space="preserve">Therapy with </w:t>
      </w:r>
      <w:proofErr w:type="spellStart"/>
      <w:r w:rsidRPr="004E24BB">
        <w:rPr>
          <w:i/>
        </w:rPr>
        <w:t>Xeljanz</w:t>
      </w:r>
      <w:proofErr w:type="spellEnd"/>
      <w:r w:rsidRPr="004E24BB">
        <w:rPr>
          <w:i/>
        </w:rPr>
        <w:t xml:space="preserve"> should </w:t>
      </w:r>
      <w:r w:rsidR="004E24BB" w:rsidRPr="004E24BB">
        <w:rPr>
          <w:i/>
        </w:rPr>
        <w:t xml:space="preserve">be </w:t>
      </w:r>
      <w:r w:rsidRPr="004E24BB">
        <w:rPr>
          <w:i/>
        </w:rPr>
        <w:t xml:space="preserve">initiated and monitored by a rheumatologist or specialist physician with expertise in the </w:t>
      </w:r>
      <w:r w:rsidR="004E24BB" w:rsidRPr="004E24BB">
        <w:rPr>
          <w:i/>
        </w:rPr>
        <w:t>management</w:t>
      </w:r>
      <w:r w:rsidRPr="004E24BB">
        <w:rPr>
          <w:i/>
        </w:rPr>
        <w:t xml:space="preserve"> of </w:t>
      </w:r>
      <w:r w:rsidR="004E24BB" w:rsidRPr="004E24BB">
        <w:rPr>
          <w:i/>
        </w:rPr>
        <w:t>rheuma</w:t>
      </w:r>
      <w:r w:rsidRPr="004E24BB">
        <w:rPr>
          <w:i/>
        </w:rPr>
        <w:t xml:space="preserve">toid </w:t>
      </w:r>
      <w:r w:rsidR="004E24BB" w:rsidRPr="004E24BB">
        <w:rPr>
          <w:i/>
        </w:rPr>
        <w:t>arthritis</w:t>
      </w:r>
      <w:r w:rsidRPr="004E24BB">
        <w:rPr>
          <w:i/>
        </w:rPr>
        <w:t>.</w:t>
      </w:r>
    </w:p>
    <w:p w14:paraId="53484A3B" w14:textId="77777777" w:rsidR="00565B30" w:rsidRDefault="005C6BD4" w:rsidP="00940A89">
      <w:r>
        <w:lastRenderedPageBreak/>
        <w:t>On 1</w:t>
      </w:r>
      <w:r w:rsidR="00565B30">
        <w:t xml:space="preserve"> June 2017 </w:t>
      </w:r>
      <w:r w:rsidR="002E3754">
        <w:t xml:space="preserve">(Submission PM-2016-00757-1-3) </w:t>
      </w:r>
      <w:r w:rsidR="00565B30">
        <w:t xml:space="preserve">the </w:t>
      </w:r>
      <w:r>
        <w:t>following changed indications were approved</w:t>
      </w:r>
      <w:r w:rsidR="00565B30">
        <w:t>:</w:t>
      </w:r>
    </w:p>
    <w:p w14:paraId="17549B4B" w14:textId="77777777" w:rsidR="00565B30" w:rsidRPr="00565B30" w:rsidRDefault="00565B30" w:rsidP="00565B30">
      <w:pPr>
        <w:ind w:left="720"/>
        <w:rPr>
          <w:i/>
        </w:rPr>
      </w:pPr>
      <w:proofErr w:type="spellStart"/>
      <w:r w:rsidRPr="00565B30">
        <w:rPr>
          <w:i/>
        </w:rPr>
        <w:t>Xeljanz</w:t>
      </w:r>
      <w:proofErr w:type="spellEnd"/>
      <w:r w:rsidRPr="00565B30">
        <w:rPr>
          <w:i/>
        </w:rPr>
        <w:t xml:space="preserve"> is indicated for the treatment of moderate to severe active rheumatoid arthritis in adults who have had an inadequate response or are intolerant to methotrexate. </w:t>
      </w:r>
      <w:proofErr w:type="spellStart"/>
      <w:r>
        <w:rPr>
          <w:i/>
        </w:rPr>
        <w:t>Xeljanz</w:t>
      </w:r>
      <w:proofErr w:type="spellEnd"/>
      <w:r w:rsidRPr="00565B30">
        <w:rPr>
          <w:i/>
        </w:rPr>
        <w:t xml:space="preserve"> can be used alone or in combination with non</w:t>
      </w:r>
      <w:r w:rsidR="00225681">
        <w:rPr>
          <w:i/>
        </w:rPr>
        <w:t>-</w:t>
      </w:r>
      <w:r w:rsidRPr="00565B30">
        <w:rPr>
          <w:i/>
        </w:rPr>
        <w:t>biological DMARDs, including methotrexate.</w:t>
      </w:r>
    </w:p>
    <w:p w14:paraId="23D656A7" w14:textId="77777777" w:rsidR="00565B30" w:rsidRPr="00565B30" w:rsidRDefault="00565B30" w:rsidP="00565B30">
      <w:pPr>
        <w:ind w:left="720"/>
        <w:rPr>
          <w:i/>
        </w:rPr>
      </w:pPr>
      <w:r w:rsidRPr="00565B30">
        <w:rPr>
          <w:i/>
        </w:rPr>
        <w:t xml:space="preserve">Therapy with </w:t>
      </w:r>
      <w:proofErr w:type="spellStart"/>
      <w:r w:rsidRPr="00565B30">
        <w:rPr>
          <w:i/>
        </w:rPr>
        <w:t>Xeljanz</w:t>
      </w:r>
      <w:proofErr w:type="spellEnd"/>
      <w:r w:rsidRPr="00565B30">
        <w:rPr>
          <w:i/>
        </w:rPr>
        <w:t xml:space="preserve"> should be initiated and monitored by a rheumatologist or specialist physician with expertise in the management of rheumatoid arthritis.</w:t>
      </w:r>
    </w:p>
    <w:p w14:paraId="70C7064D" w14:textId="77777777" w:rsidR="004E24BB" w:rsidRDefault="005C6BD4" w:rsidP="00940A89">
      <w:r>
        <w:t>On 8</w:t>
      </w:r>
      <w:r w:rsidR="004E24BB">
        <w:t xml:space="preserve"> November 2018</w:t>
      </w:r>
      <w:r w:rsidR="00DD49C6">
        <w:t xml:space="preserve"> </w:t>
      </w:r>
      <w:r w:rsidR="002E3754">
        <w:t xml:space="preserve">(Submission PM-2017-03802-1-3) </w:t>
      </w:r>
      <w:r w:rsidR="004E24BB">
        <w:t>the fo</w:t>
      </w:r>
      <w:r w:rsidR="00565B30">
        <w:t>llowing extension of indications</w:t>
      </w:r>
      <w:r>
        <w:t xml:space="preserve"> was approved</w:t>
      </w:r>
      <w:r w:rsidR="002E3754">
        <w:t>:</w:t>
      </w:r>
    </w:p>
    <w:p w14:paraId="1E49BCAC" w14:textId="77777777" w:rsidR="004E24BB" w:rsidRPr="00565B30" w:rsidRDefault="004E24BB" w:rsidP="00565B30">
      <w:pPr>
        <w:ind w:left="720"/>
        <w:rPr>
          <w:i/>
        </w:rPr>
      </w:pPr>
      <w:r w:rsidRPr="00565B30">
        <w:rPr>
          <w:i/>
        </w:rPr>
        <w:t>Psoriatic Arthritis</w:t>
      </w:r>
    </w:p>
    <w:p w14:paraId="0DD7E057" w14:textId="77777777" w:rsidR="004E24BB" w:rsidRDefault="004E24BB" w:rsidP="00565B30">
      <w:pPr>
        <w:ind w:left="720"/>
        <w:rPr>
          <w:i/>
        </w:rPr>
      </w:pPr>
      <w:proofErr w:type="spellStart"/>
      <w:r w:rsidRPr="00565B30">
        <w:rPr>
          <w:i/>
        </w:rPr>
        <w:t>Xeljanz</w:t>
      </w:r>
      <w:proofErr w:type="spellEnd"/>
      <w:r w:rsidRPr="00565B30">
        <w:rPr>
          <w:i/>
        </w:rPr>
        <w:t xml:space="preserve"> in combination with conventional synthetic DMARDs is indicated for the treatment of active psoriatic arthritis in adult patients who have had an inadequate response to a prior DMARD therapy</w:t>
      </w:r>
    </w:p>
    <w:p w14:paraId="2DC61285" w14:textId="77777777" w:rsidR="00DD49C6" w:rsidRDefault="005F4107" w:rsidP="00DD49C6">
      <w:r>
        <w:t>Following this, t</w:t>
      </w:r>
      <w:r w:rsidR="005C6BD4">
        <w:t>he full approved</w:t>
      </w:r>
      <w:r w:rsidR="00DD49C6">
        <w:t xml:space="preserve"> indications at this time were:</w:t>
      </w:r>
    </w:p>
    <w:p w14:paraId="22C1328A" w14:textId="77777777" w:rsidR="00DD49C6" w:rsidRPr="00DD49C6" w:rsidRDefault="00DD49C6" w:rsidP="00DD49C6">
      <w:pPr>
        <w:ind w:left="720"/>
        <w:rPr>
          <w:i/>
        </w:rPr>
      </w:pPr>
      <w:r w:rsidRPr="00DD49C6">
        <w:rPr>
          <w:i/>
        </w:rPr>
        <w:t>Rheumatoid arthritis</w:t>
      </w:r>
    </w:p>
    <w:p w14:paraId="68BC90C7" w14:textId="77777777" w:rsidR="00DD49C6" w:rsidRPr="004E24BB" w:rsidRDefault="00DD49C6" w:rsidP="00DD49C6">
      <w:pPr>
        <w:ind w:left="720"/>
        <w:rPr>
          <w:i/>
        </w:rPr>
      </w:pPr>
      <w:proofErr w:type="spellStart"/>
      <w:r w:rsidRPr="004E24BB">
        <w:rPr>
          <w:i/>
        </w:rPr>
        <w:t>Xeljanz</w:t>
      </w:r>
      <w:proofErr w:type="spellEnd"/>
      <w:r w:rsidRPr="004E24BB">
        <w:rPr>
          <w:i/>
        </w:rPr>
        <w:t xml:space="preserve"> is indicated for the treatment of moderate to severe active rheumatoid arthritis in adults who have had an inadequate response or are intolerant to methotrexate. </w:t>
      </w:r>
      <w:proofErr w:type="spellStart"/>
      <w:r w:rsidRPr="004E24BB">
        <w:rPr>
          <w:i/>
        </w:rPr>
        <w:t>Xeljanz</w:t>
      </w:r>
      <w:proofErr w:type="spellEnd"/>
      <w:r w:rsidRPr="004E24BB">
        <w:rPr>
          <w:i/>
        </w:rPr>
        <w:t xml:space="preserve"> con be used alone or </w:t>
      </w:r>
      <w:r>
        <w:rPr>
          <w:i/>
        </w:rPr>
        <w:t>in combination with non-biologica</w:t>
      </w:r>
      <w:r w:rsidRPr="004E24BB">
        <w:rPr>
          <w:i/>
        </w:rPr>
        <w:t xml:space="preserve">l </w:t>
      </w:r>
      <w:r>
        <w:rPr>
          <w:i/>
        </w:rPr>
        <w:t>d</w:t>
      </w:r>
      <w:r w:rsidRPr="00565B30">
        <w:rPr>
          <w:i/>
        </w:rPr>
        <w:t>isease-modifying anti</w:t>
      </w:r>
      <w:r>
        <w:rPr>
          <w:i/>
        </w:rPr>
        <w:t>-</w:t>
      </w:r>
      <w:r w:rsidRPr="00565B30">
        <w:rPr>
          <w:i/>
        </w:rPr>
        <w:t>rheumatic drugs</w:t>
      </w:r>
      <w:r>
        <w:rPr>
          <w:i/>
        </w:rPr>
        <w:t xml:space="preserve"> (</w:t>
      </w:r>
      <w:r w:rsidRPr="004E24BB">
        <w:rPr>
          <w:i/>
        </w:rPr>
        <w:t>DMARDs</w:t>
      </w:r>
      <w:r>
        <w:rPr>
          <w:i/>
        </w:rPr>
        <w:t>)</w:t>
      </w:r>
      <w:r w:rsidRPr="004E24BB">
        <w:rPr>
          <w:i/>
        </w:rPr>
        <w:t>, including methotrexate.</w:t>
      </w:r>
    </w:p>
    <w:p w14:paraId="250B086C" w14:textId="77777777" w:rsidR="00DD49C6" w:rsidRPr="00565B30" w:rsidRDefault="00DD49C6" w:rsidP="00DD49C6">
      <w:pPr>
        <w:ind w:left="720"/>
        <w:rPr>
          <w:i/>
        </w:rPr>
      </w:pPr>
      <w:r w:rsidRPr="00565B30">
        <w:rPr>
          <w:i/>
        </w:rPr>
        <w:t>Psoriatic Arthritis</w:t>
      </w:r>
    </w:p>
    <w:p w14:paraId="334EE0D1" w14:textId="77777777" w:rsidR="00DD49C6" w:rsidRPr="00DD49C6" w:rsidRDefault="00DD49C6" w:rsidP="00DD49C6">
      <w:pPr>
        <w:ind w:left="720"/>
        <w:rPr>
          <w:i/>
        </w:rPr>
      </w:pPr>
      <w:proofErr w:type="spellStart"/>
      <w:r w:rsidRPr="00565B30">
        <w:rPr>
          <w:i/>
        </w:rPr>
        <w:t>Xeljanz</w:t>
      </w:r>
      <w:proofErr w:type="spellEnd"/>
      <w:r w:rsidRPr="00565B30">
        <w:rPr>
          <w:i/>
        </w:rPr>
        <w:t xml:space="preserve"> in combination with conventional synthetic DMARDs is indicated for the treatment of active psoriatic arthritis in adult patients who have had an inadequate response to a prior DMARD therapy</w:t>
      </w:r>
    </w:p>
    <w:p w14:paraId="741373A3" w14:textId="77777777" w:rsidR="00940A89" w:rsidRDefault="00940A89" w:rsidP="004A0EDE">
      <w:r w:rsidRPr="00940A89">
        <w:t xml:space="preserve">At the time the TGA considered this application, a similar application had been approved </w:t>
      </w:r>
      <w:r w:rsidR="00565B30">
        <w:t>in EU (centralised procedure) 26 July 2018, USA 30 May 2018, Canada 11 September 2018</w:t>
      </w:r>
      <w:r w:rsidR="00FD40F3">
        <w:t xml:space="preserve"> and</w:t>
      </w:r>
      <w:r w:rsidRPr="00940A89">
        <w:t xml:space="preserve"> was under co</w:t>
      </w:r>
      <w:r w:rsidR="00565B30">
        <w:t xml:space="preserve">nsideration in </w:t>
      </w:r>
      <w:r w:rsidR="00FD40F3">
        <w:t>Switzerland</w:t>
      </w:r>
      <w:r w:rsidR="005F7896">
        <w:t xml:space="preserve"> (</w:t>
      </w:r>
      <w:r w:rsidR="005F4107">
        <w:fldChar w:fldCharType="begin"/>
      </w:r>
      <w:r w:rsidR="005F4107">
        <w:instrText xml:space="preserve"> REF _Ref15026606 \h </w:instrText>
      </w:r>
      <w:r w:rsidR="005F4107">
        <w:fldChar w:fldCharType="separate"/>
      </w:r>
      <w:r w:rsidR="005F4107">
        <w:t xml:space="preserve">Table </w:t>
      </w:r>
      <w:r w:rsidR="005F4107">
        <w:rPr>
          <w:noProof/>
        </w:rPr>
        <w:t>1</w:t>
      </w:r>
      <w:r w:rsidR="005F4107">
        <w:fldChar w:fldCharType="end"/>
      </w:r>
      <w:r w:rsidR="005F7896">
        <w:t>).</w:t>
      </w:r>
    </w:p>
    <w:p w14:paraId="29481985" w14:textId="77777777" w:rsidR="00296F38" w:rsidRDefault="005F4107" w:rsidP="005F4107">
      <w:pPr>
        <w:pStyle w:val="TableTitle"/>
      </w:pPr>
      <w:bookmarkStart w:id="21" w:name="_Ref15026606"/>
      <w:r>
        <w:t xml:space="preserve">Table </w:t>
      </w:r>
      <w:r w:rsidR="009870DC">
        <w:fldChar w:fldCharType="begin"/>
      </w:r>
      <w:r w:rsidR="009870DC">
        <w:instrText xml:space="preserve"> SEQ Table \* ARABIC </w:instrText>
      </w:r>
      <w:r w:rsidR="009870DC">
        <w:fldChar w:fldCharType="separate"/>
      </w:r>
      <w:r w:rsidR="004E5B1B">
        <w:rPr>
          <w:noProof/>
        </w:rPr>
        <w:t>1</w:t>
      </w:r>
      <w:r w:rsidR="009870DC">
        <w:rPr>
          <w:noProof/>
        </w:rPr>
        <w:fldChar w:fldCharType="end"/>
      </w:r>
      <w:bookmarkEnd w:id="21"/>
      <w:r w:rsidR="00296F38">
        <w:t>: Foreign regulatory status of similar applications as of 20 November 2018</w:t>
      </w:r>
    </w:p>
    <w:tbl>
      <w:tblPr>
        <w:tblStyle w:val="TableTGAblue"/>
        <w:tblW w:w="8645" w:type="dxa"/>
        <w:tblLook w:val="04A0" w:firstRow="1" w:lastRow="0" w:firstColumn="1" w:lastColumn="0" w:noHBand="0" w:noVBand="1"/>
      </w:tblPr>
      <w:tblGrid>
        <w:gridCol w:w="1583"/>
        <w:gridCol w:w="1657"/>
        <w:gridCol w:w="1486"/>
        <w:gridCol w:w="3919"/>
      </w:tblGrid>
      <w:tr w:rsidR="0001051B" w:rsidRPr="009870DC" w14:paraId="60053CA6" w14:textId="77777777" w:rsidTr="00C301AE">
        <w:trPr>
          <w:cnfStyle w:val="100000000000" w:firstRow="1" w:lastRow="0" w:firstColumn="0" w:lastColumn="0" w:oddVBand="0" w:evenVBand="0" w:oddHBand="0" w:evenHBand="0" w:firstRowFirstColumn="0" w:firstRowLastColumn="0" w:lastRowFirstColumn="0" w:lastRowLastColumn="0"/>
          <w:trHeight w:val="143"/>
        </w:trPr>
        <w:tc>
          <w:tcPr>
            <w:tcW w:w="1436" w:type="dxa"/>
          </w:tcPr>
          <w:p w14:paraId="4E07CCF8" w14:textId="77777777" w:rsidR="00FD40F3" w:rsidRPr="009870DC" w:rsidRDefault="00FD40F3" w:rsidP="009870DC">
            <w:pPr>
              <w:rPr>
                <w:sz w:val="20"/>
                <w:szCs w:val="20"/>
              </w:rPr>
            </w:pPr>
            <w:r w:rsidRPr="009870DC">
              <w:rPr>
                <w:sz w:val="20"/>
                <w:szCs w:val="20"/>
              </w:rPr>
              <w:t>Region</w:t>
            </w:r>
          </w:p>
        </w:tc>
        <w:tc>
          <w:tcPr>
            <w:tcW w:w="1067" w:type="dxa"/>
          </w:tcPr>
          <w:p w14:paraId="1C4F3524" w14:textId="77777777" w:rsidR="00FD40F3" w:rsidRPr="009870DC" w:rsidRDefault="00F6540F" w:rsidP="009870DC">
            <w:pPr>
              <w:rPr>
                <w:sz w:val="20"/>
                <w:szCs w:val="20"/>
              </w:rPr>
            </w:pPr>
            <w:r w:rsidRPr="009870DC">
              <w:rPr>
                <w:sz w:val="20"/>
                <w:szCs w:val="20"/>
              </w:rPr>
              <w:t>Submitted</w:t>
            </w:r>
          </w:p>
        </w:tc>
        <w:tc>
          <w:tcPr>
            <w:tcW w:w="1201" w:type="dxa"/>
          </w:tcPr>
          <w:p w14:paraId="25B660E6" w14:textId="77777777" w:rsidR="00FD40F3" w:rsidRPr="009870DC" w:rsidRDefault="00F6540F" w:rsidP="009870DC">
            <w:pPr>
              <w:rPr>
                <w:sz w:val="20"/>
                <w:szCs w:val="20"/>
              </w:rPr>
            </w:pPr>
            <w:r w:rsidRPr="009870DC">
              <w:rPr>
                <w:sz w:val="20"/>
                <w:szCs w:val="20"/>
              </w:rPr>
              <w:t>Status</w:t>
            </w:r>
          </w:p>
        </w:tc>
        <w:tc>
          <w:tcPr>
            <w:tcW w:w="4941" w:type="dxa"/>
          </w:tcPr>
          <w:p w14:paraId="60B02195" w14:textId="77777777" w:rsidR="00FD40F3" w:rsidRPr="009870DC" w:rsidRDefault="00296F38" w:rsidP="009870DC">
            <w:pPr>
              <w:rPr>
                <w:sz w:val="20"/>
                <w:szCs w:val="20"/>
              </w:rPr>
            </w:pPr>
            <w:r w:rsidRPr="009870DC">
              <w:rPr>
                <w:sz w:val="20"/>
                <w:szCs w:val="20"/>
              </w:rPr>
              <w:t>Indication</w:t>
            </w:r>
          </w:p>
        </w:tc>
      </w:tr>
      <w:tr w:rsidR="0001051B" w:rsidRPr="009870DC" w14:paraId="78888A84" w14:textId="77777777" w:rsidTr="00C301AE">
        <w:trPr>
          <w:trHeight w:val="143"/>
        </w:trPr>
        <w:tc>
          <w:tcPr>
            <w:tcW w:w="1436" w:type="dxa"/>
          </w:tcPr>
          <w:p w14:paraId="43F49F3F" w14:textId="77777777" w:rsidR="00FD40F3" w:rsidRPr="009870DC" w:rsidRDefault="00296F38" w:rsidP="009870DC">
            <w:pPr>
              <w:rPr>
                <w:sz w:val="20"/>
                <w:szCs w:val="20"/>
              </w:rPr>
            </w:pPr>
            <w:r w:rsidRPr="009870DC">
              <w:rPr>
                <w:sz w:val="20"/>
                <w:szCs w:val="20"/>
              </w:rPr>
              <w:t xml:space="preserve">EU (centralised </w:t>
            </w:r>
            <w:r w:rsidR="0001051B" w:rsidRPr="009870DC">
              <w:rPr>
                <w:sz w:val="20"/>
                <w:szCs w:val="20"/>
              </w:rPr>
              <w:t>procedure</w:t>
            </w:r>
            <w:r w:rsidRPr="009870DC">
              <w:rPr>
                <w:sz w:val="20"/>
                <w:szCs w:val="20"/>
              </w:rPr>
              <w:t>)</w:t>
            </w:r>
          </w:p>
        </w:tc>
        <w:tc>
          <w:tcPr>
            <w:tcW w:w="1067" w:type="dxa"/>
          </w:tcPr>
          <w:p w14:paraId="1A8DFFCB" w14:textId="715D9338" w:rsidR="00FD40F3" w:rsidRPr="009870DC" w:rsidRDefault="00A05036" w:rsidP="009870DC">
            <w:pPr>
              <w:rPr>
                <w:sz w:val="20"/>
                <w:szCs w:val="20"/>
              </w:rPr>
            </w:pPr>
            <w:r w:rsidRPr="009870DC">
              <w:rPr>
                <w:sz w:val="20"/>
                <w:szCs w:val="20"/>
              </w:rPr>
              <w:t>[Information redacted]</w:t>
            </w:r>
          </w:p>
        </w:tc>
        <w:tc>
          <w:tcPr>
            <w:tcW w:w="1201" w:type="dxa"/>
          </w:tcPr>
          <w:p w14:paraId="549AC24C" w14:textId="77777777" w:rsidR="00FD40F3" w:rsidRPr="009870DC" w:rsidRDefault="00F6540F" w:rsidP="009870DC">
            <w:pPr>
              <w:rPr>
                <w:sz w:val="20"/>
                <w:szCs w:val="20"/>
              </w:rPr>
            </w:pPr>
            <w:r w:rsidRPr="009870DC">
              <w:rPr>
                <w:sz w:val="20"/>
                <w:szCs w:val="20"/>
              </w:rPr>
              <w:t>Approved (26 July 2018)</w:t>
            </w:r>
          </w:p>
        </w:tc>
        <w:tc>
          <w:tcPr>
            <w:tcW w:w="4941" w:type="dxa"/>
          </w:tcPr>
          <w:p w14:paraId="501CB640" w14:textId="77777777" w:rsidR="00FD40F3" w:rsidRPr="009870DC" w:rsidRDefault="00296F38" w:rsidP="009870DC">
            <w:pPr>
              <w:rPr>
                <w:rFonts w:eastAsiaTheme="minorHAnsi" w:cs="TimesNewRomanPSMT"/>
                <w:i/>
                <w:sz w:val="20"/>
                <w:szCs w:val="20"/>
              </w:rPr>
            </w:pPr>
            <w:proofErr w:type="spellStart"/>
            <w:r w:rsidRPr="009870DC">
              <w:rPr>
                <w:rFonts w:eastAsiaTheme="minorHAnsi" w:cs="TimesNewRomanPSMT"/>
                <w:i/>
                <w:sz w:val="20"/>
                <w:szCs w:val="20"/>
              </w:rPr>
              <w:t>Tofacitinib</w:t>
            </w:r>
            <w:proofErr w:type="spellEnd"/>
            <w:r w:rsidRPr="009870DC">
              <w:rPr>
                <w:rFonts w:eastAsiaTheme="minorHAnsi" w:cs="TimesNewRomanPSMT"/>
                <w:i/>
                <w:sz w:val="20"/>
                <w:szCs w:val="20"/>
              </w:rPr>
              <w:t xml:space="preserve"> is indicated for the treatment of adult patients with moderately to severely active ulcerative colitis (UC) who have had an inadequate response, lost response, or were intolerant to either conventional therapy or a biologic agent (see section 5.1)</w:t>
            </w:r>
          </w:p>
        </w:tc>
      </w:tr>
      <w:tr w:rsidR="0001051B" w:rsidRPr="009870DC" w14:paraId="430DBF70" w14:textId="77777777" w:rsidTr="00C301AE">
        <w:trPr>
          <w:trHeight w:val="143"/>
        </w:trPr>
        <w:tc>
          <w:tcPr>
            <w:tcW w:w="1436" w:type="dxa"/>
          </w:tcPr>
          <w:p w14:paraId="2936DEEB" w14:textId="77777777" w:rsidR="00FD40F3" w:rsidRPr="009870DC" w:rsidRDefault="00296F38" w:rsidP="009870DC">
            <w:pPr>
              <w:rPr>
                <w:sz w:val="20"/>
                <w:szCs w:val="20"/>
              </w:rPr>
            </w:pPr>
            <w:r w:rsidRPr="009870DC">
              <w:rPr>
                <w:sz w:val="20"/>
                <w:szCs w:val="20"/>
              </w:rPr>
              <w:t>USA</w:t>
            </w:r>
          </w:p>
        </w:tc>
        <w:tc>
          <w:tcPr>
            <w:tcW w:w="1067" w:type="dxa"/>
          </w:tcPr>
          <w:p w14:paraId="3912A5AD" w14:textId="66170C79" w:rsidR="00FD40F3" w:rsidRPr="009870DC" w:rsidRDefault="00A05036" w:rsidP="009870DC">
            <w:pPr>
              <w:rPr>
                <w:sz w:val="20"/>
                <w:szCs w:val="20"/>
              </w:rPr>
            </w:pPr>
            <w:r w:rsidRPr="009870DC">
              <w:rPr>
                <w:sz w:val="20"/>
                <w:szCs w:val="20"/>
              </w:rPr>
              <w:t>[Information redacted]</w:t>
            </w:r>
          </w:p>
        </w:tc>
        <w:tc>
          <w:tcPr>
            <w:tcW w:w="1201" w:type="dxa"/>
          </w:tcPr>
          <w:p w14:paraId="1B6AC28E" w14:textId="77777777" w:rsidR="00FD40F3" w:rsidRPr="009870DC" w:rsidRDefault="00F6540F" w:rsidP="009870DC">
            <w:pPr>
              <w:rPr>
                <w:sz w:val="20"/>
                <w:szCs w:val="20"/>
              </w:rPr>
            </w:pPr>
            <w:r w:rsidRPr="009870DC">
              <w:rPr>
                <w:sz w:val="20"/>
                <w:szCs w:val="20"/>
              </w:rPr>
              <w:t>Approved (30 May 2018)</w:t>
            </w:r>
          </w:p>
        </w:tc>
        <w:tc>
          <w:tcPr>
            <w:tcW w:w="4941" w:type="dxa"/>
          </w:tcPr>
          <w:p w14:paraId="69B679DB" w14:textId="77777777" w:rsidR="00296F38" w:rsidRPr="009870DC" w:rsidRDefault="005F7896" w:rsidP="009870DC">
            <w:pPr>
              <w:rPr>
                <w:rFonts w:eastAsiaTheme="minorHAnsi" w:cs="TimesNewRomanPSMT"/>
                <w:i/>
                <w:sz w:val="20"/>
                <w:szCs w:val="20"/>
              </w:rPr>
            </w:pPr>
            <w:proofErr w:type="spellStart"/>
            <w:r w:rsidRPr="009870DC">
              <w:rPr>
                <w:rFonts w:eastAsiaTheme="minorHAnsi" w:cs="TimesNewRomanPSMT"/>
                <w:i/>
                <w:sz w:val="20"/>
                <w:szCs w:val="20"/>
              </w:rPr>
              <w:t>Xeljanz</w:t>
            </w:r>
            <w:proofErr w:type="spellEnd"/>
            <w:r w:rsidR="00296F38" w:rsidRPr="009870DC">
              <w:rPr>
                <w:rFonts w:eastAsiaTheme="minorHAnsi" w:cs="TimesNewRomanPSMT"/>
                <w:i/>
                <w:sz w:val="20"/>
                <w:szCs w:val="20"/>
              </w:rPr>
              <w:t xml:space="preserve"> is indicated for the treatment of adult patients with moderately to severely active ulcerative colitis (UC).</w:t>
            </w:r>
          </w:p>
          <w:p w14:paraId="186DB036" w14:textId="77777777" w:rsidR="00FD40F3" w:rsidRPr="009870DC" w:rsidRDefault="00296F38" w:rsidP="009870DC">
            <w:pPr>
              <w:rPr>
                <w:rFonts w:eastAsiaTheme="minorHAnsi" w:cs="TimesNewRomanPSMT"/>
                <w:sz w:val="20"/>
                <w:szCs w:val="20"/>
              </w:rPr>
            </w:pPr>
            <w:r w:rsidRPr="009870DC">
              <w:rPr>
                <w:rFonts w:eastAsiaTheme="minorHAnsi" w:cs="TimesNewRomanPSMT"/>
                <w:i/>
                <w:sz w:val="20"/>
                <w:szCs w:val="20"/>
              </w:rPr>
              <w:t xml:space="preserve">Limitations of Use: Use of </w:t>
            </w:r>
            <w:proofErr w:type="spellStart"/>
            <w:r w:rsidR="005F7896" w:rsidRPr="009870DC">
              <w:rPr>
                <w:rFonts w:eastAsiaTheme="minorHAnsi" w:cs="TimesNewRomanPSMT"/>
                <w:i/>
                <w:sz w:val="20"/>
                <w:szCs w:val="20"/>
              </w:rPr>
              <w:t>Xeljanz</w:t>
            </w:r>
            <w:proofErr w:type="spellEnd"/>
            <w:r w:rsidRPr="009870DC">
              <w:rPr>
                <w:rFonts w:eastAsiaTheme="minorHAnsi" w:cs="TimesNewRomanPSMT"/>
                <w:i/>
                <w:sz w:val="20"/>
                <w:szCs w:val="20"/>
              </w:rPr>
              <w:t xml:space="preserve"> in combination with biological therapies for UC or with potent </w:t>
            </w:r>
            <w:proofErr w:type="spellStart"/>
            <w:r w:rsidRPr="009870DC">
              <w:rPr>
                <w:rFonts w:eastAsiaTheme="minorHAnsi" w:cs="TimesNewRomanPSMT"/>
                <w:i/>
                <w:sz w:val="20"/>
                <w:szCs w:val="20"/>
              </w:rPr>
              <w:t>immunosuppressants</w:t>
            </w:r>
            <w:proofErr w:type="spellEnd"/>
            <w:r w:rsidRPr="009870DC">
              <w:rPr>
                <w:rFonts w:eastAsiaTheme="minorHAnsi" w:cs="TimesNewRomanPSMT"/>
                <w:i/>
                <w:sz w:val="20"/>
                <w:szCs w:val="20"/>
              </w:rPr>
              <w:t xml:space="preserve"> such as azathioprine and cyclosporine is not recommended.</w:t>
            </w:r>
          </w:p>
        </w:tc>
      </w:tr>
      <w:tr w:rsidR="0001051B" w:rsidRPr="009870DC" w14:paraId="35962492" w14:textId="77777777" w:rsidTr="00C301AE">
        <w:trPr>
          <w:trHeight w:val="143"/>
        </w:trPr>
        <w:tc>
          <w:tcPr>
            <w:tcW w:w="1436" w:type="dxa"/>
          </w:tcPr>
          <w:p w14:paraId="017611E5" w14:textId="77777777" w:rsidR="00FD40F3" w:rsidRPr="009870DC" w:rsidRDefault="00296F38" w:rsidP="009870DC">
            <w:pPr>
              <w:rPr>
                <w:sz w:val="20"/>
                <w:szCs w:val="20"/>
              </w:rPr>
            </w:pPr>
            <w:r w:rsidRPr="009870DC">
              <w:rPr>
                <w:sz w:val="20"/>
                <w:szCs w:val="20"/>
              </w:rPr>
              <w:lastRenderedPageBreak/>
              <w:t>Canada</w:t>
            </w:r>
          </w:p>
        </w:tc>
        <w:tc>
          <w:tcPr>
            <w:tcW w:w="1067" w:type="dxa"/>
          </w:tcPr>
          <w:p w14:paraId="29992861" w14:textId="1FA9195E" w:rsidR="00FD40F3" w:rsidRPr="009870DC" w:rsidRDefault="00A05036" w:rsidP="009870DC">
            <w:pPr>
              <w:rPr>
                <w:sz w:val="20"/>
                <w:szCs w:val="20"/>
              </w:rPr>
            </w:pPr>
            <w:r w:rsidRPr="009870DC">
              <w:rPr>
                <w:sz w:val="20"/>
                <w:szCs w:val="20"/>
              </w:rPr>
              <w:t>[Information redacted]</w:t>
            </w:r>
          </w:p>
        </w:tc>
        <w:tc>
          <w:tcPr>
            <w:tcW w:w="1201" w:type="dxa"/>
          </w:tcPr>
          <w:p w14:paraId="73AECED4" w14:textId="77777777" w:rsidR="00FD40F3" w:rsidRPr="009870DC" w:rsidRDefault="00F6540F" w:rsidP="009870DC">
            <w:pPr>
              <w:rPr>
                <w:sz w:val="20"/>
                <w:szCs w:val="20"/>
              </w:rPr>
            </w:pPr>
            <w:r w:rsidRPr="009870DC">
              <w:rPr>
                <w:sz w:val="20"/>
                <w:szCs w:val="20"/>
              </w:rPr>
              <w:t>Approved (</w:t>
            </w:r>
            <w:r w:rsidR="00296F38" w:rsidRPr="009870DC">
              <w:rPr>
                <w:sz w:val="20"/>
                <w:szCs w:val="20"/>
              </w:rPr>
              <w:t>11 September 2018</w:t>
            </w:r>
            <w:r w:rsidRPr="009870DC">
              <w:rPr>
                <w:sz w:val="20"/>
                <w:szCs w:val="20"/>
              </w:rPr>
              <w:t>)</w:t>
            </w:r>
          </w:p>
        </w:tc>
        <w:tc>
          <w:tcPr>
            <w:tcW w:w="4941" w:type="dxa"/>
          </w:tcPr>
          <w:p w14:paraId="14418C33" w14:textId="77777777" w:rsidR="00296F38" w:rsidRPr="009870DC" w:rsidRDefault="005F7896" w:rsidP="009870DC">
            <w:pPr>
              <w:rPr>
                <w:rFonts w:eastAsiaTheme="minorHAnsi" w:cs="TimesNewRomanPSMT"/>
                <w:i/>
                <w:sz w:val="20"/>
                <w:szCs w:val="20"/>
              </w:rPr>
            </w:pPr>
            <w:proofErr w:type="spellStart"/>
            <w:r w:rsidRPr="009870DC">
              <w:rPr>
                <w:rFonts w:eastAsiaTheme="minorHAnsi" w:cs="TimesNewRomanPSMT"/>
                <w:i/>
                <w:sz w:val="20"/>
                <w:szCs w:val="20"/>
              </w:rPr>
              <w:t>Xeljanz</w:t>
            </w:r>
            <w:proofErr w:type="spellEnd"/>
            <w:r w:rsidR="00296F38" w:rsidRPr="009870DC">
              <w:rPr>
                <w:rFonts w:eastAsiaTheme="minorHAnsi" w:cs="TimesNewRomanPSMT"/>
                <w:i/>
                <w:sz w:val="20"/>
                <w:szCs w:val="20"/>
              </w:rPr>
              <w:t xml:space="preserve"> (</w:t>
            </w:r>
            <w:proofErr w:type="spellStart"/>
            <w:r w:rsidR="00296F38" w:rsidRPr="009870DC">
              <w:rPr>
                <w:rFonts w:eastAsiaTheme="minorHAnsi" w:cs="TimesNewRomanPSMT"/>
                <w:i/>
                <w:sz w:val="20"/>
                <w:szCs w:val="20"/>
              </w:rPr>
              <w:t>tofacitinib</w:t>
            </w:r>
            <w:proofErr w:type="spellEnd"/>
            <w:r w:rsidR="00296F38" w:rsidRPr="009870DC">
              <w:rPr>
                <w:rFonts w:eastAsiaTheme="minorHAnsi" w:cs="TimesNewRomanPSMT"/>
                <w:i/>
                <w:sz w:val="20"/>
                <w:szCs w:val="20"/>
              </w:rPr>
              <w:t>) is indicated for the treatment of adult patients with moderately to severely active ulcerative colitis (UC) with an inadequate response, loss of response or intolerance to either conventional UC therapy or a TNF</w:t>
            </w:r>
            <w:r w:rsidR="00296F38" w:rsidRPr="009870DC">
              <w:rPr>
                <w:rFonts w:eastAsiaTheme="minorHAnsi" w:cs="SymbolMT"/>
                <w:i/>
                <w:sz w:val="20"/>
                <w:szCs w:val="20"/>
              </w:rPr>
              <w:t xml:space="preserve">α </w:t>
            </w:r>
            <w:r w:rsidR="00296F38" w:rsidRPr="009870DC">
              <w:rPr>
                <w:rFonts w:eastAsiaTheme="minorHAnsi" w:cs="TimesNewRomanPSMT"/>
                <w:i/>
                <w:sz w:val="20"/>
                <w:szCs w:val="20"/>
              </w:rPr>
              <w:t>inhibitor.</w:t>
            </w:r>
          </w:p>
          <w:p w14:paraId="31AC2F0F" w14:textId="77777777" w:rsidR="00FD40F3" w:rsidRPr="009870DC" w:rsidRDefault="00296F38" w:rsidP="009870DC">
            <w:pPr>
              <w:rPr>
                <w:rFonts w:eastAsiaTheme="minorHAnsi" w:cs="TimesNewRomanPSMT"/>
                <w:sz w:val="20"/>
                <w:szCs w:val="20"/>
              </w:rPr>
            </w:pPr>
            <w:r w:rsidRPr="009870DC">
              <w:rPr>
                <w:rFonts w:eastAsiaTheme="minorHAnsi" w:cs="TimesNewRomanPSMT"/>
                <w:i/>
                <w:sz w:val="20"/>
                <w:szCs w:val="20"/>
              </w:rPr>
              <w:t xml:space="preserve">Limitations of Use: Use of </w:t>
            </w:r>
            <w:proofErr w:type="spellStart"/>
            <w:r w:rsidR="005F7896" w:rsidRPr="009870DC">
              <w:rPr>
                <w:rFonts w:eastAsiaTheme="minorHAnsi" w:cs="TimesNewRomanPSMT"/>
                <w:i/>
                <w:sz w:val="20"/>
                <w:szCs w:val="20"/>
              </w:rPr>
              <w:t>Xeljanz</w:t>
            </w:r>
            <w:proofErr w:type="spellEnd"/>
            <w:r w:rsidR="0001051B" w:rsidRPr="009870DC">
              <w:rPr>
                <w:rFonts w:eastAsiaTheme="minorHAnsi" w:cs="TimesNewRomanPSMT"/>
                <w:i/>
                <w:sz w:val="20"/>
                <w:szCs w:val="20"/>
              </w:rPr>
              <w:t xml:space="preserve"> in combination with biological </w:t>
            </w:r>
            <w:r w:rsidRPr="009870DC">
              <w:rPr>
                <w:rFonts w:eastAsiaTheme="minorHAnsi" w:cs="TimesNewRomanPSMT"/>
                <w:i/>
                <w:sz w:val="20"/>
                <w:szCs w:val="20"/>
              </w:rPr>
              <w:t xml:space="preserve">UC therapies or with potent </w:t>
            </w:r>
            <w:proofErr w:type="spellStart"/>
            <w:r w:rsidRPr="009870DC">
              <w:rPr>
                <w:rFonts w:eastAsiaTheme="minorHAnsi" w:cs="TimesNewRomanPSMT"/>
                <w:i/>
                <w:sz w:val="20"/>
                <w:szCs w:val="20"/>
              </w:rPr>
              <w:t>immunosuppressants</w:t>
            </w:r>
            <w:proofErr w:type="spellEnd"/>
            <w:r w:rsidRPr="009870DC">
              <w:rPr>
                <w:rFonts w:eastAsiaTheme="minorHAnsi" w:cs="TimesNewRomanPSMT"/>
                <w:i/>
                <w:sz w:val="20"/>
                <w:szCs w:val="20"/>
              </w:rPr>
              <w:t xml:space="preserve"> such as azathioprine and cyclosporine is not recommended.</w:t>
            </w:r>
          </w:p>
        </w:tc>
      </w:tr>
      <w:tr w:rsidR="0001051B" w:rsidRPr="009870DC" w14:paraId="05106227" w14:textId="77777777" w:rsidTr="00C301AE">
        <w:trPr>
          <w:trHeight w:val="143"/>
        </w:trPr>
        <w:tc>
          <w:tcPr>
            <w:tcW w:w="1436" w:type="dxa"/>
          </w:tcPr>
          <w:p w14:paraId="5C05D1E0" w14:textId="77777777" w:rsidR="00FD40F3" w:rsidRPr="009870DC" w:rsidRDefault="0001051B" w:rsidP="009870DC">
            <w:pPr>
              <w:rPr>
                <w:sz w:val="20"/>
                <w:szCs w:val="20"/>
              </w:rPr>
            </w:pPr>
            <w:r w:rsidRPr="009870DC">
              <w:rPr>
                <w:sz w:val="20"/>
                <w:szCs w:val="20"/>
              </w:rPr>
              <w:t>Switzerland</w:t>
            </w:r>
          </w:p>
        </w:tc>
        <w:tc>
          <w:tcPr>
            <w:tcW w:w="1067" w:type="dxa"/>
          </w:tcPr>
          <w:p w14:paraId="66515A3C" w14:textId="0D67E7FC" w:rsidR="00FD40F3" w:rsidRPr="009870DC" w:rsidRDefault="00A05036" w:rsidP="009870DC">
            <w:pPr>
              <w:rPr>
                <w:sz w:val="20"/>
                <w:szCs w:val="20"/>
              </w:rPr>
            </w:pPr>
            <w:r w:rsidRPr="009870DC">
              <w:rPr>
                <w:sz w:val="20"/>
                <w:szCs w:val="20"/>
              </w:rPr>
              <w:t>[Information redacted]</w:t>
            </w:r>
          </w:p>
        </w:tc>
        <w:tc>
          <w:tcPr>
            <w:tcW w:w="1201" w:type="dxa"/>
          </w:tcPr>
          <w:p w14:paraId="59FFA429" w14:textId="77777777" w:rsidR="00FD40F3" w:rsidRPr="009870DC" w:rsidRDefault="00F6540F" w:rsidP="009870DC">
            <w:pPr>
              <w:rPr>
                <w:sz w:val="20"/>
                <w:szCs w:val="20"/>
              </w:rPr>
            </w:pPr>
            <w:r w:rsidRPr="009870DC">
              <w:rPr>
                <w:sz w:val="20"/>
                <w:szCs w:val="20"/>
              </w:rPr>
              <w:t>Under review</w:t>
            </w:r>
          </w:p>
        </w:tc>
        <w:tc>
          <w:tcPr>
            <w:tcW w:w="4941" w:type="dxa"/>
          </w:tcPr>
          <w:p w14:paraId="3F49961B" w14:textId="77777777" w:rsidR="00FD40F3" w:rsidRPr="009870DC" w:rsidRDefault="00847384" w:rsidP="009870DC">
            <w:pPr>
              <w:rPr>
                <w:rFonts w:eastAsiaTheme="minorHAnsi" w:cs="TimesNewRomanPSMT"/>
                <w:sz w:val="20"/>
                <w:szCs w:val="20"/>
              </w:rPr>
            </w:pPr>
            <w:r w:rsidRPr="009870DC">
              <w:rPr>
                <w:rFonts w:eastAsiaTheme="minorHAnsi" w:cs="TimesNewRomanPSMT"/>
                <w:sz w:val="20"/>
                <w:szCs w:val="20"/>
              </w:rPr>
              <w:t>Under review.</w:t>
            </w:r>
          </w:p>
        </w:tc>
      </w:tr>
    </w:tbl>
    <w:p w14:paraId="60922B90" w14:textId="77777777" w:rsidR="008E7846" w:rsidRDefault="008E7846" w:rsidP="00940A89">
      <w:pPr>
        <w:pStyle w:val="Heading3"/>
      </w:pPr>
      <w:bookmarkStart w:id="22" w:name="_Toc20301885"/>
      <w:r>
        <w:t>Product Information</w:t>
      </w:r>
      <w:bookmarkEnd w:id="19"/>
      <w:bookmarkEnd w:id="20"/>
      <w:bookmarkEnd w:id="22"/>
    </w:p>
    <w:p w14:paraId="629E1265" w14:textId="77777777"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653499C9" w14:textId="77777777" w:rsidR="00500337" w:rsidRDefault="00500337" w:rsidP="00500337">
      <w:pPr>
        <w:pStyle w:val="Heading2"/>
      </w:pPr>
      <w:bookmarkStart w:id="25" w:name="_Toc504480011"/>
      <w:bookmarkStart w:id="26" w:name="_Toc20301886"/>
      <w:r>
        <w:t>II. Registration time line</w:t>
      </w:r>
      <w:bookmarkEnd w:id="25"/>
      <w:bookmarkEnd w:id="26"/>
    </w:p>
    <w:p w14:paraId="2DFC9FD8" w14:textId="77777777" w:rsidR="00500337" w:rsidRDefault="005F4107" w:rsidP="00500337">
      <w:r>
        <w:fldChar w:fldCharType="begin"/>
      </w:r>
      <w:r>
        <w:instrText xml:space="preserve"> REF _Ref15026628 \h </w:instrText>
      </w:r>
      <w:r>
        <w:fldChar w:fldCharType="separate"/>
      </w:r>
      <w:r>
        <w:t xml:space="preserve">Table </w:t>
      </w:r>
      <w:r>
        <w:rPr>
          <w:noProof/>
        </w:rPr>
        <w:t>2</w:t>
      </w:r>
      <w:r>
        <w:fldChar w:fldCharType="end"/>
      </w:r>
      <w:r>
        <w:t xml:space="preserve"> </w:t>
      </w:r>
      <w:r w:rsidR="00500337">
        <w:t>captures the key steps and dates for this application and which are detailed and discussed in this AusPAR.</w:t>
      </w:r>
    </w:p>
    <w:p w14:paraId="4F8CE38E" w14:textId="77777777" w:rsidR="00500337" w:rsidRPr="00377BD4" w:rsidRDefault="005F4107" w:rsidP="005F4107">
      <w:pPr>
        <w:pStyle w:val="TableTitle"/>
      </w:pPr>
      <w:bookmarkStart w:id="27" w:name="_Ref15026628"/>
      <w:r>
        <w:t xml:space="preserve">Table </w:t>
      </w:r>
      <w:r w:rsidR="009870DC">
        <w:fldChar w:fldCharType="begin"/>
      </w:r>
      <w:r w:rsidR="009870DC">
        <w:instrText xml:space="preserve"> SEQ Table \* ARABIC </w:instrText>
      </w:r>
      <w:r w:rsidR="009870DC">
        <w:fldChar w:fldCharType="separate"/>
      </w:r>
      <w:r w:rsidR="004E5B1B">
        <w:rPr>
          <w:noProof/>
        </w:rPr>
        <w:t>2</w:t>
      </w:r>
      <w:r w:rsidR="009870DC">
        <w:rPr>
          <w:noProof/>
        </w:rPr>
        <w:fldChar w:fldCharType="end"/>
      </w:r>
      <w:bookmarkEnd w:id="27"/>
      <w:r w:rsidR="00864C03">
        <w:t>:</w:t>
      </w:r>
      <w:r w:rsidR="006A58A8" w:rsidRPr="006A58A8">
        <w:t xml:space="preserve"> Timeline for Submission PM-</w:t>
      </w:r>
      <w:r w:rsidR="0001051B">
        <w:t>2017-04764-1-1</w:t>
      </w:r>
    </w:p>
    <w:tbl>
      <w:tblPr>
        <w:tblStyle w:val="TableTGAblue"/>
        <w:tblW w:w="0" w:type="auto"/>
        <w:tblLook w:val="04A0" w:firstRow="1" w:lastRow="0" w:firstColumn="1" w:lastColumn="0" w:noHBand="0" w:noVBand="1"/>
      </w:tblPr>
      <w:tblGrid>
        <w:gridCol w:w="4786"/>
        <w:gridCol w:w="3334"/>
      </w:tblGrid>
      <w:tr w:rsidR="00500337" w:rsidRPr="009870DC" w14:paraId="48E18BDE" w14:textId="77777777" w:rsidTr="005F7896">
        <w:trPr>
          <w:cnfStyle w:val="100000000000" w:firstRow="1" w:lastRow="0" w:firstColumn="0" w:lastColumn="0" w:oddVBand="0" w:evenVBand="0" w:oddHBand="0" w:evenHBand="0" w:firstRowFirstColumn="0" w:firstRowLastColumn="0" w:lastRowFirstColumn="0" w:lastRowLastColumn="0"/>
          <w:cantSplit/>
          <w:trHeight w:val="495"/>
        </w:trPr>
        <w:tc>
          <w:tcPr>
            <w:tcW w:w="4786" w:type="dxa"/>
          </w:tcPr>
          <w:p w14:paraId="6B02A05D" w14:textId="77777777" w:rsidR="00500337" w:rsidRPr="009870DC" w:rsidRDefault="00500337" w:rsidP="009870DC">
            <w:pPr>
              <w:rPr>
                <w:sz w:val="20"/>
                <w:szCs w:val="20"/>
              </w:rPr>
            </w:pPr>
            <w:r w:rsidRPr="009870DC">
              <w:rPr>
                <w:sz w:val="20"/>
                <w:szCs w:val="20"/>
              </w:rPr>
              <w:t>Description</w:t>
            </w:r>
          </w:p>
        </w:tc>
        <w:tc>
          <w:tcPr>
            <w:tcW w:w="3334" w:type="dxa"/>
          </w:tcPr>
          <w:p w14:paraId="5ECF118F" w14:textId="77777777" w:rsidR="00500337" w:rsidRPr="009870DC" w:rsidRDefault="00500337" w:rsidP="009870DC">
            <w:pPr>
              <w:rPr>
                <w:sz w:val="20"/>
                <w:szCs w:val="20"/>
              </w:rPr>
            </w:pPr>
            <w:r w:rsidRPr="009870DC">
              <w:rPr>
                <w:sz w:val="20"/>
                <w:szCs w:val="20"/>
              </w:rPr>
              <w:t>Date</w:t>
            </w:r>
          </w:p>
        </w:tc>
      </w:tr>
      <w:tr w:rsidR="00500337" w:rsidRPr="009870DC" w14:paraId="1820D200" w14:textId="77777777" w:rsidTr="005F7896">
        <w:trPr>
          <w:trHeight w:val="749"/>
        </w:trPr>
        <w:tc>
          <w:tcPr>
            <w:tcW w:w="4786" w:type="dxa"/>
          </w:tcPr>
          <w:p w14:paraId="0FBF933A" w14:textId="77777777" w:rsidR="00500337" w:rsidRPr="009870DC" w:rsidRDefault="00500337" w:rsidP="009870DC">
            <w:pPr>
              <w:rPr>
                <w:sz w:val="20"/>
                <w:szCs w:val="20"/>
              </w:rPr>
            </w:pPr>
            <w:r w:rsidRPr="009870DC">
              <w:rPr>
                <w:sz w:val="20"/>
                <w:szCs w:val="20"/>
              </w:rPr>
              <w:t>Submission dossier accepted and first round evaluation commenced</w:t>
            </w:r>
          </w:p>
        </w:tc>
        <w:tc>
          <w:tcPr>
            <w:tcW w:w="3334" w:type="dxa"/>
          </w:tcPr>
          <w:p w14:paraId="437FC7CD" w14:textId="77777777" w:rsidR="00500337" w:rsidRPr="009870DC" w:rsidRDefault="0001051B" w:rsidP="009870DC">
            <w:pPr>
              <w:rPr>
                <w:sz w:val="20"/>
                <w:szCs w:val="20"/>
              </w:rPr>
            </w:pPr>
            <w:r w:rsidRPr="009870DC">
              <w:rPr>
                <w:sz w:val="20"/>
                <w:szCs w:val="20"/>
              </w:rPr>
              <w:t>31 January 2018</w:t>
            </w:r>
          </w:p>
        </w:tc>
      </w:tr>
      <w:tr w:rsidR="00500337" w:rsidRPr="009870DC" w14:paraId="32A4BF8C" w14:textId="77777777" w:rsidTr="005F7896">
        <w:trPr>
          <w:trHeight w:val="495"/>
        </w:trPr>
        <w:tc>
          <w:tcPr>
            <w:tcW w:w="4786" w:type="dxa"/>
          </w:tcPr>
          <w:p w14:paraId="3E250B43" w14:textId="77777777" w:rsidR="00500337" w:rsidRPr="009870DC" w:rsidRDefault="00500337" w:rsidP="009870DC">
            <w:pPr>
              <w:rPr>
                <w:sz w:val="20"/>
                <w:szCs w:val="20"/>
              </w:rPr>
            </w:pPr>
            <w:r w:rsidRPr="009870DC">
              <w:rPr>
                <w:sz w:val="20"/>
                <w:szCs w:val="20"/>
              </w:rPr>
              <w:t>First round evaluation completed</w:t>
            </w:r>
          </w:p>
        </w:tc>
        <w:tc>
          <w:tcPr>
            <w:tcW w:w="3334" w:type="dxa"/>
          </w:tcPr>
          <w:p w14:paraId="2E2DEB33" w14:textId="77777777" w:rsidR="00500337" w:rsidRPr="009870DC" w:rsidRDefault="0001051B" w:rsidP="009870DC">
            <w:pPr>
              <w:rPr>
                <w:sz w:val="20"/>
                <w:szCs w:val="20"/>
              </w:rPr>
            </w:pPr>
            <w:r w:rsidRPr="009870DC">
              <w:rPr>
                <w:sz w:val="20"/>
                <w:szCs w:val="20"/>
              </w:rPr>
              <w:t>29 June 2018</w:t>
            </w:r>
          </w:p>
        </w:tc>
      </w:tr>
      <w:tr w:rsidR="00500337" w:rsidRPr="009870DC" w14:paraId="5C2C4DCF" w14:textId="77777777" w:rsidTr="005F7896">
        <w:trPr>
          <w:trHeight w:val="760"/>
        </w:trPr>
        <w:tc>
          <w:tcPr>
            <w:tcW w:w="4786" w:type="dxa"/>
          </w:tcPr>
          <w:p w14:paraId="7555244A" w14:textId="77777777" w:rsidR="00500337" w:rsidRPr="009870DC" w:rsidRDefault="00500337" w:rsidP="009870DC">
            <w:pPr>
              <w:rPr>
                <w:sz w:val="20"/>
                <w:szCs w:val="20"/>
              </w:rPr>
            </w:pPr>
            <w:r w:rsidRPr="009870DC">
              <w:rPr>
                <w:sz w:val="20"/>
                <w:szCs w:val="20"/>
              </w:rPr>
              <w:t>Sponsor provides responses on questions raised in first round evaluation</w:t>
            </w:r>
          </w:p>
        </w:tc>
        <w:tc>
          <w:tcPr>
            <w:tcW w:w="3334" w:type="dxa"/>
          </w:tcPr>
          <w:p w14:paraId="5E5E2131" w14:textId="77777777" w:rsidR="00500337" w:rsidRPr="009870DC" w:rsidRDefault="0001051B" w:rsidP="009870DC">
            <w:pPr>
              <w:rPr>
                <w:sz w:val="20"/>
                <w:szCs w:val="20"/>
              </w:rPr>
            </w:pPr>
            <w:r w:rsidRPr="009870DC">
              <w:rPr>
                <w:sz w:val="20"/>
                <w:szCs w:val="20"/>
              </w:rPr>
              <w:t>30 August 2</w:t>
            </w:r>
            <w:r w:rsidR="00751C6F" w:rsidRPr="009870DC">
              <w:rPr>
                <w:sz w:val="20"/>
                <w:szCs w:val="20"/>
              </w:rPr>
              <w:t>018</w:t>
            </w:r>
          </w:p>
        </w:tc>
      </w:tr>
      <w:tr w:rsidR="00500337" w:rsidRPr="009870DC" w14:paraId="24A89928" w14:textId="77777777" w:rsidTr="005F7896">
        <w:trPr>
          <w:trHeight w:val="495"/>
        </w:trPr>
        <w:tc>
          <w:tcPr>
            <w:tcW w:w="4786" w:type="dxa"/>
          </w:tcPr>
          <w:p w14:paraId="2AB1E574" w14:textId="77777777" w:rsidR="00500337" w:rsidRPr="009870DC" w:rsidRDefault="00500337" w:rsidP="009870DC">
            <w:pPr>
              <w:rPr>
                <w:sz w:val="20"/>
                <w:szCs w:val="20"/>
              </w:rPr>
            </w:pPr>
            <w:r w:rsidRPr="009870DC">
              <w:rPr>
                <w:sz w:val="20"/>
                <w:szCs w:val="20"/>
              </w:rPr>
              <w:t>Second round evaluation completed</w:t>
            </w:r>
          </w:p>
        </w:tc>
        <w:tc>
          <w:tcPr>
            <w:tcW w:w="3334" w:type="dxa"/>
          </w:tcPr>
          <w:p w14:paraId="05BC5229" w14:textId="77777777" w:rsidR="00500337" w:rsidRPr="009870DC" w:rsidRDefault="00751C6F" w:rsidP="009870DC">
            <w:pPr>
              <w:rPr>
                <w:sz w:val="20"/>
                <w:szCs w:val="20"/>
              </w:rPr>
            </w:pPr>
            <w:r w:rsidRPr="009870DC">
              <w:rPr>
                <w:sz w:val="20"/>
                <w:szCs w:val="20"/>
              </w:rPr>
              <w:t>18 October 2018</w:t>
            </w:r>
          </w:p>
        </w:tc>
      </w:tr>
      <w:tr w:rsidR="00500337" w:rsidRPr="009870DC" w14:paraId="7EF516A9" w14:textId="77777777" w:rsidTr="005F7896">
        <w:trPr>
          <w:trHeight w:val="749"/>
        </w:trPr>
        <w:tc>
          <w:tcPr>
            <w:tcW w:w="4786" w:type="dxa"/>
          </w:tcPr>
          <w:p w14:paraId="73085816" w14:textId="77777777" w:rsidR="00500337" w:rsidRPr="009870DC" w:rsidRDefault="00500337" w:rsidP="009870DC">
            <w:pPr>
              <w:rPr>
                <w:sz w:val="20"/>
                <w:szCs w:val="20"/>
              </w:rPr>
            </w:pPr>
            <w:r w:rsidRPr="009870DC">
              <w:rPr>
                <w:sz w:val="20"/>
                <w:szCs w:val="20"/>
              </w:rPr>
              <w:t>Delegate’s Overall benefit-risk assessment and request for Advisory Committee advice</w:t>
            </w:r>
          </w:p>
        </w:tc>
        <w:tc>
          <w:tcPr>
            <w:tcW w:w="3334" w:type="dxa"/>
          </w:tcPr>
          <w:p w14:paraId="22284BEA" w14:textId="77777777" w:rsidR="00500337" w:rsidRPr="009870DC" w:rsidRDefault="00751C6F" w:rsidP="009870DC">
            <w:pPr>
              <w:rPr>
                <w:sz w:val="20"/>
                <w:szCs w:val="20"/>
              </w:rPr>
            </w:pPr>
            <w:r w:rsidRPr="009870DC">
              <w:rPr>
                <w:sz w:val="20"/>
                <w:szCs w:val="20"/>
              </w:rPr>
              <w:t>1 November 2018</w:t>
            </w:r>
          </w:p>
        </w:tc>
      </w:tr>
      <w:tr w:rsidR="00500337" w:rsidRPr="009870DC" w14:paraId="373920AC" w14:textId="77777777" w:rsidTr="005F7896">
        <w:trPr>
          <w:trHeight w:val="749"/>
        </w:trPr>
        <w:tc>
          <w:tcPr>
            <w:tcW w:w="4786" w:type="dxa"/>
          </w:tcPr>
          <w:p w14:paraId="1B735C9D" w14:textId="77777777" w:rsidR="00500337" w:rsidRPr="009870DC" w:rsidRDefault="00500337" w:rsidP="009870DC">
            <w:pPr>
              <w:rPr>
                <w:sz w:val="20"/>
                <w:szCs w:val="20"/>
              </w:rPr>
            </w:pPr>
            <w:r w:rsidRPr="009870DC">
              <w:rPr>
                <w:sz w:val="20"/>
                <w:szCs w:val="20"/>
              </w:rPr>
              <w:t>Sponsor’s pre-Advisory Committee response</w:t>
            </w:r>
          </w:p>
        </w:tc>
        <w:tc>
          <w:tcPr>
            <w:tcW w:w="3334" w:type="dxa"/>
          </w:tcPr>
          <w:p w14:paraId="33B4B965" w14:textId="77777777" w:rsidR="00500337" w:rsidRPr="009870DC" w:rsidRDefault="00751C6F" w:rsidP="009870DC">
            <w:pPr>
              <w:rPr>
                <w:sz w:val="20"/>
                <w:szCs w:val="20"/>
              </w:rPr>
            </w:pPr>
            <w:r w:rsidRPr="009870DC">
              <w:rPr>
                <w:sz w:val="20"/>
                <w:szCs w:val="20"/>
              </w:rPr>
              <w:t>20 November 2018</w:t>
            </w:r>
          </w:p>
        </w:tc>
      </w:tr>
      <w:tr w:rsidR="00500337" w:rsidRPr="009870DC" w14:paraId="6602F5A2" w14:textId="77777777" w:rsidTr="005F7896">
        <w:trPr>
          <w:trHeight w:val="495"/>
        </w:trPr>
        <w:tc>
          <w:tcPr>
            <w:tcW w:w="4786" w:type="dxa"/>
          </w:tcPr>
          <w:p w14:paraId="25A73D2E" w14:textId="77777777" w:rsidR="00500337" w:rsidRPr="009870DC" w:rsidRDefault="00500337" w:rsidP="009870DC">
            <w:pPr>
              <w:rPr>
                <w:sz w:val="20"/>
                <w:szCs w:val="20"/>
              </w:rPr>
            </w:pPr>
            <w:r w:rsidRPr="009870DC">
              <w:rPr>
                <w:sz w:val="20"/>
                <w:szCs w:val="20"/>
              </w:rPr>
              <w:t>Advisory Committee meeting</w:t>
            </w:r>
          </w:p>
        </w:tc>
        <w:tc>
          <w:tcPr>
            <w:tcW w:w="3334" w:type="dxa"/>
          </w:tcPr>
          <w:p w14:paraId="1BE2C742" w14:textId="77777777" w:rsidR="00500337" w:rsidRPr="009870DC" w:rsidRDefault="00751C6F" w:rsidP="009870DC">
            <w:pPr>
              <w:rPr>
                <w:sz w:val="20"/>
                <w:szCs w:val="20"/>
              </w:rPr>
            </w:pPr>
            <w:r w:rsidRPr="009870DC">
              <w:rPr>
                <w:sz w:val="20"/>
                <w:szCs w:val="20"/>
              </w:rPr>
              <w:t>6 December 2018</w:t>
            </w:r>
          </w:p>
        </w:tc>
      </w:tr>
      <w:tr w:rsidR="00500337" w:rsidRPr="009870DC" w14:paraId="77127BC5" w14:textId="77777777" w:rsidTr="005F7896">
        <w:trPr>
          <w:trHeight w:val="495"/>
        </w:trPr>
        <w:tc>
          <w:tcPr>
            <w:tcW w:w="4786" w:type="dxa"/>
          </w:tcPr>
          <w:p w14:paraId="1A962CB5" w14:textId="77777777" w:rsidR="00500337" w:rsidRPr="009870DC" w:rsidRDefault="00500337" w:rsidP="009870DC">
            <w:pPr>
              <w:rPr>
                <w:sz w:val="20"/>
                <w:szCs w:val="20"/>
              </w:rPr>
            </w:pPr>
            <w:r w:rsidRPr="009870DC">
              <w:rPr>
                <w:sz w:val="20"/>
                <w:szCs w:val="20"/>
              </w:rPr>
              <w:t>Registration decision (Outcome)</w:t>
            </w:r>
          </w:p>
        </w:tc>
        <w:tc>
          <w:tcPr>
            <w:tcW w:w="3334" w:type="dxa"/>
          </w:tcPr>
          <w:p w14:paraId="0E3DE1F7" w14:textId="77777777" w:rsidR="00500337" w:rsidRPr="009870DC" w:rsidRDefault="00751C6F" w:rsidP="009870DC">
            <w:pPr>
              <w:rPr>
                <w:sz w:val="20"/>
                <w:szCs w:val="20"/>
              </w:rPr>
            </w:pPr>
            <w:r w:rsidRPr="009870DC">
              <w:rPr>
                <w:sz w:val="20"/>
                <w:szCs w:val="20"/>
              </w:rPr>
              <w:t>11 February 2019</w:t>
            </w:r>
          </w:p>
        </w:tc>
      </w:tr>
      <w:tr w:rsidR="00500337" w:rsidRPr="009870DC" w14:paraId="25206CFD" w14:textId="77777777" w:rsidTr="005F7896">
        <w:trPr>
          <w:trHeight w:val="749"/>
        </w:trPr>
        <w:tc>
          <w:tcPr>
            <w:tcW w:w="4786" w:type="dxa"/>
          </w:tcPr>
          <w:p w14:paraId="1B2339DE" w14:textId="77777777" w:rsidR="00500337" w:rsidRPr="009870DC" w:rsidRDefault="00500337" w:rsidP="009870DC">
            <w:pPr>
              <w:rPr>
                <w:sz w:val="20"/>
                <w:szCs w:val="20"/>
              </w:rPr>
            </w:pPr>
            <w:r w:rsidRPr="009870DC">
              <w:rPr>
                <w:sz w:val="20"/>
                <w:szCs w:val="20"/>
              </w:rPr>
              <w:lastRenderedPageBreak/>
              <w:t>Completion of administrative activities and registration on ARTG</w:t>
            </w:r>
          </w:p>
        </w:tc>
        <w:tc>
          <w:tcPr>
            <w:tcW w:w="3334" w:type="dxa"/>
          </w:tcPr>
          <w:p w14:paraId="316FB285" w14:textId="77777777" w:rsidR="00500337" w:rsidRPr="009870DC" w:rsidRDefault="00751C6F" w:rsidP="009870DC">
            <w:pPr>
              <w:rPr>
                <w:sz w:val="20"/>
                <w:szCs w:val="20"/>
              </w:rPr>
            </w:pPr>
            <w:r w:rsidRPr="009870DC">
              <w:rPr>
                <w:sz w:val="20"/>
                <w:szCs w:val="20"/>
              </w:rPr>
              <w:t>19 February 20</w:t>
            </w:r>
            <w:r w:rsidR="006A3836" w:rsidRPr="009870DC">
              <w:rPr>
                <w:sz w:val="20"/>
                <w:szCs w:val="20"/>
              </w:rPr>
              <w:t>1</w:t>
            </w:r>
            <w:r w:rsidRPr="009870DC">
              <w:rPr>
                <w:sz w:val="20"/>
                <w:szCs w:val="20"/>
              </w:rPr>
              <w:t>9</w:t>
            </w:r>
          </w:p>
        </w:tc>
      </w:tr>
      <w:tr w:rsidR="00500337" w:rsidRPr="009870DC" w14:paraId="7C651863" w14:textId="77777777" w:rsidTr="005F7896">
        <w:trPr>
          <w:trHeight w:val="772"/>
        </w:trPr>
        <w:tc>
          <w:tcPr>
            <w:tcW w:w="4786" w:type="dxa"/>
          </w:tcPr>
          <w:p w14:paraId="6801E320" w14:textId="77777777" w:rsidR="00500337" w:rsidRPr="009870DC" w:rsidRDefault="00500337" w:rsidP="009870DC">
            <w:pPr>
              <w:rPr>
                <w:sz w:val="20"/>
                <w:szCs w:val="20"/>
              </w:rPr>
            </w:pPr>
            <w:r w:rsidRPr="009870DC">
              <w:rPr>
                <w:sz w:val="20"/>
                <w:szCs w:val="20"/>
              </w:rPr>
              <w:t>Number of working days from submission dossier acceptance to registration decision*</w:t>
            </w:r>
          </w:p>
        </w:tc>
        <w:tc>
          <w:tcPr>
            <w:tcW w:w="3334" w:type="dxa"/>
          </w:tcPr>
          <w:p w14:paraId="2B732BD3" w14:textId="77777777" w:rsidR="00500337" w:rsidRPr="009870DC" w:rsidRDefault="00751C6F" w:rsidP="009870DC">
            <w:pPr>
              <w:rPr>
                <w:sz w:val="20"/>
                <w:szCs w:val="20"/>
              </w:rPr>
            </w:pPr>
            <w:r w:rsidRPr="009870DC">
              <w:rPr>
                <w:sz w:val="20"/>
                <w:szCs w:val="20"/>
              </w:rPr>
              <w:t>195</w:t>
            </w:r>
          </w:p>
        </w:tc>
      </w:tr>
    </w:tbl>
    <w:p w14:paraId="4D658CE5"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4BDAFBA4" w14:textId="77777777" w:rsidR="00500337" w:rsidRDefault="00500337" w:rsidP="00500337">
      <w:r>
        <w:t>Evaluations included under Quality findings and Nonclinical findings incorporate both the first and second round evaluations.</w:t>
      </w:r>
    </w:p>
    <w:p w14:paraId="2AF4A33D" w14:textId="77777777" w:rsidR="008E7846" w:rsidRPr="003602A9" w:rsidRDefault="00500337" w:rsidP="008E7846">
      <w:pPr>
        <w:pStyle w:val="Heading2"/>
        <w:ind w:left="-11"/>
      </w:pPr>
      <w:bookmarkStart w:id="28" w:name="_Toc20301887"/>
      <w:r>
        <w:t>I</w:t>
      </w:r>
      <w:r w:rsidR="008E7846">
        <w:t>II. Quality</w:t>
      </w:r>
      <w:bookmarkEnd w:id="1"/>
      <w:r w:rsidR="008E7846">
        <w:t xml:space="preserve"> findings</w:t>
      </w:r>
      <w:bookmarkEnd w:id="23"/>
      <w:bookmarkEnd w:id="24"/>
      <w:bookmarkEnd w:id="28"/>
    </w:p>
    <w:p w14:paraId="06271AC7" w14:textId="77777777" w:rsidR="00940A89" w:rsidRPr="004A24E0" w:rsidRDefault="00940A89" w:rsidP="00940A89">
      <w:pPr>
        <w:pStyle w:val="Heading3"/>
        <w:rPr>
          <w:rFonts w:ascii="Cambria" w:eastAsia="Cambria" w:hAnsi="Cambria"/>
          <w:b w:val="0"/>
          <w:bCs w:val="0"/>
          <w:szCs w:val="22"/>
        </w:rPr>
      </w:pPr>
      <w:bookmarkStart w:id="29" w:name="_Toc247691507"/>
      <w:bookmarkStart w:id="30" w:name="_Toc314842488"/>
      <w:bookmarkStart w:id="31" w:name="_Toc20301888"/>
      <w:r w:rsidRPr="00940A89">
        <w:t>Introduction</w:t>
      </w:r>
      <w:bookmarkEnd w:id="31"/>
    </w:p>
    <w:p w14:paraId="253AFFF0" w14:textId="2B93A6E6" w:rsidR="008B3D2E" w:rsidRPr="005F7896" w:rsidRDefault="005F7896" w:rsidP="005F7896">
      <w:r>
        <w:t>The sponsor</w:t>
      </w:r>
      <w:r w:rsidR="004A0EDE">
        <w:t xml:space="preserve"> has submitted an </w:t>
      </w:r>
      <w:r w:rsidR="008B3D2E" w:rsidRPr="005F7896">
        <w:t xml:space="preserve">application to register a new strength of the already registered </w:t>
      </w:r>
      <w:proofErr w:type="spellStart"/>
      <w:r w:rsidRPr="005F7896">
        <w:t>Xeljanz</w:t>
      </w:r>
      <w:proofErr w:type="spellEnd"/>
      <w:r w:rsidR="008B3D2E" w:rsidRPr="005F7896">
        <w:t xml:space="preserve"> </w:t>
      </w:r>
      <w:r w:rsidRPr="005F7896">
        <w:t>(</w:t>
      </w:r>
      <w:proofErr w:type="spellStart"/>
      <w:r>
        <w:t>tofacitinib</w:t>
      </w:r>
      <w:proofErr w:type="spellEnd"/>
      <w:r>
        <w:t xml:space="preserve"> </w:t>
      </w:r>
      <w:r w:rsidR="008B3D2E" w:rsidRPr="005F7896">
        <w:t>as citrate</w:t>
      </w:r>
      <w:r>
        <w:t xml:space="preserve">) 5 mg film coated tablet, </w:t>
      </w:r>
      <w:r w:rsidR="00A05036">
        <w:t>blister pack</w:t>
      </w:r>
      <w:r>
        <w:t xml:space="preserve"> (ARTG 196987) and </w:t>
      </w:r>
      <w:r w:rsidR="00A05036">
        <w:t>bottle</w:t>
      </w:r>
      <w:r>
        <w:t xml:space="preserve"> (ARTG 233439)</w:t>
      </w:r>
      <w:r w:rsidR="008B3D2E" w:rsidRPr="005F7896">
        <w:t>. This is part of an application for an e</w:t>
      </w:r>
      <w:r w:rsidR="004A0EDE">
        <w:t>xtension of indications</w:t>
      </w:r>
      <w:r>
        <w:t>.</w:t>
      </w:r>
    </w:p>
    <w:p w14:paraId="63796424" w14:textId="77777777" w:rsidR="008B3D2E" w:rsidRPr="005F7896" w:rsidRDefault="008B3D2E" w:rsidP="005F7896">
      <w:r w:rsidRPr="005F7896">
        <w:t xml:space="preserve">There are no </w:t>
      </w:r>
      <w:proofErr w:type="spellStart"/>
      <w:r w:rsidRPr="005F7896">
        <w:t>pharmacopoeial</w:t>
      </w:r>
      <w:proofErr w:type="spellEnd"/>
      <w:r w:rsidRPr="005F7896">
        <w:t xml:space="preserve"> monographs for the </w:t>
      </w:r>
      <w:r w:rsidR="005F7896">
        <w:t>active ingredient</w:t>
      </w:r>
      <w:r w:rsidRPr="005F7896">
        <w:t xml:space="preserve"> or finished product.</w:t>
      </w:r>
    </w:p>
    <w:p w14:paraId="43039DA2" w14:textId="77777777" w:rsidR="008E7846" w:rsidRDefault="008E7846" w:rsidP="00940A89">
      <w:pPr>
        <w:pStyle w:val="Heading3"/>
      </w:pPr>
      <w:bookmarkStart w:id="32" w:name="_Toc20301889"/>
      <w:r w:rsidRPr="008751DC">
        <w:t xml:space="preserve">Drug </w:t>
      </w:r>
      <w:r>
        <w:t>s</w:t>
      </w:r>
      <w:r w:rsidRPr="008751DC">
        <w:t>ubstance</w:t>
      </w:r>
      <w:r>
        <w:t xml:space="preserve"> (active ingredient)</w:t>
      </w:r>
      <w:bookmarkEnd w:id="29"/>
      <w:bookmarkEnd w:id="30"/>
      <w:bookmarkEnd w:id="32"/>
    </w:p>
    <w:p w14:paraId="7CC3208C" w14:textId="77777777" w:rsidR="008E7846" w:rsidRPr="008B3D2E" w:rsidRDefault="008B3D2E" w:rsidP="00C550AF">
      <w:r w:rsidRPr="007D100F">
        <w:t xml:space="preserve">No change in </w:t>
      </w:r>
      <w:r w:rsidR="005F7896">
        <w:t>drug s</w:t>
      </w:r>
      <w:r w:rsidRPr="007D100F">
        <w:t>ubstance manufacture by the product manufacturer has been introduce</w:t>
      </w:r>
      <w:r>
        <w:t>d since the initial assessment.</w:t>
      </w:r>
    </w:p>
    <w:p w14:paraId="64C48CC0" w14:textId="77777777" w:rsidR="008E7846" w:rsidRDefault="008E7846" w:rsidP="008E7846">
      <w:pPr>
        <w:pStyle w:val="Heading3"/>
      </w:pPr>
      <w:bookmarkStart w:id="33" w:name="_Toc247691508"/>
      <w:bookmarkStart w:id="34" w:name="_Toc314842490"/>
      <w:bookmarkStart w:id="35" w:name="_Toc20301890"/>
      <w:r w:rsidRPr="008751DC">
        <w:t xml:space="preserve">Drug </w:t>
      </w:r>
      <w:r>
        <w:t>p</w:t>
      </w:r>
      <w:r w:rsidRPr="008751DC">
        <w:t>roduct</w:t>
      </w:r>
      <w:bookmarkEnd w:id="33"/>
      <w:bookmarkEnd w:id="34"/>
      <w:bookmarkEnd w:id="35"/>
    </w:p>
    <w:p w14:paraId="63587F2F" w14:textId="77777777" w:rsidR="00940A89" w:rsidRDefault="004A0EDE" w:rsidP="00C550AF">
      <w:r>
        <w:t>The sponsor</w:t>
      </w:r>
      <w:r w:rsidR="008B3D2E" w:rsidRPr="00C550AF">
        <w:t xml:space="preserve"> states that the 10 mg and 5 mg tablets are manufactured from a common blend using the same manufacturing process. The two strengths are quantitatively proportional and are differentiated by colour and debossing.</w:t>
      </w:r>
    </w:p>
    <w:p w14:paraId="55141B52" w14:textId="207A3550" w:rsidR="004A0EDE" w:rsidRPr="00C550AF" w:rsidRDefault="004A0EDE" w:rsidP="00C550AF">
      <w:r w:rsidRPr="005F7896">
        <w:t>The proposed drug product (10 mg table</w:t>
      </w:r>
      <w:r>
        <w:t xml:space="preserve">ts) are blue, film </w:t>
      </w:r>
      <w:r w:rsidRPr="005F7896">
        <w:t xml:space="preserve">coated, round tablets debossed with </w:t>
      </w:r>
      <w:r w:rsidR="00285A20">
        <w:t>‘</w:t>
      </w:r>
      <w:r w:rsidRPr="005F7896">
        <w:t>Pfizer</w:t>
      </w:r>
      <w:r w:rsidR="00285A20">
        <w:t>’</w:t>
      </w:r>
      <w:r w:rsidRPr="005F7896">
        <w:t xml:space="preserve"> on one side and </w:t>
      </w:r>
      <w:r w:rsidR="00285A20">
        <w:t>‘</w:t>
      </w:r>
      <w:r w:rsidRPr="005F7896">
        <w:t>JKI 10</w:t>
      </w:r>
      <w:r w:rsidR="00285A20">
        <w:t>’</w:t>
      </w:r>
      <w:r w:rsidRPr="005F7896">
        <w:t xml:space="preserve"> on the other. The proposed drug product will be packaged in </w:t>
      </w:r>
      <w:r>
        <w:t xml:space="preserve">high </w:t>
      </w:r>
      <w:r w:rsidRPr="004A0EDE">
        <w:t>density polyethylene</w:t>
      </w:r>
      <w:r>
        <w:t xml:space="preserve"> </w:t>
      </w:r>
      <w:r w:rsidRPr="005F7896">
        <w:t>bottles with desiccant and induction seal, or in aluminium foil/foil blisters. Th</w:t>
      </w:r>
      <w:r>
        <w:t xml:space="preserve">e blue 10 mg tablets are colour </w:t>
      </w:r>
      <w:r w:rsidR="000D2426">
        <w:t>differentiated from white 5 </w:t>
      </w:r>
      <w:r w:rsidRPr="005F7896">
        <w:t>mg tablets.</w:t>
      </w:r>
    </w:p>
    <w:p w14:paraId="7F68EC2E" w14:textId="77777777" w:rsidR="008E7846" w:rsidRPr="008751DC" w:rsidRDefault="008E7846" w:rsidP="008E7846">
      <w:pPr>
        <w:pStyle w:val="Heading3"/>
      </w:pPr>
      <w:bookmarkStart w:id="36" w:name="_Toc247691509"/>
      <w:bookmarkStart w:id="37" w:name="_Toc314842493"/>
      <w:bookmarkStart w:id="38" w:name="_Toc20301891"/>
      <w:r>
        <w:t>Quality s</w:t>
      </w:r>
      <w:r w:rsidRPr="008751DC">
        <w:t>ummary</w:t>
      </w:r>
      <w:r>
        <w:t xml:space="preserve"> and conclusions</w:t>
      </w:r>
      <w:bookmarkEnd w:id="36"/>
      <w:bookmarkEnd w:id="37"/>
      <w:bookmarkEnd w:id="38"/>
    </w:p>
    <w:p w14:paraId="7739A747" w14:textId="77777777" w:rsidR="00C550AF" w:rsidRPr="00C550AF" w:rsidRDefault="00C550AF" w:rsidP="005F7896">
      <w:r w:rsidRPr="004232B8">
        <w:t xml:space="preserve">Approval for registration of the proposed </w:t>
      </w:r>
      <w:r>
        <w:t xml:space="preserve">10 mg </w:t>
      </w:r>
      <w:r w:rsidRPr="004232B8">
        <w:t xml:space="preserve">product </w:t>
      </w:r>
      <w:r w:rsidRPr="00C550AF">
        <w:t>is recommended</w:t>
      </w:r>
      <w:r w:rsidRPr="004232B8">
        <w:t xml:space="preserve"> from a pharmaceutical chemistry perspective. The following details relate to the application.</w:t>
      </w:r>
    </w:p>
    <w:p w14:paraId="79D357AF" w14:textId="77777777" w:rsidR="005F7896" w:rsidRDefault="005F7896" w:rsidP="005F7896">
      <w:pPr>
        <w:pStyle w:val="ListBullet"/>
      </w:pPr>
      <w:r>
        <w:t>No change in drug s</w:t>
      </w:r>
      <w:r w:rsidR="00C550AF" w:rsidRPr="004232B8">
        <w:t>ubstance manufacture or control by the product manufacturer has been introduced since the initial assessment</w:t>
      </w:r>
      <w:r>
        <w:t>.</w:t>
      </w:r>
    </w:p>
    <w:p w14:paraId="3BD7CF62" w14:textId="78381D6F" w:rsidR="005F7896" w:rsidRDefault="004A24E0" w:rsidP="005F7896">
      <w:pPr>
        <w:pStyle w:val="ListBullet"/>
      </w:pPr>
      <w:r>
        <w:t xml:space="preserve">A shelf </w:t>
      </w:r>
      <w:r w:rsidR="00C550AF" w:rsidRPr="004232B8">
        <w:t xml:space="preserve">life of </w:t>
      </w:r>
      <w:r w:rsidR="00C550AF" w:rsidRPr="00C550AF">
        <w:t>36 months</w:t>
      </w:r>
      <w:r w:rsidR="00C550AF" w:rsidRPr="004232B8">
        <w:t xml:space="preserve"> with the storage condition</w:t>
      </w:r>
      <w:r w:rsidR="00C550AF" w:rsidRPr="00C550AF">
        <w:t xml:space="preserve">, </w:t>
      </w:r>
      <w:r w:rsidR="00285A20">
        <w:t>‘</w:t>
      </w:r>
      <w:r w:rsidR="00C550AF" w:rsidRPr="00C550AF">
        <w:t>store below 30°C</w:t>
      </w:r>
      <w:r w:rsidR="00285A20">
        <w:t>’</w:t>
      </w:r>
      <w:r w:rsidR="00C550AF" w:rsidRPr="004232B8">
        <w:t xml:space="preserve"> </w:t>
      </w:r>
      <w:r w:rsidR="00C550AF" w:rsidRPr="004232B8">
        <w:rPr>
          <w:lang w:eastAsia="en-AU"/>
        </w:rPr>
        <w:t>is recommended</w:t>
      </w:r>
      <w:r w:rsidR="005F7896">
        <w:t>.</w:t>
      </w:r>
    </w:p>
    <w:p w14:paraId="613BB159" w14:textId="77777777" w:rsidR="005F7896" w:rsidRDefault="00C550AF" w:rsidP="005F7896">
      <w:pPr>
        <w:pStyle w:val="ListBullet"/>
      </w:pPr>
      <w:r w:rsidRPr="004232B8">
        <w:t xml:space="preserve">The </w:t>
      </w:r>
      <w:r w:rsidRPr="00C550AF">
        <w:t>labels</w:t>
      </w:r>
      <w:r w:rsidRPr="004232B8">
        <w:t xml:space="preserve"> of the drug products are acceptable from </w:t>
      </w:r>
      <w:r w:rsidR="005F7896">
        <w:t>a TGA</w:t>
      </w:r>
      <w:r w:rsidRPr="004232B8">
        <w:t xml:space="preserve"> perspective</w:t>
      </w:r>
      <w:r w:rsidR="005F7896">
        <w:t>.</w:t>
      </w:r>
    </w:p>
    <w:p w14:paraId="4A0F9FDD" w14:textId="77777777" w:rsidR="005F7896" w:rsidRDefault="00C550AF" w:rsidP="005F7896">
      <w:pPr>
        <w:pStyle w:val="ListBullet"/>
      </w:pPr>
      <w:r w:rsidRPr="004232B8">
        <w:lastRenderedPageBreak/>
        <w:t xml:space="preserve">The finished product </w:t>
      </w:r>
      <w:r w:rsidR="004A24E0">
        <w:t>s</w:t>
      </w:r>
      <w:r w:rsidRPr="00C550AF">
        <w:t>pecification</w:t>
      </w:r>
      <w:r w:rsidRPr="004232B8">
        <w:t xml:space="preserve"> for </w:t>
      </w:r>
      <w:proofErr w:type="spellStart"/>
      <w:r>
        <w:t>Xeljanz</w:t>
      </w:r>
      <w:proofErr w:type="spellEnd"/>
      <w:r w:rsidRPr="004232B8">
        <w:rPr>
          <w:b/>
          <w:i/>
        </w:rPr>
        <w:t xml:space="preserve"> </w:t>
      </w:r>
      <w:proofErr w:type="spellStart"/>
      <w:r w:rsidRPr="004232B8">
        <w:t>tofa</w:t>
      </w:r>
      <w:r w:rsidR="004A24E0">
        <w:t>citinib</w:t>
      </w:r>
      <w:proofErr w:type="spellEnd"/>
      <w:r w:rsidR="004A24E0">
        <w:t xml:space="preserve"> (as citrate) 10 mg film </w:t>
      </w:r>
      <w:r w:rsidRPr="004232B8">
        <w:t xml:space="preserve">coated tablet is acceptable from </w:t>
      </w:r>
      <w:r w:rsidR="005F7896">
        <w:t>a TGA</w:t>
      </w:r>
      <w:r w:rsidRPr="004232B8">
        <w:t xml:space="preserve"> perspective</w:t>
      </w:r>
      <w:r w:rsidR="005F7896">
        <w:t>.</w:t>
      </w:r>
    </w:p>
    <w:p w14:paraId="5474B6C7" w14:textId="77777777" w:rsidR="005F7896" w:rsidRDefault="00C550AF" w:rsidP="005F7896">
      <w:pPr>
        <w:pStyle w:val="ListBullet"/>
        <w:rPr>
          <w:bCs/>
        </w:rPr>
      </w:pPr>
      <w:r w:rsidRPr="004232B8">
        <w:t xml:space="preserve">The proposed trade name </w:t>
      </w:r>
      <w:bookmarkStart w:id="39" w:name="1.3.3_Label_mock-ups_and_specimens"/>
      <w:bookmarkEnd w:id="39"/>
      <w:proofErr w:type="spellStart"/>
      <w:r w:rsidR="005F7896">
        <w:t>Xeljanz</w:t>
      </w:r>
      <w:proofErr w:type="spellEnd"/>
      <w:r w:rsidRPr="004232B8">
        <w:rPr>
          <w:bCs/>
        </w:rPr>
        <w:t xml:space="preserve"> is already registered</w:t>
      </w:r>
      <w:r w:rsidR="005F7896">
        <w:rPr>
          <w:bCs/>
        </w:rPr>
        <w:t>.</w:t>
      </w:r>
    </w:p>
    <w:p w14:paraId="1C94D3CD" w14:textId="77777777" w:rsidR="00C550AF" w:rsidRPr="004232B8" w:rsidRDefault="004A24E0" w:rsidP="005F7896">
      <w:pPr>
        <w:pStyle w:val="ListBullet"/>
      </w:pPr>
      <w:r>
        <w:t>The p</w:t>
      </w:r>
      <w:r w:rsidR="004A0EDE">
        <w:t>rovisional ARTG r</w:t>
      </w:r>
      <w:r w:rsidR="00C550AF" w:rsidRPr="004232B8">
        <w:t xml:space="preserve">ecords have been </w:t>
      </w:r>
      <w:r w:rsidR="00C550AF">
        <w:t xml:space="preserve">amended </w:t>
      </w:r>
      <w:r w:rsidR="00C550AF" w:rsidRPr="004232B8">
        <w:t xml:space="preserve">by the evaluator </w:t>
      </w:r>
      <w:r w:rsidR="00C550AF">
        <w:t>after verification by the sponsor</w:t>
      </w:r>
      <w:r w:rsidR="003F0C94">
        <w:t>.</w:t>
      </w:r>
    </w:p>
    <w:p w14:paraId="148E1B58" w14:textId="77777777" w:rsidR="005F7896" w:rsidRDefault="00C550AF" w:rsidP="005F7896">
      <w:pPr>
        <w:pStyle w:val="ListBullet"/>
      </w:pPr>
      <w:r w:rsidRPr="004232B8">
        <w:t xml:space="preserve">The </w:t>
      </w:r>
      <w:r w:rsidRPr="00C550AF">
        <w:t>PI</w:t>
      </w:r>
      <w:r w:rsidRPr="004232B8">
        <w:t xml:space="preserve"> for combined 5 and 10 mg tablets is acceptable from </w:t>
      </w:r>
      <w:r w:rsidR="005F7896">
        <w:t>a TGA</w:t>
      </w:r>
      <w:r w:rsidRPr="004232B8">
        <w:t xml:space="preserve"> point of view</w:t>
      </w:r>
      <w:r w:rsidR="005F7896">
        <w:t>.</w:t>
      </w:r>
    </w:p>
    <w:p w14:paraId="2ABBB777" w14:textId="77777777" w:rsidR="00C550AF" w:rsidRDefault="005F7896" w:rsidP="005F7896">
      <w:pPr>
        <w:pStyle w:val="ListBullet"/>
      </w:pPr>
      <w:r>
        <w:t>The GMP c</w:t>
      </w:r>
      <w:r w:rsidR="00C550AF" w:rsidRPr="004232B8">
        <w:t>learances for all overseas manufacturing sites below are valid.</w:t>
      </w:r>
    </w:p>
    <w:p w14:paraId="7E7A286B" w14:textId="77777777" w:rsidR="008E7846" w:rsidRDefault="00C550AF" w:rsidP="005F7896">
      <w:pPr>
        <w:pStyle w:val="ListBullet"/>
      </w:pPr>
      <w:r>
        <w:t xml:space="preserve">The sponsor has </w:t>
      </w:r>
      <w:r w:rsidRPr="00C550AF">
        <w:t>requested</w:t>
      </w:r>
      <w:r>
        <w:t xml:space="preserve"> to withdraw their 10 mg bottle presentation. Their request has been accepted</w:t>
      </w:r>
      <w:r w:rsidR="003F0C94">
        <w:t>.</w:t>
      </w:r>
    </w:p>
    <w:p w14:paraId="2F6D890F" w14:textId="6236A950" w:rsidR="005F7896" w:rsidRDefault="003F0C94" w:rsidP="0095067E">
      <w:proofErr w:type="spellStart"/>
      <w:r w:rsidRPr="00BE03D0">
        <w:rPr>
          <w:iCs/>
        </w:rPr>
        <w:t>Xeljanz</w:t>
      </w:r>
      <w:proofErr w:type="spellEnd"/>
      <w:r w:rsidR="00C550AF" w:rsidRPr="00BE03D0">
        <w:rPr>
          <w:iCs/>
        </w:rPr>
        <w:t xml:space="preserve"> 10 mg tablet</w:t>
      </w:r>
      <w:r w:rsidR="00C550AF" w:rsidRPr="00BE03D0">
        <w:t xml:space="preserve"> </w:t>
      </w:r>
      <w:r w:rsidR="00DD49C6">
        <w:t xml:space="preserve">was </w:t>
      </w:r>
      <w:r w:rsidR="00C550AF" w:rsidRPr="00BE03D0">
        <w:t xml:space="preserve">previously </w:t>
      </w:r>
      <w:r w:rsidR="00C550AF" w:rsidRPr="00BE03D0">
        <w:rPr>
          <w:rFonts w:asciiTheme="minorHAnsi" w:hAnsiTheme="minorHAnsi"/>
        </w:rPr>
        <w:t>assessed</w:t>
      </w:r>
      <w:r w:rsidR="00C550AF" w:rsidRPr="00BE03D0">
        <w:t xml:space="preserve"> by </w:t>
      </w:r>
      <w:r w:rsidR="003B27DF">
        <w:t xml:space="preserve">the </w:t>
      </w:r>
      <w:r w:rsidR="00C550AF" w:rsidRPr="00BE03D0">
        <w:t>TGA in 2012 (</w:t>
      </w:r>
      <w:r w:rsidR="003B27DF">
        <w:t xml:space="preserve">submission </w:t>
      </w:r>
      <w:r w:rsidR="00C550AF" w:rsidRPr="00BE03D0">
        <w:t>PM</w:t>
      </w:r>
      <w:r w:rsidR="003B27DF">
        <w:noBreakHyphen/>
      </w:r>
      <w:r w:rsidR="00C550AF" w:rsidRPr="00BE03D0">
        <w:t>2012</w:t>
      </w:r>
      <w:r w:rsidR="003B27DF">
        <w:noBreakHyphen/>
      </w:r>
      <w:r w:rsidR="00C550AF" w:rsidRPr="00BE03D0">
        <w:t xml:space="preserve">00788-3-3) and was deemed </w:t>
      </w:r>
      <w:r w:rsidR="00C550AF" w:rsidRPr="00BE03D0">
        <w:rPr>
          <w:rFonts w:asciiTheme="minorHAnsi" w:hAnsiTheme="minorHAnsi"/>
        </w:rPr>
        <w:t>acceptable</w:t>
      </w:r>
      <w:r w:rsidR="00C550AF" w:rsidRPr="00BE03D0">
        <w:t xml:space="preserve"> from a </w:t>
      </w:r>
      <w:r w:rsidR="005F7896" w:rsidRPr="00BE03D0">
        <w:t>TGA</w:t>
      </w:r>
      <w:r w:rsidR="00C550AF" w:rsidRPr="00BE03D0">
        <w:t xml:space="preserve"> point of view. </w:t>
      </w:r>
      <w:r w:rsidR="005F7896" w:rsidRPr="00BE03D0">
        <w:t>The sponsor</w:t>
      </w:r>
      <w:r w:rsidR="004D03E1">
        <w:t xml:space="preserve"> withdrew</w:t>
      </w:r>
      <w:r w:rsidR="00C550AF" w:rsidRPr="00BE03D0">
        <w:t xml:space="preserve"> the application prior to the registration. </w:t>
      </w:r>
      <w:r w:rsidR="004D03E1">
        <w:t>The c</w:t>
      </w:r>
      <w:r w:rsidR="00C550AF" w:rsidRPr="00BE03D0">
        <w:t>urrent application is a resubmission of the previously provided data for the 10 mg tablet. Approval for registration of the proposed product is recommended from a pharmaceutical chemistry perspective</w:t>
      </w:r>
      <w:r w:rsidR="005F7896" w:rsidRPr="00BE03D0">
        <w:t>.</w:t>
      </w:r>
    </w:p>
    <w:p w14:paraId="182FC56A" w14:textId="6A4F3643" w:rsidR="00C550AF" w:rsidRDefault="00BE03D0" w:rsidP="0095067E">
      <w:r>
        <w:t xml:space="preserve">Bioequivalence between Phase </w:t>
      </w:r>
      <w:proofErr w:type="spellStart"/>
      <w:r>
        <w:t>IIb</w:t>
      </w:r>
      <w:proofErr w:type="spellEnd"/>
      <w:r>
        <w:t>, Phase III</w:t>
      </w:r>
      <w:r w:rsidR="00C550AF" w:rsidRPr="009A34EA">
        <w:t xml:space="preserve"> and the commercial tablets wa</w:t>
      </w:r>
      <w:r w:rsidR="004D03E1">
        <w:t>s evaluated in Study </w:t>
      </w:r>
      <w:r w:rsidR="003F0C94">
        <w:t xml:space="preserve">A3921075. </w:t>
      </w:r>
      <w:r w:rsidR="00C550AF" w:rsidRPr="009A34EA">
        <w:t xml:space="preserve">Absolute </w:t>
      </w:r>
      <w:r w:rsidR="0095067E">
        <w:t>bioavailability</w:t>
      </w:r>
      <w:r w:rsidR="00C550AF" w:rsidRPr="009A34EA">
        <w:t xml:space="preserve"> of </w:t>
      </w:r>
      <w:r w:rsidR="005F7896">
        <w:t>active ingredient</w:t>
      </w:r>
      <w:r w:rsidR="00C550AF" w:rsidRPr="009A34EA">
        <w:t xml:space="preserve"> was investigated in Study A3921077 using the commercial tablet and an </w:t>
      </w:r>
      <w:r>
        <w:t>intravenous</w:t>
      </w:r>
      <w:r w:rsidRPr="009A34EA">
        <w:t xml:space="preserve"> </w:t>
      </w:r>
      <w:r>
        <w:t>(</w:t>
      </w:r>
      <w:r w:rsidR="00C550AF" w:rsidRPr="009A34EA">
        <w:t>IV</w:t>
      </w:r>
      <w:r>
        <w:t>)</w:t>
      </w:r>
      <w:r w:rsidR="00C550AF" w:rsidRPr="009A34EA">
        <w:t xml:space="preserve"> formula</w:t>
      </w:r>
      <w:r>
        <w:t xml:space="preserve">tion. Bioavailability of Phase </w:t>
      </w:r>
      <w:proofErr w:type="spellStart"/>
      <w:r>
        <w:t>IIa</w:t>
      </w:r>
      <w:proofErr w:type="spellEnd"/>
      <w:r w:rsidR="00C550AF" w:rsidRPr="009A34EA">
        <w:t xml:space="preserve"> tablets relative to </w:t>
      </w:r>
      <w:r w:rsidR="004D03E1">
        <w:t>oral powder for constitution (</w:t>
      </w:r>
      <w:r w:rsidR="00C550AF" w:rsidRPr="004D03E1">
        <w:t>OPC</w:t>
      </w:r>
      <w:r w:rsidR="004D03E1">
        <w:t>)</w:t>
      </w:r>
      <w:r w:rsidR="00C550AF" w:rsidRPr="009A34EA">
        <w:t xml:space="preserve"> was examined in Study A3921005.</w:t>
      </w:r>
      <w:r w:rsidR="005F7896">
        <w:t xml:space="preserve"> </w:t>
      </w:r>
      <w:r w:rsidR="00C550AF" w:rsidRPr="009A34EA">
        <w:t xml:space="preserve">In addition, the effect of food on the bioavailability of </w:t>
      </w:r>
      <w:r w:rsidR="005F7896">
        <w:t>active ingredient</w:t>
      </w:r>
      <w:r w:rsidR="00C550AF" w:rsidRPr="009A34EA">
        <w:t xml:space="preserve"> was evaluat</w:t>
      </w:r>
      <w:r w:rsidR="00AC1A9B">
        <w:t xml:space="preserve">ed in </w:t>
      </w:r>
      <w:r w:rsidR="003B27DF">
        <w:t xml:space="preserve">Studies </w:t>
      </w:r>
      <w:r w:rsidR="00AC1A9B">
        <w:t xml:space="preserve">A3921005 (Phase </w:t>
      </w:r>
      <w:proofErr w:type="spellStart"/>
      <w:r w:rsidR="00AC1A9B">
        <w:t>IIa</w:t>
      </w:r>
      <w:proofErr w:type="spellEnd"/>
      <w:r w:rsidR="00C550AF" w:rsidRPr="009A34EA">
        <w:t xml:space="preserve"> tablet) and A3921076 (commercial tablet).</w:t>
      </w:r>
      <w:r w:rsidR="005F7896">
        <w:t xml:space="preserve"> </w:t>
      </w:r>
      <w:r w:rsidR="00C550AF">
        <w:t>These studies have been evaluated in d</w:t>
      </w:r>
      <w:r w:rsidR="001A5B43">
        <w:t xml:space="preserve">etail during the initial </w:t>
      </w:r>
      <w:r w:rsidR="00C550AF">
        <w:t>application.</w:t>
      </w:r>
    </w:p>
    <w:p w14:paraId="7BB5397D" w14:textId="77777777" w:rsidR="008E7846" w:rsidRDefault="008E7846" w:rsidP="008E7846">
      <w:pPr>
        <w:pStyle w:val="Heading2"/>
      </w:pPr>
      <w:bookmarkStart w:id="40" w:name="_Toc196046439"/>
      <w:bookmarkStart w:id="41" w:name="_Toc247691510"/>
      <w:bookmarkStart w:id="42" w:name="_Toc314842494"/>
      <w:bookmarkStart w:id="43" w:name="_Toc20301892"/>
      <w:r>
        <w:t>I</w:t>
      </w:r>
      <w:r w:rsidR="00500337">
        <w:t>V</w:t>
      </w:r>
      <w:r>
        <w:t>. Nonclinical</w:t>
      </w:r>
      <w:bookmarkEnd w:id="40"/>
      <w:r>
        <w:t xml:space="preserve"> findings</w:t>
      </w:r>
      <w:bookmarkEnd w:id="41"/>
      <w:bookmarkEnd w:id="42"/>
      <w:bookmarkEnd w:id="43"/>
    </w:p>
    <w:p w14:paraId="726B6346" w14:textId="77777777" w:rsidR="008E7846" w:rsidRDefault="008E7846" w:rsidP="00940A89">
      <w:pPr>
        <w:pStyle w:val="Heading3"/>
      </w:pPr>
      <w:bookmarkStart w:id="44" w:name="_Toc247691511"/>
      <w:bookmarkStart w:id="45" w:name="_Toc314842495"/>
      <w:bookmarkStart w:id="46" w:name="_Toc20301893"/>
      <w:r>
        <w:t>Introduction</w:t>
      </w:r>
      <w:bookmarkEnd w:id="44"/>
      <w:bookmarkEnd w:id="45"/>
      <w:bookmarkEnd w:id="46"/>
    </w:p>
    <w:p w14:paraId="1CCC5FCE" w14:textId="631CCBF1" w:rsidR="00486A6C" w:rsidRPr="001A5B43" w:rsidRDefault="00AC1A9B" w:rsidP="0095067E">
      <w:r w:rsidRPr="001A5B43">
        <w:t>The sponsor</w:t>
      </w:r>
      <w:r w:rsidR="001A5B43">
        <w:t xml:space="preserve"> has submitted an </w:t>
      </w:r>
      <w:r w:rsidR="00486A6C" w:rsidRPr="001A5B43">
        <w:rPr>
          <w:rFonts w:eastAsiaTheme="minorHAnsi" w:cs="TimesNewRomanPSMT"/>
        </w:rPr>
        <w:t>application</w:t>
      </w:r>
      <w:r w:rsidR="00486A6C" w:rsidRPr="001A5B43">
        <w:t xml:space="preserve"> to vary the conditions of registration of</w:t>
      </w:r>
      <w:r w:rsidR="0095067E" w:rsidRPr="001A5B43">
        <w:t xml:space="preserve"> </w:t>
      </w:r>
      <w:proofErr w:type="spellStart"/>
      <w:r w:rsidR="0095067E" w:rsidRPr="001A5B43">
        <w:t>Xeljanz</w:t>
      </w:r>
      <w:proofErr w:type="spellEnd"/>
      <w:r w:rsidR="00486A6C" w:rsidRPr="001A5B43">
        <w:t>,</w:t>
      </w:r>
      <w:r w:rsidR="00486A6C" w:rsidRPr="001A5B43">
        <w:rPr>
          <w:kern w:val="2"/>
        </w:rPr>
        <w:t xml:space="preserve"> oral formulation of </w:t>
      </w:r>
      <w:proofErr w:type="spellStart"/>
      <w:r w:rsidR="00486A6C" w:rsidRPr="001A5B43">
        <w:rPr>
          <w:kern w:val="2"/>
        </w:rPr>
        <w:t>tofacitinib</w:t>
      </w:r>
      <w:proofErr w:type="spellEnd"/>
      <w:r w:rsidR="00486A6C" w:rsidRPr="001A5B43">
        <w:rPr>
          <w:kern w:val="2"/>
        </w:rPr>
        <w:t xml:space="preserve"> (as citrate),</w:t>
      </w:r>
      <w:r w:rsidR="005F7896" w:rsidRPr="001A5B43">
        <w:rPr>
          <w:kern w:val="2"/>
        </w:rPr>
        <w:t xml:space="preserve"> </w:t>
      </w:r>
      <w:r w:rsidR="00486A6C" w:rsidRPr="001A5B43">
        <w:rPr>
          <w:kern w:val="2"/>
        </w:rPr>
        <w:t>5</w:t>
      </w:r>
      <w:r w:rsidR="003B27DF">
        <w:rPr>
          <w:kern w:val="2"/>
        </w:rPr>
        <w:t xml:space="preserve"> </w:t>
      </w:r>
      <w:r w:rsidRPr="001A5B43">
        <w:rPr>
          <w:rFonts w:eastAsiaTheme="minorHAnsi" w:cs="TimesNewRomanPS-ItalicMT"/>
          <w:iCs/>
        </w:rPr>
        <w:t xml:space="preserve">mg film </w:t>
      </w:r>
      <w:r w:rsidR="00486A6C" w:rsidRPr="001A5B43">
        <w:rPr>
          <w:rFonts w:eastAsiaTheme="minorHAnsi" w:cs="TimesNewRomanPS-ItalicMT"/>
          <w:iCs/>
        </w:rPr>
        <w:t>coated tablet</w:t>
      </w:r>
      <w:r w:rsidR="00486A6C" w:rsidRPr="001A5B43">
        <w:t xml:space="preserve"> (</w:t>
      </w:r>
      <w:r w:rsidR="0095067E" w:rsidRPr="001A5B43">
        <w:t>ARTG</w:t>
      </w:r>
      <w:r w:rsidR="00486A6C" w:rsidRPr="001A5B43">
        <w:t>:</w:t>
      </w:r>
      <w:r w:rsidR="0095067E" w:rsidRPr="001A5B43">
        <w:t xml:space="preserve"> </w:t>
      </w:r>
      <w:r w:rsidR="00486A6C" w:rsidRPr="001A5B43">
        <w:t>196987, 233439):</w:t>
      </w:r>
    </w:p>
    <w:p w14:paraId="6784208D" w14:textId="77777777" w:rsidR="00486A6C" w:rsidRPr="001A5B43" w:rsidRDefault="001A5B43" w:rsidP="0095067E">
      <w:pPr>
        <w:pStyle w:val="ListBullet"/>
      </w:pPr>
      <w:r>
        <w:t xml:space="preserve">To extend the indications </w:t>
      </w:r>
      <w:r w:rsidR="00486A6C" w:rsidRPr="001A5B43">
        <w:t xml:space="preserve">for </w:t>
      </w:r>
      <w:proofErr w:type="spellStart"/>
      <w:r w:rsidR="005F7896" w:rsidRPr="001A5B43">
        <w:t>Xeljanz</w:t>
      </w:r>
      <w:proofErr w:type="spellEnd"/>
      <w:r w:rsidR="00486A6C" w:rsidRPr="001A5B43">
        <w:t xml:space="preserve"> (</w:t>
      </w:r>
      <w:proofErr w:type="spellStart"/>
      <w:r w:rsidR="00486A6C" w:rsidRPr="001A5B43">
        <w:t>tofacitinib</w:t>
      </w:r>
      <w:proofErr w:type="spellEnd"/>
      <w:r w:rsidR="00486A6C" w:rsidRPr="001A5B43">
        <w:t xml:space="preserve">) tablets to include the treatment of adult patients with moderately to severely active </w:t>
      </w:r>
      <w:r>
        <w:t>UC</w:t>
      </w:r>
      <w:r w:rsidR="00486A6C" w:rsidRPr="001A5B43">
        <w:t xml:space="preserve"> who have had an inadequate response, lost response, or were intolerant to conventional therapy.</w:t>
      </w:r>
    </w:p>
    <w:p w14:paraId="52E19C56" w14:textId="77777777" w:rsidR="00486A6C" w:rsidRPr="001A5B43" w:rsidRDefault="00614D9F" w:rsidP="0095067E">
      <w:pPr>
        <w:pStyle w:val="ListBullet"/>
      </w:pPr>
      <w:r>
        <w:t>To increase the</w:t>
      </w:r>
      <w:r w:rsidR="00486A6C" w:rsidRPr="001A5B43">
        <w:t xml:space="preserve"> strength and maximum daily dose </w:t>
      </w:r>
      <w:proofErr w:type="spellStart"/>
      <w:r w:rsidR="005F7896" w:rsidRPr="001A5B43">
        <w:rPr>
          <w:rFonts w:cs="TimesNewRomanPS-ItalicMT"/>
          <w:iCs/>
        </w:rPr>
        <w:t>Xeljanz</w:t>
      </w:r>
      <w:proofErr w:type="spellEnd"/>
      <w:r w:rsidR="00486A6C" w:rsidRPr="001A5B43">
        <w:rPr>
          <w:rFonts w:cs="TimesNewRomanPS-ItalicMT"/>
          <w:iCs/>
        </w:rPr>
        <w:t xml:space="preserve"> </w:t>
      </w:r>
      <w:proofErr w:type="spellStart"/>
      <w:r w:rsidR="00486A6C" w:rsidRPr="001A5B43">
        <w:rPr>
          <w:rFonts w:cs="TimesNewRomanPS-ItalicMT"/>
          <w:iCs/>
        </w:rPr>
        <w:t>tofacitinib</w:t>
      </w:r>
      <w:proofErr w:type="spellEnd"/>
      <w:r w:rsidR="00486A6C" w:rsidRPr="001A5B43">
        <w:rPr>
          <w:rFonts w:cs="TimesNewRomanPS-ItalicMT"/>
          <w:iCs/>
        </w:rPr>
        <w:t xml:space="preserve"> (as citrate) fro</w:t>
      </w:r>
      <w:r w:rsidR="001A5B43">
        <w:rPr>
          <w:rFonts w:cs="TimesNewRomanPS-ItalicMT"/>
          <w:iCs/>
        </w:rPr>
        <w:t>m 5 </w:t>
      </w:r>
      <w:r w:rsidR="00AC1A9B" w:rsidRPr="001A5B43">
        <w:rPr>
          <w:rFonts w:cs="TimesNewRomanPS-ItalicMT"/>
          <w:iCs/>
        </w:rPr>
        <w:t xml:space="preserve">mg to 10 mg film </w:t>
      </w:r>
      <w:r w:rsidR="00486A6C" w:rsidRPr="001A5B43">
        <w:rPr>
          <w:rFonts w:cs="TimesNewRomanPS-ItalicMT"/>
          <w:iCs/>
        </w:rPr>
        <w:t>coated tablet.</w:t>
      </w:r>
      <w:r w:rsidR="005F7896" w:rsidRPr="001A5B43">
        <w:rPr>
          <w:rFonts w:cs="TimesNewRomanPS-ItalicMT"/>
          <w:iCs/>
        </w:rPr>
        <w:t xml:space="preserve"> </w:t>
      </w:r>
      <w:r w:rsidR="00486A6C" w:rsidRPr="001A5B43">
        <w:t xml:space="preserve">The recommended dose for adult patients is 10 mg twice daily </w:t>
      </w:r>
      <w:r w:rsidR="00F14B34">
        <w:t xml:space="preserve">(BID) </w:t>
      </w:r>
      <w:r w:rsidR="00486A6C" w:rsidRPr="001A5B43">
        <w:t xml:space="preserve">for induction for at least 8 weeks and 5 mg </w:t>
      </w:r>
      <w:r w:rsidR="00F14B34">
        <w:t>BID</w:t>
      </w:r>
      <w:r w:rsidR="00486A6C" w:rsidRPr="001A5B43">
        <w:t xml:space="preserve"> for maintenance. The 10 mg tablets are manufactured from a common blend of the approved 5 mg tablets using the same manufacturing process. The two strengths are quantitatively proportional and are differentiated by colour and debossing.</w:t>
      </w:r>
    </w:p>
    <w:p w14:paraId="34376449" w14:textId="254201E4" w:rsidR="005F7896" w:rsidRDefault="001A5B43" w:rsidP="0095067E">
      <w:r>
        <w:t xml:space="preserve">At the time of this application </w:t>
      </w:r>
      <w:proofErr w:type="spellStart"/>
      <w:r w:rsidR="005F7896">
        <w:t>Xeljanz</w:t>
      </w:r>
      <w:proofErr w:type="spellEnd"/>
      <w:r w:rsidR="003F0C94" w:rsidRPr="002428E1">
        <w:t xml:space="preserve"> (</w:t>
      </w:r>
      <w:proofErr w:type="spellStart"/>
      <w:r w:rsidR="003F0C94" w:rsidRPr="002428E1">
        <w:t>tofacitinib</w:t>
      </w:r>
      <w:proofErr w:type="spellEnd"/>
      <w:r w:rsidR="003F0C94" w:rsidRPr="002428E1">
        <w:t xml:space="preserve"> citrate) 5 mg tablets </w:t>
      </w:r>
      <w:r w:rsidR="004D03E1">
        <w:t>were</w:t>
      </w:r>
      <w:r w:rsidR="003F0C94" w:rsidRPr="002428E1">
        <w:t xml:space="preserve"> currently approved for the treatment of moderate to severe active rheumatoid arthritis </w:t>
      </w:r>
      <w:r w:rsidR="00B7366A">
        <w:t xml:space="preserve">(RA) </w:t>
      </w:r>
      <w:r w:rsidR="003F0C94" w:rsidRPr="002428E1">
        <w:t>in adults who have had an inadequate response or are intolerant to methotrexate (</w:t>
      </w:r>
      <w:r w:rsidR="003F1EF8">
        <w:t>MTX</w:t>
      </w:r>
      <w:r w:rsidR="003B27DF">
        <w:t xml:space="preserve">)(submission </w:t>
      </w:r>
      <w:r w:rsidR="003F0C94" w:rsidRPr="002428E1">
        <w:t>PM</w:t>
      </w:r>
      <w:r w:rsidR="003B27DF">
        <w:noBreakHyphen/>
      </w:r>
      <w:r w:rsidR="003F0C94" w:rsidRPr="002428E1">
        <w:t>2012-00788-3-3)</w:t>
      </w:r>
      <w:r w:rsidR="005F7896">
        <w:t>.</w:t>
      </w:r>
    </w:p>
    <w:p w14:paraId="4C0F2494" w14:textId="2ACCCCC5" w:rsidR="003F0C94" w:rsidRPr="00D03967" w:rsidRDefault="003F0C94" w:rsidP="00D03967">
      <w:pPr>
        <w:rPr>
          <w:snapToGrid w:val="0"/>
        </w:rPr>
      </w:pPr>
      <w:r w:rsidRPr="002428E1">
        <w:t xml:space="preserve">In support of the proposed changes, the sponsor submitted </w:t>
      </w:r>
      <w:r>
        <w:t>i</w:t>
      </w:r>
      <w:r w:rsidRPr="002428E1">
        <w:rPr>
          <w:i/>
          <w:kern w:val="2"/>
        </w:rPr>
        <w:t xml:space="preserve">n vitro </w:t>
      </w:r>
      <w:r w:rsidRPr="0095067E">
        <w:rPr>
          <w:kern w:val="2"/>
        </w:rPr>
        <w:t>and</w:t>
      </w:r>
      <w:r w:rsidRPr="002428E1">
        <w:rPr>
          <w:kern w:val="2"/>
        </w:rPr>
        <w:t xml:space="preserve"> </w:t>
      </w:r>
      <w:r w:rsidRPr="002428E1">
        <w:rPr>
          <w:i/>
          <w:kern w:val="2"/>
        </w:rPr>
        <w:t>in vivo</w:t>
      </w:r>
      <w:r w:rsidRPr="002428E1">
        <w:rPr>
          <w:kern w:val="2"/>
        </w:rPr>
        <w:t xml:space="preserve"> </w:t>
      </w:r>
      <w:r w:rsidRPr="002428E1">
        <w:t xml:space="preserve">pharmacology and pharmacokinetic studies as well as </w:t>
      </w:r>
      <w:r w:rsidRPr="002428E1">
        <w:rPr>
          <w:i/>
        </w:rPr>
        <w:t xml:space="preserve">in </w:t>
      </w:r>
      <w:proofErr w:type="spellStart"/>
      <w:r w:rsidRPr="002428E1">
        <w:rPr>
          <w:i/>
        </w:rPr>
        <w:t>silico</w:t>
      </w:r>
      <w:proofErr w:type="spellEnd"/>
      <w:r w:rsidRPr="002428E1">
        <w:t xml:space="preserve"> impurity studies (in </w:t>
      </w:r>
      <w:r w:rsidR="0095067E">
        <w:t>the nonclinical dossier</w:t>
      </w:r>
      <w:r w:rsidRPr="002428E1">
        <w:t>).</w:t>
      </w:r>
      <w:r>
        <w:t xml:space="preserve"> All of the n</w:t>
      </w:r>
      <w:r w:rsidRPr="002428E1">
        <w:t xml:space="preserve">onclinical data submitted in this application </w:t>
      </w:r>
      <w:r w:rsidR="00614D9F">
        <w:t>has</w:t>
      </w:r>
      <w:r w:rsidRPr="002428E1">
        <w:t xml:space="preserve"> been </w:t>
      </w:r>
      <w:r w:rsidRPr="002428E1">
        <w:lastRenderedPageBreak/>
        <w:t xml:space="preserve">previously evaluated in </w:t>
      </w:r>
      <w:r w:rsidR="003B27DF">
        <w:t xml:space="preserve">submission </w:t>
      </w:r>
      <w:r w:rsidRPr="002428E1">
        <w:t>PM-2017-03802-1-</w:t>
      </w:r>
      <w:r w:rsidRPr="00402E8F">
        <w:t xml:space="preserve">3 in support of </w:t>
      </w:r>
      <w:r>
        <w:t xml:space="preserve">the </w:t>
      </w:r>
      <w:r w:rsidRPr="00402E8F">
        <w:t xml:space="preserve">psoriatic arthritis </w:t>
      </w:r>
      <w:r w:rsidR="00B7366A">
        <w:t>(</w:t>
      </w:r>
      <w:proofErr w:type="spellStart"/>
      <w:r w:rsidR="00B7366A">
        <w:t>PsA</w:t>
      </w:r>
      <w:proofErr w:type="spellEnd"/>
      <w:r w:rsidR="00B7366A">
        <w:t xml:space="preserve">) </w:t>
      </w:r>
      <w:r w:rsidRPr="00402E8F">
        <w:t>extension of indication.</w:t>
      </w:r>
    </w:p>
    <w:p w14:paraId="7BFB165B" w14:textId="77777777" w:rsidR="004334C7" w:rsidRDefault="003F0C94" w:rsidP="00D03967">
      <w:pPr>
        <w:rPr>
          <w:rFonts w:eastAsia="TimesNewRoman" w:cs="TimesNewRoman"/>
        </w:rPr>
      </w:pPr>
      <w:r w:rsidRPr="008138EC">
        <w:t xml:space="preserve">No new nonclinical data or </w:t>
      </w:r>
      <w:r w:rsidRPr="008138EC">
        <w:rPr>
          <w:rFonts w:eastAsia="TimesNewRoman" w:cs="TimesNewRoman"/>
        </w:rPr>
        <w:t xml:space="preserve">nonclinical pharmacology models of immune bowel disease (including ulcerative colitis) were conducted to evaluate </w:t>
      </w:r>
      <w:proofErr w:type="spellStart"/>
      <w:r w:rsidRPr="008138EC">
        <w:rPr>
          <w:rFonts w:eastAsia="TimesNewRoman" w:cs="TimesNewRoman"/>
        </w:rPr>
        <w:t>tofacitinib</w:t>
      </w:r>
      <w:proofErr w:type="spellEnd"/>
      <w:r w:rsidRPr="008138EC">
        <w:rPr>
          <w:rFonts w:eastAsia="TimesNewRoman" w:cs="TimesNewRoman"/>
        </w:rPr>
        <w:t xml:space="preserve"> since the overall clinical predictability of these models is low.</w:t>
      </w:r>
    </w:p>
    <w:p w14:paraId="6A95A408" w14:textId="77777777" w:rsidR="00614D9F" w:rsidRDefault="00614D9F" w:rsidP="00614D9F">
      <w:pPr>
        <w:pStyle w:val="Heading4"/>
      </w:pPr>
      <w:r w:rsidRPr="00DC41E1">
        <w:t>Rationale and mechanism of action</w:t>
      </w:r>
    </w:p>
    <w:p w14:paraId="09C2B43B" w14:textId="77777777" w:rsidR="00614D9F" w:rsidRPr="00CF6B0D" w:rsidRDefault="00614D9F" w:rsidP="00614D9F">
      <w:r>
        <w:t>UC</w:t>
      </w:r>
      <w:r w:rsidRPr="00CF6B0D">
        <w:t xml:space="preserve"> is a chronic inflammatory disorder of the colon, whose pathogenesis involves the complex interaction of genetic predisposition, epithelial barrier defects, dysregulated host immune responses, and environmental factors.</w:t>
      </w:r>
    </w:p>
    <w:p w14:paraId="0D88EF70" w14:textId="77777777" w:rsidR="00614D9F" w:rsidRDefault="00614D9F" w:rsidP="00614D9F">
      <w:proofErr w:type="spellStart"/>
      <w:r w:rsidRPr="0014385F">
        <w:t>Tofacitinib</w:t>
      </w:r>
      <w:proofErr w:type="spellEnd"/>
      <w:r w:rsidRPr="0014385F">
        <w:t xml:space="preserve"> is a potent, selective inhibitor of the </w:t>
      </w:r>
      <w:r>
        <w:t>JAK</w:t>
      </w:r>
      <w:r w:rsidRPr="0014385F">
        <w:t xml:space="preserve"> family of kinases with a high degree of selectivity against other kinases in the human genome</w:t>
      </w:r>
      <w:r>
        <w:t>.</w:t>
      </w:r>
    </w:p>
    <w:p w14:paraId="59565169" w14:textId="77777777" w:rsidR="00614D9F" w:rsidRDefault="00614D9F" w:rsidP="00614D9F">
      <w:r w:rsidRPr="00190DEB">
        <w:t xml:space="preserve">The JAK family, including JAK1, JAK2, JAK3, and </w:t>
      </w:r>
      <w:r>
        <w:t>tyrosine kinase 2 (</w:t>
      </w:r>
      <w:r w:rsidRPr="00190DEB">
        <w:t>TyK2</w:t>
      </w:r>
      <w:r>
        <w:t>)</w:t>
      </w:r>
      <w:r w:rsidRPr="00190DEB">
        <w:t xml:space="preserve">, is a group of cytoplasmic tyrosine kinases that mediate signal transduction via interactions </w:t>
      </w:r>
      <w:r>
        <w:t xml:space="preserve">with </w:t>
      </w:r>
      <w:r w:rsidRPr="00190DEB">
        <w:t>cytokine receptors</w:t>
      </w:r>
      <w:r>
        <w:t xml:space="preserve"> </w:t>
      </w:r>
      <w:r w:rsidRPr="00190DEB">
        <w:t>for several cytokines, including interleukin IL-2,</w:t>
      </w:r>
      <w:r>
        <w:t xml:space="preserve"> IL</w:t>
      </w:r>
      <w:r w:rsidRPr="00190DEB">
        <w:t>-4,</w:t>
      </w:r>
      <w:r>
        <w:t xml:space="preserve"> IL</w:t>
      </w:r>
      <w:r w:rsidRPr="00190DEB">
        <w:t>-7,</w:t>
      </w:r>
      <w:r>
        <w:t xml:space="preserve"> IL</w:t>
      </w:r>
      <w:r w:rsidRPr="00190DEB">
        <w:t>-9,</w:t>
      </w:r>
      <w:r>
        <w:t xml:space="preserve"> IL</w:t>
      </w:r>
      <w:r w:rsidRPr="00190DEB">
        <w:t xml:space="preserve">-15, and </w:t>
      </w:r>
      <w:r>
        <w:t>IL</w:t>
      </w:r>
      <w:r w:rsidRPr="00190DEB">
        <w:t>-21.</w:t>
      </w:r>
    </w:p>
    <w:p w14:paraId="5F7E0C0C" w14:textId="77777777" w:rsidR="00614D9F" w:rsidRPr="00486A6C" w:rsidRDefault="00614D9F" w:rsidP="00614D9F">
      <w:r w:rsidRPr="0014385F">
        <w:t>Upon binding of the cytokine to its receptor, the</w:t>
      </w:r>
      <w:r>
        <w:t xml:space="preserve"> </w:t>
      </w:r>
      <w:r w:rsidRPr="0014385F">
        <w:t>associated JAKs are activated, and phosphorylate each other and the receptor. The</w:t>
      </w:r>
      <w:r>
        <w:t xml:space="preserve"> </w:t>
      </w:r>
      <w:r w:rsidRPr="0014385F">
        <w:t xml:space="preserve">phosphorylated receptors serve as docking sites for the </w:t>
      </w:r>
      <w:r w:rsidRPr="001A5B43">
        <w:t>signal transducer and activator of transcription</w:t>
      </w:r>
      <w:r>
        <w:t xml:space="preserve"> (</w:t>
      </w:r>
      <w:r w:rsidRPr="0014385F">
        <w:t>STAT</w:t>
      </w:r>
      <w:r>
        <w:t>)</w:t>
      </w:r>
      <w:r w:rsidRPr="0014385F">
        <w:t xml:space="preserve"> </w:t>
      </w:r>
      <w:r>
        <w:t>f</w:t>
      </w:r>
      <w:r w:rsidRPr="0014385F">
        <w:t>amily (1,</w:t>
      </w:r>
      <w:r>
        <w:t xml:space="preserve"> </w:t>
      </w:r>
      <w:r w:rsidRPr="0014385F">
        <w:t>2,</w:t>
      </w:r>
      <w:r>
        <w:t xml:space="preserve"> </w:t>
      </w:r>
      <w:r w:rsidRPr="0014385F">
        <w:t>3, 4, 5a, 5b, and 6) of transcription factors. The STATs are</w:t>
      </w:r>
      <w:r>
        <w:t xml:space="preserve"> </w:t>
      </w:r>
      <w:r w:rsidRPr="0014385F">
        <w:t xml:space="preserve">then phosphorylated </w:t>
      </w:r>
      <w:r>
        <w:t>and translocated</w:t>
      </w:r>
      <w:r w:rsidRPr="0014385F">
        <w:t xml:space="preserve"> to the nucleus where they bind to specific gene promoters</w:t>
      </w:r>
      <w:r>
        <w:t xml:space="preserve"> </w:t>
      </w:r>
      <w:r w:rsidRPr="0014385F">
        <w:t>to activate transcription of a range of target genes.</w:t>
      </w:r>
    </w:p>
    <w:p w14:paraId="01A11F93" w14:textId="457BD105" w:rsidR="00614D9F" w:rsidRPr="00486A6C" w:rsidRDefault="00614D9F" w:rsidP="00225681">
      <w:r w:rsidRPr="00790023">
        <w:t>In addition, inhibition of JAK1 will result in attenuation of signalling by additional pro-inflammatory cytokines, such as IL-6, IL- 22 and interferon (IFN)</w:t>
      </w:r>
      <w:r w:rsidR="003B27DF">
        <w:t xml:space="preserve"> gamma (IFN </w:t>
      </w:r>
      <w:r w:rsidRPr="00790023">
        <w:t>γ</w:t>
      </w:r>
      <w:r w:rsidR="003B27DF">
        <w:t>)</w:t>
      </w:r>
      <w:r w:rsidRPr="00486A6C">
        <w:t>.</w:t>
      </w:r>
    </w:p>
    <w:p w14:paraId="1D44FD82" w14:textId="77777777" w:rsidR="00614D9F" w:rsidRDefault="00614D9F" w:rsidP="00614D9F">
      <w:r w:rsidRPr="00790023">
        <w:t>These cytokines are integral to lymphocyte activation, development,</w:t>
      </w:r>
      <w:r>
        <w:t xml:space="preserve"> </w:t>
      </w:r>
      <w:r w:rsidRPr="00790023">
        <w:t xml:space="preserve">homeostasis, proliferation, and function; therefore, inhibition of their signalling may result in modulation of multiple </w:t>
      </w:r>
      <w:r>
        <w:t>aspects of the immune response.</w:t>
      </w:r>
    </w:p>
    <w:p w14:paraId="7ABE130E" w14:textId="77777777" w:rsidR="00614D9F" w:rsidRDefault="00614D9F" w:rsidP="00614D9F">
      <w:pPr>
        <w:rPr>
          <w:color w:val="000000"/>
        </w:rPr>
      </w:pPr>
      <w:r w:rsidRPr="00D71799">
        <w:rPr>
          <w:color w:val="000000"/>
        </w:rPr>
        <w:t>Animal models as well as genome-wide association studies have demonstrated the importance of the JAK/STAT pathway in the pathogenesis of immune-mediated inflammatory conditions</w:t>
      </w:r>
      <w:r>
        <w:rPr>
          <w:color w:val="000000"/>
        </w:rPr>
        <w:t>.</w:t>
      </w:r>
    </w:p>
    <w:p w14:paraId="68EDF994" w14:textId="77777777" w:rsidR="00614D9F" w:rsidRPr="00D71799" w:rsidRDefault="00614D9F" w:rsidP="00614D9F">
      <w:pPr>
        <w:rPr>
          <w:color w:val="000000"/>
        </w:rPr>
      </w:pPr>
      <w:r w:rsidRPr="00D71799">
        <w:rPr>
          <w:color w:val="000000"/>
        </w:rPr>
        <w:t xml:space="preserve">Genetic polymorphisms in the JAK/STAT pathway have been associated with </w:t>
      </w:r>
      <w:r w:rsidRPr="0091791C">
        <w:rPr>
          <w:rFonts w:eastAsiaTheme="minorHAnsi" w:cs="TimesNewRomanPSMT"/>
        </w:rPr>
        <w:t xml:space="preserve">ulcerative colitis </w:t>
      </w:r>
      <w:r w:rsidRPr="00D71799">
        <w:rPr>
          <w:color w:val="000000"/>
        </w:rPr>
        <w:t>in humans, thus emphasizing the importance of this pathway in disease pathogenesis.</w:t>
      </w:r>
    </w:p>
    <w:p w14:paraId="0C8CA42C" w14:textId="77777777" w:rsidR="00614D9F" w:rsidRPr="00486A6C" w:rsidRDefault="00614D9F" w:rsidP="00614D9F">
      <w:pPr>
        <w:rPr>
          <w:color w:val="000000"/>
        </w:rPr>
      </w:pPr>
      <w:r w:rsidRPr="00D71799">
        <w:rPr>
          <w:color w:val="000000"/>
        </w:rPr>
        <w:t>The modulatory effects of JAK inhibition on multiple cytokine pathways central to the</w:t>
      </w:r>
      <w:r>
        <w:rPr>
          <w:color w:val="000000"/>
        </w:rPr>
        <w:t xml:space="preserve"> </w:t>
      </w:r>
      <w:r w:rsidRPr="00D71799">
        <w:rPr>
          <w:color w:val="000000"/>
        </w:rPr>
        <w:t>pathogenesis of</w:t>
      </w:r>
      <w:r>
        <w:rPr>
          <w:color w:val="000000"/>
        </w:rPr>
        <w:t xml:space="preserve"> </w:t>
      </w:r>
      <w:r w:rsidRPr="0091791C">
        <w:rPr>
          <w:rFonts w:eastAsiaTheme="minorHAnsi" w:cs="TimesNewRomanPSMT"/>
        </w:rPr>
        <w:t xml:space="preserve">ulcerative colitis </w:t>
      </w:r>
      <w:r w:rsidRPr="00D71799">
        <w:rPr>
          <w:color w:val="000000"/>
        </w:rPr>
        <w:t xml:space="preserve">provide </w:t>
      </w:r>
      <w:r>
        <w:rPr>
          <w:color w:val="000000"/>
        </w:rPr>
        <w:t xml:space="preserve">the </w:t>
      </w:r>
      <w:r w:rsidRPr="00D71799">
        <w:rPr>
          <w:color w:val="000000"/>
        </w:rPr>
        <w:t xml:space="preserve">scientific rationale for </w:t>
      </w:r>
      <w:r>
        <w:rPr>
          <w:color w:val="000000"/>
        </w:rPr>
        <w:t>using</w:t>
      </w:r>
      <w:r w:rsidRPr="00D71799">
        <w:rPr>
          <w:color w:val="000000"/>
        </w:rPr>
        <w:t xml:space="preserve"> </w:t>
      </w:r>
      <w:proofErr w:type="spellStart"/>
      <w:r w:rsidRPr="00D71799">
        <w:rPr>
          <w:color w:val="000000"/>
        </w:rPr>
        <w:t>tofacitinib</w:t>
      </w:r>
      <w:proofErr w:type="spellEnd"/>
      <w:r w:rsidRPr="00D71799">
        <w:rPr>
          <w:color w:val="000000"/>
        </w:rPr>
        <w:t xml:space="preserve"> </w:t>
      </w:r>
      <w:r>
        <w:rPr>
          <w:color w:val="000000"/>
        </w:rPr>
        <w:t>for</w:t>
      </w:r>
      <w:r w:rsidRPr="00D71799">
        <w:rPr>
          <w:color w:val="000000"/>
        </w:rPr>
        <w:t xml:space="preserve"> the </w:t>
      </w:r>
      <w:r w:rsidRPr="0091791C">
        <w:rPr>
          <w:rFonts w:eastAsiaTheme="minorHAnsi" w:cs="TimesNewRomanPSMT"/>
        </w:rPr>
        <w:t>ulcerative colitis</w:t>
      </w:r>
      <w:r>
        <w:rPr>
          <w:color w:val="000000"/>
        </w:rPr>
        <w:t xml:space="preserve"> </w:t>
      </w:r>
      <w:r w:rsidRPr="00D71799">
        <w:rPr>
          <w:color w:val="000000"/>
        </w:rPr>
        <w:t>indication.</w:t>
      </w:r>
    </w:p>
    <w:p w14:paraId="0A82D3B3" w14:textId="77777777" w:rsidR="001B5C90" w:rsidRDefault="008E7846" w:rsidP="001B5C90">
      <w:pPr>
        <w:pStyle w:val="Heading3"/>
      </w:pPr>
      <w:bookmarkStart w:id="47" w:name="_Toc247691514"/>
      <w:bookmarkStart w:id="48" w:name="_Toc314842498"/>
      <w:bookmarkStart w:id="49" w:name="_Toc20301894"/>
      <w:r>
        <w:t>Toxicology</w:t>
      </w:r>
      <w:bookmarkEnd w:id="47"/>
      <w:bookmarkEnd w:id="48"/>
      <w:bookmarkEnd w:id="49"/>
    </w:p>
    <w:p w14:paraId="580037D8" w14:textId="77777777" w:rsidR="00486A6C" w:rsidRPr="00D03967" w:rsidRDefault="00486A6C" w:rsidP="00D03967">
      <w:pPr>
        <w:pStyle w:val="Heading4"/>
      </w:pPr>
      <w:r w:rsidRPr="00D03967">
        <w:t>Relative exposure</w:t>
      </w:r>
    </w:p>
    <w:p w14:paraId="1B6B2DB1" w14:textId="38E40ED8" w:rsidR="00C9747E" w:rsidRPr="00486A6C" w:rsidRDefault="00486A6C" w:rsidP="0018499F">
      <w:pPr>
        <w:rPr>
          <w:snapToGrid w:val="0"/>
          <w:sz w:val="23"/>
        </w:rPr>
      </w:pPr>
      <w:r>
        <w:t>Population PK analysis results</w:t>
      </w:r>
      <w:r w:rsidR="00CF6A6C">
        <w:t>;</w:t>
      </w:r>
      <w:r>
        <w:rPr>
          <w:rStyle w:val="FootnoteReference"/>
        </w:rPr>
        <w:footnoteReference w:id="1"/>
      </w:r>
      <w:r>
        <w:t xml:space="preserve"> indicated that </w:t>
      </w:r>
      <w:proofErr w:type="spellStart"/>
      <w:r>
        <w:t>tofacitinib</w:t>
      </w:r>
      <w:proofErr w:type="spellEnd"/>
      <w:r>
        <w:t xml:space="preserve"> plasma expo</w:t>
      </w:r>
      <w:r w:rsidR="0018499F">
        <w:t xml:space="preserve">sure, as measured by the steady </w:t>
      </w:r>
      <w:r>
        <w:t>sta</w:t>
      </w:r>
      <w:r w:rsidR="0018499F">
        <w:t xml:space="preserve">te area under the concentration </w:t>
      </w:r>
      <w:r>
        <w:t xml:space="preserve">time curve (AUC) after 5 or 10 mg BID is similar(differences in geometric means within 20%) between UC and other patient populations such as </w:t>
      </w:r>
      <w:r w:rsidR="00B7366A">
        <w:t>RA</w:t>
      </w:r>
      <w:r>
        <w:t xml:space="preserve"> and </w:t>
      </w:r>
      <w:r w:rsidR="00D64004">
        <w:t>psoriasis (</w:t>
      </w:r>
      <w:proofErr w:type="spellStart"/>
      <w:r w:rsidR="00A05036">
        <w:t>PsO</w:t>
      </w:r>
      <w:proofErr w:type="spellEnd"/>
      <w:r w:rsidR="00D64004">
        <w:t>)</w:t>
      </w:r>
      <w:r>
        <w:t xml:space="preserve"> Exposure margins for the 10 mg </w:t>
      </w:r>
      <w:r w:rsidR="00F14B34">
        <w:t>BID</w:t>
      </w:r>
      <w:r>
        <w:t xml:space="preserve"> dose regimen were previously ca</w:t>
      </w:r>
      <w:r w:rsidR="0018499F">
        <w:t xml:space="preserve">lculated in application </w:t>
      </w:r>
      <w:r w:rsidR="0018499F" w:rsidRPr="0018499F">
        <w:t>PM</w:t>
      </w:r>
      <w:r w:rsidR="0018499F" w:rsidRPr="0018499F">
        <w:noBreakHyphen/>
        <w:t>2012</w:t>
      </w:r>
      <w:r w:rsidR="0018499F" w:rsidRPr="0018499F">
        <w:noBreakHyphen/>
      </w:r>
      <w:r w:rsidRPr="0018499F">
        <w:t xml:space="preserve">00788-3-3 and high multiples </w:t>
      </w:r>
      <w:r w:rsidRPr="0018499F">
        <w:lastRenderedPageBreak/>
        <w:t>of the anticipated clinical systemic exposures were attained in the pivotal toxicology studies.</w:t>
      </w:r>
    </w:p>
    <w:p w14:paraId="79C49911" w14:textId="77777777" w:rsidR="008E7846" w:rsidRDefault="008E7846" w:rsidP="008E7846">
      <w:pPr>
        <w:pStyle w:val="Heading3"/>
      </w:pPr>
      <w:bookmarkStart w:id="50" w:name="_Toc247691515"/>
      <w:bookmarkStart w:id="51" w:name="_Toc314842499"/>
      <w:bookmarkStart w:id="52" w:name="_Toc20301895"/>
      <w:r>
        <w:t>Nonclinical summary and conclusions</w:t>
      </w:r>
      <w:bookmarkEnd w:id="50"/>
      <w:bookmarkEnd w:id="51"/>
      <w:bookmarkEnd w:id="52"/>
    </w:p>
    <w:p w14:paraId="0631231B" w14:textId="77777777" w:rsidR="00A25B9F" w:rsidRPr="003E658E" w:rsidRDefault="00A25B9F" w:rsidP="00D03967">
      <w:r w:rsidRPr="003E658E">
        <w:t xml:space="preserve">The pharmacology of </w:t>
      </w:r>
      <w:proofErr w:type="spellStart"/>
      <w:r w:rsidRPr="003E658E">
        <w:t>tofacitinib</w:t>
      </w:r>
      <w:proofErr w:type="spellEnd"/>
      <w:r w:rsidRPr="003E658E">
        <w:t xml:space="preserve">, based </w:t>
      </w:r>
      <w:r>
        <w:t>on</w:t>
      </w:r>
      <w:r w:rsidRPr="003E658E">
        <w:t xml:space="preserve"> the literature presented, supports the new indication.</w:t>
      </w:r>
    </w:p>
    <w:p w14:paraId="261C7516" w14:textId="77777777" w:rsidR="00A25B9F" w:rsidRDefault="00A25B9F" w:rsidP="00D03967">
      <w:r>
        <w:t xml:space="preserve">Demonstration of </w:t>
      </w:r>
      <w:proofErr w:type="spellStart"/>
      <w:r>
        <w:t>tofacitinib</w:t>
      </w:r>
      <w:proofErr w:type="spellEnd"/>
      <w:r>
        <w:t xml:space="preserve"> </w:t>
      </w:r>
      <w:r w:rsidRPr="003E658E">
        <w:t xml:space="preserve">efficacy </w:t>
      </w:r>
      <w:r>
        <w:t xml:space="preserve">in </w:t>
      </w:r>
      <w:r w:rsidRPr="0047383A">
        <w:t xml:space="preserve">ulcerative colitis </w:t>
      </w:r>
      <w:r>
        <w:t>will rely o</w:t>
      </w:r>
      <w:r w:rsidRPr="003E658E">
        <w:t xml:space="preserve">n the clinical data </w:t>
      </w:r>
      <w:r>
        <w:t>though</w:t>
      </w:r>
      <w:r w:rsidRPr="00CF6B0D">
        <w:rPr>
          <w:rFonts w:eastAsiaTheme="minorHAnsi" w:cs="TimesNewRomanPSMT"/>
        </w:rPr>
        <w:t xml:space="preserve"> </w:t>
      </w:r>
      <w:r>
        <w:rPr>
          <w:rFonts w:eastAsiaTheme="minorHAnsi" w:cs="TimesNewRomanPSMT"/>
        </w:rPr>
        <w:t xml:space="preserve">it is noted that </w:t>
      </w:r>
      <w:r w:rsidRPr="00CF6B0D">
        <w:rPr>
          <w:rFonts w:eastAsiaTheme="minorHAnsi" w:cs="TimesNewRomanPSMT"/>
        </w:rPr>
        <w:t>previous nonclinical data showed anti-in</w:t>
      </w:r>
      <w:r w:rsidRPr="003E658E">
        <w:rPr>
          <w:rFonts w:eastAsiaTheme="minorHAnsi" w:cs="TimesNewRomanPSMT"/>
        </w:rPr>
        <w:t xml:space="preserve">flammatory efficacy </w:t>
      </w:r>
      <w:r>
        <w:rPr>
          <w:rFonts w:eastAsiaTheme="minorHAnsi" w:cs="TimesNewRomanPSMT"/>
        </w:rPr>
        <w:t xml:space="preserve">in animal models of </w:t>
      </w:r>
      <w:r w:rsidR="00B7366A">
        <w:t>RA</w:t>
      </w:r>
      <w:r w:rsidRPr="003E658E">
        <w:t xml:space="preserve"> and </w:t>
      </w:r>
      <w:proofErr w:type="spellStart"/>
      <w:r w:rsidR="00B7366A">
        <w:t>PsA</w:t>
      </w:r>
      <w:r w:rsidRPr="003E658E">
        <w:t>.</w:t>
      </w:r>
      <w:proofErr w:type="spellEnd"/>
    </w:p>
    <w:p w14:paraId="2CC4A243" w14:textId="77777777" w:rsidR="00A25B9F" w:rsidRDefault="00A25B9F" w:rsidP="00D03967">
      <w:r>
        <w:t xml:space="preserve">Relative exposure margins in the previously evaluated toxicology studies were high for the 10 mg </w:t>
      </w:r>
      <w:r w:rsidR="00F14B34">
        <w:t>BID</w:t>
      </w:r>
      <w:r>
        <w:t xml:space="preserve"> clinical dosing regimen and raise no extra safety concerns.</w:t>
      </w:r>
    </w:p>
    <w:p w14:paraId="0E91B2F1" w14:textId="77777777" w:rsidR="00A25B9F" w:rsidRPr="00A25B9F" w:rsidRDefault="00A25B9F" w:rsidP="00D03967">
      <w:r>
        <w:t xml:space="preserve">There are no objections on nonclinical grounds to the proposed changes to the registration of </w:t>
      </w:r>
      <w:proofErr w:type="spellStart"/>
      <w:r w:rsidRPr="00D03967">
        <w:t>Xeljanz</w:t>
      </w:r>
      <w:proofErr w:type="spellEnd"/>
      <w:r>
        <w:t>.</w:t>
      </w:r>
    </w:p>
    <w:p w14:paraId="068A8FC9" w14:textId="77777777" w:rsidR="008E7846" w:rsidRPr="00254787" w:rsidRDefault="008E7846" w:rsidP="008E7846">
      <w:pPr>
        <w:pStyle w:val="Heading2"/>
      </w:pPr>
      <w:bookmarkStart w:id="53" w:name="_Toc196046462"/>
      <w:bookmarkStart w:id="54" w:name="_Toc247691516"/>
      <w:bookmarkStart w:id="55" w:name="_Toc314842500"/>
      <w:bookmarkStart w:id="56" w:name="_Toc163441353"/>
      <w:bookmarkStart w:id="57" w:name="_Toc163441348"/>
      <w:bookmarkStart w:id="58" w:name="_Toc20301896"/>
      <w:r>
        <w:t xml:space="preserve">V. </w:t>
      </w:r>
      <w:r w:rsidRPr="00254787">
        <w:t>Clinical</w:t>
      </w:r>
      <w:bookmarkEnd w:id="53"/>
      <w:r>
        <w:t xml:space="preserve"> </w:t>
      </w:r>
      <w:r w:rsidR="003A7F6C">
        <w:t>f</w:t>
      </w:r>
      <w:r>
        <w:t>indings</w:t>
      </w:r>
      <w:bookmarkEnd w:id="54"/>
      <w:bookmarkEnd w:id="55"/>
      <w:bookmarkEnd w:id="58"/>
    </w:p>
    <w:p w14:paraId="0CBAC965" w14:textId="77777777" w:rsidR="00C80137" w:rsidRDefault="00C80137" w:rsidP="00D03967">
      <w:bookmarkStart w:id="59" w:name="_Toc196046463"/>
      <w:r>
        <w:t xml:space="preserve">A summary of the </w:t>
      </w:r>
      <w:r w:rsidRPr="00FD70B8">
        <w:t>clinical findings is presented in this section.</w:t>
      </w:r>
    </w:p>
    <w:p w14:paraId="74CCE415" w14:textId="77777777" w:rsidR="008E7846" w:rsidRDefault="008E7846" w:rsidP="008E7846">
      <w:pPr>
        <w:pStyle w:val="Heading3"/>
      </w:pPr>
      <w:bookmarkStart w:id="60" w:name="_Toc247691517"/>
      <w:bookmarkStart w:id="61" w:name="_Toc314842501"/>
      <w:bookmarkStart w:id="62" w:name="_Toc20301897"/>
      <w:r w:rsidRPr="00254787">
        <w:t>Introduction</w:t>
      </w:r>
      <w:bookmarkEnd w:id="59"/>
      <w:bookmarkEnd w:id="60"/>
      <w:bookmarkEnd w:id="61"/>
      <w:bookmarkEnd w:id="62"/>
    </w:p>
    <w:p w14:paraId="7356E2E6" w14:textId="77777777" w:rsidR="00A25B9F" w:rsidRDefault="00A25B9F" w:rsidP="00A25B9F">
      <w:pPr>
        <w:pStyle w:val="Heading4"/>
      </w:pPr>
      <w:bookmarkStart w:id="63" w:name="_Toc512808657"/>
      <w:r w:rsidRPr="00E709B3">
        <w:t>Information on the condition being treated</w:t>
      </w:r>
      <w:bookmarkEnd w:id="63"/>
    </w:p>
    <w:p w14:paraId="674B99B3" w14:textId="77777777" w:rsidR="00A25B9F" w:rsidRDefault="004D03E1" w:rsidP="00D03967">
      <w:pPr>
        <w:rPr>
          <w:lang w:eastAsia="ja-JP"/>
        </w:rPr>
      </w:pPr>
      <w:r>
        <w:t>Ulcerative colitis</w:t>
      </w:r>
      <w:r w:rsidR="00A25B9F" w:rsidRPr="00DD1303">
        <w:t xml:space="preserve"> is a chronic, relapsing, inflammatory disease of the colon characteri</w:t>
      </w:r>
      <w:r w:rsidR="00A25B9F">
        <w:t>s</w:t>
      </w:r>
      <w:r w:rsidR="00A25B9F" w:rsidRPr="00DD1303">
        <w:t>ed by alternating</w:t>
      </w:r>
      <w:r w:rsidR="00A25B9F">
        <w:t xml:space="preserve"> </w:t>
      </w:r>
      <w:r w:rsidR="00A25B9F" w:rsidRPr="00DD1303">
        <w:t>episodes of spontaneous remission and relapse.</w:t>
      </w:r>
      <w:r w:rsidR="00A25B9F">
        <w:t xml:space="preserve"> The</w:t>
      </w:r>
      <w:r w:rsidR="00A25B9F" w:rsidRPr="00F63E35">
        <w:t xml:space="preserve"> pathogenesis </w:t>
      </w:r>
      <w:r w:rsidR="00A25B9F">
        <w:t xml:space="preserve">of UC </w:t>
      </w:r>
      <w:r w:rsidR="00A25B9F" w:rsidRPr="00F63E35">
        <w:t>involves the complex</w:t>
      </w:r>
      <w:r w:rsidR="00A25B9F">
        <w:t xml:space="preserve"> </w:t>
      </w:r>
      <w:r w:rsidR="00A25B9F" w:rsidRPr="00F63E35">
        <w:t>interaction of genetic predisposition, epithelial barrier defects, dysregulated host immune</w:t>
      </w:r>
      <w:r w:rsidR="00A25B9F">
        <w:t xml:space="preserve"> </w:t>
      </w:r>
      <w:r w:rsidR="00A25B9F" w:rsidRPr="00F63E35">
        <w:t>responses and environmental factor</w:t>
      </w:r>
      <w:r w:rsidR="00A25B9F">
        <w:t>s. Clinically, UC is characteris</w:t>
      </w:r>
      <w:r w:rsidR="00A25B9F" w:rsidRPr="00F63E35">
        <w:t>ed by colonic mucosal</w:t>
      </w:r>
      <w:r w:rsidR="00A25B9F">
        <w:t xml:space="preserve"> </w:t>
      </w:r>
      <w:r w:rsidR="00A25B9F" w:rsidRPr="00F63E35">
        <w:t>ulcer</w:t>
      </w:r>
      <w:r w:rsidR="00A25B9F">
        <w:t>ation. Its course is characteris</w:t>
      </w:r>
      <w:r w:rsidR="00A25B9F" w:rsidRPr="00F63E35">
        <w:t xml:space="preserve">ed by intermittent flares interposed between variable periods of remission. The disease may present at any age, </w:t>
      </w:r>
      <w:r w:rsidR="00A25B9F">
        <w:t>with</w:t>
      </w:r>
      <w:r w:rsidR="00A25B9F" w:rsidRPr="00F63E35">
        <w:t xml:space="preserve"> peak incidence from the second to the fourth decades. </w:t>
      </w:r>
      <w:r w:rsidR="00A25B9F">
        <w:t>I</w:t>
      </w:r>
      <w:r w:rsidR="00A25B9F" w:rsidRPr="00F63E35">
        <w:t>ncidence of</w:t>
      </w:r>
      <w:r w:rsidR="00A25B9F">
        <w:t xml:space="preserve"> </w:t>
      </w:r>
      <w:r w:rsidR="00A25B9F" w:rsidRPr="00F63E35">
        <w:t xml:space="preserve">UC has increased consistently </w:t>
      </w:r>
      <w:r w:rsidR="00A25B9F">
        <w:t>worldwide</w:t>
      </w:r>
      <w:r w:rsidR="00A25B9F" w:rsidRPr="00F63E35">
        <w:t xml:space="preserve"> over the past 50</w:t>
      </w:r>
      <w:r w:rsidR="00A25B9F">
        <w:t xml:space="preserve"> </w:t>
      </w:r>
      <w:r w:rsidR="00A25B9F" w:rsidRPr="00F63E35">
        <w:t>years.</w:t>
      </w:r>
    </w:p>
    <w:p w14:paraId="5A544383" w14:textId="0240D69B" w:rsidR="00A25B9F" w:rsidRPr="00F63E35" w:rsidRDefault="00A25B9F" w:rsidP="00D03967">
      <w:pPr>
        <w:rPr>
          <w:lang w:eastAsia="ja-JP"/>
        </w:rPr>
      </w:pPr>
      <w:r w:rsidRPr="00F63E35">
        <w:t>The primary goal of therapy for UC is to rapidly induce remission when the disease is in an</w:t>
      </w:r>
      <w:r>
        <w:t xml:space="preserve"> </w:t>
      </w:r>
      <w:r w:rsidRPr="00F63E35">
        <w:t>acute flare and to maintain remission without long-term use of corticosteroids, while improving</w:t>
      </w:r>
      <w:r>
        <w:t xml:space="preserve"> </w:t>
      </w:r>
      <w:r w:rsidRPr="00F63E35">
        <w:t>and maintaining a satisfactory quality of life (</w:t>
      </w:r>
      <w:proofErr w:type="spellStart"/>
      <w:r w:rsidRPr="00F63E35">
        <w:t>QoL</w:t>
      </w:r>
      <w:proofErr w:type="spellEnd"/>
      <w:r w:rsidRPr="00F63E35">
        <w:t xml:space="preserve">). </w:t>
      </w:r>
      <w:r>
        <w:t>Further goals include t</w:t>
      </w:r>
      <w:r w:rsidRPr="00F63E35">
        <w:t>he minimisation of disease and</w:t>
      </w:r>
      <w:r>
        <w:t xml:space="preserve"> </w:t>
      </w:r>
      <w:r w:rsidRPr="00F63E35">
        <w:t>treatment complications</w:t>
      </w:r>
      <w:r>
        <w:t>,</w:t>
      </w:r>
      <w:r w:rsidRPr="00F63E35">
        <w:t xml:space="preserve"> and avoidance of surgery. As noted in</w:t>
      </w:r>
      <w:r>
        <w:t xml:space="preserve"> </w:t>
      </w:r>
      <w:r w:rsidRPr="00F63E35">
        <w:t xml:space="preserve">the European Medicines Agency (EMA) guideline on </w:t>
      </w:r>
      <w:r w:rsidR="003B27DF">
        <w:t>ulcerative colitis</w:t>
      </w:r>
      <w:r w:rsidRPr="00F63E35">
        <w:t>,</w:t>
      </w:r>
      <w:bookmarkStart w:id="64" w:name="_Ref13729303"/>
      <w:r w:rsidR="001916B6">
        <w:rPr>
          <w:rStyle w:val="FootnoteReference"/>
        </w:rPr>
        <w:footnoteReference w:id="2"/>
      </w:r>
      <w:bookmarkEnd w:id="64"/>
      <w:r w:rsidRPr="00F63E35">
        <w:t xml:space="preserve"> 5</w:t>
      </w:r>
      <w:r w:rsidR="003B27DF">
        <w:noBreakHyphen/>
      </w:r>
      <w:r w:rsidRPr="00F63E35">
        <w:t xml:space="preserve">aminosalicylic acid (5-ASA) may be considered the mainstay of therapy for mild to moderate UC, but </w:t>
      </w:r>
      <w:r>
        <w:t xml:space="preserve">is </w:t>
      </w:r>
      <w:r w:rsidRPr="00F63E35">
        <w:t>not specifically indicated for treatment of moderately to severely active disease.</w:t>
      </w:r>
    </w:p>
    <w:p w14:paraId="6DAEF079" w14:textId="77777777" w:rsidR="00A25B9F" w:rsidRPr="00A74895" w:rsidRDefault="00A25B9F" w:rsidP="00A25B9F">
      <w:pPr>
        <w:pStyle w:val="Heading4"/>
      </w:pPr>
      <w:bookmarkStart w:id="65" w:name="_Toc512808658"/>
      <w:r w:rsidRPr="00A74895">
        <w:t>Current treatment options</w:t>
      </w:r>
      <w:bookmarkEnd w:id="65"/>
    </w:p>
    <w:p w14:paraId="6B4C43C5" w14:textId="77777777" w:rsidR="00A25B9F" w:rsidRPr="00A74895" w:rsidRDefault="00A25B9F" w:rsidP="00505CA3">
      <w:r>
        <w:t>C</w:t>
      </w:r>
      <w:r w:rsidRPr="00A74895">
        <w:t>urrent treatment options for moderately to</w:t>
      </w:r>
      <w:r>
        <w:t xml:space="preserve"> </w:t>
      </w:r>
      <w:r w:rsidRPr="00A74895">
        <w:t xml:space="preserve">severely active UC include corticosteroids, </w:t>
      </w:r>
      <w:proofErr w:type="spellStart"/>
      <w:r w:rsidRPr="00A74895">
        <w:t>immunosuppressants</w:t>
      </w:r>
      <w:proofErr w:type="spellEnd"/>
      <w:r w:rsidRPr="00A74895">
        <w:t xml:space="preserve"> such as </w:t>
      </w:r>
      <w:r w:rsidR="001916B6">
        <w:t>AZA</w:t>
      </w:r>
      <w:r>
        <w:t xml:space="preserve"> </w:t>
      </w:r>
      <w:r w:rsidRPr="00A74895">
        <w:t xml:space="preserve">and </w:t>
      </w:r>
      <w:r w:rsidR="001916B6">
        <w:t>6-MP</w:t>
      </w:r>
      <w:r w:rsidRPr="00A74895">
        <w:t xml:space="preserve">, </w:t>
      </w:r>
      <w:proofErr w:type="spellStart"/>
      <w:r w:rsidRPr="00A74895">
        <w:t>TNFi</w:t>
      </w:r>
      <w:proofErr w:type="spellEnd"/>
      <w:r>
        <w:t xml:space="preserve"> such as </w:t>
      </w:r>
      <w:r w:rsidRPr="00A74895">
        <w:t>infliximab,</w:t>
      </w:r>
      <w:r>
        <w:t xml:space="preserve"> </w:t>
      </w:r>
      <w:proofErr w:type="spellStart"/>
      <w:r w:rsidRPr="00A74895">
        <w:t>adalimumab</w:t>
      </w:r>
      <w:proofErr w:type="spellEnd"/>
      <w:r w:rsidRPr="00A74895">
        <w:t xml:space="preserve"> and </w:t>
      </w:r>
      <w:proofErr w:type="spellStart"/>
      <w:r w:rsidRPr="00A74895">
        <w:t>golimumab</w:t>
      </w:r>
      <w:proofErr w:type="spellEnd"/>
      <w:r w:rsidRPr="00A74895">
        <w:t xml:space="preserve">, and anti-integrin </w:t>
      </w:r>
      <w:r>
        <w:t xml:space="preserve">treatments such as </w:t>
      </w:r>
      <w:proofErr w:type="spellStart"/>
      <w:r w:rsidR="00E53FFD">
        <w:t>vedolizumab</w:t>
      </w:r>
      <w:proofErr w:type="spellEnd"/>
      <w:r w:rsidR="00E53FFD">
        <w:t>.</w:t>
      </w:r>
    </w:p>
    <w:p w14:paraId="67D0D978" w14:textId="77777777" w:rsidR="00A25B9F" w:rsidRPr="00A74895" w:rsidRDefault="00A25B9F" w:rsidP="00505CA3">
      <w:r w:rsidRPr="00A74895">
        <w:t>Corticostero</w:t>
      </w:r>
      <w:r>
        <w:t>ids are used during acute flare. H</w:t>
      </w:r>
      <w:r w:rsidRPr="00A74895">
        <w:t>owever, corticosteroids are associated with</w:t>
      </w:r>
      <w:r>
        <w:t xml:space="preserve"> </w:t>
      </w:r>
      <w:r w:rsidRPr="00A74895">
        <w:t>significant problems with intolerance and side effects, and have no role in maintenance. A</w:t>
      </w:r>
      <w:r>
        <w:t xml:space="preserve"> </w:t>
      </w:r>
      <w:r w:rsidRPr="00A74895">
        <w:lastRenderedPageBreak/>
        <w:t>substantial proportion of patients with moderately to severe</w:t>
      </w:r>
      <w:r w:rsidR="002F6B9B">
        <w:t xml:space="preserve">ly active UC fail to respond to </w:t>
      </w:r>
      <w:proofErr w:type="spellStart"/>
      <w:r w:rsidRPr="00A74895">
        <w:t>TNFi</w:t>
      </w:r>
      <w:proofErr w:type="spellEnd"/>
      <w:r w:rsidRPr="00A74895">
        <w:t xml:space="preserve"> agents either initially (primary non-response) or lose their initial response (secondary</w:t>
      </w:r>
      <w:r>
        <w:t xml:space="preserve"> </w:t>
      </w:r>
      <w:r w:rsidRPr="00A74895">
        <w:t xml:space="preserve">non-response). Patients who have failed </w:t>
      </w:r>
      <w:proofErr w:type="spellStart"/>
      <w:r w:rsidRPr="00A74895">
        <w:t>TNFi</w:t>
      </w:r>
      <w:proofErr w:type="spellEnd"/>
      <w:r w:rsidRPr="00A74895">
        <w:t>, whether primary or secondary</w:t>
      </w:r>
      <w:r>
        <w:t xml:space="preserve"> </w:t>
      </w:r>
      <w:r w:rsidRPr="00A74895">
        <w:t xml:space="preserve">nonresponse, have limited treatment options given the limited effectiveness of other </w:t>
      </w:r>
      <w:proofErr w:type="spellStart"/>
      <w:r w:rsidRPr="00A74895">
        <w:t>TNFi</w:t>
      </w:r>
      <w:proofErr w:type="spellEnd"/>
      <w:r w:rsidRPr="00A74895">
        <w:t xml:space="preserve"> or</w:t>
      </w:r>
      <w:r>
        <w:t xml:space="preserve"> </w:t>
      </w:r>
      <w:proofErr w:type="spellStart"/>
      <w:r w:rsidRPr="00A74895">
        <w:t>vedolizumab</w:t>
      </w:r>
      <w:proofErr w:type="spellEnd"/>
      <w:r w:rsidRPr="00A74895">
        <w:t xml:space="preserve"> in these patients. The onset of action with </w:t>
      </w:r>
      <w:proofErr w:type="spellStart"/>
      <w:r w:rsidRPr="00A74895">
        <w:t>vedolizumab</w:t>
      </w:r>
      <w:proofErr w:type="spellEnd"/>
      <w:r w:rsidRPr="00A74895">
        <w:t xml:space="preserve"> is not viewed as rapid</w:t>
      </w:r>
      <w:r>
        <w:t xml:space="preserve">, </w:t>
      </w:r>
      <w:r w:rsidRPr="00A74895">
        <w:t xml:space="preserve">which may limit its </w:t>
      </w:r>
      <w:r>
        <w:t>use</w:t>
      </w:r>
      <w:r w:rsidRPr="00A74895">
        <w:t xml:space="preserve"> in patients suffering from moderately to severely active flare and</w:t>
      </w:r>
      <w:r>
        <w:t xml:space="preserve"> </w:t>
      </w:r>
      <w:r w:rsidRPr="00A74895">
        <w:t xml:space="preserve">therefore in need of rapid relief. In addition, the induction benefit of </w:t>
      </w:r>
      <w:proofErr w:type="spellStart"/>
      <w:r w:rsidRPr="00A74895">
        <w:t>vedolizumab</w:t>
      </w:r>
      <w:proofErr w:type="spellEnd"/>
      <w:r w:rsidRPr="00A74895">
        <w:t xml:space="preserve"> appears</w:t>
      </w:r>
      <w:r>
        <w:t xml:space="preserve"> </w:t>
      </w:r>
      <w:r w:rsidRPr="00A74895">
        <w:t xml:space="preserve">to be mostly in patients who had not previously failed </w:t>
      </w:r>
      <w:proofErr w:type="spellStart"/>
      <w:r w:rsidRPr="00A74895">
        <w:t>TNFi</w:t>
      </w:r>
      <w:proofErr w:type="spellEnd"/>
      <w:r w:rsidRPr="00A74895">
        <w:t xml:space="preserve"> agents.</w:t>
      </w:r>
    </w:p>
    <w:p w14:paraId="5233C901" w14:textId="77777777" w:rsidR="00A25B9F" w:rsidRPr="00A25B9F" w:rsidRDefault="00A25B9F" w:rsidP="00505CA3">
      <w:r w:rsidRPr="00A74895">
        <w:t>Colectomy is generally considered last resort and is indicated only for refractory disease</w:t>
      </w:r>
      <w:r>
        <w:t xml:space="preserve"> </w:t>
      </w:r>
      <w:r w:rsidRPr="00A74895">
        <w:t>unresponsive to medical therapies, into</w:t>
      </w:r>
      <w:r>
        <w:t>lerable medication side effects</w:t>
      </w:r>
      <w:r w:rsidRPr="00A74895">
        <w:t xml:space="preserve"> and complications such</w:t>
      </w:r>
      <w:r>
        <w:t xml:space="preserve"> </w:t>
      </w:r>
      <w:r w:rsidRPr="00A74895">
        <w:t>as uncontrolled gastrointestinal (GI) bleeding, perforation and dysplasia/carcinoma.</w:t>
      </w:r>
      <w:r>
        <w:t xml:space="preserve"> </w:t>
      </w:r>
      <w:r w:rsidRPr="00A74895">
        <w:t xml:space="preserve">Colectomy can have a negative impact on </w:t>
      </w:r>
      <w:proofErr w:type="spellStart"/>
      <w:r w:rsidRPr="00A74895">
        <w:t>QoL</w:t>
      </w:r>
      <w:proofErr w:type="spellEnd"/>
      <w:r w:rsidRPr="00A74895">
        <w:t xml:space="preserve"> and i</w:t>
      </w:r>
      <w:r w:rsidR="001916B6">
        <w:t xml:space="preserve">s associated with common, short </w:t>
      </w:r>
      <w:r w:rsidRPr="00A74895">
        <w:t>term and</w:t>
      </w:r>
      <w:r>
        <w:t xml:space="preserve"> </w:t>
      </w:r>
      <w:r w:rsidR="001916B6">
        <w:t xml:space="preserve">long </w:t>
      </w:r>
      <w:r w:rsidRPr="00A74895">
        <w:t>term complications.</w:t>
      </w:r>
    </w:p>
    <w:p w14:paraId="27B3013C" w14:textId="77777777" w:rsidR="00605AD4" w:rsidRPr="00A25B9F" w:rsidRDefault="00605AD4" w:rsidP="00A25B9F">
      <w:pPr>
        <w:pStyle w:val="Heading4"/>
      </w:pPr>
      <w:bookmarkStart w:id="66" w:name="_Toc196046464"/>
      <w:bookmarkStart w:id="67" w:name="_Toc247691518"/>
      <w:bookmarkStart w:id="68" w:name="_Toc314842502"/>
      <w:r w:rsidRPr="00A25B9F">
        <w:t xml:space="preserve">Clinical </w:t>
      </w:r>
      <w:r w:rsidR="00EF59DC" w:rsidRPr="00A25B9F">
        <w:t>r</w:t>
      </w:r>
      <w:r w:rsidRPr="00A25B9F">
        <w:t>ationale</w:t>
      </w:r>
    </w:p>
    <w:p w14:paraId="1943146B" w14:textId="77777777" w:rsidR="00500337" w:rsidRPr="00500337" w:rsidRDefault="00A25B9F" w:rsidP="00505CA3">
      <w:r>
        <w:t>T</w:t>
      </w:r>
      <w:r w:rsidRPr="007D2D92">
        <w:t>here is</w:t>
      </w:r>
      <w:r w:rsidRPr="00A74895">
        <w:t xml:space="preserve"> a significant unmet need in patients with moderately to severely active UC</w:t>
      </w:r>
      <w:r>
        <w:t xml:space="preserve"> </w:t>
      </w:r>
      <w:r w:rsidRPr="00A74895">
        <w:t xml:space="preserve">who have previously failed corticosteroids, AZA/6-MP, or biologics such as </w:t>
      </w:r>
      <w:proofErr w:type="spellStart"/>
      <w:r w:rsidRPr="00A74895">
        <w:t>TNFi</w:t>
      </w:r>
      <w:proofErr w:type="spellEnd"/>
      <w:r w:rsidRPr="00A74895">
        <w:t>.</w:t>
      </w:r>
      <w:r>
        <w:t xml:space="preserve"> Importantly</w:t>
      </w:r>
      <w:r w:rsidRPr="00A74895">
        <w:t>, there is no single current therapeutic option that offers fast onset of action, strong induction and maintenance efficacy, as well as</w:t>
      </w:r>
      <w:r w:rsidR="001916B6">
        <w:t xml:space="preserve"> efficacy in the most difficult to </w:t>
      </w:r>
      <w:r w:rsidRPr="00A74895">
        <w:t>treat</w:t>
      </w:r>
      <w:r>
        <w:t xml:space="preserve"> patient population. The </w:t>
      </w:r>
      <w:r w:rsidRPr="00A74895">
        <w:t>gastroenterology field is in need of a treatment that offers an advance</w:t>
      </w:r>
      <w:r>
        <w:t xml:space="preserve"> </w:t>
      </w:r>
      <w:r w:rsidRPr="00A74895">
        <w:t>from 5-ASA, is not a steroid or biological</w:t>
      </w:r>
      <w:r>
        <w:t xml:space="preserve"> </w:t>
      </w:r>
      <w:r w:rsidR="001916B6">
        <w:t>DMARD</w:t>
      </w:r>
      <w:r w:rsidRPr="00A74895">
        <w:t>, and is not an injection.</w:t>
      </w:r>
      <w:r w:rsidR="005F7896">
        <w:t xml:space="preserve"> </w:t>
      </w:r>
      <w:proofErr w:type="spellStart"/>
      <w:r w:rsidRPr="00A74895">
        <w:t>Tofacitinib</w:t>
      </w:r>
      <w:proofErr w:type="spellEnd"/>
      <w:r w:rsidRPr="00A74895">
        <w:t xml:space="preserve"> has</w:t>
      </w:r>
      <w:r>
        <w:t xml:space="preserve"> </w:t>
      </w:r>
      <w:r w:rsidRPr="00A74895">
        <w:t>the potential to provide a major contribution to patient care by offering a significant clinical</w:t>
      </w:r>
      <w:r>
        <w:t xml:space="preserve"> </w:t>
      </w:r>
      <w:r w:rsidRPr="00A74895">
        <w:t>benefit over existing treatment options for patients with moderately to severely active UC.</w:t>
      </w:r>
    </w:p>
    <w:p w14:paraId="3D731A7F" w14:textId="77777777" w:rsidR="00605AD4" w:rsidRDefault="00605AD4" w:rsidP="00605AD4">
      <w:pPr>
        <w:pStyle w:val="Heading4"/>
      </w:pPr>
      <w:r w:rsidRPr="00605AD4">
        <w:t>Guidance</w:t>
      </w:r>
    </w:p>
    <w:p w14:paraId="03CC5AE0" w14:textId="77777777" w:rsidR="005F7896" w:rsidRDefault="002F6B9B" w:rsidP="00505CA3">
      <w:r>
        <w:t xml:space="preserve">The </w:t>
      </w:r>
      <w:r w:rsidR="00A25B9F">
        <w:t>TGA did not have a</w:t>
      </w:r>
      <w:r w:rsidR="00A25B9F" w:rsidRPr="00CD020C">
        <w:t xml:space="preserve"> pre-submission meeting</w:t>
      </w:r>
      <w:r w:rsidR="00A25B9F">
        <w:t xml:space="preserve"> with the sponsor in respect of this application</w:t>
      </w:r>
      <w:r w:rsidR="00A25B9F" w:rsidRPr="00CD020C">
        <w:t>. The following</w:t>
      </w:r>
      <w:r w:rsidR="00A25B9F">
        <w:t xml:space="preserve"> European</w:t>
      </w:r>
      <w:r w:rsidR="00A25B9F" w:rsidRPr="00CD020C">
        <w:t xml:space="preserve"> </w:t>
      </w:r>
      <w:r w:rsidR="00A25B9F">
        <w:t>adopted g</w:t>
      </w:r>
      <w:r w:rsidR="00A25B9F" w:rsidRPr="00CD020C">
        <w:t>uideline</w:t>
      </w:r>
      <w:r w:rsidR="00A25B9F">
        <w:t xml:space="preserve"> (referred to as the ‘Adopted Guideline’)</w:t>
      </w:r>
      <w:r w:rsidR="00A25B9F" w:rsidRPr="00CD020C">
        <w:t xml:space="preserve"> </w:t>
      </w:r>
      <w:r w:rsidR="00A25B9F">
        <w:t>was</w:t>
      </w:r>
      <w:r w:rsidR="00A25B9F" w:rsidRPr="00CD020C">
        <w:t xml:space="preserve"> </w:t>
      </w:r>
      <w:r w:rsidR="001916B6">
        <w:t>principally used in the clinical report</w:t>
      </w:r>
      <w:r w:rsidR="005F7896">
        <w:t>:</w:t>
      </w:r>
    </w:p>
    <w:p w14:paraId="51C6E398" w14:textId="77777777" w:rsidR="00A25B9F" w:rsidRPr="001916B6" w:rsidRDefault="001916B6" w:rsidP="001916B6">
      <w:pPr>
        <w:pStyle w:val="ListBullet"/>
      </w:pPr>
      <w:r>
        <w:t xml:space="preserve">EMA </w:t>
      </w:r>
      <w:r w:rsidR="00A25B9F" w:rsidRPr="001916B6">
        <w:t>Guideline on the Development of New Medicinal Products for the T</w:t>
      </w:r>
      <w:r>
        <w:t>reatment of Ulcerative Colitis.</w:t>
      </w:r>
      <w:r>
        <w:fldChar w:fldCharType="begin"/>
      </w:r>
      <w:r>
        <w:instrText xml:space="preserve"> NOTEREF _Ref13729303 \f \h </w:instrText>
      </w:r>
      <w:r>
        <w:fldChar w:fldCharType="separate"/>
      </w:r>
      <w:r w:rsidRPr="001916B6">
        <w:rPr>
          <w:rStyle w:val="FootnoteReference"/>
        </w:rPr>
        <w:t>2</w:t>
      </w:r>
      <w:r>
        <w:fldChar w:fldCharType="end"/>
      </w:r>
    </w:p>
    <w:p w14:paraId="56161C1A" w14:textId="77777777" w:rsidR="00A25B9F" w:rsidRDefault="00A25B9F" w:rsidP="00505CA3">
      <w:r>
        <w:t xml:space="preserve">Notwithstanding the following draft consultation/guideline, cited by the sponsor for some </w:t>
      </w:r>
      <w:r w:rsidRPr="00020D45">
        <w:rPr>
          <w:i/>
        </w:rPr>
        <w:t>post-hoc</w:t>
      </w:r>
      <w:r>
        <w:t xml:space="preserve"> analyses, may not yet have been accepted by the Committee for Medicinal Products for Human Use (CHMP), and the efficacy data provided in this submission dossier precedes this document, this evaluation will consider the submitted data in relation to this draft document to assess whether study design and methodologies are consistent across documents.</w:t>
      </w:r>
    </w:p>
    <w:p w14:paraId="29410224" w14:textId="77777777" w:rsidR="00500337" w:rsidRPr="00A25B9F" w:rsidRDefault="00741BA1" w:rsidP="00741BA1">
      <w:pPr>
        <w:pStyle w:val="ListBullet"/>
      </w:pPr>
      <w:r>
        <w:t xml:space="preserve">EMA </w:t>
      </w:r>
      <w:r w:rsidR="00A25B9F" w:rsidRPr="00673972">
        <w:t>Draft guideline on the development of new medicinal products for the treatment of Ulcerative Colitis</w:t>
      </w:r>
      <w:r>
        <w:t>.</w:t>
      </w:r>
      <w:bookmarkStart w:id="69" w:name="_Ref13732484"/>
      <w:r>
        <w:rPr>
          <w:rStyle w:val="FootnoteReference"/>
        </w:rPr>
        <w:footnoteReference w:id="3"/>
      </w:r>
      <w:bookmarkEnd w:id="69"/>
    </w:p>
    <w:p w14:paraId="3DFBD9BF" w14:textId="77777777" w:rsidR="00605AD4" w:rsidRDefault="00605AD4" w:rsidP="00605AD4">
      <w:pPr>
        <w:pStyle w:val="Heading4"/>
      </w:pPr>
      <w:r w:rsidRPr="00605AD4">
        <w:t>Contents of the clinical dossier</w:t>
      </w:r>
    </w:p>
    <w:p w14:paraId="01DD56D9" w14:textId="77777777" w:rsidR="00A25B9F" w:rsidRDefault="00A25B9F" w:rsidP="00505CA3">
      <w:r>
        <w:t>The dossier documented a development program of dose-finding, pivotal and one long-term clinical trial relating to the proposed extension of indication. However, pharmacology data was limited to a single population pharmacokinetic (</w:t>
      </w:r>
      <w:proofErr w:type="spellStart"/>
      <w:r>
        <w:t>PopPK</w:t>
      </w:r>
      <w:proofErr w:type="spellEnd"/>
      <w:r>
        <w:t>) analysis.</w:t>
      </w:r>
    </w:p>
    <w:p w14:paraId="235969DF" w14:textId="77777777" w:rsidR="00A25B9F" w:rsidRPr="00A5616C" w:rsidRDefault="00A25B9F" w:rsidP="00505CA3">
      <w:r w:rsidRPr="00A5616C">
        <w:t>The submission contained the following clinical information:</w:t>
      </w:r>
    </w:p>
    <w:p w14:paraId="383F5BD8" w14:textId="77777777" w:rsidR="00A25B9F" w:rsidRPr="00A833A2" w:rsidRDefault="00741BA1" w:rsidP="00505CA3">
      <w:r>
        <w:lastRenderedPageBreak/>
        <w:t>Clinical dossier</w:t>
      </w:r>
    </w:p>
    <w:p w14:paraId="71B3310D" w14:textId="77777777" w:rsidR="00A25B9F" w:rsidRDefault="00A25B9F" w:rsidP="00A25B9F">
      <w:pPr>
        <w:pStyle w:val="ListBullet"/>
      </w:pPr>
      <w:r>
        <w:t xml:space="preserve">1 </w:t>
      </w:r>
      <w:proofErr w:type="spellStart"/>
      <w:r>
        <w:t>PopPK</w:t>
      </w:r>
      <w:proofErr w:type="spellEnd"/>
      <w:r>
        <w:t xml:space="preserve"> analysis (PMAR-EQDD-A392i-sNDA-513)</w:t>
      </w:r>
      <w:r w:rsidR="00741BA1">
        <w:t>.</w:t>
      </w:r>
    </w:p>
    <w:p w14:paraId="026DB9C9" w14:textId="067255BD" w:rsidR="00A25B9F" w:rsidRDefault="00A25B9F" w:rsidP="00A25B9F">
      <w:pPr>
        <w:pStyle w:val="ListBullet"/>
      </w:pPr>
      <w:r>
        <w:t xml:space="preserve">1 pivotal </w:t>
      </w:r>
      <w:r w:rsidR="00B7366A">
        <w:t>Phase</w:t>
      </w:r>
      <w:r>
        <w:t xml:space="preserve"> II dose-finding/induction study </w:t>
      </w:r>
      <w:r w:rsidRPr="00A833A2">
        <w:t>(</w:t>
      </w:r>
      <w:r w:rsidR="00812C35">
        <w:t xml:space="preserve">Study </w:t>
      </w:r>
      <w:r w:rsidRPr="00A833A2">
        <w:t>A392109</w:t>
      </w:r>
      <w:r>
        <w:t>3</w:t>
      </w:r>
      <w:r w:rsidRPr="00A833A2">
        <w:t>)</w:t>
      </w:r>
      <w:r w:rsidR="00741BA1">
        <w:t>.</w:t>
      </w:r>
    </w:p>
    <w:p w14:paraId="467D0373" w14:textId="6B4FD6A6" w:rsidR="00A25B9F" w:rsidRPr="00A833A2" w:rsidRDefault="00A25B9F" w:rsidP="00A25B9F">
      <w:pPr>
        <w:pStyle w:val="ListBullet"/>
      </w:pPr>
      <w:r w:rsidRPr="00A833A2">
        <w:t xml:space="preserve">2 pivotal </w:t>
      </w:r>
      <w:r w:rsidR="00B7366A">
        <w:t>Phase</w:t>
      </w:r>
      <w:r>
        <w:t xml:space="preserve"> III </w:t>
      </w:r>
      <w:r w:rsidRPr="00A833A2">
        <w:t>efficacy/safety induction studies (</w:t>
      </w:r>
      <w:r w:rsidR="00812C35">
        <w:t xml:space="preserve">Studies </w:t>
      </w:r>
      <w:r w:rsidRPr="00A833A2">
        <w:t xml:space="preserve">A3921094 </w:t>
      </w:r>
      <w:r w:rsidR="00741BA1">
        <w:t>and</w:t>
      </w:r>
      <w:r w:rsidRPr="00A833A2">
        <w:t xml:space="preserve"> A3921095)</w:t>
      </w:r>
      <w:r w:rsidR="00741BA1">
        <w:t>.</w:t>
      </w:r>
    </w:p>
    <w:p w14:paraId="44FA2BCB" w14:textId="70EA97D6" w:rsidR="00A25B9F" w:rsidRDefault="00A25B9F" w:rsidP="00A25B9F">
      <w:pPr>
        <w:pStyle w:val="ListBullet"/>
      </w:pPr>
      <w:r w:rsidRPr="00A833A2">
        <w:t xml:space="preserve">1 pivotal </w:t>
      </w:r>
      <w:r w:rsidR="00B7366A">
        <w:t>Phase</w:t>
      </w:r>
      <w:r>
        <w:t xml:space="preserve"> III </w:t>
      </w:r>
      <w:r w:rsidRPr="00A833A2">
        <w:t>efficacy/safety maintenance study (</w:t>
      </w:r>
      <w:r w:rsidR="00812C35">
        <w:t xml:space="preserve">Study </w:t>
      </w:r>
      <w:r w:rsidRPr="00A833A2">
        <w:t>A3921096)</w:t>
      </w:r>
      <w:r w:rsidR="00741BA1">
        <w:t>.</w:t>
      </w:r>
    </w:p>
    <w:p w14:paraId="4C6EF37F" w14:textId="72CFDE68" w:rsidR="00A25B9F" w:rsidRDefault="00A25B9F" w:rsidP="00A25B9F">
      <w:pPr>
        <w:pStyle w:val="ListBullet"/>
      </w:pPr>
      <w:r>
        <w:t>1 other long-term efficacy/safety study (</w:t>
      </w:r>
      <w:r w:rsidR="00812C35">
        <w:t xml:space="preserve">Study </w:t>
      </w:r>
      <w:r>
        <w:t>A3921139)</w:t>
      </w:r>
      <w:r w:rsidR="00741BA1">
        <w:t>.</w:t>
      </w:r>
    </w:p>
    <w:p w14:paraId="5780266D" w14:textId="77777777" w:rsidR="00A25B9F" w:rsidRDefault="00A25B9F" w:rsidP="00A25B9F">
      <w:pPr>
        <w:pStyle w:val="ListBullet"/>
      </w:pPr>
      <w:r>
        <w:t>Other reports:</w:t>
      </w:r>
    </w:p>
    <w:p w14:paraId="6A4F14E3" w14:textId="77777777" w:rsidR="00A25B9F" w:rsidRDefault="00A25B9F" w:rsidP="00A25B9F">
      <w:pPr>
        <w:pStyle w:val="ListBullet2"/>
      </w:pPr>
      <w:r>
        <w:t>3 population modelling analysis reports (PMARs) for efficacy in patients with UC (PMAR-EQDD-A392i-sNDA-512; PMAR-EQDD-A392i-sNDA-680)</w:t>
      </w:r>
      <w:r w:rsidR="00741BA1">
        <w:t>.</w:t>
      </w:r>
    </w:p>
    <w:p w14:paraId="76E13AE1" w14:textId="77777777" w:rsidR="00A25B9F" w:rsidRDefault="00A25B9F" w:rsidP="00A25B9F">
      <w:pPr>
        <w:pStyle w:val="ListBullet2"/>
      </w:pPr>
      <w:r>
        <w:t xml:space="preserve">2 PMARs for safety in patients with UC (PMAR-EQDD-A392i-sNDA-514 </w:t>
      </w:r>
      <w:r w:rsidR="00741BA1">
        <w:t>and</w:t>
      </w:r>
      <w:r>
        <w:t xml:space="preserve"> PMAR safety meta-analysis for evaluating adverse events</w:t>
      </w:r>
      <w:r w:rsidR="00741BA1">
        <w:t>.</w:t>
      </w:r>
      <w:r>
        <w:t>)</w:t>
      </w:r>
    </w:p>
    <w:p w14:paraId="399CB197" w14:textId="77777777" w:rsidR="00A25B9F" w:rsidRDefault="00741BA1" w:rsidP="00A25B9F">
      <w:pPr>
        <w:pStyle w:val="ListBullet2"/>
      </w:pPr>
      <w:r>
        <w:t>1 i</w:t>
      </w:r>
      <w:r w:rsidR="00A25B9F">
        <w:t>ntegrated summary of immunology</w:t>
      </w:r>
      <w:r>
        <w:t>.</w:t>
      </w:r>
    </w:p>
    <w:p w14:paraId="4B55BE67" w14:textId="77777777" w:rsidR="00A25B9F" w:rsidRDefault="00A25B9F" w:rsidP="00A25B9F">
      <w:pPr>
        <w:pStyle w:val="ListBullet2"/>
      </w:pPr>
      <w:r>
        <w:t xml:space="preserve">1 </w:t>
      </w:r>
      <w:proofErr w:type="spellStart"/>
      <w:r>
        <w:t>PopPK</w:t>
      </w:r>
      <w:proofErr w:type="spellEnd"/>
      <w:r>
        <w:t xml:space="preserve"> analysis </w:t>
      </w:r>
      <w:r w:rsidRPr="004F74CD">
        <w:t>in paediatric patients with UC</w:t>
      </w:r>
      <w:r>
        <w:t xml:space="preserve"> (</w:t>
      </w:r>
      <w:r w:rsidRPr="004F74CD">
        <w:t>PMAR-EQDD-A392i-sNDA-694</w:t>
      </w:r>
      <w:r>
        <w:t xml:space="preserve"> </w:t>
      </w:r>
      <w:r w:rsidR="00741BA1">
        <w:t>and</w:t>
      </w:r>
      <w:r w:rsidR="00B7366A">
        <w:t xml:space="preserve"> a</w:t>
      </w:r>
      <w:r>
        <w:t>ddendum)</w:t>
      </w:r>
      <w:r w:rsidR="00741BA1">
        <w:t>.</w:t>
      </w:r>
    </w:p>
    <w:p w14:paraId="33765960" w14:textId="77777777" w:rsidR="00A25B9F" w:rsidRDefault="00A25B9F" w:rsidP="00A25B9F">
      <w:pPr>
        <w:pStyle w:val="ListBullet2"/>
      </w:pPr>
      <w:r w:rsidRPr="004F74CD">
        <w:t xml:space="preserve">Lipids </w:t>
      </w:r>
      <w:r w:rsidR="00741BA1">
        <w:t>and</w:t>
      </w:r>
      <w:r w:rsidRPr="004F74CD">
        <w:t xml:space="preserve"> cardiovascular biomarker report derived from Study A3921078 (for chronic plaque psoriasis)</w:t>
      </w:r>
      <w:r w:rsidR="00741BA1">
        <w:t>.</w:t>
      </w:r>
    </w:p>
    <w:p w14:paraId="5E4F7730" w14:textId="52CD0375" w:rsidR="00A25B9F" w:rsidRDefault="00B7366A" w:rsidP="00A25B9F">
      <w:pPr>
        <w:pStyle w:val="ListBullet2"/>
      </w:pPr>
      <w:r>
        <w:t>1 P</w:t>
      </w:r>
      <w:r w:rsidR="00A25B9F" w:rsidRPr="004F74CD">
        <w:t xml:space="preserve">hase </w:t>
      </w:r>
      <w:proofErr w:type="spellStart"/>
      <w:r w:rsidR="00A25B9F" w:rsidRPr="004F74CD">
        <w:t>IIb</w:t>
      </w:r>
      <w:proofErr w:type="spellEnd"/>
      <w:r w:rsidR="00A25B9F" w:rsidRPr="004F74CD">
        <w:t xml:space="preserve"> efficacy/safety induction study in moderate to severe Crohn’s </w:t>
      </w:r>
      <w:r w:rsidR="00812C35">
        <w:t>d</w:t>
      </w:r>
      <w:r w:rsidR="00812C35" w:rsidRPr="004F74CD">
        <w:t xml:space="preserve">isease </w:t>
      </w:r>
      <w:r w:rsidR="00A25B9F" w:rsidRPr="004F74CD">
        <w:t>(</w:t>
      </w:r>
      <w:r w:rsidR="00812C35">
        <w:t xml:space="preserve">Study </w:t>
      </w:r>
      <w:r w:rsidR="00A25B9F" w:rsidRPr="004F74CD">
        <w:t>A3921083)</w:t>
      </w:r>
      <w:r w:rsidR="00741BA1">
        <w:t>.</w:t>
      </w:r>
    </w:p>
    <w:p w14:paraId="299C58EF" w14:textId="698902C1" w:rsidR="00A25B9F" w:rsidRDefault="00A25B9F" w:rsidP="00A25B9F">
      <w:pPr>
        <w:pStyle w:val="ListBullet2"/>
      </w:pPr>
      <w:r w:rsidRPr="004F74CD">
        <w:t xml:space="preserve">1 </w:t>
      </w:r>
      <w:r w:rsidR="00B7366A">
        <w:t>Phase</w:t>
      </w:r>
      <w:r w:rsidRPr="004F74CD">
        <w:t xml:space="preserve"> </w:t>
      </w:r>
      <w:proofErr w:type="spellStart"/>
      <w:r w:rsidRPr="004F74CD">
        <w:t>IIb</w:t>
      </w:r>
      <w:proofErr w:type="spellEnd"/>
      <w:r w:rsidRPr="004F74CD">
        <w:t xml:space="preserve"> efficacy/safety maintenance study in moderate to severe Crohn’s </w:t>
      </w:r>
      <w:r w:rsidR="00812C35">
        <w:t>d</w:t>
      </w:r>
      <w:r w:rsidR="00812C35" w:rsidRPr="004F74CD">
        <w:t xml:space="preserve">isease </w:t>
      </w:r>
      <w:r w:rsidRPr="004F74CD">
        <w:t>(</w:t>
      </w:r>
      <w:r w:rsidR="00812C35">
        <w:t xml:space="preserve">Study </w:t>
      </w:r>
      <w:r w:rsidRPr="004F74CD">
        <w:t>A3921084)</w:t>
      </w:r>
      <w:r w:rsidR="00741BA1">
        <w:t>.</w:t>
      </w:r>
    </w:p>
    <w:p w14:paraId="6E0CA343" w14:textId="2CDC92C7" w:rsidR="00A25B9F" w:rsidRPr="003506ED" w:rsidRDefault="00A25B9F" w:rsidP="00A25B9F">
      <w:pPr>
        <w:pStyle w:val="ListBullet2"/>
      </w:pPr>
      <w:r>
        <w:t xml:space="preserve">2 </w:t>
      </w:r>
      <w:r w:rsidRPr="003506ED">
        <w:t xml:space="preserve">PSURs for </w:t>
      </w:r>
      <w:proofErr w:type="spellStart"/>
      <w:r w:rsidRPr="003506ED">
        <w:t>tofacitinib</w:t>
      </w:r>
      <w:proofErr w:type="spellEnd"/>
      <w:r>
        <w:t xml:space="preserve"> to cover</w:t>
      </w:r>
      <w:r w:rsidR="005F7896">
        <w:t xml:space="preserve"> </w:t>
      </w:r>
      <w:r w:rsidRPr="003506ED">
        <w:t>6 Nov</w:t>
      </w:r>
      <w:r w:rsidR="00812C35">
        <w:t>ember</w:t>
      </w:r>
      <w:r w:rsidRPr="003506ED">
        <w:t xml:space="preserve"> 2015 </w:t>
      </w:r>
      <w:r>
        <w:t xml:space="preserve">to </w:t>
      </w:r>
      <w:r w:rsidRPr="003506ED">
        <w:t>5 November 2016</w:t>
      </w:r>
      <w:r w:rsidR="00741BA1">
        <w:t>.</w:t>
      </w:r>
    </w:p>
    <w:p w14:paraId="75E02464" w14:textId="77777777" w:rsidR="00605AD4" w:rsidRDefault="00605AD4" w:rsidP="00605AD4">
      <w:pPr>
        <w:pStyle w:val="Heading4"/>
      </w:pPr>
      <w:r w:rsidRPr="00605AD4">
        <w:t>Paediatric data</w:t>
      </w:r>
    </w:p>
    <w:p w14:paraId="32E115A0" w14:textId="77777777" w:rsidR="00A25B9F" w:rsidRDefault="00A25B9F" w:rsidP="00505CA3">
      <w:r>
        <w:t xml:space="preserve">It was beyond the scope of this application to evaluate </w:t>
      </w:r>
      <w:proofErr w:type="spellStart"/>
      <w:r>
        <w:t>tofacitinib</w:t>
      </w:r>
      <w:proofErr w:type="spellEnd"/>
      <w:r>
        <w:t xml:space="preserve"> in paediatric populations. </w:t>
      </w:r>
      <w:proofErr w:type="spellStart"/>
      <w:r>
        <w:t>Tofacitinib</w:t>
      </w:r>
      <w:proofErr w:type="spellEnd"/>
      <w:r>
        <w:t xml:space="preserve"> is</w:t>
      </w:r>
      <w:r w:rsidRPr="00F20A39">
        <w:t xml:space="preserve"> not </w:t>
      </w:r>
      <w:r>
        <w:t>currently approved</w:t>
      </w:r>
      <w:r w:rsidRPr="00F20A39">
        <w:t xml:space="preserve"> for use in children below 18 years of age due to insufficient data on safety and efficacy in this population.</w:t>
      </w:r>
    </w:p>
    <w:p w14:paraId="00077A5D" w14:textId="77777777" w:rsidR="00500337" w:rsidRPr="00500337" w:rsidRDefault="00A25B9F" w:rsidP="00505CA3">
      <w:pPr>
        <w:rPr>
          <w:lang w:eastAsia="ja-JP"/>
        </w:rPr>
      </w:pPr>
      <w:r w:rsidRPr="00F20A39">
        <w:rPr>
          <w:lang w:eastAsia="ja-JP"/>
        </w:rPr>
        <w:t xml:space="preserve">The sponsor submitted data to the US and the EU for the following paediatric age ranges for the proposed indication: adolescents (12 to 17 years) and children (2 to 11 years). The sponsor has an agreed Paediatric Investigation Plan in Europe (September 2017) </w:t>
      </w:r>
      <w:r>
        <w:rPr>
          <w:lang w:eastAsia="ja-JP"/>
        </w:rPr>
        <w:t>and</w:t>
      </w:r>
      <w:r w:rsidRPr="00F20A39">
        <w:rPr>
          <w:lang w:eastAsia="ja-JP"/>
        </w:rPr>
        <w:t xml:space="preserve"> an agreed </w:t>
      </w:r>
      <w:proofErr w:type="spellStart"/>
      <w:r w:rsidRPr="00F20A39">
        <w:rPr>
          <w:lang w:eastAsia="ja-JP"/>
        </w:rPr>
        <w:t>Pediatric</w:t>
      </w:r>
      <w:proofErr w:type="spellEnd"/>
      <w:r w:rsidRPr="00F20A39">
        <w:rPr>
          <w:lang w:eastAsia="ja-JP"/>
        </w:rPr>
        <w:t xml:space="preserve"> Plan in the USA.</w:t>
      </w:r>
    </w:p>
    <w:p w14:paraId="39EDF017" w14:textId="77777777" w:rsidR="00605AD4" w:rsidRDefault="00605AD4" w:rsidP="00605AD4">
      <w:pPr>
        <w:pStyle w:val="Heading4"/>
      </w:pPr>
      <w:r w:rsidRPr="00605AD4">
        <w:t>Good clinical practice</w:t>
      </w:r>
    </w:p>
    <w:p w14:paraId="782085EF" w14:textId="311FC600" w:rsidR="00A25B9F" w:rsidRDefault="00A25B9F" w:rsidP="00505CA3">
      <w:r w:rsidRPr="00FA5E23">
        <w:t xml:space="preserve">The studies that led to the proposed PI changes were all required to be conducted in accordance with ethical principles originating in or derived from the Declaration of Helsinki </w:t>
      </w:r>
      <w:r>
        <w:t>(</w:t>
      </w:r>
      <w:r w:rsidRPr="002626C2">
        <w:rPr>
          <w:rFonts w:eastAsiaTheme="minorHAnsi" w:cs="TimesNewRoman"/>
          <w:color w:val="000000"/>
        </w:rPr>
        <w:t>World Medical Association 1996 and 2008</w:t>
      </w:r>
      <w:r>
        <w:rPr>
          <w:rFonts w:eastAsiaTheme="minorHAnsi" w:cs="TimesNewRoman"/>
          <w:color w:val="000000"/>
        </w:rPr>
        <w:t xml:space="preserve">) </w:t>
      </w:r>
      <w:r w:rsidRPr="00FA5E23">
        <w:t xml:space="preserve">and in compliance with International Conference on </w:t>
      </w:r>
      <w:r w:rsidR="00812C35" w:rsidRPr="00FA5E23">
        <w:t>Harmoni</w:t>
      </w:r>
      <w:r w:rsidR="00812C35">
        <w:t>s</w:t>
      </w:r>
      <w:r w:rsidR="00812C35" w:rsidRPr="00FA5E23">
        <w:t>ation</w:t>
      </w:r>
      <w:r w:rsidR="00812C35">
        <w:t xml:space="preserve"> </w:t>
      </w:r>
      <w:r>
        <w:t xml:space="preserve">(ICH) </w:t>
      </w:r>
      <w:r w:rsidRPr="00FA5E23">
        <w:t xml:space="preserve">Good Clinical Practice (GCP) Guidelines. In addition, all local regulatory requirements were to be followed </w:t>
      </w:r>
      <w:r w:rsidRPr="00FA5E23">
        <w:rPr>
          <w:rFonts w:eastAsiaTheme="minorHAnsi" w:cs="TimesNewRoman"/>
        </w:rPr>
        <w:t>including the archiving of essential documents</w:t>
      </w:r>
      <w:r>
        <w:t>.</w:t>
      </w:r>
    </w:p>
    <w:p w14:paraId="12BF18AA" w14:textId="77777777" w:rsidR="00A25B9F" w:rsidRDefault="00A25B9F" w:rsidP="00505CA3">
      <w:pPr>
        <w:rPr>
          <w:rFonts w:eastAsiaTheme="minorHAnsi" w:cs="TimesNewRoman"/>
          <w:color w:val="000000"/>
        </w:rPr>
      </w:pPr>
      <w:r w:rsidRPr="002626C2">
        <w:rPr>
          <w:rFonts w:eastAsiaTheme="minorHAnsi" w:cs="TimesNewRoman"/>
          <w:color w:val="000000"/>
        </w:rPr>
        <w:t>Th</w:t>
      </w:r>
      <w:r>
        <w:rPr>
          <w:rFonts w:eastAsiaTheme="minorHAnsi" w:cs="TimesNewRoman"/>
          <w:color w:val="000000"/>
        </w:rPr>
        <w:t>e clinical trials for induction and maintenance treatments of UC are claimed to have been</w:t>
      </w:r>
      <w:r w:rsidRPr="002626C2">
        <w:rPr>
          <w:rFonts w:eastAsiaTheme="minorHAnsi" w:cs="TimesNewRoman"/>
          <w:color w:val="000000"/>
        </w:rPr>
        <w:t xml:space="preserve"> conducted in accordance with the </w:t>
      </w:r>
      <w:r>
        <w:rPr>
          <w:rFonts w:eastAsiaTheme="minorHAnsi" w:cs="TimesNewRoman"/>
          <w:color w:val="000000"/>
        </w:rPr>
        <w:t xml:space="preserve">study </w:t>
      </w:r>
      <w:r w:rsidRPr="002626C2">
        <w:rPr>
          <w:rFonts w:eastAsiaTheme="minorHAnsi" w:cs="TimesNewRoman"/>
          <w:color w:val="000000"/>
        </w:rPr>
        <w:t>protocol</w:t>
      </w:r>
      <w:r>
        <w:rPr>
          <w:rFonts w:eastAsiaTheme="minorHAnsi" w:cs="TimesNewRoman"/>
          <w:color w:val="000000"/>
        </w:rPr>
        <w:t xml:space="preserve"> and</w:t>
      </w:r>
      <w:r w:rsidRPr="002626C2">
        <w:rPr>
          <w:rFonts w:eastAsiaTheme="minorHAnsi" w:cs="TimesNewRoman"/>
          <w:color w:val="000000"/>
        </w:rPr>
        <w:t xml:space="preserve"> </w:t>
      </w:r>
      <w:r>
        <w:rPr>
          <w:rFonts w:eastAsiaTheme="minorHAnsi" w:cs="TimesNewRoman"/>
          <w:color w:val="000000"/>
        </w:rPr>
        <w:t>be compliant</w:t>
      </w:r>
      <w:r w:rsidRPr="002626C2">
        <w:rPr>
          <w:rFonts w:eastAsiaTheme="minorHAnsi" w:cs="TimesNewRoman"/>
          <w:color w:val="000000"/>
        </w:rPr>
        <w:t xml:space="preserve"> with the general principles set forth in the International Ethical Guidelines for Biomedical Research Involving Human Subjects (Council for International Organiza</w:t>
      </w:r>
      <w:r>
        <w:rPr>
          <w:rFonts w:eastAsiaTheme="minorHAnsi" w:cs="TimesNewRoman"/>
          <w:color w:val="000000"/>
        </w:rPr>
        <w:t>tions of Medical Sciences 2002). T</w:t>
      </w:r>
      <w:r w:rsidRPr="002626C2">
        <w:rPr>
          <w:rFonts w:eastAsiaTheme="minorHAnsi" w:cs="TimesNewRoman"/>
          <w:color w:val="000000"/>
        </w:rPr>
        <w:t xml:space="preserve">he final protocol, any amendments and informed consent documentation </w:t>
      </w:r>
      <w:r>
        <w:rPr>
          <w:rFonts w:eastAsiaTheme="minorHAnsi" w:cs="TimesNewRoman"/>
          <w:color w:val="000000"/>
        </w:rPr>
        <w:t>had to be</w:t>
      </w:r>
      <w:r w:rsidRPr="002626C2">
        <w:rPr>
          <w:rFonts w:eastAsiaTheme="minorHAnsi" w:cs="TimesNewRoman"/>
          <w:color w:val="000000"/>
        </w:rPr>
        <w:t xml:space="preserve"> reviewed and approved by the Institutional Review Board and/or Independent Ethics </w:t>
      </w:r>
      <w:r w:rsidRPr="002626C2">
        <w:rPr>
          <w:rFonts w:eastAsiaTheme="minorHAnsi" w:cs="TimesNewRoman"/>
          <w:color w:val="000000"/>
        </w:rPr>
        <w:lastRenderedPageBreak/>
        <w:t xml:space="preserve">Committee(s) at each </w:t>
      </w:r>
      <w:r>
        <w:rPr>
          <w:rFonts w:eastAsiaTheme="minorHAnsi" w:cs="TimesNewRoman"/>
          <w:color w:val="000000"/>
        </w:rPr>
        <w:t>investigational centre</w:t>
      </w:r>
      <w:r w:rsidRPr="002626C2">
        <w:rPr>
          <w:rFonts w:eastAsiaTheme="minorHAnsi" w:cs="TimesNewRoman"/>
          <w:color w:val="000000"/>
        </w:rPr>
        <w:t xml:space="preserve"> participating in the study. Investigators were required to inform their </w:t>
      </w:r>
      <w:r w:rsidR="00B7366A" w:rsidRPr="002626C2">
        <w:rPr>
          <w:rFonts w:eastAsiaTheme="minorHAnsi" w:cs="TimesNewRoman"/>
          <w:color w:val="000000"/>
        </w:rPr>
        <w:t>Institutional Review Board and/or Independent Ethics Committee(s)</w:t>
      </w:r>
      <w:r w:rsidR="00B7366A">
        <w:rPr>
          <w:rFonts w:eastAsiaTheme="minorHAnsi" w:cs="TimesNewRoman"/>
          <w:color w:val="000000"/>
        </w:rPr>
        <w:t xml:space="preserve"> </w:t>
      </w:r>
      <w:r w:rsidRPr="002626C2">
        <w:rPr>
          <w:rFonts w:eastAsiaTheme="minorHAnsi" w:cs="TimesNewRoman"/>
          <w:color w:val="000000"/>
        </w:rPr>
        <w:t xml:space="preserve">of study progress and occurrence of any serious and/or unexpected </w:t>
      </w:r>
      <w:r w:rsidR="00B7366A">
        <w:rPr>
          <w:rFonts w:eastAsiaTheme="minorHAnsi" w:cs="TimesNewRoman"/>
          <w:color w:val="000000"/>
        </w:rPr>
        <w:t>adverse events (</w:t>
      </w:r>
      <w:r w:rsidRPr="002626C2">
        <w:rPr>
          <w:rFonts w:eastAsiaTheme="minorHAnsi" w:cs="TimesNewRoman"/>
          <w:color w:val="000000"/>
        </w:rPr>
        <w:t>AEs</w:t>
      </w:r>
      <w:r w:rsidR="00B7366A">
        <w:rPr>
          <w:rFonts w:eastAsiaTheme="minorHAnsi" w:cs="TimesNewRoman"/>
          <w:color w:val="000000"/>
        </w:rPr>
        <w:t>)</w:t>
      </w:r>
      <w:r w:rsidRPr="002626C2">
        <w:rPr>
          <w:rFonts w:eastAsiaTheme="minorHAnsi" w:cs="TimesNewRoman"/>
          <w:color w:val="000000"/>
        </w:rPr>
        <w:t>.</w:t>
      </w:r>
    </w:p>
    <w:p w14:paraId="4821E888" w14:textId="3BB1674E" w:rsidR="00500337" w:rsidRPr="007757F1" w:rsidRDefault="00A25B9F" w:rsidP="00505CA3">
      <w:pPr>
        <w:rPr>
          <w:rFonts w:eastAsiaTheme="minorHAnsi" w:cs="TimesNewRoman"/>
          <w:color w:val="000000"/>
        </w:rPr>
      </w:pPr>
      <w:r>
        <w:rPr>
          <w:rFonts w:eastAsiaTheme="minorHAnsi" w:cs="TimesNewRoman"/>
          <w:color w:val="000000"/>
        </w:rPr>
        <w:t xml:space="preserve">One major protocol deviation noted across all three pivotal </w:t>
      </w:r>
      <w:r w:rsidR="00B7366A">
        <w:rPr>
          <w:rFonts w:eastAsiaTheme="minorHAnsi" w:cs="TimesNewRoman"/>
          <w:color w:val="000000"/>
        </w:rPr>
        <w:t>Phase</w:t>
      </w:r>
      <w:r>
        <w:rPr>
          <w:rFonts w:eastAsiaTheme="minorHAnsi" w:cs="TimesNewRoman"/>
          <w:color w:val="000000"/>
        </w:rPr>
        <w:t xml:space="preserve"> III studies could have major implications for study conduct and validity. Many subjects were incorrectly stratified into remission, or not in remission, at </w:t>
      </w:r>
      <w:r w:rsidR="00CF6A6C">
        <w:rPr>
          <w:rFonts w:eastAsiaTheme="minorHAnsi" w:cs="TimesNewRoman"/>
          <w:color w:val="000000"/>
        </w:rPr>
        <w:t>Baseline</w:t>
      </w:r>
      <w:r>
        <w:rPr>
          <w:rFonts w:eastAsiaTheme="minorHAnsi" w:cs="TimesNewRoman"/>
          <w:color w:val="000000"/>
        </w:rPr>
        <w:t>, and then randomised: 15</w:t>
      </w:r>
      <w:r w:rsidR="00090204">
        <w:rPr>
          <w:rFonts w:eastAsiaTheme="minorHAnsi" w:cs="TimesNewRoman"/>
          <w:color w:val="000000"/>
        </w:rPr>
        <w:t> </w:t>
      </w:r>
      <w:r>
        <w:rPr>
          <w:rFonts w:eastAsiaTheme="minorHAnsi" w:cs="TimesNewRoman"/>
          <w:color w:val="000000"/>
        </w:rPr>
        <w:t>subjects in Study A3921094</w:t>
      </w:r>
      <w:r>
        <w:rPr>
          <w:lang w:eastAsia="ja-JP"/>
        </w:rPr>
        <w:t xml:space="preserve">; 39 </w:t>
      </w:r>
      <w:r>
        <w:rPr>
          <w:rFonts w:eastAsiaTheme="minorHAnsi" w:cs="TimesNewRoman"/>
          <w:color w:val="000000"/>
        </w:rPr>
        <w:t xml:space="preserve">subjects in Study A3921095 and 202 (34.1%) subjects in Study A3921096. This error was not realised in time to take corrective measures. </w:t>
      </w:r>
      <w:r>
        <w:rPr>
          <w:lang w:eastAsia="ja-JP"/>
        </w:rPr>
        <w:t>The sponsor did not provide further supporting documentation to demonstrate that efficacy would not be affected by inclusion, or exclusion, of these incorrectly stratified subjects, such as sensitivit</w:t>
      </w:r>
      <w:r w:rsidR="00B7366A">
        <w:rPr>
          <w:lang w:eastAsia="ja-JP"/>
        </w:rPr>
        <w:t>y analyses</w:t>
      </w:r>
      <w:r>
        <w:rPr>
          <w:lang w:eastAsia="ja-JP"/>
        </w:rPr>
        <w:t>.</w:t>
      </w:r>
    </w:p>
    <w:p w14:paraId="57E27AC7" w14:textId="77777777" w:rsidR="008E7846" w:rsidRDefault="008E7846" w:rsidP="00605AD4">
      <w:pPr>
        <w:pStyle w:val="Heading3"/>
      </w:pPr>
      <w:bookmarkStart w:id="70" w:name="_Toc20301898"/>
      <w:r w:rsidRPr="00254787">
        <w:t>Pharmacokinetics</w:t>
      </w:r>
      <w:bookmarkEnd w:id="56"/>
      <w:bookmarkEnd w:id="66"/>
      <w:bookmarkEnd w:id="67"/>
      <w:bookmarkEnd w:id="68"/>
      <w:bookmarkEnd w:id="70"/>
    </w:p>
    <w:p w14:paraId="268D082D" w14:textId="77777777" w:rsidR="00605AD4" w:rsidRDefault="00605AD4" w:rsidP="00605AD4">
      <w:pPr>
        <w:pStyle w:val="Heading4"/>
      </w:pPr>
      <w:r>
        <w:t>Studies</w:t>
      </w:r>
      <w:r w:rsidR="00500337">
        <w:t xml:space="preserve"> providing pharmacokinetic data</w:t>
      </w:r>
    </w:p>
    <w:p w14:paraId="0B7F5EB3" w14:textId="77777777" w:rsidR="00500337" w:rsidRPr="00500337" w:rsidRDefault="00A25B9F" w:rsidP="00505CA3">
      <w:pPr>
        <w:rPr>
          <w:lang w:eastAsia="ja-JP"/>
        </w:rPr>
      </w:pPr>
      <w:r>
        <w:rPr>
          <w:lang w:eastAsia="ja-JP"/>
        </w:rPr>
        <w:t>No new PK studies were submitted in this application.</w:t>
      </w:r>
    </w:p>
    <w:p w14:paraId="30609CEB" w14:textId="77777777" w:rsidR="00605AD4" w:rsidRDefault="00605AD4" w:rsidP="00605AD4">
      <w:pPr>
        <w:pStyle w:val="Heading4"/>
      </w:pPr>
      <w:r>
        <w:t>Evaluator’s conclusions on pharmacokinetics</w:t>
      </w:r>
    </w:p>
    <w:p w14:paraId="0570BD70" w14:textId="77777777" w:rsidR="005F7896" w:rsidRDefault="00B7366A" w:rsidP="00505CA3">
      <w:pPr>
        <w:rPr>
          <w:lang w:eastAsia="ja-JP"/>
        </w:rPr>
      </w:pPr>
      <w:r>
        <w:rPr>
          <w:lang w:eastAsia="ja-JP"/>
        </w:rPr>
        <w:t>PK</w:t>
      </w:r>
      <w:r w:rsidR="00A25B9F">
        <w:rPr>
          <w:lang w:eastAsia="ja-JP"/>
        </w:rPr>
        <w:t xml:space="preserve"> characteristics of </w:t>
      </w:r>
      <w:proofErr w:type="spellStart"/>
      <w:r w:rsidR="00A25B9F">
        <w:rPr>
          <w:lang w:eastAsia="ja-JP"/>
        </w:rPr>
        <w:t>tofacitinib</w:t>
      </w:r>
      <w:proofErr w:type="spellEnd"/>
      <w:r w:rsidR="00A25B9F">
        <w:rPr>
          <w:lang w:eastAsia="ja-JP"/>
        </w:rPr>
        <w:t xml:space="preserve"> are well established in RA</w:t>
      </w:r>
      <w:r w:rsidR="005F7896">
        <w:rPr>
          <w:lang w:eastAsia="ja-JP"/>
        </w:rPr>
        <w:t>.</w:t>
      </w:r>
    </w:p>
    <w:p w14:paraId="512031E6" w14:textId="77777777" w:rsidR="005F7896" w:rsidRDefault="00A25B9F" w:rsidP="00505CA3">
      <w:pPr>
        <w:rPr>
          <w:lang w:eastAsia="ja-JP"/>
        </w:rPr>
      </w:pPr>
      <w:r>
        <w:rPr>
          <w:lang w:eastAsia="ja-JP"/>
        </w:rPr>
        <w:t xml:space="preserve">The sponsor provided one </w:t>
      </w:r>
      <w:proofErr w:type="spellStart"/>
      <w:r>
        <w:rPr>
          <w:lang w:eastAsia="ja-JP"/>
        </w:rPr>
        <w:t>PopPK</w:t>
      </w:r>
      <w:proofErr w:type="spellEnd"/>
      <w:r>
        <w:rPr>
          <w:lang w:eastAsia="ja-JP"/>
        </w:rPr>
        <w:t xml:space="preserve"> analysis, based on sparse PK sample data from one </w:t>
      </w:r>
      <w:r w:rsidR="00B7366A">
        <w:rPr>
          <w:lang w:eastAsia="ja-JP"/>
        </w:rPr>
        <w:t>Phase</w:t>
      </w:r>
      <w:r>
        <w:rPr>
          <w:lang w:eastAsia="ja-JP"/>
        </w:rPr>
        <w:t xml:space="preserve"> II study and three </w:t>
      </w:r>
      <w:r w:rsidR="00B7366A">
        <w:rPr>
          <w:lang w:eastAsia="ja-JP"/>
        </w:rPr>
        <w:t>Phase</w:t>
      </w:r>
      <w:r>
        <w:rPr>
          <w:lang w:eastAsia="ja-JP"/>
        </w:rPr>
        <w:t xml:space="preserve"> III studies in its clinical development program for UC. PK of </w:t>
      </w:r>
      <w:proofErr w:type="spellStart"/>
      <w:r>
        <w:rPr>
          <w:lang w:eastAsia="ja-JP"/>
        </w:rPr>
        <w:t>tofacitinib</w:t>
      </w:r>
      <w:proofErr w:type="spellEnd"/>
      <w:r>
        <w:rPr>
          <w:lang w:eastAsia="ja-JP"/>
        </w:rPr>
        <w:t xml:space="preserve"> in a moderate to severe UC population was generally consistent with PK of </w:t>
      </w:r>
      <w:proofErr w:type="spellStart"/>
      <w:r>
        <w:rPr>
          <w:lang w:eastAsia="ja-JP"/>
        </w:rPr>
        <w:t>tofacitinib</w:t>
      </w:r>
      <w:proofErr w:type="spellEnd"/>
      <w:r>
        <w:rPr>
          <w:lang w:eastAsia="ja-JP"/>
        </w:rPr>
        <w:t xml:space="preserve"> from the sponsor’s RA clinical development program. Notwithstanding these findings the Adopted Guideline</w:t>
      </w:r>
      <w:r w:rsidR="00F14B34">
        <w:rPr>
          <w:lang w:eastAsia="ja-JP"/>
        </w:rPr>
        <w:t xml:space="preserve"> </w:t>
      </w:r>
      <w:r w:rsidR="00F14B34">
        <w:rPr>
          <w:lang w:eastAsia="ja-JP"/>
        </w:rPr>
        <w:fldChar w:fldCharType="begin"/>
      </w:r>
      <w:r w:rsidR="00F14B34">
        <w:rPr>
          <w:lang w:eastAsia="ja-JP"/>
        </w:rPr>
        <w:instrText xml:space="preserve"> NOTEREF _Ref13729303 \f \h </w:instrText>
      </w:r>
      <w:r w:rsidR="00F14B34">
        <w:rPr>
          <w:lang w:eastAsia="ja-JP"/>
        </w:rPr>
      </w:r>
      <w:r w:rsidR="00F14B34">
        <w:rPr>
          <w:lang w:eastAsia="ja-JP"/>
        </w:rPr>
        <w:fldChar w:fldCharType="separate"/>
      </w:r>
      <w:r w:rsidR="00F14B34" w:rsidRPr="00F14B34">
        <w:rPr>
          <w:rStyle w:val="FootnoteReference"/>
        </w:rPr>
        <w:t>2</w:t>
      </w:r>
      <w:r w:rsidR="00F14B34">
        <w:rPr>
          <w:lang w:eastAsia="ja-JP"/>
        </w:rPr>
        <w:fldChar w:fldCharType="end"/>
      </w:r>
      <w:r>
        <w:rPr>
          <w:lang w:eastAsia="ja-JP"/>
        </w:rPr>
        <w:t xml:space="preserve"> advises the following be considered when designing studies for treatment of UC for locally-acting medicinal products</w:t>
      </w:r>
      <w:r w:rsidR="005F7896">
        <w:rPr>
          <w:lang w:eastAsia="ja-JP"/>
        </w:rPr>
        <w:t>:</w:t>
      </w:r>
    </w:p>
    <w:p w14:paraId="5B2737F1" w14:textId="77777777" w:rsidR="00A25B9F" w:rsidRPr="00A25B9F" w:rsidRDefault="00505CA3" w:rsidP="00505CA3">
      <w:pPr>
        <w:ind w:left="720"/>
      </w:pPr>
      <w:r>
        <w:t>‘</w:t>
      </w:r>
      <w:r w:rsidR="00A25B9F" w:rsidRPr="00031BAE">
        <w:t>For locally acting products, distribution studies are necessary. It is important that locally acting products for oral intake reach the entire colon, including the rectum. The influence of concomitant diarrhoea on distribution should be studied as well. Depending on the mechanism of action, effects of mucosal inflammation on drug absorption should be addressed.</w:t>
      </w:r>
      <w:r>
        <w:t>’</w:t>
      </w:r>
    </w:p>
    <w:p w14:paraId="0A9A0E44" w14:textId="77777777" w:rsidR="00A25B9F" w:rsidRDefault="00A25B9F" w:rsidP="00505CA3">
      <w:pPr>
        <w:rPr>
          <w:lang w:eastAsia="ja-JP"/>
        </w:rPr>
      </w:pPr>
      <w:r>
        <w:rPr>
          <w:lang w:eastAsia="ja-JP"/>
        </w:rPr>
        <w:t xml:space="preserve">Since no additional PK studies were submitted in this application for the target population, the recommended approach to designing studies with an oral medicine that has a local action did not appear to be undertaken, nor did the sponsor provide adequate justification for deviation from the Adopted </w:t>
      </w:r>
      <w:r w:rsidRPr="00F14B34">
        <w:rPr>
          <w:lang w:eastAsia="ja-JP"/>
        </w:rPr>
        <w:t>Guideline.</w:t>
      </w:r>
      <w:r w:rsidR="00F14B34">
        <w:rPr>
          <w:lang w:eastAsia="ja-JP"/>
        </w:rPr>
        <w:fldChar w:fldCharType="begin"/>
      </w:r>
      <w:r w:rsidR="00F14B34">
        <w:rPr>
          <w:lang w:eastAsia="ja-JP"/>
        </w:rPr>
        <w:instrText xml:space="preserve"> NOTEREF _Ref13729303 \f \h </w:instrText>
      </w:r>
      <w:r w:rsidR="00F14B34">
        <w:rPr>
          <w:lang w:eastAsia="ja-JP"/>
        </w:rPr>
      </w:r>
      <w:r w:rsidR="00F14B34">
        <w:rPr>
          <w:lang w:eastAsia="ja-JP"/>
        </w:rPr>
        <w:fldChar w:fldCharType="separate"/>
      </w:r>
      <w:r w:rsidR="00F14B34" w:rsidRPr="00F14B34">
        <w:rPr>
          <w:rStyle w:val="FootnoteReference"/>
        </w:rPr>
        <w:t>2</w:t>
      </w:r>
      <w:r w:rsidR="00F14B34">
        <w:rPr>
          <w:lang w:eastAsia="ja-JP"/>
        </w:rPr>
        <w:fldChar w:fldCharType="end"/>
      </w:r>
    </w:p>
    <w:p w14:paraId="532207E4" w14:textId="77777777" w:rsidR="00500337" w:rsidRPr="00A25B9F" w:rsidRDefault="00A25B9F" w:rsidP="00505CA3">
      <w:pPr>
        <w:rPr>
          <w:rFonts w:eastAsia="TimesNewRoman" w:cs="TimesNewRoman"/>
        </w:rPr>
      </w:pPr>
      <w:r>
        <w:rPr>
          <w:lang w:eastAsia="ja-JP"/>
        </w:rPr>
        <w:t xml:space="preserve">In respect of the </w:t>
      </w:r>
      <w:proofErr w:type="spellStart"/>
      <w:r>
        <w:rPr>
          <w:lang w:eastAsia="ja-JP"/>
        </w:rPr>
        <w:t>PopPK</w:t>
      </w:r>
      <w:proofErr w:type="spellEnd"/>
      <w:r>
        <w:rPr>
          <w:lang w:eastAsia="ja-JP"/>
        </w:rPr>
        <w:t xml:space="preserve"> analysis, th</w:t>
      </w:r>
      <w:r>
        <w:rPr>
          <w:rFonts w:eastAsia="TimesNewRoman" w:cs="TimesNewRoman"/>
        </w:rPr>
        <w:t xml:space="preserve">e sponsor’s overall interpretation of the analyses is generally acceptable. However, the following observations are made: the effect of ‘extent of disease’ was not assessed as there was &gt; 10% missing data, so an effect cannot be excluded. Furthermore, since 519 (7.2%) </w:t>
      </w:r>
      <w:proofErr w:type="spellStart"/>
      <w:r>
        <w:rPr>
          <w:rFonts w:eastAsia="TimesNewRoman" w:cs="TimesNewRoman"/>
        </w:rPr>
        <w:t>tofacitinib</w:t>
      </w:r>
      <w:proofErr w:type="spellEnd"/>
      <w:r>
        <w:rPr>
          <w:rFonts w:eastAsia="TimesNewRoman" w:cs="TimesNewRoman"/>
        </w:rPr>
        <w:t xml:space="preserve"> PK samples were excluded from the </w:t>
      </w:r>
      <w:proofErr w:type="spellStart"/>
      <w:r>
        <w:rPr>
          <w:rFonts w:eastAsia="TimesNewRoman" w:cs="TimesNewRoman"/>
        </w:rPr>
        <w:t>PopPK</w:t>
      </w:r>
      <w:proofErr w:type="spellEnd"/>
      <w:r>
        <w:rPr>
          <w:rFonts w:eastAsia="TimesNewRoman" w:cs="TimesNewRoman"/>
        </w:rPr>
        <w:t xml:space="preserve"> analysis due to ‘significant data collection errors’, the possibility of compromised GCP and conduct of the studies across the UC clinical development program needs to be considered.</w:t>
      </w:r>
    </w:p>
    <w:p w14:paraId="5B9590B7" w14:textId="77777777" w:rsidR="008E7846" w:rsidRDefault="008E7846" w:rsidP="008E7846">
      <w:pPr>
        <w:pStyle w:val="Heading3"/>
      </w:pPr>
      <w:bookmarkStart w:id="71" w:name="_Toc196046481"/>
      <w:bookmarkStart w:id="72" w:name="_Toc247691520"/>
      <w:bookmarkStart w:id="73" w:name="_Toc314842503"/>
      <w:bookmarkStart w:id="74" w:name="_Toc20301899"/>
      <w:r w:rsidRPr="00254787">
        <w:t>Pharmacodynamics</w:t>
      </w:r>
      <w:bookmarkEnd w:id="57"/>
      <w:bookmarkEnd w:id="71"/>
      <w:bookmarkEnd w:id="72"/>
      <w:bookmarkEnd w:id="73"/>
      <w:bookmarkEnd w:id="74"/>
    </w:p>
    <w:p w14:paraId="13DDA2FC" w14:textId="77777777" w:rsidR="00605AD4" w:rsidRDefault="00605AD4" w:rsidP="00605AD4">
      <w:pPr>
        <w:pStyle w:val="Heading4"/>
      </w:pPr>
      <w:r>
        <w:t xml:space="preserve">Studies providing </w:t>
      </w:r>
      <w:proofErr w:type="spellStart"/>
      <w:r>
        <w:t>pharmacodynamic</w:t>
      </w:r>
      <w:proofErr w:type="spellEnd"/>
      <w:r>
        <w:t xml:space="preserve"> data</w:t>
      </w:r>
    </w:p>
    <w:p w14:paraId="38C2639B" w14:textId="32855F9D" w:rsidR="00500337" w:rsidRPr="00500337" w:rsidRDefault="00A25B9F" w:rsidP="00505CA3">
      <w:r>
        <w:rPr>
          <w:lang w:eastAsia="ja-JP"/>
        </w:rPr>
        <w:t xml:space="preserve">No new </w:t>
      </w:r>
      <w:proofErr w:type="spellStart"/>
      <w:r w:rsidR="00090204">
        <w:rPr>
          <w:lang w:eastAsia="ja-JP"/>
        </w:rPr>
        <w:t>pharmacodynamic</w:t>
      </w:r>
      <w:proofErr w:type="spellEnd"/>
      <w:r w:rsidR="00090204">
        <w:rPr>
          <w:lang w:eastAsia="ja-JP"/>
        </w:rPr>
        <w:t xml:space="preserve"> (</w:t>
      </w:r>
      <w:r>
        <w:rPr>
          <w:lang w:eastAsia="ja-JP"/>
        </w:rPr>
        <w:t>PD</w:t>
      </w:r>
      <w:r w:rsidR="00090204">
        <w:rPr>
          <w:lang w:eastAsia="ja-JP"/>
        </w:rPr>
        <w:t>)</w:t>
      </w:r>
      <w:r>
        <w:rPr>
          <w:lang w:eastAsia="ja-JP"/>
        </w:rPr>
        <w:t xml:space="preserve"> studies were provided for evaluation in this submission.</w:t>
      </w:r>
    </w:p>
    <w:p w14:paraId="147404C8" w14:textId="77777777" w:rsidR="00605AD4" w:rsidRDefault="00605AD4" w:rsidP="00605AD4">
      <w:pPr>
        <w:pStyle w:val="Heading4"/>
      </w:pPr>
      <w:r>
        <w:lastRenderedPageBreak/>
        <w:t>Evaluator’s conclusions on pharmacodynamics</w:t>
      </w:r>
    </w:p>
    <w:p w14:paraId="41E82D78" w14:textId="77777777" w:rsidR="00A25B9F" w:rsidRDefault="00A25B9F" w:rsidP="00505CA3">
      <w:pPr>
        <w:rPr>
          <w:rFonts w:eastAsiaTheme="minorHAnsi" w:cs="TimesNewRoman"/>
          <w:color w:val="000000"/>
        </w:rPr>
      </w:pPr>
      <w:r>
        <w:rPr>
          <w:lang w:eastAsia="ja-JP"/>
        </w:rPr>
        <w:t xml:space="preserve">The sponsor did not provide new PD trial data for its proposed use of </w:t>
      </w:r>
      <w:proofErr w:type="spellStart"/>
      <w:r>
        <w:rPr>
          <w:lang w:eastAsia="ja-JP"/>
        </w:rPr>
        <w:t>tofacitinib</w:t>
      </w:r>
      <w:proofErr w:type="spellEnd"/>
      <w:r>
        <w:rPr>
          <w:lang w:eastAsia="ja-JP"/>
        </w:rPr>
        <w:t xml:space="preserve"> in moderately to severely active UC, or propose to include PD data for UC in its PI. Instead the sponsor provided published literature in support of the JAK/STAT pathway for </w:t>
      </w:r>
      <w:r w:rsidRPr="00834081">
        <w:rPr>
          <w:rFonts w:eastAsiaTheme="minorHAnsi" w:cs="TimesNewRoman"/>
          <w:color w:val="000000"/>
        </w:rPr>
        <w:t>immune-mediated</w:t>
      </w:r>
      <w:r>
        <w:rPr>
          <w:rFonts w:eastAsiaTheme="minorHAnsi" w:cs="TimesNewRoman"/>
          <w:color w:val="000000"/>
        </w:rPr>
        <w:t xml:space="preserve"> </w:t>
      </w:r>
      <w:r w:rsidRPr="00834081">
        <w:rPr>
          <w:rFonts w:eastAsiaTheme="minorHAnsi" w:cs="TimesNewRoman"/>
          <w:color w:val="000000"/>
        </w:rPr>
        <w:t>inflammatory conditions</w:t>
      </w:r>
      <w:r>
        <w:rPr>
          <w:rFonts w:eastAsiaTheme="minorHAnsi" w:cs="TimesNewRoman"/>
          <w:color w:val="000000"/>
        </w:rPr>
        <w:t xml:space="preserve">. While the published literature provided in this application does provide some support for </w:t>
      </w:r>
      <w:proofErr w:type="spellStart"/>
      <w:r>
        <w:rPr>
          <w:rFonts w:eastAsiaTheme="minorHAnsi" w:cs="TimesNewRoman"/>
          <w:color w:val="000000"/>
        </w:rPr>
        <w:t>tofacitinib</w:t>
      </w:r>
      <w:proofErr w:type="spellEnd"/>
      <w:r>
        <w:rPr>
          <w:rFonts w:eastAsiaTheme="minorHAnsi" w:cs="TimesNewRoman"/>
          <w:color w:val="000000"/>
        </w:rPr>
        <w:t xml:space="preserve"> in inflammatory bowel disease</w:t>
      </w:r>
      <w:r w:rsidRPr="007757F1">
        <w:rPr>
          <w:rFonts w:eastAsiaTheme="minorHAnsi" w:cs="TimesNewRoman"/>
        </w:rPr>
        <w:t xml:space="preserve">s </w:t>
      </w:r>
      <w:r>
        <w:rPr>
          <w:rFonts w:eastAsiaTheme="minorHAnsi" w:cs="TimesNewRoman"/>
          <w:color w:val="000000"/>
        </w:rPr>
        <w:t>(IBD), it is insufficient for a new proposed indication, which shou</w:t>
      </w:r>
      <w:r w:rsidR="00F14B34">
        <w:rPr>
          <w:rFonts w:eastAsiaTheme="minorHAnsi" w:cs="TimesNewRoman"/>
          <w:color w:val="000000"/>
        </w:rPr>
        <w:t xml:space="preserve">ld ideally be supported by well </w:t>
      </w:r>
      <w:r>
        <w:rPr>
          <w:rFonts w:eastAsiaTheme="minorHAnsi" w:cs="TimesNewRoman"/>
          <w:color w:val="000000"/>
        </w:rPr>
        <w:t>controlled trials of the active compound in the pro</w:t>
      </w:r>
      <w:r w:rsidR="00F14B34">
        <w:rPr>
          <w:rFonts w:eastAsiaTheme="minorHAnsi" w:cs="TimesNewRoman"/>
          <w:color w:val="000000"/>
        </w:rPr>
        <w:t>posed indication, and with well</w:t>
      </w:r>
      <w:r w:rsidR="00F14B34">
        <w:rPr>
          <w:rFonts w:eastAsiaTheme="minorHAnsi" w:cs="TimesNewRoman"/>
          <w:color w:val="000000"/>
        </w:rPr>
        <w:noBreakHyphen/>
        <w:t>defined PD endpoints.</w:t>
      </w:r>
    </w:p>
    <w:p w14:paraId="03253302" w14:textId="77777777" w:rsidR="00A25B9F" w:rsidRDefault="00A25B9F" w:rsidP="00505CA3">
      <w:pPr>
        <w:rPr>
          <w:rFonts w:eastAsiaTheme="minorHAnsi" w:cs="TimesNewRoman"/>
          <w:color w:val="000000"/>
        </w:rPr>
      </w:pPr>
      <w:r>
        <w:rPr>
          <w:rFonts w:eastAsiaTheme="minorHAnsi" w:cs="TimesNewRoman"/>
          <w:color w:val="000000"/>
        </w:rPr>
        <w:t>According to the Adopted Guideline,</w:t>
      </w:r>
      <w:r w:rsidR="00F14B34">
        <w:rPr>
          <w:rFonts w:eastAsiaTheme="minorHAnsi" w:cs="TimesNewRoman"/>
          <w:color w:val="000000"/>
        </w:rPr>
        <w:fldChar w:fldCharType="begin"/>
      </w:r>
      <w:r w:rsidR="00F14B34">
        <w:rPr>
          <w:rFonts w:eastAsiaTheme="minorHAnsi" w:cs="TimesNewRoman"/>
          <w:color w:val="000000"/>
        </w:rPr>
        <w:instrText xml:space="preserve"> NOTEREF _Ref13729303 \f \h </w:instrText>
      </w:r>
      <w:r w:rsidR="00F14B34">
        <w:rPr>
          <w:rFonts w:eastAsiaTheme="minorHAnsi" w:cs="TimesNewRoman"/>
          <w:color w:val="000000"/>
        </w:rPr>
      </w:r>
      <w:r w:rsidR="00F14B34">
        <w:rPr>
          <w:rFonts w:eastAsiaTheme="minorHAnsi" w:cs="TimesNewRoman"/>
          <w:color w:val="000000"/>
        </w:rPr>
        <w:fldChar w:fldCharType="separate"/>
      </w:r>
      <w:r w:rsidR="00F14B34" w:rsidRPr="00F14B34">
        <w:rPr>
          <w:rStyle w:val="FootnoteReference"/>
        </w:rPr>
        <w:t>2</w:t>
      </w:r>
      <w:r w:rsidR="00F14B34">
        <w:rPr>
          <w:rFonts w:eastAsiaTheme="minorHAnsi" w:cs="TimesNewRoman"/>
          <w:color w:val="000000"/>
        </w:rPr>
        <w:fldChar w:fldCharType="end"/>
      </w:r>
      <w:r>
        <w:rPr>
          <w:rFonts w:eastAsiaTheme="minorHAnsi" w:cs="TimesNewRoman"/>
          <w:color w:val="000000"/>
        </w:rPr>
        <w:t xml:space="preserve"> PD properties of the therapeutic agent should provide an indication of when clinical remission is likely to occur </w:t>
      </w:r>
      <w:r w:rsidR="00F14B34">
        <w:rPr>
          <w:rFonts w:eastAsiaTheme="minorHAnsi" w:cs="TimesNewRoman"/>
          <w:color w:val="000000"/>
        </w:rPr>
        <w:t>that is,</w:t>
      </w:r>
      <w:r>
        <w:rPr>
          <w:rFonts w:eastAsiaTheme="minorHAnsi" w:cs="TimesNewRoman"/>
          <w:color w:val="000000"/>
        </w:rPr>
        <w:t xml:space="preserve"> assist in establishing the appropriate duration of an induction study for instance. Given the primary site of action of </w:t>
      </w:r>
      <w:proofErr w:type="spellStart"/>
      <w:r>
        <w:rPr>
          <w:rFonts w:eastAsiaTheme="minorHAnsi" w:cs="TimesNewRoman"/>
          <w:color w:val="000000"/>
        </w:rPr>
        <w:t>tofacitinib</w:t>
      </w:r>
      <w:proofErr w:type="spellEnd"/>
      <w:r>
        <w:rPr>
          <w:rFonts w:eastAsiaTheme="minorHAnsi" w:cs="TimesNewRoman"/>
          <w:color w:val="000000"/>
        </w:rPr>
        <w:t xml:space="preserve"> in RA are within swollen joints, it is expected that the PD for UC, where the site of action is principally the colorectal mucosa, would be considerably different. Furthermore, PD properties of the investigational product may assist with the prediction of AEs and drug-drug interactions.</w:t>
      </w:r>
    </w:p>
    <w:p w14:paraId="4522821B" w14:textId="77777777" w:rsidR="00500337" w:rsidRPr="00500337" w:rsidRDefault="00A25B9F" w:rsidP="00505CA3">
      <w:pPr>
        <w:rPr>
          <w:lang w:eastAsia="ja-JP"/>
        </w:rPr>
      </w:pPr>
      <w:r>
        <w:rPr>
          <w:rFonts w:eastAsiaTheme="minorHAnsi" w:cs="TimesNewRoman"/>
          <w:color w:val="000000"/>
        </w:rPr>
        <w:t xml:space="preserve">The sponsor did not explain why PD studies were not conducted for the proposed indication, nor </w:t>
      </w:r>
      <w:r>
        <w:rPr>
          <w:lang w:eastAsia="ja-JP"/>
        </w:rPr>
        <w:t>provided adequate justification for deviation from the Adopted Guideline.</w:t>
      </w:r>
      <w:r w:rsidR="00F14B34">
        <w:rPr>
          <w:lang w:eastAsia="ja-JP"/>
        </w:rPr>
        <w:fldChar w:fldCharType="begin"/>
      </w:r>
      <w:r w:rsidR="00F14B34">
        <w:rPr>
          <w:lang w:eastAsia="ja-JP"/>
        </w:rPr>
        <w:instrText xml:space="preserve"> NOTEREF _Ref13729303 \f \h </w:instrText>
      </w:r>
      <w:r w:rsidR="00F14B34">
        <w:rPr>
          <w:lang w:eastAsia="ja-JP"/>
        </w:rPr>
      </w:r>
      <w:r w:rsidR="00F14B34">
        <w:rPr>
          <w:lang w:eastAsia="ja-JP"/>
        </w:rPr>
        <w:fldChar w:fldCharType="separate"/>
      </w:r>
      <w:r w:rsidR="00F14B34" w:rsidRPr="00F14B34">
        <w:rPr>
          <w:rStyle w:val="FootnoteReference"/>
        </w:rPr>
        <w:t>2</w:t>
      </w:r>
      <w:r w:rsidR="00F14B34">
        <w:rPr>
          <w:lang w:eastAsia="ja-JP"/>
        </w:rPr>
        <w:fldChar w:fldCharType="end"/>
      </w:r>
    </w:p>
    <w:p w14:paraId="57E6305C" w14:textId="77777777" w:rsidR="008E7846" w:rsidRDefault="00605AD4" w:rsidP="00605AD4">
      <w:pPr>
        <w:pStyle w:val="Heading3"/>
      </w:pPr>
      <w:bookmarkStart w:id="75" w:name="_Toc20301900"/>
      <w:r>
        <w:t>Dosage selection for the pivotal studies</w:t>
      </w:r>
      <w:bookmarkEnd w:id="75"/>
    </w:p>
    <w:p w14:paraId="34DA0F24" w14:textId="3E57D413" w:rsidR="00A25B9F" w:rsidRPr="00A62B88" w:rsidRDefault="00A25B9F" w:rsidP="00505CA3">
      <w:r>
        <w:t>S</w:t>
      </w:r>
      <w:r w:rsidRPr="00A62B88">
        <w:t>election of the 10</w:t>
      </w:r>
      <w:r w:rsidR="004D03E1">
        <w:t xml:space="preserve"> </w:t>
      </w:r>
      <w:r w:rsidRPr="00A62B88">
        <w:t xml:space="preserve">mg BID dose of </w:t>
      </w:r>
      <w:proofErr w:type="spellStart"/>
      <w:r w:rsidRPr="00A62B88">
        <w:t>tofacitinib</w:t>
      </w:r>
      <w:proofErr w:type="spellEnd"/>
      <w:r w:rsidRPr="00A62B88">
        <w:t xml:space="preserve"> for </w:t>
      </w:r>
      <w:r>
        <w:t xml:space="preserve">the pivotal </w:t>
      </w:r>
      <w:r w:rsidR="00B7366A">
        <w:t>Phase</w:t>
      </w:r>
      <w:r>
        <w:t xml:space="preserve"> III</w:t>
      </w:r>
      <w:r w:rsidR="002C5EA8">
        <w:t xml:space="preserve"> induction</w:t>
      </w:r>
      <w:r w:rsidR="00090204">
        <w:t xml:space="preserve"> studies</w:t>
      </w:r>
      <w:r w:rsidR="002C5EA8">
        <w:t xml:space="preserve"> </w:t>
      </w:r>
      <w:r w:rsidR="00090204">
        <w:t>(</w:t>
      </w:r>
      <w:r w:rsidR="002C5EA8">
        <w:t>S</w:t>
      </w:r>
      <w:r w:rsidRPr="00A62B88">
        <w:t>tud</w:t>
      </w:r>
      <w:r>
        <w:t>ies</w:t>
      </w:r>
      <w:r w:rsidRPr="00A62B88">
        <w:t xml:space="preserve"> </w:t>
      </w:r>
      <w:r>
        <w:t xml:space="preserve">A3921094 </w:t>
      </w:r>
      <w:r w:rsidR="00741BA1">
        <w:t>and</w:t>
      </w:r>
      <w:r>
        <w:t xml:space="preserve"> A3921095) was based on efficacy data from Study </w:t>
      </w:r>
      <w:r w:rsidRPr="00A62B88">
        <w:t>A3921063</w:t>
      </w:r>
      <w:r>
        <w:t xml:space="preserve">, a </w:t>
      </w:r>
      <w:r w:rsidR="00B7366A">
        <w:t>Phase</w:t>
      </w:r>
      <w:r>
        <w:t xml:space="preserve"> II</w:t>
      </w:r>
      <w:r w:rsidRPr="00A62B88">
        <w:t>, dose-ranging</w:t>
      </w:r>
      <w:r>
        <w:t xml:space="preserve"> (0.5 mg to 15 mg)</w:t>
      </w:r>
      <w:r w:rsidR="002C5EA8">
        <w:t xml:space="preserve">, 8 </w:t>
      </w:r>
      <w:r w:rsidRPr="00A62B88">
        <w:t>week induction study in patients with</w:t>
      </w:r>
      <w:r>
        <w:t xml:space="preserve"> </w:t>
      </w:r>
      <w:r w:rsidRPr="00A62B88">
        <w:t>moderately to severely active UC</w:t>
      </w:r>
      <w:r>
        <w:t xml:space="preserve">. This dose regimen was also based on the </w:t>
      </w:r>
      <w:r w:rsidRPr="00A62B88">
        <w:t xml:space="preserve">safety profile of </w:t>
      </w:r>
      <w:proofErr w:type="spellStart"/>
      <w:r w:rsidRPr="00A62B88">
        <w:t>tofacitinib</w:t>
      </w:r>
      <w:proofErr w:type="spellEnd"/>
      <w:r w:rsidRPr="00A62B88">
        <w:t xml:space="preserve"> characteri</w:t>
      </w:r>
      <w:r>
        <w:t>s</w:t>
      </w:r>
      <w:r w:rsidRPr="00A62B88">
        <w:t>ed in UC</w:t>
      </w:r>
      <w:r>
        <w:t xml:space="preserve"> </w:t>
      </w:r>
      <w:r w:rsidRPr="00A62B88">
        <w:t>patients</w:t>
      </w:r>
      <w:r>
        <w:t xml:space="preserve"> in Study A3921063,</w:t>
      </w:r>
      <w:r w:rsidRPr="00A62B88">
        <w:t xml:space="preserve"> </w:t>
      </w:r>
      <w:r>
        <w:t>as well as experience with this dose regimen</w:t>
      </w:r>
      <w:r w:rsidRPr="00A62B88">
        <w:t xml:space="preserve"> in R</w:t>
      </w:r>
      <w:r>
        <w:t>A patients</w:t>
      </w:r>
      <w:r w:rsidRPr="00A62B88">
        <w:t>.</w:t>
      </w:r>
      <w:r>
        <w:t xml:space="preserve"> Study A3921063 commenced with 10 mg and 15 mg </w:t>
      </w:r>
      <w:proofErr w:type="spellStart"/>
      <w:r>
        <w:t>tofacitinib</w:t>
      </w:r>
      <w:proofErr w:type="spellEnd"/>
      <w:r>
        <w:t xml:space="preserve"> treatment arms, but the latter strength was removed approximately 6 months after study commencement.</w:t>
      </w:r>
    </w:p>
    <w:p w14:paraId="2C83AA20" w14:textId="77777777" w:rsidR="005F7896" w:rsidRDefault="00A25B9F" w:rsidP="00505CA3">
      <w:pPr>
        <w:rPr>
          <w:color w:val="000000"/>
        </w:rPr>
      </w:pPr>
      <w:r w:rsidRPr="00B56756">
        <w:rPr>
          <w:rFonts w:eastAsia="TimesNewRoman"/>
        </w:rPr>
        <w:t xml:space="preserve">The </w:t>
      </w:r>
      <w:r w:rsidRPr="00730CD1">
        <w:rPr>
          <w:rFonts w:eastAsia="TimesNewRoman"/>
        </w:rPr>
        <w:t>primary objective</w:t>
      </w:r>
      <w:r>
        <w:rPr>
          <w:rFonts w:eastAsia="TimesNewRoman"/>
        </w:rPr>
        <w:t xml:space="preserve"> in Study A3921063 </w:t>
      </w:r>
      <w:r w:rsidRPr="00B56756">
        <w:rPr>
          <w:rFonts w:eastAsia="TimesNewRoman"/>
        </w:rPr>
        <w:t xml:space="preserve">was to demonstrate efficacy of </w:t>
      </w:r>
      <w:proofErr w:type="spellStart"/>
      <w:r>
        <w:rPr>
          <w:rFonts w:eastAsia="TimesNewRoman"/>
        </w:rPr>
        <w:t>tofacitinib</w:t>
      </w:r>
      <w:proofErr w:type="spellEnd"/>
      <w:r w:rsidRPr="00B56756">
        <w:rPr>
          <w:rFonts w:eastAsia="TimesNewRoman"/>
        </w:rPr>
        <w:t xml:space="preserve"> in</w:t>
      </w:r>
      <w:r>
        <w:rPr>
          <w:rFonts w:eastAsia="TimesNewRoman"/>
        </w:rPr>
        <w:t xml:space="preserve"> </w:t>
      </w:r>
      <w:r w:rsidRPr="00B56756">
        <w:rPr>
          <w:rFonts w:eastAsia="TimesNewRoman"/>
        </w:rPr>
        <w:t>inducing a clinical res</w:t>
      </w:r>
      <w:r w:rsidR="002C5EA8">
        <w:rPr>
          <w:rFonts w:eastAsia="TimesNewRoman"/>
        </w:rPr>
        <w:t xml:space="preserve">ponse in subjects with moderate to </w:t>
      </w:r>
      <w:r w:rsidRPr="00B56756">
        <w:rPr>
          <w:rFonts w:eastAsia="TimesNewRoman"/>
        </w:rPr>
        <w:t>severe UC.</w:t>
      </w:r>
      <w:r>
        <w:rPr>
          <w:rFonts w:eastAsia="TimesNewRoman"/>
        </w:rPr>
        <w:t xml:space="preserve"> Induction of clinical remission in this population was a secondary objective. Remission was not an endpoint.</w:t>
      </w:r>
      <w:r w:rsidRPr="00730CD1">
        <w:t xml:space="preserve"> </w:t>
      </w:r>
      <w:r>
        <w:t>M</w:t>
      </w:r>
      <w:r w:rsidR="002C5EA8">
        <w:t xml:space="preserve">odel </w:t>
      </w:r>
      <w:r w:rsidRPr="00730CD1">
        <w:t>predicted</w:t>
      </w:r>
      <w:r>
        <w:t xml:space="preserve"> clinical</w:t>
      </w:r>
      <w:r w:rsidRPr="00730CD1">
        <w:t xml:space="preserve"> remission rate </w:t>
      </w:r>
      <w:r w:rsidRPr="00A62B88">
        <w:rPr>
          <w:color w:val="000000"/>
        </w:rPr>
        <w:t>(difference from p</w:t>
      </w:r>
      <w:r w:rsidR="002C5EA8">
        <w:rPr>
          <w:color w:val="000000"/>
        </w:rPr>
        <w:t>lacebo) in the 10 mg BID and 15 </w:t>
      </w:r>
      <w:r w:rsidRPr="00A62B88">
        <w:rPr>
          <w:color w:val="000000"/>
        </w:rPr>
        <w:t>mg BID dose groups were 34.3% (90%</w:t>
      </w:r>
      <w:r>
        <w:rPr>
          <w:color w:val="000000"/>
        </w:rPr>
        <w:t xml:space="preserve"> </w:t>
      </w:r>
      <w:r w:rsidR="0019299D">
        <w:rPr>
          <w:color w:val="000000"/>
        </w:rPr>
        <w:t>confidence interval (</w:t>
      </w:r>
      <w:r w:rsidRPr="00A62B88">
        <w:rPr>
          <w:color w:val="000000"/>
        </w:rPr>
        <w:t>CI</w:t>
      </w:r>
      <w:r w:rsidR="0019299D">
        <w:rPr>
          <w:color w:val="000000"/>
        </w:rPr>
        <w:t>)</w:t>
      </w:r>
      <w:r w:rsidRPr="00A62B88">
        <w:rPr>
          <w:color w:val="000000"/>
        </w:rPr>
        <w:t xml:space="preserve">: 23.4%, 45.3%) and 37.2% (90% CI: 25.3%, 49.0%), respectively, </w:t>
      </w:r>
      <w:r>
        <w:rPr>
          <w:color w:val="000000"/>
        </w:rPr>
        <w:t>which indicated</w:t>
      </w:r>
      <w:r w:rsidRPr="00A62B88">
        <w:rPr>
          <w:color w:val="000000"/>
        </w:rPr>
        <w:t xml:space="preserve"> </w:t>
      </w:r>
      <w:r>
        <w:rPr>
          <w:color w:val="000000"/>
        </w:rPr>
        <w:t xml:space="preserve">a </w:t>
      </w:r>
      <w:r w:rsidRPr="00A62B88">
        <w:rPr>
          <w:color w:val="000000"/>
        </w:rPr>
        <w:t>marginal increase in efficacy at doses greater than 10 mg BID</w:t>
      </w:r>
      <w:r w:rsidR="005F7896">
        <w:rPr>
          <w:color w:val="000000"/>
        </w:rPr>
        <w:t>.</w:t>
      </w:r>
    </w:p>
    <w:p w14:paraId="5222637E" w14:textId="251E7A59" w:rsidR="00A25B9F" w:rsidRPr="00A62B88" w:rsidRDefault="00A25B9F" w:rsidP="00505CA3">
      <w:pPr>
        <w:rPr>
          <w:lang w:eastAsia="ja-JP"/>
        </w:rPr>
      </w:pPr>
      <w:r>
        <w:t>D</w:t>
      </w:r>
      <w:r w:rsidRPr="003B6FAE">
        <w:t xml:space="preserve">ose selection for </w:t>
      </w:r>
      <w:r>
        <w:t>the</w:t>
      </w:r>
      <w:r w:rsidRPr="003B6FAE">
        <w:t xml:space="preserve"> maintenance study</w:t>
      </w:r>
      <w:r>
        <w:t xml:space="preserve"> (</w:t>
      </w:r>
      <w:r w:rsidR="00090204">
        <w:t xml:space="preserve">Study </w:t>
      </w:r>
      <w:r>
        <w:t xml:space="preserve">A3921096), which enrolled subjects who achieved a clinical response at Week 8 from one of the </w:t>
      </w:r>
      <w:r w:rsidR="00B7366A">
        <w:t>Phase</w:t>
      </w:r>
      <w:r>
        <w:t xml:space="preserve"> III induction studies, was also</w:t>
      </w:r>
      <w:r w:rsidR="002C5EA8">
        <w:t xml:space="preserve"> based on the dose </w:t>
      </w:r>
      <w:r w:rsidRPr="003B6FAE">
        <w:t xml:space="preserve">response data from </w:t>
      </w:r>
      <w:r>
        <w:t>S</w:t>
      </w:r>
      <w:r w:rsidRPr="003B6FAE">
        <w:t xml:space="preserve">tudy </w:t>
      </w:r>
      <w:r>
        <w:t>A3921063. The 10 mg BID dose regimen was selected on the assumption</w:t>
      </w:r>
      <w:r w:rsidRPr="001D373E">
        <w:t xml:space="preserve"> </w:t>
      </w:r>
      <w:r w:rsidRPr="003B6FAE">
        <w:t>maintenance effect will be achieved at doses not higher</w:t>
      </w:r>
      <w:r>
        <w:t xml:space="preserve"> </w:t>
      </w:r>
      <w:r w:rsidRPr="003B6FAE">
        <w:t>than doses for achieving the induction effect.</w:t>
      </w:r>
      <w:r w:rsidRPr="001D373E">
        <w:t xml:space="preserve"> </w:t>
      </w:r>
      <w:r w:rsidRPr="003B6FAE">
        <w:t xml:space="preserve">Inclusion of </w:t>
      </w:r>
      <w:proofErr w:type="spellStart"/>
      <w:r>
        <w:t>tofacitinib</w:t>
      </w:r>
      <w:proofErr w:type="spellEnd"/>
      <w:r>
        <w:t xml:space="preserve"> </w:t>
      </w:r>
      <w:r w:rsidRPr="003B6FAE">
        <w:t xml:space="preserve">5 mg BID in </w:t>
      </w:r>
      <w:r>
        <w:t>S</w:t>
      </w:r>
      <w:r w:rsidRPr="003B6FAE">
        <w:t>tudy</w:t>
      </w:r>
      <w:r w:rsidR="002C5EA8">
        <w:t> </w:t>
      </w:r>
      <w:r>
        <w:t xml:space="preserve">A3921063 </w:t>
      </w:r>
      <w:r w:rsidRPr="003B6FAE">
        <w:t>allow</w:t>
      </w:r>
      <w:r>
        <w:t>s for</w:t>
      </w:r>
      <w:r w:rsidRPr="003B6FAE">
        <w:t xml:space="preserve"> evaluation of a </w:t>
      </w:r>
      <w:r>
        <w:t xml:space="preserve">lower </w:t>
      </w:r>
      <w:r w:rsidRPr="003B6FAE">
        <w:t>maintenance dose</w:t>
      </w:r>
      <w:r>
        <w:t>,</w:t>
      </w:r>
      <w:r w:rsidRPr="003B6FAE">
        <w:t xml:space="preserve"> while keeping the </w:t>
      </w:r>
      <w:r w:rsidR="00B7366A">
        <w:t>Phase</w:t>
      </w:r>
      <w:r w:rsidRPr="003B6FAE">
        <w:t xml:space="preserve"> </w:t>
      </w:r>
      <w:r>
        <w:t>III</w:t>
      </w:r>
      <w:r w:rsidRPr="003B6FAE">
        <w:t xml:space="preserve"> program </w:t>
      </w:r>
      <w:r>
        <w:t xml:space="preserve">to </w:t>
      </w:r>
      <w:r w:rsidRPr="003B6FAE">
        <w:t>an</w:t>
      </w:r>
      <w:r>
        <w:t xml:space="preserve"> </w:t>
      </w:r>
      <w:r w:rsidRPr="003B6FAE">
        <w:t>appropriate program size</w:t>
      </w:r>
      <w:r>
        <w:t xml:space="preserve">. The </w:t>
      </w:r>
      <w:r w:rsidRPr="003B6FAE">
        <w:t xml:space="preserve">RA program </w:t>
      </w:r>
      <w:r>
        <w:t xml:space="preserve">also </w:t>
      </w:r>
      <w:r w:rsidRPr="003B6FAE">
        <w:t>support</w:t>
      </w:r>
      <w:r>
        <w:t>ed</w:t>
      </w:r>
      <w:r w:rsidRPr="003B6FAE">
        <w:t xml:space="preserve"> the </w:t>
      </w:r>
      <w:r>
        <w:t>use of a</w:t>
      </w:r>
      <w:r w:rsidRPr="003B6FAE">
        <w:t xml:space="preserve"> </w:t>
      </w:r>
      <w:proofErr w:type="spellStart"/>
      <w:r>
        <w:t>tofacitinib</w:t>
      </w:r>
      <w:proofErr w:type="spellEnd"/>
      <w:r>
        <w:t xml:space="preserve"> </w:t>
      </w:r>
      <w:r w:rsidRPr="003B6FAE">
        <w:t>5 mg BID</w:t>
      </w:r>
      <w:r>
        <w:t xml:space="preserve"> treatment arm</w:t>
      </w:r>
      <w:r w:rsidRPr="003B6FAE">
        <w:t>.</w:t>
      </w:r>
    </w:p>
    <w:p w14:paraId="0C4FB8C3" w14:textId="77777777" w:rsidR="00A25B9F" w:rsidRDefault="00A25B9F" w:rsidP="00A25B9F">
      <w:pPr>
        <w:pStyle w:val="Heading4"/>
      </w:pPr>
      <w:bookmarkStart w:id="76" w:name="_Toc416353713"/>
      <w:bookmarkStart w:id="77" w:name="_Toc421005266"/>
      <w:bookmarkStart w:id="78" w:name="_Toc432079148"/>
      <w:bookmarkStart w:id="79" w:name="_Toc432080721"/>
      <w:bookmarkStart w:id="80" w:name="_Toc512808678"/>
      <w:r>
        <w:t>Evaluator’s conclusions on dos</w:t>
      </w:r>
      <w:r w:rsidRPr="00670FF0">
        <w:t>e finding for the pivotal studies</w:t>
      </w:r>
      <w:bookmarkEnd w:id="76"/>
      <w:bookmarkEnd w:id="77"/>
      <w:bookmarkEnd w:id="78"/>
      <w:bookmarkEnd w:id="79"/>
      <w:bookmarkEnd w:id="80"/>
    </w:p>
    <w:p w14:paraId="696FB81A" w14:textId="77777777" w:rsidR="00A25B9F" w:rsidRDefault="00A25B9F" w:rsidP="00505CA3">
      <w:pPr>
        <w:rPr>
          <w:lang w:eastAsia="ja-JP"/>
        </w:rPr>
      </w:pPr>
      <w:r>
        <w:t xml:space="preserve">The doses of </w:t>
      </w:r>
      <w:proofErr w:type="spellStart"/>
      <w:r>
        <w:t>tofacitinib</w:t>
      </w:r>
      <w:proofErr w:type="spellEnd"/>
      <w:r>
        <w:t xml:space="preserve"> studied in Study A3921063 were </w:t>
      </w:r>
      <w:r w:rsidRPr="0078003C">
        <w:t>0.5 mg,</w:t>
      </w:r>
      <w:r>
        <w:t xml:space="preserve"> 3 mg, 10 mg and 15 mg. A </w:t>
      </w:r>
      <w:proofErr w:type="spellStart"/>
      <w:r>
        <w:t>tofacitinib</w:t>
      </w:r>
      <w:proofErr w:type="spellEnd"/>
      <w:r>
        <w:t xml:space="preserve"> 5 mg treatment arm was neither included in Study A3921063 nor estimate</w:t>
      </w:r>
      <w:r w:rsidR="002C5EA8">
        <w:t xml:space="preserve">d or extrapolated from the dose </w:t>
      </w:r>
      <w:r>
        <w:t xml:space="preserve">response model. Hence, an effect on induction using a </w:t>
      </w:r>
      <w:proofErr w:type="spellStart"/>
      <w:r>
        <w:t>tofacitinib</w:t>
      </w:r>
      <w:proofErr w:type="spellEnd"/>
      <w:r>
        <w:t xml:space="preserve"> 5 mg BID treatment regimen remains unknown.</w:t>
      </w:r>
      <w:r w:rsidRPr="00112B15">
        <w:rPr>
          <w:lang w:eastAsia="ja-JP"/>
        </w:rPr>
        <w:t xml:space="preserve"> </w:t>
      </w:r>
      <w:r>
        <w:rPr>
          <w:lang w:eastAsia="ja-JP"/>
        </w:rPr>
        <w:t xml:space="preserve">Also, the minimum effective </w:t>
      </w:r>
      <w:r>
        <w:rPr>
          <w:lang w:eastAsia="ja-JP"/>
        </w:rPr>
        <w:lastRenderedPageBreak/>
        <w:t>dose that will provide an acceptable level of remission in the target population remains unknown. This gap in knowledge may affect treatment selection.</w:t>
      </w:r>
    </w:p>
    <w:p w14:paraId="7DF69E2D" w14:textId="77777777" w:rsidR="00A25B9F" w:rsidRDefault="00A25B9F" w:rsidP="00505CA3">
      <w:pPr>
        <w:rPr>
          <w:lang w:eastAsia="ja-JP"/>
        </w:rPr>
      </w:pPr>
      <w:r>
        <w:rPr>
          <w:lang w:eastAsia="ja-JP"/>
        </w:rPr>
        <w:t xml:space="preserve">Given the marginal increase in efficacy observed from </w:t>
      </w:r>
      <w:proofErr w:type="spellStart"/>
      <w:r>
        <w:rPr>
          <w:lang w:eastAsia="ja-JP"/>
        </w:rPr>
        <w:t>tofacitinib</w:t>
      </w:r>
      <w:proofErr w:type="spellEnd"/>
      <w:r>
        <w:rPr>
          <w:lang w:eastAsia="ja-JP"/>
        </w:rPr>
        <w:t xml:space="preserve"> 15 mg BID treatment compared with 10 mg treatment, it is unclear why 15 mg treatment was included in the </w:t>
      </w:r>
      <w:r w:rsidR="00B7366A">
        <w:rPr>
          <w:lang w:eastAsia="ja-JP"/>
        </w:rPr>
        <w:t>Phase</w:t>
      </w:r>
      <w:r>
        <w:rPr>
          <w:lang w:eastAsia="ja-JP"/>
        </w:rPr>
        <w:t xml:space="preserve"> III induction studies. Especially since the initial report for Study A3921063 was available </w:t>
      </w:r>
      <w:r>
        <w:t xml:space="preserve">prior to commencement of the </w:t>
      </w:r>
      <w:r w:rsidR="00B7366A">
        <w:t>Phase</w:t>
      </w:r>
      <w:r>
        <w:t xml:space="preserve"> III induction studies.</w:t>
      </w:r>
    </w:p>
    <w:p w14:paraId="791F114A" w14:textId="77777777" w:rsidR="00A25B9F" w:rsidRDefault="00A25B9F" w:rsidP="00505CA3">
      <w:pPr>
        <w:rPr>
          <w:lang w:eastAsia="ja-JP"/>
        </w:rPr>
      </w:pPr>
      <w:r>
        <w:rPr>
          <w:lang w:eastAsia="ja-JP"/>
        </w:rPr>
        <w:t xml:space="preserve">Notwithstanding that induction regimens for the treatment of moderate to severe UC in adults generally require higher induction or loading doses than maintenance regimens, the administration of a near maximal efficacious dose of </w:t>
      </w:r>
      <w:proofErr w:type="spellStart"/>
      <w:r>
        <w:rPr>
          <w:lang w:eastAsia="ja-JP"/>
        </w:rPr>
        <w:t>tofacitinib</w:t>
      </w:r>
      <w:proofErr w:type="spellEnd"/>
      <w:r>
        <w:rPr>
          <w:lang w:eastAsia="ja-JP"/>
        </w:rPr>
        <w:t xml:space="preserve"> to all participants has to be balanced against the AE profile of the active compound. The use of a lower dose regimen than 10 mg BID </w:t>
      </w:r>
      <w:proofErr w:type="spellStart"/>
      <w:r>
        <w:rPr>
          <w:lang w:eastAsia="ja-JP"/>
        </w:rPr>
        <w:t>tofacitinib</w:t>
      </w:r>
      <w:proofErr w:type="spellEnd"/>
      <w:r>
        <w:rPr>
          <w:lang w:eastAsia="ja-JP"/>
        </w:rPr>
        <w:t xml:space="preserve">, say 5 mg for instance, would have provided assurance that the 10 mg BID regimen was optimal to induce clinical remission/remission, as well as provide comparative safety data between the different active treatment arms. Given the TGA’s recent safety concerns over </w:t>
      </w:r>
      <w:proofErr w:type="spellStart"/>
      <w:r>
        <w:rPr>
          <w:lang w:eastAsia="ja-JP"/>
        </w:rPr>
        <w:t>tofacitinib</w:t>
      </w:r>
      <w:proofErr w:type="spellEnd"/>
      <w:r>
        <w:rPr>
          <w:lang w:eastAsia="ja-JP"/>
        </w:rPr>
        <w:t xml:space="preserve"> 10 mg BID treatment, the </w:t>
      </w:r>
      <w:r w:rsidR="00B7366A">
        <w:rPr>
          <w:lang w:eastAsia="ja-JP"/>
        </w:rPr>
        <w:t>Phase</w:t>
      </w:r>
      <w:r>
        <w:rPr>
          <w:lang w:eastAsia="ja-JP"/>
        </w:rPr>
        <w:t xml:space="preserve"> III induction studies would not be expected to directly address those safety concerns, in the absence of an active comparator group.</w:t>
      </w:r>
    </w:p>
    <w:p w14:paraId="37E74848" w14:textId="1D487EA7" w:rsidR="00A25B9F" w:rsidRPr="00505CA3" w:rsidRDefault="00A25B9F" w:rsidP="00505CA3">
      <w:r>
        <w:t xml:space="preserve">The use of </w:t>
      </w:r>
      <w:proofErr w:type="spellStart"/>
      <w:r>
        <w:t>tofacitinib</w:t>
      </w:r>
      <w:proofErr w:type="spellEnd"/>
      <w:r>
        <w:t xml:space="preserve"> </w:t>
      </w:r>
      <w:r>
        <w:rPr>
          <w:lang w:eastAsia="ja-JP"/>
        </w:rPr>
        <w:t>5 mg BID treatment in the maintenance study (</w:t>
      </w:r>
      <w:r w:rsidR="00090204">
        <w:rPr>
          <w:lang w:eastAsia="ja-JP"/>
        </w:rPr>
        <w:t xml:space="preserve">Study </w:t>
      </w:r>
      <w:r>
        <w:rPr>
          <w:lang w:eastAsia="ja-JP"/>
        </w:rPr>
        <w:t>A3921096), while appearing a reasonable choice, is not d</w:t>
      </w:r>
      <w:r w:rsidR="002C5EA8">
        <w:rPr>
          <w:lang w:eastAsia="ja-JP"/>
        </w:rPr>
        <w:t xml:space="preserve">irectly supported from the dose </w:t>
      </w:r>
      <w:r>
        <w:rPr>
          <w:lang w:eastAsia="ja-JP"/>
        </w:rPr>
        <w:t xml:space="preserve">response model employed in </w:t>
      </w:r>
      <w:r>
        <w:t xml:space="preserve">Study </w:t>
      </w:r>
      <w:r>
        <w:rPr>
          <w:lang w:eastAsia="ja-JP"/>
        </w:rPr>
        <w:t>A3921063.</w:t>
      </w:r>
    </w:p>
    <w:p w14:paraId="3ECCCA7F" w14:textId="77777777" w:rsidR="008E7846" w:rsidRPr="00254787" w:rsidRDefault="008E7846" w:rsidP="008E7846">
      <w:pPr>
        <w:pStyle w:val="Heading3"/>
      </w:pPr>
      <w:bookmarkStart w:id="81" w:name="_Toc163441372"/>
      <w:bookmarkStart w:id="82" w:name="_Toc196046485"/>
      <w:bookmarkStart w:id="83" w:name="_Toc247691521"/>
      <w:bookmarkStart w:id="84" w:name="_Toc314842504"/>
      <w:bookmarkStart w:id="85" w:name="_Toc20301901"/>
      <w:r w:rsidRPr="00254787">
        <w:t>Efficacy</w:t>
      </w:r>
      <w:bookmarkEnd w:id="81"/>
      <w:bookmarkEnd w:id="82"/>
      <w:bookmarkEnd w:id="83"/>
      <w:bookmarkEnd w:id="84"/>
      <w:bookmarkEnd w:id="85"/>
    </w:p>
    <w:p w14:paraId="518149E5" w14:textId="77777777" w:rsidR="00605AD4" w:rsidRDefault="00605AD4" w:rsidP="00605AD4">
      <w:pPr>
        <w:pStyle w:val="Heading4"/>
      </w:pPr>
      <w:bookmarkStart w:id="86" w:name="_Toc184439992"/>
      <w:bookmarkStart w:id="87" w:name="_Toc184440279"/>
      <w:bookmarkStart w:id="88" w:name="_Toc184444657"/>
      <w:bookmarkStart w:id="89" w:name="_Toc196046487"/>
      <w:r>
        <w:t>Studies providing efficacy data</w:t>
      </w:r>
    </w:p>
    <w:p w14:paraId="67FCB546" w14:textId="48C52F09" w:rsidR="00A25B9F" w:rsidRPr="00505CA3" w:rsidRDefault="00A25B9F" w:rsidP="00505CA3">
      <w:pPr>
        <w:pStyle w:val="ListBullet"/>
        <w:rPr>
          <w:lang w:eastAsia="ja-JP"/>
        </w:rPr>
      </w:pPr>
      <w:r w:rsidRPr="00505CA3">
        <w:rPr>
          <w:lang w:eastAsia="ja-JP"/>
        </w:rPr>
        <w:t>Study A3921094:</w:t>
      </w:r>
      <w:r w:rsidR="002C5EA8">
        <w:t xml:space="preserve"> a</w:t>
      </w:r>
      <w:r w:rsidRPr="00505CA3">
        <w:t xml:space="preserve"> </w:t>
      </w:r>
      <w:r w:rsidR="002C5EA8" w:rsidRPr="00505CA3">
        <w:t>multicentre</w:t>
      </w:r>
      <w:r w:rsidRPr="00505CA3">
        <w:t xml:space="preserve">, </w:t>
      </w:r>
      <w:r w:rsidR="00090204" w:rsidRPr="00505CA3">
        <w:t>randomi</w:t>
      </w:r>
      <w:r w:rsidR="00090204">
        <w:t>s</w:t>
      </w:r>
      <w:r w:rsidR="00090204" w:rsidRPr="00505CA3">
        <w:t>ed</w:t>
      </w:r>
      <w:r w:rsidRPr="00505CA3">
        <w:t xml:space="preserve">, </w:t>
      </w:r>
      <w:r w:rsidR="002C5EA8">
        <w:t xml:space="preserve">double </w:t>
      </w:r>
      <w:r w:rsidR="002C5EA8" w:rsidRPr="00505CA3">
        <w:t>blind</w:t>
      </w:r>
      <w:r w:rsidRPr="00505CA3">
        <w:t xml:space="preserve">, </w:t>
      </w:r>
      <w:r w:rsidR="002C5EA8">
        <w:t xml:space="preserve">placebo </w:t>
      </w:r>
      <w:r w:rsidR="002C5EA8" w:rsidRPr="00505CA3">
        <w:t>controlled</w:t>
      </w:r>
      <w:r w:rsidRPr="00505CA3">
        <w:t xml:space="preserve">, </w:t>
      </w:r>
      <w:r w:rsidR="002C5EA8">
        <w:t xml:space="preserve">parallel </w:t>
      </w:r>
      <w:r w:rsidR="002C5EA8" w:rsidRPr="00505CA3">
        <w:t xml:space="preserve">group study of oral </w:t>
      </w:r>
      <w:r w:rsidRPr="00505CA3">
        <w:t xml:space="preserve">CP-690,550 </w:t>
      </w:r>
      <w:r w:rsidR="002C5EA8">
        <w:t>(</w:t>
      </w:r>
      <w:proofErr w:type="spellStart"/>
      <w:r w:rsidR="002C5EA8">
        <w:t>tofacitinib</w:t>
      </w:r>
      <w:proofErr w:type="spellEnd"/>
      <w:r w:rsidR="002C5EA8">
        <w:t xml:space="preserve">) </w:t>
      </w:r>
      <w:r w:rsidR="002C5EA8" w:rsidRPr="00505CA3">
        <w:t>as an induction therapy in subjects with moderate to severe ulcerative colitis (induction)</w:t>
      </w:r>
      <w:r w:rsidR="00553680">
        <w:t>.</w:t>
      </w:r>
    </w:p>
    <w:p w14:paraId="64C32B86" w14:textId="32944DC5" w:rsidR="00A25B9F" w:rsidRPr="00505CA3" w:rsidRDefault="00A25B9F" w:rsidP="00505CA3">
      <w:pPr>
        <w:pStyle w:val="ListBullet"/>
        <w:rPr>
          <w:lang w:eastAsia="ja-JP"/>
        </w:rPr>
      </w:pPr>
      <w:r w:rsidRPr="00505CA3">
        <w:rPr>
          <w:lang w:eastAsia="ja-JP"/>
        </w:rPr>
        <w:t>Study A3921095:</w:t>
      </w:r>
      <w:r w:rsidRPr="00505CA3">
        <w:t xml:space="preserve"> </w:t>
      </w:r>
      <w:r w:rsidR="002C5EA8" w:rsidRPr="00505CA3">
        <w:t xml:space="preserve">a </w:t>
      </w:r>
      <w:r w:rsidR="002C5EA8">
        <w:t xml:space="preserve">multicentre, </w:t>
      </w:r>
      <w:r w:rsidR="00090204">
        <w:t>randomised</w:t>
      </w:r>
      <w:r w:rsidR="002C5EA8">
        <w:t xml:space="preserve">, double blind, placebo controlled, parallel </w:t>
      </w:r>
      <w:r w:rsidR="002C5EA8" w:rsidRPr="00505CA3">
        <w:t>group study of oral</w:t>
      </w:r>
      <w:r w:rsidRPr="00505CA3">
        <w:t xml:space="preserve"> CP-690,550 as an </w:t>
      </w:r>
      <w:r w:rsidR="002C5EA8" w:rsidRPr="00505CA3">
        <w:t>induction therapy in subjects with moderate to severe ulcerative colitis (induction)</w:t>
      </w:r>
      <w:r w:rsidR="00553680">
        <w:t>.</w:t>
      </w:r>
    </w:p>
    <w:p w14:paraId="2E699F81" w14:textId="5EFFAFF3" w:rsidR="00A25B9F" w:rsidRPr="00505CA3" w:rsidRDefault="00A25B9F" w:rsidP="00505CA3">
      <w:pPr>
        <w:pStyle w:val="ListBullet"/>
        <w:rPr>
          <w:lang w:eastAsia="ja-JP"/>
        </w:rPr>
      </w:pPr>
      <w:r w:rsidRPr="00505CA3">
        <w:rPr>
          <w:lang w:eastAsia="ja-JP"/>
        </w:rPr>
        <w:t>Study A3921096:</w:t>
      </w:r>
      <w:r w:rsidRPr="00505CA3">
        <w:t xml:space="preserve"> </w:t>
      </w:r>
      <w:r w:rsidR="002C5EA8" w:rsidRPr="00505CA3">
        <w:t>a multicen</w:t>
      </w:r>
      <w:r w:rsidR="00E9134C">
        <w:t xml:space="preserve">tre, </w:t>
      </w:r>
      <w:r w:rsidR="00090204">
        <w:t>randomised</w:t>
      </w:r>
      <w:r w:rsidR="00E9134C">
        <w:t xml:space="preserve">, double blind, placebo </w:t>
      </w:r>
      <w:r w:rsidR="002C5EA8" w:rsidRPr="00505CA3">
        <w:t xml:space="preserve">controlled, </w:t>
      </w:r>
      <w:proofErr w:type="gramStart"/>
      <w:r w:rsidR="002C5EA8" w:rsidRPr="00505CA3">
        <w:t>parallel</w:t>
      </w:r>
      <w:proofErr w:type="gramEnd"/>
      <w:r w:rsidR="002C5EA8" w:rsidRPr="00505CA3">
        <w:t xml:space="preserve">-group study of oral </w:t>
      </w:r>
      <w:r w:rsidRPr="00505CA3">
        <w:t xml:space="preserve">CP-690,550 </w:t>
      </w:r>
      <w:r w:rsidR="002C5EA8" w:rsidRPr="00505CA3">
        <w:t>as a maintenance therapy in subjects with ulcerative colitis (maintenance)</w:t>
      </w:r>
      <w:r w:rsidR="00553680">
        <w:t>.</w:t>
      </w:r>
    </w:p>
    <w:p w14:paraId="2518D9F4" w14:textId="20748772" w:rsidR="00A25B9F" w:rsidRPr="00505CA3" w:rsidRDefault="00A25B9F" w:rsidP="00505CA3">
      <w:pPr>
        <w:pStyle w:val="ListBullet"/>
        <w:rPr>
          <w:lang w:eastAsia="ja-JP"/>
        </w:rPr>
      </w:pPr>
      <w:r w:rsidRPr="00505CA3">
        <w:rPr>
          <w:lang w:eastAsia="ja-JP"/>
        </w:rPr>
        <w:t>Study A3921063:</w:t>
      </w:r>
      <w:r w:rsidRPr="00505CA3">
        <w:t xml:space="preserve"> </w:t>
      </w:r>
      <w:r w:rsidR="00E9134C">
        <w:t xml:space="preserve">a </w:t>
      </w:r>
      <w:r w:rsidR="00090204">
        <w:t>randomised</w:t>
      </w:r>
      <w:r w:rsidR="00E9134C">
        <w:t xml:space="preserve">, double blind, placebo </w:t>
      </w:r>
      <w:r w:rsidR="002C5EA8" w:rsidRPr="00505CA3">
        <w:t>controlled, parallel group, multi</w:t>
      </w:r>
      <w:r w:rsidR="004B2567" w:rsidRPr="00505CA3">
        <w:t>centre</w:t>
      </w:r>
      <w:r w:rsidR="002C5EA8" w:rsidRPr="00505CA3">
        <w:t xml:space="preserve"> study to investigate the safety and efficacy of </w:t>
      </w:r>
      <w:r w:rsidRPr="00505CA3">
        <w:t xml:space="preserve">CP-690,550 in </w:t>
      </w:r>
      <w:r w:rsidR="002C5EA8" w:rsidRPr="00505CA3">
        <w:t>subjects with moderate to severe ulcerative colitis (dose-ranging/induction)</w:t>
      </w:r>
      <w:r w:rsidR="00553680">
        <w:t>.</w:t>
      </w:r>
    </w:p>
    <w:p w14:paraId="456E210F" w14:textId="77777777" w:rsidR="00500337" w:rsidRPr="00505CA3" w:rsidRDefault="00A25B9F" w:rsidP="00505CA3">
      <w:pPr>
        <w:pStyle w:val="ListBullet"/>
        <w:rPr>
          <w:lang w:eastAsia="ja-JP"/>
        </w:rPr>
      </w:pPr>
      <w:r w:rsidRPr="00505CA3">
        <w:rPr>
          <w:lang w:eastAsia="ja-JP"/>
        </w:rPr>
        <w:t>Study A3921139:</w:t>
      </w:r>
      <w:r w:rsidRPr="00505CA3">
        <w:t xml:space="preserve"> </w:t>
      </w:r>
      <w:r w:rsidR="002C5EA8" w:rsidRPr="00505CA3">
        <w:t>interim clinical study report: a multi-</w:t>
      </w:r>
      <w:r w:rsidR="004B2567" w:rsidRPr="00505CA3">
        <w:t>centre</w:t>
      </w:r>
      <w:r w:rsidR="002C5EA8" w:rsidRPr="00505CA3">
        <w:t xml:space="preserve">, </w:t>
      </w:r>
      <w:r w:rsidR="00404101">
        <w:t>open label</w:t>
      </w:r>
      <w:r w:rsidR="002C5EA8" w:rsidRPr="00505CA3">
        <w:t xml:space="preserve"> study </w:t>
      </w:r>
      <w:r w:rsidR="004B2567">
        <w:t>of CP</w:t>
      </w:r>
      <w:r w:rsidR="004B2567">
        <w:noBreakHyphen/>
      </w:r>
      <w:r w:rsidRPr="00505CA3">
        <w:t xml:space="preserve">690,550 </w:t>
      </w:r>
      <w:r w:rsidR="002C5EA8" w:rsidRPr="00505CA3">
        <w:t>in subjects with moderate to severe ulcerative colitis (long-term extension</w:t>
      </w:r>
      <w:r w:rsidRPr="00505CA3">
        <w:t>)</w:t>
      </w:r>
      <w:r w:rsidR="00553680">
        <w:t>.</w:t>
      </w:r>
    </w:p>
    <w:p w14:paraId="2CF717DD" w14:textId="77777777" w:rsidR="008E7846" w:rsidRDefault="00605AD4" w:rsidP="00605AD4">
      <w:pPr>
        <w:pStyle w:val="Heading4"/>
      </w:pPr>
      <w:r>
        <w:t>Evaluator’s conclusions on efficacy</w:t>
      </w:r>
    </w:p>
    <w:p w14:paraId="1E5B43D7" w14:textId="77777777" w:rsidR="00A25B9F" w:rsidRDefault="00A25B9F" w:rsidP="00523058">
      <w:pPr>
        <w:pStyle w:val="Heading5"/>
        <w:rPr>
          <w:rFonts w:eastAsia="TimesNewRoman,Bold"/>
        </w:rPr>
      </w:pPr>
      <w:r>
        <w:rPr>
          <w:rFonts w:eastAsia="TimesNewRoman,Bold"/>
        </w:rPr>
        <w:t>Induction</w:t>
      </w:r>
    </w:p>
    <w:p w14:paraId="2E465EAE" w14:textId="77777777" w:rsidR="00A25B9F" w:rsidRDefault="00A25B9F" w:rsidP="00505CA3">
      <w:r>
        <w:t xml:space="preserve">Overall, the study design of the pivotal </w:t>
      </w:r>
      <w:r w:rsidR="00B7366A">
        <w:t>Phase</w:t>
      </w:r>
      <w:r>
        <w:t xml:space="preserve"> III induction studies is acceptable and consistent with the Adopted Guideline.</w:t>
      </w:r>
      <w:r w:rsidR="00A97676">
        <w:fldChar w:fldCharType="begin"/>
      </w:r>
      <w:r w:rsidR="00A97676">
        <w:instrText xml:space="preserve"> NOTEREF _Ref13729303 \f \h </w:instrText>
      </w:r>
      <w:r w:rsidR="00A97676">
        <w:fldChar w:fldCharType="separate"/>
      </w:r>
      <w:r w:rsidR="00A97676" w:rsidRPr="00A97676">
        <w:rPr>
          <w:rStyle w:val="FootnoteReference"/>
        </w:rPr>
        <w:t>2</w:t>
      </w:r>
      <w:r w:rsidR="00A97676">
        <w:fldChar w:fldCharType="end"/>
      </w:r>
      <w:r>
        <w:t xml:space="preserve"> However, some significant deviations occurred, which were not adequately addressed by the sponsor.</w:t>
      </w:r>
    </w:p>
    <w:p w14:paraId="5CAB0F4D" w14:textId="77777777" w:rsidR="00A25B9F" w:rsidRPr="00523058" w:rsidRDefault="00A25B9F" w:rsidP="00505CA3">
      <w:pPr>
        <w:rPr>
          <w:rFonts w:eastAsia="TimesNewRoman" w:cs="TimesNewRoman"/>
        </w:rPr>
      </w:pPr>
      <w:r>
        <w:t xml:space="preserve">The primary and secondary objectives </w:t>
      </w:r>
      <w:r>
        <w:rPr>
          <w:rFonts w:cs="TimesNewRoman"/>
          <w:color w:val="000000"/>
        </w:rPr>
        <w:t>were achieved</w:t>
      </w:r>
      <w:r>
        <w:t xml:space="preserve"> and statistically significant and clinically meaningful results obtained. </w:t>
      </w:r>
      <w:proofErr w:type="spellStart"/>
      <w:r w:rsidRPr="007A6CC1">
        <w:rPr>
          <w:rFonts w:eastAsia="TimesNewRoman" w:cs="TimesNewRoman"/>
          <w:color w:val="000000"/>
        </w:rPr>
        <w:t>Tofacitinib</w:t>
      </w:r>
      <w:proofErr w:type="spellEnd"/>
      <w:r w:rsidRPr="007A6CC1">
        <w:rPr>
          <w:rFonts w:eastAsia="TimesNewRoman" w:cs="TimesNewRoman"/>
          <w:color w:val="000000"/>
        </w:rPr>
        <w:t xml:space="preserve"> 10 mg BID </w:t>
      </w:r>
      <w:r>
        <w:rPr>
          <w:rFonts w:eastAsia="TimesNewRoman" w:cs="TimesNewRoman"/>
          <w:color w:val="000000"/>
        </w:rPr>
        <w:t xml:space="preserve">treatment </w:t>
      </w:r>
      <w:r w:rsidRPr="007A6CC1">
        <w:rPr>
          <w:rFonts w:eastAsia="TimesNewRoman" w:cs="TimesNewRoman"/>
          <w:color w:val="000000"/>
        </w:rPr>
        <w:t>was effective in</w:t>
      </w:r>
      <w:r>
        <w:rPr>
          <w:rFonts w:eastAsia="TimesNewRoman" w:cs="TimesNewRoman"/>
          <w:color w:val="000000"/>
        </w:rPr>
        <w:t xml:space="preserve"> </w:t>
      </w:r>
      <w:r w:rsidRPr="007A6CC1">
        <w:rPr>
          <w:rFonts w:eastAsia="TimesNewRoman" w:cs="TimesNewRoman"/>
          <w:color w:val="000000"/>
        </w:rPr>
        <w:t>inducing remission with a</w:t>
      </w:r>
      <w:r>
        <w:rPr>
          <w:rFonts w:eastAsia="TimesNewRoman" w:cs="TimesNewRoman"/>
          <w:color w:val="000000"/>
        </w:rPr>
        <w:t xml:space="preserve"> poo</w:t>
      </w:r>
      <w:r w:rsidR="00A97676">
        <w:rPr>
          <w:rFonts w:eastAsia="TimesNewRoman" w:cs="TimesNewRoman"/>
          <w:color w:val="000000"/>
        </w:rPr>
        <w:t xml:space="preserve">led placebo </w:t>
      </w:r>
      <w:r>
        <w:rPr>
          <w:rFonts w:eastAsia="TimesNewRoman" w:cs="TimesNewRoman"/>
          <w:color w:val="000000"/>
        </w:rPr>
        <w:t>adjusted rate of 11.6% (</w:t>
      </w:r>
      <w:r w:rsidR="00A97676">
        <w:rPr>
          <w:rFonts w:eastAsia="TimesNewRoman" w:cs="TimesNewRoman"/>
          <w:color w:val="000000"/>
        </w:rPr>
        <w:t xml:space="preserve">numbers needed to </w:t>
      </w:r>
      <w:r w:rsidR="00A97676">
        <w:rPr>
          <w:rFonts w:eastAsia="TimesNewRoman" w:cs="TimesNewRoman"/>
          <w:color w:val="000000"/>
        </w:rPr>
        <w:lastRenderedPageBreak/>
        <w:t>treat (</w:t>
      </w:r>
      <w:r>
        <w:rPr>
          <w:rFonts w:eastAsia="TimesNewRoman" w:cs="TimesNewRoman"/>
          <w:color w:val="000000"/>
        </w:rPr>
        <w:t>NNT</w:t>
      </w:r>
      <w:r w:rsidR="00A97676">
        <w:rPr>
          <w:rFonts w:eastAsia="TimesNewRoman" w:cs="TimesNewRoman"/>
          <w:color w:val="000000"/>
        </w:rPr>
        <w:t>)</w:t>
      </w:r>
      <w:r>
        <w:rPr>
          <w:rFonts w:eastAsia="TimesNewRoman" w:cs="TimesNewRoman"/>
          <w:color w:val="000000"/>
        </w:rPr>
        <w:t xml:space="preserve"> = 9), with an onset of action observed after 2 weeks of treatment. </w:t>
      </w:r>
      <w:r w:rsidRPr="00CA47AE">
        <w:rPr>
          <w:rFonts w:eastAsia="TimesNewRoman" w:cs="TimesNewRoman"/>
        </w:rPr>
        <w:t>For the key secondary endpoint of mucosal</w:t>
      </w:r>
      <w:r>
        <w:rPr>
          <w:rFonts w:eastAsia="TimesNewRoman" w:cs="TimesNewRoman"/>
        </w:rPr>
        <w:t xml:space="preserve"> </w:t>
      </w:r>
      <w:r w:rsidRPr="00CA47AE">
        <w:rPr>
          <w:rFonts w:eastAsia="TimesNewRoman" w:cs="TimesNewRoman"/>
        </w:rPr>
        <w:t xml:space="preserve">healing at Week 8, </w:t>
      </w:r>
      <w:r w:rsidR="00A97676">
        <w:rPr>
          <w:rFonts w:eastAsia="TimesNewRoman" w:cs="TimesNewRoman"/>
        </w:rPr>
        <w:t xml:space="preserve">the pooled placebo </w:t>
      </w:r>
      <w:r>
        <w:rPr>
          <w:rFonts w:eastAsia="TimesNewRoman" w:cs="TimesNewRoman"/>
        </w:rPr>
        <w:t xml:space="preserve">adjusted treatment effect for </w:t>
      </w:r>
      <w:proofErr w:type="spellStart"/>
      <w:r>
        <w:rPr>
          <w:rFonts w:eastAsia="TimesNewRoman" w:cs="TimesNewRoman"/>
        </w:rPr>
        <w:t>tofacitinib</w:t>
      </w:r>
      <w:proofErr w:type="spellEnd"/>
      <w:r>
        <w:rPr>
          <w:rFonts w:eastAsia="TimesNewRoman" w:cs="TimesNewRoman"/>
        </w:rPr>
        <w:t xml:space="preserve"> 10 mg was 16.3% (NNT = 6) a</w:t>
      </w:r>
      <w:r w:rsidR="00A97676">
        <w:rPr>
          <w:rFonts w:eastAsia="TimesNewRoman" w:cs="TimesNewRoman"/>
        </w:rPr>
        <w:t xml:space="preserve">nd pooled placebo </w:t>
      </w:r>
      <w:r>
        <w:rPr>
          <w:rFonts w:eastAsia="TimesNewRoman" w:cs="TimesNewRoman"/>
        </w:rPr>
        <w:t>adjusted treatment effect</w:t>
      </w:r>
      <w:r w:rsidR="005F7896">
        <w:rPr>
          <w:rFonts w:eastAsia="TimesNewRoman" w:cs="TimesNewRoman"/>
        </w:rPr>
        <w:t xml:space="preserve"> </w:t>
      </w:r>
      <w:r>
        <w:rPr>
          <w:rFonts w:eastAsia="TimesNewRoman" w:cs="TimesNewRoman"/>
        </w:rPr>
        <w:t>for clinical response was 26.8% (NNT = 4).</w:t>
      </w:r>
    </w:p>
    <w:p w14:paraId="2976F1DD" w14:textId="77777777" w:rsidR="00A25B9F" w:rsidRPr="007A6CC1" w:rsidRDefault="00A25B9F" w:rsidP="00505CA3">
      <w:pPr>
        <w:rPr>
          <w:rFonts w:eastAsia="TimesNewRoman" w:cs="TimesNewRoman"/>
          <w:color w:val="000000"/>
        </w:rPr>
      </w:pPr>
      <w:r>
        <w:t>The result of the primary efficacy analysis was supported by results from sensitivity analyses of the primary efficacy endpoint, as well as results from analyses of the secondary and exploratory efficacy endpoints. In subgroup analyses, t</w:t>
      </w:r>
      <w:r>
        <w:rPr>
          <w:rFonts w:eastAsia="TimesNewRoman" w:cs="TimesNewRoman"/>
          <w:color w:val="000000"/>
        </w:rPr>
        <w:t xml:space="preserve">he magnitude of treatment effect was similar, irrespective of prior UC treatment failures (oral corticosteroids, </w:t>
      </w:r>
      <w:proofErr w:type="spellStart"/>
      <w:r>
        <w:rPr>
          <w:rFonts w:eastAsia="TimesNewRoman" w:cs="TimesNewRoman"/>
          <w:color w:val="000000"/>
        </w:rPr>
        <w:t>immunosuppressan</w:t>
      </w:r>
      <w:r w:rsidR="00A97676">
        <w:rPr>
          <w:rFonts w:eastAsia="TimesNewRoman" w:cs="TimesNewRoman"/>
          <w:color w:val="000000"/>
        </w:rPr>
        <w:t>ts</w:t>
      </w:r>
      <w:proofErr w:type="spellEnd"/>
      <w:r w:rsidR="00A97676">
        <w:rPr>
          <w:rFonts w:eastAsia="TimesNewRoman" w:cs="TimesNewRoman"/>
          <w:color w:val="000000"/>
        </w:rPr>
        <w:t xml:space="preserve">, </w:t>
      </w:r>
      <w:proofErr w:type="spellStart"/>
      <w:r w:rsidR="00A97676">
        <w:rPr>
          <w:rFonts w:eastAsia="TimesNewRoman" w:cs="TimesNewRoman"/>
          <w:color w:val="000000"/>
        </w:rPr>
        <w:t>TNFi</w:t>
      </w:r>
      <w:proofErr w:type="spellEnd"/>
      <w:r w:rsidR="00523058">
        <w:rPr>
          <w:rFonts w:eastAsia="TimesNewRoman" w:cs="TimesNewRoman"/>
          <w:color w:val="000000"/>
        </w:rPr>
        <w:t>).</w:t>
      </w:r>
    </w:p>
    <w:p w14:paraId="53296C8C" w14:textId="06316D70" w:rsidR="00A25B9F" w:rsidRDefault="00A25B9F" w:rsidP="00505CA3">
      <w:pPr>
        <w:rPr>
          <w:rFonts w:eastAsia="TimesNewRoman" w:cs="TimesNewRoman"/>
        </w:rPr>
      </w:pPr>
      <w:r w:rsidRPr="007A6CC1">
        <w:rPr>
          <w:rFonts w:eastAsia="TimesNewRoman" w:cs="TimesNewRoman"/>
        </w:rPr>
        <w:t xml:space="preserve">Clinical efficacy of </w:t>
      </w:r>
      <w:proofErr w:type="spellStart"/>
      <w:r w:rsidRPr="007A6CC1">
        <w:rPr>
          <w:rFonts w:eastAsia="TimesNewRoman" w:cs="TimesNewRoman"/>
        </w:rPr>
        <w:t>tofacitinib</w:t>
      </w:r>
      <w:proofErr w:type="spellEnd"/>
      <w:r w:rsidRPr="007A6CC1">
        <w:rPr>
          <w:rFonts w:eastAsia="TimesNewRoman" w:cs="TimesNewRoman"/>
        </w:rPr>
        <w:t xml:space="preserve"> 10 mg BID in induction was accompanied by</w:t>
      </w:r>
      <w:r>
        <w:rPr>
          <w:rFonts w:eastAsia="TimesNewRoman" w:cs="TimesNewRoman"/>
        </w:rPr>
        <w:t xml:space="preserve"> </w:t>
      </w:r>
      <w:r w:rsidRPr="007A6CC1">
        <w:rPr>
          <w:rFonts w:eastAsia="TimesNewRoman" w:cs="TimesNewRoman"/>
        </w:rPr>
        <w:t>improved quality of life</w:t>
      </w:r>
      <w:r>
        <w:rPr>
          <w:rFonts w:eastAsia="TimesNewRoman" w:cs="TimesNewRoman"/>
        </w:rPr>
        <w:t xml:space="preserve"> based on </w:t>
      </w:r>
      <w:r w:rsidR="00416AC1">
        <w:rPr>
          <w:rFonts w:eastAsia="TimesNewRoman" w:cs="TimesNewRoman"/>
        </w:rPr>
        <w:t xml:space="preserve">the </w:t>
      </w:r>
      <w:r w:rsidRPr="007A6CC1">
        <w:rPr>
          <w:rFonts w:eastAsia="TimesNewRoman" w:cs="TimesNewRoman"/>
        </w:rPr>
        <w:t>Inflammatory Bowel Disease</w:t>
      </w:r>
      <w:r>
        <w:rPr>
          <w:rFonts w:eastAsia="TimesNewRoman" w:cs="TimesNewRoman"/>
        </w:rPr>
        <w:t xml:space="preserve"> </w:t>
      </w:r>
      <w:r w:rsidRPr="007A6CC1">
        <w:rPr>
          <w:rFonts w:eastAsia="TimesNewRoman" w:cs="TimesNewRoman"/>
        </w:rPr>
        <w:t>Questionnaire</w:t>
      </w:r>
      <w:r>
        <w:rPr>
          <w:rFonts w:eastAsia="TimesNewRoman" w:cs="TimesNewRoman"/>
        </w:rPr>
        <w:t>,</w:t>
      </w:r>
      <w:r w:rsidRPr="007A6CC1">
        <w:rPr>
          <w:rFonts w:eastAsia="TimesNewRoman" w:cs="TimesNewRoman"/>
        </w:rPr>
        <w:t xml:space="preserve"> Short Form-36, Euro Quality of Life 5 Dimensions and Work Productivity and Activity Impairmen</w:t>
      </w:r>
      <w:r>
        <w:rPr>
          <w:rFonts w:eastAsia="TimesNewRoman" w:cs="TimesNewRoman"/>
        </w:rPr>
        <w:t>t.</w:t>
      </w:r>
    </w:p>
    <w:p w14:paraId="773618B6" w14:textId="77777777" w:rsidR="00A25B9F" w:rsidRDefault="00A25B9F" w:rsidP="00505CA3">
      <w:pPr>
        <w:rPr>
          <w:rFonts w:cs="TimesNewRoman"/>
          <w:color w:val="000000"/>
        </w:rPr>
      </w:pPr>
      <w:r>
        <w:t>However, lack of demonstration of a minimum effective induction dose has implications for the dosing regimen, and there are o</w:t>
      </w:r>
      <w:r>
        <w:rPr>
          <w:rFonts w:cs="TimesNewRoman"/>
          <w:color w:val="000000"/>
        </w:rPr>
        <w:t xml:space="preserve">utstanding issues in regards to study conduct/GCP, which are the subject of </w:t>
      </w:r>
      <w:r w:rsidR="00A97676">
        <w:rPr>
          <w:rFonts w:cs="TimesNewRoman"/>
          <w:color w:val="000000"/>
        </w:rPr>
        <w:t>the clinical questions to sponsor</w:t>
      </w:r>
      <w:r>
        <w:rPr>
          <w:rFonts w:cs="TimesNewRoman"/>
          <w:color w:val="000000"/>
        </w:rPr>
        <w:t>.</w:t>
      </w:r>
    </w:p>
    <w:p w14:paraId="715F06DC" w14:textId="77777777" w:rsidR="00A25B9F" w:rsidRDefault="00A25B9F" w:rsidP="00523058">
      <w:pPr>
        <w:pStyle w:val="Heading5"/>
        <w:rPr>
          <w:rFonts w:eastAsia="TimesNewRoman,Bold"/>
          <w:sz w:val="20"/>
          <w:szCs w:val="20"/>
        </w:rPr>
      </w:pPr>
      <w:r w:rsidRPr="00EC6D67">
        <w:rPr>
          <w:rFonts w:eastAsia="TimesNewRoman,Bold"/>
        </w:rPr>
        <w:t>Maintenance</w:t>
      </w:r>
    </w:p>
    <w:p w14:paraId="659712CA" w14:textId="77777777" w:rsidR="00A25B9F" w:rsidRDefault="00A25B9F" w:rsidP="00505CA3">
      <w:r>
        <w:t xml:space="preserve">Both </w:t>
      </w:r>
      <w:proofErr w:type="spellStart"/>
      <w:r>
        <w:t>tofacitinib</w:t>
      </w:r>
      <w:proofErr w:type="spellEnd"/>
      <w:r>
        <w:t xml:space="preserve"> dose regimens achieved</w:t>
      </w:r>
      <w:r w:rsidRPr="008D5CD2">
        <w:t xml:space="preserve"> </w:t>
      </w:r>
      <w:r>
        <w:t xml:space="preserve">statistically significant and clinically meaningful pooled </w:t>
      </w:r>
      <w:r w:rsidR="00A97676">
        <w:t xml:space="preserve">placebo </w:t>
      </w:r>
      <w:r w:rsidRPr="008D5CD2">
        <w:t xml:space="preserve">adjusted </w:t>
      </w:r>
      <w:r>
        <w:t xml:space="preserve">rates of remission at Week 52 (primary efficacy endpoint) </w:t>
      </w:r>
      <w:r w:rsidR="00F14B34">
        <w:t>that is,</w:t>
      </w:r>
      <w:r>
        <w:t xml:space="preserve"> 23.2% (NNT = 4) for </w:t>
      </w:r>
      <w:proofErr w:type="spellStart"/>
      <w:r>
        <w:t>tofacitinib</w:t>
      </w:r>
      <w:proofErr w:type="spellEnd"/>
      <w:r>
        <w:t xml:space="preserve"> 5 mg BID treatment and 29.5% (NNT = 3)</w:t>
      </w:r>
      <w:r w:rsidRPr="00EA5F61">
        <w:t xml:space="preserve"> </w:t>
      </w:r>
      <w:r w:rsidR="004B2567">
        <w:t xml:space="preserve">for </w:t>
      </w:r>
      <w:proofErr w:type="spellStart"/>
      <w:r w:rsidR="004B2567">
        <w:t>tofacitinib</w:t>
      </w:r>
      <w:proofErr w:type="spellEnd"/>
      <w:r w:rsidR="004B2567">
        <w:t xml:space="preserve"> 10 </w:t>
      </w:r>
      <w:r>
        <w:t>mg BID treatment. This result was supported by the sensitivity analyses of the primary efficacy endpoint.</w:t>
      </w:r>
    </w:p>
    <w:p w14:paraId="6FB8CCBC" w14:textId="77777777" w:rsidR="00A25B9F" w:rsidRDefault="00A25B9F" w:rsidP="00505CA3">
      <w:r>
        <w:t xml:space="preserve">Similarly, both </w:t>
      </w:r>
      <w:proofErr w:type="spellStart"/>
      <w:r>
        <w:t>tofacitinib</w:t>
      </w:r>
      <w:proofErr w:type="spellEnd"/>
      <w:r>
        <w:t xml:space="preserve"> dose regimens achieved</w:t>
      </w:r>
      <w:r w:rsidRPr="008D5CD2">
        <w:t xml:space="preserve"> </w:t>
      </w:r>
      <w:r>
        <w:t xml:space="preserve">statistically significant and clinically meaningful pooled </w:t>
      </w:r>
      <w:r w:rsidRPr="008D5CD2">
        <w:t xml:space="preserve">placebo-adjusted </w:t>
      </w:r>
      <w:r>
        <w:t xml:space="preserve">rates of maintenance of remission at Week 52 (key secondary efficacy endpoint) </w:t>
      </w:r>
      <w:r w:rsidR="00F14B34">
        <w:t>that is,</w:t>
      </w:r>
      <w:r>
        <w:t xml:space="preserve"> 36.0% (NNT = 3) for </w:t>
      </w:r>
      <w:proofErr w:type="spellStart"/>
      <w:r>
        <w:t>tofacitinib</w:t>
      </w:r>
      <w:proofErr w:type="spellEnd"/>
      <w:r>
        <w:t xml:space="preserve"> 5 mg BID treatment and 46.2% (NNT = 2)</w:t>
      </w:r>
      <w:r w:rsidRPr="00EA5F61">
        <w:t xml:space="preserve"> </w:t>
      </w:r>
      <w:r>
        <w:t xml:space="preserve">for </w:t>
      </w:r>
      <w:proofErr w:type="spellStart"/>
      <w:r>
        <w:t>tofacitinib</w:t>
      </w:r>
      <w:proofErr w:type="spellEnd"/>
      <w:r>
        <w:t xml:space="preserve"> 10 mg BID treatment, and supported the findings from the primary efficacy analysis.</w:t>
      </w:r>
    </w:p>
    <w:p w14:paraId="1F934415" w14:textId="77777777" w:rsidR="00A25B9F" w:rsidRPr="00523058" w:rsidRDefault="00A25B9F" w:rsidP="00505CA3">
      <w:r>
        <w:t>The</w:t>
      </w:r>
      <w:r w:rsidR="00A97676">
        <w:t xml:space="preserve"> apparent dose </w:t>
      </w:r>
      <w:r w:rsidRPr="008D5CD2">
        <w:t xml:space="preserve">response </w:t>
      </w:r>
      <w:r>
        <w:t>treatment effect observed, which favoured (</w:t>
      </w:r>
      <w:r w:rsidR="00F14B34">
        <w:t>that is,</w:t>
      </w:r>
      <w:r>
        <w:t xml:space="preserve"> greater effect) the</w:t>
      </w:r>
      <w:r w:rsidRPr="008D5CD2">
        <w:t xml:space="preserve"> </w:t>
      </w:r>
      <w:proofErr w:type="spellStart"/>
      <w:r w:rsidRPr="008D5CD2">
        <w:t>tofacitinib</w:t>
      </w:r>
      <w:proofErr w:type="spellEnd"/>
      <w:r w:rsidRPr="008D5CD2">
        <w:t xml:space="preserve"> 10 mg </w:t>
      </w:r>
      <w:r>
        <w:t>dose regimen</w:t>
      </w:r>
      <w:r w:rsidRPr="008D5CD2">
        <w:t xml:space="preserve"> </w:t>
      </w:r>
      <w:r>
        <w:t xml:space="preserve">over the </w:t>
      </w:r>
      <w:proofErr w:type="spellStart"/>
      <w:r>
        <w:t>tofacitinib</w:t>
      </w:r>
      <w:proofErr w:type="spellEnd"/>
      <w:r>
        <w:t xml:space="preserve"> 5 mg dose regimen, was consistent across the other </w:t>
      </w:r>
      <w:r>
        <w:rPr>
          <w:rFonts w:eastAsiaTheme="minorHAnsi" w:cs="Arial"/>
        </w:rPr>
        <w:t>secondary and exploratory efficacy endpoints investigated.</w:t>
      </w:r>
      <w:r w:rsidRPr="00E62DAE">
        <w:t xml:space="preserve"> </w:t>
      </w:r>
      <w:r w:rsidR="00A97676">
        <w:t xml:space="preserve">In </w:t>
      </w:r>
      <w:proofErr w:type="spellStart"/>
      <w:r w:rsidR="00A97676">
        <w:t>TNFi</w:t>
      </w:r>
      <w:proofErr w:type="spellEnd"/>
      <w:r w:rsidR="00A97676">
        <w:t xml:space="preserve"> </w:t>
      </w:r>
      <w:r w:rsidRPr="008D5CD2">
        <w:t xml:space="preserve">failure subjects, </w:t>
      </w:r>
      <w:proofErr w:type="spellStart"/>
      <w:r w:rsidRPr="008D5CD2">
        <w:t>tofacitinib</w:t>
      </w:r>
      <w:proofErr w:type="spellEnd"/>
      <w:r w:rsidRPr="008D5CD2">
        <w:t xml:space="preserve"> 10 mg BID also ha</w:t>
      </w:r>
      <w:r>
        <w:t>d</w:t>
      </w:r>
      <w:r w:rsidRPr="008D5CD2">
        <w:t xml:space="preserve"> greater observed</w:t>
      </w:r>
      <w:r>
        <w:t xml:space="preserve"> </w:t>
      </w:r>
      <w:r w:rsidRPr="008D5CD2">
        <w:t>maintenance efficacy than 5 mg BID at Week 52, with differences ranging from</w:t>
      </w:r>
      <w:r>
        <w:t xml:space="preserve"> </w:t>
      </w:r>
      <w:r w:rsidRPr="008D5CD2">
        <w:t>9.7</w:t>
      </w:r>
      <w:r w:rsidR="00A97676">
        <w:t xml:space="preserve"> to </w:t>
      </w:r>
      <w:r w:rsidRPr="008D5CD2">
        <w:t>16.7</w:t>
      </w:r>
      <w:r>
        <w:t>%</w:t>
      </w:r>
      <w:r w:rsidRPr="008D5CD2">
        <w:t xml:space="preserve"> across the primary and key secondary endpoints.</w:t>
      </w:r>
      <w:r w:rsidRPr="00564A85">
        <w:t xml:space="preserve"> </w:t>
      </w:r>
      <w:r>
        <w:t>Furthermore</w:t>
      </w:r>
      <w:r w:rsidRPr="00CA47AE">
        <w:t>, the observed treatment effect was larger for</w:t>
      </w:r>
      <w:r>
        <w:t xml:space="preserve"> </w:t>
      </w:r>
      <w:r w:rsidRPr="00CA47AE">
        <w:t xml:space="preserve">secondary </w:t>
      </w:r>
      <w:proofErr w:type="spellStart"/>
      <w:r w:rsidRPr="00CA47AE">
        <w:t>TNFi</w:t>
      </w:r>
      <w:proofErr w:type="spellEnd"/>
      <w:r w:rsidRPr="00CA47AE">
        <w:t xml:space="preserve"> failures than primary </w:t>
      </w:r>
      <w:proofErr w:type="spellStart"/>
      <w:r w:rsidRPr="00CA47AE">
        <w:t>TNFi</w:t>
      </w:r>
      <w:proofErr w:type="spellEnd"/>
      <w:r w:rsidRPr="00CA47AE">
        <w:t xml:space="preserve"> failures for the primary and key secondary</w:t>
      </w:r>
      <w:r>
        <w:t xml:space="preserve"> </w:t>
      </w:r>
      <w:r w:rsidRPr="00CA47AE">
        <w:t>endpoints of remission and mucosal healing in both the individual and pooled studies.</w:t>
      </w:r>
    </w:p>
    <w:p w14:paraId="6FA78FCD" w14:textId="77777777" w:rsidR="00A25B9F" w:rsidRPr="008D5CD2" w:rsidRDefault="00A25B9F" w:rsidP="00505CA3">
      <w:r w:rsidRPr="007A6CC1">
        <w:t xml:space="preserve">Clinical efficacy of </w:t>
      </w:r>
      <w:proofErr w:type="spellStart"/>
      <w:r w:rsidRPr="007A6CC1">
        <w:t>tofacitinib</w:t>
      </w:r>
      <w:proofErr w:type="spellEnd"/>
      <w:r w:rsidRPr="007A6CC1">
        <w:t xml:space="preserve"> 10 mg BID </w:t>
      </w:r>
      <w:r>
        <w:t>was accompanied by maintenance of improvements in</w:t>
      </w:r>
      <w:r w:rsidRPr="007A6CC1">
        <w:t xml:space="preserve"> quality of life</w:t>
      </w:r>
      <w:r>
        <w:t xml:space="preserve"> based on </w:t>
      </w:r>
      <w:r w:rsidRPr="007A6CC1">
        <w:t>Inflammatory Bowel Disease</w:t>
      </w:r>
      <w:r>
        <w:t xml:space="preserve"> </w:t>
      </w:r>
      <w:r w:rsidRPr="007A6CC1">
        <w:t>Questionnaire</w:t>
      </w:r>
      <w:r>
        <w:t>,</w:t>
      </w:r>
      <w:r w:rsidRPr="007A6CC1">
        <w:t xml:space="preserve"> Short Form-36, Euro Quality of Life 5 Dimensions and Work Productivity and Activity Impairmen</w:t>
      </w:r>
      <w:r>
        <w:t>t.</w:t>
      </w:r>
    </w:p>
    <w:p w14:paraId="0A4491D4" w14:textId="198BBF3E" w:rsidR="005F7896" w:rsidRDefault="00A25B9F" w:rsidP="00505CA3">
      <w:r>
        <w:t>There was no primar</w:t>
      </w:r>
      <w:r w:rsidR="00A97676">
        <w:t xml:space="preserve">y efficacy analysis in the long </w:t>
      </w:r>
      <w:r w:rsidR="004B2567">
        <w:t>term extension S</w:t>
      </w:r>
      <w:r>
        <w:t xml:space="preserve">tudy (A3921139). However, the analyses of the secondary binary efficacy endpoints provide supportive evidence of continued maintenance of effect of </w:t>
      </w:r>
      <w:proofErr w:type="spellStart"/>
      <w:r>
        <w:t>tofacitinib</w:t>
      </w:r>
      <w:proofErr w:type="spellEnd"/>
      <w:r>
        <w:t xml:space="preserve"> treatments</w:t>
      </w:r>
      <w:r w:rsidRPr="00DF7553">
        <w:t xml:space="preserve"> </w:t>
      </w:r>
      <w:r w:rsidR="00A97676">
        <w:t>for at least 12 </w:t>
      </w:r>
      <w:r>
        <w:t xml:space="preserve">months. There were no meaningful differences in treatment effect between the </w:t>
      </w:r>
      <w:proofErr w:type="spellStart"/>
      <w:r>
        <w:t>tofacitinib</w:t>
      </w:r>
      <w:proofErr w:type="spellEnd"/>
      <w:r>
        <w:t xml:space="preserve"> dose regimens. Subjects that appeared to achieve the most benefit were thos</w:t>
      </w:r>
      <w:r w:rsidR="00A97676">
        <w:t xml:space="preserve">e subjects who entered the open </w:t>
      </w:r>
      <w:r>
        <w:t xml:space="preserve">label study with </w:t>
      </w:r>
      <w:r w:rsidR="00CF6A6C">
        <w:t>Baseline</w:t>
      </w:r>
      <w:r>
        <w:t xml:space="preserve"> remission from the maintenance study. In this subpopulation, maintenance of efficacy was observed for up to 24 months (74%), irrespective of </w:t>
      </w:r>
      <w:proofErr w:type="spellStart"/>
      <w:r>
        <w:t>tofacitinib</w:t>
      </w:r>
      <w:proofErr w:type="spellEnd"/>
      <w:r>
        <w:t xml:space="preserve"> dose</w:t>
      </w:r>
      <w:r w:rsidR="005F7896">
        <w:t>.</w:t>
      </w:r>
    </w:p>
    <w:p w14:paraId="039B2A4A" w14:textId="77777777" w:rsidR="00A25B9F" w:rsidRPr="008D5CD2" w:rsidRDefault="00A25B9F" w:rsidP="00505CA3">
      <w:r>
        <w:t xml:space="preserve">The evidence provided in this submission supports a maintenance dose of </w:t>
      </w:r>
      <w:proofErr w:type="spellStart"/>
      <w:r>
        <w:t>tofacitinib</w:t>
      </w:r>
      <w:proofErr w:type="spellEnd"/>
      <w:r>
        <w:t xml:space="preserve"> 5 mg BID. Given that a reasonable proportion of subjects with prior </w:t>
      </w:r>
      <w:proofErr w:type="spellStart"/>
      <w:r>
        <w:t>TNFi</w:t>
      </w:r>
      <w:proofErr w:type="spellEnd"/>
      <w:r>
        <w:t xml:space="preserve"> failure achieved additional benefit from a </w:t>
      </w:r>
      <w:proofErr w:type="spellStart"/>
      <w:r>
        <w:t>tofacitinib</w:t>
      </w:r>
      <w:proofErr w:type="spellEnd"/>
      <w:r>
        <w:t xml:space="preserve"> 10 mg dose regimen, it would not be unreasonable to </w:t>
      </w:r>
      <w:r>
        <w:lastRenderedPageBreak/>
        <w:t>offer this population a higher maintenance dose regimen (</w:t>
      </w:r>
      <w:r w:rsidR="00F14B34">
        <w:t>that is,</w:t>
      </w:r>
      <w:r>
        <w:t xml:space="preserve"> </w:t>
      </w:r>
      <w:proofErr w:type="spellStart"/>
      <w:r>
        <w:t>tofacitinib</w:t>
      </w:r>
      <w:proofErr w:type="spellEnd"/>
      <w:r>
        <w:t xml:space="preserve"> 10 mg BID), if tolerated.</w:t>
      </w:r>
    </w:p>
    <w:p w14:paraId="72B21C2A" w14:textId="77777777" w:rsidR="00A25B9F" w:rsidRDefault="00A25B9F" w:rsidP="007757F1">
      <w:pPr>
        <w:pStyle w:val="Heading5"/>
      </w:pPr>
      <w:r w:rsidRPr="007A5461">
        <w:t>Additional efficacy analyses not specified in the study protocols or statistical analysis plans</w:t>
      </w:r>
    </w:p>
    <w:p w14:paraId="35EF7BCF" w14:textId="48557376" w:rsidR="00A25B9F" w:rsidRPr="007A5461" w:rsidRDefault="00A25B9F" w:rsidP="00505CA3">
      <w:r>
        <w:t>The sponsor provided results for th</w:t>
      </w:r>
      <w:r w:rsidRPr="007A5461">
        <w:t>e induction studies and for the maintenance study</w:t>
      </w:r>
      <w:r>
        <w:t xml:space="preserve">, which were </w:t>
      </w:r>
      <w:r w:rsidRPr="007A5461">
        <w:t>not specified in the study protocols or statistical analysis plans</w:t>
      </w:r>
      <w:r>
        <w:t xml:space="preserve">. These additional analyses were undertaken based on </w:t>
      </w:r>
      <w:r w:rsidR="00A97676">
        <w:t>Food and Drug Administration (</w:t>
      </w:r>
      <w:r>
        <w:t>FDA</w:t>
      </w:r>
      <w:r w:rsidR="00A97676">
        <w:t>)</w:t>
      </w:r>
      <w:r>
        <w:t xml:space="preserve"> recommen</w:t>
      </w:r>
      <w:r w:rsidR="00A97676">
        <w:t xml:space="preserve">dations following a meeting on </w:t>
      </w:r>
      <w:r>
        <w:t xml:space="preserve">2 June 2016. These analyses are claimed to be consistent with the </w:t>
      </w:r>
      <w:r w:rsidR="00A97676">
        <w:t>relevant guidelines.</w:t>
      </w:r>
      <w:r w:rsidR="00A97676">
        <w:fldChar w:fldCharType="begin"/>
      </w:r>
      <w:r w:rsidR="00A97676">
        <w:instrText xml:space="preserve"> NOTEREF _Ref13732484 \f \h </w:instrText>
      </w:r>
      <w:r w:rsidR="00A97676">
        <w:fldChar w:fldCharType="separate"/>
      </w:r>
      <w:r w:rsidR="00A97676" w:rsidRPr="00A97676">
        <w:rPr>
          <w:rStyle w:val="FootnoteReference"/>
        </w:rPr>
        <w:t>3</w:t>
      </w:r>
      <w:r w:rsidR="00A97676">
        <w:fldChar w:fldCharType="end"/>
      </w:r>
      <w:r w:rsidR="00A97676">
        <w:t xml:space="preserve"> </w:t>
      </w:r>
      <w:r>
        <w:t xml:space="preserve">The </w:t>
      </w:r>
      <w:r w:rsidRPr="00CA47AE">
        <w:t>Physician Global Assessment</w:t>
      </w:r>
      <w:r>
        <w:t xml:space="preserve"> component of the total Mayo score</w:t>
      </w:r>
      <w:r w:rsidR="00CF6A6C">
        <w:t>;</w:t>
      </w:r>
      <w:r w:rsidR="004D03E1">
        <w:rPr>
          <w:rStyle w:val="FootnoteReference"/>
        </w:rPr>
        <w:footnoteReference w:id="4"/>
      </w:r>
      <w:r>
        <w:t xml:space="preserve"> was excluded from the analyses, on the basis it was no longer of primary interest.</w:t>
      </w:r>
    </w:p>
    <w:p w14:paraId="3F6D741D" w14:textId="77777777" w:rsidR="00A25B9F" w:rsidRDefault="00A25B9F" w:rsidP="00505CA3">
      <w:r>
        <w:t xml:space="preserve">The following endpoints were analysed (based on endoscopic central read findings; </w:t>
      </w:r>
      <w:r w:rsidR="00553680">
        <w:t>full analysis set</w:t>
      </w:r>
      <w:r>
        <w:t xml:space="preserve">) in the pivotal </w:t>
      </w:r>
      <w:r w:rsidR="00B7366A">
        <w:t>Phase</w:t>
      </w:r>
      <w:r>
        <w:t xml:space="preserve"> III induction studies: </w:t>
      </w:r>
      <w:r w:rsidRPr="00CA47AE">
        <w:t>modified remission at Week 8; modified symptomatic remission at Week 8;</w:t>
      </w:r>
      <w:r>
        <w:t xml:space="preserve"> </w:t>
      </w:r>
      <w:r w:rsidRPr="00CA47AE">
        <w:t xml:space="preserve">modified partial Mayo score at Weeks 2, 4, and 8. In addition, remission at Week 8 with Mayo stool frequency and rectal bleeding </w:t>
      </w:r>
      <w:proofErr w:type="spellStart"/>
      <w:r w:rsidRPr="00CA47AE">
        <w:t>subscores</w:t>
      </w:r>
      <w:proofErr w:type="spellEnd"/>
      <w:r w:rsidRPr="00CA47AE">
        <w:t xml:space="preserve"> derived from</w:t>
      </w:r>
      <w:r>
        <w:t xml:space="preserve"> </w:t>
      </w:r>
      <w:r w:rsidRPr="00CA47AE">
        <w:t>worst daily diary score was analysed</w:t>
      </w:r>
      <w:r>
        <w:t>.</w:t>
      </w:r>
    </w:p>
    <w:p w14:paraId="650C540D" w14:textId="21BE9C2B" w:rsidR="00A25B9F" w:rsidRPr="00CA47AE" w:rsidRDefault="004B2567" w:rsidP="00505CA3">
      <w:r>
        <w:t xml:space="preserve">In the maintenance </w:t>
      </w:r>
      <w:r w:rsidR="00416AC1">
        <w:t xml:space="preserve">study </w:t>
      </w:r>
      <w:r w:rsidR="00A25B9F">
        <w:t>(</w:t>
      </w:r>
      <w:r w:rsidR="00416AC1">
        <w:t xml:space="preserve">Study </w:t>
      </w:r>
      <w:r w:rsidR="00A25B9F">
        <w:t>A3921096),</w:t>
      </w:r>
      <w:r w:rsidR="00A25B9F" w:rsidRPr="001A53A2">
        <w:t xml:space="preserve"> </w:t>
      </w:r>
      <w:r w:rsidR="00A25B9F">
        <w:t xml:space="preserve">the following endpoints were analysed (based on endoscopic central read findings; </w:t>
      </w:r>
      <w:r w:rsidR="00553680">
        <w:t>full analysis set</w:t>
      </w:r>
      <w:r w:rsidR="00A25B9F">
        <w:t>):</w:t>
      </w:r>
      <w:r w:rsidR="00A25B9F" w:rsidRPr="00CA47AE">
        <w:t>Modified</w:t>
      </w:r>
      <w:r w:rsidR="00A25B9F">
        <w:t xml:space="preserve"> </w:t>
      </w:r>
      <w:r w:rsidR="00A25B9F" w:rsidRPr="00CA47AE">
        <w:t xml:space="preserve">remission at Week 52; modified symptomatic remission at Week 52; and remission at Week 52 with Mayo stool frequency and rectal bleeding </w:t>
      </w:r>
      <w:proofErr w:type="spellStart"/>
      <w:r w:rsidR="00A25B9F" w:rsidRPr="00CA47AE">
        <w:t>subscores</w:t>
      </w:r>
      <w:proofErr w:type="spellEnd"/>
      <w:r w:rsidR="00A25B9F">
        <w:t xml:space="preserve"> </w:t>
      </w:r>
      <w:r w:rsidR="00A25B9F" w:rsidRPr="00CA47AE">
        <w:t>derived from worst daily diary score.</w:t>
      </w:r>
    </w:p>
    <w:p w14:paraId="2501568F" w14:textId="77777777" w:rsidR="00500337" w:rsidRPr="00500337" w:rsidRDefault="00A25B9F" w:rsidP="00505CA3">
      <w:pPr>
        <w:rPr>
          <w:lang w:eastAsia="ja-JP"/>
        </w:rPr>
      </w:pPr>
      <w:r>
        <w:rPr>
          <w:lang w:eastAsia="ja-JP"/>
        </w:rPr>
        <w:t>The results from the modified induction and maintenance analyses are</w:t>
      </w:r>
      <w:r w:rsidRPr="00CA47AE">
        <w:rPr>
          <w:lang w:eastAsia="ja-JP"/>
        </w:rPr>
        <w:t xml:space="preserve"> consistent with </w:t>
      </w:r>
      <w:r>
        <w:rPr>
          <w:lang w:eastAsia="ja-JP"/>
        </w:rPr>
        <w:t xml:space="preserve">the </w:t>
      </w:r>
      <w:r w:rsidRPr="00CA47AE">
        <w:rPr>
          <w:lang w:eastAsia="ja-JP"/>
        </w:rPr>
        <w:t xml:space="preserve">primary efficacy analysis </w:t>
      </w:r>
      <w:r>
        <w:rPr>
          <w:lang w:eastAsia="ja-JP"/>
        </w:rPr>
        <w:t xml:space="preserve">results for </w:t>
      </w:r>
      <w:r w:rsidRPr="00CA47AE">
        <w:rPr>
          <w:lang w:eastAsia="ja-JP"/>
        </w:rPr>
        <w:t xml:space="preserve">induction and maintenance </w:t>
      </w:r>
      <w:r>
        <w:rPr>
          <w:lang w:eastAsia="ja-JP"/>
        </w:rPr>
        <w:t>treatment provided in the body of this report</w:t>
      </w:r>
      <w:r w:rsidRPr="00CA47AE">
        <w:rPr>
          <w:lang w:eastAsia="ja-JP"/>
        </w:rPr>
        <w:t>.</w:t>
      </w:r>
    </w:p>
    <w:p w14:paraId="3F626BA3" w14:textId="77777777" w:rsidR="008E7846" w:rsidRPr="002E238E" w:rsidRDefault="008E7846" w:rsidP="008E7846">
      <w:pPr>
        <w:pStyle w:val="Heading3"/>
      </w:pPr>
      <w:bookmarkStart w:id="90" w:name="_Toc163441378"/>
      <w:bookmarkStart w:id="91" w:name="_Toc196046495"/>
      <w:bookmarkStart w:id="92" w:name="_Toc247691522"/>
      <w:bookmarkStart w:id="93" w:name="_Toc314842505"/>
      <w:bookmarkStart w:id="94" w:name="_Toc20301902"/>
      <w:bookmarkEnd w:id="86"/>
      <w:bookmarkEnd w:id="87"/>
      <w:bookmarkEnd w:id="88"/>
      <w:bookmarkEnd w:id="89"/>
      <w:r w:rsidRPr="002E238E">
        <w:t>Safety</w:t>
      </w:r>
      <w:bookmarkEnd w:id="90"/>
      <w:bookmarkEnd w:id="91"/>
      <w:bookmarkEnd w:id="92"/>
      <w:bookmarkEnd w:id="93"/>
      <w:bookmarkEnd w:id="94"/>
    </w:p>
    <w:p w14:paraId="3DC83531" w14:textId="77777777" w:rsidR="00605AD4" w:rsidRDefault="00605AD4" w:rsidP="00605AD4">
      <w:pPr>
        <w:pStyle w:val="Heading4"/>
      </w:pPr>
      <w:bookmarkStart w:id="95" w:name="_Toc247691524"/>
      <w:bookmarkStart w:id="96" w:name="_Toc314842508"/>
      <w:bookmarkStart w:id="97" w:name="_Toc196046504"/>
      <w:bookmarkStart w:id="98" w:name="_Toc163441390"/>
      <w:r w:rsidRPr="00605AD4">
        <w:t>Studies providing safety data</w:t>
      </w:r>
    </w:p>
    <w:p w14:paraId="44AD5EA2" w14:textId="77777777" w:rsidR="00343EBF" w:rsidRPr="00C3572A" w:rsidRDefault="00343EBF" w:rsidP="00343EBF">
      <w:pPr>
        <w:pStyle w:val="Heading5"/>
      </w:pPr>
      <w:bookmarkStart w:id="99" w:name="_Toc421005275"/>
      <w:bookmarkStart w:id="100" w:name="_Toc432079157"/>
      <w:bookmarkStart w:id="101" w:name="_Toc432080730"/>
      <w:r>
        <w:t>P</w:t>
      </w:r>
      <w:r w:rsidRPr="00C3572A">
        <w:t>ivotal studies that assessed safety as the sole primary outcome</w:t>
      </w:r>
      <w:bookmarkEnd w:id="99"/>
      <w:bookmarkEnd w:id="100"/>
      <w:bookmarkEnd w:id="101"/>
    </w:p>
    <w:p w14:paraId="4A1451C8" w14:textId="77777777" w:rsidR="00343EBF" w:rsidRPr="00FB4717" w:rsidRDefault="00343EBF" w:rsidP="00505CA3">
      <w:pPr>
        <w:rPr>
          <w:lang w:eastAsia="ja-JP"/>
        </w:rPr>
      </w:pPr>
      <w:r>
        <w:rPr>
          <w:lang w:eastAsia="ja-JP"/>
        </w:rPr>
        <w:t>Nil</w:t>
      </w:r>
      <w:r w:rsidR="00505CA3">
        <w:rPr>
          <w:lang w:eastAsia="ja-JP"/>
        </w:rPr>
        <w:t>.</w:t>
      </w:r>
    </w:p>
    <w:p w14:paraId="089232D6" w14:textId="77777777" w:rsidR="00343EBF" w:rsidRPr="00545B14" w:rsidRDefault="00343EBF" w:rsidP="00343EBF">
      <w:pPr>
        <w:pStyle w:val="Heading5"/>
      </w:pPr>
      <w:bookmarkStart w:id="102" w:name="_Ref268776745"/>
      <w:bookmarkStart w:id="103" w:name="_Toc421005276"/>
      <w:bookmarkStart w:id="104" w:name="_Toc432079158"/>
      <w:bookmarkStart w:id="105" w:name="_Toc432080731"/>
      <w:r w:rsidRPr="00545B14">
        <w:t xml:space="preserve">Pivotal </w:t>
      </w:r>
      <w:r>
        <w:t xml:space="preserve">and/or main </w:t>
      </w:r>
      <w:r w:rsidRPr="00545B14">
        <w:t>efficacy studies</w:t>
      </w:r>
      <w:bookmarkEnd w:id="102"/>
      <w:bookmarkEnd w:id="103"/>
      <w:bookmarkEnd w:id="104"/>
      <w:bookmarkEnd w:id="105"/>
    </w:p>
    <w:p w14:paraId="6BB4F2AA" w14:textId="77777777" w:rsidR="00343EBF" w:rsidRDefault="00343EBF" w:rsidP="00505CA3">
      <w:bookmarkStart w:id="106" w:name="_Toc421005277"/>
      <w:bookmarkStart w:id="107" w:name="_Toc432079159"/>
      <w:bookmarkStart w:id="108" w:name="_Toc432080732"/>
      <w:r>
        <w:t>Safety was assessed in the following pivotal efficacy studies:</w:t>
      </w:r>
    </w:p>
    <w:p w14:paraId="17CE4312" w14:textId="77777777" w:rsidR="00343EBF" w:rsidRDefault="00343EBF" w:rsidP="00670863">
      <w:pPr>
        <w:pStyle w:val="ListBullet"/>
        <w:rPr>
          <w:lang w:eastAsia="ja-JP"/>
        </w:rPr>
      </w:pPr>
      <w:r>
        <w:rPr>
          <w:lang w:eastAsia="ja-JP"/>
        </w:rPr>
        <w:t>Study A3921094</w:t>
      </w:r>
    </w:p>
    <w:p w14:paraId="5EEFBED0" w14:textId="77777777" w:rsidR="00343EBF" w:rsidRDefault="00343EBF" w:rsidP="00670863">
      <w:pPr>
        <w:pStyle w:val="ListBullet"/>
        <w:rPr>
          <w:lang w:eastAsia="ja-JP"/>
        </w:rPr>
      </w:pPr>
      <w:r>
        <w:rPr>
          <w:lang w:eastAsia="ja-JP"/>
        </w:rPr>
        <w:t>Study A3921095</w:t>
      </w:r>
    </w:p>
    <w:p w14:paraId="2E781106" w14:textId="77777777" w:rsidR="00343EBF" w:rsidRDefault="00343EBF" w:rsidP="00670863">
      <w:pPr>
        <w:pStyle w:val="ListBullet"/>
        <w:rPr>
          <w:lang w:eastAsia="ja-JP"/>
        </w:rPr>
      </w:pPr>
      <w:r>
        <w:rPr>
          <w:lang w:eastAsia="ja-JP"/>
        </w:rPr>
        <w:t>Study A3921096</w:t>
      </w:r>
    </w:p>
    <w:p w14:paraId="4F31D664" w14:textId="5A676985" w:rsidR="00343EBF" w:rsidRDefault="00343EBF" w:rsidP="00505CA3">
      <w:r>
        <w:t xml:space="preserve">Since the </w:t>
      </w:r>
      <w:r w:rsidR="00B7366A">
        <w:t>Phase</w:t>
      </w:r>
      <w:r w:rsidR="004B2567">
        <w:t xml:space="preserve"> III induction </w:t>
      </w:r>
      <w:r w:rsidR="00416AC1">
        <w:t>s</w:t>
      </w:r>
      <w:r>
        <w:t>tudies</w:t>
      </w:r>
      <w:r w:rsidR="00416AC1">
        <w:t xml:space="preserve"> (Studies</w:t>
      </w:r>
      <w:r w:rsidR="00C201CB">
        <w:t xml:space="preserve"> </w:t>
      </w:r>
      <w:r w:rsidRPr="00C445D1">
        <w:t>A392109</w:t>
      </w:r>
      <w:r w:rsidR="00505CA3">
        <w:t>4 and</w:t>
      </w:r>
      <w:r w:rsidRPr="00C445D1">
        <w:t xml:space="preserve"> A3921095</w:t>
      </w:r>
      <w:r w:rsidR="00416AC1">
        <w:t>)</w:t>
      </w:r>
      <w:r>
        <w:t xml:space="preserve"> are</w:t>
      </w:r>
      <w:r w:rsidRPr="00C445D1">
        <w:t xml:space="preserve"> </w:t>
      </w:r>
      <w:r w:rsidRPr="00CD67AF">
        <w:t xml:space="preserve">identical </w:t>
      </w:r>
      <w:r>
        <w:t xml:space="preserve">in </w:t>
      </w:r>
      <w:r w:rsidRPr="00CD67AF">
        <w:t>study design and methodologies</w:t>
      </w:r>
      <w:r>
        <w:t xml:space="preserve"> these studies have been assessed together in </w:t>
      </w:r>
      <w:r w:rsidR="00553680">
        <w:t>efficacy analyses of the clinical report</w:t>
      </w:r>
      <w:r>
        <w:t>. Hence, they will be reviewed together in this safety assessment with any significant difference/s in either study result identified separately.</w:t>
      </w:r>
    </w:p>
    <w:p w14:paraId="45FA918B" w14:textId="77777777" w:rsidR="00343EBF" w:rsidRPr="00177D94" w:rsidRDefault="00343EBF" w:rsidP="00505CA3">
      <w:pPr>
        <w:rPr>
          <w:lang w:eastAsia="ja-JP"/>
        </w:rPr>
      </w:pPr>
      <w:r>
        <w:t xml:space="preserve">Across all the 5 clinical trials for UC evaluated in this report, all </w:t>
      </w:r>
      <w:r w:rsidRPr="00190CAC">
        <w:t xml:space="preserve">AE assessments (including assessment of causality) </w:t>
      </w:r>
      <w:r>
        <w:t>were assessed by the investigator at</w:t>
      </w:r>
      <w:r w:rsidRPr="00190CAC">
        <w:t xml:space="preserve"> each study visit (and unplanned if warranted) and up to 28 days post last study dose. </w:t>
      </w:r>
      <w:r>
        <w:t xml:space="preserve">The </w:t>
      </w:r>
      <w:r w:rsidR="00553680">
        <w:t>i</w:t>
      </w:r>
      <w:r w:rsidRPr="00190CAC">
        <w:t xml:space="preserve">nvestigator </w:t>
      </w:r>
      <w:r>
        <w:t xml:space="preserve">was required </w:t>
      </w:r>
      <w:r w:rsidRPr="00190CAC">
        <w:t xml:space="preserve">to actively pursue each AE (spontaneous from subject or determined by </w:t>
      </w:r>
      <w:r w:rsidRPr="00190CAC">
        <w:lastRenderedPageBreak/>
        <w:t>investigator) and determine whether</w:t>
      </w:r>
      <w:r>
        <w:t xml:space="preserve"> it satisfied the criteria for</w:t>
      </w:r>
      <w:r w:rsidRPr="00190CAC">
        <w:t xml:space="preserve"> a </w:t>
      </w:r>
      <w:r w:rsidR="00553680">
        <w:t>serious adverse event (</w:t>
      </w:r>
      <w:r w:rsidRPr="00190CAC">
        <w:t>SAE</w:t>
      </w:r>
      <w:r w:rsidR="00553680">
        <w:t>)</w:t>
      </w:r>
      <w:r w:rsidRPr="00190CAC">
        <w:t xml:space="preserve"> and notify the sponsor (and local regulator) accordingly</w:t>
      </w:r>
      <w:r w:rsidR="00553680">
        <w:t>, and follow up AEs as determined by the p</w:t>
      </w:r>
      <w:r>
        <w:t>rotocol and the sponsor.</w:t>
      </w:r>
      <w:r w:rsidRPr="0011006F">
        <w:rPr>
          <w:rFonts w:eastAsiaTheme="minorHAnsi" w:cs="TimesNewRoman"/>
        </w:rPr>
        <w:t xml:space="preserve"> </w:t>
      </w:r>
      <w:r>
        <w:rPr>
          <w:rFonts w:eastAsiaTheme="minorHAnsi" w:cs="TimesNewRoman"/>
        </w:rPr>
        <w:t>AEs were coded as per t</w:t>
      </w:r>
      <w:r w:rsidRPr="00177D94">
        <w:rPr>
          <w:rFonts w:eastAsiaTheme="minorHAnsi" w:cs="TimesNewRoman"/>
        </w:rPr>
        <w:t>he Medical Dictionary for Regulatory Activities (</w:t>
      </w:r>
      <w:r w:rsidR="004B2567">
        <w:t>Medical Dictionary for Regulatory Activities</w:t>
      </w:r>
      <w:r w:rsidR="004B2567" w:rsidRPr="00177D94">
        <w:rPr>
          <w:rFonts w:eastAsiaTheme="minorHAnsi" w:cs="TimesNewRoman"/>
        </w:rPr>
        <w:t xml:space="preserve"> </w:t>
      </w:r>
      <w:r w:rsidR="004B2567">
        <w:rPr>
          <w:rFonts w:eastAsiaTheme="minorHAnsi" w:cs="TimesNewRoman"/>
        </w:rPr>
        <w:t>(</w:t>
      </w:r>
      <w:proofErr w:type="spellStart"/>
      <w:r w:rsidRPr="00177D94">
        <w:rPr>
          <w:rFonts w:eastAsiaTheme="minorHAnsi" w:cs="TimesNewRoman"/>
        </w:rPr>
        <w:t>MedDRA</w:t>
      </w:r>
      <w:proofErr w:type="spellEnd"/>
      <w:r w:rsidR="004B2567">
        <w:rPr>
          <w:rFonts w:eastAsiaTheme="minorHAnsi" w:cs="TimesNewRoman"/>
        </w:rPr>
        <w:t>)</w:t>
      </w:r>
      <w:r w:rsidRPr="00177D94">
        <w:rPr>
          <w:rFonts w:eastAsiaTheme="minorHAnsi" w:cs="TimesNewRoman"/>
        </w:rPr>
        <w:t>, Version 18.0).</w:t>
      </w:r>
    </w:p>
    <w:p w14:paraId="38AE6BD2" w14:textId="77777777" w:rsidR="00343EBF" w:rsidRPr="007757F1" w:rsidRDefault="00670068" w:rsidP="00505CA3">
      <w:pPr>
        <w:pStyle w:val="ListBullet"/>
      </w:pPr>
      <w:r>
        <w:t>General AEs: n</w:t>
      </w:r>
      <w:r w:rsidR="00343EBF" w:rsidRPr="007757F1">
        <w:t>umber of AEs, subjects with AEs, subjects with SAEs, subjects with severe AEs, subjects discontinued due to AEs, subjects with dose reduced or temporary discontinuation due to AEs. Incidenc</w:t>
      </w:r>
      <w:r w:rsidR="00553680">
        <w:t>e and severity of AEs presented</w:t>
      </w:r>
      <w:r>
        <w:t>;</w:t>
      </w:r>
    </w:p>
    <w:p w14:paraId="166B2777" w14:textId="77777777" w:rsidR="00343EBF" w:rsidRPr="007757F1" w:rsidRDefault="00670068" w:rsidP="00505CA3">
      <w:pPr>
        <w:pStyle w:val="ListBullet"/>
      </w:pPr>
      <w:r>
        <w:t>AEs of particular interest: i</w:t>
      </w:r>
      <w:r w:rsidR="00343EBF" w:rsidRPr="007757F1">
        <w:t xml:space="preserve">nfections (including serious infections, opportunistic infections (OIs), </w:t>
      </w:r>
      <w:r w:rsidR="00553680">
        <w:t>herpes zoster (</w:t>
      </w:r>
      <w:r w:rsidR="00343EBF" w:rsidRPr="007757F1">
        <w:t>HZ</w:t>
      </w:r>
      <w:r w:rsidR="00553680">
        <w:t>) and tuberculosis (</w:t>
      </w:r>
      <w:r w:rsidR="00343EBF" w:rsidRPr="007757F1">
        <w:t>TB)</w:t>
      </w:r>
      <w:r>
        <w:t>)</w:t>
      </w:r>
      <w:r w:rsidR="00343EBF" w:rsidRPr="007757F1">
        <w:t xml:space="preserve">; malignancies (excluding </w:t>
      </w:r>
      <w:r w:rsidR="00553680">
        <w:t>non-melanoma skin cancer (</w:t>
      </w:r>
      <w:r w:rsidR="00343EBF" w:rsidRPr="007757F1">
        <w:t>NMSC</w:t>
      </w:r>
      <w:r w:rsidR="00553680">
        <w:t>)</w:t>
      </w:r>
      <w:r>
        <w:t>)</w:t>
      </w:r>
      <w:r w:rsidR="00343EBF" w:rsidRPr="007757F1">
        <w:t xml:space="preserve">; major adverse cardiovascular events (MACE); hepatic injury cases (including events adjudicated to be </w:t>
      </w:r>
      <w:proofErr w:type="spellStart"/>
      <w:r w:rsidR="00343EBF" w:rsidRPr="007757F1">
        <w:t>Hy’s</w:t>
      </w:r>
      <w:proofErr w:type="spellEnd"/>
      <w:r w:rsidR="00343EBF" w:rsidRPr="007757F1">
        <w:t xml:space="preserve"> law cases and potential drug-induced liver injury </w:t>
      </w:r>
      <w:r w:rsidR="006C148C">
        <w:t>(</w:t>
      </w:r>
      <w:r w:rsidR="00343EBF" w:rsidRPr="007757F1">
        <w:t>DILI</w:t>
      </w:r>
      <w:r w:rsidR="006C148C">
        <w:t>)</w:t>
      </w:r>
      <w:r w:rsidR="00343EBF" w:rsidRPr="007757F1">
        <w:t xml:space="preserve"> cases); GI perforation; interstitial lung disease (ILD); select hematologic events (anaemia, neutropenia, </w:t>
      </w:r>
      <w:proofErr w:type="spellStart"/>
      <w:r w:rsidR="00343EBF" w:rsidRPr="007757F1">
        <w:t>lymphopenia</w:t>
      </w:r>
      <w:proofErr w:type="spellEnd"/>
      <w:r w:rsidR="00343EBF" w:rsidRPr="007757F1">
        <w:t xml:space="preserve">); AEs of renal impairment and AEs of </w:t>
      </w:r>
      <w:proofErr w:type="spellStart"/>
      <w:r w:rsidR="00343EBF" w:rsidRPr="007757F1">
        <w:t>creatine</w:t>
      </w:r>
      <w:proofErr w:type="spellEnd"/>
      <w:r w:rsidR="00343EBF" w:rsidRPr="007757F1">
        <w:t xml:space="preserve"> phosphokinase (CPK) elevation and rhabdomyolysis. Incidence of adjudicated safety events presented;</w:t>
      </w:r>
    </w:p>
    <w:p w14:paraId="27D5C158" w14:textId="33A106A6" w:rsidR="00343EBF" w:rsidRPr="007757F1" w:rsidRDefault="00E9134C" w:rsidP="00505CA3">
      <w:pPr>
        <w:pStyle w:val="ListBullet"/>
      </w:pPr>
      <w:r>
        <w:t>Laboratory tests: h</w:t>
      </w:r>
      <w:r w:rsidR="00343EBF" w:rsidRPr="007757F1">
        <w:t>aematology, clinical chemistry and lipids (</w:t>
      </w:r>
      <w:r w:rsidR="00EF7201">
        <w:t>high density lipoprotein (</w:t>
      </w:r>
      <w:r w:rsidR="00343EBF" w:rsidRPr="007757F1">
        <w:t>HDL</w:t>
      </w:r>
      <w:r w:rsidR="00EF7201">
        <w:t>)</w:t>
      </w:r>
      <w:r w:rsidR="00343EBF" w:rsidRPr="007757F1">
        <w:t xml:space="preserve">, </w:t>
      </w:r>
      <w:r w:rsidR="00EF7201">
        <w:t>low density lipoprotein (</w:t>
      </w:r>
      <w:r w:rsidR="00343EBF" w:rsidRPr="007757F1">
        <w:t>LDL</w:t>
      </w:r>
      <w:r w:rsidR="00EF7201">
        <w:t>)</w:t>
      </w:r>
      <w:r w:rsidR="00343EBF" w:rsidRPr="007757F1">
        <w:t xml:space="preserve">, total cholesterol, cholesterol/HDL ratio, LDL/HDL ratio and triglycerides). Test results assessed from </w:t>
      </w:r>
      <w:r w:rsidR="00CF6A6C">
        <w:t>Baseline</w:t>
      </w:r>
      <w:r w:rsidR="00343EBF" w:rsidRPr="007757F1">
        <w:t xml:space="preserve"> to study endpoint and presented as incidence and severity of laboratory abnormality.</w:t>
      </w:r>
    </w:p>
    <w:p w14:paraId="4E6720E3" w14:textId="2A902B3D" w:rsidR="00343EBF" w:rsidRPr="007757F1" w:rsidRDefault="00343EBF" w:rsidP="00505CA3">
      <w:pPr>
        <w:pStyle w:val="ListBullet"/>
      </w:pPr>
      <w:r w:rsidRPr="007757F1">
        <w:t>Other safet</w:t>
      </w:r>
      <w:r w:rsidR="00670068">
        <w:t>y variables: e</w:t>
      </w:r>
      <w:r w:rsidRPr="007757F1">
        <w:t xml:space="preserve">lectrocardiogram (ECG), vital signs and clinical examination. Incidence of vital sign abnormalities and changes from </w:t>
      </w:r>
      <w:r w:rsidR="00CF6A6C">
        <w:t>Baseline</w:t>
      </w:r>
      <w:r w:rsidRPr="007757F1">
        <w:t xml:space="preserve"> in vital signs; incidence of clinically significant changes in physical examination from </w:t>
      </w:r>
      <w:r w:rsidR="00CF6A6C">
        <w:t>Baseline</w:t>
      </w:r>
      <w:r w:rsidRPr="007757F1">
        <w:t xml:space="preserve">; and incidence of </w:t>
      </w:r>
      <w:r w:rsidR="00670068">
        <w:t>ECG</w:t>
      </w:r>
      <w:r w:rsidRPr="007757F1">
        <w:t xml:space="preserve"> abnormalities.</w:t>
      </w:r>
    </w:p>
    <w:p w14:paraId="65658F16" w14:textId="77777777" w:rsidR="00343EBF" w:rsidRDefault="00343EBF" w:rsidP="00505CA3">
      <w:pPr>
        <w:rPr>
          <w:rFonts w:eastAsia="TimesNewRoman"/>
        </w:rPr>
      </w:pPr>
      <w:r>
        <w:t xml:space="preserve">In the </w:t>
      </w:r>
      <w:r w:rsidR="00B7366A">
        <w:t>Phase</w:t>
      </w:r>
      <w:r>
        <w:t xml:space="preserve"> II and </w:t>
      </w:r>
      <w:r w:rsidR="00B7366A">
        <w:t>Phase</w:t>
      </w:r>
      <w:r>
        <w:t xml:space="preserve"> III induction studies (duration 8 to 9 weeks), AEs were presented as proportions. In addition to AE proportions, </w:t>
      </w:r>
      <w:r w:rsidRPr="005C38F3">
        <w:rPr>
          <w:i/>
        </w:rPr>
        <w:t>po</w:t>
      </w:r>
      <w:r w:rsidRPr="0011006F">
        <w:rPr>
          <w:i/>
        </w:rPr>
        <w:t>st-hoc</w:t>
      </w:r>
      <w:r>
        <w:t xml:space="preserve"> (</w:t>
      </w:r>
      <w:r w:rsidR="00F14B34">
        <w:t>that is,</w:t>
      </w:r>
      <w:r>
        <w:t xml:space="preserve"> exploratory) incidence rates (IR) of AEs of special interest were also analysed in the maintenance and long-term extension studies to as</w:t>
      </w:r>
      <w:r w:rsidR="00670068">
        <w:t xml:space="preserve">sess duration of exposure (in 6 </w:t>
      </w:r>
      <w:r>
        <w:t xml:space="preserve">month intervals) </w:t>
      </w:r>
      <w:r w:rsidRPr="006A52D9">
        <w:rPr>
          <w:rFonts w:eastAsia="TimesNewRoman"/>
          <w:color w:val="000000"/>
        </w:rPr>
        <w:t>to assigned treatment (</w:t>
      </w:r>
      <w:proofErr w:type="spellStart"/>
      <w:r w:rsidRPr="006A52D9">
        <w:rPr>
          <w:rFonts w:eastAsia="TimesNewRoman"/>
          <w:color w:val="000000"/>
        </w:rPr>
        <w:t>tofacitinib</w:t>
      </w:r>
      <w:proofErr w:type="spellEnd"/>
      <w:r w:rsidRPr="006A52D9">
        <w:rPr>
          <w:rFonts w:eastAsia="TimesNewRoman"/>
          <w:color w:val="000000"/>
        </w:rPr>
        <w:t xml:space="preserve"> or placebo</w:t>
      </w:r>
      <w:r>
        <w:rPr>
          <w:rFonts w:eastAsia="TimesNewRoman"/>
          <w:color w:val="000000"/>
        </w:rPr>
        <w:t>). IR rates are standardised to subjects with events per 100 patient-years (PY), provided there are</w:t>
      </w:r>
      <w:r>
        <w:rPr>
          <w:rFonts w:eastAsia="TimesNewRoman"/>
        </w:rPr>
        <w:t xml:space="preserve"> sufficient numbers (&gt; 12) of subjects to evaluate change over time.</w:t>
      </w:r>
    </w:p>
    <w:p w14:paraId="042F2B0B" w14:textId="77777777" w:rsidR="00343EBF" w:rsidRDefault="00343EBF" w:rsidP="00343EBF">
      <w:pPr>
        <w:pStyle w:val="Heading5"/>
      </w:pPr>
      <w:r>
        <w:t>Other</w:t>
      </w:r>
      <w:r w:rsidRPr="00545B14">
        <w:t xml:space="preserve"> studies</w:t>
      </w:r>
      <w:bookmarkEnd w:id="106"/>
      <w:bookmarkEnd w:id="107"/>
      <w:bookmarkEnd w:id="108"/>
    </w:p>
    <w:p w14:paraId="2092F5A0" w14:textId="77777777" w:rsidR="00343EBF" w:rsidRDefault="00343EBF" w:rsidP="000D0442">
      <w:pPr>
        <w:pStyle w:val="Heading6"/>
      </w:pPr>
      <w:r w:rsidRPr="00073FEC">
        <w:t>Other efficacy studies</w:t>
      </w:r>
    </w:p>
    <w:p w14:paraId="40E5D08B" w14:textId="77777777" w:rsidR="00343EBF" w:rsidRPr="00C445D1" w:rsidRDefault="00670068" w:rsidP="00505CA3">
      <w:pPr>
        <w:pStyle w:val="ListBullet"/>
        <w:rPr>
          <w:lang w:eastAsia="ja-JP"/>
        </w:rPr>
      </w:pPr>
      <w:r>
        <w:rPr>
          <w:lang w:eastAsia="ja-JP"/>
        </w:rPr>
        <w:t xml:space="preserve">Study A3921139 (long term extension, </w:t>
      </w:r>
      <w:r w:rsidR="00343EBF">
        <w:rPr>
          <w:lang w:eastAsia="ja-JP"/>
        </w:rPr>
        <w:t xml:space="preserve">referred to as </w:t>
      </w:r>
      <w:r w:rsidR="00343EBF" w:rsidRPr="00C445D1">
        <w:rPr>
          <w:rFonts w:eastAsia="TimesNewRoman" w:cs="TimesNewRoman"/>
        </w:rPr>
        <w:t xml:space="preserve">Cohort 2 </w:t>
      </w:r>
      <w:r w:rsidR="006C148C">
        <w:rPr>
          <w:rFonts w:eastAsia="TimesNewRoman" w:cs="TimesNewRoman"/>
        </w:rPr>
        <w:t>(</w:t>
      </w:r>
      <w:r w:rsidR="00343EBF" w:rsidRPr="00C445D1">
        <w:rPr>
          <w:rFonts w:eastAsia="TimesNewRoman" w:cs="TimesNewRoman"/>
        </w:rPr>
        <w:t>P3 Maintenance</w:t>
      </w:r>
      <w:r w:rsidR="006C148C">
        <w:rPr>
          <w:rFonts w:eastAsia="TimesNewRoman" w:cs="TimesNewRoman"/>
        </w:rPr>
        <w:t>)</w:t>
      </w:r>
      <w:r w:rsidR="00343EBF">
        <w:rPr>
          <w:rFonts w:eastAsia="TimesNewRoman" w:cs="TimesNewRoman"/>
        </w:rPr>
        <w:t xml:space="preserve"> by the sponsor</w:t>
      </w:r>
      <w:r w:rsidR="00343EBF">
        <w:rPr>
          <w:lang w:eastAsia="ja-JP"/>
        </w:rPr>
        <w:t>)</w:t>
      </w:r>
    </w:p>
    <w:p w14:paraId="4B7E4108" w14:textId="77777777" w:rsidR="00343EBF" w:rsidRPr="004C1DED" w:rsidRDefault="00343EBF" w:rsidP="000D0442">
      <w:pPr>
        <w:pStyle w:val="Heading6"/>
      </w:pPr>
      <w:r w:rsidRPr="004C1DED">
        <w:t>Studies with evaluable safety data: dose</w:t>
      </w:r>
      <w:r w:rsidR="004B2567">
        <w:t xml:space="preserve"> finding and pharmacology</w:t>
      </w:r>
    </w:p>
    <w:p w14:paraId="4591B642" w14:textId="77777777" w:rsidR="00500337" w:rsidRPr="00500337" w:rsidRDefault="00670068" w:rsidP="00505CA3">
      <w:pPr>
        <w:pStyle w:val="ListBullet"/>
        <w:rPr>
          <w:lang w:eastAsia="ja-JP"/>
        </w:rPr>
      </w:pPr>
      <w:r>
        <w:rPr>
          <w:lang w:eastAsia="ja-JP"/>
        </w:rPr>
        <w:t xml:space="preserve">Study A3921063 (dose </w:t>
      </w:r>
      <w:r w:rsidR="00343EBF">
        <w:rPr>
          <w:lang w:eastAsia="ja-JP"/>
        </w:rPr>
        <w:t>ranging/induction)</w:t>
      </w:r>
    </w:p>
    <w:p w14:paraId="0209E077" w14:textId="77777777" w:rsidR="00605AD4" w:rsidRDefault="00605AD4" w:rsidP="00605AD4">
      <w:pPr>
        <w:pStyle w:val="Heading4"/>
      </w:pPr>
      <w:r w:rsidRPr="00605AD4">
        <w:lastRenderedPageBreak/>
        <w:t>Patient exposure</w:t>
      </w:r>
    </w:p>
    <w:p w14:paraId="4FF4EA94" w14:textId="77777777" w:rsidR="007757F1" w:rsidRPr="00505CA3" w:rsidRDefault="005F4107" w:rsidP="00416AC1">
      <w:pPr>
        <w:pStyle w:val="TableTitle"/>
      </w:pPr>
      <w:r>
        <w:t xml:space="preserve">Table </w:t>
      </w:r>
      <w:r w:rsidR="009870DC">
        <w:fldChar w:fldCharType="begin"/>
      </w:r>
      <w:r w:rsidR="009870DC">
        <w:instrText xml:space="preserve"> SEQ Table \* ARABIC </w:instrText>
      </w:r>
      <w:r w:rsidR="009870DC">
        <w:fldChar w:fldCharType="separate"/>
      </w:r>
      <w:r w:rsidR="004E5B1B">
        <w:rPr>
          <w:noProof/>
        </w:rPr>
        <w:t>3</w:t>
      </w:r>
      <w:r w:rsidR="009870DC">
        <w:rPr>
          <w:noProof/>
        </w:rPr>
        <w:fldChar w:fldCharType="end"/>
      </w:r>
      <w:r w:rsidR="007757F1" w:rsidRPr="00505CA3">
        <w:t xml:space="preserve">: Exposure to </w:t>
      </w:r>
      <w:proofErr w:type="spellStart"/>
      <w:r w:rsidR="007757F1" w:rsidRPr="00505CA3">
        <w:t>tofacitinib</w:t>
      </w:r>
      <w:proofErr w:type="spellEnd"/>
      <w:r w:rsidR="007757F1" w:rsidRPr="00505CA3">
        <w:t xml:space="preserve"> and comparators to assigned treatment in clinical studies</w:t>
      </w:r>
    </w:p>
    <w:tbl>
      <w:tblPr>
        <w:tblStyle w:val="TableTGAblue"/>
        <w:tblW w:w="8725" w:type="dxa"/>
        <w:tblLayout w:type="fixed"/>
        <w:tblLook w:val="04A0" w:firstRow="1" w:lastRow="0" w:firstColumn="1" w:lastColumn="0" w:noHBand="0" w:noVBand="1"/>
      </w:tblPr>
      <w:tblGrid>
        <w:gridCol w:w="1526"/>
        <w:gridCol w:w="1276"/>
        <w:gridCol w:w="1275"/>
        <w:gridCol w:w="1276"/>
        <w:gridCol w:w="709"/>
        <w:gridCol w:w="1486"/>
        <w:gridCol w:w="1177"/>
      </w:tblGrid>
      <w:tr w:rsidR="007757F1" w:rsidRPr="00054F57" w14:paraId="70056CDB" w14:textId="77777777" w:rsidTr="009870DC">
        <w:trPr>
          <w:cnfStyle w:val="100000000000" w:firstRow="1" w:lastRow="0" w:firstColumn="0" w:lastColumn="0" w:oddVBand="0" w:evenVBand="0" w:oddHBand="0" w:evenHBand="0" w:firstRowFirstColumn="0" w:firstRowLastColumn="0" w:lastRowFirstColumn="0" w:lastRowLastColumn="0"/>
          <w:trHeight w:val="837"/>
        </w:trPr>
        <w:tc>
          <w:tcPr>
            <w:tcW w:w="1526" w:type="dxa"/>
            <w:vMerge w:val="restart"/>
          </w:tcPr>
          <w:p w14:paraId="59D85241" w14:textId="53170A65" w:rsidR="007757F1" w:rsidRPr="00054F57" w:rsidRDefault="00054F57" w:rsidP="009870DC">
            <w:pPr>
              <w:autoSpaceDE w:val="0"/>
              <w:autoSpaceDN w:val="0"/>
              <w:adjustRightInd w:val="0"/>
              <w:spacing w:before="0" w:after="0"/>
              <w:ind w:left="0" w:right="0"/>
              <w:rPr>
                <w:sz w:val="20"/>
                <w:szCs w:val="20"/>
              </w:rPr>
            </w:pPr>
            <w:r>
              <w:rPr>
                <w:sz w:val="20"/>
                <w:szCs w:val="20"/>
              </w:rPr>
              <w:t>Study type/</w:t>
            </w:r>
            <w:r w:rsidR="009870DC">
              <w:rPr>
                <w:sz w:val="20"/>
                <w:szCs w:val="20"/>
              </w:rPr>
              <w:t xml:space="preserve"> </w:t>
            </w:r>
            <w:r w:rsidR="00670068">
              <w:rPr>
                <w:sz w:val="20"/>
                <w:szCs w:val="20"/>
              </w:rPr>
              <w:t>i</w:t>
            </w:r>
            <w:r w:rsidR="007757F1" w:rsidRPr="00054F57">
              <w:rPr>
                <w:sz w:val="20"/>
                <w:szCs w:val="20"/>
              </w:rPr>
              <w:t>ndication</w:t>
            </w:r>
          </w:p>
        </w:tc>
        <w:tc>
          <w:tcPr>
            <w:tcW w:w="4536" w:type="dxa"/>
            <w:gridSpan w:val="4"/>
          </w:tcPr>
          <w:p w14:paraId="5AD87C81" w14:textId="77777777" w:rsidR="007757F1" w:rsidRPr="00054F57" w:rsidRDefault="007757F1" w:rsidP="00EB1177">
            <w:pPr>
              <w:autoSpaceDE w:val="0"/>
              <w:autoSpaceDN w:val="0"/>
              <w:adjustRightInd w:val="0"/>
              <w:spacing w:before="0" w:after="0"/>
              <w:ind w:left="0" w:right="0"/>
              <w:jc w:val="center"/>
              <w:rPr>
                <w:sz w:val="20"/>
                <w:szCs w:val="20"/>
              </w:rPr>
            </w:pPr>
            <w:r w:rsidRPr="00054F57">
              <w:rPr>
                <w:sz w:val="20"/>
                <w:szCs w:val="20"/>
              </w:rPr>
              <w:t>Controlled studies</w:t>
            </w:r>
          </w:p>
        </w:tc>
        <w:tc>
          <w:tcPr>
            <w:tcW w:w="1486" w:type="dxa"/>
          </w:tcPr>
          <w:p w14:paraId="67F57FC7" w14:textId="1127E34F" w:rsidR="007757F1" w:rsidRPr="00054F57" w:rsidRDefault="007757F1" w:rsidP="009870DC">
            <w:pPr>
              <w:autoSpaceDE w:val="0"/>
              <w:autoSpaceDN w:val="0"/>
              <w:adjustRightInd w:val="0"/>
              <w:spacing w:before="0" w:after="0"/>
              <w:ind w:left="0" w:right="0"/>
              <w:jc w:val="center"/>
              <w:rPr>
                <w:sz w:val="20"/>
                <w:szCs w:val="20"/>
              </w:rPr>
            </w:pPr>
            <w:r w:rsidRPr="00054F57">
              <w:rPr>
                <w:sz w:val="20"/>
                <w:szCs w:val="20"/>
              </w:rPr>
              <w:t>Uncontrolled</w:t>
            </w:r>
            <w:r w:rsidR="009870DC">
              <w:rPr>
                <w:sz w:val="20"/>
                <w:szCs w:val="20"/>
              </w:rPr>
              <w:t xml:space="preserve"> </w:t>
            </w:r>
            <w:r w:rsidRPr="00054F57">
              <w:rPr>
                <w:sz w:val="20"/>
                <w:szCs w:val="20"/>
              </w:rPr>
              <w:t>studies</w:t>
            </w:r>
          </w:p>
        </w:tc>
        <w:tc>
          <w:tcPr>
            <w:tcW w:w="1177" w:type="dxa"/>
            <w:vMerge w:val="restart"/>
          </w:tcPr>
          <w:p w14:paraId="5033D87F" w14:textId="77777777" w:rsidR="007757F1" w:rsidRPr="00054F57" w:rsidRDefault="00670068">
            <w:pPr>
              <w:autoSpaceDE w:val="0"/>
              <w:autoSpaceDN w:val="0"/>
              <w:adjustRightInd w:val="0"/>
              <w:spacing w:before="0" w:after="0"/>
              <w:ind w:left="0" w:right="0"/>
              <w:jc w:val="center"/>
              <w:rPr>
                <w:sz w:val="20"/>
                <w:szCs w:val="20"/>
              </w:rPr>
            </w:pPr>
            <w:r>
              <w:rPr>
                <w:sz w:val="20"/>
                <w:szCs w:val="20"/>
              </w:rPr>
              <w:t xml:space="preserve">Total </w:t>
            </w:r>
            <w:proofErr w:type="spellStart"/>
            <w:r>
              <w:rPr>
                <w:sz w:val="20"/>
                <w:szCs w:val="20"/>
              </w:rPr>
              <w:t>t</w:t>
            </w:r>
            <w:r w:rsidR="007757F1" w:rsidRPr="00054F57">
              <w:rPr>
                <w:sz w:val="20"/>
                <w:szCs w:val="20"/>
              </w:rPr>
              <w:t>ofacitinib</w:t>
            </w:r>
            <w:proofErr w:type="spellEnd"/>
          </w:p>
        </w:tc>
      </w:tr>
      <w:tr w:rsidR="005742E4" w:rsidRPr="00054F57" w14:paraId="64DBDFE2" w14:textId="77777777" w:rsidTr="009870DC">
        <w:trPr>
          <w:trHeight w:val="1083"/>
        </w:trPr>
        <w:tc>
          <w:tcPr>
            <w:tcW w:w="1526" w:type="dxa"/>
            <w:vMerge/>
          </w:tcPr>
          <w:p w14:paraId="1B2DFCE8" w14:textId="77777777" w:rsidR="00054F57" w:rsidRPr="00054F57" w:rsidRDefault="00054F57" w:rsidP="00C201CB">
            <w:pPr>
              <w:keepNext/>
              <w:autoSpaceDE w:val="0"/>
              <w:autoSpaceDN w:val="0"/>
              <w:adjustRightInd w:val="0"/>
              <w:spacing w:before="0" w:after="0"/>
              <w:ind w:left="0" w:right="0"/>
              <w:rPr>
                <w:sz w:val="20"/>
                <w:szCs w:val="20"/>
              </w:rPr>
            </w:pPr>
          </w:p>
        </w:tc>
        <w:tc>
          <w:tcPr>
            <w:tcW w:w="1276" w:type="dxa"/>
          </w:tcPr>
          <w:p w14:paraId="4E4C00C2" w14:textId="77777777" w:rsidR="00054F57" w:rsidRPr="00054F57" w:rsidRDefault="00054F57" w:rsidP="00C201CB">
            <w:pPr>
              <w:keepNext/>
              <w:spacing w:before="0" w:after="0"/>
              <w:ind w:left="0" w:right="0"/>
              <w:rPr>
                <w:sz w:val="20"/>
                <w:szCs w:val="20"/>
              </w:rPr>
            </w:pPr>
            <w:proofErr w:type="spellStart"/>
            <w:r w:rsidRPr="00054F57">
              <w:rPr>
                <w:sz w:val="20"/>
                <w:szCs w:val="20"/>
              </w:rPr>
              <w:t>Tofacitinib</w:t>
            </w:r>
            <w:proofErr w:type="spellEnd"/>
            <w:r w:rsidRPr="00054F57">
              <w:rPr>
                <w:sz w:val="20"/>
                <w:szCs w:val="20"/>
              </w:rPr>
              <w:t xml:space="preserve"> 5 mg</w:t>
            </w:r>
          </w:p>
        </w:tc>
        <w:tc>
          <w:tcPr>
            <w:tcW w:w="1275" w:type="dxa"/>
          </w:tcPr>
          <w:p w14:paraId="54C60052" w14:textId="77777777" w:rsidR="00054F57" w:rsidRPr="00054F57" w:rsidRDefault="00054F57" w:rsidP="00C201CB">
            <w:pPr>
              <w:keepNext/>
              <w:spacing w:before="0" w:after="0"/>
              <w:ind w:left="0" w:right="0"/>
              <w:rPr>
                <w:sz w:val="20"/>
                <w:szCs w:val="20"/>
              </w:rPr>
            </w:pPr>
            <w:proofErr w:type="spellStart"/>
            <w:r w:rsidRPr="00054F57">
              <w:rPr>
                <w:sz w:val="20"/>
                <w:szCs w:val="20"/>
              </w:rPr>
              <w:t>Tofacitinib</w:t>
            </w:r>
            <w:proofErr w:type="spellEnd"/>
            <w:r w:rsidRPr="00054F57">
              <w:rPr>
                <w:sz w:val="20"/>
                <w:szCs w:val="20"/>
              </w:rPr>
              <w:t xml:space="preserve"> 10 mg</w:t>
            </w:r>
          </w:p>
        </w:tc>
        <w:tc>
          <w:tcPr>
            <w:tcW w:w="1276" w:type="dxa"/>
          </w:tcPr>
          <w:p w14:paraId="4B072E91" w14:textId="77777777" w:rsidR="00054F57" w:rsidRPr="00054F57" w:rsidRDefault="00054F57" w:rsidP="00C201CB">
            <w:pPr>
              <w:keepNext/>
              <w:spacing w:before="0" w:after="0"/>
              <w:ind w:left="0" w:right="0"/>
              <w:rPr>
                <w:sz w:val="20"/>
                <w:szCs w:val="20"/>
              </w:rPr>
            </w:pPr>
            <w:proofErr w:type="spellStart"/>
            <w:r w:rsidRPr="00054F57">
              <w:rPr>
                <w:sz w:val="20"/>
                <w:szCs w:val="20"/>
              </w:rPr>
              <w:t>Tofacitinib</w:t>
            </w:r>
            <w:proofErr w:type="spellEnd"/>
            <w:r w:rsidRPr="00054F57">
              <w:rPr>
                <w:sz w:val="20"/>
                <w:szCs w:val="20"/>
              </w:rPr>
              <w:t xml:space="preserve"> 15 mg</w:t>
            </w:r>
          </w:p>
        </w:tc>
        <w:tc>
          <w:tcPr>
            <w:tcW w:w="709" w:type="dxa"/>
          </w:tcPr>
          <w:p w14:paraId="6D925647" w14:textId="77777777" w:rsidR="00054F57" w:rsidRPr="00054F57" w:rsidRDefault="00054F57" w:rsidP="00C201CB">
            <w:pPr>
              <w:keepNext/>
              <w:spacing w:before="0" w:after="0"/>
              <w:ind w:left="0" w:right="0"/>
              <w:rPr>
                <w:sz w:val="20"/>
                <w:szCs w:val="20"/>
              </w:rPr>
            </w:pPr>
            <w:r w:rsidRPr="00054F57">
              <w:rPr>
                <w:sz w:val="20"/>
                <w:szCs w:val="20"/>
              </w:rPr>
              <w:t>Placebo</w:t>
            </w:r>
          </w:p>
        </w:tc>
        <w:tc>
          <w:tcPr>
            <w:tcW w:w="1486" w:type="dxa"/>
          </w:tcPr>
          <w:p w14:paraId="2204C753" w14:textId="0F519AFC" w:rsidR="00054F57" w:rsidRPr="00054F57" w:rsidRDefault="00054F57" w:rsidP="00C201CB">
            <w:pPr>
              <w:keepNext/>
              <w:spacing w:before="0" w:after="0"/>
              <w:ind w:left="0" w:right="0"/>
              <w:rPr>
                <w:sz w:val="20"/>
                <w:szCs w:val="20"/>
              </w:rPr>
            </w:pPr>
            <w:proofErr w:type="spellStart"/>
            <w:r w:rsidRPr="00054F57">
              <w:rPr>
                <w:sz w:val="20"/>
                <w:szCs w:val="20"/>
              </w:rPr>
              <w:t>Tofacitinib</w:t>
            </w:r>
            <w:proofErr w:type="spellEnd"/>
            <w:r w:rsidRPr="00054F57">
              <w:rPr>
                <w:sz w:val="20"/>
                <w:szCs w:val="20"/>
              </w:rPr>
              <w:t xml:space="preserve"> 5 and 10</w:t>
            </w:r>
            <w:r w:rsidR="00416AC1">
              <w:rPr>
                <w:sz w:val="20"/>
                <w:szCs w:val="20"/>
              </w:rPr>
              <w:t> </w:t>
            </w:r>
            <w:r w:rsidRPr="00054F57">
              <w:rPr>
                <w:sz w:val="20"/>
                <w:szCs w:val="20"/>
              </w:rPr>
              <w:t>mg</w:t>
            </w:r>
          </w:p>
        </w:tc>
        <w:tc>
          <w:tcPr>
            <w:tcW w:w="1177" w:type="dxa"/>
            <w:vMerge/>
          </w:tcPr>
          <w:p w14:paraId="2C5F736D" w14:textId="77777777" w:rsidR="00054F57" w:rsidRPr="00054F57" w:rsidRDefault="00054F57" w:rsidP="00C201CB">
            <w:pPr>
              <w:keepNext/>
              <w:autoSpaceDE w:val="0"/>
              <w:autoSpaceDN w:val="0"/>
              <w:adjustRightInd w:val="0"/>
              <w:spacing w:before="0" w:after="0"/>
              <w:ind w:left="0" w:right="0"/>
              <w:jc w:val="center"/>
              <w:rPr>
                <w:sz w:val="20"/>
                <w:szCs w:val="20"/>
              </w:rPr>
            </w:pPr>
          </w:p>
        </w:tc>
      </w:tr>
      <w:tr w:rsidR="007757F1" w:rsidRPr="00054F57" w14:paraId="3938BE44" w14:textId="77777777" w:rsidTr="009870DC">
        <w:trPr>
          <w:trHeight w:val="832"/>
        </w:trPr>
        <w:tc>
          <w:tcPr>
            <w:tcW w:w="1526" w:type="dxa"/>
          </w:tcPr>
          <w:p w14:paraId="503F39B9" w14:textId="687076DE" w:rsidR="007757F1" w:rsidRPr="00054F57" w:rsidRDefault="007757F1" w:rsidP="009870DC">
            <w:pPr>
              <w:keepNext/>
              <w:autoSpaceDE w:val="0"/>
              <w:autoSpaceDN w:val="0"/>
              <w:adjustRightInd w:val="0"/>
              <w:spacing w:before="0" w:after="0"/>
              <w:ind w:left="0" w:right="0"/>
              <w:rPr>
                <w:sz w:val="20"/>
                <w:szCs w:val="20"/>
              </w:rPr>
            </w:pPr>
            <w:r w:rsidRPr="00054F57">
              <w:rPr>
                <w:sz w:val="20"/>
                <w:szCs w:val="20"/>
              </w:rPr>
              <w:t xml:space="preserve">Dose </w:t>
            </w:r>
            <w:r w:rsidR="00054F57" w:rsidRPr="00054F57">
              <w:rPr>
                <w:sz w:val="20"/>
                <w:szCs w:val="20"/>
              </w:rPr>
              <w:t>ranging/</w:t>
            </w:r>
            <w:r w:rsidR="005742E4">
              <w:rPr>
                <w:sz w:val="20"/>
                <w:szCs w:val="20"/>
              </w:rPr>
              <w:t xml:space="preserve"> </w:t>
            </w:r>
            <w:r w:rsidRPr="00054F57">
              <w:rPr>
                <w:sz w:val="20"/>
                <w:szCs w:val="20"/>
              </w:rPr>
              <w:t>induction</w:t>
            </w:r>
            <w:r w:rsidR="009870DC">
              <w:rPr>
                <w:sz w:val="20"/>
                <w:szCs w:val="20"/>
              </w:rPr>
              <w:t xml:space="preserve"> </w:t>
            </w:r>
            <w:r w:rsidRPr="00054F57">
              <w:rPr>
                <w:sz w:val="20"/>
                <w:szCs w:val="20"/>
              </w:rPr>
              <w:t>(A3921063)</w:t>
            </w:r>
          </w:p>
        </w:tc>
        <w:tc>
          <w:tcPr>
            <w:tcW w:w="1276" w:type="dxa"/>
          </w:tcPr>
          <w:p w14:paraId="24963EC2"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0</w:t>
            </w:r>
          </w:p>
        </w:tc>
        <w:tc>
          <w:tcPr>
            <w:tcW w:w="1275" w:type="dxa"/>
          </w:tcPr>
          <w:p w14:paraId="32F25612"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33</w:t>
            </w:r>
          </w:p>
        </w:tc>
        <w:tc>
          <w:tcPr>
            <w:tcW w:w="1276" w:type="dxa"/>
          </w:tcPr>
          <w:p w14:paraId="15DCAFDB"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49</w:t>
            </w:r>
          </w:p>
        </w:tc>
        <w:tc>
          <w:tcPr>
            <w:tcW w:w="709" w:type="dxa"/>
          </w:tcPr>
          <w:p w14:paraId="4E532AB1"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48</w:t>
            </w:r>
          </w:p>
        </w:tc>
        <w:tc>
          <w:tcPr>
            <w:tcW w:w="1486" w:type="dxa"/>
          </w:tcPr>
          <w:p w14:paraId="6799A2BD"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0</w:t>
            </w:r>
          </w:p>
        </w:tc>
        <w:tc>
          <w:tcPr>
            <w:tcW w:w="1177" w:type="dxa"/>
          </w:tcPr>
          <w:p w14:paraId="0C050FB8"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194*</w:t>
            </w:r>
          </w:p>
        </w:tc>
      </w:tr>
      <w:tr w:rsidR="005742E4" w:rsidRPr="00054F57" w14:paraId="7084E50A" w14:textId="77777777" w:rsidTr="009870DC">
        <w:trPr>
          <w:trHeight w:val="608"/>
        </w:trPr>
        <w:tc>
          <w:tcPr>
            <w:tcW w:w="8725" w:type="dxa"/>
            <w:gridSpan w:val="7"/>
            <w:vAlign w:val="center"/>
          </w:tcPr>
          <w:p w14:paraId="50E807ED" w14:textId="77777777" w:rsidR="005742E4" w:rsidRPr="00054F57" w:rsidRDefault="005742E4" w:rsidP="00480BCB">
            <w:pPr>
              <w:keepNext/>
              <w:autoSpaceDE w:val="0"/>
              <w:autoSpaceDN w:val="0"/>
              <w:adjustRightInd w:val="0"/>
              <w:spacing w:before="0" w:after="0"/>
              <w:ind w:left="0" w:right="0"/>
              <w:rPr>
                <w:sz w:val="20"/>
                <w:szCs w:val="20"/>
              </w:rPr>
            </w:pPr>
            <w:r w:rsidRPr="00054F57">
              <w:rPr>
                <w:sz w:val="20"/>
                <w:szCs w:val="20"/>
              </w:rPr>
              <w:t>Induction of remission</w:t>
            </w:r>
          </w:p>
        </w:tc>
      </w:tr>
      <w:tr w:rsidR="007757F1" w:rsidRPr="00054F57" w14:paraId="0F14A4A5" w14:textId="77777777" w:rsidTr="009870DC">
        <w:trPr>
          <w:trHeight w:val="822"/>
        </w:trPr>
        <w:tc>
          <w:tcPr>
            <w:tcW w:w="1526" w:type="dxa"/>
          </w:tcPr>
          <w:p w14:paraId="35539796" w14:textId="7A87A566" w:rsidR="007757F1" w:rsidRPr="00054F57" w:rsidRDefault="007757F1" w:rsidP="00480BCB">
            <w:pPr>
              <w:pStyle w:val="ListBullet"/>
              <w:keepNext/>
              <w:spacing w:before="0" w:after="0"/>
              <w:ind w:left="357" w:right="0" w:hanging="357"/>
              <w:rPr>
                <w:sz w:val="20"/>
                <w:szCs w:val="20"/>
              </w:rPr>
            </w:pPr>
            <w:r w:rsidRPr="00054F57">
              <w:rPr>
                <w:sz w:val="20"/>
                <w:szCs w:val="20"/>
              </w:rPr>
              <w:t>Pivotal</w:t>
            </w:r>
            <w:r w:rsidR="009870DC">
              <w:rPr>
                <w:sz w:val="20"/>
                <w:szCs w:val="20"/>
              </w:rPr>
              <w:t xml:space="preserve"> </w:t>
            </w:r>
          </w:p>
          <w:p w14:paraId="62EB1F25" w14:textId="77777777" w:rsidR="007757F1" w:rsidRPr="00054F57" w:rsidRDefault="007757F1" w:rsidP="00480BCB">
            <w:pPr>
              <w:pStyle w:val="ListBullet"/>
              <w:keepNext/>
              <w:spacing w:before="0" w:after="0"/>
              <w:ind w:left="357" w:right="0" w:hanging="357"/>
              <w:rPr>
                <w:sz w:val="20"/>
                <w:szCs w:val="20"/>
              </w:rPr>
            </w:pPr>
            <w:r w:rsidRPr="00054F57">
              <w:rPr>
                <w:sz w:val="20"/>
                <w:szCs w:val="20"/>
              </w:rPr>
              <w:t>A3921094</w:t>
            </w:r>
          </w:p>
          <w:p w14:paraId="7116BD7C" w14:textId="77777777" w:rsidR="007757F1" w:rsidRPr="00054F57" w:rsidRDefault="007757F1" w:rsidP="00480BCB">
            <w:pPr>
              <w:pStyle w:val="ListBullet"/>
              <w:keepNext/>
              <w:spacing w:before="0" w:after="0"/>
              <w:ind w:left="357" w:right="0" w:hanging="357"/>
            </w:pPr>
            <w:r w:rsidRPr="00054F57">
              <w:rPr>
                <w:sz w:val="20"/>
                <w:szCs w:val="20"/>
              </w:rPr>
              <w:t>A3921095</w:t>
            </w:r>
          </w:p>
        </w:tc>
        <w:tc>
          <w:tcPr>
            <w:tcW w:w="1276" w:type="dxa"/>
          </w:tcPr>
          <w:p w14:paraId="10701F3B"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0</w:t>
            </w:r>
          </w:p>
          <w:p w14:paraId="386AE48A"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0</w:t>
            </w:r>
          </w:p>
        </w:tc>
        <w:tc>
          <w:tcPr>
            <w:tcW w:w="1275" w:type="dxa"/>
          </w:tcPr>
          <w:p w14:paraId="77CE4E42"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476</w:t>
            </w:r>
          </w:p>
          <w:p w14:paraId="409D28CC"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429</w:t>
            </w:r>
          </w:p>
        </w:tc>
        <w:tc>
          <w:tcPr>
            <w:tcW w:w="1276" w:type="dxa"/>
          </w:tcPr>
          <w:p w14:paraId="6832E676"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16</w:t>
            </w:r>
          </w:p>
          <w:p w14:paraId="03C01A3B"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6</w:t>
            </w:r>
          </w:p>
        </w:tc>
        <w:tc>
          <w:tcPr>
            <w:tcW w:w="709" w:type="dxa"/>
          </w:tcPr>
          <w:p w14:paraId="7BBB0958"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122</w:t>
            </w:r>
          </w:p>
          <w:p w14:paraId="516272D9"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112</w:t>
            </w:r>
          </w:p>
        </w:tc>
        <w:tc>
          <w:tcPr>
            <w:tcW w:w="1486" w:type="dxa"/>
          </w:tcPr>
          <w:p w14:paraId="48DCCEAA"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0</w:t>
            </w:r>
          </w:p>
          <w:p w14:paraId="59F135CF"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0</w:t>
            </w:r>
          </w:p>
        </w:tc>
        <w:tc>
          <w:tcPr>
            <w:tcW w:w="1177" w:type="dxa"/>
          </w:tcPr>
          <w:p w14:paraId="15AA2F2D"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614</w:t>
            </w:r>
          </w:p>
          <w:p w14:paraId="3CE0972E"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547</w:t>
            </w:r>
          </w:p>
        </w:tc>
      </w:tr>
      <w:tr w:rsidR="007757F1" w:rsidRPr="00054F57" w14:paraId="564B080C" w14:textId="77777777" w:rsidTr="009870DC">
        <w:trPr>
          <w:trHeight w:val="479"/>
        </w:trPr>
        <w:tc>
          <w:tcPr>
            <w:tcW w:w="1526" w:type="dxa"/>
          </w:tcPr>
          <w:p w14:paraId="25FCF4C2" w14:textId="77777777" w:rsidR="007757F1" w:rsidRPr="00054F57" w:rsidRDefault="007757F1" w:rsidP="00480BCB">
            <w:pPr>
              <w:keepNext/>
              <w:spacing w:before="0" w:after="0"/>
              <w:ind w:left="0" w:right="0"/>
              <w:rPr>
                <w:b/>
                <w:sz w:val="20"/>
                <w:szCs w:val="20"/>
              </w:rPr>
            </w:pPr>
            <w:r w:rsidRPr="00054F57">
              <w:rPr>
                <w:b/>
                <w:sz w:val="20"/>
                <w:szCs w:val="20"/>
              </w:rPr>
              <w:t>Subtotal Induction</w:t>
            </w:r>
          </w:p>
        </w:tc>
        <w:tc>
          <w:tcPr>
            <w:tcW w:w="1276" w:type="dxa"/>
          </w:tcPr>
          <w:p w14:paraId="74466D65" w14:textId="77777777" w:rsidR="007757F1" w:rsidRPr="00054F57" w:rsidRDefault="007757F1" w:rsidP="00480BCB">
            <w:pPr>
              <w:keepNext/>
              <w:autoSpaceDE w:val="0"/>
              <w:autoSpaceDN w:val="0"/>
              <w:adjustRightInd w:val="0"/>
              <w:spacing w:before="0" w:after="0"/>
              <w:ind w:left="0" w:right="0"/>
              <w:jc w:val="center"/>
              <w:rPr>
                <w:b/>
                <w:sz w:val="20"/>
                <w:szCs w:val="20"/>
              </w:rPr>
            </w:pPr>
            <w:r w:rsidRPr="00054F57">
              <w:rPr>
                <w:b/>
                <w:sz w:val="20"/>
                <w:szCs w:val="20"/>
              </w:rPr>
              <w:t>0</w:t>
            </w:r>
          </w:p>
        </w:tc>
        <w:tc>
          <w:tcPr>
            <w:tcW w:w="1275" w:type="dxa"/>
          </w:tcPr>
          <w:p w14:paraId="4CDFC15D" w14:textId="77777777" w:rsidR="007757F1" w:rsidRPr="00054F57" w:rsidRDefault="007757F1" w:rsidP="00480BCB">
            <w:pPr>
              <w:keepNext/>
              <w:autoSpaceDE w:val="0"/>
              <w:autoSpaceDN w:val="0"/>
              <w:adjustRightInd w:val="0"/>
              <w:spacing w:before="0" w:after="0"/>
              <w:ind w:left="0" w:right="0"/>
              <w:jc w:val="center"/>
              <w:rPr>
                <w:b/>
                <w:sz w:val="20"/>
                <w:szCs w:val="20"/>
              </w:rPr>
            </w:pPr>
            <w:r w:rsidRPr="00054F57">
              <w:rPr>
                <w:b/>
                <w:sz w:val="20"/>
                <w:szCs w:val="20"/>
              </w:rPr>
              <w:t>938</w:t>
            </w:r>
          </w:p>
        </w:tc>
        <w:tc>
          <w:tcPr>
            <w:tcW w:w="1276" w:type="dxa"/>
          </w:tcPr>
          <w:p w14:paraId="3F09E86C" w14:textId="77777777" w:rsidR="007757F1" w:rsidRPr="00054F57" w:rsidRDefault="007757F1" w:rsidP="00480BCB">
            <w:pPr>
              <w:keepNext/>
              <w:autoSpaceDE w:val="0"/>
              <w:autoSpaceDN w:val="0"/>
              <w:adjustRightInd w:val="0"/>
              <w:spacing w:before="0" w:after="0"/>
              <w:ind w:left="0" w:right="0"/>
              <w:jc w:val="center"/>
              <w:rPr>
                <w:b/>
                <w:sz w:val="20"/>
                <w:szCs w:val="20"/>
              </w:rPr>
            </w:pPr>
            <w:r w:rsidRPr="00054F57">
              <w:rPr>
                <w:b/>
                <w:sz w:val="20"/>
                <w:szCs w:val="20"/>
              </w:rPr>
              <w:t>71</w:t>
            </w:r>
          </w:p>
        </w:tc>
        <w:tc>
          <w:tcPr>
            <w:tcW w:w="709" w:type="dxa"/>
          </w:tcPr>
          <w:p w14:paraId="7A2656B1" w14:textId="77777777" w:rsidR="007757F1" w:rsidRPr="00054F57" w:rsidRDefault="007757F1" w:rsidP="00480BCB">
            <w:pPr>
              <w:keepNext/>
              <w:autoSpaceDE w:val="0"/>
              <w:autoSpaceDN w:val="0"/>
              <w:adjustRightInd w:val="0"/>
              <w:spacing w:before="0" w:after="0"/>
              <w:ind w:left="0" w:right="0"/>
              <w:jc w:val="center"/>
              <w:rPr>
                <w:b/>
                <w:sz w:val="20"/>
                <w:szCs w:val="20"/>
              </w:rPr>
            </w:pPr>
            <w:r w:rsidRPr="00054F57">
              <w:rPr>
                <w:b/>
                <w:sz w:val="20"/>
                <w:szCs w:val="20"/>
              </w:rPr>
              <w:t>282</w:t>
            </w:r>
          </w:p>
        </w:tc>
        <w:tc>
          <w:tcPr>
            <w:tcW w:w="1486" w:type="dxa"/>
          </w:tcPr>
          <w:p w14:paraId="2BD8ADE0" w14:textId="77777777" w:rsidR="007757F1" w:rsidRPr="00054F57" w:rsidRDefault="007757F1" w:rsidP="00480BCB">
            <w:pPr>
              <w:keepNext/>
              <w:autoSpaceDE w:val="0"/>
              <w:autoSpaceDN w:val="0"/>
              <w:adjustRightInd w:val="0"/>
              <w:spacing w:before="0" w:after="0"/>
              <w:ind w:left="0" w:right="0"/>
              <w:jc w:val="center"/>
              <w:rPr>
                <w:b/>
                <w:sz w:val="20"/>
                <w:szCs w:val="20"/>
              </w:rPr>
            </w:pPr>
            <w:r w:rsidRPr="00054F57">
              <w:rPr>
                <w:b/>
                <w:sz w:val="20"/>
                <w:szCs w:val="20"/>
              </w:rPr>
              <w:t>0</w:t>
            </w:r>
          </w:p>
        </w:tc>
        <w:tc>
          <w:tcPr>
            <w:tcW w:w="1177" w:type="dxa"/>
          </w:tcPr>
          <w:p w14:paraId="329341AB" w14:textId="77777777" w:rsidR="007757F1" w:rsidRPr="00054F57" w:rsidRDefault="007757F1" w:rsidP="00480BCB">
            <w:pPr>
              <w:keepNext/>
              <w:autoSpaceDE w:val="0"/>
              <w:autoSpaceDN w:val="0"/>
              <w:adjustRightInd w:val="0"/>
              <w:spacing w:before="0" w:after="0"/>
              <w:ind w:left="0" w:right="0"/>
              <w:jc w:val="center"/>
              <w:rPr>
                <w:b/>
                <w:sz w:val="20"/>
                <w:szCs w:val="20"/>
              </w:rPr>
            </w:pPr>
            <w:r w:rsidRPr="00054F57">
              <w:rPr>
                <w:b/>
                <w:sz w:val="20"/>
                <w:szCs w:val="20"/>
              </w:rPr>
              <w:t>1355*</w:t>
            </w:r>
          </w:p>
        </w:tc>
      </w:tr>
      <w:tr w:rsidR="005742E4" w:rsidRPr="00054F57" w14:paraId="3D8AE1C8" w14:textId="77777777" w:rsidTr="009870DC">
        <w:trPr>
          <w:trHeight w:val="702"/>
        </w:trPr>
        <w:tc>
          <w:tcPr>
            <w:tcW w:w="8725" w:type="dxa"/>
            <w:gridSpan w:val="7"/>
            <w:vAlign w:val="center"/>
          </w:tcPr>
          <w:p w14:paraId="1780A6C7" w14:textId="77777777" w:rsidR="005742E4" w:rsidRPr="00054F57" w:rsidRDefault="005742E4" w:rsidP="00480BCB">
            <w:pPr>
              <w:keepNext/>
              <w:autoSpaceDE w:val="0"/>
              <w:autoSpaceDN w:val="0"/>
              <w:adjustRightInd w:val="0"/>
              <w:spacing w:before="0" w:after="0"/>
              <w:ind w:left="0" w:right="0"/>
              <w:rPr>
                <w:sz w:val="20"/>
                <w:szCs w:val="20"/>
              </w:rPr>
            </w:pPr>
            <w:r w:rsidRPr="00054F57">
              <w:rPr>
                <w:sz w:val="20"/>
                <w:szCs w:val="20"/>
              </w:rPr>
              <w:t>Maintenance of clinical response or remission</w:t>
            </w:r>
          </w:p>
        </w:tc>
      </w:tr>
      <w:tr w:rsidR="007757F1" w:rsidRPr="00054F57" w14:paraId="0B610784" w14:textId="77777777" w:rsidTr="009870DC">
        <w:trPr>
          <w:trHeight w:val="464"/>
        </w:trPr>
        <w:tc>
          <w:tcPr>
            <w:tcW w:w="1526" w:type="dxa"/>
          </w:tcPr>
          <w:p w14:paraId="1404860F" w14:textId="77777777" w:rsidR="007757F1" w:rsidRPr="00054F57" w:rsidRDefault="007757F1" w:rsidP="00480BCB">
            <w:pPr>
              <w:keepNext/>
              <w:spacing w:before="0" w:after="0"/>
              <w:ind w:left="0" w:right="0"/>
              <w:rPr>
                <w:sz w:val="20"/>
                <w:szCs w:val="20"/>
              </w:rPr>
            </w:pPr>
            <w:r w:rsidRPr="00054F57">
              <w:rPr>
                <w:sz w:val="20"/>
                <w:szCs w:val="20"/>
              </w:rPr>
              <w:t>Pivotal (A3921096)</w:t>
            </w:r>
          </w:p>
        </w:tc>
        <w:tc>
          <w:tcPr>
            <w:tcW w:w="1276" w:type="dxa"/>
          </w:tcPr>
          <w:p w14:paraId="0C979D1B"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198</w:t>
            </w:r>
          </w:p>
        </w:tc>
        <w:tc>
          <w:tcPr>
            <w:tcW w:w="1275" w:type="dxa"/>
          </w:tcPr>
          <w:p w14:paraId="2F72DC5E"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196</w:t>
            </w:r>
          </w:p>
        </w:tc>
        <w:tc>
          <w:tcPr>
            <w:tcW w:w="1276" w:type="dxa"/>
          </w:tcPr>
          <w:p w14:paraId="647CC788"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0</w:t>
            </w:r>
          </w:p>
        </w:tc>
        <w:tc>
          <w:tcPr>
            <w:tcW w:w="709" w:type="dxa"/>
          </w:tcPr>
          <w:p w14:paraId="21FF8DE4"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198</w:t>
            </w:r>
          </w:p>
        </w:tc>
        <w:tc>
          <w:tcPr>
            <w:tcW w:w="1486" w:type="dxa"/>
          </w:tcPr>
          <w:p w14:paraId="63F3235E"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0</w:t>
            </w:r>
          </w:p>
        </w:tc>
        <w:tc>
          <w:tcPr>
            <w:tcW w:w="1177" w:type="dxa"/>
          </w:tcPr>
          <w:p w14:paraId="01A0A831"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592</w:t>
            </w:r>
          </w:p>
        </w:tc>
      </w:tr>
      <w:tr w:rsidR="007757F1" w:rsidRPr="00054F57" w14:paraId="5E264A78" w14:textId="77777777" w:rsidTr="009870DC">
        <w:trPr>
          <w:trHeight w:val="479"/>
        </w:trPr>
        <w:tc>
          <w:tcPr>
            <w:tcW w:w="1526" w:type="dxa"/>
          </w:tcPr>
          <w:p w14:paraId="246A10C6" w14:textId="77777777" w:rsidR="007757F1" w:rsidRPr="00054F57" w:rsidRDefault="007757F1" w:rsidP="00480BCB">
            <w:pPr>
              <w:keepNext/>
              <w:spacing w:before="0" w:after="0"/>
              <w:ind w:left="0" w:right="0"/>
              <w:rPr>
                <w:sz w:val="20"/>
                <w:szCs w:val="20"/>
              </w:rPr>
            </w:pPr>
            <w:r w:rsidRPr="00054F57">
              <w:rPr>
                <w:sz w:val="20"/>
                <w:szCs w:val="20"/>
              </w:rPr>
              <w:t>Other **(A3921139)</w:t>
            </w:r>
          </w:p>
        </w:tc>
        <w:tc>
          <w:tcPr>
            <w:tcW w:w="1276" w:type="dxa"/>
          </w:tcPr>
          <w:p w14:paraId="1412354A"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0</w:t>
            </w:r>
          </w:p>
        </w:tc>
        <w:tc>
          <w:tcPr>
            <w:tcW w:w="1275" w:type="dxa"/>
          </w:tcPr>
          <w:p w14:paraId="1993204E"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0</w:t>
            </w:r>
          </w:p>
        </w:tc>
        <w:tc>
          <w:tcPr>
            <w:tcW w:w="1276" w:type="dxa"/>
          </w:tcPr>
          <w:p w14:paraId="3C4B05F3"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0</w:t>
            </w:r>
          </w:p>
        </w:tc>
        <w:tc>
          <w:tcPr>
            <w:tcW w:w="709" w:type="dxa"/>
          </w:tcPr>
          <w:p w14:paraId="2530008D"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0</w:t>
            </w:r>
          </w:p>
        </w:tc>
        <w:tc>
          <w:tcPr>
            <w:tcW w:w="1486" w:type="dxa"/>
          </w:tcPr>
          <w:p w14:paraId="3D91E51C"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156 and 758</w:t>
            </w:r>
          </w:p>
        </w:tc>
        <w:tc>
          <w:tcPr>
            <w:tcW w:w="1177" w:type="dxa"/>
          </w:tcPr>
          <w:p w14:paraId="210F2C61" w14:textId="77777777" w:rsidR="007757F1" w:rsidRPr="00054F57" w:rsidRDefault="007757F1" w:rsidP="00480BCB">
            <w:pPr>
              <w:keepNext/>
              <w:autoSpaceDE w:val="0"/>
              <w:autoSpaceDN w:val="0"/>
              <w:adjustRightInd w:val="0"/>
              <w:spacing w:before="0" w:after="0"/>
              <w:ind w:left="0" w:right="0"/>
              <w:jc w:val="center"/>
              <w:rPr>
                <w:sz w:val="20"/>
                <w:szCs w:val="20"/>
              </w:rPr>
            </w:pPr>
            <w:r w:rsidRPr="00054F57">
              <w:rPr>
                <w:sz w:val="20"/>
                <w:szCs w:val="20"/>
              </w:rPr>
              <w:t>914</w:t>
            </w:r>
          </w:p>
        </w:tc>
      </w:tr>
      <w:tr w:rsidR="007757F1" w:rsidRPr="00054F57" w14:paraId="6FE427CF" w14:textId="77777777" w:rsidTr="009870DC">
        <w:trPr>
          <w:trHeight w:val="479"/>
        </w:trPr>
        <w:tc>
          <w:tcPr>
            <w:tcW w:w="1526" w:type="dxa"/>
          </w:tcPr>
          <w:p w14:paraId="7E03D780" w14:textId="77777777" w:rsidR="00225681" w:rsidRDefault="007757F1" w:rsidP="00480BCB">
            <w:pPr>
              <w:keepNext/>
              <w:spacing w:before="0" w:after="0"/>
              <w:rPr>
                <w:b/>
                <w:sz w:val="20"/>
                <w:szCs w:val="20"/>
              </w:rPr>
            </w:pPr>
            <w:r w:rsidRPr="00054F57">
              <w:rPr>
                <w:b/>
                <w:sz w:val="20"/>
                <w:szCs w:val="20"/>
              </w:rPr>
              <w:t>Subtotal</w:t>
            </w:r>
          </w:p>
          <w:p w14:paraId="746F37A4" w14:textId="77777777" w:rsidR="007757F1" w:rsidRPr="00054F57" w:rsidRDefault="000D0442" w:rsidP="00480BCB">
            <w:pPr>
              <w:keepNext/>
              <w:spacing w:before="0" w:after="0"/>
              <w:ind w:left="0" w:right="0"/>
              <w:rPr>
                <w:b/>
                <w:sz w:val="20"/>
                <w:szCs w:val="20"/>
              </w:rPr>
            </w:pPr>
            <w:r>
              <w:rPr>
                <w:b/>
                <w:sz w:val="20"/>
                <w:szCs w:val="20"/>
              </w:rPr>
              <w:t xml:space="preserve">Maintenance/long </w:t>
            </w:r>
            <w:r w:rsidR="007757F1" w:rsidRPr="00054F57">
              <w:rPr>
                <w:b/>
                <w:sz w:val="20"/>
                <w:szCs w:val="20"/>
              </w:rPr>
              <w:t>term</w:t>
            </w:r>
          </w:p>
        </w:tc>
        <w:tc>
          <w:tcPr>
            <w:tcW w:w="1276" w:type="dxa"/>
          </w:tcPr>
          <w:p w14:paraId="69B68F61" w14:textId="77777777" w:rsidR="007757F1" w:rsidRPr="00054F57" w:rsidRDefault="007757F1" w:rsidP="00480BCB">
            <w:pPr>
              <w:keepNext/>
              <w:autoSpaceDE w:val="0"/>
              <w:autoSpaceDN w:val="0"/>
              <w:adjustRightInd w:val="0"/>
              <w:spacing w:before="0" w:after="0"/>
              <w:ind w:left="0" w:right="0"/>
              <w:jc w:val="center"/>
              <w:rPr>
                <w:b/>
                <w:sz w:val="20"/>
                <w:szCs w:val="20"/>
              </w:rPr>
            </w:pPr>
            <w:r w:rsidRPr="00054F57">
              <w:rPr>
                <w:b/>
                <w:sz w:val="20"/>
                <w:szCs w:val="20"/>
              </w:rPr>
              <w:t>198</w:t>
            </w:r>
          </w:p>
        </w:tc>
        <w:tc>
          <w:tcPr>
            <w:tcW w:w="1275" w:type="dxa"/>
          </w:tcPr>
          <w:p w14:paraId="1BA75F5F" w14:textId="77777777" w:rsidR="007757F1" w:rsidRPr="00054F57" w:rsidRDefault="007757F1" w:rsidP="00480BCB">
            <w:pPr>
              <w:keepNext/>
              <w:autoSpaceDE w:val="0"/>
              <w:autoSpaceDN w:val="0"/>
              <w:adjustRightInd w:val="0"/>
              <w:spacing w:before="0" w:after="0"/>
              <w:ind w:left="0" w:right="0"/>
              <w:jc w:val="center"/>
              <w:rPr>
                <w:b/>
                <w:sz w:val="20"/>
                <w:szCs w:val="20"/>
              </w:rPr>
            </w:pPr>
            <w:r w:rsidRPr="00054F57">
              <w:rPr>
                <w:b/>
                <w:sz w:val="20"/>
                <w:szCs w:val="20"/>
              </w:rPr>
              <w:t>196</w:t>
            </w:r>
          </w:p>
        </w:tc>
        <w:tc>
          <w:tcPr>
            <w:tcW w:w="1276" w:type="dxa"/>
          </w:tcPr>
          <w:p w14:paraId="7F027EE6" w14:textId="77777777" w:rsidR="007757F1" w:rsidRPr="00054F57" w:rsidRDefault="007757F1" w:rsidP="00480BCB">
            <w:pPr>
              <w:keepNext/>
              <w:autoSpaceDE w:val="0"/>
              <w:autoSpaceDN w:val="0"/>
              <w:adjustRightInd w:val="0"/>
              <w:spacing w:before="0" w:after="0"/>
              <w:ind w:left="0" w:right="0"/>
              <w:jc w:val="center"/>
              <w:rPr>
                <w:b/>
                <w:sz w:val="20"/>
                <w:szCs w:val="20"/>
              </w:rPr>
            </w:pPr>
            <w:r w:rsidRPr="00054F57">
              <w:rPr>
                <w:b/>
                <w:sz w:val="20"/>
                <w:szCs w:val="20"/>
              </w:rPr>
              <w:t>0</w:t>
            </w:r>
          </w:p>
        </w:tc>
        <w:tc>
          <w:tcPr>
            <w:tcW w:w="709" w:type="dxa"/>
          </w:tcPr>
          <w:p w14:paraId="1DCB3106" w14:textId="77777777" w:rsidR="007757F1" w:rsidRPr="00054F57" w:rsidRDefault="007757F1" w:rsidP="00480BCB">
            <w:pPr>
              <w:keepNext/>
              <w:autoSpaceDE w:val="0"/>
              <w:autoSpaceDN w:val="0"/>
              <w:adjustRightInd w:val="0"/>
              <w:spacing w:before="0" w:after="0"/>
              <w:ind w:left="0" w:right="0"/>
              <w:jc w:val="center"/>
              <w:rPr>
                <w:b/>
                <w:sz w:val="20"/>
                <w:szCs w:val="20"/>
              </w:rPr>
            </w:pPr>
            <w:r w:rsidRPr="00054F57">
              <w:rPr>
                <w:b/>
                <w:sz w:val="20"/>
                <w:szCs w:val="20"/>
              </w:rPr>
              <w:t>198</w:t>
            </w:r>
          </w:p>
        </w:tc>
        <w:tc>
          <w:tcPr>
            <w:tcW w:w="1486" w:type="dxa"/>
          </w:tcPr>
          <w:p w14:paraId="17246336" w14:textId="77777777" w:rsidR="007757F1" w:rsidRPr="00054F57" w:rsidRDefault="007757F1" w:rsidP="00480BCB">
            <w:pPr>
              <w:keepNext/>
              <w:autoSpaceDE w:val="0"/>
              <w:autoSpaceDN w:val="0"/>
              <w:adjustRightInd w:val="0"/>
              <w:spacing w:before="0" w:after="0"/>
              <w:ind w:left="0" w:right="0"/>
              <w:jc w:val="center"/>
              <w:rPr>
                <w:b/>
                <w:sz w:val="20"/>
                <w:szCs w:val="20"/>
              </w:rPr>
            </w:pPr>
            <w:r w:rsidRPr="00054F57">
              <w:rPr>
                <w:b/>
                <w:sz w:val="20"/>
                <w:szCs w:val="20"/>
              </w:rPr>
              <w:t>914</w:t>
            </w:r>
          </w:p>
        </w:tc>
        <w:tc>
          <w:tcPr>
            <w:tcW w:w="1177" w:type="dxa"/>
          </w:tcPr>
          <w:p w14:paraId="69FED2A6" w14:textId="77777777" w:rsidR="007757F1" w:rsidRPr="00054F57" w:rsidRDefault="007757F1" w:rsidP="00480BCB">
            <w:pPr>
              <w:keepNext/>
              <w:autoSpaceDE w:val="0"/>
              <w:autoSpaceDN w:val="0"/>
              <w:adjustRightInd w:val="0"/>
              <w:spacing w:before="0" w:after="0"/>
              <w:ind w:left="0" w:right="0"/>
              <w:jc w:val="center"/>
              <w:rPr>
                <w:b/>
                <w:sz w:val="20"/>
                <w:szCs w:val="20"/>
              </w:rPr>
            </w:pPr>
            <w:r w:rsidRPr="00054F57">
              <w:rPr>
                <w:b/>
                <w:sz w:val="20"/>
                <w:szCs w:val="20"/>
              </w:rPr>
              <w:t>1506</w:t>
            </w:r>
          </w:p>
        </w:tc>
      </w:tr>
      <w:tr w:rsidR="007757F1" w:rsidRPr="00054F57" w14:paraId="504519DD" w14:textId="77777777" w:rsidTr="009870DC">
        <w:trPr>
          <w:trHeight w:val="479"/>
        </w:trPr>
        <w:tc>
          <w:tcPr>
            <w:tcW w:w="1526" w:type="dxa"/>
          </w:tcPr>
          <w:p w14:paraId="1ED8138E" w14:textId="77777777" w:rsidR="007757F1" w:rsidRPr="00054F57" w:rsidRDefault="000D0442" w:rsidP="00480BCB">
            <w:pPr>
              <w:keepNext/>
              <w:autoSpaceDE w:val="0"/>
              <w:autoSpaceDN w:val="0"/>
              <w:adjustRightInd w:val="0"/>
              <w:spacing w:before="0" w:after="0"/>
              <w:ind w:left="0" w:right="0"/>
              <w:rPr>
                <w:b/>
                <w:sz w:val="20"/>
                <w:szCs w:val="20"/>
              </w:rPr>
            </w:pPr>
            <w:r>
              <w:rPr>
                <w:b/>
                <w:sz w:val="20"/>
                <w:szCs w:val="20"/>
              </w:rPr>
              <w:t>Total</w:t>
            </w:r>
          </w:p>
        </w:tc>
        <w:tc>
          <w:tcPr>
            <w:tcW w:w="1276" w:type="dxa"/>
          </w:tcPr>
          <w:p w14:paraId="62730307" w14:textId="77777777" w:rsidR="007757F1" w:rsidRPr="00054F57" w:rsidRDefault="007757F1" w:rsidP="00480BCB">
            <w:pPr>
              <w:keepNext/>
              <w:autoSpaceDE w:val="0"/>
              <w:autoSpaceDN w:val="0"/>
              <w:adjustRightInd w:val="0"/>
              <w:spacing w:before="0" w:after="0"/>
              <w:ind w:left="0" w:right="0"/>
              <w:jc w:val="center"/>
              <w:rPr>
                <w:b/>
                <w:sz w:val="20"/>
                <w:szCs w:val="20"/>
              </w:rPr>
            </w:pPr>
            <w:r w:rsidRPr="00054F57">
              <w:rPr>
                <w:b/>
                <w:sz w:val="20"/>
                <w:szCs w:val="20"/>
              </w:rPr>
              <w:t>198</w:t>
            </w:r>
          </w:p>
        </w:tc>
        <w:tc>
          <w:tcPr>
            <w:tcW w:w="1275" w:type="dxa"/>
          </w:tcPr>
          <w:p w14:paraId="71481894" w14:textId="77777777" w:rsidR="007757F1" w:rsidRPr="00054F57" w:rsidRDefault="007757F1" w:rsidP="00480BCB">
            <w:pPr>
              <w:keepNext/>
              <w:autoSpaceDE w:val="0"/>
              <w:autoSpaceDN w:val="0"/>
              <w:adjustRightInd w:val="0"/>
              <w:spacing w:before="0" w:after="0"/>
              <w:ind w:left="0" w:right="0"/>
              <w:jc w:val="center"/>
              <w:rPr>
                <w:b/>
                <w:sz w:val="20"/>
                <w:szCs w:val="20"/>
              </w:rPr>
            </w:pPr>
            <w:r w:rsidRPr="00054F57">
              <w:rPr>
                <w:b/>
                <w:sz w:val="20"/>
                <w:szCs w:val="20"/>
              </w:rPr>
              <w:t>1134</w:t>
            </w:r>
          </w:p>
        </w:tc>
        <w:tc>
          <w:tcPr>
            <w:tcW w:w="1276" w:type="dxa"/>
          </w:tcPr>
          <w:p w14:paraId="75E3DB53" w14:textId="77777777" w:rsidR="007757F1" w:rsidRPr="00054F57" w:rsidRDefault="007757F1" w:rsidP="00480BCB">
            <w:pPr>
              <w:keepNext/>
              <w:autoSpaceDE w:val="0"/>
              <w:autoSpaceDN w:val="0"/>
              <w:adjustRightInd w:val="0"/>
              <w:spacing w:before="0" w:after="0"/>
              <w:ind w:left="0" w:right="0"/>
              <w:jc w:val="center"/>
              <w:rPr>
                <w:b/>
                <w:sz w:val="20"/>
                <w:szCs w:val="20"/>
              </w:rPr>
            </w:pPr>
            <w:r w:rsidRPr="00054F57">
              <w:rPr>
                <w:b/>
                <w:sz w:val="20"/>
                <w:szCs w:val="20"/>
              </w:rPr>
              <w:t>71</w:t>
            </w:r>
          </w:p>
        </w:tc>
        <w:tc>
          <w:tcPr>
            <w:tcW w:w="709" w:type="dxa"/>
          </w:tcPr>
          <w:p w14:paraId="4161FF34" w14:textId="77777777" w:rsidR="007757F1" w:rsidRPr="00054F57" w:rsidRDefault="007757F1" w:rsidP="00480BCB">
            <w:pPr>
              <w:keepNext/>
              <w:autoSpaceDE w:val="0"/>
              <w:autoSpaceDN w:val="0"/>
              <w:adjustRightInd w:val="0"/>
              <w:spacing w:before="0" w:after="0"/>
              <w:ind w:left="0" w:right="0"/>
              <w:jc w:val="center"/>
              <w:rPr>
                <w:b/>
                <w:sz w:val="20"/>
                <w:szCs w:val="20"/>
              </w:rPr>
            </w:pPr>
            <w:r w:rsidRPr="00054F57">
              <w:rPr>
                <w:b/>
                <w:sz w:val="20"/>
                <w:szCs w:val="20"/>
              </w:rPr>
              <w:t>480</w:t>
            </w:r>
          </w:p>
        </w:tc>
        <w:tc>
          <w:tcPr>
            <w:tcW w:w="1486" w:type="dxa"/>
          </w:tcPr>
          <w:p w14:paraId="67885810" w14:textId="77777777" w:rsidR="007757F1" w:rsidRPr="00054F57" w:rsidRDefault="007757F1" w:rsidP="00480BCB">
            <w:pPr>
              <w:keepNext/>
              <w:autoSpaceDE w:val="0"/>
              <w:autoSpaceDN w:val="0"/>
              <w:adjustRightInd w:val="0"/>
              <w:spacing w:before="0" w:after="0"/>
              <w:ind w:left="0" w:right="0"/>
              <w:jc w:val="center"/>
              <w:rPr>
                <w:b/>
                <w:sz w:val="20"/>
                <w:szCs w:val="20"/>
              </w:rPr>
            </w:pPr>
            <w:r w:rsidRPr="00054F57">
              <w:rPr>
                <w:b/>
                <w:sz w:val="20"/>
                <w:szCs w:val="20"/>
              </w:rPr>
              <w:t>914</w:t>
            </w:r>
          </w:p>
        </w:tc>
        <w:tc>
          <w:tcPr>
            <w:tcW w:w="1177" w:type="dxa"/>
          </w:tcPr>
          <w:p w14:paraId="74A74669" w14:textId="77777777" w:rsidR="007757F1" w:rsidRPr="00054F57" w:rsidRDefault="007757F1" w:rsidP="00480BCB">
            <w:pPr>
              <w:keepNext/>
              <w:autoSpaceDE w:val="0"/>
              <w:autoSpaceDN w:val="0"/>
              <w:adjustRightInd w:val="0"/>
              <w:spacing w:before="0" w:after="0"/>
              <w:ind w:left="0" w:right="0"/>
              <w:jc w:val="center"/>
              <w:rPr>
                <w:b/>
                <w:sz w:val="20"/>
                <w:szCs w:val="20"/>
              </w:rPr>
            </w:pPr>
            <w:r w:rsidRPr="00054F57">
              <w:rPr>
                <w:b/>
                <w:sz w:val="20"/>
                <w:szCs w:val="20"/>
              </w:rPr>
              <w:t>2861*</w:t>
            </w:r>
          </w:p>
        </w:tc>
      </w:tr>
    </w:tbl>
    <w:p w14:paraId="05FE0689" w14:textId="2CAACD69" w:rsidR="007757F1" w:rsidRDefault="007757F1" w:rsidP="00670068">
      <w:pPr>
        <w:pStyle w:val="TableDescription"/>
      </w:pPr>
      <w:r w:rsidRPr="00D57DB9">
        <w:t xml:space="preserve">* Includes 64 subjects who received 0.5 mg (n = 31) </w:t>
      </w:r>
      <w:proofErr w:type="spellStart"/>
      <w:r w:rsidRPr="00D57DB9">
        <w:t>tofacitinib</w:t>
      </w:r>
      <w:proofErr w:type="spellEnd"/>
      <w:r w:rsidRPr="00D57DB9">
        <w:t xml:space="preserve"> and 3 mg (n = 33) </w:t>
      </w:r>
      <w:proofErr w:type="spellStart"/>
      <w:r w:rsidRPr="00D57DB9">
        <w:t>tofacitinib</w:t>
      </w:r>
      <w:proofErr w:type="spellEnd"/>
      <w:r w:rsidRPr="00D57DB9">
        <w:t xml:space="preserve"> in </w:t>
      </w:r>
      <w:r w:rsidR="00416AC1">
        <w:t>Study </w:t>
      </w:r>
      <w:r>
        <w:t>A</w:t>
      </w:r>
      <w:r w:rsidRPr="00D57DB9">
        <w:t>3921063</w:t>
      </w:r>
      <w:r w:rsidR="00054F57">
        <w:t xml:space="preserve">. </w:t>
      </w:r>
      <w:r>
        <w:t>** Dose adjustments were allowed after 8 weeks of study treatment</w:t>
      </w:r>
    </w:p>
    <w:p w14:paraId="7D4D61AD" w14:textId="77777777" w:rsidR="005F7896" w:rsidRDefault="007757F1" w:rsidP="000D0442">
      <w:r>
        <w:t>In the combined clinical studies of the UC clinical development program</w:t>
      </w:r>
      <w:r w:rsidR="005742E4">
        <w:t xml:space="preserve">, </w:t>
      </w:r>
      <w:r w:rsidRPr="00FC06A7">
        <w:t>1157 subjects received at least 1 dose of</w:t>
      </w:r>
      <w:r>
        <w:t xml:space="preserve"> </w:t>
      </w:r>
      <w:proofErr w:type="spellStart"/>
      <w:r w:rsidRPr="00FC06A7">
        <w:t>tofacitinib</w:t>
      </w:r>
      <w:proofErr w:type="spellEnd"/>
      <w:r w:rsidRPr="00FC06A7">
        <w:t xml:space="preserve"> 5 mg BID or 10 mg BID, with 762 subjects exposed to </w:t>
      </w:r>
      <w:proofErr w:type="spellStart"/>
      <w:r w:rsidRPr="00FC06A7">
        <w:t>tofacitinib</w:t>
      </w:r>
      <w:proofErr w:type="spellEnd"/>
      <w:r w:rsidRPr="00FC06A7">
        <w:t xml:space="preserve"> for at least</w:t>
      </w:r>
      <w:r>
        <w:t xml:space="preserve"> </w:t>
      </w:r>
      <w:r w:rsidRPr="00FC06A7">
        <w:t>6 months, and 653 subjects exposed for at least 12 months</w:t>
      </w:r>
      <w:r w:rsidR="005F7896">
        <w:t>.</w:t>
      </w:r>
    </w:p>
    <w:p w14:paraId="1CA9149F" w14:textId="3F6AAAA7" w:rsidR="007757F1" w:rsidRDefault="007757F1" w:rsidP="000D0442">
      <w:r w:rsidRPr="00FC06A7">
        <w:t>In total, the UC program</w:t>
      </w:r>
      <w:r>
        <w:t xml:space="preserve"> encompassed</w:t>
      </w:r>
      <w:r w:rsidRPr="00FC06A7">
        <w:t xml:space="preserve"> 1613 </w:t>
      </w:r>
      <w:r w:rsidR="00670863">
        <w:t>patient years</w:t>
      </w:r>
      <w:r w:rsidRPr="00FC06A7">
        <w:t xml:space="preserve"> of exposure to </w:t>
      </w:r>
      <w:proofErr w:type="spellStart"/>
      <w:r w:rsidRPr="00FC06A7">
        <w:t>tofacitinib</w:t>
      </w:r>
      <w:proofErr w:type="spellEnd"/>
      <w:r>
        <w:t xml:space="preserve"> (</w:t>
      </w:r>
      <w:r w:rsidR="005F4107">
        <w:fldChar w:fldCharType="begin"/>
      </w:r>
      <w:r w:rsidR="005F4107">
        <w:instrText xml:space="preserve"> REF _Ref15026696 \h </w:instrText>
      </w:r>
      <w:r w:rsidR="005F4107">
        <w:fldChar w:fldCharType="separate"/>
      </w:r>
      <w:r w:rsidR="005F4107">
        <w:t>Table</w:t>
      </w:r>
      <w:r w:rsidR="00416AC1">
        <w:t> </w:t>
      </w:r>
      <w:r w:rsidR="005F4107">
        <w:rPr>
          <w:noProof/>
        </w:rPr>
        <w:t>4</w:t>
      </w:r>
      <w:r w:rsidR="005F4107">
        <w:fldChar w:fldCharType="end"/>
      </w:r>
      <w:r>
        <w:t>)</w:t>
      </w:r>
      <w:r w:rsidRPr="00FC06A7">
        <w:t>, with up to 4.4 years of</w:t>
      </w:r>
      <w:r>
        <w:t xml:space="preserve"> </w:t>
      </w:r>
      <w:proofErr w:type="spellStart"/>
      <w:r>
        <w:t>tofacitinib</w:t>
      </w:r>
      <w:proofErr w:type="spellEnd"/>
      <w:r>
        <w:t xml:space="preserve"> treatment.</w:t>
      </w:r>
    </w:p>
    <w:p w14:paraId="1D88EB76" w14:textId="77777777" w:rsidR="007757F1" w:rsidRPr="002B6088" w:rsidRDefault="005F4107" w:rsidP="005F4107">
      <w:pPr>
        <w:pStyle w:val="TableTitle"/>
      </w:pPr>
      <w:bookmarkStart w:id="109" w:name="_Ref15026696"/>
      <w:r>
        <w:lastRenderedPageBreak/>
        <w:t xml:space="preserve">Table </w:t>
      </w:r>
      <w:r w:rsidR="009870DC">
        <w:fldChar w:fldCharType="begin"/>
      </w:r>
      <w:r w:rsidR="009870DC">
        <w:instrText xml:space="preserve"> SE</w:instrText>
      </w:r>
      <w:r w:rsidR="009870DC">
        <w:instrText xml:space="preserve">Q Table \* ARABIC </w:instrText>
      </w:r>
      <w:r w:rsidR="009870DC">
        <w:fldChar w:fldCharType="separate"/>
      </w:r>
      <w:r w:rsidR="004E5B1B">
        <w:rPr>
          <w:noProof/>
        </w:rPr>
        <w:t>4</w:t>
      </w:r>
      <w:r w:rsidR="009870DC">
        <w:rPr>
          <w:noProof/>
        </w:rPr>
        <w:fldChar w:fldCharType="end"/>
      </w:r>
      <w:bookmarkEnd w:id="109"/>
      <w:r w:rsidR="007757F1" w:rsidRPr="002B6088">
        <w:t xml:space="preserve">: Exposure of </w:t>
      </w:r>
      <w:proofErr w:type="spellStart"/>
      <w:r w:rsidR="007757F1" w:rsidRPr="002B6088">
        <w:t>tofacitinib</w:t>
      </w:r>
      <w:proofErr w:type="spellEnd"/>
      <w:r w:rsidR="007757F1" w:rsidRPr="002B6088">
        <w:t xml:space="preserve"> across the five clinical trials in the UC clinical development program by duration and predominant dose (5 mg or 10 mg)</w:t>
      </w:r>
    </w:p>
    <w:p w14:paraId="28BDBD39" w14:textId="77777777" w:rsidR="007757F1" w:rsidRDefault="007757F1" w:rsidP="007757F1">
      <w:pPr>
        <w:rPr>
          <w:rFonts w:eastAsia="TimesNewRoman" w:cs="TimesNewRoman"/>
        </w:rPr>
      </w:pPr>
      <w:r>
        <w:rPr>
          <w:noProof/>
          <w:lang w:eastAsia="en-AU"/>
        </w:rPr>
        <w:drawing>
          <wp:inline distT="0" distB="0" distL="0" distR="0" wp14:anchorId="62E9617C" wp14:editId="2E4DB208">
            <wp:extent cx="4345228" cy="2553004"/>
            <wp:effectExtent l="0" t="0" r="0" b="0"/>
            <wp:docPr id="31" name="Picture 31" descr="Exposure of tofacitinib across the five clinical trials in the UC clinical development program by duration and predominant dose (5 mg or 1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47272" cy="2554205"/>
                    </a:xfrm>
                    <a:prstGeom prst="rect">
                      <a:avLst/>
                    </a:prstGeom>
                  </pic:spPr>
                </pic:pic>
              </a:graphicData>
            </a:graphic>
          </wp:inline>
        </w:drawing>
      </w:r>
    </w:p>
    <w:p w14:paraId="121105C2" w14:textId="77777777" w:rsidR="00605AD4" w:rsidRPr="000D0442" w:rsidRDefault="00605AD4" w:rsidP="000D0442">
      <w:pPr>
        <w:pStyle w:val="Heading4"/>
      </w:pPr>
      <w:r w:rsidRPr="000D0442">
        <w:t>Safety issues with the potential for major regulatory impact</w:t>
      </w:r>
    </w:p>
    <w:p w14:paraId="321692FB" w14:textId="77777777" w:rsidR="007757F1" w:rsidRDefault="007757F1" w:rsidP="000D0442">
      <w:pPr>
        <w:pStyle w:val="Heading5"/>
      </w:pPr>
      <w:r>
        <w:t>Adverse events of special interest</w:t>
      </w:r>
    </w:p>
    <w:p w14:paraId="2711872B" w14:textId="77777777" w:rsidR="007757F1" w:rsidRDefault="007757F1" w:rsidP="000D0442">
      <w:pPr>
        <w:pStyle w:val="Heading6"/>
      </w:pPr>
      <w:r>
        <w:t>Infection adverse effects</w:t>
      </w:r>
    </w:p>
    <w:p w14:paraId="667B4A3F" w14:textId="77777777" w:rsidR="007757F1" w:rsidRPr="007E47AA" w:rsidRDefault="007757F1" w:rsidP="000D0442">
      <w:pPr>
        <w:pStyle w:val="Heading7"/>
        <w:rPr>
          <w:lang w:eastAsia="ja-JP"/>
        </w:rPr>
      </w:pPr>
      <w:r w:rsidRPr="007E47AA">
        <w:rPr>
          <w:lang w:eastAsia="ja-JP"/>
        </w:rPr>
        <w:t>Induction</w:t>
      </w:r>
    </w:p>
    <w:p w14:paraId="22DC339F" w14:textId="77777777" w:rsidR="007757F1" w:rsidRDefault="007757F1" w:rsidP="000D0442">
      <w:pPr>
        <w:rPr>
          <w:lang w:eastAsia="ja-JP"/>
        </w:rPr>
      </w:pPr>
      <w:r w:rsidRPr="005A0941">
        <w:rPr>
          <w:lang w:eastAsia="ja-JP"/>
        </w:rPr>
        <w:t>In Study A3921094</w:t>
      </w:r>
      <w:r>
        <w:rPr>
          <w:lang w:eastAsia="ja-JP"/>
        </w:rPr>
        <w:t xml:space="preserve">, more subjects in the </w:t>
      </w:r>
      <w:proofErr w:type="spellStart"/>
      <w:r>
        <w:rPr>
          <w:lang w:eastAsia="ja-JP"/>
        </w:rPr>
        <w:t>tofacitinib</w:t>
      </w:r>
      <w:proofErr w:type="spellEnd"/>
      <w:r>
        <w:rPr>
          <w:lang w:eastAsia="ja-JP"/>
        </w:rPr>
        <w:t xml:space="preserve"> 10 mg BID treatment group experienced infection AEs (23.3%, n = 111) compared with placebo treated subjects (15.6%, n = 19). No placebo subject experienced a serious infection, severe AE or discontinued due to infection AEs. In contrast 6 (1.3%) </w:t>
      </w:r>
      <w:proofErr w:type="spellStart"/>
      <w:r>
        <w:rPr>
          <w:lang w:eastAsia="ja-JP"/>
        </w:rPr>
        <w:t>tofacitinib</w:t>
      </w:r>
      <w:proofErr w:type="spellEnd"/>
      <w:r>
        <w:rPr>
          <w:lang w:eastAsia="ja-JP"/>
        </w:rPr>
        <w:t xml:space="preserve"> 10 mg treated subjects had SAEs, 3 (0.6%) had severe AEs and 3 (0.6%) discontinued the stu</w:t>
      </w:r>
      <w:r w:rsidR="00670068">
        <w:rPr>
          <w:lang w:eastAsia="ja-JP"/>
        </w:rPr>
        <w:t xml:space="preserve">dy permanently due to infection </w:t>
      </w:r>
      <w:r>
        <w:rPr>
          <w:lang w:eastAsia="ja-JP"/>
        </w:rPr>
        <w:t>related AEs.</w:t>
      </w:r>
    </w:p>
    <w:p w14:paraId="74B52157" w14:textId="77777777" w:rsidR="007757F1" w:rsidRPr="00157466" w:rsidRDefault="007757F1" w:rsidP="000D0442">
      <w:pPr>
        <w:rPr>
          <w:lang w:eastAsia="ja-JP"/>
        </w:rPr>
      </w:pPr>
      <w:r>
        <w:rPr>
          <w:rFonts w:eastAsiaTheme="minorHAnsi" w:cs="TimesNewRoman"/>
          <w:color w:val="000000"/>
        </w:rPr>
        <w:t xml:space="preserve">Of the 6 serious infections, 2 </w:t>
      </w:r>
      <w:r w:rsidRPr="00157466">
        <w:rPr>
          <w:rFonts w:eastAsiaTheme="minorHAnsi" w:cs="TimesNewRoman"/>
          <w:color w:val="000000"/>
        </w:rPr>
        <w:t xml:space="preserve">subjects experienced </w:t>
      </w:r>
      <w:r>
        <w:rPr>
          <w:rFonts w:eastAsiaTheme="minorHAnsi" w:cs="TimesNewRoman"/>
          <w:color w:val="000000"/>
        </w:rPr>
        <w:t xml:space="preserve">severe </w:t>
      </w:r>
      <w:r w:rsidRPr="00157466">
        <w:rPr>
          <w:rFonts w:eastAsiaTheme="minorHAnsi" w:cs="TimesNewRoman"/>
          <w:color w:val="000000"/>
        </w:rPr>
        <w:t xml:space="preserve">cellulitis and </w:t>
      </w:r>
      <w:r w:rsidRPr="00157466">
        <w:rPr>
          <w:rFonts w:eastAsiaTheme="minorHAnsi" w:cs="TimesNewRoman,Italic"/>
          <w:i/>
          <w:iCs/>
          <w:color w:val="000000"/>
        </w:rPr>
        <w:t xml:space="preserve">C. difficile </w:t>
      </w:r>
      <w:r w:rsidRPr="00157466">
        <w:rPr>
          <w:rFonts w:eastAsiaTheme="minorHAnsi" w:cs="TimesNewRoman"/>
          <w:color w:val="000000"/>
        </w:rPr>
        <w:t>infection, post</w:t>
      </w:r>
      <w:r>
        <w:rPr>
          <w:rFonts w:eastAsiaTheme="minorHAnsi" w:cs="TimesNewRoman"/>
          <w:color w:val="000000"/>
        </w:rPr>
        <w:t xml:space="preserve"> treatment; 3</w:t>
      </w:r>
      <w:r w:rsidRPr="00157466">
        <w:rPr>
          <w:rFonts w:eastAsiaTheme="minorHAnsi" w:cs="TimesNewRoman"/>
          <w:color w:val="000000"/>
        </w:rPr>
        <w:t xml:space="preserve"> subjects discontinued the study due to anal abscess, </w:t>
      </w:r>
      <w:r>
        <w:rPr>
          <w:rFonts w:eastAsiaTheme="minorHAnsi" w:cs="TimesNewRoman"/>
          <w:color w:val="000000"/>
        </w:rPr>
        <w:t xml:space="preserve">severe </w:t>
      </w:r>
      <w:r w:rsidRPr="00157466">
        <w:rPr>
          <w:rFonts w:eastAsiaTheme="minorHAnsi" w:cs="TimesNewRoman"/>
          <w:color w:val="000000"/>
        </w:rPr>
        <w:t>febrile infection and pneumonia;</w:t>
      </w:r>
      <w:r>
        <w:rPr>
          <w:rFonts w:eastAsiaTheme="minorHAnsi" w:cs="TimesNewRoman"/>
          <w:color w:val="000000"/>
        </w:rPr>
        <w:t xml:space="preserve"> </w:t>
      </w:r>
      <w:r w:rsidRPr="00157466">
        <w:rPr>
          <w:rFonts w:eastAsiaTheme="minorHAnsi" w:cs="TimesNewRoman"/>
          <w:color w:val="000000"/>
        </w:rPr>
        <w:t xml:space="preserve">and </w:t>
      </w:r>
      <w:r>
        <w:rPr>
          <w:rFonts w:eastAsiaTheme="minorHAnsi" w:cs="TimesNewRoman"/>
          <w:color w:val="000000"/>
        </w:rPr>
        <w:t>1</w:t>
      </w:r>
      <w:r w:rsidRPr="00157466">
        <w:rPr>
          <w:rFonts w:eastAsiaTheme="minorHAnsi" w:cs="TimesNewRoman"/>
          <w:color w:val="000000"/>
        </w:rPr>
        <w:t xml:space="preserve"> subject </w:t>
      </w:r>
      <w:r>
        <w:rPr>
          <w:rFonts w:eastAsiaTheme="minorHAnsi" w:cs="TimesNewRoman"/>
          <w:color w:val="000000"/>
        </w:rPr>
        <w:t>continued the study with a severe</w:t>
      </w:r>
      <w:r w:rsidRPr="00157466">
        <w:rPr>
          <w:rFonts w:eastAsiaTheme="minorHAnsi" w:cs="TimesNewRoman"/>
          <w:color w:val="000000"/>
        </w:rPr>
        <w:t xml:space="preserve"> otitis extern</w:t>
      </w:r>
      <w:r>
        <w:rPr>
          <w:rFonts w:eastAsiaTheme="minorHAnsi" w:cs="TimesNewRoman"/>
          <w:color w:val="000000"/>
        </w:rPr>
        <w:t>a infection.</w:t>
      </w:r>
    </w:p>
    <w:p w14:paraId="63CD0ADA" w14:textId="77777777" w:rsidR="007757F1" w:rsidRDefault="00670068" w:rsidP="000D0442">
      <w:pPr>
        <w:rPr>
          <w:lang w:eastAsia="ja-JP"/>
        </w:rPr>
      </w:pPr>
      <w:r>
        <w:rPr>
          <w:lang w:eastAsia="ja-JP"/>
        </w:rPr>
        <w:t xml:space="preserve">Treatment </w:t>
      </w:r>
      <w:r w:rsidR="007757F1">
        <w:rPr>
          <w:lang w:eastAsia="ja-JP"/>
        </w:rPr>
        <w:t xml:space="preserve">related infection AEs occurred in 9.7% (n = 46) of </w:t>
      </w:r>
      <w:proofErr w:type="spellStart"/>
      <w:r w:rsidR="007757F1">
        <w:rPr>
          <w:lang w:eastAsia="ja-JP"/>
        </w:rPr>
        <w:t>tofacitinib</w:t>
      </w:r>
      <w:proofErr w:type="spellEnd"/>
      <w:r w:rsidR="007757F1">
        <w:rPr>
          <w:lang w:eastAsia="ja-JP"/>
        </w:rPr>
        <w:t xml:space="preserve"> treated subjects compared with 4.9% (n = 6) of placebo treated subjects. Two (0.4%) </w:t>
      </w:r>
      <w:proofErr w:type="spellStart"/>
      <w:r w:rsidR="007757F1">
        <w:rPr>
          <w:lang w:eastAsia="ja-JP"/>
        </w:rPr>
        <w:t>tofacitinib</w:t>
      </w:r>
      <w:proofErr w:type="spellEnd"/>
      <w:r w:rsidR="007757F1">
        <w:rPr>
          <w:lang w:eastAsia="ja-JP"/>
        </w:rPr>
        <w:t xml:space="preserve"> 10 mg treated subjects had SAEs, 1 (0.2%) had severe febrile infection and 2 (0.4%; febrile infection and pneumonia) discontinued the stu</w:t>
      </w:r>
      <w:r w:rsidR="00457FB2">
        <w:rPr>
          <w:lang w:eastAsia="ja-JP"/>
        </w:rPr>
        <w:t xml:space="preserve">dy permanently due to infection </w:t>
      </w:r>
      <w:r w:rsidR="007757F1">
        <w:rPr>
          <w:lang w:eastAsia="ja-JP"/>
        </w:rPr>
        <w:t>related AEs.</w:t>
      </w:r>
    </w:p>
    <w:p w14:paraId="4C263DF6" w14:textId="77777777" w:rsidR="007757F1" w:rsidRDefault="007757F1" w:rsidP="000D0442">
      <w:pPr>
        <w:rPr>
          <w:lang w:eastAsia="ja-JP"/>
        </w:rPr>
      </w:pPr>
      <w:r>
        <w:rPr>
          <w:lang w:eastAsia="ja-JP"/>
        </w:rPr>
        <w:t xml:space="preserve">In the </w:t>
      </w:r>
      <w:proofErr w:type="spellStart"/>
      <w:r>
        <w:rPr>
          <w:lang w:eastAsia="ja-JP"/>
        </w:rPr>
        <w:t>tofacitinib</w:t>
      </w:r>
      <w:proofErr w:type="spellEnd"/>
      <w:r>
        <w:rPr>
          <w:lang w:eastAsia="ja-JP"/>
        </w:rPr>
        <w:t xml:space="preserve"> 15 mg treated group, 1 (16.7%) subject experienced an infection AE (vulvovaginal candidiasis), but no subject</w:t>
      </w:r>
      <w:r w:rsidR="00457FB2">
        <w:rPr>
          <w:lang w:eastAsia="ja-JP"/>
        </w:rPr>
        <w:t xml:space="preserve"> had an infection </w:t>
      </w:r>
      <w:r>
        <w:rPr>
          <w:lang w:eastAsia="ja-JP"/>
        </w:rPr>
        <w:t>related SAE, severe AE or d</w:t>
      </w:r>
      <w:r w:rsidR="00457FB2">
        <w:rPr>
          <w:lang w:eastAsia="ja-JP"/>
        </w:rPr>
        <w:t xml:space="preserve">iscontinued due to an infection </w:t>
      </w:r>
      <w:r>
        <w:rPr>
          <w:lang w:eastAsia="ja-JP"/>
        </w:rPr>
        <w:t>related AE.</w:t>
      </w:r>
    </w:p>
    <w:p w14:paraId="7223EE5D" w14:textId="77777777" w:rsidR="007757F1" w:rsidRDefault="007757F1" w:rsidP="000D0442">
      <w:pPr>
        <w:rPr>
          <w:rFonts w:eastAsiaTheme="minorHAnsi" w:cs="TimesNewRoman"/>
        </w:rPr>
      </w:pPr>
      <w:r w:rsidRPr="00B242AA">
        <w:rPr>
          <w:lang w:eastAsia="ja-JP"/>
        </w:rPr>
        <w:t>In Study A3921095</w:t>
      </w:r>
      <w:r>
        <w:rPr>
          <w:lang w:eastAsia="ja-JP"/>
        </w:rPr>
        <w:t>, m</w:t>
      </w:r>
      <w:r w:rsidRPr="002248D4">
        <w:rPr>
          <w:rFonts w:eastAsiaTheme="minorHAnsi" w:cs="TimesNewRoman"/>
        </w:rPr>
        <w:t xml:space="preserve">ore subjects in the </w:t>
      </w:r>
      <w:proofErr w:type="spellStart"/>
      <w:r w:rsidRPr="002248D4">
        <w:rPr>
          <w:rFonts w:eastAsiaTheme="minorHAnsi" w:cs="TimesNewRoman"/>
        </w:rPr>
        <w:t>tofacitinib</w:t>
      </w:r>
      <w:proofErr w:type="spellEnd"/>
      <w:r w:rsidRPr="002248D4">
        <w:rPr>
          <w:rFonts w:eastAsiaTheme="minorHAnsi" w:cs="TimesNewRoman"/>
        </w:rPr>
        <w:t xml:space="preserve"> 10 mg BID treatment group experienced infection AEs (78 subjects, 18.2%) compared with placebo (17 subjects, 15.2%). One subject (0.2%) in the </w:t>
      </w:r>
      <w:proofErr w:type="spellStart"/>
      <w:r w:rsidRPr="002248D4">
        <w:rPr>
          <w:rFonts w:eastAsiaTheme="minorHAnsi" w:cs="TimesNewRoman"/>
        </w:rPr>
        <w:t>tofacitinib</w:t>
      </w:r>
      <w:proofErr w:type="spellEnd"/>
      <w:r w:rsidRPr="002248D4">
        <w:rPr>
          <w:rFonts w:eastAsiaTheme="minorHAnsi" w:cs="TimesNewRoman"/>
        </w:rPr>
        <w:t xml:space="preserve"> 10 mg BID group experienced an infection SAE, </w:t>
      </w:r>
      <w:r>
        <w:rPr>
          <w:rFonts w:eastAsiaTheme="minorHAnsi" w:cs="TimesNewRoman"/>
        </w:rPr>
        <w:t>1</w:t>
      </w:r>
      <w:r w:rsidRPr="002248D4">
        <w:rPr>
          <w:rFonts w:eastAsiaTheme="minorHAnsi" w:cs="TimesNewRoman"/>
        </w:rPr>
        <w:t xml:space="preserve"> </w:t>
      </w:r>
      <w:r>
        <w:rPr>
          <w:rFonts w:eastAsiaTheme="minorHAnsi" w:cs="TimesNewRoman"/>
        </w:rPr>
        <w:t xml:space="preserve">subject </w:t>
      </w:r>
      <w:r w:rsidRPr="002248D4">
        <w:rPr>
          <w:rFonts w:eastAsiaTheme="minorHAnsi" w:cs="TimesNewRoman"/>
        </w:rPr>
        <w:t xml:space="preserve">had a severe AE and </w:t>
      </w:r>
      <w:r>
        <w:rPr>
          <w:rFonts w:eastAsiaTheme="minorHAnsi" w:cs="TimesNewRoman"/>
        </w:rPr>
        <w:t>1</w:t>
      </w:r>
      <w:r w:rsidRPr="002248D4">
        <w:rPr>
          <w:rFonts w:eastAsiaTheme="minorHAnsi" w:cs="TimesNewRoman"/>
        </w:rPr>
        <w:t xml:space="preserve"> subject d</w:t>
      </w:r>
      <w:r w:rsidR="00457FB2">
        <w:rPr>
          <w:rFonts w:eastAsiaTheme="minorHAnsi" w:cs="TimesNewRoman"/>
        </w:rPr>
        <w:t xml:space="preserve">iscontinued due to an infection </w:t>
      </w:r>
      <w:r w:rsidRPr="002248D4">
        <w:rPr>
          <w:rFonts w:eastAsiaTheme="minorHAnsi" w:cs="TimesNewRoman"/>
        </w:rPr>
        <w:t xml:space="preserve">related AE, compared with none in </w:t>
      </w:r>
      <w:r>
        <w:rPr>
          <w:rFonts w:eastAsiaTheme="minorHAnsi" w:cs="TimesNewRoman"/>
        </w:rPr>
        <w:t>each</w:t>
      </w:r>
      <w:r w:rsidRPr="002248D4">
        <w:rPr>
          <w:rFonts w:eastAsiaTheme="minorHAnsi" w:cs="TimesNewRoman"/>
        </w:rPr>
        <w:t xml:space="preserve"> corresponding </w:t>
      </w:r>
      <w:r>
        <w:rPr>
          <w:rFonts w:eastAsiaTheme="minorHAnsi" w:cs="TimesNewRoman"/>
        </w:rPr>
        <w:t xml:space="preserve">category for subjects in the </w:t>
      </w:r>
      <w:r w:rsidRPr="002248D4">
        <w:rPr>
          <w:rFonts w:eastAsiaTheme="minorHAnsi" w:cs="TimesNewRoman"/>
        </w:rPr>
        <w:t>placebo group.</w:t>
      </w:r>
    </w:p>
    <w:p w14:paraId="677C6A7B" w14:textId="77777777" w:rsidR="007757F1" w:rsidRPr="00675433" w:rsidRDefault="007757F1" w:rsidP="000D0442">
      <w:pPr>
        <w:rPr>
          <w:lang w:eastAsia="ja-JP"/>
        </w:rPr>
      </w:pPr>
      <w:r w:rsidRPr="00675433">
        <w:rPr>
          <w:rFonts w:eastAsiaTheme="minorHAnsi" w:cs="TimesNewRoman"/>
        </w:rPr>
        <w:t>The most frequent (</w:t>
      </w:r>
      <w:r>
        <w:rPr>
          <w:rFonts w:eastAsiaTheme="minorHAnsi" w:cs="Symbol"/>
        </w:rPr>
        <w:t xml:space="preserve">≥ </w:t>
      </w:r>
      <w:r w:rsidRPr="00675433">
        <w:rPr>
          <w:rFonts w:eastAsiaTheme="minorHAnsi" w:cs="TimesNewRoman"/>
        </w:rPr>
        <w:t xml:space="preserve">2% in either group) infection AEs were </w:t>
      </w:r>
      <w:proofErr w:type="spellStart"/>
      <w:r w:rsidRPr="00675433">
        <w:rPr>
          <w:rFonts w:eastAsiaTheme="minorHAnsi" w:cs="TimesNewRoman"/>
        </w:rPr>
        <w:t>nasopharyngitis</w:t>
      </w:r>
      <w:proofErr w:type="spellEnd"/>
      <w:r w:rsidRPr="00675433">
        <w:rPr>
          <w:rFonts w:eastAsiaTheme="minorHAnsi" w:cs="TimesNewRoman"/>
        </w:rPr>
        <w:t xml:space="preserve"> (</w:t>
      </w:r>
      <w:proofErr w:type="spellStart"/>
      <w:r w:rsidRPr="00675433">
        <w:rPr>
          <w:rFonts w:eastAsiaTheme="minorHAnsi" w:cs="TimesNewRoman"/>
        </w:rPr>
        <w:t>tofacitinib</w:t>
      </w:r>
      <w:proofErr w:type="spellEnd"/>
      <w:r w:rsidRPr="00675433">
        <w:rPr>
          <w:rFonts w:eastAsiaTheme="minorHAnsi" w:cs="TimesNewRoman"/>
        </w:rPr>
        <w:t xml:space="preserve"> 10 mg BID</w:t>
      </w:r>
      <w:r>
        <w:rPr>
          <w:rFonts w:eastAsiaTheme="minorHAnsi" w:cs="TimesNewRoman"/>
        </w:rPr>
        <w:t>, 4.9%; placebo,</w:t>
      </w:r>
      <w:r w:rsidRPr="00675433">
        <w:rPr>
          <w:rFonts w:eastAsiaTheme="minorHAnsi" w:cs="TimesNewRoman"/>
        </w:rPr>
        <w:t xml:space="preserve"> 3.6%). There were 2 AEs of </w:t>
      </w:r>
      <w:r>
        <w:rPr>
          <w:rFonts w:eastAsiaTheme="minorHAnsi" w:cs="TimesNewRoman"/>
        </w:rPr>
        <w:t>HZ</w:t>
      </w:r>
      <w:r w:rsidRPr="00675433">
        <w:rPr>
          <w:rFonts w:eastAsiaTheme="minorHAnsi" w:cs="TimesNewRoman"/>
        </w:rPr>
        <w:t xml:space="preserve"> in the </w:t>
      </w:r>
      <w:proofErr w:type="spellStart"/>
      <w:r w:rsidRPr="00675433">
        <w:rPr>
          <w:rFonts w:eastAsiaTheme="minorHAnsi" w:cs="TimesNewRoman"/>
        </w:rPr>
        <w:t>tofacitinib</w:t>
      </w:r>
      <w:proofErr w:type="spellEnd"/>
      <w:r w:rsidRPr="00675433">
        <w:rPr>
          <w:rFonts w:eastAsiaTheme="minorHAnsi" w:cs="TimesNewRoman"/>
        </w:rPr>
        <w:t xml:space="preserve"> 10 BID group and none in the placebo group.</w:t>
      </w:r>
    </w:p>
    <w:p w14:paraId="2B0DE4E6" w14:textId="77777777" w:rsidR="007757F1" w:rsidRDefault="007757F1" w:rsidP="000D0442">
      <w:pPr>
        <w:rPr>
          <w:lang w:eastAsia="ja-JP"/>
        </w:rPr>
      </w:pPr>
      <w:r w:rsidRPr="002248D4">
        <w:lastRenderedPageBreak/>
        <w:t xml:space="preserve">More subjects in the </w:t>
      </w:r>
      <w:proofErr w:type="spellStart"/>
      <w:r w:rsidRPr="002248D4">
        <w:t>tofacitinib</w:t>
      </w:r>
      <w:proofErr w:type="spellEnd"/>
      <w:r w:rsidRPr="002248D4">
        <w:t xml:space="preserve"> 10 mg BID treatment group experienced</w:t>
      </w:r>
      <w:r w:rsidR="00457FB2">
        <w:t xml:space="preserve"> treated </w:t>
      </w:r>
      <w:r>
        <w:t>related infection AEs (33</w:t>
      </w:r>
      <w:r w:rsidRPr="002248D4">
        <w:t xml:space="preserve"> subjects, </w:t>
      </w:r>
      <w:r>
        <w:t>7.7</w:t>
      </w:r>
      <w:r w:rsidRPr="002248D4">
        <w:t>%) compared with placebo (</w:t>
      </w:r>
      <w:r>
        <w:t>6</w:t>
      </w:r>
      <w:r w:rsidRPr="002248D4">
        <w:t xml:space="preserve"> subjects, </w:t>
      </w:r>
      <w:r>
        <w:t>5.4</w:t>
      </w:r>
      <w:r w:rsidRPr="002248D4">
        <w:t>%).</w:t>
      </w:r>
      <w:r>
        <w:t xml:space="preserve"> In the </w:t>
      </w:r>
      <w:proofErr w:type="spellStart"/>
      <w:r>
        <w:t>tofacitinib</w:t>
      </w:r>
      <w:proofErr w:type="spellEnd"/>
      <w:r>
        <w:t xml:space="preserve"> treated group 1 (0.2%) subject each had one SAE (furuncle), one severe A</w:t>
      </w:r>
      <w:r w:rsidR="00457FB2">
        <w:t xml:space="preserve">E (pharyngitis) and 1 infection </w:t>
      </w:r>
      <w:r>
        <w:t>related AE that led to permanent discontinuation (furuncle) from the study.</w:t>
      </w:r>
    </w:p>
    <w:p w14:paraId="4F131AD4" w14:textId="77777777" w:rsidR="007757F1" w:rsidRDefault="007757F1" w:rsidP="000D0442">
      <w:pPr>
        <w:rPr>
          <w:lang w:eastAsia="ja-JP"/>
        </w:rPr>
      </w:pPr>
      <w:r>
        <w:rPr>
          <w:lang w:eastAsia="ja-JP"/>
        </w:rPr>
        <w:t xml:space="preserve">In the </w:t>
      </w:r>
      <w:proofErr w:type="spellStart"/>
      <w:r>
        <w:rPr>
          <w:lang w:eastAsia="ja-JP"/>
        </w:rPr>
        <w:t>tofacitinib</w:t>
      </w:r>
      <w:proofErr w:type="spellEnd"/>
      <w:r>
        <w:rPr>
          <w:lang w:eastAsia="ja-JP"/>
        </w:rPr>
        <w:t xml:space="preserve"> 15 mg treated group, 6 (37.5%) subjects experienced infection AEs, but no subject had an infection-related SAE, severe AE or d</w:t>
      </w:r>
      <w:r w:rsidR="00457FB2">
        <w:rPr>
          <w:lang w:eastAsia="ja-JP"/>
        </w:rPr>
        <w:t>iscontinued due to an infection </w:t>
      </w:r>
      <w:r>
        <w:rPr>
          <w:lang w:eastAsia="ja-JP"/>
        </w:rPr>
        <w:t>related AE.</w:t>
      </w:r>
    </w:p>
    <w:p w14:paraId="2AF9179A" w14:textId="77777777" w:rsidR="007757F1" w:rsidRPr="007E47AA" w:rsidRDefault="007757F1" w:rsidP="000D0442">
      <w:pPr>
        <w:pStyle w:val="Heading7"/>
        <w:rPr>
          <w:lang w:eastAsia="ja-JP"/>
        </w:rPr>
      </w:pPr>
      <w:r w:rsidRPr="007E47AA">
        <w:rPr>
          <w:lang w:eastAsia="ja-JP"/>
        </w:rPr>
        <w:t>Maintenance</w:t>
      </w:r>
    </w:p>
    <w:p w14:paraId="310B2798" w14:textId="77777777" w:rsidR="007757F1" w:rsidRPr="00DA412F" w:rsidRDefault="007757F1" w:rsidP="000D0442">
      <w:pPr>
        <w:rPr>
          <w:lang w:eastAsia="ja-JP"/>
        </w:rPr>
      </w:pPr>
      <w:r>
        <w:rPr>
          <w:lang w:eastAsia="ja-JP"/>
        </w:rPr>
        <w:t>In Study 3921096, m</w:t>
      </w:r>
      <w:r w:rsidRPr="00DA412F">
        <w:t>ore subjects</w:t>
      </w:r>
      <w:r>
        <w:t xml:space="preserve"> </w:t>
      </w:r>
      <w:r w:rsidRPr="00DA412F">
        <w:t xml:space="preserve">in the </w:t>
      </w:r>
      <w:proofErr w:type="spellStart"/>
      <w:r w:rsidRPr="00DA412F">
        <w:t>tofacitinib</w:t>
      </w:r>
      <w:proofErr w:type="spellEnd"/>
      <w:r w:rsidRPr="00DA412F">
        <w:t xml:space="preserve"> 5 mg BID group (71 subjects, 35.9%) and </w:t>
      </w:r>
      <w:proofErr w:type="spellStart"/>
      <w:r w:rsidRPr="00DA412F">
        <w:t>tofacitinib</w:t>
      </w:r>
      <w:proofErr w:type="spellEnd"/>
      <w:r w:rsidRPr="00DA412F">
        <w:t xml:space="preserve"> 10 mg BID group</w:t>
      </w:r>
      <w:r>
        <w:t xml:space="preserve"> </w:t>
      </w:r>
      <w:r w:rsidRPr="00DA412F">
        <w:t>(78 subjects, 39.8%) experienced infection AEs compared with the placebo group</w:t>
      </w:r>
      <w:r>
        <w:t xml:space="preserve"> </w:t>
      </w:r>
      <w:r w:rsidRPr="00DA412F">
        <w:t>(48 subjects, 24.2%).</w:t>
      </w:r>
      <w:r>
        <w:t xml:space="preserve"> Infections </w:t>
      </w:r>
      <w:r w:rsidRPr="00DA412F">
        <w:t>that were SAEs</w:t>
      </w:r>
      <w:r>
        <w:t>,</w:t>
      </w:r>
      <w:r w:rsidRPr="00DA412F">
        <w:t xml:space="preserve"> severe AEs</w:t>
      </w:r>
      <w:r w:rsidR="00457FB2">
        <w:t xml:space="preserve"> and infection </w:t>
      </w:r>
      <w:r>
        <w:t>related AEs that led to study discontinuation</w:t>
      </w:r>
      <w:r w:rsidRPr="00DA412F">
        <w:t xml:space="preserve"> were infrequently reported</w:t>
      </w:r>
      <w:r>
        <w:t xml:space="preserve"> across</w:t>
      </w:r>
      <w:r w:rsidRPr="00DA412F">
        <w:t xml:space="preserve"> all groups</w:t>
      </w:r>
      <w:r>
        <w:t>.</w:t>
      </w:r>
    </w:p>
    <w:p w14:paraId="13FAB1FC" w14:textId="77777777" w:rsidR="007757F1" w:rsidRDefault="007757F1" w:rsidP="000D0442">
      <w:r>
        <w:t>Severe infection AEs</w:t>
      </w:r>
      <w:r w:rsidRPr="0062381D">
        <w:t xml:space="preserve"> were reported in 2 subjects in the </w:t>
      </w:r>
      <w:proofErr w:type="spellStart"/>
      <w:r w:rsidRPr="0062381D">
        <w:t>tofacitinib</w:t>
      </w:r>
      <w:proofErr w:type="spellEnd"/>
      <w:r w:rsidRPr="0062381D">
        <w:t xml:space="preserve"> 5 mg BID</w:t>
      </w:r>
      <w:r>
        <w:t xml:space="preserve"> </w:t>
      </w:r>
      <w:r w:rsidRPr="0062381D">
        <w:t xml:space="preserve">treatment group (1 subject with influenza and pneumonia; 1 subject with </w:t>
      </w:r>
      <w:proofErr w:type="spellStart"/>
      <w:r w:rsidRPr="0062381D">
        <w:t>peritonsillar</w:t>
      </w:r>
      <w:proofErr w:type="spellEnd"/>
      <w:r w:rsidRPr="0062381D">
        <w:t xml:space="preserve"> abscess</w:t>
      </w:r>
      <w:r>
        <w:t xml:space="preserve"> </w:t>
      </w:r>
      <w:r w:rsidRPr="0062381D">
        <w:t xml:space="preserve">and tonsillitis), 3 subjects in the </w:t>
      </w:r>
      <w:proofErr w:type="spellStart"/>
      <w:r w:rsidRPr="0062381D">
        <w:t>tofacitinib</w:t>
      </w:r>
      <w:proofErr w:type="spellEnd"/>
      <w:r w:rsidRPr="0062381D">
        <w:t xml:space="preserve"> 10 mg BID treatment group (bacterial diarrhoea,</w:t>
      </w:r>
      <w:r>
        <w:t xml:space="preserve"> </w:t>
      </w:r>
      <w:r w:rsidRPr="0062381D">
        <w:t>gastroenteritis, and influenza) and none in the placebo group</w:t>
      </w:r>
      <w:r w:rsidR="000D0442">
        <w:t>.</w:t>
      </w:r>
    </w:p>
    <w:p w14:paraId="138ADA21" w14:textId="77777777" w:rsidR="007757F1" w:rsidRDefault="007757F1" w:rsidP="000D0442">
      <w:r w:rsidRPr="00777803">
        <w:t xml:space="preserve">The most frequent infection AEs were </w:t>
      </w:r>
      <w:proofErr w:type="spellStart"/>
      <w:r w:rsidRPr="00777803">
        <w:t>nasopharyngitis</w:t>
      </w:r>
      <w:proofErr w:type="spellEnd"/>
      <w:r w:rsidRPr="00777803">
        <w:t xml:space="preserve"> (</w:t>
      </w:r>
      <w:proofErr w:type="spellStart"/>
      <w:r w:rsidRPr="00777803">
        <w:t>tofacitinib</w:t>
      </w:r>
      <w:proofErr w:type="spellEnd"/>
      <w:r>
        <w:t xml:space="preserve"> </w:t>
      </w:r>
      <w:r w:rsidRPr="00777803">
        <w:t xml:space="preserve">5 mg BID: 9.6%; </w:t>
      </w:r>
      <w:proofErr w:type="spellStart"/>
      <w:r w:rsidRPr="00777803">
        <w:t>tofacitinib</w:t>
      </w:r>
      <w:proofErr w:type="spellEnd"/>
      <w:r w:rsidRPr="00777803">
        <w:t xml:space="preserve"> 10 mg BID: 13.8%; placebo: 5.6%), </w:t>
      </w:r>
      <w:r w:rsidR="00457FB2">
        <w:t>upper respiratory tract infection (</w:t>
      </w:r>
      <w:r>
        <w:t>URTI</w:t>
      </w:r>
      <w:r w:rsidR="00457FB2">
        <w:t>)</w:t>
      </w:r>
      <w:r w:rsidRPr="00777803">
        <w:t xml:space="preserve"> (</w:t>
      </w:r>
      <w:proofErr w:type="spellStart"/>
      <w:r w:rsidRPr="00777803">
        <w:t>tofacitinib</w:t>
      </w:r>
      <w:proofErr w:type="spellEnd"/>
      <w:r w:rsidRPr="00777803">
        <w:t xml:space="preserve"> 5 mg BID: 6.6%; </w:t>
      </w:r>
      <w:proofErr w:type="spellStart"/>
      <w:r w:rsidRPr="00777803">
        <w:t>tofacitinib</w:t>
      </w:r>
      <w:proofErr w:type="spellEnd"/>
      <w:r w:rsidRPr="00777803">
        <w:t xml:space="preserve"> 10 mg BID: 6.1%; placebo: 3.5%), and</w:t>
      </w:r>
      <w:r>
        <w:t xml:space="preserve"> </w:t>
      </w:r>
      <w:r w:rsidRPr="00777803">
        <w:t>gastroenteritis (</w:t>
      </w:r>
      <w:proofErr w:type="spellStart"/>
      <w:r w:rsidRPr="00777803">
        <w:t>tofacitinib</w:t>
      </w:r>
      <w:proofErr w:type="spellEnd"/>
      <w:r w:rsidRPr="00777803">
        <w:t xml:space="preserve"> 5 mg BID: 3.0%; </w:t>
      </w:r>
      <w:proofErr w:type="spellStart"/>
      <w:r w:rsidRPr="00777803">
        <w:t>tofacitinib</w:t>
      </w:r>
      <w:proofErr w:type="spellEnd"/>
      <w:r w:rsidRPr="00777803">
        <w:t xml:space="preserve"> 10 mg BID: 4.1%; placebo: 2.5%).</w:t>
      </w:r>
    </w:p>
    <w:p w14:paraId="50DEE5B3" w14:textId="77777777" w:rsidR="007757F1" w:rsidRDefault="007757F1" w:rsidP="000D0442">
      <w:r w:rsidRPr="00705E3C">
        <w:t xml:space="preserve">In the </w:t>
      </w:r>
      <w:proofErr w:type="spellStart"/>
      <w:r w:rsidRPr="00705E3C">
        <w:t>tofacitinib</w:t>
      </w:r>
      <w:proofErr w:type="spellEnd"/>
      <w:r w:rsidRPr="00705E3C">
        <w:t xml:space="preserve"> 5 mg BID group, 33 subjects</w:t>
      </w:r>
      <w:r>
        <w:t xml:space="preserve"> </w:t>
      </w:r>
      <w:r w:rsidR="00457FB2">
        <w:t xml:space="preserve">(16.7%) had treatment </w:t>
      </w:r>
      <w:r w:rsidRPr="00705E3C">
        <w:t>related infection AEs and 1</w:t>
      </w:r>
      <w:r w:rsidR="00457FB2">
        <w:t xml:space="preserve"> subject (0.5%) had a treatment </w:t>
      </w:r>
      <w:r w:rsidRPr="00705E3C">
        <w:t>related</w:t>
      </w:r>
      <w:r>
        <w:t xml:space="preserve"> </w:t>
      </w:r>
      <w:r w:rsidRPr="00705E3C">
        <w:t xml:space="preserve">infection SAE. In the </w:t>
      </w:r>
      <w:proofErr w:type="spellStart"/>
      <w:r w:rsidRPr="00705E3C">
        <w:t>tofacitinib</w:t>
      </w:r>
      <w:proofErr w:type="spellEnd"/>
      <w:r w:rsidRPr="00705E3C">
        <w:t xml:space="preserve"> 10 mg BID group, 41 subjects (20.9%) had</w:t>
      </w:r>
      <w:r>
        <w:t xml:space="preserve"> </w:t>
      </w:r>
      <w:r w:rsidR="00457FB2">
        <w:t xml:space="preserve">treatment </w:t>
      </w:r>
      <w:r w:rsidRPr="00705E3C">
        <w:t>related infection AEs and 1</w:t>
      </w:r>
      <w:r w:rsidR="00457FB2">
        <w:t xml:space="preserve"> subject (0.5%) had a treatment </w:t>
      </w:r>
      <w:r w:rsidRPr="00705E3C">
        <w:t>related infection SAE.</w:t>
      </w:r>
      <w:r>
        <w:t xml:space="preserve"> </w:t>
      </w:r>
      <w:r w:rsidRPr="00705E3C">
        <w:t>In the placebo group, 23</w:t>
      </w:r>
      <w:r w:rsidR="00457FB2">
        <w:t xml:space="preserve"> subjects (11.6%) had treatment </w:t>
      </w:r>
      <w:r w:rsidRPr="00705E3C">
        <w:t>related infection AEs and 2 subjects</w:t>
      </w:r>
      <w:r>
        <w:t xml:space="preserve"> </w:t>
      </w:r>
      <w:r w:rsidR="00457FB2">
        <w:t xml:space="preserve">(1.0%) had treatment related infection SAEs. Two </w:t>
      </w:r>
      <w:r w:rsidRPr="00705E3C">
        <w:t xml:space="preserve">subjects each in the </w:t>
      </w:r>
      <w:proofErr w:type="spellStart"/>
      <w:r w:rsidRPr="00705E3C">
        <w:t>tofacitinib</w:t>
      </w:r>
      <w:proofErr w:type="spellEnd"/>
      <w:r w:rsidRPr="00705E3C">
        <w:t xml:space="preserve"> 5 mg</w:t>
      </w:r>
      <w:r>
        <w:t xml:space="preserve"> </w:t>
      </w:r>
      <w:r w:rsidRPr="00705E3C">
        <w:t xml:space="preserve">BID group (1 with </w:t>
      </w:r>
      <w:proofErr w:type="spellStart"/>
      <w:r w:rsidRPr="00705E3C">
        <w:t>peritonsillar</w:t>
      </w:r>
      <w:proofErr w:type="spellEnd"/>
      <w:r w:rsidRPr="00705E3C">
        <w:t xml:space="preserve"> abscess and tonsillitis; 1 with influenza and pneumonia) and</w:t>
      </w:r>
      <w:r>
        <w:t xml:space="preserve"> </w:t>
      </w:r>
      <w:r w:rsidRPr="00705E3C">
        <w:t xml:space="preserve">in the </w:t>
      </w:r>
      <w:proofErr w:type="spellStart"/>
      <w:r w:rsidRPr="00705E3C">
        <w:t>tofacitinib</w:t>
      </w:r>
      <w:proofErr w:type="spellEnd"/>
      <w:r w:rsidRPr="00705E3C">
        <w:t xml:space="preserve"> 10 mg BID group (bacterial diarrh</w:t>
      </w:r>
      <w:r w:rsidR="00457FB2">
        <w:t xml:space="preserve">oea, influenza) had a treatment </w:t>
      </w:r>
      <w:r w:rsidRPr="00705E3C">
        <w:t>related</w:t>
      </w:r>
      <w:r>
        <w:t xml:space="preserve"> </w:t>
      </w:r>
      <w:r w:rsidRPr="00705E3C">
        <w:t>severe infection. Three subjects discontinued from study</w:t>
      </w:r>
      <w:r>
        <w:t xml:space="preserve"> </w:t>
      </w:r>
      <w:r w:rsidRPr="00705E3C">
        <w:t>treatment (1 in each tr</w:t>
      </w:r>
      <w:r w:rsidR="00457FB2">
        <w:t xml:space="preserve">eatment group) due to treatment </w:t>
      </w:r>
      <w:r w:rsidRPr="00705E3C">
        <w:t>related infections, and 6 subjects (4 in</w:t>
      </w:r>
      <w:r>
        <w:t xml:space="preserve"> </w:t>
      </w:r>
      <w:proofErr w:type="spellStart"/>
      <w:r w:rsidRPr="00705E3C">
        <w:t>tofacitinib</w:t>
      </w:r>
      <w:proofErr w:type="spellEnd"/>
      <w:r w:rsidRPr="00705E3C">
        <w:t xml:space="preserve"> 10 mg BID group; 1 each from placebo group and the </w:t>
      </w:r>
      <w:proofErr w:type="spellStart"/>
      <w:r w:rsidRPr="00705E3C">
        <w:t>tofacitinib</w:t>
      </w:r>
      <w:proofErr w:type="spellEnd"/>
      <w:r w:rsidRPr="00705E3C">
        <w:t xml:space="preserve"> 5 mg BID group)</w:t>
      </w:r>
      <w:r>
        <w:t xml:space="preserve"> </w:t>
      </w:r>
      <w:r w:rsidRPr="00705E3C">
        <w:t xml:space="preserve">had their study drug temporarily </w:t>
      </w:r>
      <w:r w:rsidR="00457FB2">
        <w:t xml:space="preserve">discontinued due to a treatment </w:t>
      </w:r>
      <w:r w:rsidRPr="00705E3C">
        <w:t>related infection</w:t>
      </w:r>
      <w:r w:rsidR="000D0442">
        <w:t>.</w:t>
      </w:r>
    </w:p>
    <w:p w14:paraId="121EE955" w14:textId="77777777" w:rsidR="007757F1" w:rsidRPr="000D0442" w:rsidRDefault="007757F1" w:rsidP="000D0442">
      <w:r w:rsidRPr="00B2078D">
        <w:t xml:space="preserve">Serious infection AEs were reported by 2 subjects (1.0%) in the </w:t>
      </w:r>
      <w:proofErr w:type="spellStart"/>
      <w:r w:rsidRPr="00B2078D">
        <w:t>tofacitinib</w:t>
      </w:r>
      <w:proofErr w:type="spellEnd"/>
      <w:r>
        <w:t xml:space="preserve"> </w:t>
      </w:r>
      <w:r w:rsidRPr="00B2078D">
        <w:t>5 mg BID group (</w:t>
      </w:r>
      <w:proofErr w:type="spellStart"/>
      <w:r w:rsidRPr="00B2078D">
        <w:t>peritonsillar</w:t>
      </w:r>
      <w:proofErr w:type="spellEnd"/>
      <w:r w:rsidRPr="00B2078D">
        <w:t xml:space="preserve"> abscess, urinary tract infection), 1 subject (0.5%) in the</w:t>
      </w:r>
      <w:r>
        <w:t xml:space="preserve"> </w:t>
      </w:r>
      <w:proofErr w:type="spellStart"/>
      <w:r w:rsidRPr="00B2078D">
        <w:t>tofacitinib</w:t>
      </w:r>
      <w:proofErr w:type="spellEnd"/>
      <w:r w:rsidRPr="00B2078D">
        <w:t xml:space="preserve"> 10 mg BID group (bacterial diarrhoea), and 2 subjects (1.0%) in the placebo group</w:t>
      </w:r>
      <w:r>
        <w:t xml:space="preserve"> </w:t>
      </w:r>
      <w:r w:rsidRPr="00B2078D">
        <w:t>(diverticulitis, subcutaneous abscess)</w:t>
      </w:r>
      <w:r w:rsidR="000D0442">
        <w:t>.</w:t>
      </w:r>
    </w:p>
    <w:p w14:paraId="46EA2B89" w14:textId="77777777" w:rsidR="007757F1" w:rsidRPr="007E47AA" w:rsidRDefault="007757F1" w:rsidP="000D0442">
      <w:pPr>
        <w:pStyle w:val="Heading7"/>
        <w:rPr>
          <w:rFonts w:eastAsiaTheme="minorHAnsi"/>
        </w:rPr>
      </w:pPr>
      <w:r w:rsidRPr="007E47AA">
        <w:rPr>
          <w:rFonts w:eastAsiaTheme="minorHAnsi"/>
        </w:rPr>
        <w:t>Other studies</w:t>
      </w:r>
    </w:p>
    <w:p w14:paraId="2094EF74" w14:textId="558D7086" w:rsidR="007757F1" w:rsidRPr="00CC6169" w:rsidRDefault="007757F1" w:rsidP="000D0442">
      <w:pPr>
        <w:rPr>
          <w:lang w:eastAsia="ja-JP"/>
        </w:rPr>
      </w:pPr>
      <w:r w:rsidRPr="00AB725C">
        <w:rPr>
          <w:lang w:eastAsia="ja-JP"/>
        </w:rPr>
        <w:t xml:space="preserve">In Study 3921063, </w:t>
      </w:r>
      <w:r w:rsidR="00CF6A6C">
        <w:rPr>
          <w:lang w:eastAsia="ja-JP"/>
        </w:rPr>
        <w:t>S</w:t>
      </w:r>
      <w:r w:rsidR="00457FB2">
        <w:rPr>
          <w:lang w:eastAsia="ja-JP"/>
        </w:rPr>
        <w:t xml:space="preserve">ystem </w:t>
      </w:r>
      <w:r w:rsidR="00CF6A6C">
        <w:rPr>
          <w:lang w:eastAsia="ja-JP"/>
        </w:rPr>
        <w:t>O</w:t>
      </w:r>
      <w:r w:rsidR="00457FB2">
        <w:rPr>
          <w:lang w:eastAsia="ja-JP"/>
        </w:rPr>
        <w:t xml:space="preserve">rgan </w:t>
      </w:r>
      <w:r w:rsidR="00CF6A6C">
        <w:rPr>
          <w:lang w:eastAsia="ja-JP"/>
        </w:rPr>
        <w:t>C</w:t>
      </w:r>
      <w:r w:rsidR="00457FB2">
        <w:rPr>
          <w:lang w:eastAsia="ja-JP"/>
        </w:rPr>
        <w:t>lass (</w:t>
      </w:r>
      <w:r w:rsidRPr="00AB725C">
        <w:rPr>
          <w:lang w:eastAsia="ja-JP"/>
        </w:rPr>
        <w:t>SOC</w:t>
      </w:r>
      <w:r w:rsidR="00457FB2">
        <w:rPr>
          <w:lang w:eastAsia="ja-JP"/>
        </w:rPr>
        <w:t>)</w:t>
      </w:r>
      <w:r w:rsidRPr="00AB725C">
        <w:rPr>
          <w:lang w:eastAsia="ja-JP"/>
        </w:rPr>
        <w:t xml:space="preserve"> </w:t>
      </w:r>
      <w:r w:rsidR="00457FB2">
        <w:rPr>
          <w:lang w:eastAsia="ja-JP"/>
        </w:rPr>
        <w:t>‘</w:t>
      </w:r>
      <w:r w:rsidRPr="00AB725C">
        <w:rPr>
          <w:lang w:eastAsia="ja-JP"/>
        </w:rPr>
        <w:t>Infections and Infestations</w:t>
      </w:r>
      <w:r w:rsidR="00457FB2">
        <w:rPr>
          <w:lang w:eastAsia="ja-JP"/>
        </w:rPr>
        <w:t>’</w:t>
      </w:r>
      <w:r w:rsidRPr="00AB725C">
        <w:rPr>
          <w:lang w:eastAsia="ja-JP"/>
        </w:rPr>
        <w:t xml:space="preserve"> accounted for the second greatest number of subjects reported AEs: placebo: 14.6%, 25.8%, 9.1%, 27.3% and 6.1%.</w:t>
      </w:r>
      <w:r>
        <w:rPr>
          <w:lang w:eastAsia="ja-JP"/>
        </w:rPr>
        <w:t xml:space="preserve"> Of the infections, </w:t>
      </w:r>
      <w:proofErr w:type="spellStart"/>
      <w:r>
        <w:rPr>
          <w:lang w:eastAsia="ja-JP"/>
        </w:rPr>
        <w:t>nasopharyngitis</w:t>
      </w:r>
      <w:proofErr w:type="spellEnd"/>
      <w:r>
        <w:rPr>
          <w:lang w:eastAsia="ja-JP"/>
        </w:rPr>
        <w:t xml:space="preserve"> accounted for the highest incidence: placebo 2.1%, 6.5%, 3.0%, 3.0%, and 2.0%. </w:t>
      </w:r>
      <w:r w:rsidRPr="00CC6169">
        <w:rPr>
          <w:rFonts w:eastAsiaTheme="minorHAnsi" w:cs="TimesNewRoman"/>
          <w:color w:val="000000"/>
        </w:rPr>
        <w:t xml:space="preserve">Two subjects in the </w:t>
      </w:r>
      <w:proofErr w:type="spellStart"/>
      <w:r>
        <w:rPr>
          <w:rFonts w:eastAsiaTheme="minorHAnsi" w:cs="TimesNewRoman"/>
          <w:color w:val="000000"/>
        </w:rPr>
        <w:t>tofacitinib</w:t>
      </w:r>
      <w:proofErr w:type="spellEnd"/>
      <w:r w:rsidRPr="00CC6169">
        <w:rPr>
          <w:rFonts w:eastAsiaTheme="minorHAnsi" w:cs="TimesNewRoman"/>
          <w:color w:val="000000"/>
        </w:rPr>
        <w:t xml:space="preserve"> 10 mg treatment</w:t>
      </w:r>
      <w:r>
        <w:rPr>
          <w:rFonts w:eastAsiaTheme="minorHAnsi" w:cs="TimesNewRoman"/>
          <w:color w:val="000000"/>
        </w:rPr>
        <w:t xml:space="preserve"> </w:t>
      </w:r>
      <w:r w:rsidRPr="00CC6169">
        <w:rPr>
          <w:rFonts w:eastAsiaTheme="minorHAnsi" w:cs="TimesNewRoman"/>
          <w:color w:val="000000"/>
        </w:rPr>
        <w:t>group experienced at least 1 infection SAE</w:t>
      </w:r>
      <w:r>
        <w:rPr>
          <w:rFonts w:eastAsiaTheme="minorHAnsi" w:cs="TimesNewRoman"/>
          <w:color w:val="000000"/>
        </w:rPr>
        <w:t xml:space="preserve"> (severe postoperative abscess and anal abscess, leading to discontinuation), but neither was considered</w:t>
      </w:r>
      <w:r w:rsidR="00457FB2">
        <w:rPr>
          <w:rFonts w:eastAsiaTheme="minorHAnsi" w:cs="TimesNewRoman"/>
          <w:color w:val="000000"/>
        </w:rPr>
        <w:t xml:space="preserve"> treatment </w:t>
      </w:r>
      <w:r w:rsidRPr="00CC6169">
        <w:rPr>
          <w:rFonts w:eastAsiaTheme="minorHAnsi" w:cs="TimesNewRoman"/>
          <w:color w:val="000000"/>
        </w:rPr>
        <w:t>related.</w:t>
      </w:r>
    </w:p>
    <w:p w14:paraId="0CB2EFF6" w14:textId="77777777" w:rsidR="007757F1" w:rsidRDefault="007757F1" w:rsidP="000D0442">
      <w:pPr>
        <w:rPr>
          <w:rFonts w:eastAsiaTheme="minorHAnsi" w:cs="TimesNewRoman"/>
        </w:rPr>
      </w:pPr>
      <w:r>
        <w:rPr>
          <w:lang w:eastAsia="ja-JP"/>
        </w:rPr>
        <w:t xml:space="preserve">In Study 3921139, </w:t>
      </w:r>
      <w:r w:rsidRPr="00373736">
        <w:rPr>
          <w:rFonts w:eastAsiaTheme="minorHAnsi" w:cs="TimesNewRoman"/>
        </w:rPr>
        <w:t>62 subjects (39.7%) in the</w:t>
      </w:r>
      <w:r>
        <w:rPr>
          <w:rFonts w:eastAsiaTheme="minorHAnsi" w:cs="TimesNewRoman"/>
        </w:rPr>
        <w:t xml:space="preserve"> </w:t>
      </w:r>
      <w:proofErr w:type="spellStart"/>
      <w:r w:rsidRPr="00373736">
        <w:rPr>
          <w:rFonts w:eastAsiaTheme="minorHAnsi" w:cs="TimesNewRoman"/>
        </w:rPr>
        <w:t>tofacitinib</w:t>
      </w:r>
      <w:proofErr w:type="spellEnd"/>
      <w:r w:rsidRPr="00373736">
        <w:rPr>
          <w:rFonts w:eastAsiaTheme="minorHAnsi" w:cs="TimesNewRoman"/>
        </w:rPr>
        <w:t xml:space="preserve"> 5 mg BID group and 317 subjects (41.8%) in the </w:t>
      </w:r>
      <w:proofErr w:type="spellStart"/>
      <w:r w:rsidRPr="00373736">
        <w:rPr>
          <w:rFonts w:eastAsiaTheme="minorHAnsi" w:cs="TimesNewRoman"/>
        </w:rPr>
        <w:t>tofacitinib</w:t>
      </w:r>
      <w:proofErr w:type="spellEnd"/>
      <w:r w:rsidRPr="00373736">
        <w:rPr>
          <w:rFonts w:eastAsiaTheme="minorHAnsi" w:cs="TimesNewRoman"/>
        </w:rPr>
        <w:t xml:space="preserve"> 10 mg BID group</w:t>
      </w:r>
      <w:r>
        <w:rPr>
          <w:rFonts w:eastAsiaTheme="minorHAnsi" w:cs="TimesNewRoman"/>
        </w:rPr>
        <w:t xml:space="preserve"> </w:t>
      </w:r>
      <w:r w:rsidR="00457FB2">
        <w:rPr>
          <w:rFonts w:eastAsiaTheme="minorHAnsi" w:cs="TimesNewRoman"/>
        </w:rPr>
        <w:t>experienced infection AEs. Four</w:t>
      </w:r>
      <w:r w:rsidRPr="00373736">
        <w:rPr>
          <w:rFonts w:eastAsiaTheme="minorHAnsi" w:cs="TimesNewRoman"/>
        </w:rPr>
        <w:t xml:space="preserve"> subjects (2.6%) in the </w:t>
      </w:r>
      <w:proofErr w:type="spellStart"/>
      <w:r w:rsidRPr="00373736">
        <w:rPr>
          <w:rFonts w:eastAsiaTheme="minorHAnsi" w:cs="TimesNewRoman"/>
        </w:rPr>
        <w:t>tofacitinib</w:t>
      </w:r>
      <w:proofErr w:type="spellEnd"/>
      <w:r w:rsidRPr="00373736">
        <w:rPr>
          <w:rFonts w:eastAsiaTheme="minorHAnsi" w:cs="TimesNewRoman"/>
        </w:rPr>
        <w:t xml:space="preserve"> 5 mg BID group and</w:t>
      </w:r>
      <w:r>
        <w:rPr>
          <w:rFonts w:eastAsiaTheme="minorHAnsi" w:cs="TimesNewRoman"/>
        </w:rPr>
        <w:t xml:space="preserve"> </w:t>
      </w:r>
      <w:r w:rsidRPr="00373736">
        <w:rPr>
          <w:rFonts w:eastAsiaTheme="minorHAnsi" w:cs="TimesNewRoman"/>
        </w:rPr>
        <w:t xml:space="preserve">14 subjects (1.8%) in the </w:t>
      </w:r>
      <w:proofErr w:type="spellStart"/>
      <w:r w:rsidRPr="00373736">
        <w:rPr>
          <w:rFonts w:eastAsiaTheme="minorHAnsi" w:cs="TimesNewRoman"/>
        </w:rPr>
        <w:t>tofacitinib</w:t>
      </w:r>
      <w:proofErr w:type="spellEnd"/>
      <w:r w:rsidRPr="00373736">
        <w:rPr>
          <w:rFonts w:eastAsiaTheme="minorHAnsi" w:cs="TimesNewRoman"/>
        </w:rPr>
        <w:t xml:space="preserve"> 10 mg BID group experienced an infection SAE (serious</w:t>
      </w:r>
      <w:r>
        <w:rPr>
          <w:rFonts w:eastAsiaTheme="minorHAnsi" w:cs="TimesNewRoman"/>
        </w:rPr>
        <w:t xml:space="preserve"> </w:t>
      </w:r>
      <w:r w:rsidRPr="00373736">
        <w:rPr>
          <w:rFonts w:eastAsiaTheme="minorHAnsi" w:cs="TimesNewRoman"/>
        </w:rPr>
        <w:t>infection).</w:t>
      </w:r>
      <w:r>
        <w:rPr>
          <w:rFonts w:eastAsiaTheme="minorHAnsi" w:cs="TimesNewRoman"/>
        </w:rPr>
        <w:t xml:space="preserve"> Few subjects reported severe </w:t>
      </w:r>
      <w:r>
        <w:rPr>
          <w:rFonts w:eastAsiaTheme="minorHAnsi" w:cs="TimesNewRoman"/>
        </w:rPr>
        <w:lastRenderedPageBreak/>
        <w:t xml:space="preserve">infection AEs or discontinued the study from infection AEs, and these were generally consistent between </w:t>
      </w:r>
      <w:proofErr w:type="spellStart"/>
      <w:r>
        <w:rPr>
          <w:rFonts w:eastAsiaTheme="minorHAnsi" w:cs="TimesNewRoman"/>
        </w:rPr>
        <w:t>tofacitinib</w:t>
      </w:r>
      <w:proofErr w:type="spellEnd"/>
      <w:r>
        <w:rPr>
          <w:rFonts w:eastAsiaTheme="minorHAnsi" w:cs="TimesNewRoman"/>
        </w:rPr>
        <w:t xml:space="preserve"> treatments.</w:t>
      </w:r>
    </w:p>
    <w:p w14:paraId="47AC7A65" w14:textId="19B4E397" w:rsidR="007757F1" w:rsidRDefault="007757F1" w:rsidP="000D0442">
      <w:pPr>
        <w:rPr>
          <w:lang w:eastAsia="ja-JP"/>
        </w:rPr>
      </w:pPr>
      <w:r>
        <w:rPr>
          <w:lang w:eastAsia="ja-JP"/>
        </w:rPr>
        <w:t xml:space="preserve">Incidence of infection </w:t>
      </w:r>
      <w:r w:rsidR="00C71D4B">
        <w:t>treatment emergent adverse events</w:t>
      </w:r>
      <w:r w:rsidR="00C71D4B">
        <w:rPr>
          <w:lang w:eastAsia="ja-JP"/>
        </w:rPr>
        <w:t xml:space="preserve"> (</w:t>
      </w:r>
      <w:r>
        <w:rPr>
          <w:lang w:eastAsia="ja-JP"/>
        </w:rPr>
        <w:t>TEAE</w:t>
      </w:r>
      <w:r w:rsidR="00C71D4B">
        <w:rPr>
          <w:lang w:eastAsia="ja-JP"/>
        </w:rPr>
        <w:t>) over time (2 months, 1 </w:t>
      </w:r>
      <w:r>
        <w:rPr>
          <w:lang w:eastAsia="ja-JP"/>
        </w:rPr>
        <w:t xml:space="preserve">year, and 2 years) and age-group (&lt; 65 and ≥ 65 years) were generally consistent between </w:t>
      </w:r>
      <w:proofErr w:type="spellStart"/>
      <w:r>
        <w:rPr>
          <w:lang w:eastAsia="ja-JP"/>
        </w:rPr>
        <w:t>tofacitinib</w:t>
      </w:r>
      <w:proofErr w:type="spellEnd"/>
      <w:r>
        <w:rPr>
          <w:lang w:eastAsia="ja-JP"/>
        </w:rPr>
        <w:t xml:space="preserve"> treatments. While infection AEs were similar between </w:t>
      </w:r>
      <w:proofErr w:type="spellStart"/>
      <w:r>
        <w:rPr>
          <w:lang w:eastAsia="ja-JP"/>
        </w:rPr>
        <w:t>tofacitinib</w:t>
      </w:r>
      <w:proofErr w:type="spellEnd"/>
      <w:r>
        <w:rPr>
          <w:lang w:eastAsia="ja-JP"/>
        </w:rPr>
        <w:t xml:space="preserve"> treatments for those who received </w:t>
      </w:r>
      <w:r w:rsidR="00077E65">
        <w:rPr>
          <w:lang w:eastAsia="ja-JP"/>
        </w:rPr>
        <w:t>b</w:t>
      </w:r>
      <w:r w:rsidR="00CF6A6C">
        <w:rPr>
          <w:lang w:eastAsia="ja-JP"/>
        </w:rPr>
        <w:t>aseline</w:t>
      </w:r>
      <w:r>
        <w:rPr>
          <w:lang w:eastAsia="ja-JP"/>
        </w:rPr>
        <w:t xml:space="preserve"> corticosteroids, the only SAEs, severe AEs and discontinuations from infection AEs occurred in the </w:t>
      </w:r>
      <w:proofErr w:type="spellStart"/>
      <w:r>
        <w:rPr>
          <w:lang w:eastAsia="ja-JP"/>
        </w:rPr>
        <w:t>tofacitinib</w:t>
      </w:r>
      <w:proofErr w:type="spellEnd"/>
      <w:r>
        <w:rPr>
          <w:lang w:eastAsia="ja-JP"/>
        </w:rPr>
        <w:t xml:space="preserve"> 10 mg treatment group. However, incidence of infection AEs more than doubled between 2 months and 12 months of treatment in either </w:t>
      </w:r>
      <w:proofErr w:type="spellStart"/>
      <w:r>
        <w:rPr>
          <w:lang w:eastAsia="ja-JP"/>
        </w:rPr>
        <w:t>tofacitinib</w:t>
      </w:r>
      <w:proofErr w:type="spellEnd"/>
      <w:r>
        <w:rPr>
          <w:lang w:eastAsia="ja-JP"/>
        </w:rPr>
        <w:t xml:space="preserve"> treatment group </w:t>
      </w:r>
      <w:r w:rsidR="00F14B34">
        <w:rPr>
          <w:lang w:eastAsia="ja-JP"/>
        </w:rPr>
        <w:t>that is,</w:t>
      </w:r>
      <w:r>
        <w:rPr>
          <w:lang w:eastAsia="ja-JP"/>
        </w:rPr>
        <w:t xml:space="preserve"> </w:t>
      </w:r>
      <w:proofErr w:type="spellStart"/>
      <w:r>
        <w:rPr>
          <w:lang w:eastAsia="ja-JP"/>
        </w:rPr>
        <w:t>tofacitinib</w:t>
      </w:r>
      <w:proofErr w:type="spellEnd"/>
      <w:r>
        <w:rPr>
          <w:lang w:eastAsia="ja-JP"/>
        </w:rPr>
        <w:t xml:space="preserve"> 5 mg incidence of infection AEs within 2 months was 16.1%, within 1 year 36.7% and within 2 years 41.4% compared with </w:t>
      </w:r>
      <w:proofErr w:type="spellStart"/>
      <w:r>
        <w:rPr>
          <w:lang w:eastAsia="ja-JP"/>
        </w:rPr>
        <w:t>tofacitinib</w:t>
      </w:r>
      <w:proofErr w:type="spellEnd"/>
      <w:r>
        <w:rPr>
          <w:lang w:eastAsia="ja-JP"/>
        </w:rPr>
        <w:t xml:space="preserve"> 10 mg treatment group </w:t>
      </w:r>
      <w:r w:rsidR="00F14B34">
        <w:rPr>
          <w:lang w:eastAsia="ja-JP"/>
        </w:rPr>
        <w:t>that is,</w:t>
      </w:r>
      <w:r>
        <w:rPr>
          <w:lang w:eastAsia="ja-JP"/>
        </w:rPr>
        <w:t xml:space="preserve"> incidence of infection AEs within 2 months was 15.4%, within 1 year </w:t>
      </w:r>
      <w:r w:rsidR="000D0442">
        <w:rPr>
          <w:lang w:eastAsia="ja-JP"/>
        </w:rPr>
        <w:t>34.0% and within 2 years 39.7%.</w:t>
      </w:r>
    </w:p>
    <w:p w14:paraId="3EE06037" w14:textId="77777777" w:rsidR="007757F1" w:rsidRPr="002717B2" w:rsidRDefault="007757F1" w:rsidP="000D0442">
      <w:pPr>
        <w:rPr>
          <w:rFonts w:eastAsiaTheme="minorHAnsi" w:cs="TimesNewRoman"/>
        </w:rPr>
      </w:pPr>
      <w:r w:rsidRPr="006F555D">
        <w:rPr>
          <w:rFonts w:eastAsiaTheme="minorHAnsi" w:cs="TimesNewRoman"/>
        </w:rPr>
        <w:t xml:space="preserve">The most frequent infection AEs for the </w:t>
      </w:r>
      <w:proofErr w:type="spellStart"/>
      <w:r w:rsidRPr="006F555D">
        <w:rPr>
          <w:rFonts w:eastAsiaTheme="minorHAnsi" w:cs="TimesNewRoman"/>
        </w:rPr>
        <w:t>tofacitinib</w:t>
      </w:r>
      <w:proofErr w:type="spellEnd"/>
      <w:r w:rsidRPr="006F555D">
        <w:rPr>
          <w:rFonts w:eastAsiaTheme="minorHAnsi" w:cs="TimesNewRoman"/>
        </w:rPr>
        <w:t xml:space="preserve"> 5 mg BID and</w:t>
      </w:r>
      <w:r>
        <w:rPr>
          <w:rFonts w:eastAsiaTheme="minorHAnsi" w:cs="TimesNewRoman"/>
        </w:rPr>
        <w:t xml:space="preserve"> </w:t>
      </w:r>
      <w:proofErr w:type="spellStart"/>
      <w:r w:rsidRPr="006F555D">
        <w:rPr>
          <w:rFonts w:eastAsiaTheme="minorHAnsi" w:cs="TimesNewRoman"/>
        </w:rPr>
        <w:t>tofacitinib</w:t>
      </w:r>
      <w:proofErr w:type="spellEnd"/>
      <w:r w:rsidRPr="006F555D">
        <w:rPr>
          <w:rFonts w:eastAsiaTheme="minorHAnsi" w:cs="TimesNewRoman"/>
        </w:rPr>
        <w:t xml:space="preserve"> 10 mg BID groups were </w:t>
      </w:r>
      <w:proofErr w:type="spellStart"/>
      <w:r w:rsidRPr="006F555D">
        <w:rPr>
          <w:rFonts w:eastAsiaTheme="minorHAnsi" w:cs="TimesNewRoman"/>
        </w:rPr>
        <w:t>nasopharyngitis</w:t>
      </w:r>
      <w:proofErr w:type="spellEnd"/>
      <w:r w:rsidRPr="006F555D">
        <w:rPr>
          <w:rFonts w:eastAsiaTheme="minorHAnsi" w:cs="TimesNewRoman"/>
        </w:rPr>
        <w:t xml:space="preserve"> (11.5% and 14.5%, respectively), </w:t>
      </w:r>
      <w:r>
        <w:rPr>
          <w:rFonts w:eastAsiaTheme="minorHAnsi" w:cs="TimesNewRoman"/>
        </w:rPr>
        <w:t>URTI</w:t>
      </w:r>
      <w:r w:rsidRPr="006F555D">
        <w:rPr>
          <w:rFonts w:eastAsiaTheme="minorHAnsi" w:cs="TimesNewRoman"/>
        </w:rPr>
        <w:t xml:space="preserve"> (4.5% and 7.0%, respectively), influenza (6.4% and 4.4%,</w:t>
      </w:r>
      <w:r>
        <w:rPr>
          <w:rFonts w:eastAsiaTheme="minorHAnsi" w:cs="TimesNewRoman"/>
        </w:rPr>
        <w:t xml:space="preserve"> </w:t>
      </w:r>
      <w:r w:rsidRPr="006F555D">
        <w:rPr>
          <w:rFonts w:eastAsiaTheme="minorHAnsi" w:cs="TimesNewRoman"/>
        </w:rPr>
        <w:t xml:space="preserve">respectively), </w:t>
      </w:r>
      <w:r>
        <w:rPr>
          <w:rFonts w:eastAsiaTheme="minorHAnsi" w:cs="TimesNewRoman"/>
        </w:rPr>
        <w:t>HZ</w:t>
      </w:r>
      <w:r w:rsidRPr="006F555D">
        <w:rPr>
          <w:rFonts w:eastAsiaTheme="minorHAnsi" w:cs="TimesNewRoman"/>
        </w:rPr>
        <w:t xml:space="preserve"> (4.5% and 4.1%, respectively), and gastroenteritis (2.6% and</w:t>
      </w:r>
      <w:r>
        <w:rPr>
          <w:rFonts w:eastAsiaTheme="minorHAnsi" w:cs="TimesNewRoman"/>
        </w:rPr>
        <w:t xml:space="preserve"> </w:t>
      </w:r>
      <w:r w:rsidRPr="006F555D">
        <w:rPr>
          <w:rFonts w:eastAsiaTheme="minorHAnsi" w:cs="TimesNewRoman"/>
        </w:rPr>
        <w:t xml:space="preserve">4.1%, respectively). Appendicitis (reported in 1 subject in the </w:t>
      </w:r>
      <w:proofErr w:type="spellStart"/>
      <w:r w:rsidRPr="006F555D">
        <w:rPr>
          <w:rFonts w:eastAsiaTheme="minorHAnsi" w:cs="TimesNewRoman"/>
        </w:rPr>
        <w:t>tofacitinib</w:t>
      </w:r>
      <w:proofErr w:type="spellEnd"/>
      <w:r w:rsidRPr="006F555D">
        <w:rPr>
          <w:rFonts w:eastAsiaTheme="minorHAnsi" w:cs="TimesNewRoman"/>
        </w:rPr>
        <w:t xml:space="preserve"> 5 mg</w:t>
      </w:r>
      <w:r>
        <w:rPr>
          <w:rFonts w:eastAsiaTheme="minorHAnsi" w:cs="TimesNewRoman"/>
        </w:rPr>
        <w:t xml:space="preserve"> </w:t>
      </w:r>
      <w:r w:rsidRPr="006F555D">
        <w:rPr>
          <w:rFonts w:eastAsiaTheme="minorHAnsi" w:cs="TimesNewRoman"/>
        </w:rPr>
        <w:t xml:space="preserve">BID group and 2 subjects in the </w:t>
      </w:r>
      <w:proofErr w:type="spellStart"/>
      <w:r w:rsidRPr="006F555D">
        <w:rPr>
          <w:rFonts w:eastAsiaTheme="minorHAnsi" w:cs="TimesNewRoman"/>
        </w:rPr>
        <w:t>tofacitinib</w:t>
      </w:r>
      <w:proofErr w:type="spellEnd"/>
      <w:r w:rsidRPr="006F555D">
        <w:rPr>
          <w:rFonts w:eastAsiaTheme="minorHAnsi" w:cs="TimesNewRoman"/>
        </w:rPr>
        <w:t xml:space="preserve"> 10 mg BID group) and </w:t>
      </w:r>
      <w:proofErr w:type="spellStart"/>
      <w:r w:rsidRPr="006F555D">
        <w:rPr>
          <w:rFonts w:eastAsiaTheme="minorHAnsi" w:cs="TimesNewRoman"/>
        </w:rPr>
        <w:t>nasopharyngitis</w:t>
      </w:r>
      <w:proofErr w:type="spellEnd"/>
      <w:r w:rsidRPr="006F555D">
        <w:rPr>
          <w:rFonts w:eastAsiaTheme="minorHAnsi" w:cs="TimesNewRoman"/>
        </w:rPr>
        <w:t xml:space="preserve"> (reported</w:t>
      </w:r>
      <w:r>
        <w:rPr>
          <w:rFonts w:eastAsiaTheme="minorHAnsi" w:cs="TimesNewRoman"/>
        </w:rPr>
        <w:t xml:space="preserve"> </w:t>
      </w:r>
      <w:r w:rsidRPr="006F555D">
        <w:rPr>
          <w:rFonts w:eastAsiaTheme="minorHAnsi" w:cs="TimesNewRoman"/>
        </w:rPr>
        <w:t xml:space="preserve">in 2 subjects in the </w:t>
      </w:r>
      <w:proofErr w:type="spellStart"/>
      <w:r w:rsidRPr="006F555D">
        <w:rPr>
          <w:rFonts w:eastAsiaTheme="minorHAnsi" w:cs="TimesNewRoman"/>
        </w:rPr>
        <w:t>tofacitinib</w:t>
      </w:r>
      <w:proofErr w:type="spellEnd"/>
      <w:r w:rsidRPr="006F555D">
        <w:rPr>
          <w:rFonts w:eastAsiaTheme="minorHAnsi" w:cs="TimesNewRoman"/>
        </w:rPr>
        <w:t xml:space="preserve"> 10 mg BID group) were the only severe infections reported in</w:t>
      </w:r>
      <w:r>
        <w:rPr>
          <w:rFonts w:eastAsiaTheme="minorHAnsi" w:cs="TimesNewRoman"/>
        </w:rPr>
        <w:t xml:space="preserve"> </w:t>
      </w:r>
      <w:r w:rsidRPr="006F555D">
        <w:rPr>
          <w:rFonts w:eastAsiaTheme="minorHAnsi" w:cs="TimesNewRoman"/>
        </w:rPr>
        <w:t>more than 1 subject in either treatment group</w:t>
      </w:r>
      <w:r w:rsidR="000D0442">
        <w:rPr>
          <w:rFonts w:eastAsiaTheme="minorHAnsi" w:cs="TimesNewRoman"/>
        </w:rPr>
        <w:t>.</w:t>
      </w:r>
    </w:p>
    <w:p w14:paraId="40D7EA8F" w14:textId="77777777" w:rsidR="007757F1" w:rsidRPr="002717B2" w:rsidRDefault="007757F1" w:rsidP="000D0442">
      <w:pPr>
        <w:rPr>
          <w:rFonts w:eastAsiaTheme="minorHAnsi" w:cs="TimesNewRoman"/>
        </w:rPr>
      </w:pPr>
      <w:r w:rsidRPr="002717B2">
        <w:rPr>
          <w:rFonts w:eastAsiaTheme="minorHAnsi" w:cs="TimesNewRoman"/>
        </w:rPr>
        <w:t xml:space="preserve">In the </w:t>
      </w:r>
      <w:proofErr w:type="spellStart"/>
      <w:r w:rsidRPr="002717B2">
        <w:rPr>
          <w:rFonts w:eastAsiaTheme="minorHAnsi" w:cs="TimesNewRoman"/>
        </w:rPr>
        <w:t>tofacitinib</w:t>
      </w:r>
      <w:proofErr w:type="spellEnd"/>
      <w:r w:rsidRPr="002717B2">
        <w:rPr>
          <w:rFonts w:eastAsiaTheme="minorHAnsi" w:cs="TimesNewRoman"/>
        </w:rPr>
        <w:t xml:space="preserve"> 5 mg BID group, 28 subjects</w:t>
      </w:r>
      <w:r>
        <w:rPr>
          <w:rFonts w:eastAsiaTheme="minorHAnsi" w:cs="TimesNewRoman"/>
        </w:rPr>
        <w:t xml:space="preserve"> </w:t>
      </w:r>
      <w:r w:rsidR="00C71D4B">
        <w:rPr>
          <w:rFonts w:eastAsiaTheme="minorHAnsi" w:cs="TimesNewRoman"/>
        </w:rPr>
        <w:t xml:space="preserve">(17.9%) had treatment </w:t>
      </w:r>
      <w:r w:rsidRPr="002717B2">
        <w:rPr>
          <w:rFonts w:eastAsiaTheme="minorHAnsi" w:cs="TimesNewRoman"/>
        </w:rPr>
        <w:t>related infection AEs and 1</w:t>
      </w:r>
      <w:r w:rsidR="00C71D4B">
        <w:rPr>
          <w:rFonts w:eastAsiaTheme="minorHAnsi" w:cs="TimesNewRoman"/>
        </w:rPr>
        <w:t xml:space="preserve"> subject (0.6%) had a treatment </w:t>
      </w:r>
      <w:r w:rsidRPr="002717B2">
        <w:rPr>
          <w:rFonts w:eastAsiaTheme="minorHAnsi" w:cs="TimesNewRoman"/>
        </w:rPr>
        <w:t>related</w:t>
      </w:r>
      <w:r>
        <w:rPr>
          <w:rFonts w:eastAsiaTheme="minorHAnsi" w:cs="TimesNewRoman"/>
        </w:rPr>
        <w:t xml:space="preserve"> </w:t>
      </w:r>
      <w:r w:rsidRPr="002717B2">
        <w:rPr>
          <w:rFonts w:eastAsiaTheme="minorHAnsi" w:cs="TimesNewRoman"/>
        </w:rPr>
        <w:t xml:space="preserve">infection SAE. In the </w:t>
      </w:r>
      <w:proofErr w:type="spellStart"/>
      <w:r w:rsidRPr="002717B2">
        <w:rPr>
          <w:rFonts w:eastAsiaTheme="minorHAnsi" w:cs="TimesNewRoman"/>
        </w:rPr>
        <w:t>tofacitinib</w:t>
      </w:r>
      <w:proofErr w:type="spellEnd"/>
      <w:r w:rsidRPr="002717B2">
        <w:rPr>
          <w:rFonts w:eastAsiaTheme="minorHAnsi" w:cs="TimesNewRoman"/>
        </w:rPr>
        <w:t xml:space="preserve"> 10 mg BID group, 154 subjects (20.3%) had</w:t>
      </w:r>
      <w:r>
        <w:rPr>
          <w:rFonts w:eastAsiaTheme="minorHAnsi" w:cs="TimesNewRoman"/>
        </w:rPr>
        <w:t xml:space="preserve"> </w:t>
      </w:r>
      <w:r w:rsidRPr="002717B2">
        <w:rPr>
          <w:rFonts w:eastAsiaTheme="minorHAnsi" w:cs="TimesNewRoman"/>
        </w:rPr>
        <w:t xml:space="preserve">treatment-related infection AEs and 6 </w:t>
      </w:r>
      <w:r w:rsidR="00C71D4B">
        <w:rPr>
          <w:rFonts w:eastAsiaTheme="minorHAnsi" w:cs="TimesNewRoman"/>
        </w:rPr>
        <w:t xml:space="preserve">subjects (0.8%) had a treatment </w:t>
      </w:r>
      <w:r w:rsidRPr="002717B2">
        <w:rPr>
          <w:rFonts w:eastAsiaTheme="minorHAnsi" w:cs="TimesNewRoman"/>
        </w:rPr>
        <w:t>related infection SAE.</w:t>
      </w:r>
      <w:r>
        <w:rPr>
          <w:rFonts w:eastAsiaTheme="minorHAnsi" w:cs="TimesNewRoman"/>
        </w:rPr>
        <w:t xml:space="preserve"> </w:t>
      </w:r>
      <w:r w:rsidRPr="002717B2">
        <w:rPr>
          <w:rFonts w:eastAsiaTheme="minorHAnsi" w:cs="TimesNewRoman"/>
        </w:rPr>
        <w:t xml:space="preserve">Six subjects in the </w:t>
      </w:r>
      <w:proofErr w:type="spellStart"/>
      <w:r w:rsidRPr="002717B2">
        <w:rPr>
          <w:rFonts w:eastAsiaTheme="minorHAnsi" w:cs="TimesNewRoman"/>
        </w:rPr>
        <w:t>tofacitinib</w:t>
      </w:r>
      <w:proofErr w:type="spellEnd"/>
      <w:r w:rsidRPr="002717B2">
        <w:rPr>
          <w:rFonts w:eastAsiaTheme="minorHAnsi" w:cs="TimesNewRoman"/>
        </w:rPr>
        <w:t xml:space="preserve"> 10 mg B</w:t>
      </w:r>
      <w:r w:rsidR="00C71D4B">
        <w:rPr>
          <w:rFonts w:eastAsiaTheme="minorHAnsi" w:cs="TimesNewRoman"/>
        </w:rPr>
        <w:t xml:space="preserve">ID group had a severe treatment </w:t>
      </w:r>
      <w:r w:rsidRPr="002717B2">
        <w:rPr>
          <w:rFonts w:eastAsiaTheme="minorHAnsi" w:cs="TimesNewRoman"/>
        </w:rPr>
        <w:t>related infection</w:t>
      </w:r>
      <w:r>
        <w:rPr>
          <w:rFonts w:eastAsiaTheme="minorHAnsi" w:cs="TimesNewRoman"/>
        </w:rPr>
        <w:t xml:space="preserve"> </w:t>
      </w:r>
      <w:r w:rsidRPr="002717B2">
        <w:rPr>
          <w:rFonts w:eastAsiaTheme="minorHAnsi" w:cs="TimesNewRoman"/>
        </w:rPr>
        <w:t xml:space="preserve">(arthritis bacterial, atypical pneumonia, </w:t>
      </w:r>
      <w:r>
        <w:rPr>
          <w:rFonts w:eastAsiaTheme="minorHAnsi" w:cs="TimesNewRoman"/>
        </w:rPr>
        <w:t>HZ</w:t>
      </w:r>
      <w:r w:rsidRPr="002717B2">
        <w:rPr>
          <w:rFonts w:eastAsiaTheme="minorHAnsi" w:cs="TimesNewRoman"/>
        </w:rPr>
        <w:t xml:space="preserve">, </w:t>
      </w:r>
      <w:proofErr w:type="spellStart"/>
      <w:r w:rsidRPr="002717B2">
        <w:rPr>
          <w:rFonts w:eastAsiaTheme="minorHAnsi" w:cs="TimesNewRoman"/>
        </w:rPr>
        <w:t>nasopharyngitis</w:t>
      </w:r>
      <w:proofErr w:type="spellEnd"/>
      <w:r w:rsidRPr="002717B2">
        <w:rPr>
          <w:rFonts w:eastAsiaTheme="minorHAnsi" w:cs="TimesNewRoman"/>
        </w:rPr>
        <w:t xml:space="preserve"> </w:t>
      </w:r>
      <w:r w:rsidR="006C148C">
        <w:rPr>
          <w:rFonts w:eastAsiaTheme="minorHAnsi" w:cs="TimesNewRoman"/>
        </w:rPr>
        <w:t>(</w:t>
      </w:r>
      <w:r w:rsidRPr="002717B2">
        <w:rPr>
          <w:rFonts w:eastAsiaTheme="minorHAnsi" w:cs="TimesNewRoman"/>
        </w:rPr>
        <w:t>2 events</w:t>
      </w:r>
      <w:r w:rsidR="006C148C">
        <w:rPr>
          <w:rFonts w:eastAsiaTheme="minorHAnsi" w:cs="TimesNewRoman"/>
        </w:rPr>
        <w:t>)</w:t>
      </w:r>
      <w:r w:rsidRPr="002717B2">
        <w:rPr>
          <w:rFonts w:eastAsiaTheme="minorHAnsi" w:cs="TimesNewRoman"/>
        </w:rPr>
        <w:t>, and</w:t>
      </w:r>
      <w:r w:rsidR="00C71D4B">
        <w:rPr>
          <w:rFonts w:eastAsiaTheme="minorHAnsi" w:cs="TimesNewRoman"/>
        </w:rPr>
        <w:t xml:space="preserve"> post </w:t>
      </w:r>
      <w:r>
        <w:rPr>
          <w:rFonts w:eastAsiaTheme="minorHAnsi" w:cs="TimesNewRoman"/>
        </w:rPr>
        <w:t>procedural sepsis). Eight</w:t>
      </w:r>
      <w:r w:rsidRPr="002717B2">
        <w:rPr>
          <w:rFonts w:eastAsiaTheme="minorHAnsi" w:cs="TimesNewRoman"/>
        </w:rPr>
        <w:t xml:space="preserve"> subject</w:t>
      </w:r>
      <w:r w:rsidR="00C71D4B">
        <w:rPr>
          <w:rFonts w:eastAsiaTheme="minorHAnsi" w:cs="TimesNewRoman"/>
        </w:rPr>
        <w:t xml:space="preserve">s discontinued due to treatment </w:t>
      </w:r>
      <w:r w:rsidRPr="002717B2">
        <w:rPr>
          <w:rFonts w:eastAsiaTheme="minorHAnsi" w:cs="TimesNewRoman"/>
        </w:rPr>
        <w:t>related infections</w:t>
      </w:r>
      <w:r>
        <w:rPr>
          <w:rFonts w:eastAsiaTheme="minorHAnsi" w:cs="TimesNewRoman"/>
        </w:rPr>
        <w:t xml:space="preserve"> (</w:t>
      </w:r>
      <w:r w:rsidRPr="002717B2">
        <w:rPr>
          <w:rFonts w:eastAsiaTheme="minorHAnsi" w:cs="TimesNewRoman"/>
        </w:rPr>
        <w:t xml:space="preserve">1 in the </w:t>
      </w:r>
      <w:proofErr w:type="spellStart"/>
      <w:r w:rsidRPr="002717B2">
        <w:rPr>
          <w:rFonts w:eastAsiaTheme="minorHAnsi" w:cs="TimesNewRoman"/>
        </w:rPr>
        <w:t>tofacitinib</w:t>
      </w:r>
      <w:proofErr w:type="spellEnd"/>
      <w:r w:rsidRPr="002717B2">
        <w:rPr>
          <w:rFonts w:eastAsiaTheme="minorHAnsi" w:cs="TimesNewRoman"/>
        </w:rPr>
        <w:t xml:space="preserve"> 5 mg BID</w:t>
      </w:r>
      <w:r>
        <w:rPr>
          <w:rFonts w:eastAsiaTheme="minorHAnsi" w:cs="TimesNewRoman"/>
        </w:rPr>
        <w:t xml:space="preserve"> </w:t>
      </w:r>
      <w:r w:rsidRPr="002717B2">
        <w:rPr>
          <w:rFonts w:eastAsiaTheme="minorHAnsi" w:cs="TimesNewRoman"/>
        </w:rPr>
        <w:t xml:space="preserve">group and 7 in the </w:t>
      </w:r>
      <w:proofErr w:type="spellStart"/>
      <w:r w:rsidRPr="002717B2">
        <w:rPr>
          <w:rFonts w:eastAsiaTheme="minorHAnsi" w:cs="TimesNewRoman"/>
        </w:rPr>
        <w:t>tofacitinib</w:t>
      </w:r>
      <w:proofErr w:type="spellEnd"/>
      <w:r w:rsidRPr="002717B2">
        <w:rPr>
          <w:rFonts w:eastAsiaTheme="minorHAnsi" w:cs="TimesNewRoman"/>
        </w:rPr>
        <w:t xml:space="preserve"> 10 mg BID group</w:t>
      </w:r>
      <w:r>
        <w:rPr>
          <w:rFonts w:eastAsiaTheme="minorHAnsi" w:cs="TimesNewRoman"/>
        </w:rPr>
        <w:t>)</w:t>
      </w:r>
      <w:r w:rsidRPr="002717B2">
        <w:rPr>
          <w:rFonts w:eastAsiaTheme="minorHAnsi" w:cs="TimesNewRoman"/>
        </w:rPr>
        <w:t>.</w:t>
      </w:r>
    </w:p>
    <w:p w14:paraId="364E3BDA" w14:textId="77777777" w:rsidR="007757F1" w:rsidRDefault="007757F1" w:rsidP="000D0442">
      <w:pPr>
        <w:pStyle w:val="Heading6"/>
      </w:pPr>
      <w:r>
        <w:t>Herpes zoster adverse effects</w:t>
      </w:r>
    </w:p>
    <w:p w14:paraId="725AF41B" w14:textId="77777777" w:rsidR="007757F1" w:rsidRDefault="007757F1" w:rsidP="007757F1">
      <w:pPr>
        <w:autoSpaceDE w:val="0"/>
        <w:autoSpaceDN w:val="0"/>
        <w:adjustRightInd w:val="0"/>
        <w:spacing w:before="0" w:after="0" w:line="240" w:lineRule="auto"/>
        <w:rPr>
          <w:rFonts w:eastAsiaTheme="minorHAnsi" w:cs="TimesNewRoman"/>
        </w:rPr>
      </w:pPr>
      <w:r>
        <w:rPr>
          <w:rFonts w:eastAsiaTheme="minorHAnsi" w:cs="TimesNewRoman"/>
        </w:rPr>
        <w:t>In Study A3921094, t</w:t>
      </w:r>
      <w:r w:rsidRPr="006A74A9">
        <w:rPr>
          <w:rFonts w:eastAsiaTheme="minorHAnsi" w:cs="TimesNewRoman"/>
        </w:rPr>
        <w:t>here were 3</w:t>
      </w:r>
      <w:r>
        <w:rPr>
          <w:rFonts w:eastAsiaTheme="minorHAnsi" w:cs="TimesNewRoman"/>
        </w:rPr>
        <w:t xml:space="preserve"> (0.6%) HZ</w:t>
      </w:r>
      <w:r w:rsidRPr="006A74A9">
        <w:rPr>
          <w:rFonts w:eastAsiaTheme="minorHAnsi" w:cs="TimesNewRoman"/>
        </w:rPr>
        <w:t xml:space="preserve"> </w:t>
      </w:r>
      <w:r>
        <w:rPr>
          <w:rFonts w:eastAsiaTheme="minorHAnsi" w:cs="TimesNewRoman"/>
        </w:rPr>
        <w:t xml:space="preserve">cases </w:t>
      </w:r>
      <w:r w:rsidRPr="006A74A9">
        <w:rPr>
          <w:rFonts w:eastAsiaTheme="minorHAnsi" w:cs="TimesNewRoman"/>
        </w:rPr>
        <w:t xml:space="preserve">in the </w:t>
      </w:r>
      <w:proofErr w:type="spellStart"/>
      <w:r w:rsidRPr="006A74A9">
        <w:rPr>
          <w:rFonts w:eastAsiaTheme="minorHAnsi" w:cs="TimesNewRoman"/>
        </w:rPr>
        <w:t>tofacitinib</w:t>
      </w:r>
      <w:proofErr w:type="spellEnd"/>
      <w:r w:rsidRPr="006A74A9">
        <w:rPr>
          <w:rFonts w:eastAsiaTheme="minorHAnsi" w:cs="TimesNewRoman"/>
        </w:rPr>
        <w:t xml:space="preserve"> 10 mg BID group</w:t>
      </w:r>
      <w:r>
        <w:rPr>
          <w:rFonts w:eastAsiaTheme="minorHAnsi" w:cs="TimesNewRoman"/>
        </w:rPr>
        <w:t xml:space="preserve"> </w:t>
      </w:r>
      <w:r w:rsidRPr="006A74A9">
        <w:rPr>
          <w:rFonts w:eastAsiaTheme="minorHAnsi" w:cs="TimesNewRoman"/>
        </w:rPr>
        <w:t>and 1</w:t>
      </w:r>
      <w:r>
        <w:rPr>
          <w:rFonts w:eastAsiaTheme="minorHAnsi" w:cs="TimesNewRoman"/>
        </w:rPr>
        <w:t xml:space="preserve"> (0.8%)</w:t>
      </w:r>
      <w:r w:rsidRPr="006A74A9">
        <w:rPr>
          <w:rFonts w:eastAsiaTheme="minorHAnsi" w:cs="TimesNewRoman"/>
        </w:rPr>
        <w:t xml:space="preserve"> in the placebo group</w:t>
      </w:r>
      <w:r>
        <w:rPr>
          <w:rFonts w:eastAsiaTheme="minorHAnsi" w:cs="TimesNewRoman"/>
        </w:rPr>
        <w:t xml:space="preserve">, 2 were considered related to study drug (and 1 to viral infection) and also </w:t>
      </w:r>
      <w:r w:rsidRPr="00052F60">
        <w:rPr>
          <w:rFonts w:eastAsiaTheme="minorHAnsi" w:cs="TimesNewRoman"/>
        </w:rPr>
        <w:t xml:space="preserve">adjudicated as </w:t>
      </w:r>
      <w:r>
        <w:rPr>
          <w:rFonts w:eastAsiaTheme="minorHAnsi" w:cs="TimesNewRoman"/>
        </w:rPr>
        <w:t>OIs. The single case of HZ in the placebo group was also considered study drug related. No cases of HZ were severe or recorded as SAEs. In Study A3921095, t</w:t>
      </w:r>
      <w:r w:rsidRPr="004448E6">
        <w:rPr>
          <w:rFonts w:eastAsiaTheme="minorHAnsi" w:cs="TimesNewRoman"/>
        </w:rPr>
        <w:t>here were 2</w:t>
      </w:r>
      <w:r>
        <w:rPr>
          <w:rFonts w:eastAsiaTheme="minorHAnsi" w:cs="TimesNewRoman"/>
        </w:rPr>
        <w:t xml:space="preserve"> (0.5%)</w:t>
      </w:r>
      <w:r w:rsidRPr="004448E6">
        <w:rPr>
          <w:rFonts w:eastAsiaTheme="minorHAnsi" w:cs="TimesNewRoman"/>
        </w:rPr>
        <w:t xml:space="preserve"> subjects with </w:t>
      </w:r>
      <w:r>
        <w:rPr>
          <w:rFonts w:eastAsiaTheme="minorHAnsi" w:cs="TimesNewRoman"/>
        </w:rPr>
        <w:t>HZ</w:t>
      </w:r>
      <w:r w:rsidRPr="004448E6">
        <w:rPr>
          <w:rFonts w:eastAsiaTheme="minorHAnsi" w:cs="TimesNewRoman"/>
        </w:rPr>
        <w:t xml:space="preserve"> in the </w:t>
      </w:r>
      <w:proofErr w:type="spellStart"/>
      <w:r w:rsidRPr="004448E6">
        <w:rPr>
          <w:rFonts w:eastAsiaTheme="minorHAnsi" w:cs="TimesNewRoman"/>
        </w:rPr>
        <w:t>tofacitinib</w:t>
      </w:r>
      <w:proofErr w:type="spellEnd"/>
      <w:r w:rsidRPr="004448E6">
        <w:rPr>
          <w:rFonts w:eastAsiaTheme="minorHAnsi" w:cs="TimesNewRoman"/>
        </w:rPr>
        <w:t xml:space="preserve"> 10 mg BID group (0.5%), compared with none in the placebo group</w:t>
      </w:r>
      <w:r>
        <w:rPr>
          <w:rFonts w:eastAsiaTheme="minorHAnsi" w:cs="TimesNewRoman"/>
        </w:rPr>
        <w:t xml:space="preserve">. Both events were considered study drug related, and of these was </w:t>
      </w:r>
      <w:r w:rsidRPr="004448E6">
        <w:rPr>
          <w:rFonts w:eastAsiaTheme="minorHAnsi" w:cs="TimesNewRoman"/>
        </w:rPr>
        <w:t xml:space="preserve">adjudicated as an </w:t>
      </w:r>
      <w:r>
        <w:rPr>
          <w:rFonts w:eastAsiaTheme="minorHAnsi" w:cs="TimesNewRoman"/>
        </w:rPr>
        <w:t>OI</w:t>
      </w:r>
      <w:r w:rsidRPr="004448E6">
        <w:rPr>
          <w:rFonts w:eastAsiaTheme="minorHAnsi" w:cs="TimesNewRoman"/>
        </w:rPr>
        <w:t xml:space="preserve"> based on </w:t>
      </w:r>
      <w:proofErr w:type="spellStart"/>
      <w:r w:rsidRPr="004448E6">
        <w:rPr>
          <w:rFonts w:eastAsiaTheme="minorHAnsi" w:cs="TimesNewRoman"/>
        </w:rPr>
        <w:t>multidermatomal</w:t>
      </w:r>
      <w:proofErr w:type="spellEnd"/>
      <w:r w:rsidRPr="004448E6">
        <w:rPr>
          <w:rFonts w:eastAsiaTheme="minorHAnsi" w:cs="TimesNewRoman"/>
        </w:rPr>
        <w:t xml:space="preserve"> involvement</w:t>
      </w:r>
      <w:r>
        <w:rPr>
          <w:rFonts w:eastAsiaTheme="minorHAnsi" w:cs="TimesNewRoman"/>
        </w:rPr>
        <w:t>.</w:t>
      </w:r>
      <w:r w:rsidR="005F7896">
        <w:rPr>
          <w:rFonts w:eastAsiaTheme="minorHAnsi" w:cs="TimesNewRoman"/>
        </w:rPr>
        <w:t xml:space="preserve"> </w:t>
      </w:r>
      <w:r w:rsidR="00C71D4B">
        <w:rPr>
          <w:rFonts w:eastAsiaTheme="minorHAnsi" w:cs="TimesNewRoman"/>
        </w:rPr>
        <w:t>Neither cases were</w:t>
      </w:r>
      <w:r>
        <w:rPr>
          <w:rFonts w:eastAsiaTheme="minorHAnsi" w:cs="TimesNewRoman"/>
        </w:rPr>
        <w:t xml:space="preserve"> severe, a SAE and no case discontinued the study due to a HZ infection.</w:t>
      </w:r>
    </w:p>
    <w:p w14:paraId="2653AED0" w14:textId="77777777" w:rsidR="007757F1" w:rsidRPr="00524A57" w:rsidRDefault="007757F1" w:rsidP="007757F1">
      <w:pPr>
        <w:rPr>
          <w:lang w:eastAsia="ja-JP"/>
        </w:rPr>
      </w:pPr>
      <w:r>
        <w:rPr>
          <w:lang w:eastAsia="ja-JP"/>
        </w:rPr>
        <w:t>In Study A3921096, t</w:t>
      </w:r>
      <w:r w:rsidRPr="00524A57">
        <w:rPr>
          <w:rFonts w:eastAsiaTheme="minorHAnsi" w:cs="TimesNewRoman"/>
        </w:rPr>
        <w:t xml:space="preserve">he proportion of observed cases of </w:t>
      </w:r>
      <w:r>
        <w:rPr>
          <w:rFonts w:eastAsiaTheme="minorHAnsi" w:cs="TimesNewRoman"/>
        </w:rPr>
        <w:t>HZ</w:t>
      </w:r>
      <w:r w:rsidRPr="00524A57">
        <w:rPr>
          <w:rFonts w:eastAsiaTheme="minorHAnsi" w:cs="TimesNewRoman"/>
        </w:rPr>
        <w:t xml:space="preserve"> increased in a </w:t>
      </w:r>
      <w:r w:rsidR="00C71D4B">
        <w:rPr>
          <w:rFonts w:eastAsiaTheme="minorHAnsi" w:cs="TimesNewRoman"/>
        </w:rPr>
        <w:t xml:space="preserve">dose </w:t>
      </w:r>
      <w:r>
        <w:rPr>
          <w:rFonts w:eastAsiaTheme="minorHAnsi" w:cs="TimesNewRoman"/>
        </w:rPr>
        <w:t xml:space="preserve">dependent manner, which achieved statistical significance for </w:t>
      </w:r>
      <w:proofErr w:type="spellStart"/>
      <w:r>
        <w:rPr>
          <w:rFonts w:eastAsiaTheme="minorHAnsi" w:cs="TimesNewRoman"/>
        </w:rPr>
        <w:t>tofacitinib</w:t>
      </w:r>
      <w:proofErr w:type="spellEnd"/>
      <w:r>
        <w:rPr>
          <w:rFonts w:eastAsiaTheme="minorHAnsi" w:cs="TimesNewRoman"/>
        </w:rPr>
        <w:t xml:space="preserve"> 10 mg treatment compared with placebo</w:t>
      </w:r>
      <w:r w:rsidR="00C71D4B">
        <w:rPr>
          <w:rFonts w:eastAsiaTheme="minorHAnsi" w:cs="TimesNewRoman"/>
        </w:rPr>
        <w:t xml:space="preserve"> treatment (p = 0.0053</w:t>
      </w:r>
      <w:r w:rsidR="00C71D4B" w:rsidRPr="00864C03">
        <w:rPr>
          <w:rFonts w:eastAsiaTheme="minorHAnsi" w:cs="TimesNewRoman"/>
        </w:rPr>
        <w:t>;</w:t>
      </w:r>
      <w:r w:rsidR="005F4107">
        <w:rPr>
          <w:rFonts w:eastAsiaTheme="minorHAnsi" w:cs="TimesNewRoman"/>
        </w:rPr>
        <w:fldChar w:fldCharType="begin"/>
      </w:r>
      <w:r w:rsidR="005F4107">
        <w:rPr>
          <w:rFonts w:eastAsiaTheme="minorHAnsi" w:cs="TimesNewRoman"/>
        </w:rPr>
        <w:instrText xml:space="preserve"> REF _Ref15026720 \h </w:instrText>
      </w:r>
      <w:r w:rsidR="005F4107">
        <w:rPr>
          <w:rFonts w:eastAsiaTheme="minorHAnsi" w:cs="TimesNewRoman"/>
        </w:rPr>
      </w:r>
      <w:r w:rsidR="005F4107">
        <w:rPr>
          <w:rFonts w:eastAsiaTheme="minorHAnsi" w:cs="TimesNewRoman"/>
        </w:rPr>
        <w:fldChar w:fldCharType="separate"/>
      </w:r>
      <w:r w:rsidR="005F4107">
        <w:t xml:space="preserve">Table </w:t>
      </w:r>
      <w:r w:rsidR="005F4107">
        <w:rPr>
          <w:noProof/>
        </w:rPr>
        <w:t>5</w:t>
      </w:r>
      <w:r w:rsidR="005F4107">
        <w:rPr>
          <w:rFonts w:eastAsiaTheme="minorHAnsi" w:cs="TimesNewRoman"/>
        </w:rPr>
        <w:fldChar w:fldCharType="end"/>
      </w:r>
      <w:r w:rsidRPr="00864C03">
        <w:rPr>
          <w:rFonts w:eastAsiaTheme="minorHAnsi" w:cs="TimesNewRoman"/>
        </w:rPr>
        <w:t>).</w:t>
      </w:r>
    </w:p>
    <w:p w14:paraId="736636E7" w14:textId="0F144F7F" w:rsidR="007757F1" w:rsidRPr="00705562" w:rsidRDefault="005F4107" w:rsidP="005F4107">
      <w:pPr>
        <w:pStyle w:val="TableTitle"/>
        <w:rPr>
          <w:lang w:eastAsia="ja-JP"/>
        </w:rPr>
      </w:pPr>
      <w:bookmarkStart w:id="110" w:name="_Ref15026720"/>
      <w:r>
        <w:t xml:space="preserve">Table </w:t>
      </w:r>
      <w:r w:rsidR="009870DC">
        <w:fldChar w:fldCharType="begin"/>
      </w:r>
      <w:r w:rsidR="009870DC">
        <w:instrText xml:space="preserve"> SEQ Table \* ARABIC </w:instrText>
      </w:r>
      <w:r w:rsidR="009870DC">
        <w:fldChar w:fldCharType="separate"/>
      </w:r>
      <w:r w:rsidR="004E5B1B">
        <w:rPr>
          <w:noProof/>
        </w:rPr>
        <w:t>5</w:t>
      </w:r>
      <w:r w:rsidR="009870DC">
        <w:rPr>
          <w:noProof/>
        </w:rPr>
        <w:fldChar w:fldCharType="end"/>
      </w:r>
      <w:bookmarkEnd w:id="110"/>
      <w:r w:rsidR="007757F1" w:rsidRPr="00705562">
        <w:rPr>
          <w:lang w:eastAsia="ja-JP"/>
        </w:rPr>
        <w:t xml:space="preserve">: </w:t>
      </w:r>
      <w:r w:rsidR="007757F1" w:rsidRPr="00705562">
        <w:t xml:space="preserve">Incidence of </w:t>
      </w:r>
      <w:r w:rsidR="007757F1">
        <w:t>herpes zoster</w:t>
      </w:r>
      <w:r w:rsidR="007757F1" w:rsidRPr="00705562">
        <w:t xml:space="preserve"> TEAEs by SOC and </w:t>
      </w:r>
      <w:r w:rsidR="00CF6A6C">
        <w:t>P</w:t>
      </w:r>
      <w:r w:rsidR="00C71D4B">
        <w:t xml:space="preserve">referred </w:t>
      </w:r>
      <w:r w:rsidR="00CF6A6C">
        <w:t>T</w:t>
      </w:r>
      <w:r w:rsidR="00C71D4B">
        <w:t>erm</w:t>
      </w:r>
      <w:r w:rsidR="007757F1">
        <w:t xml:space="preserve"> </w:t>
      </w:r>
      <w:r w:rsidR="00CF6A6C">
        <w:t xml:space="preserve">(PT) </w:t>
      </w:r>
      <w:r w:rsidR="007757F1">
        <w:t>for Study A3921096 (</w:t>
      </w:r>
      <w:r w:rsidR="00C71D4B">
        <w:t>safety analysis set</w:t>
      </w:r>
      <w:r w:rsidR="007757F1">
        <w:t>)</w:t>
      </w:r>
    </w:p>
    <w:p w14:paraId="335537DA" w14:textId="77777777" w:rsidR="007757F1" w:rsidRDefault="007757F1" w:rsidP="007757F1">
      <w:pPr>
        <w:rPr>
          <w:lang w:eastAsia="ja-JP"/>
        </w:rPr>
      </w:pPr>
      <w:r>
        <w:rPr>
          <w:noProof/>
          <w:lang w:eastAsia="en-AU"/>
        </w:rPr>
        <w:drawing>
          <wp:inline distT="0" distB="0" distL="0" distR="0" wp14:anchorId="75B3AA87" wp14:editId="08A20424">
            <wp:extent cx="5303520" cy="1199693"/>
            <wp:effectExtent l="0" t="0" r="0" b="635"/>
            <wp:docPr id="71" name="Picture 71" descr="Incidence of herpes zoster TEAEs by SOC and preferred term for Study A3921096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33744" cy="1206530"/>
                    </a:xfrm>
                    <a:prstGeom prst="rect">
                      <a:avLst/>
                    </a:prstGeom>
                  </pic:spPr>
                </pic:pic>
              </a:graphicData>
            </a:graphic>
          </wp:inline>
        </w:drawing>
      </w:r>
    </w:p>
    <w:p w14:paraId="674C6A74" w14:textId="77777777" w:rsidR="007757F1" w:rsidRDefault="007757F1" w:rsidP="000D0442">
      <w:pPr>
        <w:rPr>
          <w:lang w:eastAsia="ja-JP"/>
        </w:rPr>
      </w:pPr>
      <w:r>
        <w:rPr>
          <w:lang w:eastAsia="ja-JP"/>
        </w:rPr>
        <w:t>No case of HZ was severe, a SAE or discontinued from the study due to HZ infection.</w:t>
      </w:r>
    </w:p>
    <w:p w14:paraId="799CD02F" w14:textId="77777777" w:rsidR="007757F1" w:rsidRDefault="007757F1" w:rsidP="000D0442">
      <w:pPr>
        <w:rPr>
          <w:lang w:eastAsia="ja-JP"/>
        </w:rPr>
      </w:pPr>
      <w:r>
        <w:rPr>
          <w:lang w:eastAsia="ja-JP"/>
        </w:rPr>
        <w:lastRenderedPageBreak/>
        <w:t xml:space="preserve">In Study 3921063, </w:t>
      </w:r>
      <w:r w:rsidR="00C71D4B">
        <w:rPr>
          <w:lang w:eastAsia="ja-JP"/>
        </w:rPr>
        <w:t xml:space="preserve">there were 2 cases of treatment </w:t>
      </w:r>
      <w:r>
        <w:rPr>
          <w:lang w:eastAsia="ja-JP"/>
        </w:rPr>
        <w:t xml:space="preserve">related HZ in </w:t>
      </w:r>
      <w:proofErr w:type="spellStart"/>
      <w:r>
        <w:rPr>
          <w:lang w:eastAsia="ja-JP"/>
        </w:rPr>
        <w:t>tofacitinib</w:t>
      </w:r>
      <w:proofErr w:type="spellEnd"/>
      <w:r>
        <w:rPr>
          <w:lang w:eastAsia="ja-JP"/>
        </w:rPr>
        <w:t xml:space="preserve"> treated subjects: 1 (3.2%) for 0.5 mg treatment and 1 (3.0%) for 10 mg treatment.</w:t>
      </w:r>
    </w:p>
    <w:p w14:paraId="0FEB986F" w14:textId="77777777" w:rsidR="005F7896" w:rsidRDefault="007757F1" w:rsidP="000D0442">
      <w:pPr>
        <w:rPr>
          <w:lang w:eastAsia="ja-JP"/>
        </w:rPr>
      </w:pPr>
      <w:r>
        <w:rPr>
          <w:lang w:eastAsia="ja-JP"/>
        </w:rPr>
        <w:t xml:space="preserve">In Study A3921139, treatment emergent HZ infections occurred with similar incidence in both </w:t>
      </w:r>
      <w:proofErr w:type="spellStart"/>
      <w:r>
        <w:rPr>
          <w:lang w:eastAsia="ja-JP"/>
        </w:rPr>
        <w:t>tofacitinib</w:t>
      </w:r>
      <w:proofErr w:type="spellEnd"/>
      <w:r>
        <w:rPr>
          <w:lang w:eastAsia="ja-JP"/>
        </w:rPr>
        <w:t xml:space="preserve"> treatment groups (</w:t>
      </w:r>
      <w:r w:rsidR="005F4107">
        <w:rPr>
          <w:lang w:eastAsia="ja-JP"/>
        </w:rPr>
        <w:fldChar w:fldCharType="begin"/>
      </w:r>
      <w:r w:rsidR="005F4107">
        <w:rPr>
          <w:lang w:eastAsia="ja-JP"/>
        </w:rPr>
        <w:instrText xml:space="preserve"> REF _Ref15026742 \h </w:instrText>
      </w:r>
      <w:r w:rsidR="005F4107">
        <w:rPr>
          <w:lang w:eastAsia="ja-JP"/>
        </w:rPr>
      </w:r>
      <w:r w:rsidR="005F4107">
        <w:rPr>
          <w:lang w:eastAsia="ja-JP"/>
        </w:rPr>
        <w:fldChar w:fldCharType="separate"/>
      </w:r>
      <w:r w:rsidR="005F4107">
        <w:t xml:space="preserve">Table </w:t>
      </w:r>
      <w:r w:rsidR="005F4107">
        <w:rPr>
          <w:noProof/>
        </w:rPr>
        <w:t>6</w:t>
      </w:r>
      <w:r w:rsidR="005F4107">
        <w:rPr>
          <w:lang w:eastAsia="ja-JP"/>
        </w:rPr>
        <w:fldChar w:fldCharType="end"/>
      </w:r>
      <w:r>
        <w:rPr>
          <w:lang w:eastAsia="ja-JP"/>
        </w:rPr>
        <w:t>)</w:t>
      </w:r>
      <w:r w:rsidR="005F7896">
        <w:rPr>
          <w:lang w:eastAsia="ja-JP"/>
        </w:rPr>
        <w:t>.</w:t>
      </w:r>
    </w:p>
    <w:p w14:paraId="5C438974" w14:textId="77777777" w:rsidR="007757F1" w:rsidRPr="004A7B29" w:rsidRDefault="005F4107" w:rsidP="005F4107">
      <w:pPr>
        <w:pStyle w:val="TableTitle"/>
        <w:rPr>
          <w:rFonts w:eastAsiaTheme="minorHAnsi" w:cs="TimesNewRoman"/>
        </w:rPr>
      </w:pPr>
      <w:bookmarkStart w:id="111" w:name="_Ref15026742"/>
      <w:r>
        <w:t xml:space="preserve">Table </w:t>
      </w:r>
      <w:r w:rsidR="009870DC">
        <w:fldChar w:fldCharType="begin"/>
      </w:r>
      <w:r w:rsidR="009870DC">
        <w:instrText xml:space="preserve"> SEQ Table \* ARABIC </w:instrText>
      </w:r>
      <w:r w:rsidR="009870DC">
        <w:fldChar w:fldCharType="separate"/>
      </w:r>
      <w:r w:rsidR="004E5B1B">
        <w:rPr>
          <w:noProof/>
        </w:rPr>
        <w:t>6</w:t>
      </w:r>
      <w:r w:rsidR="009870DC">
        <w:rPr>
          <w:noProof/>
        </w:rPr>
        <w:fldChar w:fldCharType="end"/>
      </w:r>
      <w:bookmarkEnd w:id="111"/>
      <w:r w:rsidR="007757F1">
        <w:t>:</w:t>
      </w:r>
      <w:r w:rsidR="007757F1" w:rsidRPr="004A7B29">
        <w:t xml:space="preserve"> </w:t>
      </w:r>
      <w:r w:rsidR="00E575FC">
        <w:t>I</w:t>
      </w:r>
      <w:r w:rsidR="00E575FC" w:rsidRPr="004A7B29">
        <w:t>ncidence of treatment-emergent herpes zoster adverse events, all</w:t>
      </w:r>
      <w:r w:rsidR="00E575FC">
        <w:t xml:space="preserve"> </w:t>
      </w:r>
      <w:r w:rsidR="00E575FC" w:rsidRPr="004A7B29">
        <w:t>causalities</w:t>
      </w:r>
    </w:p>
    <w:p w14:paraId="25FD0AA6" w14:textId="77777777" w:rsidR="007757F1" w:rsidRDefault="007757F1" w:rsidP="007757F1">
      <w:pPr>
        <w:autoSpaceDE w:val="0"/>
        <w:autoSpaceDN w:val="0"/>
        <w:adjustRightInd w:val="0"/>
        <w:spacing w:before="0" w:after="0" w:line="240" w:lineRule="auto"/>
        <w:rPr>
          <w:rFonts w:eastAsiaTheme="minorHAnsi" w:cs="TimesNewRoman"/>
        </w:rPr>
      </w:pPr>
      <w:r>
        <w:rPr>
          <w:noProof/>
          <w:lang w:eastAsia="en-AU"/>
        </w:rPr>
        <w:drawing>
          <wp:inline distT="0" distB="0" distL="0" distR="0" wp14:anchorId="4A859FBC" wp14:editId="034DD428">
            <wp:extent cx="5415975" cy="1316736"/>
            <wp:effectExtent l="0" t="0" r="0" b="0"/>
            <wp:docPr id="84" name="Picture 84" descr="Incidence of treatment-emergent herpes zoster adverse events, all caus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62063" cy="1327941"/>
                    </a:xfrm>
                    <a:prstGeom prst="rect">
                      <a:avLst/>
                    </a:prstGeom>
                  </pic:spPr>
                </pic:pic>
              </a:graphicData>
            </a:graphic>
          </wp:inline>
        </w:drawing>
      </w:r>
    </w:p>
    <w:p w14:paraId="778E3E2B" w14:textId="77777777" w:rsidR="007757F1" w:rsidRPr="00324AE7" w:rsidRDefault="007757F1" w:rsidP="000D0442">
      <w:pPr>
        <w:rPr>
          <w:lang w:eastAsia="ja-JP"/>
        </w:rPr>
      </w:pPr>
      <w:r w:rsidRPr="00324AE7">
        <w:t xml:space="preserve">In the </w:t>
      </w:r>
      <w:proofErr w:type="spellStart"/>
      <w:r w:rsidRPr="00324AE7">
        <w:t>tofacitinib</w:t>
      </w:r>
      <w:proofErr w:type="spellEnd"/>
      <w:r w:rsidRPr="00324AE7">
        <w:t xml:space="preserve"> 10 mg BID group,</w:t>
      </w:r>
      <w:r>
        <w:t xml:space="preserve"> </w:t>
      </w:r>
      <w:r w:rsidRPr="00324AE7">
        <w:t>1 subject had a</w:t>
      </w:r>
      <w:r>
        <w:t xml:space="preserve"> </w:t>
      </w:r>
      <w:r w:rsidR="00E575FC">
        <w:t xml:space="preserve">treatment </w:t>
      </w:r>
      <w:r w:rsidRPr="00324AE7">
        <w:t xml:space="preserve">emergent </w:t>
      </w:r>
      <w:r>
        <w:t>HZ</w:t>
      </w:r>
      <w:r w:rsidRPr="00324AE7">
        <w:t xml:space="preserve"> SAE</w:t>
      </w:r>
      <w:r>
        <w:t xml:space="preserve">, 1 had severe HZ infection and </w:t>
      </w:r>
      <w:r w:rsidRPr="00324AE7">
        <w:t xml:space="preserve">2 subjects discontinued due to TEAEs of </w:t>
      </w:r>
      <w:r>
        <w:t>HZ</w:t>
      </w:r>
      <w:r w:rsidRPr="00324AE7">
        <w:t xml:space="preserve">, and 9 </w:t>
      </w:r>
      <w:r>
        <w:t>other subjects</w:t>
      </w:r>
      <w:r w:rsidRPr="00324AE7">
        <w:t xml:space="preserve"> temporarily discontinued</w:t>
      </w:r>
      <w:r>
        <w:t xml:space="preserve"> </w:t>
      </w:r>
      <w:r w:rsidRPr="00324AE7">
        <w:t xml:space="preserve">due to a </w:t>
      </w:r>
      <w:r>
        <w:t>HZ infection</w:t>
      </w:r>
      <w:r w:rsidRPr="00324AE7">
        <w:t>.</w:t>
      </w:r>
    </w:p>
    <w:p w14:paraId="26F3FCD8" w14:textId="77777777" w:rsidR="007757F1" w:rsidRDefault="007757F1" w:rsidP="000D0442">
      <w:pPr>
        <w:pStyle w:val="Heading6"/>
      </w:pPr>
      <w:r>
        <w:t>Adjudicated events</w:t>
      </w:r>
    </w:p>
    <w:p w14:paraId="7937C2CE" w14:textId="77777777" w:rsidR="007757F1" w:rsidRPr="000D0442" w:rsidRDefault="007757F1" w:rsidP="000D0442">
      <w:r w:rsidRPr="00C538A8">
        <w:t xml:space="preserve">To help assess specific safety events in the </w:t>
      </w:r>
      <w:proofErr w:type="spellStart"/>
      <w:r w:rsidRPr="00C538A8">
        <w:t>tofacitinib</w:t>
      </w:r>
      <w:proofErr w:type="spellEnd"/>
      <w:r w:rsidRPr="00C538A8">
        <w:t xml:space="preserve"> program,</w:t>
      </w:r>
      <w:r>
        <w:t xml:space="preserve"> </w:t>
      </w:r>
      <w:r w:rsidRPr="00C538A8">
        <w:t>adjudication committees we</w:t>
      </w:r>
      <w:r>
        <w:t>re established to harmonise and standardis</w:t>
      </w:r>
      <w:r w:rsidRPr="00C538A8">
        <w:t>e selected safety event</w:t>
      </w:r>
      <w:r>
        <w:t xml:space="preserve"> assessment</w:t>
      </w:r>
      <w:r w:rsidRPr="00C538A8">
        <w:t>. These</w:t>
      </w:r>
      <w:r>
        <w:t xml:space="preserve"> </w:t>
      </w:r>
      <w:r w:rsidRPr="00C538A8">
        <w:t>committees included a Cardiovascular Endpoint Adjudication Committee (CV-EAC),</w:t>
      </w:r>
      <w:r>
        <w:t xml:space="preserve"> </w:t>
      </w:r>
      <w:r w:rsidRPr="00C538A8">
        <w:t>Malignancy Adjudication Committee (MAC), Opportunistic Infection Review Committee</w:t>
      </w:r>
      <w:r>
        <w:t xml:space="preserve"> </w:t>
      </w:r>
      <w:r w:rsidRPr="00C538A8">
        <w:t>(OIRC), Hepatic Event Review Committee (HERC)</w:t>
      </w:r>
      <w:r>
        <w:t xml:space="preserve">, </w:t>
      </w:r>
      <w:r w:rsidR="008C6732">
        <w:t xml:space="preserve">Gastrointestinal Perforation Review Committee (GIRPC) </w:t>
      </w:r>
      <w:r>
        <w:t xml:space="preserve">and an </w:t>
      </w:r>
      <w:r w:rsidRPr="00C538A8">
        <w:t>Interstitial Lung Disease</w:t>
      </w:r>
      <w:r>
        <w:t xml:space="preserve"> </w:t>
      </w:r>
      <w:r w:rsidRPr="00C538A8">
        <w:t xml:space="preserve">Review Committee </w:t>
      </w:r>
      <w:r w:rsidR="006C148C">
        <w:t>(</w:t>
      </w:r>
      <w:r w:rsidRPr="00C538A8">
        <w:t>ILDRC</w:t>
      </w:r>
      <w:r w:rsidR="006C148C">
        <w:t>)</w:t>
      </w:r>
      <w:r w:rsidRPr="00C538A8">
        <w:t>.</w:t>
      </w:r>
    </w:p>
    <w:p w14:paraId="6B395EF5" w14:textId="77777777" w:rsidR="007757F1" w:rsidRPr="00043BC5" w:rsidRDefault="007757F1" w:rsidP="000D0442">
      <w:pPr>
        <w:pStyle w:val="Heading7"/>
      </w:pPr>
      <w:r w:rsidRPr="00043BC5">
        <w:t>Cardiovascular</w:t>
      </w:r>
    </w:p>
    <w:p w14:paraId="12FCBC3E" w14:textId="77777777" w:rsidR="007757F1" w:rsidRDefault="007757F1" w:rsidP="000D0442">
      <w:r>
        <w:t>In Study A3921094, 2</w:t>
      </w:r>
      <w:r w:rsidRPr="004354AB">
        <w:t xml:space="preserve"> subjects in the </w:t>
      </w:r>
      <w:proofErr w:type="spellStart"/>
      <w:r w:rsidRPr="004354AB">
        <w:t>tofacitinib</w:t>
      </w:r>
      <w:proofErr w:type="spellEnd"/>
      <w:r w:rsidRPr="004354AB">
        <w:t xml:space="preserve"> 10 mg BID treatment group experienced SAEs adjudicated as</w:t>
      </w:r>
      <w:r>
        <w:t xml:space="preserve"> meeting criteria by the CV-EAC, but neither was considered related to study drug (1 acute</w:t>
      </w:r>
      <w:r w:rsidRPr="004354AB">
        <w:t xml:space="preserve"> coronary syndrome</w:t>
      </w:r>
      <w:r>
        <w:t xml:space="preserve"> and 1 case of </w:t>
      </w:r>
      <w:r w:rsidRPr="004354AB">
        <w:t>aortic dissection</w:t>
      </w:r>
      <w:r>
        <w:t xml:space="preserve"> that led to death).</w:t>
      </w:r>
    </w:p>
    <w:p w14:paraId="04CE44E8" w14:textId="222B338A" w:rsidR="007757F1" w:rsidRDefault="007757F1" w:rsidP="000D0442">
      <w:r>
        <w:t>In Study A3921095, 1</w:t>
      </w:r>
      <w:r w:rsidRPr="00B563FB">
        <w:t xml:space="preserve"> subject in the </w:t>
      </w:r>
      <w:proofErr w:type="spellStart"/>
      <w:r w:rsidRPr="00B563FB">
        <w:t>tofacitinib</w:t>
      </w:r>
      <w:proofErr w:type="spellEnd"/>
      <w:r w:rsidRPr="00B563FB">
        <w:t xml:space="preserve"> 10 mg BID treatment group experienced </w:t>
      </w:r>
      <w:r w:rsidR="00C201CB">
        <w:t>2 </w:t>
      </w:r>
      <w:r w:rsidRPr="00B563FB">
        <w:t>AEs adjudicated as meeting criteria by the</w:t>
      </w:r>
      <w:r>
        <w:t xml:space="preserve"> CV-EAC and considered study drug related: 1</w:t>
      </w:r>
      <w:r w:rsidR="00C554A3">
        <w:t> </w:t>
      </w:r>
      <w:r>
        <w:t>S</w:t>
      </w:r>
      <w:r w:rsidRPr="00B563FB">
        <w:t xml:space="preserve">AE of </w:t>
      </w:r>
      <w:r w:rsidRPr="00B563FB">
        <w:rPr>
          <w:color w:val="000000"/>
        </w:rPr>
        <w:t>cardiac failure congestive</w:t>
      </w:r>
      <w:r>
        <w:rPr>
          <w:color w:val="000000"/>
        </w:rPr>
        <w:t xml:space="preserve"> and 1 </w:t>
      </w:r>
      <w:r w:rsidRPr="00B563FB">
        <w:rPr>
          <w:color w:val="000000"/>
        </w:rPr>
        <w:t>mild AE of oedema peripheral</w:t>
      </w:r>
      <w:r>
        <w:rPr>
          <w:color w:val="000000"/>
        </w:rPr>
        <w:t>.</w:t>
      </w:r>
    </w:p>
    <w:p w14:paraId="78363C77" w14:textId="77777777" w:rsidR="007757F1" w:rsidRDefault="007757F1" w:rsidP="000D0442">
      <w:pPr>
        <w:rPr>
          <w:lang w:eastAsia="ja-JP"/>
        </w:rPr>
      </w:pPr>
      <w:r>
        <w:rPr>
          <w:lang w:eastAsia="ja-JP"/>
        </w:rPr>
        <w:t>No cases were reported in Study A3921063.</w:t>
      </w:r>
    </w:p>
    <w:p w14:paraId="53BA864F" w14:textId="77777777" w:rsidR="007757F1" w:rsidRDefault="007757F1" w:rsidP="000D0442">
      <w:r>
        <w:rPr>
          <w:lang w:eastAsia="ja-JP"/>
        </w:rPr>
        <w:t>In Study A3921096, 2</w:t>
      </w:r>
      <w:r w:rsidRPr="00D912D8">
        <w:t xml:space="preserve"> subjects who received </w:t>
      </w:r>
      <w:proofErr w:type="spellStart"/>
      <w:r w:rsidRPr="00D912D8">
        <w:t>tofacitinib</w:t>
      </w:r>
      <w:proofErr w:type="spellEnd"/>
      <w:r w:rsidRPr="00D912D8">
        <w:t xml:space="preserve"> treatment had cardiovascular events adjudicated as meeting CV-EAC criteria</w:t>
      </w:r>
      <w:r>
        <w:t xml:space="preserve">. Only 1 was considered as study drug related: </w:t>
      </w:r>
      <w:r w:rsidRPr="0058669C">
        <w:t>SAE of haemorrhagic stroke</w:t>
      </w:r>
      <w:r>
        <w:t xml:space="preserve"> on </w:t>
      </w:r>
      <w:proofErr w:type="spellStart"/>
      <w:r>
        <w:t>tofacitinib</w:t>
      </w:r>
      <w:proofErr w:type="spellEnd"/>
      <w:r>
        <w:t xml:space="preserve"> 10 mg BID treatment. A </w:t>
      </w:r>
      <w:r w:rsidRPr="0058669C">
        <w:t>SAE of myocardial infarction</w:t>
      </w:r>
      <w:r>
        <w:t xml:space="preserve"> with </w:t>
      </w:r>
      <w:proofErr w:type="spellStart"/>
      <w:r>
        <w:t>tofacitinib</w:t>
      </w:r>
      <w:proofErr w:type="spellEnd"/>
      <w:r>
        <w:t xml:space="preserve"> 5 mg treatment was considered not study drug related.</w:t>
      </w:r>
    </w:p>
    <w:p w14:paraId="35BF5FE3" w14:textId="1BFAB270" w:rsidR="007757F1" w:rsidRDefault="007757F1" w:rsidP="000D0442">
      <w:r>
        <w:rPr>
          <w:lang w:eastAsia="ja-JP"/>
        </w:rPr>
        <w:t>In Study A3921139, 2</w:t>
      </w:r>
      <w:r w:rsidRPr="008A55FF">
        <w:t xml:space="preserve"> subjects</w:t>
      </w:r>
      <w:r w:rsidRPr="00934A79">
        <w:t xml:space="preserve"> </w:t>
      </w:r>
      <w:r w:rsidRPr="008A55FF">
        <w:t xml:space="preserve">in the </w:t>
      </w:r>
      <w:proofErr w:type="spellStart"/>
      <w:r w:rsidRPr="008A55FF">
        <w:t>tofacitinib</w:t>
      </w:r>
      <w:proofErr w:type="spellEnd"/>
      <w:r w:rsidRPr="008A55FF">
        <w:t xml:space="preserve"> 5 mg BID group had AEs adjudicated as meeting criteria by the CV-EAC (cardiovascular</w:t>
      </w:r>
      <w:r>
        <w:t xml:space="preserve">), neither was considered study drug related (1 subject had two </w:t>
      </w:r>
      <w:r w:rsidRPr="005C5D31">
        <w:t>SAE</w:t>
      </w:r>
      <w:r>
        <w:t xml:space="preserve">s </w:t>
      </w:r>
      <w:r w:rsidR="00F14B34">
        <w:t>that is,</w:t>
      </w:r>
      <w:r w:rsidRPr="005C5D31">
        <w:t xml:space="preserve"> angina pectoris</w:t>
      </w:r>
      <w:r>
        <w:t xml:space="preserve"> and </w:t>
      </w:r>
      <w:r w:rsidRPr="005C5D31">
        <w:t>cardiac failure</w:t>
      </w:r>
      <w:r>
        <w:t>; and 1</w:t>
      </w:r>
      <w:r w:rsidR="00C554A3">
        <w:t> </w:t>
      </w:r>
      <w:r w:rsidR="00E575FC">
        <w:t>non </w:t>
      </w:r>
      <w:r w:rsidRPr="005C5D31">
        <w:t>serious mild dyspnoea</w:t>
      </w:r>
      <w:r>
        <w:t>).</w:t>
      </w:r>
    </w:p>
    <w:p w14:paraId="09CE637B" w14:textId="77777777" w:rsidR="007757F1" w:rsidRPr="00BC3CAB" w:rsidRDefault="007757F1" w:rsidP="000D0442">
      <w:pPr>
        <w:pStyle w:val="Heading6"/>
        <w:rPr>
          <w:lang w:eastAsia="ja-JP"/>
        </w:rPr>
      </w:pPr>
      <w:r w:rsidRPr="00BC3CAB">
        <w:rPr>
          <w:lang w:eastAsia="ja-JP"/>
        </w:rPr>
        <w:t>Malignancy</w:t>
      </w:r>
    </w:p>
    <w:p w14:paraId="4DCB1B42" w14:textId="77777777" w:rsidR="007757F1" w:rsidRDefault="007757F1" w:rsidP="000D0442">
      <w:r>
        <w:t>In Study A3921094, o</w:t>
      </w:r>
      <w:r w:rsidRPr="00E838D0">
        <w:t xml:space="preserve">ne subject in the </w:t>
      </w:r>
      <w:proofErr w:type="spellStart"/>
      <w:r w:rsidRPr="00E838D0">
        <w:t>tofacitinib</w:t>
      </w:r>
      <w:proofErr w:type="spellEnd"/>
      <w:r w:rsidRPr="00E838D0">
        <w:t xml:space="preserve"> 10 mg BID treatment group experienced an AE </w:t>
      </w:r>
      <w:r>
        <w:t xml:space="preserve">of </w:t>
      </w:r>
      <w:r w:rsidR="00E575FC">
        <w:t>s</w:t>
      </w:r>
      <w:r w:rsidR="00E575FC" w:rsidRPr="00E575FC">
        <w:t xml:space="preserve">quamous cell carcinoma </w:t>
      </w:r>
      <w:r w:rsidR="00E575FC">
        <w:t>(</w:t>
      </w:r>
      <w:r>
        <w:t>SCC</w:t>
      </w:r>
      <w:r w:rsidR="00E575FC">
        <w:t>)</w:t>
      </w:r>
      <w:r>
        <w:t xml:space="preserve"> </w:t>
      </w:r>
      <w:r w:rsidRPr="00E838D0">
        <w:t>that was adjudicated a</w:t>
      </w:r>
      <w:r>
        <w:t>s a malignancy event by the MAC and considered possibly study drug related. In Study A3921095, o</w:t>
      </w:r>
      <w:r w:rsidRPr="001A0DE3">
        <w:t>ne</w:t>
      </w:r>
      <w:r>
        <w:t xml:space="preserve"> </w:t>
      </w:r>
      <w:r w:rsidRPr="001A0DE3">
        <w:t xml:space="preserve">subject in the </w:t>
      </w:r>
      <w:proofErr w:type="spellStart"/>
      <w:r w:rsidRPr="001A0DE3">
        <w:t>tofacitinib</w:t>
      </w:r>
      <w:proofErr w:type="spellEnd"/>
      <w:r w:rsidRPr="001A0DE3">
        <w:t xml:space="preserve"> 10 mg BID treatment group experienced an AE</w:t>
      </w:r>
      <w:r>
        <w:t xml:space="preserve"> of </w:t>
      </w:r>
      <w:r w:rsidR="00E575FC">
        <w:t>basal</w:t>
      </w:r>
      <w:r w:rsidR="00E575FC" w:rsidRPr="00E575FC">
        <w:t xml:space="preserve"> cell carcinoma</w:t>
      </w:r>
      <w:r w:rsidR="00E575FC">
        <w:t xml:space="preserve"> (</w:t>
      </w:r>
      <w:r>
        <w:t>BCC</w:t>
      </w:r>
      <w:r w:rsidR="00E575FC">
        <w:t>)</w:t>
      </w:r>
      <w:r>
        <w:t xml:space="preserve"> </w:t>
      </w:r>
      <w:r w:rsidRPr="001A0DE3">
        <w:t>that was adjudi</w:t>
      </w:r>
      <w:r>
        <w:t>cated as malignancy by the MAC, which was considered study drug related.</w:t>
      </w:r>
    </w:p>
    <w:p w14:paraId="03E187F3" w14:textId="77777777" w:rsidR="007757F1" w:rsidRDefault="007757F1" w:rsidP="000D0442">
      <w:r>
        <w:rPr>
          <w:lang w:eastAsia="ja-JP"/>
        </w:rPr>
        <w:lastRenderedPageBreak/>
        <w:t xml:space="preserve">In Study A3921096, </w:t>
      </w:r>
      <w:r>
        <w:t>3</w:t>
      </w:r>
      <w:r w:rsidRPr="00CE5B0A">
        <w:t xml:space="preserve"> subjects</w:t>
      </w:r>
      <w:r>
        <w:t xml:space="preserve"> </w:t>
      </w:r>
      <w:r w:rsidRPr="00CE5B0A">
        <w:t xml:space="preserve">in the </w:t>
      </w:r>
      <w:proofErr w:type="spellStart"/>
      <w:r w:rsidRPr="00CE5B0A">
        <w:t>tofacitinib</w:t>
      </w:r>
      <w:proofErr w:type="spellEnd"/>
      <w:r w:rsidRPr="00CE5B0A">
        <w:t xml:space="preserve"> 10 mg BID group and 2 subjects in the placebo group experienced AEs adjudicated as malignancy events by the MAC</w:t>
      </w:r>
      <w:r>
        <w:t>. In the placebo group 1 case of invasive ductal carcinoma of the breast was considered unrelated to study drug while 1 cases of BCC was assessed as study drug</w:t>
      </w:r>
      <w:r w:rsidR="0088335E">
        <w:t xml:space="preserve"> related. In the </w:t>
      </w:r>
      <w:proofErr w:type="spellStart"/>
      <w:r w:rsidR="0088335E">
        <w:t>tofacitinib</w:t>
      </w:r>
      <w:proofErr w:type="spellEnd"/>
      <w:r w:rsidR="0088335E">
        <w:t xml:space="preserve"> 10 </w:t>
      </w:r>
      <w:r>
        <w:t>mg treatment group 1 case of BCC was not considered study drug related and 2 cases of SCC were considered study drug related.</w:t>
      </w:r>
    </w:p>
    <w:p w14:paraId="7E292800" w14:textId="77777777" w:rsidR="007757F1" w:rsidRDefault="007757F1" w:rsidP="000D0442">
      <w:pPr>
        <w:rPr>
          <w:lang w:eastAsia="ja-JP"/>
        </w:rPr>
      </w:pPr>
      <w:r>
        <w:rPr>
          <w:lang w:eastAsia="ja-JP"/>
        </w:rPr>
        <w:t>No cases of malignancy were reported in Study A3921063.</w:t>
      </w:r>
    </w:p>
    <w:p w14:paraId="0BF08715" w14:textId="77777777" w:rsidR="005F7896" w:rsidRDefault="007757F1" w:rsidP="000D0442">
      <w:r>
        <w:rPr>
          <w:lang w:eastAsia="ja-JP"/>
        </w:rPr>
        <w:t>In Study A3921139, t</w:t>
      </w:r>
      <w:r>
        <w:t xml:space="preserve">he MAC confirmed </w:t>
      </w:r>
      <w:r w:rsidRPr="006230C7">
        <w:t xml:space="preserve">15 subjects had </w:t>
      </w:r>
      <w:r>
        <w:t xml:space="preserve">malignant </w:t>
      </w:r>
      <w:r w:rsidR="00E575FC">
        <w:t xml:space="preserve">events: 1 </w:t>
      </w:r>
      <w:proofErr w:type="spellStart"/>
      <w:r w:rsidR="00E575FC">
        <w:t>tofacitinib</w:t>
      </w:r>
      <w:proofErr w:type="spellEnd"/>
      <w:r w:rsidR="00E575FC">
        <w:t xml:space="preserve"> 5 </w:t>
      </w:r>
      <w:r w:rsidRPr="006230C7">
        <w:t>mg</w:t>
      </w:r>
      <w:r>
        <w:t>;</w:t>
      </w:r>
      <w:r w:rsidRPr="006230C7">
        <w:t xml:space="preserve"> 14 </w:t>
      </w:r>
      <w:proofErr w:type="spellStart"/>
      <w:r w:rsidRPr="006230C7">
        <w:t>tofacitinib</w:t>
      </w:r>
      <w:proofErr w:type="spellEnd"/>
      <w:r w:rsidRPr="006230C7">
        <w:t xml:space="preserve"> 10 mg</w:t>
      </w:r>
      <w:r>
        <w:t xml:space="preserve">. </w:t>
      </w:r>
      <w:r w:rsidRPr="006230C7">
        <w:t>Malignancy, excluding NMSC, was confirmed in 9 subjects</w:t>
      </w:r>
      <w:r>
        <w:t>,</w:t>
      </w:r>
      <w:r w:rsidRPr="006230C7">
        <w:t xml:space="preserve"> </w:t>
      </w:r>
      <w:r>
        <w:t xml:space="preserve">all </w:t>
      </w:r>
      <w:r w:rsidRPr="006230C7">
        <w:t xml:space="preserve">in the </w:t>
      </w:r>
      <w:proofErr w:type="spellStart"/>
      <w:r w:rsidRPr="006230C7">
        <w:t>tofacitinib</w:t>
      </w:r>
      <w:proofErr w:type="spellEnd"/>
      <w:r w:rsidRPr="006230C7">
        <w:t xml:space="preserve"> 10 mg BID group</w:t>
      </w:r>
      <w:r w:rsidR="005F7896">
        <w:t>.</w:t>
      </w:r>
    </w:p>
    <w:p w14:paraId="257AE681" w14:textId="77777777" w:rsidR="007757F1" w:rsidRDefault="007757F1" w:rsidP="000D0442">
      <w:r w:rsidRPr="001A740F">
        <w:t xml:space="preserve">Of the 9 subjects in the </w:t>
      </w:r>
      <w:proofErr w:type="spellStart"/>
      <w:r w:rsidRPr="001A740F">
        <w:t>tofacitinib</w:t>
      </w:r>
      <w:proofErr w:type="spellEnd"/>
      <w:r w:rsidRPr="001A740F">
        <w:t xml:space="preserve"> 10 mg BID group with </w:t>
      </w:r>
      <w:r w:rsidR="00E575FC">
        <w:t xml:space="preserve">confirmed malignancy, excluding </w:t>
      </w:r>
      <w:r w:rsidRPr="001A740F">
        <w:t>NMSC, 3 subjects died during the study</w:t>
      </w:r>
      <w:r>
        <w:t xml:space="preserve">: 1 confirmed case each of </w:t>
      </w:r>
      <w:r w:rsidRPr="001A740F">
        <w:t xml:space="preserve">hepatic </w:t>
      </w:r>
      <w:proofErr w:type="spellStart"/>
      <w:r w:rsidRPr="001A740F">
        <w:t>angiosarcoma</w:t>
      </w:r>
      <w:proofErr w:type="spellEnd"/>
      <w:r>
        <w:t xml:space="preserve">; </w:t>
      </w:r>
      <w:r w:rsidRPr="001A740F">
        <w:t>acute myeloid leukaemia</w:t>
      </w:r>
      <w:r>
        <w:t xml:space="preserve"> </w:t>
      </w:r>
      <w:r w:rsidR="009D375F">
        <w:t xml:space="preserve">(AML) </w:t>
      </w:r>
      <w:r>
        <w:t xml:space="preserve">and </w:t>
      </w:r>
      <w:proofErr w:type="spellStart"/>
      <w:r w:rsidRPr="001A740F">
        <w:t>cholangiocarcinoma</w:t>
      </w:r>
      <w:proofErr w:type="spellEnd"/>
      <w:r w:rsidRPr="00AB725C">
        <w:t>.</w:t>
      </w:r>
    </w:p>
    <w:p w14:paraId="76E9AD57" w14:textId="77777777" w:rsidR="007757F1" w:rsidRDefault="007757F1" w:rsidP="000D0442">
      <w:r>
        <w:t xml:space="preserve">For the other 6 cases who received </w:t>
      </w:r>
      <w:proofErr w:type="spellStart"/>
      <w:r>
        <w:t>tofacitinib</w:t>
      </w:r>
      <w:proofErr w:type="spellEnd"/>
      <w:r>
        <w:t xml:space="preserve"> 10 mg treatment: 1 case had </w:t>
      </w:r>
      <w:r w:rsidRPr="001A740F">
        <w:t>confirmed</w:t>
      </w:r>
      <w:r w:rsidR="0088335E">
        <w:t xml:space="preserve"> </w:t>
      </w:r>
      <w:r w:rsidR="00E575FC" w:rsidRPr="00E575FC">
        <w:t>Epstein–Barr virus</w:t>
      </w:r>
      <w:r w:rsidR="00E575FC">
        <w:t xml:space="preserve"> (</w:t>
      </w:r>
      <w:r w:rsidRPr="008F28D2">
        <w:t>EBV</w:t>
      </w:r>
      <w:r w:rsidR="00E575FC">
        <w:t>)</w:t>
      </w:r>
      <w:r>
        <w:t>-</w:t>
      </w:r>
      <w:r w:rsidRPr="008F28D2">
        <w:t>associated lymphoma considered study drug related</w:t>
      </w:r>
      <w:r>
        <w:t xml:space="preserve">; 1 case of </w:t>
      </w:r>
      <w:r w:rsidRPr="008F28D2">
        <w:t xml:space="preserve">moderate cutaneous </w:t>
      </w:r>
      <w:proofErr w:type="spellStart"/>
      <w:r w:rsidRPr="008F28D2">
        <w:t>leiomyosarcoma</w:t>
      </w:r>
      <w:proofErr w:type="spellEnd"/>
      <w:r w:rsidRPr="008F28D2">
        <w:t xml:space="preserve"> (study drug related);</w:t>
      </w:r>
      <w:r>
        <w:t xml:space="preserve"> 1 case of study related </w:t>
      </w:r>
      <w:r w:rsidRPr="008F28D2">
        <w:t xml:space="preserve">moderate essential </w:t>
      </w:r>
      <w:proofErr w:type="spellStart"/>
      <w:r w:rsidRPr="008F28D2">
        <w:t>thrombocythaemia</w:t>
      </w:r>
      <w:proofErr w:type="spellEnd"/>
      <w:r>
        <w:t xml:space="preserve">; 1 case of study drug related </w:t>
      </w:r>
      <w:r w:rsidRPr="008F28D2">
        <w:t>renal cell carcinoma</w:t>
      </w:r>
      <w:r>
        <w:t xml:space="preserve"> and 2 cases of non-study drug related malignancies (1 case of </w:t>
      </w:r>
      <w:r w:rsidRPr="008F28D2">
        <w:t>severe cervical dysplasia</w:t>
      </w:r>
      <w:r>
        <w:t xml:space="preserve"> and 1 case of </w:t>
      </w:r>
      <w:r w:rsidRPr="008F28D2">
        <w:t>severe adenocarcinoma of colon</w:t>
      </w:r>
      <w:r w:rsidR="000D0442">
        <w:t>).</w:t>
      </w:r>
    </w:p>
    <w:p w14:paraId="7DABD192" w14:textId="77777777" w:rsidR="007757F1" w:rsidRDefault="007757F1" w:rsidP="000D0442">
      <w:r>
        <w:t>Of the</w:t>
      </w:r>
      <w:r w:rsidRPr="006230C7">
        <w:t xml:space="preserve"> 6 subjects with NMSC</w:t>
      </w:r>
      <w:r>
        <w:t xml:space="preserve"> events</w:t>
      </w:r>
      <w:r w:rsidRPr="006230C7">
        <w:t xml:space="preserve">, 1 subject in the </w:t>
      </w:r>
      <w:proofErr w:type="spellStart"/>
      <w:r w:rsidRPr="006230C7">
        <w:t>tofacitinib</w:t>
      </w:r>
      <w:proofErr w:type="spellEnd"/>
      <w:r w:rsidRPr="006230C7">
        <w:t xml:space="preserve"> 5 mg BID group </w:t>
      </w:r>
      <w:r>
        <w:t xml:space="preserve">had </w:t>
      </w:r>
      <w:r w:rsidRPr="006230C7">
        <w:t>BCC unrelated to study drug</w:t>
      </w:r>
      <w:r>
        <w:t xml:space="preserve"> and 4 subjects in the </w:t>
      </w:r>
      <w:proofErr w:type="spellStart"/>
      <w:r>
        <w:t>tofacitinib</w:t>
      </w:r>
      <w:proofErr w:type="spellEnd"/>
      <w:r>
        <w:t xml:space="preserve"> 10 mg BID group had drug-related events (2 BCC, 2 SCC) and 1 subject had 2 SCC events adjudicated as </w:t>
      </w:r>
      <w:r w:rsidRPr="006230C7">
        <w:t>unrelated to study drug</w:t>
      </w:r>
      <w:r>
        <w:t>.</w:t>
      </w:r>
    </w:p>
    <w:p w14:paraId="4393CEB1" w14:textId="77777777" w:rsidR="007757F1" w:rsidRPr="00BC3CAB" w:rsidRDefault="007757F1" w:rsidP="000D0442">
      <w:pPr>
        <w:pStyle w:val="Heading6"/>
        <w:rPr>
          <w:lang w:eastAsia="ja-JP"/>
        </w:rPr>
      </w:pPr>
      <w:r w:rsidRPr="000D0442">
        <w:rPr>
          <w:lang w:eastAsia="ja-JP"/>
        </w:rPr>
        <w:t>Hepa</w:t>
      </w:r>
      <w:r w:rsidR="000D0442" w:rsidRPr="000D0442">
        <w:t>t</w:t>
      </w:r>
      <w:r w:rsidRPr="000D0442">
        <w:rPr>
          <w:lang w:eastAsia="ja-JP"/>
        </w:rPr>
        <w:t>ic i</w:t>
      </w:r>
      <w:r w:rsidRPr="00BC3CAB">
        <w:rPr>
          <w:lang w:eastAsia="ja-JP"/>
        </w:rPr>
        <w:t>njury</w:t>
      </w:r>
    </w:p>
    <w:p w14:paraId="186D317F" w14:textId="77777777" w:rsidR="007757F1" w:rsidRDefault="007757F1" w:rsidP="000D0442">
      <w:r>
        <w:t xml:space="preserve">In Study A3921094, HERC adjudicated that none of the 4 </w:t>
      </w:r>
      <w:r w:rsidRPr="00D15B24">
        <w:t>subject</w:t>
      </w:r>
      <w:r>
        <w:t>s</w:t>
      </w:r>
      <w:r w:rsidRPr="00D15B24">
        <w:t xml:space="preserve"> </w:t>
      </w:r>
      <w:r w:rsidR="008C6732">
        <w:t xml:space="preserve">who had a hepatic injury </w:t>
      </w:r>
      <w:r>
        <w:t>related AE following</w:t>
      </w:r>
      <w:r w:rsidRPr="00D15B24">
        <w:t xml:space="preserve"> </w:t>
      </w:r>
      <w:proofErr w:type="spellStart"/>
      <w:r w:rsidRPr="00D15B24">
        <w:t>tofacitinib</w:t>
      </w:r>
      <w:proofErr w:type="spellEnd"/>
      <w:r w:rsidRPr="00D15B24">
        <w:t xml:space="preserve"> 10 mg BID </w:t>
      </w:r>
      <w:r>
        <w:t xml:space="preserve">treatment was study drug related. One placebo subject with </w:t>
      </w:r>
      <w:r w:rsidR="008C6732" w:rsidRPr="008C6732">
        <w:t xml:space="preserve">aspartate transaminase </w:t>
      </w:r>
      <w:r w:rsidR="008C6732">
        <w:t>(</w:t>
      </w:r>
      <w:r w:rsidRPr="00D15B24">
        <w:t>AST</w:t>
      </w:r>
      <w:r w:rsidR="008C6732">
        <w:t>)</w:t>
      </w:r>
      <w:r w:rsidRPr="00D15B24">
        <w:t>/</w:t>
      </w:r>
      <w:r w:rsidR="008C6732" w:rsidRPr="008C6732">
        <w:t xml:space="preserve">alanine transaminase </w:t>
      </w:r>
      <w:r w:rsidR="008C6732">
        <w:t>(</w:t>
      </w:r>
      <w:r w:rsidRPr="00D15B24">
        <w:t>ALT</w:t>
      </w:r>
      <w:r w:rsidR="008C6732">
        <w:t>)</w:t>
      </w:r>
      <w:r>
        <w:t xml:space="preserve"> </w:t>
      </w:r>
      <w:r w:rsidRPr="00D15B24">
        <w:t xml:space="preserve">elevation </w:t>
      </w:r>
      <w:r>
        <w:rPr>
          <w:rFonts w:cs="Symbol"/>
        </w:rPr>
        <w:t xml:space="preserve">≥ </w:t>
      </w:r>
      <w:r w:rsidR="008C6732">
        <w:t>5 times</w:t>
      </w:r>
      <w:r w:rsidRPr="00D15B24">
        <w:t xml:space="preserve"> </w:t>
      </w:r>
      <w:r w:rsidR="008C6732">
        <w:t>upper limit normal (</w:t>
      </w:r>
      <w:r w:rsidRPr="00D15B24">
        <w:t>ULN</w:t>
      </w:r>
      <w:r w:rsidR="008C6732">
        <w:t>)</w:t>
      </w:r>
      <w:r w:rsidRPr="00D15B24">
        <w:t xml:space="preserve"> was adjudicated as possible DILI</w:t>
      </w:r>
      <w:r>
        <w:t xml:space="preserve"> and another with probable </w:t>
      </w:r>
      <w:r w:rsidR="008C6732">
        <w:t>DILI</w:t>
      </w:r>
      <w:r>
        <w:t xml:space="preserve">. </w:t>
      </w:r>
      <w:r w:rsidRPr="00D15B24">
        <w:t>None of these cases were reported as SAEs</w:t>
      </w:r>
      <w:r>
        <w:t>, and</w:t>
      </w:r>
      <w:r w:rsidRPr="00D15B24">
        <w:t xml:space="preserve"> no event</w:t>
      </w:r>
      <w:r>
        <w:t xml:space="preserve"> was adjudicated</w:t>
      </w:r>
      <w:r w:rsidRPr="00D15B24">
        <w:t xml:space="preserve"> as a </w:t>
      </w:r>
      <w:proofErr w:type="spellStart"/>
      <w:r w:rsidRPr="00D15B24">
        <w:t>Hy’s</w:t>
      </w:r>
      <w:proofErr w:type="spellEnd"/>
      <w:r w:rsidRPr="00D15B24">
        <w:t xml:space="preserve"> law</w:t>
      </w:r>
      <w:bookmarkStart w:id="112" w:name="_Ref13737976"/>
      <w:r w:rsidR="008C6732">
        <w:rPr>
          <w:rStyle w:val="FootnoteReference"/>
        </w:rPr>
        <w:footnoteReference w:id="5"/>
      </w:r>
      <w:bookmarkEnd w:id="112"/>
      <w:r>
        <w:t xml:space="preserve"> case in either treatment group.</w:t>
      </w:r>
    </w:p>
    <w:p w14:paraId="30109CC5" w14:textId="16D7E926" w:rsidR="007757F1" w:rsidRPr="00D21174" w:rsidRDefault="007757F1" w:rsidP="000D0442">
      <w:pPr>
        <w:rPr>
          <w:lang w:eastAsia="ja-JP"/>
        </w:rPr>
      </w:pPr>
      <w:r>
        <w:t xml:space="preserve">In Study A3921095, </w:t>
      </w:r>
      <w:r>
        <w:rPr>
          <w:lang w:eastAsia="ja-JP"/>
        </w:rPr>
        <w:t>HERC did not consider 2 hepatic injury events</w:t>
      </w:r>
      <w:r w:rsidRPr="00DB53E2">
        <w:t xml:space="preserve"> </w:t>
      </w:r>
      <w:r>
        <w:t>(</w:t>
      </w:r>
      <w:r w:rsidRPr="00D15B24">
        <w:t>AST/ALT</w:t>
      </w:r>
      <w:r>
        <w:t xml:space="preserve"> </w:t>
      </w:r>
      <w:r w:rsidRPr="00D15B24">
        <w:t xml:space="preserve">elevation </w:t>
      </w:r>
      <w:r>
        <w:rPr>
          <w:rFonts w:cs="Symbol"/>
        </w:rPr>
        <w:t xml:space="preserve">≥ </w:t>
      </w:r>
      <w:r w:rsidRPr="00D15B24">
        <w:t xml:space="preserve">5 </w:t>
      </w:r>
      <w:r w:rsidR="008C6732">
        <w:t>times</w:t>
      </w:r>
      <w:r w:rsidRPr="00D15B24">
        <w:t xml:space="preserve"> ULN</w:t>
      </w:r>
      <w:r>
        <w:t>)</w:t>
      </w:r>
      <w:r>
        <w:rPr>
          <w:lang w:eastAsia="ja-JP"/>
        </w:rPr>
        <w:t xml:space="preserve"> listed for </w:t>
      </w:r>
      <w:proofErr w:type="spellStart"/>
      <w:r>
        <w:rPr>
          <w:lang w:eastAsia="ja-JP"/>
        </w:rPr>
        <w:t>tofacitinib</w:t>
      </w:r>
      <w:proofErr w:type="spellEnd"/>
      <w:r>
        <w:rPr>
          <w:lang w:eastAsia="ja-JP"/>
        </w:rPr>
        <w:t xml:space="preserve"> treatment as study drug related. The placebo treated subject with a probable DILI assessment withdrew from the study due to insufficient clinical response. </w:t>
      </w:r>
      <w:r w:rsidRPr="00D21174">
        <w:t>None of these cases was an SAE</w:t>
      </w:r>
      <w:r>
        <w:t xml:space="preserve"> or</w:t>
      </w:r>
      <w:r w:rsidRPr="00D21174">
        <w:t xml:space="preserve"> adjudicated as </w:t>
      </w:r>
      <w:r>
        <w:t xml:space="preserve">a </w:t>
      </w:r>
      <w:proofErr w:type="spellStart"/>
      <w:r>
        <w:t>Hy’s</w:t>
      </w:r>
      <w:proofErr w:type="spellEnd"/>
      <w:r>
        <w:t xml:space="preserve"> law</w:t>
      </w:r>
      <w:r w:rsidR="00C554A3" w:rsidRPr="00C554A3">
        <w:t xml:space="preserve"> </w:t>
      </w:r>
      <w:r w:rsidR="00C554A3">
        <w:t>case.</w:t>
      </w:r>
      <w:r w:rsidR="008C6732">
        <w:fldChar w:fldCharType="begin"/>
      </w:r>
      <w:r w:rsidR="008C6732">
        <w:instrText xml:space="preserve"> NOTEREF _Ref13737976 \f \h </w:instrText>
      </w:r>
      <w:r w:rsidR="008C6732">
        <w:fldChar w:fldCharType="separate"/>
      </w:r>
      <w:r w:rsidR="00A05036" w:rsidRPr="00C201CB">
        <w:rPr>
          <w:rStyle w:val="FootnoteReference"/>
        </w:rPr>
        <w:t>5</w:t>
      </w:r>
      <w:r w:rsidR="008C6732">
        <w:fldChar w:fldCharType="end"/>
      </w:r>
    </w:p>
    <w:p w14:paraId="085AFDEC" w14:textId="119F91DD" w:rsidR="007757F1" w:rsidRDefault="007757F1" w:rsidP="000D0442">
      <w:r>
        <w:rPr>
          <w:lang w:eastAsia="ja-JP"/>
        </w:rPr>
        <w:t xml:space="preserve">In Study A3921096, </w:t>
      </w:r>
      <w:r w:rsidRPr="00855E57">
        <w:t xml:space="preserve">1 subject in the </w:t>
      </w:r>
      <w:proofErr w:type="spellStart"/>
      <w:r w:rsidRPr="00855E57">
        <w:t>tofacitinib</w:t>
      </w:r>
      <w:proofErr w:type="spellEnd"/>
      <w:r w:rsidRPr="00855E57">
        <w:t xml:space="preserve"> 10 mg BID treatment group had </w:t>
      </w:r>
      <w:r>
        <w:t xml:space="preserve">mild increases in </w:t>
      </w:r>
      <w:r w:rsidRPr="00855E57">
        <w:t>ALT</w:t>
      </w:r>
      <w:r>
        <w:t>,</w:t>
      </w:r>
      <w:r w:rsidRPr="00855E57">
        <w:t xml:space="preserve"> AST, </w:t>
      </w:r>
      <w:r w:rsidR="008C6732">
        <w:t>a</w:t>
      </w:r>
      <w:r w:rsidR="008C6732" w:rsidRPr="008C6732">
        <w:t xml:space="preserve">lkaline phosphatase </w:t>
      </w:r>
      <w:r w:rsidR="008C6732">
        <w:t>(</w:t>
      </w:r>
      <w:r>
        <w:t>ALP</w:t>
      </w:r>
      <w:r w:rsidR="008C6732">
        <w:t>)</w:t>
      </w:r>
      <w:r>
        <w:t xml:space="preserve"> and </w:t>
      </w:r>
      <w:r w:rsidR="008C6732">
        <w:t>g</w:t>
      </w:r>
      <w:r w:rsidR="008C6732" w:rsidRPr="008C6732">
        <w:t>amma-</w:t>
      </w:r>
      <w:proofErr w:type="spellStart"/>
      <w:r w:rsidR="008C6732" w:rsidRPr="008C6732">
        <w:t>glutamyl</w:t>
      </w:r>
      <w:proofErr w:type="spellEnd"/>
      <w:r w:rsidR="008C6732" w:rsidRPr="008C6732">
        <w:t xml:space="preserve"> transferase </w:t>
      </w:r>
      <w:r w:rsidR="008C6732">
        <w:t>(</w:t>
      </w:r>
      <w:r>
        <w:t>GGT</w:t>
      </w:r>
      <w:r w:rsidR="008C6732">
        <w:t>)</w:t>
      </w:r>
      <w:r>
        <w:t>,</w:t>
      </w:r>
      <w:r w:rsidRPr="00855E57">
        <w:t xml:space="preserve"> which were adjudicated as ‘possible’ DILI by HERC. </w:t>
      </w:r>
      <w:r>
        <w:t>No</w:t>
      </w:r>
      <w:r w:rsidRPr="00855E57">
        <w:t xml:space="preserve"> event </w:t>
      </w:r>
      <w:r>
        <w:t xml:space="preserve">was </w:t>
      </w:r>
      <w:r w:rsidRPr="00855E57">
        <w:t xml:space="preserve">adjudicated as a </w:t>
      </w:r>
      <w:proofErr w:type="spellStart"/>
      <w:r w:rsidRPr="00855E57">
        <w:t>Hy’s</w:t>
      </w:r>
      <w:proofErr w:type="spellEnd"/>
      <w:r w:rsidRPr="00855E57">
        <w:t xml:space="preserve"> law</w:t>
      </w:r>
      <w:r>
        <w:t xml:space="preserve"> </w:t>
      </w:r>
      <w:r w:rsidRPr="00855E57">
        <w:t>case</w:t>
      </w:r>
      <w:r w:rsidR="00C554A3">
        <w:t>.</w:t>
      </w:r>
      <w:r w:rsidR="008C6732">
        <w:fldChar w:fldCharType="begin"/>
      </w:r>
      <w:r w:rsidR="008C6732">
        <w:instrText xml:space="preserve"> NOTEREF _Ref13737976 \f \h </w:instrText>
      </w:r>
      <w:r w:rsidR="008C6732">
        <w:fldChar w:fldCharType="separate"/>
      </w:r>
      <w:r w:rsidR="00A05036" w:rsidRPr="00C201CB">
        <w:rPr>
          <w:rStyle w:val="FootnoteReference"/>
        </w:rPr>
        <w:t>5</w:t>
      </w:r>
      <w:r w:rsidR="008C6732">
        <w:fldChar w:fldCharType="end"/>
      </w:r>
    </w:p>
    <w:p w14:paraId="25CBFDBC" w14:textId="77777777" w:rsidR="007757F1" w:rsidRDefault="007757F1" w:rsidP="000D0442">
      <w:pPr>
        <w:rPr>
          <w:lang w:eastAsia="ja-JP"/>
        </w:rPr>
      </w:pPr>
      <w:r>
        <w:rPr>
          <w:lang w:eastAsia="ja-JP"/>
        </w:rPr>
        <w:t>No hepatic injury events were reported in Study A3921063.</w:t>
      </w:r>
    </w:p>
    <w:p w14:paraId="1DD1D537" w14:textId="3E157EFA" w:rsidR="005F7896" w:rsidRDefault="007757F1" w:rsidP="000D0442">
      <w:r>
        <w:rPr>
          <w:lang w:eastAsia="ja-JP"/>
        </w:rPr>
        <w:t xml:space="preserve">In Study A3921139, </w:t>
      </w:r>
      <w:r w:rsidRPr="00DC64B7">
        <w:t xml:space="preserve">5 subjects in the </w:t>
      </w:r>
      <w:proofErr w:type="spellStart"/>
      <w:r w:rsidRPr="00DC64B7">
        <w:t>tofacitinib</w:t>
      </w:r>
      <w:proofErr w:type="spellEnd"/>
      <w:r w:rsidRPr="00DC64B7">
        <w:t xml:space="preserve"> 10 mg BID group had adjudicated hepatic injury events</w:t>
      </w:r>
      <w:r>
        <w:t>.</w:t>
      </w:r>
      <w:r w:rsidRPr="00DB53E2">
        <w:t xml:space="preserve"> </w:t>
      </w:r>
      <w:r w:rsidRPr="00DC64B7">
        <w:t>Two cases</w:t>
      </w:r>
      <w:r>
        <w:t xml:space="preserve"> </w:t>
      </w:r>
      <w:r w:rsidRPr="00DC64B7">
        <w:t>were assessed as possible DILI</w:t>
      </w:r>
      <w:r>
        <w:t xml:space="preserve">, but neither was considered study drug related. </w:t>
      </w:r>
      <w:r w:rsidRPr="00DC64B7">
        <w:t xml:space="preserve">None of the events met the criteria for a </w:t>
      </w:r>
      <w:proofErr w:type="spellStart"/>
      <w:r w:rsidRPr="00DC64B7">
        <w:t>Hy’s</w:t>
      </w:r>
      <w:proofErr w:type="spellEnd"/>
      <w:r w:rsidRPr="00DC64B7">
        <w:t xml:space="preserve"> law</w:t>
      </w:r>
      <w:r w:rsidR="00C554A3">
        <w:t xml:space="preserve"> case.</w:t>
      </w:r>
      <w:r w:rsidR="008C6732">
        <w:fldChar w:fldCharType="begin"/>
      </w:r>
      <w:r w:rsidR="008C6732">
        <w:instrText xml:space="preserve"> NOTEREF _Ref13737976 \f \h </w:instrText>
      </w:r>
      <w:r w:rsidR="008C6732">
        <w:fldChar w:fldCharType="separate"/>
      </w:r>
      <w:r w:rsidR="00A05036" w:rsidRPr="00C201CB">
        <w:rPr>
          <w:rStyle w:val="FootnoteReference"/>
        </w:rPr>
        <w:t>5</w:t>
      </w:r>
      <w:r w:rsidR="008C6732">
        <w:fldChar w:fldCharType="end"/>
      </w:r>
    </w:p>
    <w:p w14:paraId="15ED5023" w14:textId="77777777" w:rsidR="007757F1" w:rsidRPr="00BC3CAB" w:rsidRDefault="007757F1" w:rsidP="000D0442">
      <w:pPr>
        <w:pStyle w:val="Heading6"/>
        <w:rPr>
          <w:lang w:eastAsia="ja-JP"/>
        </w:rPr>
      </w:pPr>
      <w:r w:rsidRPr="00BC3CAB">
        <w:rPr>
          <w:lang w:eastAsia="ja-JP"/>
        </w:rPr>
        <w:t>Opportunistic infections</w:t>
      </w:r>
    </w:p>
    <w:p w14:paraId="4C28082F" w14:textId="77777777" w:rsidR="007757F1" w:rsidRDefault="007757F1" w:rsidP="000D0442">
      <w:r>
        <w:rPr>
          <w:lang w:eastAsia="ja-JP"/>
        </w:rPr>
        <w:t>In Study A3921094, t</w:t>
      </w:r>
      <w:r w:rsidRPr="00684A83">
        <w:t xml:space="preserve">wo subjects in the </w:t>
      </w:r>
      <w:proofErr w:type="spellStart"/>
      <w:r w:rsidRPr="00684A83">
        <w:t>tofacitinib</w:t>
      </w:r>
      <w:proofErr w:type="spellEnd"/>
      <w:r w:rsidRPr="00684A83">
        <w:t xml:space="preserve"> 10 mg BID treatment group experienced events </w:t>
      </w:r>
      <w:r>
        <w:t>adjudicated</w:t>
      </w:r>
      <w:r w:rsidRPr="00684A83">
        <w:t xml:space="preserve"> by the OIRC as opportunistic infections (</w:t>
      </w:r>
      <w:r>
        <w:t>both HZ</w:t>
      </w:r>
      <w:r w:rsidRPr="00684A83">
        <w:t xml:space="preserve">). Neither </w:t>
      </w:r>
      <w:r>
        <w:t xml:space="preserve">event was reported as a SAE </w:t>
      </w:r>
      <w:r w:rsidRPr="00684A83">
        <w:t>or serious infection.</w:t>
      </w:r>
      <w:r>
        <w:t xml:space="preserve"> Only 1 was considered related to study </w:t>
      </w:r>
      <w:r>
        <w:lastRenderedPageBreak/>
        <w:t>drug (HZ</w:t>
      </w:r>
      <w:r w:rsidRPr="003354C5">
        <w:t xml:space="preserve"> </w:t>
      </w:r>
      <w:r>
        <w:t>that</w:t>
      </w:r>
      <w:r w:rsidRPr="009C769C">
        <w:t xml:space="preserve"> affected 2 adjacent dermatomes</w:t>
      </w:r>
      <w:r w:rsidR="008C6732">
        <w:t>). One</w:t>
      </w:r>
      <w:r>
        <w:t xml:space="preserve"> case of HZ that </w:t>
      </w:r>
      <w:r w:rsidRPr="009C769C">
        <w:t>affected possibly 3 non-adjacent dermatomes</w:t>
      </w:r>
      <w:r>
        <w:t xml:space="preserve"> was not considered drug related (but related to a viral infection).</w:t>
      </w:r>
    </w:p>
    <w:p w14:paraId="36CED921" w14:textId="77777777" w:rsidR="005F7896" w:rsidRDefault="007757F1" w:rsidP="000D0442">
      <w:r>
        <w:rPr>
          <w:lang w:eastAsia="ja-JP"/>
        </w:rPr>
        <w:t>In Study A3921095, t</w:t>
      </w:r>
      <w:r w:rsidRPr="00372B85">
        <w:t xml:space="preserve">wo subjects in the </w:t>
      </w:r>
      <w:proofErr w:type="spellStart"/>
      <w:r w:rsidRPr="00372B85">
        <w:t>tofacitinib</w:t>
      </w:r>
      <w:proofErr w:type="spellEnd"/>
      <w:r w:rsidRPr="00372B85">
        <w:t xml:space="preserve"> 10 mg BID treatment group experienced </w:t>
      </w:r>
      <w:r>
        <w:t xml:space="preserve">treatment-related </w:t>
      </w:r>
      <w:r w:rsidRPr="00372B85">
        <w:t>events that were</w:t>
      </w:r>
      <w:r>
        <w:t xml:space="preserve"> </w:t>
      </w:r>
      <w:r w:rsidRPr="00372B85">
        <w:t xml:space="preserve">adjudicated by the OIRC as </w:t>
      </w:r>
      <w:r>
        <w:t>OIs</w:t>
      </w:r>
      <w:r w:rsidRPr="00372B85">
        <w:t xml:space="preserve"> (</w:t>
      </w:r>
      <w:r>
        <w:t xml:space="preserve">HZ </w:t>
      </w:r>
      <w:r w:rsidRPr="00372B85">
        <w:t>and cytomegalovirus</w:t>
      </w:r>
      <w:r>
        <w:t xml:space="preserve"> </w:t>
      </w:r>
      <w:r w:rsidR="006C148C">
        <w:t>(</w:t>
      </w:r>
      <w:r w:rsidRPr="00372B85">
        <w:t>CMV</w:t>
      </w:r>
      <w:r w:rsidR="006C148C">
        <w:t>)</w:t>
      </w:r>
      <w:r w:rsidRPr="00372B85">
        <w:t xml:space="preserve"> infection). Neither event</w:t>
      </w:r>
      <w:r>
        <w:t xml:space="preserve"> was an</w:t>
      </w:r>
      <w:r w:rsidRPr="00372B85">
        <w:t xml:space="preserve"> SAE or serious</w:t>
      </w:r>
      <w:r>
        <w:t xml:space="preserve"> </w:t>
      </w:r>
      <w:r w:rsidRPr="00372B85">
        <w:t>infections</w:t>
      </w:r>
      <w:r w:rsidR="005F7896">
        <w:t>.</w:t>
      </w:r>
    </w:p>
    <w:p w14:paraId="386C899A" w14:textId="77777777" w:rsidR="007757F1" w:rsidRDefault="007757F1" w:rsidP="000D0442">
      <w:pPr>
        <w:rPr>
          <w:lang w:eastAsia="ja-JP"/>
        </w:rPr>
      </w:pPr>
      <w:r>
        <w:rPr>
          <w:lang w:eastAsia="ja-JP"/>
        </w:rPr>
        <w:t>No OIs were reported in Study A3921063.</w:t>
      </w:r>
    </w:p>
    <w:p w14:paraId="36E79EC8" w14:textId="77777777" w:rsidR="007757F1" w:rsidRDefault="008C6732" w:rsidP="000D0442">
      <w:pPr>
        <w:rPr>
          <w:lang w:eastAsia="ja-JP"/>
        </w:rPr>
      </w:pPr>
      <w:r>
        <w:rPr>
          <w:lang w:eastAsia="ja-JP"/>
        </w:rPr>
        <w:t>In Study A3921096, 8</w:t>
      </w:r>
      <w:r w:rsidR="007757F1">
        <w:rPr>
          <w:lang w:eastAsia="ja-JP"/>
        </w:rPr>
        <w:t xml:space="preserve">of 13 (61.5%) cases of HZ infection were adjudicated as OIs and were all considered related to study drug: 1 in placebo, 3 in </w:t>
      </w:r>
      <w:proofErr w:type="spellStart"/>
      <w:r w:rsidR="007757F1">
        <w:rPr>
          <w:lang w:eastAsia="ja-JP"/>
        </w:rPr>
        <w:t>tofacitinib</w:t>
      </w:r>
      <w:proofErr w:type="spellEnd"/>
      <w:r w:rsidR="007757F1">
        <w:rPr>
          <w:lang w:eastAsia="ja-JP"/>
        </w:rPr>
        <w:t xml:space="preserve"> 5 mg and 4 in </w:t>
      </w:r>
      <w:proofErr w:type="spellStart"/>
      <w:r w:rsidR="007757F1">
        <w:rPr>
          <w:lang w:eastAsia="ja-JP"/>
        </w:rPr>
        <w:t>tofacitinib</w:t>
      </w:r>
      <w:proofErr w:type="spellEnd"/>
      <w:r w:rsidR="007757F1">
        <w:rPr>
          <w:lang w:eastAsia="ja-JP"/>
        </w:rPr>
        <w:t xml:space="preserve"> 10 mg groups, respectively.</w:t>
      </w:r>
    </w:p>
    <w:p w14:paraId="6EC31D38" w14:textId="77777777" w:rsidR="007757F1" w:rsidRPr="00284790" w:rsidRDefault="007757F1" w:rsidP="000D0442">
      <w:pPr>
        <w:rPr>
          <w:lang w:eastAsia="ja-JP"/>
        </w:rPr>
      </w:pPr>
      <w:r>
        <w:rPr>
          <w:lang w:eastAsia="ja-JP"/>
        </w:rPr>
        <w:t xml:space="preserve">In Study A3921139, </w:t>
      </w:r>
      <w:r w:rsidRPr="00452698">
        <w:t>13 subjects were</w:t>
      </w:r>
      <w:r>
        <w:t xml:space="preserve"> </w:t>
      </w:r>
      <w:r w:rsidRPr="00452698">
        <w:t xml:space="preserve">adjudicated by the OIRC as </w:t>
      </w:r>
      <w:r>
        <w:t xml:space="preserve">OIs and 12 considered study drug related: </w:t>
      </w:r>
      <w:r w:rsidR="008C6732">
        <w:t>Ten</w:t>
      </w:r>
      <w:r w:rsidRPr="00284790">
        <w:t xml:space="preserve"> subjects experienced </w:t>
      </w:r>
      <w:r>
        <w:t>HZ</w:t>
      </w:r>
      <w:r w:rsidRPr="00284790">
        <w:t xml:space="preserve"> infection events</w:t>
      </w:r>
      <w:r>
        <w:t xml:space="preserve"> (</w:t>
      </w:r>
      <w:r w:rsidRPr="00284790">
        <w:t>2</w:t>
      </w:r>
      <w:r>
        <w:t xml:space="preserve"> </w:t>
      </w:r>
      <w:r w:rsidR="006C148C">
        <w:t>(</w:t>
      </w:r>
      <w:r>
        <w:t>1.3%</w:t>
      </w:r>
      <w:r w:rsidR="006C148C">
        <w:t>)</w:t>
      </w:r>
      <w:r w:rsidRPr="00284790">
        <w:t xml:space="preserve"> in the</w:t>
      </w:r>
      <w:r>
        <w:t xml:space="preserve"> </w:t>
      </w:r>
      <w:proofErr w:type="spellStart"/>
      <w:r w:rsidRPr="00284790">
        <w:t>tofacitinib</w:t>
      </w:r>
      <w:proofErr w:type="spellEnd"/>
      <w:r w:rsidRPr="00284790">
        <w:t xml:space="preserve"> 5 mg BID group and 8</w:t>
      </w:r>
      <w:r>
        <w:t xml:space="preserve"> </w:t>
      </w:r>
      <w:r w:rsidR="006C148C">
        <w:t>(</w:t>
      </w:r>
      <w:r>
        <w:t>1.1%</w:t>
      </w:r>
      <w:r w:rsidR="006C148C">
        <w:t>)</w:t>
      </w:r>
      <w:r w:rsidRPr="00284790">
        <w:t xml:space="preserve"> in the</w:t>
      </w:r>
      <w:r>
        <w:t xml:space="preserve"> </w:t>
      </w:r>
      <w:proofErr w:type="spellStart"/>
      <w:r w:rsidRPr="00284790">
        <w:t>tofacitinib</w:t>
      </w:r>
      <w:proofErr w:type="spellEnd"/>
      <w:r w:rsidRPr="00284790">
        <w:t xml:space="preserve"> 10 mg BID group</w:t>
      </w:r>
      <w:r>
        <w:t xml:space="preserve">); an SAE of CMV hepatitis with </w:t>
      </w:r>
      <w:proofErr w:type="spellStart"/>
      <w:r>
        <w:t>tofacitinib</w:t>
      </w:r>
      <w:proofErr w:type="spellEnd"/>
      <w:r>
        <w:t xml:space="preserve"> 5 mg treatment and an SAE of </w:t>
      </w:r>
      <w:r w:rsidRPr="00284790">
        <w:t>histoplasmosis</w:t>
      </w:r>
      <w:r>
        <w:t xml:space="preserve"> with </w:t>
      </w:r>
      <w:proofErr w:type="spellStart"/>
      <w:r>
        <w:t>tofacitinib</w:t>
      </w:r>
      <w:proofErr w:type="spellEnd"/>
      <w:r>
        <w:t xml:space="preserve"> 10 mg treatment. 1 AE of pulmonary mycosis</w:t>
      </w:r>
      <w:r w:rsidRPr="00522052">
        <w:t xml:space="preserve"> </w:t>
      </w:r>
      <w:r>
        <w:t xml:space="preserve">with </w:t>
      </w:r>
      <w:proofErr w:type="spellStart"/>
      <w:r>
        <w:t>tofacitinib</w:t>
      </w:r>
      <w:proofErr w:type="spellEnd"/>
      <w:r>
        <w:t xml:space="preserve"> 5 mg treatment was not considered study drug related.</w:t>
      </w:r>
    </w:p>
    <w:p w14:paraId="4E44E0E2" w14:textId="77777777" w:rsidR="007757F1" w:rsidRPr="00BC3CAB" w:rsidRDefault="007757F1" w:rsidP="000D0442">
      <w:pPr>
        <w:pStyle w:val="Heading6"/>
        <w:rPr>
          <w:lang w:eastAsia="ja-JP"/>
        </w:rPr>
      </w:pPr>
      <w:r w:rsidRPr="00BC3CAB">
        <w:rPr>
          <w:lang w:eastAsia="ja-JP"/>
        </w:rPr>
        <w:t>Gastrointestinal perforation</w:t>
      </w:r>
    </w:p>
    <w:p w14:paraId="43741B8A" w14:textId="77777777" w:rsidR="007757F1" w:rsidRPr="000D0442" w:rsidRDefault="007757F1" w:rsidP="000D0442">
      <w:pPr>
        <w:rPr>
          <w:lang w:eastAsia="ja-JP"/>
        </w:rPr>
      </w:pPr>
      <w:r>
        <w:rPr>
          <w:lang w:eastAsia="ja-JP"/>
        </w:rPr>
        <w:t xml:space="preserve">In the </w:t>
      </w:r>
      <w:r w:rsidR="00B7366A">
        <w:rPr>
          <w:lang w:eastAsia="ja-JP"/>
        </w:rPr>
        <w:t>Phase</w:t>
      </w:r>
      <w:r>
        <w:rPr>
          <w:lang w:eastAsia="ja-JP"/>
        </w:rPr>
        <w:t xml:space="preserve"> III studies, there were 3 events </w:t>
      </w:r>
      <w:r w:rsidRPr="00AB0348">
        <w:t xml:space="preserve">adjudicated </w:t>
      </w:r>
      <w:r>
        <w:t xml:space="preserve">as GI perforations by the GIPRC. Of these, 2 were considered study drug related (anal abscess in Study A3921094 receiving </w:t>
      </w:r>
      <w:proofErr w:type="spellStart"/>
      <w:r>
        <w:t>tofacitinib</w:t>
      </w:r>
      <w:proofErr w:type="spellEnd"/>
      <w:r>
        <w:t xml:space="preserve"> 10 mg treatment) and (</w:t>
      </w:r>
      <w:r w:rsidRPr="00697CC1">
        <w:t>GI perforation</w:t>
      </w:r>
      <w:r>
        <w:t xml:space="preserve"> in Study A3921096 receiving placebo treatment). One subject in the </w:t>
      </w:r>
      <w:proofErr w:type="spellStart"/>
      <w:r>
        <w:t>tofacitinib</w:t>
      </w:r>
      <w:proofErr w:type="spellEnd"/>
      <w:r>
        <w:t xml:space="preserve"> 10 mg group had a non-study drug related intestinal perforation.</w:t>
      </w:r>
    </w:p>
    <w:p w14:paraId="58514404" w14:textId="23418441" w:rsidR="007757F1" w:rsidRDefault="007757F1" w:rsidP="000D0442">
      <w:r>
        <w:rPr>
          <w:lang w:eastAsia="ja-JP"/>
        </w:rPr>
        <w:t>Three events in Study A3921139 were</w:t>
      </w:r>
      <w:r w:rsidRPr="00BE22CF">
        <w:t xml:space="preserve"> </w:t>
      </w:r>
      <w:r w:rsidRPr="00AB0348">
        <w:t xml:space="preserve">adjudicated </w:t>
      </w:r>
      <w:r>
        <w:t>as GI perforations by the GIPRC. 1</w:t>
      </w:r>
      <w:r w:rsidR="00C554A3">
        <w:t> </w:t>
      </w:r>
      <w:r>
        <w:t>event was considered study-related (</w:t>
      </w:r>
      <w:r w:rsidRPr="008B1210">
        <w:t>GI perforation</w:t>
      </w:r>
      <w:r>
        <w:t xml:space="preserve"> and EBV </w:t>
      </w:r>
      <w:r w:rsidRPr="008B1210">
        <w:t>associated lymphoma</w:t>
      </w:r>
      <w:r>
        <w:t xml:space="preserve"> receiving </w:t>
      </w:r>
      <w:proofErr w:type="spellStart"/>
      <w:r>
        <w:t>tofacitinib</w:t>
      </w:r>
      <w:proofErr w:type="spellEnd"/>
      <w:r>
        <w:t xml:space="preserve"> 10 mg treatment) and 2 events considered not study drug related (appendicitis in </w:t>
      </w:r>
      <w:proofErr w:type="spellStart"/>
      <w:r>
        <w:t>tofacitinib</w:t>
      </w:r>
      <w:proofErr w:type="spellEnd"/>
      <w:r>
        <w:t xml:space="preserve"> 5 mg group and </w:t>
      </w:r>
      <w:r w:rsidRPr="008B1210">
        <w:t>pilonidal cyst requiring antibiotics and abscess drainage</w:t>
      </w:r>
      <w:r>
        <w:t xml:space="preserve"> in </w:t>
      </w:r>
      <w:proofErr w:type="spellStart"/>
      <w:r>
        <w:t>tofacitinib</w:t>
      </w:r>
      <w:proofErr w:type="spellEnd"/>
      <w:r>
        <w:t xml:space="preserve"> 10 mg group).</w:t>
      </w:r>
    </w:p>
    <w:p w14:paraId="40AB20D9" w14:textId="77777777" w:rsidR="007757F1" w:rsidRPr="00BC3CAB" w:rsidRDefault="007757F1" w:rsidP="000D0442">
      <w:pPr>
        <w:pStyle w:val="Heading6"/>
        <w:rPr>
          <w:lang w:eastAsia="ja-JP"/>
        </w:rPr>
      </w:pPr>
      <w:r w:rsidRPr="00BC3CAB">
        <w:rPr>
          <w:lang w:eastAsia="ja-JP"/>
        </w:rPr>
        <w:t>Interstitial lung disease</w:t>
      </w:r>
    </w:p>
    <w:p w14:paraId="0018050B" w14:textId="77777777" w:rsidR="007757F1" w:rsidRDefault="007757F1" w:rsidP="000D0442">
      <w:pPr>
        <w:rPr>
          <w:lang w:eastAsia="ja-JP"/>
        </w:rPr>
      </w:pPr>
      <w:r w:rsidRPr="00E04DB9">
        <w:t xml:space="preserve">There were no adjudicated events of ILD during </w:t>
      </w:r>
      <w:r>
        <w:t>studies A3921094, A3921095, A3921096, A3921063 and A3921139.</w:t>
      </w:r>
    </w:p>
    <w:p w14:paraId="3486332A" w14:textId="77777777" w:rsidR="007757F1" w:rsidRPr="00545B14" w:rsidRDefault="007757F1" w:rsidP="000D0442">
      <w:pPr>
        <w:pStyle w:val="Heading5"/>
      </w:pPr>
      <w:bookmarkStart w:id="113" w:name="_Toc272414669"/>
      <w:bookmarkStart w:id="114" w:name="_Toc290888533"/>
      <w:bookmarkStart w:id="115" w:name="_Toc416353749"/>
      <w:bookmarkStart w:id="116" w:name="_Toc421005292"/>
      <w:bookmarkStart w:id="117" w:name="_Toc432079169"/>
      <w:bookmarkStart w:id="118" w:name="_Toc432080742"/>
      <w:r w:rsidRPr="00545B14">
        <w:t>Liver function</w:t>
      </w:r>
      <w:bookmarkEnd w:id="113"/>
      <w:bookmarkEnd w:id="114"/>
      <w:bookmarkEnd w:id="115"/>
      <w:bookmarkEnd w:id="116"/>
      <w:r>
        <w:t xml:space="preserve"> and liver toxicity</w:t>
      </w:r>
      <w:bookmarkEnd w:id="117"/>
      <w:bookmarkEnd w:id="118"/>
    </w:p>
    <w:p w14:paraId="1B65A6A2" w14:textId="77777777" w:rsidR="007757F1" w:rsidRPr="00C2074B" w:rsidRDefault="007757F1" w:rsidP="000D0442">
      <w:pPr>
        <w:pStyle w:val="Heading6"/>
      </w:pPr>
      <w:r w:rsidRPr="00C2074B">
        <w:t>Pivotal and/or main efficacy studies</w:t>
      </w:r>
    </w:p>
    <w:p w14:paraId="25B643D5" w14:textId="02B7699E" w:rsidR="007757F1" w:rsidRPr="00C927B9" w:rsidRDefault="007757F1" w:rsidP="000D0442">
      <w:pPr>
        <w:rPr>
          <w:lang w:eastAsia="ja-JP"/>
        </w:rPr>
      </w:pPr>
      <w:r>
        <w:t>Across the induction studies, the p</w:t>
      </w:r>
      <w:r w:rsidRPr="00C927B9">
        <w:t xml:space="preserve">roportions of subjects with abnormalities in each multiple of the ULN </w:t>
      </w:r>
      <w:r>
        <w:t>(</w:t>
      </w:r>
      <w:r>
        <w:rPr>
          <w:rFonts w:cs="Symbol"/>
        </w:rPr>
        <w:t xml:space="preserve">≥ 1; </w:t>
      </w:r>
      <w:r>
        <w:t>≥</w:t>
      </w:r>
      <w:r>
        <w:rPr>
          <w:rFonts w:cs="Symbol"/>
        </w:rPr>
        <w:t xml:space="preserve"> 2; ≥ 3) </w:t>
      </w:r>
      <w:r w:rsidRPr="00C927B9">
        <w:t>were no</w:t>
      </w:r>
      <w:r>
        <w:t xml:space="preserve"> </w:t>
      </w:r>
      <w:r w:rsidRPr="00C927B9">
        <w:t xml:space="preserve">higher in the </w:t>
      </w:r>
      <w:proofErr w:type="spellStart"/>
      <w:r w:rsidRPr="00C927B9">
        <w:t>tofacitinib</w:t>
      </w:r>
      <w:proofErr w:type="spellEnd"/>
      <w:r w:rsidRPr="00C927B9">
        <w:t xml:space="preserve"> 10 mg BID group than the placebo group for </w:t>
      </w:r>
      <w:r>
        <w:t>ALT and AST</w:t>
      </w:r>
      <w:r w:rsidRPr="00C927B9">
        <w:t xml:space="preserve">. </w:t>
      </w:r>
      <w:r>
        <w:t xml:space="preserve">No potential </w:t>
      </w:r>
      <w:proofErr w:type="spellStart"/>
      <w:r>
        <w:t>Hy’s</w:t>
      </w:r>
      <w:proofErr w:type="spellEnd"/>
      <w:r>
        <w:t xml:space="preserve"> law case</w:t>
      </w:r>
      <w:r w:rsidR="00C554A3">
        <w:t xml:space="preserve"> was identified.</w:t>
      </w:r>
      <w:r w:rsidR="008C6732">
        <w:rPr>
          <w:rFonts w:eastAsiaTheme="minorHAnsi" w:cs="TimesNewRoman"/>
        </w:rPr>
        <w:fldChar w:fldCharType="begin"/>
      </w:r>
      <w:r w:rsidR="008C6732">
        <w:instrText xml:space="preserve"> NOTEREF _Ref13737976 \f \h </w:instrText>
      </w:r>
      <w:r w:rsidR="008C6732">
        <w:rPr>
          <w:rFonts w:eastAsiaTheme="minorHAnsi" w:cs="TimesNewRoman"/>
        </w:rPr>
      </w:r>
      <w:r w:rsidR="008C6732">
        <w:rPr>
          <w:rFonts w:eastAsiaTheme="minorHAnsi" w:cs="TimesNewRoman"/>
        </w:rPr>
        <w:fldChar w:fldCharType="separate"/>
      </w:r>
      <w:r w:rsidR="00A05036" w:rsidRPr="001120D9">
        <w:rPr>
          <w:rStyle w:val="FootnoteReference"/>
        </w:rPr>
        <w:t>5</w:t>
      </w:r>
      <w:r w:rsidR="008C6732">
        <w:rPr>
          <w:rFonts w:eastAsiaTheme="minorHAnsi" w:cs="TimesNewRoman"/>
        </w:rPr>
        <w:fldChar w:fldCharType="end"/>
      </w:r>
    </w:p>
    <w:p w14:paraId="5C5517F2" w14:textId="77777777" w:rsidR="005F7896" w:rsidRDefault="007757F1" w:rsidP="000D0442">
      <w:r>
        <w:rPr>
          <w:lang w:eastAsia="ja-JP"/>
        </w:rPr>
        <w:t>In Study A3921094, d</w:t>
      </w:r>
      <w:r w:rsidRPr="00D72302">
        <w:t xml:space="preserve">ifferences from placebo for adjusted mean changes were statistically </w:t>
      </w:r>
      <w:r>
        <w:t xml:space="preserve">significant for at every time point (Weeks 2, 4 and 8) for ALP. </w:t>
      </w:r>
      <w:r w:rsidRPr="0011388F">
        <w:t xml:space="preserve">One subject (0.8%) in the placebo group met criteria for 2 sequential AST or ALT elevations </w:t>
      </w:r>
      <w:r>
        <w:rPr>
          <w:rFonts w:cs="Symbol"/>
        </w:rPr>
        <w:t xml:space="preserve">≥ </w:t>
      </w:r>
      <w:r w:rsidR="00033E9C">
        <w:t>3 times</w:t>
      </w:r>
      <w:r w:rsidRPr="0011388F">
        <w:t xml:space="preserve"> ULN as well as for 2 sequential</w:t>
      </w:r>
      <w:r>
        <w:t xml:space="preserve"> </w:t>
      </w:r>
      <w:r w:rsidRPr="0011388F">
        <w:t xml:space="preserve">AST or ALT elevations </w:t>
      </w:r>
      <w:r>
        <w:rPr>
          <w:rFonts w:cs="Symbol"/>
        </w:rPr>
        <w:t xml:space="preserve">≥ </w:t>
      </w:r>
      <w:r w:rsidR="00033E9C">
        <w:t>5 times</w:t>
      </w:r>
      <w:r w:rsidRPr="0011388F">
        <w:t xml:space="preserve"> ULN</w:t>
      </w:r>
      <w:r w:rsidR="005F7896">
        <w:t>.</w:t>
      </w:r>
    </w:p>
    <w:p w14:paraId="47848963" w14:textId="77777777" w:rsidR="005F7896" w:rsidRDefault="007757F1" w:rsidP="000D0442">
      <w:r>
        <w:rPr>
          <w:lang w:eastAsia="ja-JP"/>
        </w:rPr>
        <w:t>In Study A3921095, d</w:t>
      </w:r>
      <w:r w:rsidRPr="00D72302">
        <w:t xml:space="preserve">ifferences from placebo for adjusted mean changes were statistically </w:t>
      </w:r>
      <w:r>
        <w:t xml:space="preserve">significant for at every time point (Weeks 2, 4 and 8) for AST and ALP. </w:t>
      </w:r>
      <w:r w:rsidRPr="004D07E9">
        <w:t xml:space="preserve">No subject met the discontinuation criteria for </w:t>
      </w:r>
      <w:r w:rsidR="00033E9C">
        <w:t>liver function test (</w:t>
      </w:r>
      <w:r w:rsidRPr="004D07E9">
        <w:t>LFT</w:t>
      </w:r>
      <w:r w:rsidR="00033E9C">
        <w:t>)</w:t>
      </w:r>
      <w:r w:rsidRPr="004D07E9">
        <w:t xml:space="preserve"> abnormalities</w:t>
      </w:r>
      <w:r w:rsidR="005F7896">
        <w:t>.</w:t>
      </w:r>
    </w:p>
    <w:p w14:paraId="42977913" w14:textId="77777777" w:rsidR="007757F1" w:rsidRDefault="007757F1" w:rsidP="000D0442">
      <w:r>
        <w:t>In Study A3921096, i</w:t>
      </w:r>
      <w:r w:rsidRPr="009B33C1">
        <w:t xml:space="preserve">ncreases in </w:t>
      </w:r>
      <w:r>
        <w:t xml:space="preserve">mean </w:t>
      </w:r>
      <w:r w:rsidRPr="009B33C1">
        <w:t xml:space="preserve">ALT and </w:t>
      </w:r>
      <w:r>
        <w:t xml:space="preserve">mean </w:t>
      </w:r>
      <w:r w:rsidRPr="009B33C1">
        <w:t xml:space="preserve">AST </w:t>
      </w:r>
      <w:r>
        <w:t xml:space="preserve">levels </w:t>
      </w:r>
      <w:r w:rsidRPr="009B33C1">
        <w:t>were observed throughout the study for bo</w:t>
      </w:r>
      <w:r>
        <w:t xml:space="preserve">th </w:t>
      </w:r>
      <w:proofErr w:type="spellStart"/>
      <w:r>
        <w:t>tofacitinib</w:t>
      </w:r>
      <w:proofErr w:type="spellEnd"/>
      <w:r>
        <w:t xml:space="preserve"> treatment groups</w:t>
      </w:r>
      <w:r w:rsidRPr="009B33C1">
        <w:t xml:space="preserve"> compared with placebo.</w:t>
      </w:r>
      <w:r>
        <w:t xml:space="preserve"> Incidence of ALT, AST and bilirubin values as multiples of the ULN generally demonstrated a dose-response relationship for each liver function tests (</w:t>
      </w:r>
      <w:r w:rsidR="005F4107">
        <w:fldChar w:fldCharType="begin"/>
      </w:r>
      <w:r w:rsidR="005F4107">
        <w:instrText xml:space="preserve"> REF _Ref15026767 \h </w:instrText>
      </w:r>
      <w:r w:rsidR="005F4107">
        <w:fldChar w:fldCharType="separate"/>
      </w:r>
      <w:r w:rsidR="005F4107">
        <w:t xml:space="preserve">Table </w:t>
      </w:r>
      <w:r w:rsidR="005F4107">
        <w:rPr>
          <w:noProof/>
        </w:rPr>
        <w:t>7</w:t>
      </w:r>
      <w:r w:rsidR="005F4107">
        <w:fldChar w:fldCharType="end"/>
      </w:r>
      <w:r w:rsidRPr="00864C03">
        <w:t>).</w:t>
      </w:r>
      <w:r>
        <w:t xml:space="preserve"> Generally the higher the </w:t>
      </w:r>
      <w:proofErr w:type="spellStart"/>
      <w:r>
        <w:t>tofacitinib</w:t>
      </w:r>
      <w:proofErr w:type="spellEnd"/>
      <w:r>
        <w:t xml:space="preserve"> dose the higher the proportion of subj</w:t>
      </w:r>
      <w:r w:rsidR="000D0442">
        <w:t>ects with more elevated levels.</w:t>
      </w:r>
    </w:p>
    <w:p w14:paraId="480CAD23" w14:textId="77777777" w:rsidR="007757F1" w:rsidRPr="0039752B" w:rsidRDefault="005F4107" w:rsidP="005F4107">
      <w:pPr>
        <w:pStyle w:val="TableTitle"/>
        <w:rPr>
          <w:rFonts w:eastAsiaTheme="minorHAnsi" w:cs="TimesNewRoman"/>
        </w:rPr>
      </w:pPr>
      <w:bookmarkStart w:id="119" w:name="_Ref15026767"/>
      <w:r>
        <w:lastRenderedPageBreak/>
        <w:t xml:space="preserve">Table </w:t>
      </w:r>
      <w:r w:rsidR="009870DC">
        <w:fldChar w:fldCharType="begin"/>
      </w:r>
      <w:r w:rsidR="009870DC">
        <w:instrText xml:space="preserve"> SEQ Table \* ARABIC </w:instrText>
      </w:r>
      <w:r w:rsidR="009870DC">
        <w:fldChar w:fldCharType="separate"/>
      </w:r>
      <w:r w:rsidR="004E5B1B">
        <w:rPr>
          <w:noProof/>
        </w:rPr>
        <w:t>7</w:t>
      </w:r>
      <w:r w:rsidR="009870DC">
        <w:rPr>
          <w:noProof/>
        </w:rPr>
        <w:fldChar w:fldCharType="end"/>
      </w:r>
      <w:bookmarkEnd w:id="119"/>
      <w:r w:rsidR="007757F1">
        <w:t xml:space="preserve">: </w:t>
      </w:r>
      <w:r w:rsidR="00033E9C">
        <w:t>I</w:t>
      </w:r>
      <w:r w:rsidR="00033E9C" w:rsidRPr="0039752B">
        <w:t>ncidence of liver function test (</w:t>
      </w:r>
      <w:r w:rsidR="00033E9C">
        <w:t>ALT</w:t>
      </w:r>
      <w:r w:rsidR="00033E9C" w:rsidRPr="0039752B">
        <w:t xml:space="preserve">, </w:t>
      </w:r>
      <w:r w:rsidR="00033E9C">
        <w:t>AST</w:t>
      </w:r>
      <w:r w:rsidR="00033E9C" w:rsidRPr="0039752B">
        <w:t>, total bilirubin) values as</w:t>
      </w:r>
      <w:r w:rsidR="00033E9C">
        <w:t xml:space="preserve"> </w:t>
      </w:r>
      <w:r w:rsidR="00033E9C" w:rsidRPr="0039752B">
        <w:t xml:space="preserve">multiples of the </w:t>
      </w:r>
      <w:r w:rsidR="00033E9C">
        <w:t>ULN,</w:t>
      </w:r>
      <w:r w:rsidR="007757F1" w:rsidRPr="0039752B">
        <w:t xml:space="preserve"> </w:t>
      </w:r>
      <w:r w:rsidR="00033E9C" w:rsidRPr="0039752B">
        <w:t>safety analysis set</w:t>
      </w:r>
      <w:r w:rsidR="00033E9C">
        <w:t xml:space="preserve"> </w:t>
      </w:r>
      <w:r w:rsidR="007757F1">
        <w:t>(Study A3921096)</w:t>
      </w:r>
    </w:p>
    <w:p w14:paraId="295AEC63" w14:textId="77777777" w:rsidR="007757F1" w:rsidRDefault="007757F1" w:rsidP="007757F1">
      <w:pPr>
        <w:rPr>
          <w:rFonts w:eastAsiaTheme="minorHAnsi" w:cs="TimesNewRoman"/>
        </w:rPr>
      </w:pPr>
      <w:r>
        <w:rPr>
          <w:noProof/>
          <w:lang w:eastAsia="en-AU"/>
        </w:rPr>
        <w:drawing>
          <wp:inline distT="0" distB="0" distL="0" distR="0" wp14:anchorId="5BD0A260" wp14:editId="6DF21E48">
            <wp:extent cx="5420563" cy="2487168"/>
            <wp:effectExtent l="0" t="0" r="0" b="8890"/>
            <wp:docPr id="81" name="Picture 81" descr="Incidence of liver function test (ALT, AST, total bilirubin) values as multiples of the ULN, safety analysis set (Study A392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17155" cy="2485604"/>
                    </a:xfrm>
                    <a:prstGeom prst="rect">
                      <a:avLst/>
                    </a:prstGeom>
                  </pic:spPr>
                </pic:pic>
              </a:graphicData>
            </a:graphic>
          </wp:inline>
        </w:drawing>
      </w:r>
    </w:p>
    <w:p w14:paraId="202B4F2F" w14:textId="43211F20" w:rsidR="007757F1" w:rsidRDefault="007757F1" w:rsidP="000D0442">
      <w:r w:rsidRPr="00AF508F">
        <w:t xml:space="preserve">Difference from placebo in adjusted mean change from </w:t>
      </w:r>
      <w:r w:rsidR="00CF6A6C">
        <w:t>Baseline</w:t>
      </w:r>
      <w:r w:rsidRPr="00AF508F">
        <w:t xml:space="preserve"> </w:t>
      </w:r>
      <w:r>
        <w:t>was statistically</w:t>
      </w:r>
      <w:r w:rsidRPr="00AF508F">
        <w:t xml:space="preserve"> significant</w:t>
      </w:r>
      <w:r>
        <w:t>ly greater</w:t>
      </w:r>
      <w:r w:rsidRPr="00AF508F">
        <w:t xml:space="preserve"> </w:t>
      </w:r>
      <w:r>
        <w:t xml:space="preserve">for </w:t>
      </w:r>
      <w:proofErr w:type="spellStart"/>
      <w:r>
        <w:t>tofacitinib</w:t>
      </w:r>
      <w:proofErr w:type="spellEnd"/>
      <w:r>
        <w:t xml:space="preserve"> 10 mg BID treatment for ALT, AST and ALP at every time point (from Week 4 to Week 52). In contrast, 5 mg </w:t>
      </w:r>
      <w:proofErr w:type="spellStart"/>
      <w:r>
        <w:t>tofacitinib</w:t>
      </w:r>
      <w:proofErr w:type="spellEnd"/>
      <w:r>
        <w:t xml:space="preserve"> BID treatment demonstrated statistically</w:t>
      </w:r>
      <w:r w:rsidRPr="00AF508F">
        <w:t xml:space="preserve"> significant</w:t>
      </w:r>
      <w:r>
        <w:t>ly greater differences to placebo BID treatment at most time points to Week 16 for ALT, AST and ALP. There were no appreciable differences noted during the study between treatments for GGT and total bilirubin.</w:t>
      </w:r>
    </w:p>
    <w:p w14:paraId="388980E9" w14:textId="3B582FBB" w:rsidR="007757F1" w:rsidRPr="00885551" w:rsidRDefault="007757F1" w:rsidP="000D0442">
      <w:r w:rsidRPr="00885551">
        <w:t xml:space="preserve">One (0.5%) subject in </w:t>
      </w:r>
      <w:r>
        <w:t xml:space="preserve">the </w:t>
      </w:r>
      <w:proofErr w:type="spellStart"/>
      <w:r>
        <w:t>tofacitinib</w:t>
      </w:r>
      <w:proofErr w:type="spellEnd"/>
      <w:r>
        <w:t xml:space="preserve"> 10 mg BID group </w:t>
      </w:r>
      <w:r w:rsidRPr="00885551">
        <w:t>met criteria for 2 sequential AST or ALT elevations</w:t>
      </w:r>
      <w:r>
        <w:t xml:space="preserve"> </w:t>
      </w:r>
      <w:r>
        <w:rPr>
          <w:rFonts w:cs="Symbol"/>
        </w:rPr>
        <w:t xml:space="preserve">≥ </w:t>
      </w:r>
      <w:r w:rsidRPr="00885551">
        <w:t xml:space="preserve">3 </w:t>
      </w:r>
      <w:r w:rsidR="00033E9C">
        <w:t>times</w:t>
      </w:r>
      <w:r w:rsidRPr="00885551">
        <w:t xml:space="preserve"> ULN. Events of elevated liver enzymes (ALT, AST, </w:t>
      </w:r>
      <w:r w:rsidR="00033E9C">
        <w:t>ALP</w:t>
      </w:r>
      <w:r w:rsidRPr="00885551">
        <w:t>, and GGT)</w:t>
      </w:r>
      <w:r>
        <w:t xml:space="preserve"> </w:t>
      </w:r>
      <w:r w:rsidRPr="00885551">
        <w:t xml:space="preserve">were reported </w:t>
      </w:r>
      <w:r>
        <w:t>and s</w:t>
      </w:r>
      <w:r w:rsidRPr="00885551">
        <w:t>tudy drug withdrawn</w:t>
      </w:r>
      <w:r>
        <w:t xml:space="preserve">. </w:t>
      </w:r>
      <w:r w:rsidRPr="00885551">
        <w:t xml:space="preserve">There were no potential </w:t>
      </w:r>
      <w:proofErr w:type="spellStart"/>
      <w:r w:rsidRPr="00885551">
        <w:t>Hy’s</w:t>
      </w:r>
      <w:proofErr w:type="spellEnd"/>
      <w:r w:rsidRPr="00885551">
        <w:t xml:space="preserve"> law</w:t>
      </w:r>
      <w:r w:rsidR="00C554A3">
        <w:t xml:space="preserve"> cases.</w:t>
      </w:r>
      <w:r w:rsidR="008C6732">
        <w:fldChar w:fldCharType="begin"/>
      </w:r>
      <w:r w:rsidR="008C6732">
        <w:instrText xml:space="preserve"> NOTEREF _Ref13737976 \f \h </w:instrText>
      </w:r>
      <w:r w:rsidR="008C6732">
        <w:fldChar w:fldCharType="separate"/>
      </w:r>
      <w:r w:rsidR="00A05036" w:rsidRPr="00C201CB">
        <w:rPr>
          <w:rStyle w:val="FootnoteReference"/>
        </w:rPr>
        <w:t>5</w:t>
      </w:r>
      <w:r w:rsidR="008C6732">
        <w:fldChar w:fldCharType="end"/>
      </w:r>
    </w:p>
    <w:p w14:paraId="0E234563" w14:textId="77777777" w:rsidR="007757F1" w:rsidRPr="00C2074B" w:rsidRDefault="007757F1" w:rsidP="000D0442">
      <w:pPr>
        <w:pStyle w:val="Heading6"/>
      </w:pPr>
      <w:r w:rsidRPr="00C2074B">
        <w:t>Other studies</w:t>
      </w:r>
    </w:p>
    <w:p w14:paraId="7A29992A" w14:textId="55A64E84" w:rsidR="007757F1" w:rsidRDefault="007757F1" w:rsidP="000D0442">
      <w:r>
        <w:t xml:space="preserve">In Study A3921063, without regard to </w:t>
      </w:r>
      <w:r w:rsidR="00C554A3">
        <w:t>b</w:t>
      </w:r>
      <w:r w:rsidR="00CF6A6C">
        <w:t>aseline</w:t>
      </w:r>
      <w:r>
        <w:t xml:space="preserve"> abnormality, there appeared to</w:t>
      </w:r>
      <w:r w:rsidR="00033E9C">
        <w:t xml:space="preserve"> be a dose</w:t>
      </w:r>
      <w:r w:rsidR="00033E9C">
        <w:noBreakHyphen/>
      </w:r>
      <w:r>
        <w:t xml:space="preserve">related trend for elevated GGT levels &gt; 3.0 </w:t>
      </w:r>
      <w:r w:rsidR="00033E9C">
        <w:t>times</w:t>
      </w:r>
      <w:r>
        <w:t xml:space="preserve"> ULN: 1 (2.1%) case for placebo, 1(3.0%) case for </w:t>
      </w:r>
      <w:proofErr w:type="spellStart"/>
      <w:r>
        <w:t>tofacitinib</w:t>
      </w:r>
      <w:proofErr w:type="spellEnd"/>
      <w:r>
        <w:t xml:space="preserve"> 10 mg and 3 (6.1%) cases for </w:t>
      </w:r>
      <w:proofErr w:type="spellStart"/>
      <w:r>
        <w:t>tofacitinib</w:t>
      </w:r>
      <w:proofErr w:type="spellEnd"/>
      <w:r>
        <w:t xml:space="preserve"> 15 mg treatment. One subject in</w:t>
      </w:r>
      <w:r w:rsidRPr="00142BB2">
        <w:t xml:space="preserve"> the </w:t>
      </w:r>
      <w:proofErr w:type="spellStart"/>
      <w:r>
        <w:t>tofacitinib</w:t>
      </w:r>
      <w:proofErr w:type="spellEnd"/>
      <w:r w:rsidRPr="00142BB2">
        <w:t xml:space="preserve"> 10 mg treatment group had AST and ALT levels betw</w:t>
      </w:r>
      <w:r w:rsidR="00033E9C">
        <w:t xml:space="preserve">een 2 to </w:t>
      </w:r>
      <w:r w:rsidRPr="00142BB2">
        <w:t>3</w:t>
      </w:r>
      <w:r>
        <w:t xml:space="preserve"> </w:t>
      </w:r>
      <w:r w:rsidR="00033E9C">
        <w:t>times</w:t>
      </w:r>
      <w:r>
        <w:t xml:space="preserve"> ULN and another subject</w:t>
      </w:r>
      <w:r w:rsidRPr="00825FCD">
        <w:t xml:space="preserve"> </w:t>
      </w:r>
      <w:r w:rsidRPr="00142BB2">
        <w:t xml:space="preserve">in the </w:t>
      </w:r>
      <w:proofErr w:type="spellStart"/>
      <w:r>
        <w:t>tofacitinib</w:t>
      </w:r>
      <w:proofErr w:type="spellEnd"/>
      <w:r w:rsidRPr="00142BB2">
        <w:t xml:space="preserve"> 1</w:t>
      </w:r>
      <w:r>
        <w:t>5</w:t>
      </w:r>
      <w:r w:rsidRPr="00142BB2">
        <w:t xml:space="preserve"> mg treatment group</w:t>
      </w:r>
      <w:r>
        <w:t xml:space="preserve"> </w:t>
      </w:r>
      <w:r w:rsidRPr="00142BB2">
        <w:t>had total bilirubin between</w:t>
      </w:r>
      <w:r>
        <w:t xml:space="preserve"> </w:t>
      </w:r>
      <w:r w:rsidRPr="00142BB2">
        <w:t>1.5</w:t>
      </w:r>
      <w:r w:rsidR="00033E9C">
        <w:t xml:space="preserve"> to </w:t>
      </w:r>
      <w:r w:rsidRPr="00142BB2">
        <w:t>2</w:t>
      </w:r>
      <w:r>
        <w:t xml:space="preserve"> </w:t>
      </w:r>
      <w:r w:rsidR="00033E9C">
        <w:t>times</w:t>
      </w:r>
      <w:r w:rsidRPr="00142BB2">
        <w:t xml:space="preserve"> ULN.</w:t>
      </w:r>
      <w:r w:rsidR="005F7896">
        <w:t xml:space="preserve"> </w:t>
      </w:r>
      <w:r w:rsidR="00033E9C">
        <w:t xml:space="preserve">There were no AST or ALT &gt; 3 times ULN or total bilirubin &gt; 2 times ULN in </w:t>
      </w:r>
      <w:proofErr w:type="spellStart"/>
      <w:r w:rsidR="00033E9C">
        <w:t>tofacitinib</w:t>
      </w:r>
      <w:proofErr w:type="spellEnd"/>
      <w:r w:rsidR="00033E9C">
        <w:t xml:space="preserve"> </w:t>
      </w:r>
      <w:r w:rsidRPr="00825FCD">
        <w:t xml:space="preserve">treated subjects. </w:t>
      </w:r>
      <w:r w:rsidRPr="004D07E9">
        <w:t>No subject met the discontinuation criteria for LFT abnormalities</w:t>
      </w:r>
      <w:r>
        <w:t xml:space="preserve"> or a</w:t>
      </w:r>
      <w:r w:rsidRPr="004D07E9">
        <w:t xml:space="preserve"> </w:t>
      </w:r>
      <w:proofErr w:type="spellStart"/>
      <w:r w:rsidRPr="004D07E9">
        <w:t>Hy’s</w:t>
      </w:r>
      <w:proofErr w:type="spellEnd"/>
      <w:r w:rsidRPr="004D07E9">
        <w:t xml:space="preserve"> law</w:t>
      </w:r>
      <w:r w:rsidR="008C6732">
        <w:fldChar w:fldCharType="begin"/>
      </w:r>
      <w:r w:rsidR="008C6732">
        <w:instrText xml:space="preserve"> NOTEREF _Ref13737976 \f \h </w:instrText>
      </w:r>
      <w:r w:rsidR="008C6732">
        <w:fldChar w:fldCharType="separate"/>
      </w:r>
      <w:r w:rsidR="00A05036" w:rsidRPr="001120D9">
        <w:rPr>
          <w:rStyle w:val="FootnoteReference"/>
        </w:rPr>
        <w:t>5</w:t>
      </w:r>
      <w:r w:rsidR="008C6732">
        <w:fldChar w:fldCharType="end"/>
      </w:r>
      <w:r w:rsidRPr="004D07E9">
        <w:t xml:space="preserve"> case.</w:t>
      </w:r>
    </w:p>
    <w:p w14:paraId="28E5D4EC" w14:textId="5D1E6167" w:rsidR="007757F1" w:rsidRDefault="007757F1" w:rsidP="000D0442">
      <w:r>
        <w:rPr>
          <w:lang w:eastAsia="ja-JP"/>
        </w:rPr>
        <w:t>In Study A3921139,</w:t>
      </w:r>
      <w:bookmarkStart w:id="120" w:name="_Toc272414670"/>
      <w:bookmarkStart w:id="121" w:name="_Toc290888534"/>
      <w:bookmarkStart w:id="122" w:name="_Toc416353750"/>
      <w:bookmarkStart w:id="123" w:name="_Toc421005293"/>
      <w:bookmarkStart w:id="124" w:name="_Toc432079170"/>
      <w:bookmarkStart w:id="125" w:name="_Toc432080743"/>
      <w:r>
        <w:rPr>
          <w:lang w:eastAsia="ja-JP"/>
        </w:rPr>
        <w:t xml:space="preserve"> t</w:t>
      </w:r>
      <w:r>
        <w:t xml:space="preserve">here were increases from </w:t>
      </w:r>
      <w:r w:rsidR="00C554A3">
        <w:t>b</w:t>
      </w:r>
      <w:r w:rsidR="00CF6A6C">
        <w:t>aseline</w:t>
      </w:r>
      <w:r>
        <w:t xml:space="preserve"> mean values in both treatments for ALT (7.444 for </w:t>
      </w:r>
      <w:proofErr w:type="spellStart"/>
      <w:r>
        <w:t>tofacitinib</w:t>
      </w:r>
      <w:proofErr w:type="spellEnd"/>
      <w:r>
        <w:t xml:space="preserve"> 5 mg and 8.324 for </w:t>
      </w:r>
      <w:proofErr w:type="spellStart"/>
      <w:r>
        <w:t>tofacitinib</w:t>
      </w:r>
      <w:proofErr w:type="spellEnd"/>
      <w:r>
        <w:t xml:space="preserve"> 10 mg) and AST (7.500 for </w:t>
      </w:r>
      <w:proofErr w:type="spellStart"/>
      <w:r>
        <w:t>tofacitinib</w:t>
      </w:r>
      <w:proofErr w:type="spellEnd"/>
      <w:r>
        <w:t xml:space="preserve"> 5 mg and 7.986 for </w:t>
      </w:r>
      <w:proofErr w:type="spellStart"/>
      <w:r>
        <w:t>tofacitinib</w:t>
      </w:r>
      <w:proofErr w:type="spellEnd"/>
      <w:r>
        <w:t xml:space="preserve"> 10 mg). The same trend was observed for GGT to Month 21. There were no appreciable effects on total </w:t>
      </w:r>
      <w:r w:rsidR="00DB5DBB">
        <w:t>bilirubin or ALP values over 24 </w:t>
      </w:r>
      <w:r>
        <w:t>months treatment.</w:t>
      </w:r>
    </w:p>
    <w:p w14:paraId="14263488" w14:textId="77777777" w:rsidR="007757F1" w:rsidRDefault="007757F1" w:rsidP="000D0442">
      <w:r w:rsidRPr="00D93E2F">
        <w:t>The proportions of subjects who met abnormality criteria for</w:t>
      </w:r>
      <w:r>
        <w:t xml:space="preserve"> </w:t>
      </w:r>
      <w:r w:rsidRPr="00D93E2F">
        <w:t>total bilirubin, indirect bilirubin, ALT, AST, GGT, and lactate dehydrogenase were</w:t>
      </w:r>
      <w:r>
        <w:t xml:space="preserve"> </w:t>
      </w:r>
      <w:r w:rsidRPr="00D93E2F">
        <w:t xml:space="preserve">low and similar in both </w:t>
      </w:r>
      <w:proofErr w:type="spellStart"/>
      <w:r w:rsidRPr="00D93E2F">
        <w:t>tofacitinib</w:t>
      </w:r>
      <w:proofErr w:type="spellEnd"/>
      <w:r w:rsidRPr="00D93E2F">
        <w:t xml:space="preserve"> treatment groups. No subjects were in the abnormal range</w:t>
      </w:r>
      <w:r>
        <w:t xml:space="preserve"> </w:t>
      </w:r>
      <w:r w:rsidRPr="00D93E2F">
        <w:t xml:space="preserve">for </w:t>
      </w:r>
      <w:r>
        <w:t>ALP</w:t>
      </w:r>
      <w:r w:rsidR="000D0442">
        <w:t xml:space="preserve"> in either treatment group.</w:t>
      </w:r>
    </w:p>
    <w:p w14:paraId="18BA143C" w14:textId="7144B35A" w:rsidR="007757F1" w:rsidRDefault="007757F1" w:rsidP="000D0442">
      <w:r w:rsidRPr="001F6204">
        <w:t>Three (0.4%)</w:t>
      </w:r>
      <w:r w:rsidRPr="004E7DE7">
        <w:t xml:space="preserve"> </w:t>
      </w:r>
      <w:r w:rsidRPr="001F6204">
        <w:t xml:space="preserve">subjects in the </w:t>
      </w:r>
      <w:proofErr w:type="spellStart"/>
      <w:r w:rsidRPr="001F6204">
        <w:t>tofacitinib</w:t>
      </w:r>
      <w:proofErr w:type="spellEnd"/>
      <w:r w:rsidRPr="001F6204">
        <w:t xml:space="preserve"> 10 mg BID group had 2 sequential</w:t>
      </w:r>
      <w:r>
        <w:t xml:space="preserve"> </w:t>
      </w:r>
      <w:r w:rsidRPr="001F6204">
        <w:t>AST or</w:t>
      </w:r>
      <w:r>
        <w:t xml:space="preserve"> ALT va</w:t>
      </w:r>
      <w:r w:rsidR="00792AA1">
        <w:t>lues of at least 3 times</w:t>
      </w:r>
      <w:r>
        <w:t xml:space="preserve"> ULN and therefore met the </w:t>
      </w:r>
      <w:r w:rsidRPr="001F6204">
        <w:t>protocol criteria for discontinuation for LFT abnormalities</w:t>
      </w:r>
      <w:r>
        <w:t>.</w:t>
      </w:r>
      <w:r w:rsidR="005F7896">
        <w:t xml:space="preserve"> </w:t>
      </w:r>
      <w:r w:rsidRPr="001F6204">
        <w:t>For</w:t>
      </w:r>
      <w:r>
        <w:t xml:space="preserve"> </w:t>
      </w:r>
      <w:r w:rsidRPr="001F6204">
        <w:t xml:space="preserve">subjects with </w:t>
      </w:r>
      <w:r w:rsidR="00C554A3">
        <w:t>b</w:t>
      </w:r>
      <w:r w:rsidR="00CF6A6C">
        <w:t>aseline</w:t>
      </w:r>
      <w:r w:rsidRPr="001F6204">
        <w:t xml:space="preserve"> values within the normal range, 1 subject met potential </w:t>
      </w:r>
      <w:proofErr w:type="spellStart"/>
      <w:r w:rsidRPr="001F6204">
        <w:t>Hy’s</w:t>
      </w:r>
      <w:proofErr w:type="spellEnd"/>
      <w:r w:rsidRPr="001F6204">
        <w:t xml:space="preserve"> law</w:t>
      </w:r>
      <w:r w:rsidR="008C6732">
        <w:fldChar w:fldCharType="begin"/>
      </w:r>
      <w:r w:rsidR="008C6732">
        <w:instrText xml:space="preserve"> NOTEREF _Ref13737976 \f \h </w:instrText>
      </w:r>
      <w:r w:rsidR="008C6732">
        <w:fldChar w:fldCharType="separate"/>
      </w:r>
      <w:r w:rsidR="00A05036" w:rsidRPr="001120D9">
        <w:rPr>
          <w:rStyle w:val="FootnoteReference"/>
        </w:rPr>
        <w:t>5</w:t>
      </w:r>
      <w:r w:rsidR="008C6732">
        <w:fldChar w:fldCharType="end"/>
      </w:r>
      <w:r w:rsidRPr="001F6204">
        <w:t xml:space="preserve"> case</w:t>
      </w:r>
      <w:r>
        <w:t xml:space="preserve"> </w:t>
      </w:r>
      <w:r w:rsidRPr="001F6204">
        <w:t xml:space="preserve">in the </w:t>
      </w:r>
      <w:proofErr w:type="spellStart"/>
      <w:r w:rsidRPr="001F6204">
        <w:t>tofacitinib</w:t>
      </w:r>
      <w:proofErr w:type="spellEnd"/>
      <w:r w:rsidRPr="001F6204">
        <w:t xml:space="preserve"> 10 mg BID group (Subject </w:t>
      </w:r>
      <w:r w:rsidR="00670863">
        <w:t>[information redacted]</w:t>
      </w:r>
      <w:r w:rsidRPr="001F6204">
        <w:t>). However, this event was determined</w:t>
      </w:r>
      <w:r>
        <w:t xml:space="preserve"> </w:t>
      </w:r>
      <w:r w:rsidRPr="001F6204">
        <w:t xml:space="preserve">not to be a confirmed </w:t>
      </w:r>
      <w:proofErr w:type="spellStart"/>
      <w:r w:rsidRPr="001F6204">
        <w:t>Hy’s</w:t>
      </w:r>
      <w:proofErr w:type="spellEnd"/>
      <w:r w:rsidRPr="001F6204">
        <w:t xml:space="preserve"> Law case and was instead attributed by the HERC to</w:t>
      </w:r>
      <w:r>
        <w:t xml:space="preserve"> </w:t>
      </w:r>
      <w:proofErr w:type="spellStart"/>
      <w:r w:rsidRPr="001F6204">
        <w:t>cholangiocarcinoma</w:t>
      </w:r>
      <w:proofErr w:type="spellEnd"/>
      <w:r>
        <w:t>.</w:t>
      </w:r>
    </w:p>
    <w:p w14:paraId="35A6F892" w14:textId="77777777" w:rsidR="007757F1" w:rsidRPr="00545B14" w:rsidRDefault="007757F1" w:rsidP="000D0442">
      <w:pPr>
        <w:pStyle w:val="Heading5"/>
      </w:pPr>
      <w:r>
        <w:lastRenderedPageBreak/>
        <w:t xml:space="preserve">Renal </w:t>
      </w:r>
      <w:r w:rsidRPr="00545B14">
        <w:t>function</w:t>
      </w:r>
      <w:bookmarkEnd w:id="120"/>
      <w:bookmarkEnd w:id="121"/>
      <w:bookmarkEnd w:id="122"/>
      <w:bookmarkEnd w:id="123"/>
      <w:r>
        <w:t xml:space="preserve"> and renal toxicity</w:t>
      </w:r>
      <w:bookmarkEnd w:id="124"/>
      <w:bookmarkEnd w:id="125"/>
    </w:p>
    <w:p w14:paraId="619ACA69" w14:textId="11D2DDE7" w:rsidR="007757F1" w:rsidRPr="001E0520" w:rsidRDefault="007757F1" w:rsidP="000D0442">
      <w:pPr>
        <w:rPr>
          <w:lang w:eastAsia="ja-JP"/>
        </w:rPr>
      </w:pPr>
      <w:r w:rsidRPr="00D23598">
        <w:t xml:space="preserve">Most subjects </w:t>
      </w:r>
      <w:r>
        <w:t xml:space="preserve">who </w:t>
      </w:r>
      <w:r w:rsidRPr="00D23598">
        <w:t>experienced</w:t>
      </w:r>
      <w:r>
        <w:t xml:space="preserve"> an increase in serum creatinine from </w:t>
      </w:r>
      <w:r w:rsidR="00CF6A6C">
        <w:t>Baseline</w:t>
      </w:r>
      <w:r w:rsidRPr="00D23598">
        <w:t xml:space="preserve"> </w:t>
      </w:r>
      <w:r>
        <w:t xml:space="preserve">experienced </w:t>
      </w:r>
      <w:r w:rsidRPr="00D23598">
        <w:t>the lowest ca</w:t>
      </w:r>
      <w:r>
        <w:t xml:space="preserve">tegory of change from </w:t>
      </w:r>
      <w:r w:rsidR="00CF6A6C">
        <w:t>Baseline</w:t>
      </w:r>
      <w:r>
        <w:t xml:space="preserve"> </w:t>
      </w:r>
      <w:r w:rsidR="00F14B34">
        <w:t>that is,</w:t>
      </w:r>
      <w:r>
        <w:t xml:space="preserve"> </w:t>
      </w:r>
      <w:r w:rsidRPr="00D23598">
        <w:t>&gt;</w:t>
      </w:r>
      <w:r>
        <w:t xml:space="preserve"> </w:t>
      </w:r>
      <w:r w:rsidRPr="00D23598">
        <w:t xml:space="preserve">10 to </w:t>
      </w:r>
      <w:r>
        <w:rPr>
          <w:lang w:eastAsia="ja-JP"/>
        </w:rPr>
        <w:t xml:space="preserve">≤ </w:t>
      </w:r>
      <w:r w:rsidRPr="00D23598">
        <w:t>33%</w:t>
      </w:r>
      <w:r>
        <w:t xml:space="preserve"> increase, with a few experiencing the more severe categories ( &gt; 33 to ≤ 50% increase and &gt; 50% increase). In the latter, most cases occurred in the maintenance study (</w:t>
      </w:r>
      <w:r w:rsidR="00C554A3">
        <w:t>Study </w:t>
      </w:r>
      <w:r>
        <w:t>A3921096) and the long-term extension study (</w:t>
      </w:r>
      <w:r w:rsidR="00C554A3">
        <w:t xml:space="preserve">Study </w:t>
      </w:r>
      <w:r>
        <w:t>A3921139). N</w:t>
      </w:r>
      <w:r w:rsidRPr="00D23598">
        <w:t xml:space="preserve">o AEs </w:t>
      </w:r>
      <w:r>
        <w:t xml:space="preserve">were </w:t>
      </w:r>
      <w:r w:rsidRPr="00D23598">
        <w:t>reported involving serum creatinine</w:t>
      </w:r>
      <w:r>
        <w:t>, blood urea nitrogen, and uric acid or creatinine clearance</w:t>
      </w:r>
      <w:r w:rsidRPr="00D23598">
        <w:t xml:space="preserve"> abnormalities</w:t>
      </w:r>
      <w:r>
        <w:t xml:space="preserve"> in any study.</w:t>
      </w:r>
      <w:r w:rsidRPr="001E0520">
        <w:t xml:space="preserve"> </w:t>
      </w:r>
      <w:r>
        <w:t xml:space="preserve">No subject </w:t>
      </w:r>
      <w:r w:rsidRPr="001E0520">
        <w:t xml:space="preserve">met </w:t>
      </w:r>
      <w:r>
        <w:t xml:space="preserve">the </w:t>
      </w:r>
      <w:r w:rsidRPr="001E0520">
        <w:t xml:space="preserve">criteria for </w:t>
      </w:r>
      <w:r>
        <w:t xml:space="preserve">study </w:t>
      </w:r>
      <w:r w:rsidRPr="001E0520">
        <w:t>discontinuation for</w:t>
      </w:r>
      <w:r>
        <w:t xml:space="preserve"> </w:t>
      </w:r>
      <w:r w:rsidRPr="001E0520">
        <w:t>serum creatinine abnormalities.</w:t>
      </w:r>
    </w:p>
    <w:p w14:paraId="0A540207" w14:textId="77777777" w:rsidR="007757F1" w:rsidRDefault="007757F1" w:rsidP="000D0442">
      <w:pPr>
        <w:pStyle w:val="Heading5"/>
      </w:pPr>
      <w:bookmarkStart w:id="126" w:name="_Toc272414671"/>
      <w:bookmarkStart w:id="127" w:name="_Toc290888535"/>
      <w:bookmarkStart w:id="128" w:name="_Toc416353751"/>
      <w:bookmarkStart w:id="129" w:name="_Toc421005294"/>
      <w:bookmarkStart w:id="130" w:name="_Toc432079171"/>
      <w:bookmarkStart w:id="131" w:name="_Toc432080744"/>
      <w:r w:rsidRPr="00545B14">
        <w:t>Other clinical chemistry</w:t>
      </w:r>
      <w:bookmarkEnd w:id="126"/>
      <w:bookmarkEnd w:id="127"/>
      <w:bookmarkEnd w:id="128"/>
      <w:bookmarkEnd w:id="129"/>
      <w:bookmarkEnd w:id="130"/>
      <w:bookmarkEnd w:id="131"/>
    </w:p>
    <w:p w14:paraId="53DE7EE3" w14:textId="77777777" w:rsidR="007757F1" w:rsidRPr="00C2074B" w:rsidRDefault="007757F1" w:rsidP="000D0442">
      <w:pPr>
        <w:pStyle w:val="Heading6"/>
      </w:pPr>
      <w:r w:rsidRPr="00C2074B">
        <w:t>Pivotal and/or main efficacy studies</w:t>
      </w:r>
    </w:p>
    <w:p w14:paraId="19B6BB16" w14:textId="77777777" w:rsidR="007757F1" w:rsidRPr="004C4F89" w:rsidRDefault="007757F1" w:rsidP="000D0442">
      <w:pPr>
        <w:pStyle w:val="Heading7"/>
        <w:rPr>
          <w:lang w:eastAsia="ja-JP"/>
        </w:rPr>
      </w:pPr>
      <w:r w:rsidRPr="004C4F89">
        <w:rPr>
          <w:lang w:eastAsia="ja-JP"/>
        </w:rPr>
        <w:t>Absolute neutrophil count</w:t>
      </w:r>
    </w:p>
    <w:p w14:paraId="1233EEB2" w14:textId="5251F44C" w:rsidR="007757F1" w:rsidRDefault="007757F1" w:rsidP="000D0442">
      <w:r>
        <w:rPr>
          <w:lang w:eastAsia="ja-JP"/>
        </w:rPr>
        <w:t xml:space="preserve">In both </w:t>
      </w:r>
      <w:r w:rsidR="00B7366A">
        <w:rPr>
          <w:lang w:eastAsia="ja-JP"/>
        </w:rPr>
        <w:t>Phase</w:t>
      </w:r>
      <w:r>
        <w:rPr>
          <w:lang w:eastAsia="ja-JP"/>
        </w:rPr>
        <w:t xml:space="preserve"> III induction studies t</w:t>
      </w:r>
      <w:r w:rsidRPr="004C4F89">
        <w:t xml:space="preserve">here </w:t>
      </w:r>
      <w:r>
        <w:t>were</w:t>
      </w:r>
      <w:r w:rsidRPr="004C4F89">
        <w:t xml:space="preserve"> no meaningful difference</w:t>
      </w:r>
      <w:r>
        <w:t>s</w:t>
      </w:r>
      <w:r w:rsidRPr="004C4F89">
        <w:t xml:space="preserve"> in the mean change from </w:t>
      </w:r>
      <w:r w:rsidR="00CF6A6C">
        <w:t>Baseline</w:t>
      </w:r>
      <w:r>
        <w:t xml:space="preserve"> </w:t>
      </w:r>
      <w:r w:rsidRPr="004C4F89">
        <w:t xml:space="preserve">between </w:t>
      </w:r>
      <w:proofErr w:type="spellStart"/>
      <w:r>
        <w:t>tofacitinib</w:t>
      </w:r>
      <w:proofErr w:type="spellEnd"/>
      <w:r>
        <w:t xml:space="preserve"> 10 mg and placebo </w:t>
      </w:r>
      <w:r w:rsidRPr="004C4F89">
        <w:t>treatment</w:t>
      </w:r>
      <w:r>
        <w:t>s</w:t>
      </w:r>
      <w:r w:rsidRPr="004C4F89">
        <w:t>.</w:t>
      </w:r>
    </w:p>
    <w:p w14:paraId="6D58E2E0" w14:textId="07C45F62" w:rsidR="007757F1" w:rsidRDefault="007757F1" w:rsidP="000D0442">
      <w:r>
        <w:rPr>
          <w:lang w:eastAsia="ja-JP"/>
        </w:rPr>
        <w:t xml:space="preserve">In Study A3921094, at Week 8, 14 </w:t>
      </w:r>
      <w:proofErr w:type="spellStart"/>
      <w:r>
        <w:rPr>
          <w:lang w:eastAsia="ja-JP"/>
        </w:rPr>
        <w:t>tofacitinib</w:t>
      </w:r>
      <w:proofErr w:type="spellEnd"/>
      <w:r>
        <w:rPr>
          <w:lang w:eastAsia="ja-JP"/>
        </w:rPr>
        <w:t xml:space="preserve"> treated subjects had </w:t>
      </w:r>
      <w:proofErr w:type="spellStart"/>
      <w:r>
        <w:rPr>
          <w:lang w:eastAsia="ja-JP"/>
        </w:rPr>
        <w:t>neutrop</w:t>
      </w:r>
      <w:r w:rsidR="00C554A3">
        <w:rPr>
          <w:lang w:eastAsia="ja-JP"/>
        </w:rPr>
        <w:t>a</w:t>
      </w:r>
      <w:r>
        <w:rPr>
          <w:lang w:eastAsia="ja-JP"/>
        </w:rPr>
        <w:t>enia</w:t>
      </w:r>
      <w:proofErr w:type="spellEnd"/>
      <w:r>
        <w:rPr>
          <w:lang w:eastAsia="ja-JP"/>
        </w:rPr>
        <w:t xml:space="preserve"> (10 </w:t>
      </w:r>
      <w:r w:rsidR="006C148C">
        <w:rPr>
          <w:lang w:eastAsia="ja-JP"/>
        </w:rPr>
        <w:t>(</w:t>
      </w:r>
      <w:r>
        <w:rPr>
          <w:lang w:eastAsia="ja-JP"/>
        </w:rPr>
        <w:t>2.3%</w:t>
      </w:r>
      <w:r w:rsidR="006C148C">
        <w:rPr>
          <w:lang w:eastAsia="ja-JP"/>
        </w:rPr>
        <w:t>)</w:t>
      </w:r>
      <w:r>
        <w:rPr>
          <w:lang w:eastAsia="ja-JP"/>
        </w:rPr>
        <w:t xml:space="preserve"> with </w:t>
      </w:r>
      <w:r w:rsidR="00792AA1">
        <w:rPr>
          <w:lang w:eastAsia="ja-JP"/>
        </w:rPr>
        <w:t>absolute neutrophil count (</w:t>
      </w:r>
      <w:r>
        <w:rPr>
          <w:lang w:eastAsia="ja-JP"/>
        </w:rPr>
        <w:t>ANC</w:t>
      </w:r>
      <w:r w:rsidR="00792AA1">
        <w:rPr>
          <w:lang w:eastAsia="ja-JP"/>
        </w:rPr>
        <w:t>)</w:t>
      </w:r>
      <w:r>
        <w:rPr>
          <w:lang w:eastAsia="ja-JP"/>
        </w:rPr>
        <w:t xml:space="preserve"> 1.5 to &lt; 2, 2 </w:t>
      </w:r>
      <w:r w:rsidR="006C148C">
        <w:rPr>
          <w:lang w:eastAsia="ja-JP"/>
        </w:rPr>
        <w:t>(</w:t>
      </w:r>
      <w:r>
        <w:rPr>
          <w:lang w:eastAsia="ja-JP"/>
        </w:rPr>
        <w:t>0.5%</w:t>
      </w:r>
      <w:r w:rsidR="006C148C">
        <w:rPr>
          <w:lang w:eastAsia="ja-JP"/>
        </w:rPr>
        <w:t>)</w:t>
      </w:r>
      <w:r>
        <w:rPr>
          <w:lang w:eastAsia="ja-JP"/>
        </w:rPr>
        <w:t xml:space="preserve"> with ANC 1 to &lt; 1.5 and 2 </w:t>
      </w:r>
      <w:r w:rsidR="006C148C">
        <w:rPr>
          <w:lang w:eastAsia="ja-JP"/>
        </w:rPr>
        <w:t>(</w:t>
      </w:r>
      <w:r>
        <w:rPr>
          <w:lang w:eastAsia="ja-JP"/>
        </w:rPr>
        <w:t>0.5%</w:t>
      </w:r>
      <w:r w:rsidR="006C148C">
        <w:rPr>
          <w:lang w:eastAsia="ja-JP"/>
        </w:rPr>
        <w:t>)</w:t>
      </w:r>
      <w:r>
        <w:rPr>
          <w:lang w:eastAsia="ja-JP"/>
        </w:rPr>
        <w:t xml:space="preserve"> with ANC 0.5 to &lt; 1) and 1 (0.9%) placebo treated subject (ANC 1 to &lt; 1.5). In Study A3921095, at Week 8, 12 </w:t>
      </w:r>
      <w:proofErr w:type="spellStart"/>
      <w:r>
        <w:rPr>
          <w:lang w:eastAsia="ja-JP"/>
        </w:rPr>
        <w:t>tofacitinib</w:t>
      </w:r>
      <w:proofErr w:type="spellEnd"/>
      <w:r>
        <w:rPr>
          <w:lang w:eastAsia="ja-JP"/>
        </w:rPr>
        <w:t xml:space="preserve"> treated subjects had </w:t>
      </w:r>
      <w:proofErr w:type="spellStart"/>
      <w:r>
        <w:rPr>
          <w:lang w:eastAsia="ja-JP"/>
        </w:rPr>
        <w:t>neutrop</w:t>
      </w:r>
      <w:r w:rsidR="005D22FA">
        <w:rPr>
          <w:lang w:eastAsia="ja-JP"/>
        </w:rPr>
        <w:t>a</w:t>
      </w:r>
      <w:r>
        <w:rPr>
          <w:lang w:eastAsia="ja-JP"/>
        </w:rPr>
        <w:t>enia</w:t>
      </w:r>
      <w:proofErr w:type="spellEnd"/>
      <w:r>
        <w:rPr>
          <w:lang w:eastAsia="ja-JP"/>
        </w:rPr>
        <w:t xml:space="preserve"> (9 </w:t>
      </w:r>
      <w:r w:rsidR="006C148C">
        <w:rPr>
          <w:lang w:eastAsia="ja-JP"/>
        </w:rPr>
        <w:t>(</w:t>
      </w:r>
      <w:r>
        <w:rPr>
          <w:lang w:eastAsia="ja-JP"/>
        </w:rPr>
        <w:t>2.3%</w:t>
      </w:r>
      <w:r w:rsidR="006C148C">
        <w:rPr>
          <w:lang w:eastAsia="ja-JP"/>
        </w:rPr>
        <w:t>)</w:t>
      </w:r>
      <w:r>
        <w:rPr>
          <w:lang w:eastAsia="ja-JP"/>
        </w:rPr>
        <w:t xml:space="preserve"> with ANC 1.5 to &lt; 2 and 3 </w:t>
      </w:r>
      <w:r w:rsidR="006C148C">
        <w:rPr>
          <w:lang w:eastAsia="ja-JP"/>
        </w:rPr>
        <w:t>(</w:t>
      </w:r>
      <w:r>
        <w:rPr>
          <w:lang w:eastAsia="ja-JP"/>
        </w:rPr>
        <w:t>0.8%</w:t>
      </w:r>
      <w:r w:rsidR="006C148C">
        <w:rPr>
          <w:lang w:eastAsia="ja-JP"/>
        </w:rPr>
        <w:t>)</w:t>
      </w:r>
      <w:r>
        <w:rPr>
          <w:lang w:eastAsia="ja-JP"/>
        </w:rPr>
        <w:t xml:space="preserve"> with ANC 1 to &lt; 1.5 and 5 placebo treated subjects had </w:t>
      </w:r>
      <w:proofErr w:type="spellStart"/>
      <w:r>
        <w:rPr>
          <w:lang w:eastAsia="ja-JP"/>
        </w:rPr>
        <w:t>neutrop</w:t>
      </w:r>
      <w:r w:rsidR="005D22FA">
        <w:rPr>
          <w:lang w:eastAsia="ja-JP"/>
        </w:rPr>
        <w:t>a</w:t>
      </w:r>
      <w:r>
        <w:rPr>
          <w:lang w:eastAsia="ja-JP"/>
        </w:rPr>
        <w:t>enia</w:t>
      </w:r>
      <w:proofErr w:type="spellEnd"/>
      <w:r>
        <w:rPr>
          <w:lang w:eastAsia="ja-JP"/>
        </w:rPr>
        <w:t xml:space="preserve"> (4 </w:t>
      </w:r>
      <w:r w:rsidR="006C148C">
        <w:rPr>
          <w:lang w:eastAsia="ja-JP"/>
        </w:rPr>
        <w:t>(</w:t>
      </w:r>
      <w:r>
        <w:rPr>
          <w:lang w:eastAsia="ja-JP"/>
        </w:rPr>
        <w:t>4.1%</w:t>
      </w:r>
      <w:r w:rsidR="006C148C">
        <w:rPr>
          <w:lang w:eastAsia="ja-JP"/>
        </w:rPr>
        <w:t>)</w:t>
      </w:r>
      <w:r>
        <w:rPr>
          <w:lang w:eastAsia="ja-JP"/>
        </w:rPr>
        <w:t xml:space="preserve"> with ANC 1.5 to &lt; 2 and 1 </w:t>
      </w:r>
      <w:r w:rsidR="006C148C">
        <w:rPr>
          <w:lang w:eastAsia="ja-JP"/>
        </w:rPr>
        <w:t>(</w:t>
      </w:r>
      <w:r>
        <w:rPr>
          <w:lang w:eastAsia="ja-JP"/>
        </w:rPr>
        <w:t>1.0%</w:t>
      </w:r>
      <w:r w:rsidR="006C148C">
        <w:rPr>
          <w:lang w:eastAsia="ja-JP"/>
        </w:rPr>
        <w:t>)</w:t>
      </w:r>
      <w:r>
        <w:rPr>
          <w:lang w:eastAsia="ja-JP"/>
        </w:rPr>
        <w:t xml:space="preserve"> with ANC 1 to &lt; 1.5. No subject in any treatment arm, across studies, had an ANC &lt; 0.5 and n</w:t>
      </w:r>
      <w:r w:rsidRPr="00276525">
        <w:t xml:space="preserve">o subject </w:t>
      </w:r>
      <w:r>
        <w:t>met</w:t>
      </w:r>
      <w:r w:rsidRPr="00276525">
        <w:t xml:space="preserve"> the discontinuation criteria</w:t>
      </w:r>
      <w:r>
        <w:t>.</w:t>
      </w:r>
    </w:p>
    <w:p w14:paraId="06049EC5" w14:textId="395A4393" w:rsidR="007757F1" w:rsidRDefault="007757F1" w:rsidP="000D0442">
      <w:r>
        <w:t xml:space="preserve">In Study A3921096, overall mean change from </w:t>
      </w:r>
      <w:r w:rsidR="00CF6A6C">
        <w:t>Baseline</w:t>
      </w:r>
      <w:r>
        <w:t xml:space="preserve"> to study end (Week 52) revealed no meaningful changes between treatments.</w:t>
      </w:r>
      <w:r w:rsidRPr="003E3E55">
        <w:t xml:space="preserve"> </w:t>
      </w:r>
      <w:r w:rsidRPr="0062584B">
        <w:t xml:space="preserve">There </w:t>
      </w:r>
      <w:r>
        <w:t>were</w:t>
      </w:r>
      <w:r w:rsidRPr="0062584B">
        <w:t xml:space="preserve"> no meaningful</w:t>
      </w:r>
      <w:r>
        <w:t xml:space="preserve"> </w:t>
      </w:r>
      <w:r w:rsidRPr="0062584B">
        <w:t>difference</w:t>
      </w:r>
      <w:r>
        <w:t>s</w:t>
      </w:r>
      <w:r w:rsidRPr="0062584B">
        <w:t xml:space="preserve"> in the rate of abnormalities in ANC </w:t>
      </w:r>
      <w:r>
        <w:t>between treatment groups</w:t>
      </w:r>
      <w:r w:rsidRPr="0062584B">
        <w:t>.</w:t>
      </w:r>
      <w:r>
        <w:t xml:space="preserve"> Most</w:t>
      </w:r>
      <w:r w:rsidRPr="0062584B">
        <w:t xml:space="preserve"> </w:t>
      </w:r>
      <w:proofErr w:type="spellStart"/>
      <w:r w:rsidRPr="0062584B">
        <w:t>neutrop</w:t>
      </w:r>
      <w:r w:rsidR="00C554A3">
        <w:t>a</w:t>
      </w:r>
      <w:r w:rsidRPr="0062584B">
        <w:t>enia</w:t>
      </w:r>
      <w:proofErr w:type="spellEnd"/>
      <w:r w:rsidRPr="0062584B">
        <w:t xml:space="preserve"> cases had ANCs (10</w:t>
      </w:r>
      <w:r w:rsidRPr="00743B05">
        <w:rPr>
          <w:vertAlign w:val="superscript"/>
        </w:rPr>
        <w:t>3</w:t>
      </w:r>
      <w:r w:rsidRPr="0062584B">
        <w:t>/mm</w:t>
      </w:r>
      <w:r w:rsidRPr="00150012">
        <w:rPr>
          <w:vertAlign w:val="superscript"/>
        </w:rPr>
        <w:t>3</w:t>
      </w:r>
      <w:r w:rsidRPr="0062584B">
        <w:t>) of 1.5 to &lt;</w:t>
      </w:r>
      <w:r>
        <w:t xml:space="preserve"> </w:t>
      </w:r>
      <w:r w:rsidRPr="0062584B">
        <w:t>2,</w:t>
      </w:r>
      <w:r>
        <w:t xml:space="preserve"> </w:t>
      </w:r>
      <w:r w:rsidRPr="0062584B">
        <w:t>or of 1 to &lt;</w:t>
      </w:r>
      <w:r>
        <w:t xml:space="preserve"> </w:t>
      </w:r>
      <w:r w:rsidRPr="0062584B">
        <w:t>1.5. No cases</w:t>
      </w:r>
      <w:r>
        <w:t xml:space="preserve"> </w:t>
      </w:r>
      <w:r w:rsidRPr="0062584B">
        <w:t>of ANC &lt;</w:t>
      </w:r>
      <w:r w:rsidR="00C554A3">
        <w:t> </w:t>
      </w:r>
      <w:r w:rsidRPr="0062584B">
        <w:t>0.5 were observed in any treatment group</w:t>
      </w:r>
      <w:r w:rsidRPr="003E3E55">
        <w:rPr>
          <w:lang w:eastAsia="ja-JP"/>
        </w:rPr>
        <w:t xml:space="preserve"> </w:t>
      </w:r>
      <w:r>
        <w:rPr>
          <w:lang w:eastAsia="ja-JP"/>
        </w:rPr>
        <w:t>and n</w:t>
      </w:r>
      <w:r w:rsidRPr="00276525">
        <w:t xml:space="preserve">o subject </w:t>
      </w:r>
      <w:r>
        <w:t>met</w:t>
      </w:r>
      <w:r w:rsidRPr="00276525">
        <w:t xml:space="preserve"> the discontinuation criteria</w:t>
      </w:r>
      <w:r w:rsidR="000D0442">
        <w:t>.</w:t>
      </w:r>
    </w:p>
    <w:p w14:paraId="7A4B948D" w14:textId="3E1298CD" w:rsidR="005F7896" w:rsidRDefault="007757F1" w:rsidP="000D0442">
      <w:r>
        <w:t xml:space="preserve">In Study A3921063, without regard to </w:t>
      </w:r>
      <w:r w:rsidR="005D22FA">
        <w:t>b</w:t>
      </w:r>
      <w:r w:rsidR="00CF6A6C">
        <w:t>aseline</w:t>
      </w:r>
      <w:r>
        <w:t xml:space="preserve"> abnormality, there was a dose-related trend for neutrop</w:t>
      </w:r>
      <w:r w:rsidR="00792AA1">
        <w:t>hilia (total neutrophils &lt; 0.8 times</w:t>
      </w:r>
      <w:r>
        <w:t xml:space="preserve"> </w:t>
      </w:r>
      <w:r w:rsidR="00792AA1">
        <w:t>lower limit of normal (</w:t>
      </w:r>
      <w:r>
        <w:t>LLN</w:t>
      </w:r>
      <w:r w:rsidR="00792AA1">
        <w:t>)</w:t>
      </w:r>
      <w:r>
        <w:t xml:space="preserve">) for </w:t>
      </w:r>
      <w:proofErr w:type="spellStart"/>
      <w:r>
        <w:t>tofacitinib</w:t>
      </w:r>
      <w:proofErr w:type="spellEnd"/>
      <w:r>
        <w:t xml:space="preserve"> treated subjects: 1 (2.1%) for placebo; 0 (0.0%) for 0.5 mg; 1 (3.0%) for 3</w:t>
      </w:r>
      <w:r w:rsidR="00C554A3">
        <w:t> </w:t>
      </w:r>
      <w:r>
        <w:t>mg; 2 (6.1%) for 10 mg and 3 (6.1%) for 15 mg, respectively</w:t>
      </w:r>
      <w:r w:rsidR="005F7896">
        <w:t>.</w:t>
      </w:r>
    </w:p>
    <w:p w14:paraId="408ECCC6" w14:textId="3F701E77" w:rsidR="007757F1" w:rsidRDefault="007757F1" w:rsidP="000D0442">
      <w:r w:rsidRPr="009D375F">
        <w:rPr>
          <w:lang w:eastAsia="ja-JP"/>
        </w:rPr>
        <w:t>In Study A3921139, o</w:t>
      </w:r>
      <w:r w:rsidRPr="009D375F">
        <w:t xml:space="preserve">verall, there were minimal changes from </w:t>
      </w:r>
      <w:r w:rsidR="00CF6A6C">
        <w:t>Baseline</w:t>
      </w:r>
      <w:r w:rsidRPr="009D375F">
        <w:t xml:space="preserve"> over time for the </w:t>
      </w:r>
      <w:proofErr w:type="spellStart"/>
      <w:r w:rsidRPr="009D375F">
        <w:t>tofacitinib</w:t>
      </w:r>
      <w:proofErr w:type="spellEnd"/>
      <w:r w:rsidRPr="009D375F">
        <w:t xml:space="preserve"> 5 mg BID group. In contrast, there was a decreasing trend from </w:t>
      </w:r>
      <w:r w:rsidR="00CF6A6C">
        <w:t>Baseline</w:t>
      </w:r>
      <w:r w:rsidRPr="009D375F">
        <w:t xml:space="preserve"> over time for the </w:t>
      </w:r>
      <w:proofErr w:type="spellStart"/>
      <w:r w:rsidRPr="009D375F">
        <w:t>tofacitinib</w:t>
      </w:r>
      <w:proofErr w:type="spellEnd"/>
      <w:r w:rsidRPr="009D375F">
        <w:t xml:space="preserve"> 10 mg BID group: mean ANC at </w:t>
      </w:r>
      <w:r w:rsidR="00CF6A6C">
        <w:t>Baseline</w:t>
      </w:r>
      <w:r w:rsidRPr="009D375F">
        <w:t xml:space="preserve"> was 5.93 compared with 4.44 at Month 24 (change from </w:t>
      </w:r>
      <w:r w:rsidR="00CF6A6C">
        <w:t>Baseline</w:t>
      </w:r>
      <w:r w:rsidRPr="009D375F">
        <w:t xml:space="preserve">: -1.257). Without regard to </w:t>
      </w:r>
      <w:r w:rsidR="005D22FA">
        <w:t>b</w:t>
      </w:r>
      <w:r w:rsidR="00CF6A6C">
        <w:t>aseline</w:t>
      </w:r>
      <w:r w:rsidRPr="009D375F">
        <w:t xml:space="preserve"> abnormality, each </w:t>
      </w:r>
      <w:proofErr w:type="spellStart"/>
      <w:r w:rsidRPr="009D375F">
        <w:t>tofacitinib</w:t>
      </w:r>
      <w:proofErr w:type="spellEnd"/>
      <w:r w:rsidRPr="009D375F">
        <w:t xml:space="preserve"> treatment demonstrated neutro</w:t>
      </w:r>
      <w:r w:rsidR="009D375F">
        <w:t>penia (total neutrophils &lt; 0.8 times</w:t>
      </w:r>
      <w:r w:rsidRPr="009D375F">
        <w:t xml:space="preserve"> LLN) in 5.1% of subjects.</w:t>
      </w:r>
    </w:p>
    <w:p w14:paraId="4152A2F8" w14:textId="138BF345" w:rsidR="007757F1" w:rsidRPr="000D0442" w:rsidRDefault="007757F1" w:rsidP="000D0442">
      <w:pPr>
        <w:rPr>
          <w:color w:val="000000"/>
        </w:rPr>
      </w:pPr>
      <w:r>
        <w:t xml:space="preserve">Most </w:t>
      </w:r>
      <w:proofErr w:type="spellStart"/>
      <w:r w:rsidRPr="00A2340A">
        <w:t>neutrop</w:t>
      </w:r>
      <w:r w:rsidR="005D22FA">
        <w:t>a</w:t>
      </w:r>
      <w:r w:rsidRPr="00A2340A">
        <w:t>enia</w:t>
      </w:r>
      <w:proofErr w:type="spellEnd"/>
      <w:r w:rsidRPr="00A2340A">
        <w:t xml:space="preserve"> cases</w:t>
      </w:r>
      <w:r>
        <w:t xml:space="preserve"> </w:t>
      </w:r>
      <w:r w:rsidRPr="00A2340A">
        <w:t>had ANCs (10</w:t>
      </w:r>
      <w:r w:rsidRPr="00A2340A">
        <w:rPr>
          <w:vertAlign w:val="superscript"/>
        </w:rPr>
        <w:t>3</w:t>
      </w:r>
      <w:r w:rsidRPr="00A2340A">
        <w:t>/mm</w:t>
      </w:r>
      <w:r w:rsidRPr="00A2340A">
        <w:rPr>
          <w:vertAlign w:val="superscript"/>
        </w:rPr>
        <w:t>3</w:t>
      </w:r>
      <w:r w:rsidRPr="00A2340A">
        <w:t>) of 1.5 to &lt;</w:t>
      </w:r>
      <w:r>
        <w:t xml:space="preserve"> </w:t>
      </w:r>
      <w:r w:rsidRPr="00A2340A">
        <w:t>2, or ANCs of 1 to &lt;</w:t>
      </w:r>
      <w:r>
        <w:t xml:space="preserve"> </w:t>
      </w:r>
      <w:r w:rsidRPr="00A2340A">
        <w:t>1.5.</w:t>
      </w:r>
      <w:r>
        <w:t xml:space="preserve"> </w:t>
      </w:r>
      <w:r w:rsidRPr="003C1E7A">
        <w:t>No cases of ANC &lt;</w:t>
      </w:r>
      <w:r>
        <w:t xml:space="preserve"> </w:t>
      </w:r>
      <w:r w:rsidRPr="003C1E7A">
        <w:t>0.5 were observed in either treatment</w:t>
      </w:r>
      <w:r>
        <w:t xml:space="preserve"> </w:t>
      </w:r>
      <w:r w:rsidRPr="003C1E7A">
        <w:t>group</w:t>
      </w:r>
      <w:r>
        <w:t xml:space="preserve"> over 24 months</w:t>
      </w:r>
      <w:r w:rsidRPr="003C1E7A">
        <w:t>.</w:t>
      </w:r>
      <w:r>
        <w:t xml:space="preserve"> One</w:t>
      </w:r>
      <w:r w:rsidRPr="00997049">
        <w:t xml:space="preserve"> subject in the </w:t>
      </w:r>
      <w:proofErr w:type="spellStart"/>
      <w:r w:rsidRPr="00997049">
        <w:t>tofacitinib</w:t>
      </w:r>
      <w:proofErr w:type="spellEnd"/>
      <w:r w:rsidRPr="00997049">
        <w:t xml:space="preserve"> 10 mg BID group</w:t>
      </w:r>
      <w:r>
        <w:t xml:space="preserve"> died from </w:t>
      </w:r>
      <w:r w:rsidRPr="00DB5DBB">
        <w:t>AML a</w:t>
      </w:r>
      <w:r>
        <w:t xml:space="preserve">nd </w:t>
      </w:r>
      <w:r w:rsidRPr="00997049">
        <w:t>met the discontinuation criteria</w:t>
      </w:r>
      <w:r w:rsidR="000D0442">
        <w:rPr>
          <w:color w:val="000000"/>
        </w:rPr>
        <w:t>.</w:t>
      </w:r>
    </w:p>
    <w:p w14:paraId="1A42D22C" w14:textId="77777777" w:rsidR="007757F1" w:rsidRPr="00C657E9" w:rsidRDefault="007757F1" w:rsidP="000D0442">
      <w:pPr>
        <w:pStyle w:val="Heading7"/>
        <w:rPr>
          <w:rFonts w:eastAsiaTheme="minorHAnsi"/>
        </w:rPr>
      </w:pPr>
      <w:r w:rsidRPr="00C657E9">
        <w:rPr>
          <w:rFonts w:eastAsiaTheme="minorHAnsi"/>
        </w:rPr>
        <w:t>Lymphocyte count</w:t>
      </w:r>
    </w:p>
    <w:p w14:paraId="10859FCE" w14:textId="6B1A47AD" w:rsidR="007757F1" w:rsidRDefault="007757F1" w:rsidP="000D0442">
      <w:r>
        <w:t xml:space="preserve">In both the </w:t>
      </w:r>
      <w:r w:rsidR="00B7366A">
        <w:t>Phase</w:t>
      </w:r>
      <w:r>
        <w:t xml:space="preserve"> III induction studies, t</w:t>
      </w:r>
      <w:r w:rsidRPr="004C4F89">
        <w:t xml:space="preserve">here </w:t>
      </w:r>
      <w:r>
        <w:t>were</w:t>
      </w:r>
      <w:r w:rsidRPr="004C4F89">
        <w:t xml:space="preserve"> no meaningful difference</w:t>
      </w:r>
      <w:r>
        <w:t>s</w:t>
      </w:r>
      <w:r w:rsidRPr="004C4F89">
        <w:t xml:space="preserve"> in the mean change from </w:t>
      </w:r>
      <w:r w:rsidR="00CF6A6C">
        <w:t>Baseline</w:t>
      </w:r>
      <w:r>
        <w:t xml:space="preserve"> </w:t>
      </w:r>
      <w:r w:rsidRPr="004C4F89">
        <w:t xml:space="preserve">between </w:t>
      </w:r>
      <w:proofErr w:type="spellStart"/>
      <w:r>
        <w:t>tofacitinib</w:t>
      </w:r>
      <w:proofErr w:type="spellEnd"/>
      <w:r>
        <w:t xml:space="preserve"> 10 mg and placebo </w:t>
      </w:r>
      <w:r w:rsidRPr="004C4F89">
        <w:t>treatment</w:t>
      </w:r>
      <w:r>
        <w:t>s, or lymphocyte</w:t>
      </w:r>
      <w:r w:rsidRPr="008A07F2">
        <w:t xml:space="preserve"> abnormalities</w:t>
      </w:r>
      <w:r>
        <w:t>.</w:t>
      </w:r>
    </w:p>
    <w:p w14:paraId="71504FB0" w14:textId="7B00482C" w:rsidR="007757F1" w:rsidRDefault="007757F1" w:rsidP="000D0442">
      <w:r>
        <w:t xml:space="preserve">In Study A3921094, there were two cases (0.4%) of mild </w:t>
      </w:r>
      <w:proofErr w:type="spellStart"/>
      <w:r>
        <w:t>ly</w:t>
      </w:r>
      <w:r w:rsidR="009D375F">
        <w:t>mphop</w:t>
      </w:r>
      <w:r w:rsidR="005D22FA">
        <w:t>a</w:t>
      </w:r>
      <w:r w:rsidR="009D375F">
        <w:t>enia</w:t>
      </w:r>
      <w:proofErr w:type="spellEnd"/>
      <w:r w:rsidR="009D375F">
        <w:t xml:space="preserve"> in the </w:t>
      </w:r>
      <w:proofErr w:type="spellStart"/>
      <w:r w:rsidR="009D375F">
        <w:t>tofacitinib</w:t>
      </w:r>
      <w:proofErr w:type="spellEnd"/>
      <w:r w:rsidR="009D375F">
        <w:t xml:space="preserve"> 10 </w:t>
      </w:r>
      <w:r>
        <w:t>mg BID treatment group. One (0.2%) subject met criteria for disco</w:t>
      </w:r>
      <w:r w:rsidR="000D0442">
        <w:t>ntinuation.</w:t>
      </w:r>
    </w:p>
    <w:p w14:paraId="310E196F" w14:textId="7A8CCF07" w:rsidR="007757F1" w:rsidRDefault="007757F1" w:rsidP="000D0442">
      <w:r>
        <w:t xml:space="preserve">In </w:t>
      </w:r>
      <w:r>
        <w:rPr>
          <w:lang w:eastAsia="ja-JP"/>
        </w:rPr>
        <w:t>Study A3921095, d</w:t>
      </w:r>
      <w:r w:rsidRPr="00AF508F">
        <w:t xml:space="preserve">ifference from placebo in adjusted mean change from </w:t>
      </w:r>
      <w:r w:rsidR="00CF6A6C">
        <w:t>Baseline</w:t>
      </w:r>
      <w:r w:rsidRPr="00AF508F">
        <w:t xml:space="preserve"> </w:t>
      </w:r>
      <w:r>
        <w:t>was statistically</w:t>
      </w:r>
      <w:r w:rsidRPr="00AF508F">
        <w:t xml:space="preserve"> significant</w:t>
      </w:r>
      <w:r>
        <w:t>ly greater</w:t>
      </w:r>
      <w:r w:rsidRPr="00AF508F">
        <w:t xml:space="preserve"> </w:t>
      </w:r>
      <w:r>
        <w:t xml:space="preserve">for </w:t>
      </w:r>
      <w:proofErr w:type="spellStart"/>
      <w:r>
        <w:t>tofacitinib</w:t>
      </w:r>
      <w:proofErr w:type="spellEnd"/>
      <w:r>
        <w:t xml:space="preserve"> 10 mg treatment </w:t>
      </w:r>
      <w:r w:rsidRPr="00AF508F">
        <w:t>at</w:t>
      </w:r>
      <w:r>
        <w:t xml:space="preserve"> </w:t>
      </w:r>
      <w:r w:rsidRPr="00AF508F">
        <w:t>Week</w:t>
      </w:r>
      <w:r>
        <w:t>s</w:t>
      </w:r>
      <w:r w:rsidRPr="00AF508F">
        <w:t xml:space="preserve"> 4</w:t>
      </w:r>
      <w:r>
        <w:t xml:space="preserve"> and 8 for </w:t>
      </w:r>
      <w:r>
        <w:lastRenderedPageBreak/>
        <w:t xml:space="preserve">lymphocytes (absolute). At Week 8 the relative difference between </w:t>
      </w:r>
      <w:proofErr w:type="spellStart"/>
      <w:r>
        <w:t>tofacitinib</w:t>
      </w:r>
      <w:proofErr w:type="spellEnd"/>
      <w:r>
        <w:t xml:space="preserve"> and placebo treatments in subjects with an ANC </w:t>
      </w:r>
      <w:r w:rsidRPr="008A07F2">
        <w:t>0.5 to</w:t>
      </w:r>
      <w:r>
        <w:t xml:space="preserve"> </w:t>
      </w:r>
      <w:r w:rsidRPr="008A07F2">
        <w:t>&lt;</w:t>
      </w:r>
      <w:r>
        <w:t xml:space="preserve"> </w:t>
      </w:r>
      <w:r w:rsidRPr="008A07F2">
        <w:t>1.5</w:t>
      </w:r>
      <w:r>
        <w:t xml:space="preserve"> was higher in the </w:t>
      </w:r>
      <w:proofErr w:type="spellStart"/>
      <w:r>
        <w:t>tofacitinib</w:t>
      </w:r>
      <w:proofErr w:type="spellEnd"/>
      <w:r>
        <w:t xml:space="preserve"> group (38.2% </w:t>
      </w:r>
      <w:r w:rsidR="009D375F">
        <w:t>versus</w:t>
      </w:r>
      <w:r>
        <w:t xml:space="preserve"> 25.8%, respectively). In contrast, in Study A3921094, 36.9% </w:t>
      </w:r>
      <w:proofErr w:type="spellStart"/>
      <w:r>
        <w:t>tofacitinib</w:t>
      </w:r>
      <w:proofErr w:type="spellEnd"/>
      <w:r>
        <w:t xml:space="preserve"> treated subjects had ANC </w:t>
      </w:r>
      <w:r w:rsidRPr="008A07F2">
        <w:t>0.5 to</w:t>
      </w:r>
      <w:r>
        <w:t xml:space="preserve"> </w:t>
      </w:r>
      <w:r w:rsidRPr="008A07F2">
        <w:t>&lt;</w:t>
      </w:r>
      <w:r>
        <w:t xml:space="preserve"> </w:t>
      </w:r>
      <w:r w:rsidRPr="008A07F2">
        <w:t>1.5</w:t>
      </w:r>
      <w:r w:rsidR="009D375F">
        <w:t xml:space="preserve"> compared with 37.6% for placebo </w:t>
      </w:r>
      <w:r>
        <w:t>treated subjects.</w:t>
      </w:r>
    </w:p>
    <w:p w14:paraId="04F292F7" w14:textId="563D5E07" w:rsidR="007757F1" w:rsidRDefault="007757F1" w:rsidP="000D0442">
      <w:r>
        <w:rPr>
          <w:lang w:eastAsia="ja-JP"/>
        </w:rPr>
        <w:t>In Study A3921096, m</w:t>
      </w:r>
      <w:r>
        <w:t>ean c</w:t>
      </w:r>
      <w:r w:rsidRPr="00D73AEE">
        <w:t xml:space="preserve">hanges from </w:t>
      </w:r>
      <w:r w:rsidR="00CF6A6C">
        <w:t>Baseline</w:t>
      </w:r>
      <w:r w:rsidRPr="00D73AEE">
        <w:t xml:space="preserve"> in </w:t>
      </w:r>
      <w:r w:rsidR="009D375F">
        <w:t>absolute lymphocyte count (</w:t>
      </w:r>
      <w:r w:rsidRPr="00D73AEE">
        <w:t>ALC</w:t>
      </w:r>
      <w:r w:rsidR="009D375F">
        <w:t>)</w:t>
      </w:r>
      <w:r w:rsidRPr="00D73AEE">
        <w:t xml:space="preserve"> values (in 10</w:t>
      </w:r>
      <w:r w:rsidRPr="00743B05">
        <w:rPr>
          <w:vertAlign w:val="superscript"/>
        </w:rPr>
        <w:t>3</w:t>
      </w:r>
      <w:r w:rsidRPr="00D73AEE">
        <w:t>/mm</w:t>
      </w:r>
      <w:r w:rsidRPr="00743B05">
        <w:rPr>
          <w:vertAlign w:val="superscript"/>
        </w:rPr>
        <w:t>3</w:t>
      </w:r>
      <w:r w:rsidRPr="00D73AEE">
        <w:t>)</w:t>
      </w:r>
      <w:r>
        <w:t xml:space="preserve"> were greater for both </w:t>
      </w:r>
      <w:proofErr w:type="spellStart"/>
      <w:r>
        <w:t>tofacitinib</w:t>
      </w:r>
      <w:proofErr w:type="spellEnd"/>
      <w:r>
        <w:t xml:space="preserve"> treatments compared with placebo: -0.285 for </w:t>
      </w:r>
      <w:proofErr w:type="spellStart"/>
      <w:r>
        <w:t>tofacitinib</w:t>
      </w:r>
      <w:proofErr w:type="spellEnd"/>
      <w:r>
        <w:t xml:space="preserve"> 5 mg; -0.464 for </w:t>
      </w:r>
      <w:proofErr w:type="spellStart"/>
      <w:r>
        <w:t>tofacitinib</w:t>
      </w:r>
      <w:proofErr w:type="spellEnd"/>
      <w:r>
        <w:t xml:space="preserve"> 10 mg </w:t>
      </w:r>
      <w:r w:rsidR="009D375F">
        <w:t>versus</w:t>
      </w:r>
      <w:r>
        <w:t xml:space="preserve"> -0.091 for placebo. From Week 32 to Week 52, </w:t>
      </w:r>
      <w:proofErr w:type="spellStart"/>
      <w:r>
        <w:t>tofacitinib</w:t>
      </w:r>
      <w:proofErr w:type="spellEnd"/>
      <w:r>
        <w:t xml:space="preserve"> 10 mg produced a relatively greater reduction in ALC than </w:t>
      </w:r>
      <w:proofErr w:type="spellStart"/>
      <w:r>
        <w:t>tofacitinib</w:t>
      </w:r>
      <w:proofErr w:type="spellEnd"/>
      <w:r>
        <w:t xml:space="preserve"> 5 mg treated subjects. </w:t>
      </w:r>
      <w:r w:rsidRPr="00B4385F">
        <w:t xml:space="preserve">Analysis of changes from </w:t>
      </w:r>
      <w:r w:rsidR="00CF6A6C">
        <w:t>Baseline</w:t>
      </w:r>
      <w:r w:rsidRPr="00B4385F">
        <w:t xml:space="preserve"> demonstrated that treatment effects were</w:t>
      </w:r>
      <w:r>
        <w:t xml:space="preserve"> statistically </w:t>
      </w:r>
      <w:r w:rsidRPr="00B4385F">
        <w:t xml:space="preserve">significantly different from placebo for both </w:t>
      </w:r>
      <w:proofErr w:type="spellStart"/>
      <w:r w:rsidRPr="00B4385F">
        <w:t>tofacitinib</w:t>
      </w:r>
      <w:proofErr w:type="spellEnd"/>
      <w:r w:rsidRPr="00B4385F">
        <w:t xml:space="preserve"> groups at Weeks 24 and 52</w:t>
      </w:r>
      <w:r>
        <w:t>.</w:t>
      </w:r>
    </w:p>
    <w:p w14:paraId="68FCC6D3" w14:textId="607D37A2" w:rsidR="007757F1" w:rsidRDefault="007757F1" w:rsidP="000D0442">
      <w:r w:rsidRPr="00DA58B2">
        <w:t xml:space="preserve">Lymphocyte abnormalities (without regard to </w:t>
      </w:r>
      <w:r w:rsidR="005D22FA">
        <w:t>b</w:t>
      </w:r>
      <w:r w:rsidR="00CF6A6C">
        <w:t>aseline</w:t>
      </w:r>
      <w:r w:rsidRPr="00DA58B2">
        <w:t xml:space="preserve"> abnormality) were similar between </w:t>
      </w:r>
      <w:proofErr w:type="spellStart"/>
      <w:r w:rsidRPr="00DA58B2">
        <w:t>tofacitinib</w:t>
      </w:r>
      <w:proofErr w:type="spellEnd"/>
      <w:r w:rsidRPr="00DA58B2">
        <w:t xml:space="preserve"> treatments and greater than placebo treated subjects: </w:t>
      </w:r>
      <w:proofErr w:type="spellStart"/>
      <w:r w:rsidRPr="00DA58B2">
        <w:t>tofacitinib</w:t>
      </w:r>
      <w:proofErr w:type="spellEnd"/>
      <w:r w:rsidRPr="00DA58B2">
        <w:t xml:space="preserve"> 5 mg (15.2%), </w:t>
      </w:r>
      <w:proofErr w:type="spellStart"/>
      <w:r w:rsidRPr="00DA58B2">
        <w:t>tofacitinib</w:t>
      </w:r>
      <w:proofErr w:type="spellEnd"/>
      <w:r w:rsidRPr="00DA58B2">
        <w:t xml:space="preserve"> 10 mg (14.9%), placebo (5.6%)</w:t>
      </w:r>
      <w:r>
        <w:t>.</w:t>
      </w:r>
    </w:p>
    <w:p w14:paraId="4464763A" w14:textId="77777777" w:rsidR="005F7896" w:rsidRDefault="007757F1" w:rsidP="000D0442">
      <w:r w:rsidRPr="00D769FB">
        <w:t>In all treatment groups, most</w:t>
      </w:r>
      <w:r>
        <w:t xml:space="preserve"> </w:t>
      </w:r>
      <w:r w:rsidRPr="00D769FB">
        <w:t xml:space="preserve">subjects with lymphocyte abnormalities had values in the ALC </w:t>
      </w:r>
      <w:r>
        <w:rPr>
          <w:rFonts w:cs="Symbol"/>
        </w:rPr>
        <w:t xml:space="preserve">≥ </w:t>
      </w:r>
      <w:r w:rsidRPr="00D769FB">
        <w:t>2, 1.5 to &lt;</w:t>
      </w:r>
      <w:r>
        <w:t xml:space="preserve"> </w:t>
      </w:r>
      <w:r w:rsidRPr="00D769FB">
        <w:t>2, and 0.5 to &lt;</w:t>
      </w:r>
      <w:r>
        <w:t xml:space="preserve"> </w:t>
      </w:r>
      <w:r w:rsidRPr="00D769FB">
        <w:t>1.5</w:t>
      </w:r>
      <w:r>
        <w:t xml:space="preserve"> </w:t>
      </w:r>
      <w:r w:rsidRPr="00D769FB">
        <w:t>categories.</w:t>
      </w:r>
      <w:r>
        <w:t xml:space="preserve"> No subject in any treatment group had ALC &lt; 0.5 at Week 52. At Week 52, proportionately more </w:t>
      </w:r>
      <w:proofErr w:type="spellStart"/>
      <w:r>
        <w:t>tofacitinib</w:t>
      </w:r>
      <w:proofErr w:type="spellEnd"/>
      <w:r>
        <w:t xml:space="preserve"> treated subjects were in category </w:t>
      </w:r>
      <w:r w:rsidRPr="00D769FB">
        <w:t>0.5 to &lt;</w:t>
      </w:r>
      <w:r>
        <w:t xml:space="preserve"> </w:t>
      </w:r>
      <w:r w:rsidRPr="00D769FB">
        <w:t>1.5</w:t>
      </w:r>
      <w:r>
        <w:t xml:space="preserve"> than categories </w:t>
      </w:r>
      <w:r w:rsidRPr="00D769FB">
        <w:t xml:space="preserve">ALC </w:t>
      </w:r>
      <w:r>
        <w:rPr>
          <w:rFonts w:cs="Symbol"/>
        </w:rPr>
        <w:t xml:space="preserve">≥ </w:t>
      </w:r>
      <w:r>
        <w:t>2 and</w:t>
      </w:r>
      <w:r w:rsidRPr="00D769FB">
        <w:t xml:space="preserve"> 1.5 to &lt;</w:t>
      </w:r>
      <w:r>
        <w:t xml:space="preserve"> </w:t>
      </w:r>
      <w:r w:rsidRPr="00D769FB">
        <w:t>2</w:t>
      </w:r>
      <w:r>
        <w:t xml:space="preserve"> </w:t>
      </w:r>
      <w:r w:rsidR="00F14B34">
        <w:t xml:space="preserve">that </w:t>
      </w:r>
      <w:r w:rsidR="00225681">
        <w:t>is;</w:t>
      </w:r>
      <w:r>
        <w:t xml:space="preserve"> those subjects who recorded </w:t>
      </w:r>
      <w:proofErr w:type="spellStart"/>
      <w:r>
        <w:t>lymphopenia</w:t>
      </w:r>
      <w:proofErr w:type="spellEnd"/>
      <w:r>
        <w:t xml:space="preserve"> had relatively more severe </w:t>
      </w:r>
      <w:proofErr w:type="spellStart"/>
      <w:r>
        <w:t>lymphopenia</w:t>
      </w:r>
      <w:proofErr w:type="spellEnd"/>
      <w:r>
        <w:t xml:space="preserve"> than placebo treated subjects</w:t>
      </w:r>
      <w:r w:rsidR="005F7896">
        <w:t>.</w:t>
      </w:r>
    </w:p>
    <w:p w14:paraId="5D186649" w14:textId="77777777" w:rsidR="007757F1" w:rsidRPr="00C2074B" w:rsidRDefault="007757F1" w:rsidP="000D0442">
      <w:pPr>
        <w:pStyle w:val="Heading6"/>
      </w:pPr>
      <w:r w:rsidRPr="00C2074B">
        <w:t>Other studies</w:t>
      </w:r>
    </w:p>
    <w:p w14:paraId="0C18E8D9" w14:textId="443EBD94" w:rsidR="007757F1" w:rsidRDefault="007757F1" w:rsidP="00B7056C">
      <w:r>
        <w:rPr>
          <w:lang w:eastAsia="ja-JP"/>
        </w:rPr>
        <w:t>In Study A3921063, w</w:t>
      </w:r>
      <w:bookmarkStart w:id="132" w:name="_Toc272414672"/>
      <w:bookmarkStart w:id="133" w:name="_Toc290888536"/>
      <w:bookmarkStart w:id="134" w:name="_Toc416353752"/>
      <w:bookmarkStart w:id="135" w:name="_Toc421005295"/>
      <w:bookmarkStart w:id="136" w:name="_Toc432079172"/>
      <w:bookmarkStart w:id="137" w:name="_Toc432080745"/>
      <w:r>
        <w:t xml:space="preserve">ithout regard to </w:t>
      </w:r>
      <w:r w:rsidR="00CF6A6C">
        <w:t>Baseline</w:t>
      </w:r>
      <w:r>
        <w:t xml:space="preserve"> abnormality, there wer</w:t>
      </w:r>
      <w:r w:rsidR="009D375F">
        <w:t>e low lymphocyte counts (&lt; 0.8 times</w:t>
      </w:r>
      <w:r>
        <w:t xml:space="preserve"> LLN) across all treatment groups: 7 (14.9%) for placebo; 2 (6.5%) for 0.5 mg; 2 (6.1%) for 3 mg; 3 (9.1%) for 10 mg and 4 (8.2%) for 15 mg, respectively.</w:t>
      </w:r>
    </w:p>
    <w:p w14:paraId="32A976A5" w14:textId="1173C47B" w:rsidR="005F7896" w:rsidRDefault="007757F1" w:rsidP="00B7056C">
      <w:r>
        <w:t>In Study A3921139, o</w:t>
      </w:r>
      <w:r w:rsidRPr="00CB4553">
        <w:t>verall mean values</w:t>
      </w:r>
      <w:r>
        <w:t xml:space="preserve"> </w:t>
      </w:r>
      <w:r w:rsidRPr="00CB4553">
        <w:t xml:space="preserve">in change from </w:t>
      </w:r>
      <w:r w:rsidR="00CF6A6C">
        <w:t>Baseline</w:t>
      </w:r>
      <w:r w:rsidRPr="00CB4553">
        <w:t xml:space="preserve"> reveal</w:t>
      </w:r>
      <w:r>
        <w:t>ed</w:t>
      </w:r>
      <w:r w:rsidRPr="00CB4553">
        <w:t xml:space="preserve"> a generally decreasing trend in ALC over time</w:t>
      </w:r>
      <w:r>
        <w:t>, for</w:t>
      </w:r>
      <w:r w:rsidRPr="00CB4553">
        <w:t xml:space="preserve"> both </w:t>
      </w:r>
      <w:proofErr w:type="spellStart"/>
      <w:r w:rsidRPr="00CB4553">
        <w:t>tofacitinib</w:t>
      </w:r>
      <w:proofErr w:type="spellEnd"/>
      <w:r w:rsidRPr="00CB4553">
        <w:t xml:space="preserve"> treatment</w:t>
      </w:r>
      <w:r w:rsidR="009D375F">
        <w:t xml:space="preserve">s, and which suggest a dose </w:t>
      </w:r>
      <w:r>
        <w:t>related trend</w:t>
      </w:r>
      <w:r w:rsidR="005F7896">
        <w:t>.</w:t>
      </w:r>
    </w:p>
    <w:p w14:paraId="2A39590E" w14:textId="440BA14A" w:rsidR="007757F1" w:rsidRDefault="007757F1" w:rsidP="00B7056C">
      <w:r w:rsidRPr="00DA58B2">
        <w:t xml:space="preserve">Lymphocyte abnormalities (without regard to </w:t>
      </w:r>
      <w:r w:rsidR="005D22FA">
        <w:t>b</w:t>
      </w:r>
      <w:r w:rsidR="00CF6A6C">
        <w:t>aseline</w:t>
      </w:r>
      <w:r w:rsidRPr="00DA58B2">
        <w:t xml:space="preserve"> abnormality) were </w:t>
      </w:r>
      <w:r>
        <w:t xml:space="preserve">higher in the </w:t>
      </w:r>
      <w:proofErr w:type="spellStart"/>
      <w:r>
        <w:t>tofacitinib</w:t>
      </w:r>
      <w:proofErr w:type="spellEnd"/>
      <w:r>
        <w:t xml:space="preserve"> 10 mg BID group than the </w:t>
      </w:r>
      <w:proofErr w:type="spellStart"/>
      <w:r>
        <w:t>tofacitinib</w:t>
      </w:r>
      <w:proofErr w:type="spellEnd"/>
      <w:r>
        <w:t xml:space="preserve"> 5 mg BID group for</w:t>
      </w:r>
      <w:r w:rsidR="00226D03">
        <w:t xml:space="preserve"> ‘absolute lymphocytes’ (&lt; 0.8 times</w:t>
      </w:r>
      <w:r>
        <w:t xml:space="preserve"> LLN) </w:t>
      </w:r>
      <w:r w:rsidR="00F14B34">
        <w:t>that is,</w:t>
      </w:r>
      <w:r>
        <w:t xml:space="preserve"> 22.0% </w:t>
      </w:r>
      <w:r w:rsidR="009D375F">
        <w:t>versus</w:t>
      </w:r>
      <w:r>
        <w:t xml:space="preserve"> 17.3%, respectively and for ‘lymphocytes’ (%) </w:t>
      </w:r>
      <w:r w:rsidR="00F14B34">
        <w:t>that is,</w:t>
      </w:r>
      <w:r>
        <w:t xml:space="preserve"> 34.2% </w:t>
      </w:r>
      <w:r w:rsidR="009D375F">
        <w:t>versus</w:t>
      </w:r>
      <w:r>
        <w:t xml:space="preserve"> 21.8%, respectively. At </w:t>
      </w:r>
      <w:r w:rsidR="00CF6A6C">
        <w:t>Baseline</w:t>
      </w:r>
      <w:r>
        <w:t>, 1 subje</w:t>
      </w:r>
      <w:r w:rsidR="00DB5DBB">
        <w:t>ct in the 10 mg group had ALC &lt; </w:t>
      </w:r>
      <w:r>
        <w:t xml:space="preserve">0.5. During the first 24 months of this </w:t>
      </w:r>
      <w:r w:rsidR="00226D03">
        <w:t>open label</w:t>
      </w:r>
      <w:r>
        <w:t xml:space="preserve"> study there was a gradual lowering of ALC over time. Six</w:t>
      </w:r>
      <w:r w:rsidRPr="005C54F3">
        <w:t xml:space="preserve"> subjects in the </w:t>
      </w:r>
      <w:proofErr w:type="spellStart"/>
      <w:r w:rsidRPr="005C54F3">
        <w:t>tofacitinib</w:t>
      </w:r>
      <w:proofErr w:type="spellEnd"/>
      <w:r w:rsidRPr="005C54F3">
        <w:t xml:space="preserve"> 10 mg BID group met</w:t>
      </w:r>
      <w:r>
        <w:t xml:space="preserve"> </w:t>
      </w:r>
      <w:r w:rsidRPr="005C54F3">
        <w:t>the discontinuation criteria</w:t>
      </w:r>
      <w:r>
        <w:t>.</w:t>
      </w:r>
    </w:p>
    <w:p w14:paraId="751A4201" w14:textId="77777777" w:rsidR="007757F1" w:rsidRPr="00545B14" w:rsidRDefault="007757F1" w:rsidP="00B7056C">
      <w:pPr>
        <w:pStyle w:val="Heading5"/>
      </w:pPr>
      <w:r w:rsidRPr="00545B14">
        <w:t>Haematology</w:t>
      </w:r>
      <w:bookmarkEnd w:id="132"/>
      <w:bookmarkEnd w:id="133"/>
      <w:bookmarkEnd w:id="134"/>
      <w:bookmarkEnd w:id="135"/>
      <w:r>
        <w:t xml:space="preserve"> and haematological toxicity</w:t>
      </w:r>
      <w:bookmarkEnd w:id="136"/>
      <w:bookmarkEnd w:id="137"/>
    </w:p>
    <w:p w14:paraId="0B630AFD" w14:textId="35E9F9D0" w:rsidR="007757F1" w:rsidRDefault="007757F1" w:rsidP="00B7056C">
      <w:pPr>
        <w:rPr>
          <w:rFonts w:eastAsiaTheme="minorHAnsi" w:cs="TimesNewRoman"/>
        </w:rPr>
      </w:pPr>
      <w:r>
        <w:rPr>
          <w:lang w:eastAsia="ja-JP"/>
        </w:rPr>
        <w:t>Abn</w:t>
      </w:r>
      <w:r w:rsidR="00226D03">
        <w:rPr>
          <w:lang w:eastAsia="ja-JP"/>
        </w:rPr>
        <w:t>ormally low haemoglobin (&lt; 0.8 times</w:t>
      </w:r>
      <w:r>
        <w:rPr>
          <w:lang w:eastAsia="ja-JP"/>
        </w:rPr>
        <w:t xml:space="preserve"> LLN) and other red cell indices occ</w:t>
      </w:r>
      <w:r w:rsidR="00226D03">
        <w:rPr>
          <w:lang w:eastAsia="ja-JP"/>
        </w:rPr>
        <w:t xml:space="preserve">urred infrequently with no dose </w:t>
      </w:r>
      <w:r>
        <w:rPr>
          <w:lang w:eastAsia="ja-JP"/>
        </w:rPr>
        <w:t>related trends observed. In Study A3921094, t</w:t>
      </w:r>
      <w:r w:rsidRPr="007C5BC8">
        <w:rPr>
          <w:rFonts w:eastAsiaTheme="minorHAnsi" w:cs="TimesNewRoman"/>
        </w:rPr>
        <w:t>here were</w:t>
      </w:r>
      <w:r>
        <w:rPr>
          <w:rFonts w:eastAsiaTheme="minorHAnsi" w:cs="TimesNewRoman"/>
        </w:rPr>
        <w:t xml:space="preserve"> </w:t>
      </w:r>
      <w:r w:rsidRPr="007C5BC8">
        <w:rPr>
          <w:rFonts w:eastAsiaTheme="minorHAnsi" w:cs="TimesNewRoman"/>
        </w:rPr>
        <w:t>3</w:t>
      </w:r>
      <w:r w:rsidR="005D22FA">
        <w:rPr>
          <w:rFonts w:eastAsiaTheme="minorHAnsi" w:cs="TimesNewRoman"/>
        </w:rPr>
        <w:t> </w:t>
      </w:r>
      <w:r w:rsidRPr="007C5BC8">
        <w:rPr>
          <w:rFonts w:eastAsiaTheme="minorHAnsi" w:cs="TimesNewRoman"/>
        </w:rPr>
        <w:t>subjects with AEs of haemoglobin decreased</w:t>
      </w:r>
      <w:r>
        <w:rPr>
          <w:rFonts w:eastAsiaTheme="minorHAnsi" w:cs="TimesNewRoman"/>
        </w:rPr>
        <w:t xml:space="preserve"> (1 each in </w:t>
      </w:r>
      <w:proofErr w:type="spellStart"/>
      <w:r>
        <w:rPr>
          <w:rFonts w:eastAsiaTheme="minorHAnsi" w:cs="TimesNewRoman"/>
        </w:rPr>
        <w:t>tofacitinib</w:t>
      </w:r>
      <w:proofErr w:type="spellEnd"/>
      <w:r>
        <w:rPr>
          <w:rFonts w:eastAsiaTheme="minorHAnsi" w:cs="TimesNewRoman"/>
        </w:rPr>
        <w:t xml:space="preserve"> 10 mg and placebo treatment groups). In </w:t>
      </w:r>
      <w:r>
        <w:rPr>
          <w:lang w:eastAsia="ja-JP"/>
        </w:rPr>
        <w:t xml:space="preserve">Study A3921095, </w:t>
      </w:r>
      <w:r>
        <w:rPr>
          <w:rFonts w:eastAsiaTheme="minorHAnsi" w:cs="TimesNewRoman"/>
        </w:rPr>
        <w:t>1</w:t>
      </w:r>
      <w:r w:rsidRPr="00D031E4">
        <w:rPr>
          <w:rFonts w:eastAsiaTheme="minorHAnsi" w:cs="TimesNewRoman"/>
        </w:rPr>
        <w:t xml:space="preserve"> (0.2%)</w:t>
      </w:r>
      <w:r w:rsidRPr="006B37BB">
        <w:rPr>
          <w:rFonts w:eastAsiaTheme="minorHAnsi" w:cs="TimesNewRoman"/>
        </w:rPr>
        <w:t xml:space="preserve"> </w:t>
      </w:r>
      <w:r w:rsidRPr="00D031E4">
        <w:rPr>
          <w:rFonts w:eastAsiaTheme="minorHAnsi" w:cs="TimesNewRoman"/>
        </w:rPr>
        <w:t xml:space="preserve">subject </w:t>
      </w:r>
      <w:r>
        <w:rPr>
          <w:rFonts w:eastAsiaTheme="minorHAnsi" w:cs="TimesNewRoman"/>
        </w:rPr>
        <w:t>had moderate</w:t>
      </w:r>
      <w:r w:rsidRPr="00D031E4">
        <w:rPr>
          <w:rFonts w:eastAsiaTheme="minorHAnsi" w:cs="TimesNewRoman"/>
        </w:rPr>
        <w:t xml:space="preserve"> haemoglobin decreased in the </w:t>
      </w:r>
      <w:proofErr w:type="spellStart"/>
      <w:r w:rsidRPr="00D031E4">
        <w:rPr>
          <w:rFonts w:eastAsiaTheme="minorHAnsi" w:cs="TimesNewRoman"/>
        </w:rPr>
        <w:t>tofacitinib</w:t>
      </w:r>
      <w:proofErr w:type="spellEnd"/>
      <w:r w:rsidRPr="00D031E4">
        <w:rPr>
          <w:rFonts w:eastAsiaTheme="minorHAnsi" w:cs="TimesNewRoman"/>
        </w:rPr>
        <w:t xml:space="preserve"> 10 mg BID group</w:t>
      </w:r>
      <w:r>
        <w:rPr>
          <w:rFonts w:eastAsiaTheme="minorHAnsi" w:cs="TimesNewRoman"/>
        </w:rPr>
        <w:t>. No case was severe.</w:t>
      </w:r>
    </w:p>
    <w:p w14:paraId="71A951AA" w14:textId="2F444E6A" w:rsidR="007757F1" w:rsidRPr="00F77657" w:rsidRDefault="007757F1" w:rsidP="00B7056C">
      <w:pPr>
        <w:rPr>
          <w:rFonts w:eastAsiaTheme="minorHAnsi" w:cs="TimesNewRoman"/>
        </w:rPr>
      </w:pPr>
      <w:r w:rsidRPr="00F77657">
        <w:rPr>
          <w:rFonts w:eastAsiaTheme="minorHAnsi" w:cs="TimesNewRoman"/>
        </w:rPr>
        <w:t>Most subjects with decreased</w:t>
      </w:r>
      <w:r>
        <w:rPr>
          <w:rFonts w:eastAsiaTheme="minorHAnsi" w:cs="TimesNewRoman"/>
        </w:rPr>
        <w:t xml:space="preserve"> </w:t>
      </w:r>
      <w:r w:rsidRPr="00F77657">
        <w:rPr>
          <w:rFonts w:eastAsiaTheme="minorHAnsi" w:cs="TimesNewRoman"/>
        </w:rPr>
        <w:t>h</w:t>
      </w:r>
      <w:r>
        <w:rPr>
          <w:rFonts w:eastAsiaTheme="minorHAnsi" w:cs="TimesNewRoman"/>
        </w:rPr>
        <w:t>aemoglobin (g/</w:t>
      </w:r>
      <w:proofErr w:type="spellStart"/>
      <w:r>
        <w:rPr>
          <w:rFonts w:eastAsiaTheme="minorHAnsi" w:cs="TimesNewRoman"/>
        </w:rPr>
        <w:t>dL</w:t>
      </w:r>
      <w:proofErr w:type="spellEnd"/>
      <w:r>
        <w:rPr>
          <w:rFonts w:eastAsiaTheme="minorHAnsi" w:cs="TimesNewRoman"/>
        </w:rPr>
        <w:t>) were categoris</w:t>
      </w:r>
      <w:r w:rsidRPr="00F77657">
        <w:rPr>
          <w:rFonts w:eastAsiaTheme="minorHAnsi" w:cs="TimesNewRoman"/>
        </w:rPr>
        <w:t xml:space="preserve">ed as a change from </w:t>
      </w:r>
      <w:r w:rsidR="00CF6A6C">
        <w:rPr>
          <w:rFonts w:eastAsiaTheme="minorHAnsi" w:cs="TimesNewRoman"/>
        </w:rPr>
        <w:t>Baseline</w:t>
      </w:r>
      <w:r w:rsidRPr="00F77657">
        <w:rPr>
          <w:rFonts w:eastAsiaTheme="minorHAnsi" w:cs="TimesNewRoman"/>
        </w:rPr>
        <w:t xml:space="preserve"> of -1 to </w:t>
      </w:r>
      <w:r>
        <w:rPr>
          <w:rFonts w:eastAsiaTheme="minorHAnsi" w:cs="Symbol"/>
        </w:rPr>
        <w:t xml:space="preserve">≥ </w:t>
      </w:r>
      <w:r w:rsidRPr="00F77657">
        <w:rPr>
          <w:rFonts w:eastAsiaTheme="minorHAnsi" w:cs="TimesNewRoman"/>
        </w:rPr>
        <w:t>-2 g/</w:t>
      </w:r>
      <w:proofErr w:type="spellStart"/>
      <w:r w:rsidRPr="00F77657">
        <w:rPr>
          <w:rFonts w:eastAsiaTheme="minorHAnsi" w:cs="TimesNewRoman"/>
        </w:rPr>
        <w:t>dL</w:t>
      </w:r>
      <w:proofErr w:type="spellEnd"/>
      <w:r w:rsidRPr="00F77657">
        <w:rPr>
          <w:rFonts w:eastAsiaTheme="minorHAnsi" w:cs="TimesNewRoman"/>
        </w:rPr>
        <w:t xml:space="preserve"> in all</w:t>
      </w:r>
      <w:r>
        <w:rPr>
          <w:rFonts w:eastAsiaTheme="minorHAnsi" w:cs="TimesNewRoman"/>
        </w:rPr>
        <w:t xml:space="preserve"> </w:t>
      </w:r>
      <w:r w:rsidRPr="00F77657">
        <w:rPr>
          <w:rFonts w:eastAsiaTheme="minorHAnsi" w:cs="TimesNewRoman"/>
        </w:rPr>
        <w:t>treatment groups.</w:t>
      </w:r>
      <w:r>
        <w:rPr>
          <w:rFonts w:eastAsiaTheme="minorHAnsi" w:cs="TimesNewRoman"/>
        </w:rPr>
        <w:t xml:space="preserve"> </w:t>
      </w:r>
      <w:r w:rsidRPr="00F77657">
        <w:rPr>
          <w:rFonts w:eastAsiaTheme="minorHAnsi" w:cs="TimesNewRoman"/>
        </w:rPr>
        <w:t xml:space="preserve">Change from </w:t>
      </w:r>
      <w:r w:rsidR="00CF6A6C">
        <w:rPr>
          <w:rFonts w:eastAsiaTheme="minorHAnsi" w:cs="TimesNewRoman"/>
        </w:rPr>
        <w:t>Baseline</w:t>
      </w:r>
      <w:r w:rsidRPr="00F77657">
        <w:rPr>
          <w:rFonts w:eastAsiaTheme="minorHAnsi" w:cs="TimesNewRoman"/>
        </w:rPr>
        <w:t xml:space="preserve"> haemoglobin of </w:t>
      </w:r>
      <w:r w:rsidR="00226D03">
        <w:rPr>
          <w:rFonts w:eastAsiaTheme="minorHAnsi" w:cs="Symbol"/>
        </w:rPr>
        <w:t>≤ </w:t>
      </w:r>
      <w:r w:rsidRPr="00F77657">
        <w:rPr>
          <w:rFonts w:eastAsiaTheme="minorHAnsi" w:cs="TimesNewRoman"/>
        </w:rPr>
        <w:t xml:space="preserve">-3 or value of </w:t>
      </w:r>
      <w:r>
        <w:rPr>
          <w:rFonts w:eastAsiaTheme="minorHAnsi" w:cs="Symbol"/>
        </w:rPr>
        <w:t xml:space="preserve">≤ </w:t>
      </w:r>
      <w:r w:rsidRPr="00F77657">
        <w:rPr>
          <w:rFonts w:eastAsiaTheme="minorHAnsi" w:cs="TimesNewRoman"/>
        </w:rPr>
        <w:t>7 occurred rarely</w:t>
      </w:r>
      <w:r>
        <w:rPr>
          <w:rFonts w:eastAsiaTheme="minorHAnsi" w:cs="TimesNewRoman"/>
        </w:rPr>
        <w:t>.</w:t>
      </w:r>
    </w:p>
    <w:p w14:paraId="07AEEB16" w14:textId="77777777" w:rsidR="007757F1" w:rsidRDefault="007757F1" w:rsidP="00B7056C">
      <w:r>
        <w:t xml:space="preserve">Anaemia was reported in 17 subjects in Study A3921094: </w:t>
      </w:r>
      <w:r w:rsidRPr="007C5BC8">
        <w:t>11 (2.3%)</w:t>
      </w:r>
      <w:r w:rsidRPr="00D02634">
        <w:t xml:space="preserve"> </w:t>
      </w:r>
      <w:r w:rsidRPr="007C5BC8">
        <w:t xml:space="preserve">subjects in the </w:t>
      </w:r>
      <w:proofErr w:type="spellStart"/>
      <w:r w:rsidRPr="007C5BC8">
        <w:t>tofacitinib</w:t>
      </w:r>
      <w:proofErr w:type="spellEnd"/>
      <w:r w:rsidRPr="007C5BC8">
        <w:t xml:space="preserve"> 10 mg BID group and 6 (4.9%)</w:t>
      </w:r>
      <w:r w:rsidRPr="00D02634">
        <w:t xml:space="preserve"> </w:t>
      </w:r>
      <w:r w:rsidRPr="007C5BC8">
        <w:t>subjects in the</w:t>
      </w:r>
      <w:r>
        <w:t xml:space="preserve"> </w:t>
      </w:r>
      <w:r w:rsidRPr="007C5BC8">
        <w:t>placebo group.</w:t>
      </w:r>
      <w:r w:rsidRPr="00D02634">
        <w:t xml:space="preserve"> </w:t>
      </w:r>
      <w:r>
        <w:t>Fourteen</w:t>
      </w:r>
      <w:r w:rsidRPr="00D031E4">
        <w:t xml:space="preserve"> subjects </w:t>
      </w:r>
      <w:r>
        <w:t>had</w:t>
      </w:r>
      <w:r w:rsidRPr="00D031E4">
        <w:t xml:space="preserve"> anaemia</w:t>
      </w:r>
      <w:r>
        <w:t xml:space="preserve"> in Study A3921095:</w:t>
      </w:r>
      <w:r w:rsidRPr="00D02634">
        <w:t xml:space="preserve"> </w:t>
      </w:r>
      <w:r w:rsidRPr="00D031E4">
        <w:t>11 (2.6%) in the</w:t>
      </w:r>
      <w:r>
        <w:t xml:space="preserve"> </w:t>
      </w:r>
      <w:proofErr w:type="spellStart"/>
      <w:r w:rsidRPr="00D031E4">
        <w:t>tofacitinib</w:t>
      </w:r>
      <w:proofErr w:type="spellEnd"/>
      <w:r w:rsidRPr="00D031E4">
        <w:t xml:space="preserve"> 10 mg BID group and 3 (2.7%) in the placebo group.</w:t>
      </w:r>
      <w:r>
        <w:t xml:space="preserve"> Fifteen </w:t>
      </w:r>
      <w:r w:rsidRPr="00D031E4">
        <w:t xml:space="preserve">subjects </w:t>
      </w:r>
      <w:r>
        <w:t>had</w:t>
      </w:r>
      <w:r w:rsidRPr="00D031E4">
        <w:t xml:space="preserve"> anaemia</w:t>
      </w:r>
      <w:r>
        <w:t xml:space="preserve"> in Study A3921096: </w:t>
      </w:r>
      <w:r w:rsidRPr="00CA3E0B">
        <w:t>8 (4.0%)</w:t>
      </w:r>
      <w:r w:rsidRPr="00D02634">
        <w:t xml:space="preserve"> </w:t>
      </w:r>
      <w:r w:rsidRPr="00CA3E0B">
        <w:t xml:space="preserve">subjects in the </w:t>
      </w:r>
      <w:proofErr w:type="spellStart"/>
      <w:r w:rsidRPr="00CA3E0B">
        <w:t>tofacitinib</w:t>
      </w:r>
      <w:proofErr w:type="spellEnd"/>
      <w:r w:rsidRPr="00CA3E0B">
        <w:t xml:space="preserve"> 5 mg</w:t>
      </w:r>
      <w:r>
        <w:t xml:space="preserve"> </w:t>
      </w:r>
      <w:r w:rsidRPr="00CA3E0B">
        <w:t>BID group</w:t>
      </w:r>
      <w:r>
        <w:t>,</w:t>
      </w:r>
      <w:r w:rsidRPr="00CA3E0B">
        <w:t xml:space="preserve"> 4 (2.0%)</w:t>
      </w:r>
      <w:r w:rsidRPr="00D02634">
        <w:t xml:space="preserve"> </w:t>
      </w:r>
      <w:r w:rsidRPr="00CA3E0B">
        <w:t xml:space="preserve">subjects in the </w:t>
      </w:r>
      <w:proofErr w:type="spellStart"/>
      <w:r w:rsidRPr="00CA3E0B">
        <w:t>tofacitinib</w:t>
      </w:r>
      <w:proofErr w:type="spellEnd"/>
      <w:r w:rsidRPr="00CA3E0B">
        <w:t xml:space="preserve"> 10 mg BID group, and 3 (1.5%)</w:t>
      </w:r>
      <w:r w:rsidRPr="00D02634">
        <w:t xml:space="preserve"> </w:t>
      </w:r>
      <w:r w:rsidRPr="00CA3E0B">
        <w:t>subjects in the placebo group.</w:t>
      </w:r>
      <w:r>
        <w:t xml:space="preserve"> One case of severe anaemia was </w:t>
      </w:r>
      <w:r>
        <w:lastRenderedPageBreak/>
        <w:t xml:space="preserve">reported in Study A3921096 in the </w:t>
      </w:r>
      <w:proofErr w:type="spellStart"/>
      <w:r>
        <w:t>tofacitinib</w:t>
      </w:r>
      <w:proofErr w:type="spellEnd"/>
      <w:r>
        <w:t xml:space="preserve"> 10 mg treatment group (and met the criteria for study discontinuation).</w:t>
      </w:r>
    </w:p>
    <w:p w14:paraId="5C7D5613" w14:textId="761B4008" w:rsidR="007757F1" w:rsidRDefault="007757F1" w:rsidP="00B7056C">
      <w:r>
        <w:t xml:space="preserve">Six subjects in the </w:t>
      </w:r>
      <w:r w:rsidR="00B7366A">
        <w:t>Phase</w:t>
      </w:r>
      <w:r>
        <w:t xml:space="preserve"> III induction program</w:t>
      </w:r>
      <w:r w:rsidRPr="00C43382">
        <w:t xml:space="preserve"> </w:t>
      </w:r>
      <w:r>
        <w:t>had two sequential haemoglobin values &lt;</w:t>
      </w:r>
      <w:r w:rsidR="005D22FA">
        <w:t> </w:t>
      </w:r>
      <w:r>
        <w:t>8.0 g/</w:t>
      </w:r>
      <w:proofErr w:type="spellStart"/>
      <w:r>
        <w:t>dL</w:t>
      </w:r>
      <w:proofErr w:type="spellEnd"/>
      <w:r>
        <w:t xml:space="preserve"> or a decrease from </w:t>
      </w:r>
      <w:r w:rsidR="00CF6A6C">
        <w:t>Baseline</w:t>
      </w:r>
      <w:r>
        <w:t xml:space="preserve"> of &gt; 30% and therefore met the criteria for discontinuation: 1 (0.8%) subject in the placebo group in Study A3921094 and 5 (1.2%) subjects in Study A3921095 (all in the </w:t>
      </w:r>
      <w:proofErr w:type="spellStart"/>
      <w:r>
        <w:t>tofacitinib</w:t>
      </w:r>
      <w:proofErr w:type="spellEnd"/>
      <w:r>
        <w:t xml:space="preserve"> 10 mg BID treatment group). In the long-term extension study (A3921139), </w:t>
      </w:r>
      <w:r w:rsidRPr="00BD5C38">
        <w:t xml:space="preserve">6 subjects in the </w:t>
      </w:r>
      <w:proofErr w:type="spellStart"/>
      <w:r w:rsidRPr="00BD5C38">
        <w:t>tofacitinib</w:t>
      </w:r>
      <w:proofErr w:type="spellEnd"/>
      <w:r w:rsidRPr="00BD5C38">
        <w:t xml:space="preserve"> 10 mg BID group</w:t>
      </w:r>
      <w:r>
        <w:t xml:space="preserve"> met the discontinuation criteria compared with none in </w:t>
      </w:r>
      <w:r w:rsidR="00B7056C">
        <w:t xml:space="preserve">the </w:t>
      </w:r>
      <w:proofErr w:type="spellStart"/>
      <w:r w:rsidR="00B7056C">
        <w:t>tofacitinib</w:t>
      </w:r>
      <w:proofErr w:type="spellEnd"/>
      <w:r w:rsidR="00B7056C">
        <w:t xml:space="preserve"> 5 mg BID group.</w:t>
      </w:r>
    </w:p>
    <w:p w14:paraId="4F5C01C0" w14:textId="4EB2C9E0" w:rsidR="007757F1" w:rsidRDefault="007757F1" w:rsidP="00B7056C">
      <w:r>
        <w:t xml:space="preserve">In Study A3921139, without regard to </w:t>
      </w:r>
      <w:r w:rsidR="005D22FA">
        <w:t>b</w:t>
      </w:r>
      <w:r w:rsidR="00CF6A6C">
        <w:t>aseline</w:t>
      </w:r>
      <w:r>
        <w:t xml:space="preserve"> abnormality, </w:t>
      </w:r>
      <w:proofErr w:type="spellStart"/>
      <w:r>
        <w:t>tofacitinib</w:t>
      </w:r>
      <w:proofErr w:type="spellEnd"/>
      <w:r>
        <w:t xml:space="preserve"> 10 mg BID had higher incidence of haemoglobin (and haematocrit) abnormalities than </w:t>
      </w:r>
      <w:proofErr w:type="spellStart"/>
      <w:r>
        <w:t>tofacitinib</w:t>
      </w:r>
      <w:proofErr w:type="spellEnd"/>
      <w:r>
        <w:t xml:space="preserve"> 5 mg </w:t>
      </w:r>
      <w:r w:rsidR="00F14B34">
        <w:t>that is,</w:t>
      </w:r>
      <w:r>
        <w:t xml:space="preserve"> 11.7% </w:t>
      </w:r>
      <w:r w:rsidR="009D375F">
        <w:t>versus</w:t>
      </w:r>
      <w:r>
        <w:t xml:space="preserve"> 1.3%, respectively (and 5.9% </w:t>
      </w:r>
      <w:r w:rsidR="009D375F">
        <w:t>versus</w:t>
      </w:r>
      <w:r>
        <w:t xml:space="preserve"> 0.6%, respectively for haematocrit abnormalities). </w:t>
      </w:r>
      <w:proofErr w:type="spellStart"/>
      <w:r>
        <w:t>Tofacitinib</w:t>
      </w:r>
      <w:proofErr w:type="spellEnd"/>
      <w:r>
        <w:t xml:space="preserve"> 10 mg subjects generally had higher incidence of</w:t>
      </w:r>
      <w:r w:rsidRPr="00403529">
        <w:t xml:space="preserve"> </w:t>
      </w:r>
      <w:r>
        <w:t xml:space="preserve">more severe categories of haemoglobin reductions than </w:t>
      </w:r>
      <w:proofErr w:type="spellStart"/>
      <w:r>
        <w:t>tofacitinib</w:t>
      </w:r>
      <w:proofErr w:type="spellEnd"/>
      <w:r>
        <w:t xml:space="preserve"> 5 mg subjects over the first 24 months of the study.</w:t>
      </w:r>
    </w:p>
    <w:p w14:paraId="17BBFD57" w14:textId="77777777" w:rsidR="007757F1" w:rsidRDefault="007757F1" w:rsidP="00B7056C">
      <w:pPr>
        <w:pStyle w:val="Heading5"/>
      </w:pPr>
      <w:bookmarkStart w:id="138" w:name="_Toc272414674"/>
      <w:bookmarkStart w:id="139" w:name="_Toc290888538"/>
      <w:bookmarkStart w:id="140" w:name="_Toc416353753"/>
      <w:bookmarkStart w:id="141" w:name="_Toc421005296"/>
      <w:bookmarkStart w:id="142" w:name="_Toc432079173"/>
      <w:bookmarkStart w:id="143" w:name="_Toc432080746"/>
      <w:r w:rsidRPr="00545B14">
        <w:t>Other laboratory test</w:t>
      </w:r>
      <w:bookmarkEnd w:id="138"/>
      <w:bookmarkEnd w:id="139"/>
      <w:bookmarkEnd w:id="140"/>
      <w:bookmarkEnd w:id="141"/>
      <w:bookmarkEnd w:id="142"/>
      <w:bookmarkEnd w:id="143"/>
      <w:r>
        <w:t>s</w:t>
      </w:r>
    </w:p>
    <w:p w14:paraId="21F2BD3C" w14:textId="77777777" w:rsidR="00B7056C" w:rsidRPr="00B7056C" w:rsidRDefault="00B7056C" w:rsidP="00B7056C">
      <w:pPr>
        <w:pStyle w:val="Heading6"/>
        <w:rPr>
          <w:lang w:eastAsia="ja-JP"/>
        </w:rPr>
      </w:pPr>
      <w:r w:rsidRPr="00B0715F">
        <w:rPr>
          <w:lang w:eastAsia="ja-JP"/>
        </w:rPr>
        <w:t>Lipids</w:t>
      </w:r>
    </w:p>
    <w:p w14:paraId="78527D56" w14:textId="77777777" w:rsidR="007757F1" w:rsidRPr="00C2074B" w:rsidRDefault="007757F1" w:rsidP="00B7056C">
      <w:pPr>
        <w:pStyle w:val="Heading7"/>
      </w:pPr>
      <w:r w:rsidRPr="00C2074B">
        <w:t>Pivotal and/or main efficacy studies</w:t>
      </w:r>
    </w:p>
    <w:p w14:paraId="0F9F4495" w14:textId="26947645" w:rsidR="005F7896" w:rsidRDefault="007757F1" w:rsidP="00B7056C">
      <w:r>
        <w:rPr>
          <w:lang w:eastAsia="ja-JP"/>
        </w:rPr>
        <w:t xml:space="preserve">In Study A3921094, </w:t>
      </w:r>
      <w:r w:rsidRPr="00AF508F">
        <w:t xml:space="preserve">mean percent increases from </w:t>
      </w:r>
      <w:r w:rsidR="00CF6A6C">
        <w:t>Baseline</w:t>
      </w:r>
      <w:r w:rsidRPr="00AF508F">
        <w:t xml:space="preserve"> at Week 8 in total</w:t>
      </w:r>
      <w:r>
        <w:t xml:space="preserve"> </w:t>
      </w:r>
      <w:r w:rsidRPr="00AF508F">
        <w:t xml:space="preserve">cholesterol, LDL, and HDL were greater for the </w:t>
      </w:r>
      <w:proofErr w:type="spellStart"/>
      <w:r w:rsidRPr="00AF508F">
        <w:t>tofacitinib</w:t>
      </w:r>
      <w:proofErr w:type="spellEnd"/>
      <w:r w:rsidRPr="00AF508F">
        <w:t xml:space="preserve"> 10 mg BID treatment group (total</w:t>
      </w:r>
      <w:r>
        <w:t xml:space="preserve"> </w:t>
      </w:r>
      <w:r w:rsidRPr="00AF508F">
        <w:t>cholesterol 16.4%; LDL 16.3%; HDL 25.2%) compared with placebo (total cholesterol 4.2%;</w:t>
      </w:r>
      <w:r>
        <w:t xml:space="preserve"> </w:t>
      </w:r>
      <w:r w:rsidRPr="00AF508F">
        <w:t>LDL 6.4%; HDL 4.5%)</w:t>
      </w:r>
      <w:r w:rsidR="005F7896">
        <w:t>.</w:t>
      </w:r>
    </w:p>
    <w:p w14:paraId="6C16B0D0" w14:textId="7C08B462" w:rsidR="007757F1" w:rsidRPr="00AF508F" w:rsidRDefault="007757F1" w:rsidP="00B7056C">
      <w:r w:rsidRPr="00AF508F">
        <w:t xml:space="preserve">Differences from placebo in adjusted mean changes from </w:t>
      </w:r>
      <w:r w:rsidR="00CF6A6C">
        <w:t>Baseline</w:t>
      </w:r>
      <w:r w:rsidRPr="00AF508F">
        <w:t xml:space="preserve"> were significant at</w:t>
      </w:r>
      <w:r>
        <w:t xml:space="preserve"> </w:t>
      </w:r>
      <w:r w:rsidRPr="00AF508F">
        <w:t>Week 4</w:t>
      </w:r>
      <w:r>
        <w:t xml:space="preserve"> </w:t>
      </w:r>
      <w:r w:rsidRPr="00AF508F">
        <w:t>and Week 8 fo</w:t>
      </w:r>
      <w:r>
        <w:t>r t</w:t>
      </w:r>
      <w:r w:rsidRPr="005E62CD">
        <w:t>otal cholesterol (both p &lt; 0.0001);</w:t>
      </w:r>
      <w:r>
        <w:t xml:space="preserve"> </w:t>
      </w:r>
      <w:r w:rsidRPr="005E62CD">
        <w:t>HDL (both p &lt; 0.0001);</w:t>
      </w:r>
      <w:r>
        <w:t xml:space="preserve"> </w:t>
      </w:r>
      <w:r w:rsidR="00EF7201">
        <w:t>LDL (p </w:t>
      </w:r>
      <w:r w:rsidRPr="005E62CD">
        <w:t>= 0.0002 and p &lt; 0.0001, respectively);</w:t>
      </w:r>
      <w:r>
        <w:t xml:space="preserve"> </w:t>
      </w:r>
      <w:r w:rsidRPr="005E62CD">
        <w:t xml:space="preserve">Total cholesterol/HDL ratio (p&lt; 0.0001 and </w:t>
      </w:r>
      <w:r w:rsidR="00EF7201">
        <w:t>p = </w:t>
      </w:r>
      <w:r w:rsidRPr="005E62CD">
        <w:t>0.0008, respectively); and</w:t>
      </w:r>
      <w:r>
        <w:t xml:space="preserve"> </w:t>
      </w:r>
      <w:r w:rsidRPr="005E62CD">
        <w:t xml:space="preserve">LDL/HDL ratio (p &lt; 0.0001 and p = 0.0001). </w:t>
      </w:r>
      <w:r w:rsidRPr="00AF508F">
        <w:t>Differences for triglycerides were not statistically significant at</w:t>
      </w:r>
      <w:r>
        <w:t xml:space="preserve"> </w:t>
      </w:r>
      <w:r w:rsidRPr="00AF508F">
        <w:t>Week 4 or Week 8.</w:t>
      </w:r>
    </w:p>
    <w:p w14:paraId="3D8A0D9B" w14:textId="6489BD35" w:rsidR="007757F1" w:rsidRPr="00DC17AA" w:rsidRDefault="007757F1" w:rsidP="00B7056C">
      <w:r w:rsidRPr="00AF508F">
        <w:t xml:space="preserve">Abnormal </w:t>
      </w:r>
      <w:r w:rsidR="005D22FA">
        <w:t>b</w:t>
      </w:r>
      <w:r w:rsidR="00CF6A6C">
        <w:t>aseline</w:t>
      </w:r>
      <w:r w:rsidRPr="00AF508F">
        <w:t xml:space="preserve"> total cholesterol (&gt;</w:t>
      </w:r>
      <w:r>
        <w:t xml:space="preserve"> </w:t>
      </w:r>
      <w:r w:rsidRPr="00AF508F">
        <w:t xml:space="preserve">1.3 </w:t>
      </w:r>
      <w:r w:rsidR="00EF7201">
        <w:t>times</w:t>
      </w:r>
      <w:r w:rsidRPr="00AF508F">
        <w:t xml:space="preserve"> ULN), LDL (&gt;</w:t>
      </w:r>
      <w:r>
        <w:t xml:space="preserve"> </w:t>
      </w:r>
      <w:r w:rsidRPr="00AF508F">
        <w:t xml:space="preserve">1.2 </w:t>
      </w:r>
      <w:r w:rsidR="00EF7201">
        <w:t xml:space="preserve">times ULN), and HDL </w:t>
      </w:r>
      <w:r w:rsidRPr="00AF508F">
        <w:t>(&lt;</w:t>
      </w:r>
      <w:r w:rsidR="00EF7201">
        <w:t> </w:t>
      </w:r>
      <w:r w:rsidRPr="00AF508F">
        <w:t xml:space="preserve">0.8 </w:t>
      </w:r>
      <w:r w:rsidR="00EF7201">
        <w:t>times</w:t>
      </w:r>
      <w:r w:rsidRPr="00AF508F">
        <w:t xml:space="preserve"> </w:t>
      </w:r>
      <w:r w:rsidR="00EF7201">
        <w:t>LLN</w:t>
      </w:r>
      <w:r w:rsidRPr="00AF508F">
        <w:t>) occurred in 15.9%, 42.5% and 1.8%, respectively, of</w:t>
      </w:r>
      <w:r>
        <w:t xml:space="preserve"> </w:t>
      </w:r>
      <w:r w:rsidR="00EF7201">
        <w:t xml:space="preserve">the </w:t>
      </w:r>
      <w:proofErr w:type="spellStart"/>
      <w:r w:rsidR="00EF7201">
        <w:t>tofacitinib</w:t>
      </w:r>
      <w:proofErr w:type="spellEnd"/>
      <w:r w:rsidR="00EF7201">
        <w:t xml:space="preserve"> 10 </w:t>
      </w:r>
      <w:r w:rsidRPr="00AF508F">
        <w:t>mg BID group, and in 0.0%, 9.1% and 0.0%, respectively, of the placebo</w:t>
      </w:r>
      <w:r>
        <w:t xml:space="preserve"> </w:t>
      </w:r>
      <w:r w:rsidRPr="00AF508F">
        <w:t>group.</w:t>
      </w:r>
      <w:r>
        <w:t xml:space="preserve"> </w:t>
      </w:r>
      <w:r w:rsidRPr="00AF508F">
        <w:t>In all subjects,</w:t>
      </w:r>
      <w:r>
        <w:t xml:space="preserve"> </w:t>
      </w:r>
      <w:r w:rsidRPr="00AF508F">
        <w:t xml:space="preserve">regardless of </w:t>
      </w:r>
      <w:r w:rsidR="005D22FA">
        <w:t>b</w:t>
      </w:r>
      <w:r w:rsidR="00CF6A6C">
        <w:t>aseline</w:t>
      </w:r>
      <w:r w:rsidRPr="00AF508F">
        <w:t xml:space="preserve"> value, a greater proportion of subjects in the </w:t>
      </w:r>
      <w:proofErr w:type="spellStart"/>
      <w:r w:rsidR="00EF7201">
        <w:t>tofacitinib</w:t>
      </w:r>
      <w:proofErr w:type="spellEnd"/>
      <w:r w:rsidR="00EF7201">
        <w:t xml:space="preserve"> 10 </w:t>
      </w:r>
      <w:r w:rsidRPr="00AF508F">
        <w:t>mg BID</w:t>
      </w:r>
      <w:r>
        <w:t xml:space="preserve"> </w:t>
      </w:r>
      <w:r w:rsidRPr="00AF508F">
        <w:t>group (17.0%) had total cholesterol values &gt;</w:t>
      </w:r>
      <w:r w:rsidR="00EF7201">
        <w:t xml:space="preserve"> </w:t>
      </w:r>
      <w:r w:rsidRPr="00AF508F">
        <w:t xml:space="preserve">1.3 </w:t>
      </w:r>
      <w:r w:rsidR="00EF7201">
        <w:t>times</w:t>
      </w:r>
      <w:r w:rsidRPr="00AF508F">
        <w:t xml:space="preserve"> ULN, compared with placebo group</w:t>
      </w:r>
      <w:r w:rsidR="005F7896">
        <w:t xml:space="preserve"> </w:t>
      </w:r>
      <w:r w:rsidRPr="00AF508F">
        <w:t>(9.0%). LDL cholesterol values &gt;</w:t>
      </w:r>
      <w:r w:rsidR="00EF7201">
        <w:t xml:space="preserve"> </w:t>
      </w:r>
      <w:r w:rsidRPr="00AF508F">
        <w:t xml:space="preserve">1.2 </w:t>
      </w:r>
      <w:r w:rsidR="00EF7201">
        <w:t>times</w:t>
      </w:r>
      <w:r w:rsidRPr="00AF508F">
        <w:t xml:space="preserve"> ULN occurred more in the </w:t>
      </w:r>
      <w:proofErr w:type="spellStart"/>
      <w:r w:rsidRPr="00AF508F">
        <w:t>tofacitinib</w:t>
      </w:r>
      <w:proofErr w:type="spellEnd"/>
      <w:r w:rsidRPr="00AF508F">
        <w:t xml:space="preserve"> 10 mg BID</w:t>
      </w:r>
      <w:r>
        <w:t xml:space="preserve"> </w:t>
      </w:r>
      <w:r w:rsidRPr="00AF508F">
        <w:t>group (19.3%) compared with placebo group (9.0%). Triglyceride values &gt;</w:t>
      </w:r>
      <w:r w:rsidR="00EF7201">
        <w:t xml:space="preserve"> </w:t>
      </w:r>
      <w:r w:rsidRPr="00AF508F">
        <w:t xml:space="preserve">1.3 </w:t>
      </w:r>
      <w:r w:rsidR="00EF7201">
        <w:t>times</w:t>
      </w:r>
      <w:r w:rsidRPr="00AF508F">
        <w:t xml:space="preserve"> ULN</w:t>
      </w:r>
      <w:r>
        <w:t xml:space="preserve"> </w:t>
      </w:r>
      <w:r w:rsidRPr="00AF508F">
        <w:t xml:space="preserve">occurred in 3.2% of the </w:t>
      </w:r>
      <w:proofErr w:type="spellStart"/>
      <w:r w:rsidRPr="00AF508F">
        <w:t>tofacitinib</w:t>
      </w:r>
      <w:proofErr w:type="spellEnd"/>
      <w:r w:rsidRPr="00AF508F">
        <w:t xml:space="preserve"> 10 mg BID group, compared with 0.8% of the placebo</w:t>
      </w:r>
      <w:r>
        <w:t xml:space="preserve"> </w:t>
      </w:r>
      <w:r w:rsidRPr="00AF508F">
        <w:t>group. HDL cholesterol values &lt;</w:t>
      </w:r>
      <w:r>
        <w:t xml:space="preserve"> </w:t>
      </w:r>
      <w:r w:rsidRPr="00AF508F">
        <w:t xml:space="preserve">0.8 </w:t>
      </w:r>
      <w:r w:rsidR="00EF7201">
        <w:t>times</w:t>
      </w:r>
      <w:r w:rsidRPr="00AF508F">
        <w:t xml:space="preserve"> LLN occurred in 1.3% of the </w:t>
      </w:r>
      <w:proofErr w:type="spellStart"/>
      <w:r w:rsidRPr="00AF508F">
        <w:t>tofacitinib</w:t>
      </w:r>
      <w:proofErr w:type="spellEnd"/>
      <w:r w:rsidRPr="00AF508F">
        <w:t xml:space="preserve"> 10 mg BID</w:t>
      </w:r>
      <w:r>
        <w:t xml:space="preserve"> </w:t>
      </w:r>
      <w:r w:rsidRPr="00AF508F">
        <w:t>group, compared with 1.6% of the placebo group.</w:t>
      </w:r>
      <w:r>
        <w:t xml:space="preserve"> </w:t>
      </w:r>
      <w:r w:rsidRPr="00DC17AA">
        <w:t>More subjects were</w:t>
      </w:r>
      <w:r w:rsidR="00EF7201">
        <w:t xml:space="preserve"> taking lipid </w:t>
      </w:r>
      <w:r w:rsidRPr="00DC17AA">
        <w:t xml:space="preserve">lowering agents at </w:t>
      </w:r>
      <w:r w:rsidR="00CF6A6C">
        <w:t>Baseline</w:t>
      </w:r>
      <w:r w:rsidRPr="00DC17AA">
        <w:t xml:space="preserve"> in the</w:t>
      </w:r>
      <w:r>
        <w:t xml:space="preserve"> </w:t>
      </w:r>
      <w:proofErr w:type="spellStart"/>
      <w:r w:rsidRPr="00DC17AA">
        <w:t>tofacitinib</w:t>
      </w:r>
      <w:proofErr w:type="spellEnd"/>
      <w:r w:rsidRPr="00DC17AA">
        <w:t xml:space="preserve"> 10 mg BID treatment group (7.14%) compared with placebo (4.92%).</w:t>
      </w:r>
    </w:p>
    <w:p w14:paraId="7438B877" w14:textId="5EC20DE9" w:rsidR="007757F1" w:rsidRPr="000E621E" w:rsidRDefault="007757F1" w:rsidP="00B7056C">
      <w:pPr>
        <w:rPr>
          <w:lang w:eastAsia="ja-JP"/>
        </w:rPr>
      </w:pPr>
      <w:r w:rsidRPr="000E621E">
        <w:rPr>
          <w:lang w:eastAsia="ja-JP"/>
        </w:rPr>
        <w:t>In Study A3921095,</w:t>
      </w:r>
      <w:r w:rsidRPr="000E621E">
        <w:t xml:space="preserve"> mean increases from </w:t>
      </w:r>
      <w:r w:rsidR="00CF6A6C">
        <w:t>Baseline</w:t>
      </w:r>
      <w:r w:rsidRPr="000E621E">
        <w:t xml:space="preserve"> at Week 8 in total cholesterol, LDL, and HDL were greater for the </w:t>
      </w:r>
      <w:proofErr w:type="spellStart"/>
      <w:r w:rsidRPr="000E621E">
        <w:t>tofacitinib</w:t>
      </w:r>
      <w:proofErr w:type="spellEnd"/>
      <w:r w:rsidRPr="000E621E">
        <w:t xml:space="preserve"> 10 mg BID treatment group (total cholesterol 19.2%; LDL 20.9%; HDL 25.5%) compared with placebo (total cholesterol 4.5%; LDL 5.6%; HDL 5.5%). The mean changes from </w:t>
      </w:r>
      <w:r w:rsidR="00CF6A6C">
        <w:t>Baseline</w:t>
      </w:r>
      <w:r w:rsidRPr="000E621E">
        <w:t xml:space="preserve"> at Week 8 for the cholesterol/HDL ratio and for the LDL/HDL ratio were -3.0% and -0.9%, respectively, for the </w:t>
      </w:r>
      <w:proofErr w:type="spellStart"/>
      <w:r w:rsidRPr="000E621E">
        <w:t>tofacitinib</w:t>
      </w:r>
      <w:proofErr w:type="spellEnd"/>
      <w:r w:rsidRPr="000E621E">
        <w:t xml:space="preserve"> 10 mg BID group, and 0.7% and 1.8%, respectively, for the placebo group.</w:t>
      </w:r>
    </w:p>
    <w:p w14:paraId="3F09A02C" w14:textId="5F10D823" w:rsidR="007757F1" w:rsidRDefault="007757F1" w:rsidP="00B7056C">
      <w:r w:rsidRPr="000E621E">
        <w:t xml:space="preserve">Differences from placebo in adjusted mean changes from </w:t>
      </w:r>
      <w:r w:rsidR="00CF6A6C">
        <w:t>Baseline</w:t>
      </w:r>
      <w:r w:rsidRPr="000E621E">
        <w:t xml:space="preserve"> were significant at Week 4 and Week 8 for: Total cholesterol (p &lt; 0.0001) and HDL (p &lt; 0.0001); and </w:t>
      </w:r>
      <w:r w:rsidR="00EF7201" w:rsidRPr="000E621E">
        <w:t>LDL (p &lt; </w:t>
      </w:r>
      <w:r w:rsidRPr="000E621E">
        <w:t>0.0001), but not triglycerides</w:t>
      </w:r>
      <w:r w:rsidR="005F7896" w:rsidRPr="000E621E">
        <w:t>.</w:t>
      </w:r>
    </w:p>
    <w:p w14:paraId="6F528409" w14:textId="6935D592" w:rsidR="007757F1" w:rsidRPr="000057CE" w:rsidRDefault="007757F1" w:rsidP="00B7056C">
      <w:r w:rsidRPr="000057CE">
        <w:t xml:space="preserve">Abnormal </w:t>
      </w:r>
      <w:r w:rsidR="005D22FA">
        <w:t>b</w:t>
      </w:r>
      <w:r w:rsidR="00CF6A6C">
        <w:t>aseline</w:t>
      </w:r>
      <w:r w:rsidRPr="000057CE">
        <w:t xml:space="preserve"> total cholesterol (&gt;</w:t>
      </w:r>
      <w:r>
        <w:t xml:space="preserve"> </w:t>
      </w:r>
      <w:r w:rsidRPr="000057CE">
        <w:t xml:space="preserve">1.3 </w:t>
      </w:r>
      <w:r w:rsidR="00EF7201">
        <w:t>times</w:t>
      </w:r>
      <w:r w:rsidRPr="000057CE">
        <w:t xml:space="preserve"> ULN), LDL (&gt;</w:t>
      </w:r>
      <w:r>
        <w:t xml:space="preserve"> </w:t>
      </w:r>
      <w:r w:rsidRPr="000057CE">
        <w:t xml:space="preserve">1.2 </w:t>
      </w:r>
      <w:r w:rsidR="00EF7201">
        <w:t>times</w:t>
      </w:r>
      <w:r w:rsidRPr="000057CE">
        <w:t xml:space="preserve"> ULN), and HDL (&lt;</w:t>
      </w:r>
      <w:r w:rsidR="000E621E">
        <w:t> </w:t>
      </w:r>
      <w:r w:rsidRPr="000057CE">
        <w:t xml:space="preserve">0.8 </w:t>
      </w:r>
      <w:r w:rsidR="00EF7201">
        <w:t>times</w:t>
      </w:r>
      <w:r w:rsidRPr="000057CE">
        <w:t xml:space="preserve"> </w:t>
      </w:r>
      <w:r w:rsidR="000E621E">
        <w:t>LLN</w:t>
      </w:r>
      <w:r w:rsidRPr="000057CE">
        <w:t xml:space="preserve">) occurred in 15.5%, 44.4%, and 0.0%, respectively, of the </w:t>
      </w:r>
      <w:proofErr w:type="spellStart"/>
      <w:r w:rsidRPr="000057CE">
        <w:t>tofacitinib</w:t>
      </w:r>
      <w:proofErr w:type="spellEnd"/>
      <w:r w:rsidRPr="000057CE">
        <w:t xml:space="preserve"> </w:t>
      </w:r>
      <w:r w:rsidRPr="000057CE">
        <w:lastRenderedPageBreak/>
        <w:t>10</w:t>
      </w:r>
      <w:r w:rsidR="000E621E">
        <w:t> </w:t>
      </w:r>
      <w:r w:rsidRPr="000057CE">
        <w:t>mg BID group, and in 2.9%, 4.8%, and 0.0%, respectively, of the placebo group. In all subjects,</w:t>
      </w:r>
      <w:r>
        <w:t xml:space="preserve"> </w:t>
      </w:r>
      <w:r w:rsidRPr="000057CE">
        <w:t xml:space="preserve">regardless of </w:t>
      </w:r>
      <w:r w:rsidR="005D22FA">
        <w:t>b</w:t>
      </w:r>
      <w:r w:rsidR="00CF6A6C">
        <w:t>aseline</w:t>
      </w:r>
      <w:r w:rsidRPr="000057CE">
        <w:t xml:space="preserve"> value, a greater proportion of</w:t>
      </w:r>
      <w:r w:rsidR="000E621E">
        <w:t xml:space="preserve"> subjects in the </w:t>
      </w:r>
      <w:proofErr w:type="spellStart"/>
      <w:r w:rsidR="000E621E">
        <w:t>tofacitinib</w:t>
      </w:r>
      <w:proofErr w:type="spellEnd"/>
      <w:r w:rsidR="000E621E">
        <w:t xml:space="preserve"> 10 </w:t>
      </w:r>
      <w:r w:rsidRPr="000057CE">
        <w:t>mg BID</w:t>
      </w:r>
      <w:r>
        <w:t xml:space="preserve"> </w:t>
      </w:r>
      <w:r w:rsidRPr="000057CE">
        <w:t>group (17.2%) had total cholesterol values &gt;</w:t>
      </w:r>
      <w:r w:rsidR="000E621E">
        <w:t xml:space="preserve"> </w:t>
      </w:r>
      <w:r w:rsidRPr="000057CE">
        <w:t xml:space="preserve">1.3 </w:t>
      </w:r>
      <w:r w:rsidR="00EF7201">
        <w:t>times</w:t>
      </w:r>
      <w:r w:rsidRPr="000057CE">
        <w:t xml:space="preserve"> ULN, compared with placebo group</w:t>
      </w:r>
      <w:r>
        <w:t xml:space="preserve"> </w:t>
      </w:r>
      <w:r w:rsidRPr="000057CE">
        <w:t>(5.4%). LDL cholesterol values &gt;</w:t>
      </w:r>
      <w:r>
        <w:t xml:space="preserve"> </w:t>
      </w:r>
      <w:r w:rsidRPr="000057CE">
        <w:t xml:space="preserve">1.2 </w:t>
      </w:r>
      <w:r w:rsidR="00EF7201">
        <w:t>times</w:t>
      </w:r>
      <w:r w:rsidRPr="000057CE">
        <w:t xml:space="preserve"> ULN occurred more in the </w:t>
      </w:r>
      <w:proofErr w:type="spellStart"/>
      <w:r w:rsidRPr="000057CE">
        <w:t>tofacitinib</w:t>
      </w:r>
      <w:proofErr w:type="spellEnd"/>
      <w:r w:rsidRPr="000057CE">
        <w:t xml:space="preserve"> 10 mg BID</w:t>
      </w:r>
      <w:r>
        <w:t xml:space="preserve"> </w:t>
      </w:r>
      <w:r w:rsidRPr="000057CE">
        <w:t>group (21.7%) compared with placebo group (10.8%). Triglyceride values &gt;</w:t>
      </w:r>
      <w:r>
        <w:t xml:space="preserve"> </w:t>
      </w:r>
      <w:r w:rsidRPr="000057CE">
        <w:t xml:space="preserve">1.3 </w:t>
      </w:r>
      <w:r w:rsidR="00EF7201">
        <w:t>times</w:t>
      </w:r>
      <w:r w:rsidR="000E621E">
        <w:t xml:space="preserve"> </w:t>
      </w:r>
      <w:r w:rsidRPr="000057CE">
        <w:t>ULN</w:t>
      </w:r>
      <w:r>
        <w:t xml:space="preserve"> </w:t>
      </w:r>
      <w:r w:rsidRPr="000057CE">
        <w:t xml:space="preserve">occurred in 2.8% of the </w:t>
      </w:r>
      <w:proofErr w:type="spellStart"/>
      <w:r w:rsidRPr="000057CE">
        <w:t>tofacitinib</w:t>
      </w:r>
      <w:proofErr w:type="spellEnd"/>
      <w:r w:rsidRPr="000057CE">
        <w:t xml:space="preserve"> 10 mg BID group, compared with 1.8% of the placebo</w:t>
      </w:r>
      <w:r>
        <w:t xml:space="preserve"> </w:t>
      </w:r>
      <w:r w:rsidRPr="000057CE">
        <w:t>group. HDL cholesterol values &lt;</w:t>
      </w:r>
      <w:r>
        <w:t xml:space="preserve"> </w:t>
      </w:r>
      <w:r w:rsidRPr="000057CE">
        <w:t xml:space="preserve">0.8 </w:t>
      </w:r>
      <w:r w:rsidR="00EF7201">
        <w:t>times</w:t>
      </w:r>
      <w:r w:rsidRPr="000057CE">
        <w:t xml:space="preserve"> LLN occurred in 1.7% of the </w:t>
      </w:r>
      <w:proofErr w:type="spellStart"/>
      <w:r w:rsidRPr="000057CE">
        <w:t>tofacitinib</w:t>
      </w:r>
      <w:proofErr w:type="spellEnd"/>
      <w:r w:rsidRPr="000057CE">
        <w:t xml:space="preserve"> 10 mg BID</w:t>
      </w:r>
      <w:r>
        <w:t xml:space="preserve"> </w:t>
      </w:r>
      <w:r w:rsidRPr="000057CE">
        <w:t xml:space="preserve">group, compared </w:t>
      </w:r>
      <w:r w:rsidR="00B7056C">
        <w:t>with 0.9% of the placebo group.</w:t>
      </w:r>
    </w:p>
    <w:p w14:paraId="4BA0351F" w14:textId="3A7EE1CB" w:rsidR="007757F1" w:rsidRDefault="007757F1" w:rsidP="00B7056C">
      <w:r w:rsidRPr="000057CE">
        <w:t xml:space="preserve">Similar proportions of subjects were taking lipid-lowering agents at </w:t>
      </w:r>
      <w:r w:rsidR="00CF6A6C">
        <w:t>Baseline</w:t>
      </w:r>
      <w:r w:rsidRPr="000057CE">
        <w:t xml:space="preserve"> in the </w:t>
      </w:r>
      <w:proofErr w:type="spellStart"/>
      <w:r w:rsidRPr="000057CE">
        <w:t>tofacitinib</w:t>
      </w:r>
      <w:proofErr w:type="spellEnd"/>
      <w:r w:rsidRPr="000057CE">
        <w:t xml:space="preserve"> 10 mg BID treatment group (5.83%) compared with placebo (4.46%).</w:t>
      </w:r>
    </w:p>
    <w:p w14:paraId="5C22B6CF" w14:textId="27A6E567" w:rsidR="007757F1" w:rsidRPr="00AF570B" w:rsidRDefault="007757F1" w:rsidP="00B7056C">
      <w:pPr>
        <w:rPr>
          <w:lang w:eastAsia="ja-JP"/>
        </w:rPr>
      </w:pPr>
      <w:r w:rsidRPr="00824977">
        <w:rPr>
          <w:lang w:eastAsia="ja-JP"/>
        </w:rPr>
        <w:t>In Study A3921096, i</w:t>
      </w:r>
      <w:r w:rsidRPr="00824977">
        <w:t xml:space="preserve">n all subjects, regardless of </w:t>
      </w:r>
      <w:r w:rsidR="005D22FA">
        <w:t>b</w:t>
      </w:r>
      <w:r w:rsidR="00CF6A6C">
        <w:t>aseline</w:t>
      </w:r>
      <w:r w:rsidRPr="00824977">
        <w:t xml:space="preserve"> value, a greater proportion of subjects in the </w:t>
      </w:r>
      <w:proofErr w:type="spellStart"/>
      <w:r w:rsidRPr="00824977">
        <w:t>tofacitinib</w:t>
      </w:r>
      <w:proofErr w:type="spellEnd"/>
      <w:r w:rsidRPr="00824977">
        <w:t xml:space="preserve"> 5 mg BID group (27.3%) and the </w:t>
      </w:r>
      <w:proofErr w:type="spellStart"/>
      <w:r w:rsidRPr="00824977">
        <w:t>tofacitinib</w:t>
      </w:r>
      <w:proofErr w:type="spellEnd"/>
      <w:r w:rsidRPr="00824977">
        <w:t xml:space="preserve"> 10 mg BID group (22.6%) had total cholesterol values &gt;</w:t>
      </w:r>
      <w:r w:rsidR="000E621E" w:rsidRPr="00824977">
        <w:t xml:space="preserve"> </w:t>
      </w:r>
      <w:r w:rsidRPr="00824977">
        <w:t xml:space="preserve">1.3 </w:t>
      </w:r>
      <w:r w:rsidR="00EF7201" w:rsidRPr="00824977">
        <w:t>times</w:t>
      </w:r>
      <w:r w:rsidRPr="00824977">
        <w:t xml:space="preserve"> ULN, compared </w:t>
      </w:r>
      <w:r w:rsidR="00824977">
        <w:t>with placebo group (8.1%). LDL cholesterol</w:t>
      </w:r>
      <w:r w:rsidRPr="00824977">
        <w:t xml:space="preserve"> values &gt;</w:t>
      </w:r>
      <w:r w:rsidR="00824977">
        <w:t xml:space="preserve"> </w:t>
      </w:r>
      <w:r w:rsidRPr="00824977">
        <w:t xml:space="preserve">1.2 </w:t>
      </w:r>
      <w:r w:rsidR="00EF7201" w:rsidRPr="00824977">
        <w:t>times</w:t>
      </w:r>
      <w:r w:rsidRPr="00824977">
        <w:t xml:space="preserve"> ULN occurred more in the </w:t>
      </w:r>
      <w:proofErr w:type="spellStart"/>
      <w:r w:rsidRPr="00824977">
        <w:t>tofacitinib</w:t>
      </w:r>
      <w:proofErr w:type="spellEnd"/>
      <w:r w:rsidRPr="00824977">
        <w:t xml:space="preserve"> 5 mg BID group (31.3%) and the </w:t>
      </w:r>
      <w:proofErr w:type="spellStart"/>
      <w:r w:rsidRPr="00824977">
        <w:t>tofacitinib</w:t>
      </w:r>
      <w:proofErr w:type="spellEnd"/>
      <w:r w:rsidRPr="00824977">
        <w:t xml:space="preserve"> 10 mg BID group (28.2%) compared w</w:t>
      </w:r>
      <w:r w:rsidR="00824977">
        <w:t>ith placebo group (18.7%). HDL cholesterol</w:t>
      </w:r>
      <w:r w:rsidRPr="00824977">
        <w:t xml:space="preserve"> values &lt;</w:t>
      </w:r>
      <w:r w:rsidR="00824977">
        <w:t xml:space="preserve"> </w:t>
      </w:r>
      <w:r w:rsidRPr="00824977">
        <w:t xml:space="preserve">0.8 </w:t>
      </w:r>
      <w:r w:rsidR="00EF7201" w:rsidRPr="00824977">
        <w:t>times</w:t>
      </w:r>
      <w:r w:rsidRPr="00824977">
        <w:t xml:space="preserve"> LLN occurred in 4.5% of the </w:t>
      </w:r>
      <w:proofErr w:type="spellStart"/>
      <w:r w:rsidRPr="00824977">
        <w:t>tofacitinib</w:t>
      </w:r>
      <w:proofErr w:type="spellEnd"/>
      <w:r w:rsidRPr="00824977">
        <w:t xml:space="preserve"> 5 mg BID group and 1.5% of the </w:t>
      </w:r>
      <w:proofErr w:type="spellStart"/>
      <w:r w:rsidRPr="00824977">
        <w:t>tofacitinib</w:t>
      </w:r>
      <w:proofErr w:type="spellEnd"/>
      <w:r w:rsidRPr="00824977">
        <w:t xml:space="preserve"> 10 mg BID group, compared with 6.1% of the placebo group. Triglyceride values &gt;</w:t>
      </w:r>
      <w:r w:rsidR="00824977">
        <w:t xml:space="preserve"> </w:t>
      </w:r>
      <w:r w:rsidRPr="00824977">
        <w:t xml:space="preserve">1.3 </w:t>
      </w:r>
      <w:r w:rsidR="00EF7201" w:rsidRPr="00824977">
        <w:t>times</w:t>
      </w:r>
      <w:r w:rsidRPr="00824977">
        <w:t xml:space="preserve"> ULN occurr</w:t>
      </w:r>
      <w:r w:rsidR="00824977">
        <w:t xml:space="preserve">ed in 4.5% of the </w:t>
      </w:r>
      <w:proofErr w:type="spellStart"/>
      <w:r w:rsidR="00824977">
        <w:t>tofacitinib</w:t>
      </w:r>
      <w:proofErr w:type="spellEnd"/>
      <w:r w:rsidR="00824977">
        <w:t xml:space="preserve"> 5 </w:t>
      </w:r>
      <w:r w:rsidRPr="00824977">
        <w:t xml:space="preserve">mg BID group and 7.7% of the </w:t>
      </w:r>
      <w:proofErr w:type="spellStart"/>
      <w:r w:rsidRPr="00824977">
        <w:t>tofacitinib</w:t>
      </w:r>
      <w:proofErr w:type="spellEnd"/>
      <w:r w:rsidRPr="00824977">
        <w:t xml:space="preserve"> 10 mg BID group, compared with 3.5% of the placebo group.</w:t>
      </w:r>
    </w:p>
    <w:p w14:paraId="3ACC0727" w14:textId="7852E917" w:rsidR="005F7896" w:rsidRDefault="00824977" w:rsidP="00B7056C">
      <w:r>
        <w:t xml:space="preserve">More subjects were taking lipid </w:t>
      </w:r>
      <w:r w:rsidR="007757F1" w:rsidRPr="00B44733">
        <w:t xml:space="preserve">lowering agents at </w:t>
      </w:r>
      <w:r w:rsidR="00CF6A6C">
        <w:t>Baseline</w:t>
      </w:r>
      <w:r w:rsidR="007757F1" w:rsidRPr="00B44733">
        <w:t xml:space="preserve"> in the placebo group</w:t>
      </w:r>
      <w:r w:rsidR="007757F1">
        <w:t xml:space="preserve"> </w:t>
      </w:r>
      <w:r w:rsidR="007757F1" w:rsidRPr="00B44733">
        <w:t>(8.</w:t>
      </w:r>
      <w:r w:rsidR="007757F1">
        <w:t>6</w:t>
      </w:r>
      <w:r w:rsidR="007757F1" w:rsidRPr="00B44733">
        <w:t xml:space="preserve">%) compared to the </w:t>
      </w:r>
      <w:proofErr w:type="spellStart"/>
      <w:r w:rsidR="007757F1" w:rsidRPr="00B44733">
        <w:t>tofacitinib</w:t>
      </w:r>
      <w:proofErr w:type="spellEnd"/>
      <w:r w:rsidR="007757F1" w:rsidRPr="00B44733">
        <w:t xml:space="preserve"> 5 mg BID treatment group (6.</w:t>
      </w:r>
      <w:r w:rsidR="007757F1">
        <w:t>1</w:t>
      </w:r>
      <w:r w:rsidR="007757F1" w:rsidRPr="00B44733">
        <w:t xml:space="preserve">%) and the </w:t>
      </w:r>
      <w:proofErr w:type="spellStart"/>
      <w:r w:rsidR="007757F1" w:rsidRPr="00B44733">
        <w:t>tofacitinib</w:t>
      </w:r>
      <w:proofErr w:type="spellEnd"/>
      <w:r>
        <w:t xml:space="preserve"> </w:t>
      </w:r>
      <w:r w:rsidR="007757F1" w:rsidRPr="00B44733">
        <w:t xml:space="preserve">10 mg BID treatment group (6.6%). During the </w:t>
      </w:r>
      <w:r>
        <w:t>double blind</w:t>
      </w:r>
      <w:r w:rsidR="007757F1" w:rsidRPr="00B44733">
        <w:t xml:space="preserve"> treatment period, addition of</w:t>
      </w:r>
      <w:r w:rsidR="007757F1">
        <w:t xml:space="preserve"> </w:t>
      </w:r>
      <w:r>
        <w:t xml:space="preserve">new lipid </w:t>
      </w:r>
      <w:r w:rsidR="007757F1" w:rsidRPr="00B44733">
        <w:t xml:space="preserve">lowering agents occurred in 2 subjects (1.0%) in the </w:t>
      </w:r>
      <w:proofErr w:type="spellStart"/>
      <w:r w:rsidR="007757F1" w:rsidRPr="00B44733">
        <w:t>tofacitinib</w:t>
      </w:r>
      <w:proofErr w:type="spellEnd"/>
      <w:r w:rsidR="007757F1" w:rsidRPr="00B44733">
        <w:t xml:space="preserve"> 5 mg BID group,</w:t>
      </w:r>
      <w:r w:rsidR="007757F1">
        <w:t xml:space="preserve"> </w:t>
      </w:r>
      <w:r w:rsidR="007757F1" w:rsidRPr="00B44733">
        <w:t>6 subjects (3.</w:t>
      </w:r>
      <w:r w:rsidR="007757F1">
        <w:t>1</w:t>
      </w:r>
      <w:r w:rsidR="007757F1" w:rsidRPr="00B44733">
        <w:t xml:space="preserve">%) in the </w:t>
      </w:r>
      <w:proofErr w:type="spellStart"/>
      <w:r w:rsidR="007757F1" w:rsidRPr="00B44733">
        <w:t>tofacitinib</w:t>
      </w:r>
      <w:proofErr w:type="spellEnd"/>
      <w:r w:rsidR="007757F1" w:rsidRPr="00B44733">
        <w:t xml:space="preserve"> 10 mg BID group, and 1 subject (0.5%) in the placebo</w:t>
      </w:r>
      <w:r w:rsidR="007757F1">
        <w:t xml:space="preserve"> </w:t>
      </w:r>
      <w:r w:rsidR="007757F1" w:rsidRPr="00B44733">
        <w:t>group</w:t>
      </w:r>
      <w:r w:rsidR="005F7896">
        <w:t>.</w:t>
      </w:r>
    </w:p>
    <w:p w14:paraId="403B48D9" w14:textId="77777777" w:rsidR="007757F1" w:rsidRPr="00C2074B" w:rsidRDefault="007757F1" w:rsidP="00B7056C">
      <w:pPr>
        <w:pStyle w:val="Heading7"/>
      </w:pPr>
      <w:r w:rsidRPr="00C2074B">
        <w:t>Other studies</w:t>
      </w:r>
    </w:p>
    <w:p w14:paraId="3D6672F7" w14:textId="31126C47" w:rsidR="007757F1" w:rsidRDefault="007757F1" w:rsidP="00B7056C">
      <w:r>
        <w:rPr>
          <w:lang w:eastAsia="ja-JP"/>
        </w:rPr>
        <w:t>In Study A3921063, w</w:t>
      </w:r>
      <w:r>
        <w:t xml:space="preserve">ithout regard to </w:t>
      </w:r>
      <w:r w:rsidR="005D22FA">
        <w:t>b</w:t>
      </w:r>
      <w:r w:rsidR="00CF6A6C">
        <w:t>aseline</w:t>
      </w:r>
      <w:r>
        <w:t xml:space="preserve"> abnormality, </w:t>
      </w:r>
      <w:proofErr w:type="spellStart"/>
      <w:r>
        <w:t>tofacitinib</w:t>
      </w:r>
      <w:proofErr w:type="spellEnd"/>
      <w:r>
        <w:t xml:space="preserve"> 10 mg and 15 mg treatments had observed elevated total cholesterol (&gt; 1.3 </w:t>
      </w:r>
      <w:r w:rsidR="00824977">
        <w:t>times ULN), LDL cholesterol (&gt; </w:t>
      </w:r>
      <w:r>
        <w:t xml:space="preserve">1.2 </w:t>
      </w:r>
      <w:r w:rsidR="00824977">
        <w:t>times</w:t>
      </w:r>
      <w:r>
        <w:t xml:space="preserve"> ULN) and triglycerides (&gt; 1.3 </w:t>
      </w:r>
      <w:r w:rsidR="00824977">
        <w:t>times</w:t>
      </w:r>
      <w:r>
        <w:t xml:space="preserve"> ULN) compared with placebo treatments: 8 (24.2%) </w:t>
      </w:r>
      <w:r w:rsidR="009D375F">
        <w:t>versus</w:t>
      </w:r>
      <w:r>
        <w:t xml:space="preserve"> 9 (18.4%) </w:t>
      </w:r>
      <w:r w:rsidR="009D375F">
        <w:t>versus</w:t>
      </w:r>
      <w:r>
        <w:t xml:space="preserve"> 5 (10.6%) for total cholesterol, respectively and 9 (27.3%) </w:t>
      </w:r>
      <w:r w:rsidR="009D375F">
        <w:t>versus</w:t>
      </w:r>
      <w:r>
        <w:t xml:space="preserve"> 9 (18.4%) </w:t>
      </w:r>
      <w:r w:rsidR="009D375F">
        <w:t>versus</w:t>
      </w:r>
      <w:r>
        <w:t xml:space="preserve"> 4 (8.5%)for LDL cholesterol, respectively and 2 (6.1%) </w:t>
      </w:r>
      <w:r w:rsidR="009D375F">
        <w:t>versus</w:t>
      </w:r>
      <w:r>
        <w:t xml:space="preserve"> 3 (6.1%) </w:t>
      </w:r>
      <w:r w:rsidR="009D375F">
        <w:t>versus</w:t>
      </w:r>
      <w:r>
        <w:t xml:space="preserve"> 0 (0.0%) for triglycerides, respectively.</w:t>
      </w:r>
    </w:p>
    <w:p w14:paraId="1E55482C" w14:textId="00F148FF" w:rsidR="007757F1" w:rsidRDefault="007757F1" w:rsidP="00B7056C">
      <w:r w:rsidRPr="0026179E">
        <w:t>There</w:t>
      </w:r>
      <w:r>
        <w:t xml:space="preserve"> </w:t>
      </w:r>
      <w:r w:rsidR="00824977">
        <w:t xml:space="preserve">were dose </w:t>
      </w:r>
      <w:r w:rsidRPr="0026179E">
        <w:t xml:space="preserve">related increases from </w:t>
      </w:r>
      <w:r w:rsidR="00CF6A6C">
        <w:t>Baseline</w:t>
      </w:r>
      <w:r w:rsidRPr="0026179E">
        <w:t xml:space="preserve"> </w:t>
      </w:r>
      <w:r>
        <w:t>to</w:t>
      </w:r>
      <w:r w:rsidRPr="0026179E">
        <w:t xml:space="preserve"> Week 8 in mean LDL</w:t>
      </w:r>
      <w:r>
        <w:t xml:space="preserve"> and mean HDL</w:t>
      </w:r>
      <w:r w:rsidRPr="0026179E">
        <w:t xml:space="preserve"> across all dose groups.</w:t>
      </w:r>
      <w:r>
        <w:t xml:space="preserve"> </w:t>
      </w:r>
      <w:r w:rsidRPr="0026179E">
        <w:t>No</w:t>
      </w:r>
      <w:r>
        <w:t xml:space="preserve"> </w:t>
      </w:r>
      <w:r w:rsidRPr="0026179E">
        <w:t>subjects required initiation of lipid-lowering medication during the study.</w:t>
      </w:r>
      <w:r>
        <w:t xml:space="preserve"> One subject on </w:t>
      </w:r>
      <w:proofErr w:type="spellStart"/>
      <w:r>
        <w:t>tofacitinib</w:t>
      </w:r>
      <w:proofErr w:type="spellEnd"/>
      <w:r>
        <w:t xml:space="preserve"> </w:t>
      </w:r>
      <w:r w:rsidRPr="0010338D">
        <w:t xml:space="preserve">10 mg experienced </w:t>
      </w:r>
      <w:r>
        <w:t xml:space="preserve">treatment-related </w:t>
      </w:r>
      <w:r w:rsidRPr="0010338D">
        <w:t>dyslipidaemia</w:t>
      </w:r>
      <w:r>
        <w:t>.</w:t>
      </w:r>
    </w:p>
    <w:p w14:paraId="48BE7CAD" w14:textId="00AD0322" w:rsidR="007757F1" w:rsidRPr="00146CEB" w:rsidRDefault="007757F1" w:rsidP="00B7056C">
      <w:r>
        <w:rPr>
          <w:lang w:eastAsia="ja-JP"/>
        </w:rPr>
        <w:t>In Study A3921139, t</w:t>
      </w:r>
      <w:r w:rsidRPr="00146CEB">
        <w:t xml:space="preserve">otal cholesterol, </w:t>
      </w:r>
      <w:r w:rsidR="00824977">
        <w:t>HDL cholesterol</w:t>
      </w:r>
      <w:r w:rsidRPr="00146CEB">
        <w:t xml:space="preserve">, </w:t>
      </w:r>
      <w:r w:rsidR="00824977">
        <w:t>LDL cholesterol, cholesterol/HDL cholesterol</w:t>
      </w:r>
      <w:r w:rsidRPr="00146CEB">
        <w:t xml:space="preserve"> ratio</w:t>
      </w:r>
      <w:r>
        <w:t xml:space="preserve"> and</w:t>
      </w:r>
      <w:r w:rsidR="00824977">
        <w:t xml:space="preserve"> LDL cholesterol/HDL cholesterol</w:t>
      </w:r>
      <w:r w:rsidRPr="00146CEB">
        <w:t xml:space="preserve"> ratio</w:t>
      </w:r>
      <w:r>
        <w:t xml:space="preserve"> revealed overall small mean reductions over time for </w:t>
      </w:r>
      <w:proofErr w:type="spellStart"/>
      <w:r>
        <w:t>tofacitinib</w:t>
      </w:r>
      <w:proofErr w:type="spellEnd"/>
      <w:r>
        <w:t xml:space="preserve"> 5 mg treatment, whereas for each of these lipid parameters </w:t>
      </w:r>
      <w:proofErr w:type="spellStart"/>
      <w:r>
        <w:t>tofacitinib</w:t>
      </w:r>
      <w:proofErr w:type="spellEnd"/>
      <w:r>
        <w:t xml:space="preserve"> 10 mg treatment resulted in increasing trends from </w:t>
      </w:r>
      <w:r w:rsidR="00CF6A6C">
        <w:t>Baseline</w:t>
      </w:r>
      <w:r>
        <w:t xml:space="preserve"> over time. </w:t>
      </w:r>
      <w:r w:rsidRPr="00146CEB">
        <w:t>Triglyceride values revealed overall increasing trends over time from the</w:t>
      </w:r>
      <w:r>
        <w:t xml:space="preserve"> </w:t>
      </w:r>
      <w:r w:rsidR="005D22FA">
        <w:t>b</w:t>
      </w:r>
      <w:r w:rsidR="00CF6A6C">
        <w:t>aseline</w:t>
      </w:r>
      <w:r w:rsidRPr="00146CEB">
        <w:t xml:space="preserve"> values in the </w:t>
      </w:r>
      <w:proofErr w:type="spellStart"/>
      <w:r w:rsidRPr="00146CEB">
        <w:t>tofacitinib</w:t>
      </w:r>
      <w:proofErr w:type="spellEnd"/>
      <w:r w:rsidRPr="00146CEB">
        <w:t xml:space="preserve"> 5 mg BID group</w:t>
      </w:r>
      <w:r>
        <w:t xml:space="preserve"> (mean change: 10.1%)</w:t>
      </w:r>
      <w:r w:rsidRPr="00146CEB">
        <w:t xml:space="preserve"> and in the</w:t>
      </w:r>
      <w:r>
        <w:t xml:space="preserve"> </w:t>
      </w:r>
      <w:proofErr w:type="spellStart"/>
      <w:r w:rsidR="00824977">
        <w:t>tofacitinib</w:t>
      </w:r>
      <w:proofErr w:type="spellEnd"/>
      <w:r w:rsidR="00824977">
        <w:t xml:space="preserve"> 10 </w:t>
      </w:r>
      <w:r w:rsidRPr="00146CEB">
        <w:t>mg BID group</w:t>
      </w:r>
      <w:r>
        <w:t xml:space="preserve"> (mean change: 18.9%)</w:t>
      </w:r>
      <w:r w:rsidRPr="00146CEB">
        <w:t>.</w:t>
      </w:r>
    </w:p>
    <w:p w14:paraId="4EC1D7A2" w14:textId="63E216D1" w:rsidR="007757F1" w:rsidRPr="00B7056C" w:rsidRDefault="007757F1" w:rsidP="00B7056C">
      <w:pPr>
        <w:rPr>
          <w:lang w:eastAsia="ja-JP"/>
        </w:rPr>
      </w:pPr>
      <w:r w:rsidRPr="00365343">
        <w:t>In all subjects,</w:t>
      </w:r>
      <w:r>
        <w:t xml:space="preserve"> </w:t>
      </w:r>
      <w:r w:rsidRPr="00365343">
        <w:t xml:space="preserve">regardless of </w:t>
      </w:r>
      <w:r w:rsidR="005D22FA">
        <w:t>b</w:t>
      </w:r>
      <w:r w:rsidR="00CF6A6C">
        <w:t>aseline</w:t>
      </w:r>
      <w:r w:rsidRPr="00365343">
        <w:t xml:space="preserve"> value, a greater proportion of subjects had total cholesterol values</w:t>
      </w:r>
      <w:r>
        <w:t xml:space="preserve"> </w:t>
      </w:r>
      <w:r w:rsidRPr="00365343">
        <w:t>&gt;</w:t>
      </w:r>
      <w:r>
        <w:t xml:space="preserve"> </w:t>
      </w:r>
      <w:r w:rsidRPr="00365343">
        <w:t xml:space="preserve">1.3 </w:t>
      </w:r>
      <w:r w:rsidR="00EF7201">
        <w:t>times</w:t>
      </w:r>
      <w:r w:rsidRPr="00365343">
        <w:t xml:space="preserve"> ULN in the </w:t>
      </w:r>
      <w:proofErr w:type="spellStart"/>
      <w:r w:rsidRPr="00365343">
        <w:t>tofacitinib</w:t>
      </w:r>
      <w:proofErr w:type="spellEnd"/>
      <w:r w:rsidRPr="00365343">
        <w:t xml:space="preserve"> 5 mg BID group (31.4%) than in the </w:t>
      </w:r>
      <w:proofErr w:type="spellStart"/>
      <w:r w:rsidRPr="00365343">
        <w:t>tofacitinib</w:t>
      </w:r>
      <w:proofErr w:type="spellEnd"/>
      <w:r w:rsidRPr="00365343">
        <w:t xml:space="preserve"> 10 mg BID</w:t>
      </w:r>
      <w:r>
        <w:t xml:space="preserve"> </w:t>
      </w:r>
      <w:r w:rsidRPr="00365343">
        <w:t>group (22.3%).</w:t>
      </w:r>
      <w:r w:rsidR="005F7896">
        <w:t xml:space="preserve"> </w:t>
      </w:r>
      <w:r w:rsidR="00824977">
        <w:t>LDL cholesterol</w:t>
      </w:r>
      <w:r w:rsidRPr="00365343">
        <w:t xml:space="preserve"> values &gt;</w:t>
      </w:r>
      <w:r>
        <w:t xml:space="preserve"> </w:t>
      </w:r>
      <w:r w:rsidRPr="00365343">
        <w:t xml:space="preserve">1.2 </w:t>
      </w:r>
      <w:r w:rsidR="00EF7201">
        <w:t>times</w:t>
      </w:r>
      <w:r w:rsidRPr="00365343">
        <w:t xml:space="preserve"> ULN occurred more in the </w:t>
      </w:r>
      <w:proofErr w:type="spellStart"/>
      <w:r w:rsidRPr="00365343">
        <w:t>tofacitinib</w:t>
      </w:r>
      <w:proofErr w:type="spellEnd"/>
      <w:r w:rsidRPr="00365343">
        <w:t xml:space="preserve"> 5 mg BID group</w:t>
      </w:r>
      <w:r>
        <w:t xml:space="preserve"> </w:t>
      </w:r>
      <w:r w:rsidRPr="00365343">
        <w:t xml:space="preserve">(36.5%) than the </w:t>
      </w:r>
      <w:proofErr w:type="spellStart"/>
      <w:r w:rsidRPr="00365343">
        <w:t>tofacitinib</w:t>
      </w:r>
      <w:proofErr w:type="spellEnd"/>
      <w:r w:rsidRPr="00365343">
        <w:t xml:space="preserve"> 10 mg BID group (26.3%). Triglyceride values &gt;</w:t>
      </w:r>
      <w:r>
        <w:t xml:space="preserve"> </w:t>
      </w:r>
      <w:r w:rsidRPr="00365343">
        <w:t xml:space="preserve">1.3 </w:t>
      </w:r>
      <w:r w:rsidR="00EF7201">
        <w:t>times</w:t>
      </w:r>
      <w:r w:rsidRPr="00365343">
        <w:t xml:space="preserve"> ULN</w:t>
      </w:r>
      <w:r>
        <w:t xml:space="preserve"> </w:t>
      </w:r>
      <w:r w:rsidRPr="00365343">
        <w:t xml:space="preserve">occurred more </w:t>
      </w:r>
      <w:r w:rsidR="00824977">
        <w:t xml:space="preserve">frequently in the </w:t>
      </w:r>
      <w:proofErr w:type="spellStart"/>
      <w:r w:rsidR="00824977">
        <w:t>tofacitinib</w:t>
      </w:r>
      <w:proofErr w:type="spellEnd"/>
      <w:r w:rsidR="00824977">
        <w:t xml:space="preserve"> 5 </w:t>
      </w:r>
      <w:r w:rsidRPr="00365343">
        <w:t xml:space="preserve">mg BID group (8.3%) than in the </w:t>
      </w:r>
      <w:proofErr w:type="spellStart"/>
      <w:r w:rsidRPr="00365343">
        <w:t>tofacitinib</w:t>
      </w:r>
      <w:proofErr w:type="spellEnd"/>
      <w:r>
        <w:t xml:space="preserve"> </w:t>
      </w:r>
      <w:r w:rsidR="00824977">
        <w:t>10 mg BID group (3.2%). HDL cholesterol</w:t>
      </w:r>
      <w:r w:rsidRPr="00365343">
        <w:t xml:space="preserve"> values &lt;</w:t>
      </w:r>
      <w:r w:rsidR="00824977">
        <w:t xml:space="preserve"> </w:t>
      </w:r>
      <w:r w:rsidRPr="00365343">
        <w:t xml:space="preserve">0.8 </w:t>
      </w:r>
      <w:r w:rsidR="00EF7201">
        <w:t>times</w:t>
      </w:r>
      <w:r w:rsidRPr="00365343">
        <w:t xml:space="preserve"> LLN were similar between groups,</w:t>
      </w:r>
      <w:r>
        <w:t xml:space="preserve"> </w:t>
      </w:r>
      <w:r w:rsidRPr="00365343">
        <w:t>occurri</w:t>
      </w:r>
      <w:r w:rsidR="00824977">
        <w:t xml:space="preserve">ng in 1.9% of the </w:t>
      </w:r>
      <w:proofErr w:type="spellStart"/>
      <w:r w:rsidR="00824977">
        <w:t>tofacitinib</w:t>
      </w:r>
      <w:proofErr w:type="spellEnd"/>
      <w:r w:rsidR="00824977">
        <w:t xml:space="preserve"> 5 </w:t>
      </w:r>
      <w:r w:rsidRPr="00365343">
        <w:t xml:space="preserve">mg BID group and 2.7% of the </w:t>
      </w:r>
      <w:proofErr w:type="spellStart"/>
      <w:r w:rsidRPr="00365343">
        <w:t>tofacitinib</w:t>
      </w:r>
      <w:proofErr w:type="spellEnd"/>
      <w:r w:rsidRPr="00365343">
        <w:t xml:space="preserve"> 10 mg BID</w:t>
      </w:r>
      <w:r>
        <w:t xml:space="preserve"> </w:t>
      </w:r>
      <w:r w:rsidRPr="00365343">
        <w:t>group.</w:t>
      </w:r>
    </w:p>
    <w:p w14:paraId="7D7A3312" w14:textId="55F7EEF9" w:rsidR="007757F1" w:rsidRDefault="007757F1" w:rsidP="00B7056C">
      <w:r w:rsidRPr="000E6B87">
        <w:lastRenderedPageBreak/>
        <w:t>A higher</w:t>
      </w:r>
      <w:r>
        <w:t xml:space="preserve"> </w:t>
      </w:r>
      <w:r w:rsidRPr="000E6B87">
        <w:t>percentag</w:t>
      </w:r>
      <w:r w:rsidR="00824977">
        <w:t xml:space="preserve">e of subjects were taking lipid </w:t>
      </w:r>
      <w:r w:rsidRPr="000E6B87">
        <w:t xml:space="preserve">lowering agents at </w:t>
      </w:r>
      <w:r w:rsidR="00CF6A6C">
        <w:t>Baseline</w:t>
      </w:r>
      <w:r w:rsidRPr="000E6B87">
        <w:t xml:space="preserve"> in the </w:t>
      </w:r>
      <w:proofErr w:type="spellStart"/>
      <w:r w:rsidRPr="000E6B87">
        <w:t>tofacitinib</w:t>
      </w:r>
      <w:proofErr w:type="spellEnd"/>
      <w:r w:rsidRPr="000E6B87">
        <w:t xml:space="preserve"> 5 mg BID group (9.0%) compared to the </w:t>
      </w:r>
      <w:proofErr w:type="spellStart"/>
      <w:r w:rsidRPr="000E6B87">
        <w:t>tofacitinib</w:t>
      </w:r>
      <w:proofErr w:type="spellEnd"/>
      <w:r w:rsidRPr="000E6B87">
        <w:t xml:space="preserve"> 10 mg BID group (6.2%). Addition of new</w:t>
      </w:r>
      <w:r>
        <w:t xml:space="preserve"> </w:t>
      </w:r>
      <w:r w:rsidR="00824977">
        <w:t xml:space="preserve">lipid </w:t>
      </w:r>
      <w:r w:rsidRPr="000E6B87">
        <w:t>lowering agents was reported in 1.9% o</w:t>
      </w:r>
      <w:r w:rsidR="00824977">
        <w:t xml:space="preserve">f subjects in the </w:t>
      </w:r>
      <w:proofErr w:type="spellStart"/>
      <w:r w:rsidR="00824977">
        <w:t>tofacitinib</w:t>
      </w:r>
      <w:proofErr w:type="spellEnd"/>
      <w:r w:rsidR="00824977">
        <w:t xml:space="preserve"> 5 </w:t>
      </w:r>
      <w:r w:rsidRPr="000E6B87">
        <w:t>mg BID group and</w:t>
      </w:r>
      <w:r w:rsidR="00824977">
        <w:t xml:space="preserve"> </w:t>
      </w:r>
      <w:r w:rsidRPr="000E6B87">
        <w:t xml:space="preserve">4.2% in the </w:t>
      </w:r>
      <w:proofErr w:type="spellStart"/>
      <w:r w:rsidRPr="000E6B87">
        <w:t>tofacitinib</w:t>
      </w:r>
      <w:proofErr w:type="spellEnd"/>
      <w:r w:rsidRPr="000E6B87">
        <w:t xml:space="preserve"> 10 mg BID group. No subjects in the </w:t>
      </w:r>
      <w:proofErr w:type="spellStart"/>
      <w:r w:rsidRPr="000E6B87">
        <w:t>tofacitinib</w:t>
      </w:r>
      <w:proofErr w:type="spellEnd"/>
      <w:r w:rsidRPr="000E6B87">
        <w:t xml:space="preserve"> 5 mg BID group and</w:t>
      </w:r>
      <w:r w:rsidR="00824977">
        <w:t xml:space="preserve"> </w:t>
      </w:r>
      <w:r w:rsidRPr="000E6B87">
        <w:t xml:space="preserve">1.5% of subjects in the </w:t>
      </w:r>
      <w:proofErr w:type="spellStart"/>
      <w:r w:rsidRPr="000E6B87">
        <w:t>tofacitinib</w:t>
      </w:r>
      <w:proofErr w:type="spellEnd"/>
      <w:r w:rsidRPr="000E6B87">
        <w:t xml:space="preserve"> 10 mg</w:t>
      </w:r>
      <w:r w:rsidR="00824977">
        <w:t xml:space="preserve"> BID group had dosages of lipid </w:t>
      </w:r>
      <w:r w:rsidRPr="000E6B87">
        <w:t>lowering agents</w:t>
      </w:r>
      <w:r>
        <w:t xml:space="preserve"> i</w:t>
      </w:r>
      <w:r w:rsidRPr="000E6B87">
        <w:t>ncreased during the treatment period.</w:t>
      </w:r>
    </w:p>
    <w:p w14:paraId="540635D8" w14:textId="77777777" w:rsidR="00B7056C" w:rsidRPr="00B7056C" w:rsidRDefault="00B7056C" w:rsidP="00B7056C">
      <w:pPr>
        <w:pStyle w:val="Heading6"/>
        <w:rPr>
          <w:lang w:eastAsia="ja-JP"/>
        </w:rPr>
      </w:pPr>
      <w:proofErr w:type="spellStart"/>
      <w:r w:rsidRPr="0063060F">
        <w:rPr>
          <w:lang w:eastAsia="ja-JP"/>
        </w:rPr>
        <w:t>Creatine</w:t>
      </w:r>
      <w:proofErr w:type="spellEnd"/>
      <w:r w:rsidRPr="0063060F">
        <w:rPr>
          <w:lang w:eastAsia="ja-JP"/>
        </w:rPr>
        <w:t xml:space="preserve"> phosphokinase</w:t>
      </w:r>
    </w:p>
    <w:p w14:paraId="0D4C8680" w14:textId="77777777" w:rsidR="007757F1" w:rsidRPr="00C2074B" w:rsidRDefault="007757F1" w:rsidP="00B7056C">
      <w:pPr>
        <w:pStyle w:val="Heading7"/>
      </w:pPr>
      <w:r w:rsidRPr="00C2074B">
        <w:t>Pivotal and/or main efficacy studies</w:t>
      </w:r>
    </w:p>
    <w:p w14:paraId="4BD0869C" w14:textId="5F403828" w:rsidR="005F7896" w:rsidRDefault="007757F1" w:rsidP="00B7056C">
      <w:r>
        <w:rPr>
          <w:lang w:eastAsia="ja-JP"/>
        </w:rPr>
        <w:t xml:space="preserve">In </w:t>
      </w:r>
      <w:r w:rsidRPr="00BD44F9">
        <w:rPr>
          <w:lang w:eastAsia="ja-JP"/>
        </w:rPr>
        <w:t>Study A3921094</w:t>
      </w:r>
      <w:r>
        <w:rPr>
          <w:lang w:eastAsia="ja-JP"/>
        </w:rPr>
        <w:t>, d</w:t>
      </w:r>
      <w:r w:rsidRPr="00D944FA">
        <w:t xml:space="preserve">ifferences in adjusted mean change from </w:t>
      </w:r>
      <w:r w:rsidR="00CF6A6C">
        <w:t>Baseline</w:t>
      </w:r>
      <w:r w:rsidRPr="00D944FA">
        <w:t xml:space="preserve"> in</w:t>
      </w:r>
      <w:r>
        <w:t xml:space="preserve"> </w:t>
      </w:r>
      <w:r w:rsidRPr="00D944FA">
        <w:t>CPK compared with placebo were not statistically significant</w:t>
      </w:r>
      <w:r>
        <w:t xml:space="preserve">. </w:t>
      </w:r>
      <w:r w:rsidRPr="00D944FA">
        <w:t xml:space="preserve">A greater proportion of subjects </w:t>
      </w:r>
      <w:r>
        <w:t xml:space="preserve">(without regard to </w:t>
      </w:r>
      <w:r w:rsidR="005D22FA">
        <w:t>b</w:t>
      </w:r>
      <w:r w:rsidR="00CF6A6C">
        <w:t>aseline</w:t>
      </w:r>
      <w:r>
        <w:t xml:space="preserve"> abnormality) </w:t>
      </w:r>
      <w:r w:rsidRPr="00D944FA">
        <w:t xml:space="preserve">in the </w:t>
      </w:r>
      <w:proofErr w:type="spellStart"/>
      <w:r w:rsidRPr="00D944FA">
        <w:t>tofacitinib</w:t>
      </w:r>
      <w:proofErr w:type="spellEnd"/>
      <w:r w:rsidRPr="00D944FA">
        <w:t xml:space="preserve"> 10 mg BID</w:t>
      </w:r>
      <w:r>
        <w:t xml:space="preserve"> </w:t>
      </w:r>
      <w:r w:rsidRPr="00D944FA">
        <w:t>group (9.5%) had CPK values &gt;</w:t>
      </w:r>
      <w:r w:rsidR="00824977">
        <w:t xml:space="preserve"> </w:t>
      </w:r>
      <w:r w:rsidRPr="00D944FA">
        <w:t xml:space="preserve">2 </w:t>
      </w:r>
      <w:r w:rsidR="00EF7201">
        <w:t>times</w:t>
      </w:r>
      <w:r w:rsidRPr="00D944FA">
        <w:t xml:space="preserve"> ULN, compared with the placebo group (1.6%)</w:t>
      </w:r>
      <w:r w:rsidR="005F7896">
        <w:t>.</w:t>
      </w:r>
    </w:p>
    <w:p w14:paraId="19C8EBA9" w14:textId="77777777" w:rsidR="007757F1" w:rsidRDefault="007757F1" w:rsidP="00B7056C">
      <w:r w:rsidRPr="00F4381F">
        <w:t>Twelve (2.5%) subjects in the</w:t>
      </w:r>
      <w:r>
        <w:t xml:space="preserve"> </w:t>
      </w:r>
      <w:proofErr w:type="spellStart"/>
      <w:r w:rsidRPr="00F4381F">
        <w:t>tofacitinib</w:t>
      </w:r>
      <w:proofErr w:type="spellEnd"/>
      <w:r w:rsidRPr="00F4381F">
        <w:t xml:space="preserve"> 10 mg BID treatment group had blood CPK increased, including</w:t>
      </w:r>
      <w:r>
        <w:t xml:space="preserve"> 3 </w:t>
      </w:r>
      <w:r w:rsidRPr="00F4381F">
        <w:t>severe events, compared with no subjects in the placebo</w:t>
      </w:r>
      <w:r>
        <w:t xml:space="preserve"> </w:t>
      </w:r>
      <w:r w:rsidRPr="00F4381F">
        <w:t>group. Two</w:t>
      </w:r>
      <w:r>
        <w:t xml:space="preserve"> </w:t>
      </w:r>
      <w:r w:rsidRPr="00F4381F">
        <w:t xml:space="preserve">(0.4%) subjects in the </w:t>
      </w:r>
      <w:proofErr w:type="spellStart"/>
      <w:r w:rsidRPr="00F4381F">
        <w:t>tofacitinib</w:t>
      </w:r>
      <w:proofErr w:type="spellEnd"/>
      <w:r w:rsidRPr="00F4381F">
        <w:t xml:space="preserve"> 10 mg BID treatment group and 2 (1.6%) subjects in</w:t>
      </w:r>
      <w:r>
        <w:t xml:space="preserve"> </w:t>
      </w:r>
      <w:r w:rsidRPr="00F4381F">
        <w:t xml:space="preserve">the placebo group experienced </w:t>
      </w:r>
      <w:r>
        <w:t>myalgia</w:t>
      </w:r>
      <w:r w:rsidRPr="00F4381F">
        <w:t>. There</w:t>
      </w:r>
      <w:r>
        <w:t xml:space="preserve"> </w:t>
      </w:r>
      <w:r w:rsidRPr="00F4381F">
        <w:t>were no AEs of rhabdomyolysis or myopathy.</w:t>
      </w:r>
      <w:r w:rsidR="005F7896">
        <w:t xml:space="preserve"> </w:t>
      </w:r>
      <w:r w:rsidRPr="00D944FA">
        <w:t xml:space="preserve">One (0.2%) subject in the </w:t>
      </w:r>
      <w:proofErr w:type="spellStart"/>
      <w:r w:rsidRPr="00D944FA">
        <w:t>tofacitinib</w:t>
      </w:r>
      <w:proofErr w:type="spellEnd"/>
      <w:r w:rsidRPr="00D944FA">
        <w:t xml:space="preserve"> 10 mg BID group met the criteria for study discontinuation.</w:t>
      </w:r>
    </w:p>
    <w:p w14:paraId="4C0575D4" w14:textId="70CEC498" w:rsidR="007757F1" w:rsidRDefault="007757F1" w:rsidP="00B7056C">
      <w:r>
        <w:rPr>
          <w:lang w:eastAsia="ja-JP"/>
        </w:rPr>
        <w:t xml:space="preserve">In </w:t>
      </w:r>
      <w:r w:rsidRPr="00BD44F9">
        <w:rPr>
          <w:lang w:eastAsia="ja-JP"/>
        </w:rPr>
        <w:t>Study A3921095</w:t>
      </w:r>
      <w:r>
        <w:rPr>
          <w:lang w:eastAsia="ja-JP"/>
        </w:rPr>
        <w:t>, d</w:t>
      </w:r>
      <w:r w:rsidRPr="00564B9A">
        <w:t xml:space="preserve">ifferences in adjusted mean change from </w:t>
      </w:r>
      <w:r w:rsidR="00CF6A6C">
        <w:t>Baseline</w:t>
      </w:r>
      <w:r w:rsidRPr="00564B9A">
        <w:t xml:space="preserve"> in</w:t>
      </w:r>
      <w:r>
        <w:t xml:space="preserve"> </w:t>
      </w:r>
      <w:r w:rsidRPr="00564B9A">
        <w:t xml:space="preserve">CPK compared with placebo were statistically significant at </w:t>
      </w:r>
      <w:r>
        <w:t>Week 8 (p = 0.0006).</w:t>
      </w:r>
    </w:p>
    <w:p w14:paraId="08863224" w14:textId="77777777" w:rsidR="007757F1" w:rsidRDefault="007757F1" w:rsidP="00B7056C">
      <w:r w:rsidRPr="00564B9A">
        <w:t>Similar proportions of subjects in each treatment group had CPK values &gt;</w:t>
      </w:r>
      <w:r>
        <w:t xml:space="preserve"> </w:t>
      </w:r>
      <w:r w:rsidRPr="00564B9A">
        <w:t xml:space="preserve">2 </w:t>
      </w:r>
      <w:r w:rsidR="00EF7201">
        <w:t>times</w:t>
      </w:r>
      <w:r w:rsidRPr="00564B9A">
        <w:t xml:space="preserve"> ULN (</w:t>
      </w:r>
      <w:proofErr w:type="spellStart"/>
      <w:r w:rsidRPr="00564B9A">
        <w:t>tofacitinib</w:t>
      </w:r>
      <w:proofErr w:type="spellEnd"/>
      <w:r w:rsidRPr="00564B9A">
        <w:t xml:space="preserve"> 10 mg BID: 9.4%; placebo: 8.9%).</w:t>
      </w:r>
      <w:r>
        <w:t xml:space="preserve"> </w:t>
      </w:r>
      <w:r w:rsidRPr="0085246E">
        <w:t>Thirteen (3.0%)</w:t>
      </w:r>
      <w:r w:rsidR="00824977">
        <w:t xml:space="preserve"> subjects in the </w:t>
      </w:r>
      <w:proofErr w:type="spellStart"/>
      <w:r w:rsidR="00824977">
        <w:t>tofacitinib</w:t>
      </w:r>
      <w:proofErr w:type="spellEnd"/>
      <w:r w:rsidR="00824977">
        <w:t xml:space="preserve"> 10 </w:t>
      </w:r>
      <w:r w:rsidRPr="0085246E">
        <w:t xml:space="preserve">mg BID treatment group had blood CPK increased, compared with 3 </w:t>
      </w:r>
      <w:r>
        <w:t xml:space="preserve">(2.7%) </w:t>
      </w:r>
      <w:r w:rsidRPr="0085246E">
        <w:t>subjects in the placebo group</w:t>
      </w:r>
      <w:r>
        <w:t>, including 1 case</w:t>
      </w:r>
      <w:r w:rsidRPr="0085246E">
        <w:t xml:space="preserve"> which </w:t>
      </w:r>
      <w:r>
        <w:t>was severe</w:t>
      </w:r>
      <w:r w:rsidRPr="0085246E">
        <w:t xml:space="preserve">. Four (0.9%) subjects in the </w:t>
      </w:r>
      <w:proofErr w:type="spellStart"/>
      <w:r w:rsidRPr="0085246E">
        <w:t>tofacitinib</w:t>
      </w:r>
      <w:proofErr w:type="spellEnd"/>
      <w:r w:rsidRPr="0085246E">
        <w:t xml:space="preserve"> 10 mg BID treatment group experienced </w:t>
      </w:r>
      <w:r>
        <w:t>myalgia</w:t>
      </w:r>
      <w:r w:rsidRPr="0085246E">
        <w:t>.</w:t>
      </w:r>
      <w:r>
        <w:t xml:space="preserve"> N</w:t>
      </w:r>
      <w:r w:rsidRPr="0085246E">
        <w:t>o subject</w:t>
      </w:r>
      <w:r>
        <w:t xml:space="preserve"> met</w:t>
      </w:r>
      <w:r w:rsidRPr="0085246E">
        <w:t xml:space="preserve"> </w:t>
      </w:r>
      <w:r>
        <w:t xml:space="preserve">the </w:t>
      </w:r>
      <w:r w:rsidRPr="0085246E">
        <w:t>discontinuation criteria.</w:t>
      </w:r>
    </w:p>
    <w:p w14:paraId="1F3E46AD" w14:textId="31FECDC6" w:rsidR="005F7896" w:rsidRDefault="007757F1" w:rsidP="00B7056C">
      <w:r>
        <w:rPr>
          <w:lang w:eastAsia="ja-JP"/>
        </w:rPr>
        <w:t>In Study A3921096, d</w:t>
      </w:r>
      <w:r w:rsidRPr="00AF508F">
        <w:t xml:space="preserve">ifference from placebo in adjusted mean change from </w:t>
      </w:r>
      <w:r w:rsidR="00CF6A6C">
        <w:t>Baseline</w:t>
      </w:r>
      <w:r w:rsidRPr="00AF508F">
        <w:t xml:space="preserve"> </w:t>
      </w:r>
      <w:r>
        <w:t>was statistically</w:t>
      </w:r>
      <w:r w:rsidRPr="00AF508F">
        <w:t xml:space="preserve"> significant </w:t>
      </w:r>
      <w:r>
        <w:t xml:space="preserve">for </w:t>
      </w:r>
      <w:proofErr w:type="spellStart"/>
      <w:r>
        <w:t>tofacitinib</w:t>
      </w:r>
      <w:proofErr w:type="spellEnd"/>
      <w:r>
        <w:t xml:space="preserve"> 10 mg treatment for CPK at Weeks 8, 16, 24, 32 and 52 and for </w:t>
      </w:r>
      <w:proofErr w:type="spellStart"/>
      <w:r>
        <w:t>tofacitinib</w:t>
      </w:r>
      <w:proofErr w:type="spellEnd"/>
      <w:r>
        <w:t xml:space="preserve"> 5 mg at Weeks 8, 24, 32 and 52. </w:t>
      </w:r>
      <w:r w:rsidRPr="00B757EF">
        <w:t xml:space="preserve">A greater proportion of subjects in the </w:t>
      </w:r>
      <w:proofErr w:type="spellStart"/>
      <w:r w:rsidRPr="00B757EF">
        <w:t>tofacitinib</w:t>
      </w:r>
      <w:proofErr w:type="spellEnd"/>
      <w:r w:rsidRPr="00B757EF">
        <w:t xml:space="preserve"> 5 mg BID</w:t>
      </w:r>
      <w:r>
        <w:t xml:space="preserve"> </w:t>
      </w:r>
      <w:r w:rsidRPr="00B757EF">
        <w:t xml:space="preserve">group (18.7%) and the </w:t>
      </w:r>
      <w:proofErr w:type="spellStart"/>
      <w:r w:rsidRPr="00B757EF">
        <w:t>tofacitinib</w:t>
      </w:r>
      <w:proofErr w:type="spellEnd"/>
      <w:r w:rsidRPr="00B757EF">
        <w:t xml:space="preserve"> 10 mg BID group (27.7%) had CPK values &gt;</w:t>
      </w:r>
      <w:r>
        <w:t xml:space="preserve"> </w:t>
      </w:r>
      <w:r w:rsidRPr="00B757EF">
        <w:t xml:space="preserve">2 </w:t>
      </w:r>
      <w:r w:rsidR="00EF7201">
        <w:t>times</w:t>
      </w:r>
      <w:r w:rsidRPr="00B757EF">
        <w:t xml:space="preserve"> ULN,</w:t>
      </w:r>
      <w:r>
        <w:t xml:space="preserve"> </w:t>
      </w:r>
      <w:r w:rsidRPr="00B757EF">
        <w:t>compared with the placebo group (7.1%)</w:t>
      </w:r>
      <w:r>
        <w:t xml:space="preserve">, without regard to </w:t>
      </w:r>
      <w:r w:rsidR="005D22FA">
        <w:t>b</w:t>
      </w:r>
      <w:r w:rsidR="00CF6A6C">
        <w:t>aseline</w:t>
      </w:r>
      <w:r>
        <w:t xml:space="preserve"> abnormality</w:t>
      </w:r>
      <w:r w:rsidR="005F7896">
        <w:t>.</w:t>
      </w:r>
    </w:p>
    <w:p w14:paraId="332A2C25" w14:textId="77777777" w:rsidR="007757F1" w:rsidRDefault="007757F1" w:rsidP="00B7056C">
      <w:r w:rsidRPr="006B2D95">
        <w:t>Thirteen subjects</w:t>
      </w:r>
      <w:r>
        <w:t xml:space="preserve"> </w:t>
      </w:r>
      <w:r w:rsidRPr="006B2D95">
        <w:t xml:space="preserve">in the </w:t>
      </w:r>
      <w:proofErr w:type="spellStart"/>
      <w:r w:rsidRPr="006B2D95">
        <w:t>tofacitinib</w:t>
      </w:r>
      <w:proofErr w:type="spellEnd"/>
      <w:r w:rsidRPr="006B2D95">
        <w:t xml:space="preserve"> 10 mg BID treatment group (6.6%) had blood CPK increased</w:t>
      </w:r>
      <w:r>
        <w:t xml:space="preserve"> </w:t>
      </w:r>
      <w:r w:rsidRPr="006B2D95">
        <w:t>(</w:t>
      </w:r>
      <w:r>
        <w:t>including</w:t>
      </w:r>
      <w:r w:rsidRPr="006B2D95">
        <w:t xml:space="preserve"> 1 severe), compared with 6 subjects in the </w:t>
      </w:r>
      <w:proofErr w:type="spellStart"/>
      <w:r w:rsidRPr="006B2D95">
        <w:t>tofacitinib</w:t>
      </w:r>
      <w:proofErr w:type="spellEnd"/>
      <w:r w:rsidRPr="006B2D95">
        <w:t xml:space="preserve"> 5 mg BID</w:t>
      </w:r>
      <w:r>
        <w:t xml:space="preserve"> treatment group (3.0%</w:t>
      </w:r>
      <w:r w:rsidRPr="006B2D95">
        <w:t xml:space="preserve">) and 4 subjects in the placebo group (2.0%, 1 severe). Six subjects in the </w:t>
      </w:r>
      <w:proofErr w:type="spellStart"/>
      <w:r w:rsidRPr="006B2D95">
        <w:t>tofacitinib</w:t>
      </w:r>
      <w:proofErr w:type="spellEnd"/>
      <w:r w:rsidRPr="006B2D95">
        <w:t xml:space="preserve"> 5 mg BID treatment group (3.0%,</w:t>
      </w:r>
      <w:r>
        <w:t xml:space="preserve"> </w:t>
      </w:r>
      <w:r w:rsidRPr="006B2D95">
        <w:t>1 severe), 1</w:t>
      </w:r>
      <w:r w:rsidR="00824977">
        <w:t xml:space="preserve"> subject in the </w:t>
      </w:r>
      <w:proofErr w:type="spellStart"/>
      <w:r w:rsidR="00824977">
        <w:t>tofacitinib</w:t>
      </w:r>
      <w:proofErr w:type="spellEnd"/>
      <w:r w:rsidR="00824977">
        <w:t xml:space="preserve"> 10 </w:t>
      </w:r>
      <w:r w:rsidRPr="006B2D95">
        <w:t>mg BID treatment group (0.5%,</w:t>
      </w:r>
      <w:r>
        <w:t xml:space="preserve"> </w:t>
      </w:r>
      <w:r w:rsidRPr="006B2D95">
        <w:t>mild), and 4 subjects in the placebo group (2.0%, 1 severe) experienced</w:t>
      </w:r>
      <w:r>
        <w:t xml:space="preserve"> </w:t>
      </w:r>
      <w:r w:rsidRPr="006B2D95">
        <w:t>myalgia. One subject in the placebo group experienced mild</w:t>
      </w:r>
      <w:r>
        <w:t xml:space="preserve"> </w:t>
      </w:r>
      <w:r w:rsidRPr="006B2D95">
        <w:t xml:space="preserve">rhabdomyolysis. No subject in the </w:t>
      </w:r>
      <w:proofErr w:type="spellStart"/>
      <w:r w:rsidRPr="006B2D95">
        <w:t>tofacitinib</w:t>
      </w:r>
      <w:proofErr w:type="spellEnd"/>
      <w:r w:rsidRPr="006B2D95">
        <w:t xml:space="preserve"> treatment group had rhabdomyolysis.</w:t>
      </w:r>
      <w:r>
        <w:t xml:space="preserve"> </w:t>
      </w:r>
      <w:r w:rsidRPr="006B2D95">
        <w:t>There were no AEs of myopathy.</w:t>
      </w:r>
      <w:r>
        <w:t xml:space="preserve"> </w:t>
      </w:r>
      <w:r w:rsidRPr="006B2D95">
        <w:t xml:space="preserve">Two subjects (1.0%) in the </w:t>
      </w:r>
      <w:proofErr w:type="spellStart"/>
      <w:r w:rsidRPr="006B2D95">
        <w:t>tofacitinib</w:t>
      </w:r>
      <w:proofErr w:type="spellEnd"/>
      <w:r w:rsidRPr="006B2D95">
        <w:t xml:space="preserve"> 10 mg BID</w:t>
      </w:r>
      <w:r>
        <w:t xml:space="preserve"> </w:t>
      </w:r>
      <w:r w:rsidRPr="006B2D95">
        <w:t xml:space="preserve">group </w:t>
      </w:r>
      <w:r>
        <w:t>met the criteria for discontinuation.</w:t>
      </w:r>
    </w:p>
    <w:p w14:paraId="73EC645A" w14:textId="77777777" w:rsidR="007757F1" w:rsidRPr="00C2074B" w:rsidRDefault="007757F1" w:rsidP="00B7056C">
      <w:pPr>
        <w:pStyle w:val="Heading7"/>
      </w:pPr>
      <w:r w:rsidRPr="00C2074B">
        <w:t>Other studies</w:t>
      </w:r>
    </w:p>
    <w:p w14:paraId="4ED2B386" w14:textId="322FB6E7" w:rsidR="007757F1" w:rsidRPr="00100081" w:rsidRDefault="007757F1" w:rsidP="007757F1">
      <w:pPr>
        <w:rPr>
          <w:lang w:eastAsia="ja-JP"/>
        </w:rPr>
      </w:pPr>
      <w:r>
        <w:rPr>
          <w:lang w:eastAsia="ja-JP"/>
        </w:rPr>
        <w:t xml:space="preserve">No CPK results were reported in </w:t>
      </w:r>
      <w:r w:rsidRPr="00BD44F9">
        <w:rPr>
          <w:lang w:eastAsia="ja-JP"/>
        </w:rPr>
        <w:t>Study A3921063</w:t>
      </w:r>
      <w:r>
        <w:rPr>
          <w:lang w:eastAsia="ja-JP"/>
        </w:rPr>
        <w:t>. In Study A3921139, t</w:t>
      </w:r>
      <w:r w:rsidRPr="00663C26">
        <w:rPr>
          <w:rFonts w:eastAsiaTheme="minorHAnsi" w:cs="TimesNewRoman"/>
        </w:rPr>
        <w:t>here was no</w:t>
      </w:r>
      <w:r>
        <w:rPr>
          <w:rFonts w:eastAsiaTheme="minorHAnsi" w:cs="TimesNewRoman"/>
        </w:rPr>
        <w:t xml:space="preserve"> </w:t>
      </w:r>
      <w:r w:rsidRPr="00663C26">
        <w:rPr>
          <w:rFonts w:eastAsiaTheme="minorHAnsi" w:cs="TimesNewRoman"/>
        </w:rPr>
        <w:t xml:space="preserve">notable median percent change from </w:t>
      </w:r>
      <w:r w:rsidR="00CF6A6C">
        <w:rPr>
          <w:rFonts w:eastAsiaTheme="minorHAnsi" w:cs="TimesNewRoman"/>
        </w:rPr>
        <w:t>Baseline</w:t>
      </w:r>
      <w:r w:rsidRPr="00663C26">
        <w:rPr>
          <w:rFonts w:eastAsiaTheme="minorHAnsi" w:cs="TimesNewRoman"/>
        </w:rPr>
        <w:t xml:space="preserve"> for subjects in the </w:t>
      </w:r>
      <w:proofErr w:type="spellStart"/>
      <w:r w:rsidRPr="00663C26">
        <w:rPr>
          <w:rFonts w:eastAsiaTheme="minorHAnsi" w:cs="TimesNewRoman"/>
        </w:rPr>
        <w:t>tofacitinib</w:t>
      </w:r>
      <w:proofErr w:type="spellEnd"/>
      <w:r w:rsidRPr="00663C26">
        <w:rPr>
          <w:rFonts w:eastAsiaTheme="minorHAnsi" w:cs="TimesNewRoman"/>
        </w:rPr>
        <w:t xml:space="preserve"> 5 mg BID group.</w:t>
      </w:r>
      <w:r>
        <w:rPr>
          <w:rFonts w:eastAsiaTheme="minorHAnsi" w:cs="TimesNewRoman"/>
        </w:rPr>
        <w:t xml:space="preserve"> </w:t>
      </w:r>
      <w:r w:rsidRPr="00663C26">
        <w:rPr>
          <w:rFonts w:eastAsiaTheme="minorHAnsi" w:cs="TimesNewRoman"/>
        </w:rPr>
        <w:t xml:space="preserve">In the </w:t>
      </w:r>
      <w:proofErr w:type="spellStart"/>
      <w:r w:rsidRPr="00663C26">
        <w:rPr>
          <w:rFonts w:eastAsiaTheme="minorHAnsi" w:cs="TimesNewRoman"/>
        </w:rPr>
        <w:t>tofacitinib</w:t>
      </w:r>
      <w:proofErr w:type="spellEnd"/>
      <w:r w:rsidRPr="00663C26">
        <w:rPr>
          <w:rFonts w:eastAsiaTheme="minorHAnsi" w:cs="TimesNewRoman"/>
        </w:rPr>
        <w:t xml:space="preserve"> 10 mg BID group an increase in median percent change from </w:t>
      </w:r>
      <w:r w:rsidR="00CF6A6C">
        <w:rPr>
          <w:rFonts w:eastAsiaTheme="minorHAnsi" w:cs="TimesNewRoman"/>
        </w:rPr>
        <w:t>Baseline</w:t>
      </w:r>
      <w:r w:rsidRPr="00663C26">
        <w:rPr>
          <w:rFonts w:eastAsiaTheme="minorHAnsi" w:cs="TimesNewRoman"/>
        </w:rPr>
        <w:t xml:space="preserve"> was</w:t>
      </w:r>
      <w:r>
        <w:rPr>
          <w:rFonts w:eastAsiaTheme="minorHAnsi" w:cs="TimesNewRoman"/>
        </w:rPr>
        <w:t xml:space="preserve"> </w:t>
      </w:r>
      <w:r w:rsidRPr="00663C26">
        <w:rPr>
          <w:rFonts w:eastAsiaTheme="minorHAnsi" w:cs="TimesNewRoman"/>
        </w:rPr>
        <w:t>observed at Month 1 and continued through Month 24</w:t>
      </w:r>
      <w:r>
        <w:rPr>
          <w:rFonts w:eastAsiaTheme="minorHAnsi" w:cs="TimesNewRoman"/>
        </w:rPr>
        <w:t xml:space="preserve"> (89.3 percent change from </w:t>
      </w:r>
      <w:r w:rsidR="00CF6A6C">
        <w:rPr>
          <w:rFonts w:eastAsiaTheme="minorHAnsi" w:cs="TimesNewRoman"/>
        </w:rPr>
        <w:t>Baseline</w:t>
      </w:r>
      <w:r>
        <w:rPr>
          <w:rFonts w:eastAsiaTheme="minorHAnsi" w:cs="TimesNewRoman"/>
        </w:rPr>
        <w:t>)</w:t>
      </w:r>
      <w:r w:rsidRPr="00663C26">
        <w:rPr>
          <w:rFonts w:eastAsiaTheme="minorHAnsi" w:cs="TimesNewRoman"/>
        </w:rPr>
        <w:t>.</w:t>
      </w:r>
      <w:r>
        <w:rPr>
          <w:rFonts w:eastAsiaTheme="minorHAnsi" w:cs="TimesNewRoman"/>
        </w:rPr>
        <w:t xml:space="preserve"> I</w:t>
      </w:r>
      <w:r w:rsidRPr="00100081">
        <w:rPr>
          <w:rFonts w:eastAsiaTheme="minorHAnsi" w:cs="TimesNewRoman"/>
        </w:rPr>
        <w:t xml:space="preserve">ncidence of CPK abnormalities without regard to </w:t>
      </w:r>
      <w:r w:rsidR="005D22FA">
        <w:rPr>
          <w:rFonts w:eastAsiaTheme="minorHAnsi" w:cs="TimesNewRoman"/>
        </w:rPr>
        <w:t>b</w:t>
      </w:r>
      <w:r w:rsidR="00CF6A6C">
        <w:rPr>
          <w:rFonts w:eastAsiaTheme="minorHAnsi" w:cs="TimesNewRoman"/>
        </w:rPr>
        <w:t>aseline</w:t>
      </w:r>
      <w:r w:rsidRPr="00100081">
        <w:rPr>
          <w:rFonts w:eastAsiaTheme="minorHAnsi" w:cs="TimesNewRoman"/>
        </w:rPr>
        <w:t xml:space="preserve"> abnormality </w:t>
      </w:r>
      <w:r>
        <w:rPr>
          <w:rFonts w:eastAsiaTheme="minorHAnsi" w:cs="TimesNewRoman"/>
        </w:rPr>
        <w:t xml:space="preserve">was similar between </w:t>
      </w:r>
      <w:proofErr w:type="spellStart"/>
      <w:r>
        <w:rPr>
          <w:rFonts w:eastAsiaTheme="minorHAnsi" w:cs="TimesNewRoman"/>
        </w:rPr>
        <w:t>tofacitinib</w:t>
      </w:r>
      <w:proofErr w:type="spellEnd"/>
      <w:r>
        <w:rPr>
          <w:rFonts w:eastAsiaTheme="minorHAnsi" w:cs="TimesNewRoman"/>
        </w:rPr>
        <w:t xml:space="preserve"> treatments. </w:t>
      </w:r>
      <w:r w:rsidRPr="00100081">
        <w:rPr>
          <w:rFonts w:eastAsiaTheme="minorHAnsi" w:cs="TimesNewRoman"/>
        </w:rPr>
        <w:t>There were no AEs of rhabdomyolysis reported.</w:t>
      </w:r>
      <w:r>
        <w:rPr>
          <w:rFonts w:eastAsiaTheme="minorHAnsi" w:cs="TimesNewRoman"/>
        </w:rPr>
        <w:t xml:space="preserve"> </w:t>
      </w:r>
      <w:r w:rsidRPr="00100081">
        <w:rPr>
          <w:rFonts w:eastAsiaTheme="minorHAnsi" w:cs="TimesNewRoman"/>
        </w:rPr>
        <w:t xml:space="preserve">Two subjects in the </w:t>
      </w:r>
      <w:proofErr w:type="spellStart"/>
      <w:r w:rsidRPr="00100081">
        <w:rPr>
          <w:rFonts w:eastAsiaTheme="minorHAnsi" w:cs="TimesNewRoman"/>
        </w:rPr>
        <w:t>tofacitinib</w:t>
      </w:r>
      <w:proofErr w:type="spellEnd"/>
      <w:r w:rsidRPr="00100081">
        <w:rPr>
          <w:rFonts w:eastAsiaTheme="minorHAnsi" w:cs="TimesNewRoman"/>
        </w:rPr>
        <w:t xml:space="preserve"> 5 mg BID group and 3 subjects in the </w:t>
      </w:r>
      <w:proofErr w:type="spellStart"/>
      <w:r w:rsidRPr="00100081">
        <w:rPr>
          <w:rFonts w:eastAsiaTheme="minorHAnsi" w:cs="TimesNewRoman"/>
        </w:rPr>
        <w:t>tofacitinib</w:t>
      </w:r>
      <w:proofErr w:type="spellEnd"/>
      <w:r>
        <w:rPr>
          <w:rFonts w:eastAsiaTheme="minorHAnsi" w:cs="TimesNewRoman"/>
        </w:rPr>
        <w:t xml:space="preserve"> </w:t>
      </w:r>
      <w:r w:rsidRPr="00100081">
        <w:rPr>
          <w:rFonts w:eastAsiaTheme="minorHAnsi" w:cs="TimesNewRoman"/>
        </w:rPr>
        <w:t>10 mg BID group met the discontinuation criteria.</w:t>
      </w:r>
    </w:p>
    <w:p w14:paraId="043E0C00" w14:textId="77777777" w:rsidR="007757F1" w:rsidRPr="00545B14" w:rsidRDefault="007757F1" w:rsidP="00B7056C">
      <w:pPr>
        <w:pStyle w:val="Heading5"/>
      </w:pPr>
      <w:bookmarkStart w:id="144" w:name="_Toc272414675"/>
      <w:bookmarkStart w:id="145" w:name="_Toc290888539"/>
      <w:bookmarkStart w:id="146" w:name="_Toc416353754"/>
      <w:bookmarkStart w:id="147" w:name="_Toc421005297"/>
      <w:bookmarkStart w:id="148" w:name="_Toc432079174"/>
      <w:bookmarkStart w:id="149" w:name="_Toc432080747"/>
      <w:r w:rsidRPr="00545B14">
        <w:lastRenderedPageBreak/>
        <w:t>Electrocardiograph</w:t>
      </w:r>
      <w:bookmarkEnd w:id="144"/>
      <w:bookmarkEnd w:id="145"/>
      <w:bookmarkEnd w:id="146"/>
      <w:bookmarkEnd w:id="147"/>
      <w:r>
        <w:t xml:space="preserve"> findings and cardiovascular safety</w:t>
      </w:r>
      <w:bookmarkEnd w:id="148"/>
      <w:bookmarkEnd w:id="149"/>
    </w:p>
    <w:p w14:paraId="5B5F1A30" w14:textId="77777777" w:rsidR="007757F1" w:rsidRPr="00C2074B" w:rsidRDefault="007757F1" w:rsidP="00B7056C">
      <w:pPr>
        <w:pStyle w:val="Heading6"/>
      </w:pPr>
      <w:r w:rsidRPr="00C2074B">
        <w:t>Pivotal and/or main efficacy studies</w:t>
      </w:r>
    </w:p>
    <w:p w14:paraId="6A7C9A7F" w14:textId="77777777" w:rsidR="007757F1" w:rsidRDefault="007757F1" w:rsidP="00B7056C">
      <w:r>
        <w:rPr>
          <w:lang w:eastAsia="ja-JP"/>
        </w:rPr>
        <w:t>Most subjects</w:t>
      </w:r>
      <w:r w:rsidRPr="002F56DC">
        <w:t xml:space="preserve"> </w:t>
      </w:r>
      <w:r w:rsidRPr="00104DCF">
        <w:t>had no significant</w:t>
      </w:r>
      <w:r>
        <w:t xml:space="preserve"> </w:t>
      </w:r>
      <w:r w:rsidRPr="00104DCF">
        <w:t>change</w:t>
      </w:r>
      <w:r>
        <w:t>s</w:t>
      </w:r>
      <w:r w:rsidRPr="00104DCF">
        <w:t xml:space="preserve"> in ECG findings</w:t>
      </w:r>
      <w:r>
        <w:t xml:space="preserve"> across the </w:t>
      </w:r>
      <w:r w:rsidR="00B7366A">
        <w:t>Phase</w:t>
      </w:r>
      <w:r>
        <w:t xml:space="preserve"> III studies, irrespective of randomised treatment assignation. In Study A3921095, 1 subject</w:t>
      </w:r>
      <w:r w:rsidRPr="002F56DC">
        <w:t xml:space="preserve"> </w:t>
      </w:r>
      <w:r w:rsidRPr="00104DCF">
        <w:t>in the</w:t>
      </w:r>
      <w:r>
        <w:t xml:space="preserve"> </w:t>
      </w:r>
      <w:proofErr w:type="spellStart"/>
      <w:r w:rsidRPr="00104DCF">
        <w:t>tofacitinib</w:t>
      </w:r>
      <w:proofErr w:type="spellEnd"/>
      <w:r w:rsidRPr="00104DCF">
        <w:t xml:space="preserve"> 10 mg BID group had </w:t>
      </w:r>
      <w:r>
        <w:t xml:space="preserve">moderate left </w:t>
      </w:r>
      <w:r w:rsidRPr="00104DCF">
        <w:t>bundle branch block</w:t>
      </w:r>
      <w:r>
        <w:t xml:space="preserve">. In Study A3921094, for </w:t>
      </w:r>
      <w:proofErr w:type="spellStart"/>
      <w:r>
        <w:t>tofacitinib</w:t>
      </w:r>
      <w:proofErr w:type="spellEnd"/>
      <w:r>
        <w:t xml:space="preserve"> 10 mg treatment, 1 subject had mild </w:t>
      </w:r>
      <w:proofErr w:type="spellStart"/>
      <w:r>
        <w:t>extrasystole</w:t>
      </w:r>
      <w:proofErr w:type="spellEnd"/>
      <w:r>
        <w:t xml:space="preserve">, 2 subjects had sinus tachycardia another had an AE of ‘ECG abnormal’ compared with placebo treatment in which 1 subject had sinus tachycardia and 1 subject had sinus bradycardia. In Study A3921096, 1 subject </w:t>
      </w:r>
      <w:r w:rsidRPr="00DF6758">
        <w:rPr>
          <w:color w:val="000000"/>
        </w:rPr>
        <w:t>in</w:t>
      </w:r>
      <w:r>
        <w:rPr>
          <w:color w:val="000000"/>
        </w:rPr>
        <w:t xml:space="preserve"> </w:t>
      </w:r>
      <w:r w:rsidRPr="00DF6758">
        <w:rPr>
          <w:color w:val="000000"/>
        </w:rPr>
        <w:t xml:space="preserve">the </w:t>
      </w:r>
      <w:proofErr w:type="spellStart"/>
      <w:r w:rsidRPr="00DF6758">
        <w:rPr>
          <w:color w:val="000000"/>
        </w:rPr>
        <w:t>tofacitinib</w:t>
      </w:r>
      <w:proofErr w:type="spellEnd"/>
      <w:r w:rsidRPr="00DF6758">
        <w:rPr>
          <w:color w:val="000000"/>
        </w:rPr>
        <w:t xml:space="preserve"> 10 mg BID group had a</w:t>
      </w:r>
      <w:r>
        <w:rPr>
          <w:color w:val="000000"/>
        </w:rPr>
        <w:t xml:space="preserve"> mild</w:t>
      </w:r>
      <w:r w:rsidRPr="00DF6758">
        <w:rPr>
          <w:color w:val="000000"/>
        </w:rPr>
        <w:t xml:space="preserve"> event of atrioventricular block first degree</w:t>
      </w:r>
      <w:r>
        <w:rPr>
          <w:color w:val="000000"/>
        </w:rPr>
        <w:t xml:space="preserve"> compared with 1 subject in the placebo group had a mild prolongation of the QT-interval (QT corrected 450 to &lt; 480 </w:t>
      </w:r>
      <w:proofErr w:type="spellStart"/>
      <w:r>
        <w:rPr>
          <w:color w:val="000000"/>
        </w:rPr>
        <w:t>ms</w:t>
      </w:r>
      <w:proofErr w:type="spellEnd"/>
      <w:r>
        <w:rPr>
          <w:color w:val="000000"/>
        </w:rPr>
        <w:t>).</w:t>
      </w:r>
    </w:p>
    <w:p w14:paraId="493FEC07" w14:textId="77777777" w:rsidR="007757F1" w:rsidRPr="00C2074B" w:rsidRDefault="007757F1" w:rsidP="00B7056C">
      <w:pPr>
        <w:pStyle w:val="Heading6"/>
      </w:pPr>
      <w:r w:rsidRPr="00C2074B">
        <w:t>Other studies</w:t>
      </w:r>
    </w:p>
    <w:p w14:paraId="344EA5FB" w14:textId="77777777" w:rsidR="007757F1" w:rsidRDefault="007757F1" w:rsidP="00B7056C">
      <w:r>
        <w:t xml:space="preserve">In </w:t>
      </w:r>
      <w:r>
        <w:rPr>
          <w:lang w:eastAsia="ja-JP"/>
        </w:rPr>
        <w:t xml:space="preserve">Study A3921063, </w:t>
      </w:r>
      <w:r>
        <w:t xml:space="preserve">abnormal </w:t>
      </w:r>
      <w:r w:rsidRPr="0089651F">
        <w:t xml:space="preserve">findings were not </w:t>
      </w:r>
      <w:r>
        <w:t xml:space="preserve">considered </w:t>
      </w:r>
      <w:r w:rsidRPr="0089651F">
        <w:t>clinically significant.</w:t>
      </w:r>
      <w:r>
        <w:t xml:space="preserve"> In Study </w:t>
      </w:r>
      <w:bookmarkStart w:id="150" w:name="_Toc272414676"/>
      <w:bookmarkStart w:id="151" w:name="_Toc290888540"/>
      <w:bookmarkStart w:id="152" w:name="_Toc416353755"/>
      <w:bookmarkStart w:id="153" w:name="_Toc421005298"/>
      <w:bookmarkStart w:id="154" w:name="_Toc432079175"/>
      <w:bookmarkStart w:id="155" w:name="_Toc432080748"/>
      <w:r>
        <w:t xml:space="preserve">A3921139, 1 subject </w:t>
      </w:r>
      <w:r w:rsidRPr="00AD233B">
        <w:t>in</w:t>
      </w:r>
      <w:r>
        <w:t xml:space="preserve"> </w:t>
      </w:r>
      <w:r w:rsidRPr="00AD233B">
        <w:t xml:space="preserve">the </w:t>
      </w:r>
      <w:proofErr w:type="spellStart"/>
      <w:r w:rsidRPr="00AD233B">
        <w:t>tofacitinib</w:t>
      </w:r>
      <w:proofErr w:type="spellEnd"/>
      <w:r w:rsidRPr="00AD233B">
        <w:t xml:space="preserve"> 5 mg BID group reported </w:t>
      </w:r>
      <w:r>
        <w:t xml:space="preserve">mild </w:t>
      </w:r>
      <w:r w:rsidRPr="00AD233B">
        <w:t>sinus bradycardia</w:t>
      </w:r>
      <w:r>
        <w:t xml:space="preserve">. In </w:t>
      </w:r>
      <w:r w:rsidRPr="00AD233B">
        <w:t xml:space="preserve">the </w:t>
      </w:r>
      <w:proofErr w:type="spellStart"/>
      <w:r w:rsidRPr="00AD233B">
        <w:t>tofacitinib</w:t>
      </w:r>
      <w:proofErr w:type="spellEnd"/>
      <w:r>
        <w:t xml:space="preserve"> </w:t>
      </w:r>
      <w:r w:rsidRPr="00AD233B">
        <w:t>10 mg BID group</w:t>
      </w:r>
      <w:r>
        <w:t xml:space="preserve"> </w:t>
      </w:r>
      <w:r w:rsidRPr="00AD233B">
        <w:t>the following events were reported in 1 subject each with mild</w:t>
      </w:r>
      <w:r>
        <w:t xml:space="preserve"> </w:t>
      </w:r>
      <w:r w:rsidRPr="00AD233B">
        <w:t>severity: arrhythmia, bundle branch block left, bundle branch block right, supraventricular</w:t>
      </w:r>
      <w:r>
        <w:t xml:space="preserve"> </w:t>
      </w:r>
      <w:proofErr w:type="spellStart"/>
      <w:r w:rsidRPr="00AD233B">
        <w:t>extrasystoles</w:t>
      </w:r>
      <w:proofErr w:type="spellEnd"/>
      <w:r w:rsidRPr="00AD233B">
        <w:t xml:space="preserve"> and ventricular </w:t>
      </w:r>
      <w:proofErr w:type="spellStart"/>
      <w:r w:rsidRPr="00AD233B">
        <w:t>extrasystoles</w:t>
      </w:r>
      <w:proofErr w:type="spellEnd"/>
      <w:r w:rsidRPr="00AD233B">
        <w:t>.</w:t>
      </w:r>
      <w:r>
        <w:t xml:space="preserve">; </w:t>
      </w:r>
      <w:r w:rsidRPr="00AD233B">
        <w:t xml:space="preserve">2 subjects reported </w:t>
      </w:r>
      <w:r>
        <w:t xml:space="preserve">mild </w:t>
      </w:r>
      <w:r w:rsidRPr="00AD233B">
        <w:t xml:space="preserve">sinus bradycardia </w:t>
      </w:r>
      <w:r>
        <w:t xml:space="preserve">and </w:t>
      </w:r>
      <w:r w:rsidRPr="00AD233B">
        <w:t>1</w:t>
      </w:r>
      <w:r>
        <w:t xml:space="preserve"> su</w:t>
      </w:r>
      <w:r w:rsidRPr="00AD233B">
        <w:t xml:space="preserve">bject reported </w:t>
      </w:r>
      <w:r>
        <w:t>moderate sinus tachycardia.</w:t>
      </w:r>
    </w:p>
    <w:p w14:paraId="48425511" w14:textId="77777777" w:rsidR="007757F1" w:rsidRPr="00545B14" w:rsidRDefault="007757F1" w:rsidP="00B7056C">
      <w:pPr>
        <w:pStyle w:val="Heading5"/>
      </w:pPr>
      <w:r w:rsidRPr="00545B14">
        <w:t>Vital signs</w:t>
      </w:r>
      <w:bookmarkEnd w:id="150"/>
      <w:bookmarkEnd w:id="151"/>
      <w:bookmarkEnd w:id="152"/>
      <w:bookmarkEnd w:id="153"/>
      <w:r>
        <w:t xml:space="preserve"> and clinical examination findings</w:t>
      </w:r>
      <w:bookmarkEnd w:id="154"/>
      <w:bookmarkEnd w:id="155"/>
    </w:p>
    <w:p w14:paraId="33C64092" w14:textId="77777777" w:rsidR="007757F1" w:rsidRPr="00C2074B" w:rsidRDefault="007757F1" w:rsidP="00B7056C">
      <w:pPr>
        <w:pStyle w:val="Heading6"/>
      </w:pPr>
      <w:r w:rsidRPr="00C2074B">
        <w:t>Pivotal and/or main efficacy studies</w:t>
      </w:r>
    </w:p>
    <w:p w14:paraId="57A8013F" w14:textId="77777777" w:rsidR="007757F1" w:rsidRPr="00D161BD" w:rsidRDefault="007757F1" w:rsidP="00B7056C">
      <w:pPr>
        <w:pStyle w:val="Heading7"/>
        <w:rPr>
          <w:rFonts w:eastAsiaTheme="minorHAnsi"/>
        </w:rPr>
      </w:pPr>
      <w:r w:rsidRPr="00D161BD">
        <w:rPr>
          <w:rFonts w:eastAsiaTheme="minorHAnsi"/>
        </w:rPr>
        <w:t>Vital signs</w:t>
      </w:r>
    </w:p>
    <w:p w14:paraId="6344B06A" w14:textId="77777777" w:rsidR="007757F1" w:rsidRDefault="007757F1" w:rsidP="00B7056C">
      <w:r w:rsidRPr="001E4396">
        <w:t xml:space="preserve">The proportions of subjects meeting systolic </w:t>
      </w:r>
      <w:r w:rsidR="006C148C">
        <w:t>blood pressure (</w:t>
      </w:r>
      <w:r w:rsidRPr="001E4396">
        <w:t>BP</w:t>
      </w:r>
      <w:r w:rsidR="006C148C">
        <w:t>)</w:t>
      </w:r>
      <w:r w:rsidRPr="001E4396">
        <w:t>, diastolic BP, and</w:t>
      </w:r>
      <w:r>
        <w:t xml:space="preserve"> </w:t>
      </w:r>
      <w:r w:rsidRPr="001E4396">
        <w:t xml:space="preserve">pulse rate criteria for potential clinical concern were low and similar </w:t>
      </w:r>
      <w:r>
        <w:t>across</w:t>
      </w:r>
      <w:r w:rsidRPr="001E4396">
        <w:t xml:space="preserve"> treatment</w:t>
      </w:r>
      <w:r>
        <w:t xml:space="preserve"> groups in the </w:t>
      </w:r>
      <w:r w:rsidR="00B7366A">
        <w:t>Phase</w:t>
      </w:r>
      <w:r>
        <w:t xml:space="preserve"> III studies.</w:t>
      </w:r>
      <w:r w:rsidRPr="002F51C8">
        <w:t xml:space="preserve"> </w:t>
      </w:r>
      <w:r w:rsidRPr="00F666FD">
        <w:t>There were no AEs due to</w:t>
      </w:r>
      <w:r>
        <w:t xml:space="preserve"> </w:t>
      </w:r>
      <w:r w:rsidRPr="00F666FD">
        <w:t>vital sign abnormalities that led to temporary discontinuation</w:t>
      </w:r>
      <w:r>
        <w:t>,</w:t>
      </w:r>
      <w:r w:rsidRPr="00F666FD">
        <w:t xml:space="preserve"> dose reduction</w:t>
      </w:r>
      <w:r>
        <w:t xml:space="preserve"> </w:t>
      </w:r>
      <w:r w:rsidRPr="00F666FD">
        <w:t>or to permanent study drug or study discontinuation</w:t>
      </w:r>
      <w:r>
        <w:t>.</w:t>
      </w:r>
    </w:p>
    <w:p w14:paraId="5D30CD3D" w14:textId="77777777" w:rsidR="007757F1" w:rsidRPr="00B7056C" w:rsidRDefault="007757F1" w:rsidP="00B7056C">
      <w:pPr>
        <w:rPr>
          <w:color w:val="000000"/>
        </w:rPr>
      </w:pPr>
      <w:r>
        <w:t xml:space="preserve">Hypertension was reported in 6 (1.3%) subjects in Study A3921094 in the </w:t>
      </w:r>
      <w:proofErr w:type="spellStart"/>
      <w:r>
        <w:t>tofa</w:t>
      </w:r>
      <w:r w:rsidR="00DB5DBB">
        <w:t>citinib</w:t>
      </w:r>
      <w:proofErr w:type="spellEnd"/>
      <w:r w:rsidR="00DB5DBB">
        <w:t xml:space="preserve"> 10 </w:t>
      </w:r>
      <w:r>
        <w:t xml:space="preserve">mg treatment group (one case was severe) and 1 (0.8%) in the placebo treatment group. No event was a SAE. Hypertension was reported in 3 (0.7%) subjects in Study A3921095 in the </w:t>
      </w:r>
      <w:proofErr w:type="spellStart"/>
      <w:r>
        <w:t>tofa</w:t>
      </w:r>
      <w:r w:rsidR="00DB5DBB">
        <w:t>citinib</w:t>
      </w:r>
      <w:proofErr w:type="spellEnd"/>
      <w:r w:rsidR="00DB5DBB">
        <w:t xml:space="preserve"> 10 mg treatment group. One</w:t>
      </w:r>
      <w:r>
        <w:t xml:space="preserve"> case was a SAE. In Study A3921096, h</w:t>
      </w:r>
      <w:r w:rsidRPr="00B92C3C">
        <w:rPr>
          <w:color w:val="000000"/>
        </w:rPr>
        <w:t>ypertension was reported in 4 (2.0%)</w:t>
      </w:r>
      <w:r w:rsidRPr="00EF56FE">
        <w:rPr>
          <w:color w:val="000000"/>
        </w:rPr>
        <w:t xml:space="preserve"> </w:t>
      </w:r>
      <w:r w:rsidRPr="00B92C3C">
        <w:rPr>
          <w:color w:val="000000"/>
        </w:rPr>
        <w:t>subjects in the</w:t>
      </w:r>
      <w:r>
        <w:rPr>
          <w:color w:val="000000"/>
        </w:rPr>
        <w:t xml:space="preserve"> </w:t>
      </w:r>
      <w:proofErr w:type="spellStart"/>
      <w:r w:rsidRPr="00B92C3C">
        <w:rPr>
          <w:color w:val="000000"/>
        </w:rPr>
        <w:t>tofacitinib</w:t>
      </w:r>
      <w:proofErr w:type="spellEnd"/>
      <w:r w:rsidRPr="00B92C3C">
        <w:rPr>
          <w:color w:val="000000"/>
        </w:rPr>
        <w:t xml:space="preserve"> 5 mg BID group, 4 (2.0%)</w:t>
      </w:r>
      <w:r w:rsidRPr="00EF56FE">
        <w:rPr>
          <w:color w:val="000000"/>
        </w:rPr>
        <w:t xml:space="preserve"> </w:t>
      </w:r>
      <w:r w:rsidRPr="00B92C3C">
        <w:rPr>
          <w:color w:val="000000"/>
        </w:rPr>
        <w:t xml:space="preserve">subjects in the </w:t>
      </w:r>
      <w:proofErr w:type="spellStart"/>
      <w:r w:rsidRPr="00B92C3C">
        <w:rPr>
          <w:color w:val="000000"/>
        </w:rPr>
        <w:t>tofacitinib</w:t>
      </w:r>
      <w:proofErr w:type="spellEnd"/>
      <w:r w:rsidRPr="00B92C3C">
        <w:rPr>
          <w:color w:val="000000"/>
        </w:rPr>
        <w:t xml:space="preserve"> 10 mg</w:t>
      </w:r>
      <w:r>
        <w:rPr>
          <w:color w:val="000000"/>
        </w:rPr>
        <w:t xml:space="preserve"> </w:t>
      </w:r>
      <w:r w:rsidRPr="00B92C3C">
        <w:rPr>
          <w:color w:val="000000"/>
        </w:rPr>
        <w:t>BID group and 1 (0.5%)</w:t>
      </w:r>
      <w:r w:rsidRPr="00EF56FE">
        <w:rPr>
          <w:color w:val="000000"/>
        </w:rPr>
        <w:t xml:space="preserve"> </w:t>
      </w:r>
      <w:r w:rsidRPr="00B92C3C">
        <w:rPr>
          <w:color w:val="000000"/>
        </w:rPr>
        <w:t>subject in the placebo group.</w:t>
      </w:r>
      <w:r w:rsidRPr="00EF56FE">
        <w:t xml:space="preserve"> </w:t>
      </w:r>
      <w:r>
        <w:t>No event was a SAE.</w:t>
      </w:r>
    </w:p>
    <w:p w14:paraId="343E8B3B" w14:textId="77777777" w:rsidR="007757F1" w:rsidRPr="006C148C" w:rsidRDefault="007757F1" w:rsidP="00B7056C">
      <w:r>
        <w:t>O</w:t>
      </w:r>
      <w:r w:rsidRPr="00F666FD">
        <w:t>rthostatic hypotension occurred</w:t>
      </w:r>
      <w:r>
        <w:t xml:space="preserve"> </w:t>
      </w:r>
      <w:r w:rsidRPr="00F666FD">
        <w:t xml:space="preserve">in 1 subject in the </w:t>
      </w:r>
      <w:proofErr w:type="spellStart"/>
      <w:r w:rsidRPr="00F666FD">
        <w:t>tof</w:t>
      </w:r>
      <w:r>
        <w:t>acitinib</w:t>
      </w:r>
      <w:proofErr w:type="spellEnd"/>
      <w:r>
        <w:t xml:space="preserve"> 10 mg BID group (0.2%) in Study A3921094.</w:t>
      </w:r>
      <w:r w:rsidRPr="00EF56FE">
        <w:rPr>
          <w:color w:val="000000"/>
        </w:rPr>
        <w:t xml:space="preserve"> </w:t>
      </w:r>
      <w:r w:rsidRPr="00B92C3C">
        <w:rPr>
          <w:color w:val="000000"/>
        </w:rPr>
        <w:t xml:space="preserve">Two (1.0%) subjects in the </w:t>
      </w:r>
      <w:proofErr w:type="spellStart"/>
      <w:r w:rsidRPr="00B92C3C">
        <w:rPr>
          <w:color w:val="000000"/>
        </w:rPr>
        <w:t>tofacitinib</w:t>
      </w:r>
      <w:proofErr w:type="spellEnd"/>
      <w:r w:rsidRPr="00B92C3C">
        <w:rPr>
          <w:color w:val="000000"/>
        </w:rPr>
        <w:t xml:space="preserve"> 10 mg BID group had</w:t>
      </w:r>
      <w:r>
        <w:rPr>
          <w:color w:val="000000"/>
        </w:rPr>
        <w:t xml:space="preserve"> </w:t>
      </w:r>
      <w:r w:rsidRPr="00B92C3C">
        <w:rPr>
          <w:color w:val="000000"/>
        </w:rPr>
        <w:t>event</w:t>
      </w:r>
      <w:r>
        <w:rPr>
          <w:color w:val="000000"/>
        </w:rPr>
        <w:t xml:space="preserve">s of body temperature increased </w:t>
      </w:r>
      <w:r w:rsidRPr="00EF56FE">
        <w:rPr>
          <w:color w:val="000000"/>
        </w:rPr>
        <w:t xml:space="preserve">in </w:t>
      </w:r>
      <w:r w:rsidRPr="00EF56FE">
        <w:t xml:space="preserve">Study A3921096. </w:t>
      </w:r>
      <w:r>
        <w:t>No event was a SAE.</w:t>
      </w:r>
    </w:p>
    <w:p w14:paraId="5E7029C1" w14:textId="77777777" w:rsidR="007757F1" w:rsidRDefault="007757F1" w:rsidP="00B7056C">
      <w:r>
        <w:t xml:space="preserve">In Study A3921096, </w:t>
      </w:r>
      <w:r w:rsidR="006C148C">
        <w:t xml:space="preserve">systolic </w:t>
      </w:r>
      <w:r w:rsidRPr="001E4396">
        <w:t xml:space="preserve">BP increase </w:t>
      </w:r>
      <w:r>
        <w:rPr>
          <w:rFonts w:cs="Symbol"/>
        </w:rPr>
        <w:t xml:space="preserve">≥ </w:t>
      </w:r>
      <w:r w:rsidRPr="001E4396">
        <w:t xml:space="preserve">30 mm Hg occurred in 5.6% and 5.2% of subjects in the </w:t>
      </w:r>
      <w:proofErr w:type="spellStart"/>
      <w:r w:rsidRPr="001E4396">
        <w:t>tofacitinib</w:t>
      </w:r>
      <w:proofErr w:type="spellEnd"/>
      <w:r>
        <w:t xml:space="preserve"> </w:t>
      </w:r>
      <w:r w:rsidRPr="001E4396">
        <w:t>5 mg BID and 10 mg BID groups, and in 3.1% of subjects in the placebo group. D</w:t>
      </w:r>
      <w:r w:rsidR="006C148C">
        <w:t xml:space="preserve">iastolic </w:t>
      </w:r>
      <w:r w:rsidRPr="001E4396">
        <w:t>BP</w:t>
      </w:r>
      <w:r>
        <w:t xml:space="preserve"> </w:t>
      </w:r>
      <w:r w:rsidRPr="001E4396">
        <w:t xml:space="preserve">increase </w:t>
      </w:r>
      <w:r>
        <w:rPr>
          <w:rFonts w:cs="Symbol"/>
        </w:rPr>
        <w:t xml:space="preserve">≥ </w:t>
      </w:r>
      <w:r w:rsidRPr="001E4396">
        <w:t xml:space="preserve">20 mm Hg occurred in 4.6% and 5.2% of subjects in the </w:t>
      </w:r>
      <w:proofErr w:type="spellStart"/>
      <w:r w:rsidRPr="001E4396">
        <w:t>tofacitinib</w:t>
      </w:r>
      <w:proofErr w:type="spellEnd"/>
      <w:r w:rsidRPr="001E4396">
        <w:t xml:space="preserve"> 5 mg BID and</w:t>
      </w:r>
      <w:r>
        <w:t xml:space="preserve"> </w:t>
      </w:r>
      <w:r w:rsidRPr="001E4396">
        <w:t>10 mg BID groups, and in 2.1%</w:t>
      </w:r>
      <w:r w:rsidR="00B7056C">
        <w:t xml:space="preserve"> subjects in the placebo group.</w:t>
      </w:r>
    </w:p>
    <w:p w14:paraId="0FFEAA5B" w14:textId="77777777" w:rsidR="007757F1" w:rsidRPr="00D161BD" w:rsidRDefault="007757F1" w:rsidP="00B7056C">
      <w:pPr>
        <w:pStyle w:val="Heading7"/>
        <w:rPr>
          <w:rFonts w:eastAsiaTheme="minorHAnsi"/>
        </w:rPr>
      </w:pPr>
      <w:r w:rsidRPr="00D161BD">
        <w:rPr>
          <w:rFonts w:eastAsiaTheme="minorHAnsi"/>
        </w:rPr>
        <w:t>Clinical examination</w:t>
      </w:r>
    </w:p>
    <w:p w14:paraId="37DA2559" w14:textId="62546D5F" w:rsidR="007757F1" w:rsidRDefault="000651F9" w:rsidP="007757F1">
      <w:pPr>
        <w:autoSpaceDE w:val="0"/>
        <w:autoSpaceDN w:val="0"/>
        <w:adjustRightInd w:val="0"/>
        <w:spacing w:before="0" w:after="0" w:line="240" w:lineRule="auto"/>
        <w:rPr>
          <w:rFonts w:eastAsiaTheme="minorHAnsi" w:cs="TimesNewRoman"/>
        </w:rPr>
      </w:pPr>
      <w:r>
        <w:rPr>
          <w:rFonts w:eastAsiaTheme="minorHAnsi" w:cs="TimesNewRoman"/>
        </w:rPr>
        <w:t>In S</w:t>
      </w:r>
      <w:r w:rsidR="007757F1">
        <w:rPr>
          <w:rFonts w:eastAsiaTheme="minorHAnsi" w:cs="TimesNewRoman"/>
        </w:rPr>
        <w:t>tudies A3921094, A3921095 and A3921096, a</w:t>
      </w:r>
      <w:r w:rsidR="007757F1" w:rsidRPr="0048164B">
        <w:rPr>
          <w:rFonts w:eastAsiaTheme="minorHAnsi" w:cs="TimesNewRoman"/>
        </w:rPr>
        <w:t xml:space="preserve">t </w:t>
      </w:r>
      <w:r w:rsidR="00CF6A6C">
        <w:rPr>
          <w:rFonts w:eastAsiaTheme="minorHAnsi" w:cs="TimesNewRoman"/>
        </w:rPr>
        <w:t>Baseline</w:t>
      </w:r>
      <w:r w:rsidR="007757F1" w:rsidRPr="0048164B">
        <w:rPr>
          <w:rFonts w:eastAsiaTheme="minorHAnsi" w:cs="TimesNewRoman"/>
        </w:rPr>
        <w:t xml:space="preserve">, there were no notable differences between treatment groups in the proportion of subjects with abnormal physical examination findings. The percentages of subjects with significant changes in physical examination findings were </w:t>
      </w:r>
      <w:r w:rsidR="007757F1">
        <w:rPr>
          <w:rFonts w:eastAsiaTheme="minorHAnsi" w:cs="TimesNewRoman"/>
        </w:rPr>
        <w:t xml:space="preserve">generally </w:t>
      </w:r>
      <w:r w:rsidR="007757F1" w:rsidRPr="0048164B">
        <w:rPr>
          <w:rFonts w:eastAsiaTheme="minorHAnsi" w:cs="TimesNewRoman"/>
        </w:rPr>
        <w:t>similar between treatment groups</w:t>
      </w:r>
      <w:r w:rsidR="007757F1">
        <w:rPr>
          <w:rFonts w:eastAsiaTheme="minorHAnsi" w:cs="TimesNewRoman"/>
        </w:rPr>
        <w:t xml:space="preserve"> for the duration of each study</w:t>
      </w:r>
      <w:r w:rsidR="00B7056C">
        <w:rPr>
          <w:rFonts w:eastAsiaTheme="minorHAnsi" w:cs="TimesNewRoman"/>
        </w:rPr>
        <w:t>.</w:t>
      </w:r>
    </w:p>
    <w:p w14:paraId="46D79B54" w14:textId="77777777" w:rsidR="007757F1" w:rsidRPr="00C2074B" w:rsidRDefault="007757F1" w:rsidP="00B7056C">
      <w:pPr>
        <w:pStyle w:val="Heading6"/>
      </w:pPr>
      <w:r w:rsidRPr="00C2074B">
        <w:lastRenderedPageBreak/>
        <w:t>Other studies</w:t>
      </w:r>
    </w:p>
    <w:p w14:paraId="586EB0BE" w14:textId="77777777" w:rsidR="007757F1" w:rsidRPr="00B7056C" w:rsidRDefault="007757F1" w:rsidP="00B7056C">
      <w:pPr>
        <w:pStyle w:val="Heading7"/>
        <w:rPr>
          <w:rFonts w:eastAsiaTheme="minorHAnsi"/>
        </w:rPr>
      </w:pPr>
      <w:r w:rsidRPr="00F97E1A">
        <w:rPr>
          <w:rFonts w:eastAsiaTheme="minorHAnsi"/>
        </w:rPr>
        <w:t>Vital signs</w:t>
      </w:r>
    </w:p>
    <w:p w14:paraId="297F50F3" w14:textId="77777777" w:rsidR="007757F1" w:rsidRPr="004337C3" w:rsidRDefault="007757F1" w:rsidP="00B7056C">
      <w:r w:rsidRPr="004337C3">
        <w:t xml:space="preserve">In Study A3921063, no vital sign values were considered clinically significant except subjects who received 15 mg </w:t>
      </w:r>
      <w:proofErr w:type="spellStart"/>
      <w:r w:rsidRPr="004337C3">
        <w:t>tofacitinib</w:t>
      </w:r>
      <w:proofErr w:type="spellEnd"/>
      <w:r w:rsidRPr="004337C3">
        <w:t xml:space="preserve"> BID treatment had</w:t>
      </w:r>
      <w:r w:rsidR="006C148C" w:rsidRPr="004337C3">
        <w:t xml:space="preserve"> markedly higher elevations in systolic </w:t>
      </w:r>
      <w:r w:rsidRPr="004337C3">
        <w:t xml:space="preserve">BP ≥ 30 mm Hg than other treatment groups: 12.2% (n = 6) compared with 2.1 to 6.5% for placebo, </w:t>
      </w:r>
      <w:proofErr w:type="spellStart"/>
      <w:r w:rsidRPr="004337C3">
        <w:t>tofacitinib</w:t>
      </w:r>
      <w:proofErr w:type="spellEnd"/>
      <w:r w:rsidRPr="004337C3">
        <w:t xml:space="preserve"> 0.5 mg, 3 mg and 10 mg. Given the small numbers of cases these findings should be interpreted with caution</w:t>
      </w:r>
      <w:r w:rsidR="00B7056C" w:rsidRPr="004337C3">
        <w:t>.</w:t>
      </w:r>
    </w:p>
    <w:p w14:paraId="145151A6" w14:textId="77777777" w:rsidR="007757F1" w:rsidRPr="004337C3" w:rsidRDefault="007757F1" w:rsidP="00B7056C">
      <w:r w:rsidRPr="004337C3">
        <w:t xml:space="preserve">In Study A3921139, the proportions of subjects meeting systolic BP criteria for potential clinical concern were lower in the </w:t>
      </w:r>
      <w:proofErr w:type="spellStart"/>
      <w:r w:rsidRPr="004337C3">
        <w:t>tofacitinib</w:t>
      </w:r>
      <w:proofErr w:type="spellEnd"/>
      <w:r w:rsidRPr="004337C3">
        <w:t xml:space="preserve"> 5 mg BID group than in the </w:t>
      </w:r>
      <w:proofErr w:type="spellStart"/>
      <w:r w:rsidRPr="004337C3">
        <w:t>tofacitinib</w:t>
      </w:r>
      <w:proofErr w:type="spellEnd"/>
      <w:r w:rsidRPr="004337C3">
        <w:t xml:space="preserve"> 10 mg BID group. Systolic BP increase </w:t>
      </w:r>
      <w:r w:rsidRPr="004337C3">
        <w:rPr>
          <w:rFonts w:cs="Symbol"/>
        </w:rPr>
        <w:t xml:space="preserve">≥ </w:t>
      </w:r>
      <w:r w:rsidRPr="004337C3">
        <w:t xml:space="preserve">30 mm Hg occurred in 4.6% and 9.9% of subjects in the </w:t>
      </w:r>
      <w:proofErr w:type="spellStart"/>
      <w:r w:rsidRPr="004337C3">
        <w:t>tofacitinib</w:t>
      </w:r>
      <w:proofErr w:type="spellEnd"/>
      <w:r w:rsidRPr="004337C3">
        <w:t xml:space="preserve"> 5 mg BID and 10 mg BID groups, respectively. Systolic BP decrease </w:t>
      </w:r>
      <w:r w:rsidRPr="004337C3">
        <w:rPr>
          <w:rFonts w:cs="Symbol"/>
        </w:rPr>
        <w:t xml:space="preserve">≥ </w:t>
      </w:r>
      <w:r w:rsidRPr="004337C3">
        <w:t xml:space="preserve">30 mm Hg occurred in 3.9% and 4.9% of subjects in the </w:t>
      </w:r>
      <w:proofErr w:type="spellStart"/>
      <w:r w:rsidRPr="004337C3">
        <w:t>tofacitinib</w:t>
      </w:r>
      <w:proofErr w:type="spellEnd"/>
      <w:r w:rsidRPr="004337C3">
        <w:t xml:space="preserve"> 5 mg BID and 10 mg BID groups, respectively. Systolic BP &lt; 90 mm Hg occurred in similar proportions of subjects in the </w:t>
      </w:r>
      <w:proofErr w:type="spellStart"/>
      <w:r w:rsidRPr="004337C3">
        <w:t>tofacitinib</w:t>
      </w:r>
      <w:proofErr w:type="spellEnd"/>
      <w:r w:rsidRPr="004337C3">
        <w:t xml:space="preserve"> 5 mg BID (1.3%) and </w:t>
      </w:r>
      <w:proofErr w:type="spellStart"/>
      <w:r w:rsidRPr="004337C3">
        <w:t>tofacitinib</w:t>
      </w:r>
      <w:proofErr w:type="spellEnd"/>
      <w:r w:rsidRPr="004337C3">
        <w:t xml:space="preserve"> 10 mg BID (1.6%) groups.</w:t>
      </w:r>
    </w:p>
    <w:p w14:paraId="0EB5F8D7" w14:textId="77777777" w:rsidR="007757F1" w:rsidRPr="00B7056C" w:rsidRDefault="007757F1" w:rsidP="00B7056C">
      <w:pPr>
        <w:rPr>
          <w:color w:val="000000"/>
        </w:rPr>
      </w:pPr>
      <w:r w:rsidRPr="004337C3">
        <w:t xml:space="preserve">Diastolic BP increase </w:t>
      </w:r>
      <w:r w:rsidRPr="004337C3">
        <w:rPr>
          <w:rFonts w:cs="Symbol"/>
        </w:rPr>
        <w:t xml:space="preserve">≥ </w:t>
      </w:r>
      <w:r w:rsidRPr="004337C3">
        <w:t xml:space="preserve">20 mm Hg occurred in 4.6% and 12.4% of subjects in the </w:t>
      </w:r>
      <w:proofErr w:type="spellStart"/>
      <w:r w:rsidRPr="004337C3">
        <w:t>tofacitinib</w:t>
      </w:r>
      <w:proofErr w:type="spellEnd"/>
      <w:r w:rsidRPr="004337C3">
        <w:t xml:space="preserve"> 5 mg BID and 10 mg BID groups, respectively. Diastolic BP decrease </w:t>
      </w:r>
      <w:r w:rsidR="004337C3">
        <w:rPr>
          <w:rFonts w:cs="Symbol"/>
        </w:rPr>
        <w:t>≥ </w:t>
      </w:r>
      <w:r w:rsidR="004337C3">
        <w:t>20 </w:t>
      </w:r>
      <w:r w:rsidRPr="004337C3">
        <w:t>m</w:t>
      </w:r>
      <w:r w:rsidR="004337C3">
        <w:t>m </w:t>
      </w:r>
      <w:r w:rsidRPr="004337C3">
        <w:t xml:space="preserve">Hg occurred in 13.8% and 7.8% of subjects in the </w:t>
      </w:r>
      <w:proofErr w:type="spellStart"/>
      <w:r w:rsidRPr="004337C3">
        <w:t>tofacitinib</w:t>
      </w:r>
      <w:proofErr w:type="spellEnd"/>
      <w:r w:rsidRPr="004337C3">
        <w:t xml:space="preserve"> 5 mg BID and 10 mg BID groups, respectively. Diastolic BP &lt; 50 mm Hg occurred 0.6% of subjects in the </w:t>
      </w:r>
      <w:proofErr w:type="spellStart"/>
      <w:r w:rsidRPr="004337C3">
        <w:t>tofacitinib</w:t>
      </w:r>
      <w:proofErr w:type="spellEnd"/>
      <w:r w:rsidRPr="004337C3">
        <w:t xml:space="preserve"> 5 mg BID group and 1.7% of subjects in the </w:t>
      </w:r>
      <w:proofErr w:type="spellStart"/>
      <w:r w:rsidRPr="004337C3">
        <w:t>tofacitinib</w:t>
      </w:r>
      <w:proofErr w:type="spellEnd"/>
      <w:r w:rsidRPr="004337C3">
        <w:t xml:space="preserve"> 10 mg BID group. The proportions of subjects meeting pulse rate criteria for potential clinical concern were low in both treatment groups.</w:t>
      </w:r>
    </w:p>
    <w:p w14:paraId="76181809" w14:textId="77777777" w:rsidR="007757F1" w:rsidRPr="00B7056C" w:rsidRDefault="007757F1" w:rsidP="00B7056C">
      <w:r w:rsidRPr="00E57F57">
        <w:t>Hypertension was reported in 2 (1.3%)</w:t>
      </w:r>
      <w:r w:rsidRPr="007E2D93">
        <w:t xml:space="preserve"> </w:t>
      </w:r>
      <w:r w:rsidRPr="00E57F57">
        <w:t>subjects in the</w:t>
      </w:r>
      <w:r>
        <w:t xml:space="preserve"> </w:t>
      </w:r>
      <w:proofErr w:type="spellStart"/>
      <w:r w:rsidRPr="00E57F57">
        <w:t>tofacitinib</w:t>
      </w:r>
      <w:proofErr w:type="spellEnd"/>
      <w:r w:rsidRPr="00E57F57">
        <w:t xml:space="preserve"> 5 mg BID and 9 (1.2%)</w:t>
      </w:r>
      <w:r w:rsidRPr="007E2D93">
        <w:t xml:space="preserve"> </w:t>
      </w:r>
      <w:r w:rsidRPr="00E57F57">
        <w:t xml:space="preserve">subjects in the </w:t>
      </w:r>
      <w:proofErr w:type="spellStart"/>
      <w:r w:rsidRPr="00E57F57">
        <w:t>tofacitinib</w:t>
      </w:r>
      <w:proofErr w:type="spellEnd"/>
      <w:r>
        <w:t xml:space="preserve"> 10 mg BID group</w:t>
      </w:r>
      <w:r w:rsidRPr="00E57F57">
        <w:t>. Hypotension was reported in</w:t>
      </w:r>
      <w:r>
        <w:t xml:space="preserve"> </w:t>
      </w:r>
      <w:r w:rsidRPr="00E57F57">
        <w:t xml:space="preserve">1 (0.6%) subject in the </w:t>
      </w:r>
      <w:proofErr w:type="spellStart"/>
      <w:r w:rsidRPr="00E57F57">
        <w:t>tofacitinib</w:t>
      </w:r>
      <w:proofErr w:type="spellEnd"/>
      <w:r w:rsidRPr="00E57F57">
        <w:t xml:space="preserve"> 5 mg BID group and 2 (0.3%)</w:t>
      </w:r>
      <w:r w:rsidRPr="007E2D93">
        <w:t xml:space="preserve"> </w:t>
      </w:r>
      <w:r w:rsidRPr="00E57F57">
        <w:t>subjects in</w:t>
      </w:r>
      <w:r>
        <w:t xml:space="preserve"> </w:t>
      </w:r>
      <w:r w:rsidRPr="00E57F57">
        <w:t xml:space="preserve">the </w:t>
      </w:r>
      <w:proofErr w:type="spellStart"/>
      <w:r w:rsidRPr="00E57F57">
        <w:t>tofacitinib</w:t>
      </w:r>
      <w:proofErr w:type="spellEnd"/>
      <w:r w:rsidRPr="00E57F57">
        <w:t xml:space="preserve"> 10 mg BID group. </w:t>
      </w:r>
      <w:r>
        <w:t>N</w:t>
      </w:r>
      <w:r w:rsidRPr="00E57F57">
        <w:t xml:space="preserve">o </w:t>
      </w:r>
      <w:r w:rsidR="00B7056C">
        <w:t>event was a SAE.</w:t>
      </w:r>
    </w:p>
    <w:p w14:paraId="155EF97F" w14:textId="77777777" w:rsidR="007757F1" w:rsidRDefault="006C148C" w:rsidP="00B7056C">
      <w:r>
        <w:rPr>
          <w:color w:val="000000"/>
        </w:rPr>
        <w:t>Two</w:t>
      </w:r>
      <w:r w:rsidR="007757F1" w:rsidRPr="00E57F57">
        <w:rPr>
          <w:color w:val="000000"/>
        </w:rPr>
        <w:t xml:space="preserve"> subjects in the </w:t>
      </w:r>
      <w:proofErr w:type="spellStart"/>
      <w:r w:rsidR="007757F1" w:rsidRPr="00E57F57">
        <w:rPr>
          <w:color w:val="000000"/>
        </w:rPr>
        <w:t>tofacitinib</w:t>
      </w:r>
      <w:proofErr w:type="spellEnd"/>
      <w:r w:rsidR="007757F1" w:rsidRPr="00E57F57">
        <w:rPr>
          <w:color w:val="000000"/>
        </w:rPr>
        <w:t xml:space="preserve"> 10 mg BID group had AEs</w:t>
      </w:r>
      <w:r w:rsidR="007757F1">
        <w:rPr>
          <w:color w:val="000000"/>
        </w:rPr>
        <w:t xml:space="preserve"> </w:t>
      </w:r>
      <w:r w:rsidR="007757F1" w:rsidRPr="00E57F57">
        <w:rPr>
          <w:color w:val="000000"/>
        </w:rPr>
        <w:t>due to vital sign abnormalities (hypertension, pyrexia) that led to temporary discontinuation</w:t>
      </w:r>
      <w:r w:rsidR="007757F1">
        <w:rPr>
          <w:color w:val="000000"/>
        </w:rPr>
        <w:t xml:space="preserve"> or dose reduction</w:t>
      </w:r>
      <w:r w:rsidR="007757F1" w:rsidRPr="00E57F57">
        <w:rPr>
          <w:color w:val="000000"/>
        </w:rPr>
        <w:t>. No subject had vital sign abnormalities</w:t>
      </w:r>
      <w:r w:rsidR="007757F1">
        <w:rPr>
          <w:color w:val="000000"/>
        </w:rPr>
        <w:t xml:space="preserve"> </w:t>
      </w:r>
      <w:r w:rsidR="007757F1" w:rsidRPr="00E57F57">
        <w:rPr>
          <w:color w:val="000000"/>
        </w:rPr>
        <w:t xml:space="preserve">that led to permanent </w:t>
      </w:r>
      <w:r w:rsidR="007757F1">
        <w:rPr>
          <w:color w:val="000000"/>
        </w:rPr>
        <w:t>study discontinuation</w:t>
      </w:r>
      <w:r w:rsidR="00B7056C">
        <w:t>.</w:t>
      </w:r>
    </w:p>
    <w:p w14:paraId="77964A16" w14:textId="77777777" w:rsidR="007757F1" w:rsidRPr="00F61055" w:rsidRDefault="007757F1" w:rsidP="00B7056C">
      <w:pPr>
        <w:pStyle w:val="Heading7"/>
      </w:pPr>
      <w:r w:rsidRPr="00F61055">
        <w:t>Clinical examination</w:t>
      </w:r>
    </w:p>
    <w:p w14:paraId="5BA51CBC" w14:textId="77777777" w:rsidR="005F7896" w:rsidRDefault="007757F1" w:rsidP="00B7056C">
      <w:r>
        <w:t xml:space="preserve">In Study A3921063, </w:t>
      </w:r>
      <w:r w:rsidRPr="0048164B">
        <w:t xml:space="preserve">there were no notable differences between treatment groups in the proportion of subjects with abnormal physical examination findings. </w:t>
      </w:r>
      <w:r>
        <w:rPr>
          <w:color w:val="000000"/>
        </w:rPr>
        <w:t>In Study A3921139, the</w:t>
      </w:r>
      <w:r w:rsidRPr="00A61818">
        <w:t xml:space="preserve"> proportion of subjects with abnormal findings was notably lower in the</w:t>
      </w:r>
      <w:r>
        <w:t xml:space="preserve"> </w:t>
      </w:r>
      <w:proofErr w:type="spellStart"/>
      <w:r w:rsidR="006C148C">
        <w:t>tofacitinib</w:t>
      </w:r>
      <w:proofErr w:type="spellEnd"/>
      <w:r w:rsidR="006C148C">
        <w:t xml:space="preserve"> 5 </w:t>
      </w:r>
      <w:r w:rsidRPr="00A61818">
        <w:t xml:space="preserve">mg BID group compared with the </w:t>
      </w:r>
      <w:proofErr w:type="spellStart"/>
      <w:r w:rsidRPr="00A61818">
        <w:t>tofacitinib</w:t>
      </w:r>
      <w:proofErr w:type="spellEnd"/>
      <w:r w:rsidRPr="00A61818">
        <w:t xml:space="preserve"> 10 mg BID group</w:t>
      </w:r>
      <w:r w:rsidR="005F7896">
        <w:t>.</w:t>
      </w:r>
    </w:p>
    <w:p w14:paraId="684C441E" w14:textId="77777777" w:rsidR="007757F1" w:rsidRPr="00E7113A" w:rsidRDefault="007757F1" w:rsidP="00B7056C">
      <w:pPr>
        <w:pStyle w:val="Heading5"/>
      </w:pPr>
      <w:bookmarkStart w:id="156" w:name="_Toc432079177"/>
      <w:bookmarkStart w:id="157" w:name="_Toc432080750"/>
      <w:r w:rsidRPr="00E7113A">
        <w:t>Serious skin reactions</w:t>
      </w:r>
      <w:bookmarkEnd w:id="156"/>
      <w:bookmarkEnd w:id="157"/>
    </w:p>
    <w:p w14:paraId="50DE1B59" w14:textId="77777777" w:rsidR="007757F1" w:rsidRPr="00B7056C" w:rsidRDefault="007757F1" w:rsidP="00B7056C">
      <w:bookmarkStart w:id="158" w:name="_Toc272414678"/>
      <w:bookmarkStart w:id="159" w:name="_Toc290888542"/>
      <w:bookmarkStart w:id="160" w:name="_Toc416353757"/>
      <w:bookmarkStart w:id="161" w:name="_Toc421005300"/>
      <w:bookmarkStart w:id="162" w:name="_Toc432079178"/>
      <w:bookmarkStart w:id="163" w:name="_Toc432080751"/>
      <w:r>
        <w:t>No</w:t>
      </w:r>
      <w:r w:rsidRPr="00601D2D">
        <w:t xml:space="preserve"> cases of photosensitivit</w:t>
      </w:r>
      <w:r>
        <w:t xml:space="preserve">y, erythema </w:t>
      </w:r>
      <w:proofErr w:type="spellStart"/>
      <w:r>
        <w:t>multiforme</w:t>
      </w:r>
      <w:proofErr w:type="spellEnd"/>
      <w:r>
        <w:t>, Stevens-</w:t>
      </w:r>
      <w:r w:rsidRPr="00601D2D">
        <w:t xml:space="preserve">Johnson syndrome, drug reaction with eosinophilia and systemic symptoms (DRESS) or toxic epidermal necrolysis </w:t>
      </w:r>
      <w:r>
        <w:t xml:space="preserve">have been </w:t>
      </w:r>
      <w:r w:rsidRPr="00601D2D">
        <w:t>r</w:t>
      </w:r>
      <w:r>
        <w:t>eported in the UC clinical development program or listed in the approved PI</w:t>
      </w:r>
      <w:r w:rsidRPr="00B7056C">
        <w:t>.</w:t>
      </w:r>
    </w:p>
    <w:p w14:paraId="73CC071C" w14:textId="77777777" w:rsidR="007757F1" w:rsidRPr="00545B14" w:rsidRDefault="007757F1" w:rsidP="00B7056C">
      <w:pPr>
        <w:pStyle w:val="Heading4"/>
      </w:pPr>
      <w:bookmarkStart w:id="164" w:name="_Toc272414686"/>
      <w:bookmarkStart w:id="165" w:name="_Ref273005527"/>
      <w:bookmarkStart w:id="166" w:name="_Toc290888550"/>
      <w:bookmarkStart w:id="167" w:name="_Toc416353765"/>
      <w:bookmarkStart w:id="168" w:name="_Toc421005308"/>
      <w:bookmarkStart w:id="169" w:name="_Toc432079179"/>
      <w:bookmarkStart w:id="170" w:name="_Toc432080752"/>
      <w:bookmarkStart w:id="171" w:name="_Toc512808693"/>
      <w:bookmarkEnd w:id="158"/>
      <w:bookmarkEnd w:id="159"/>
      <w:bookmarkEnd w:id="160"/>
      <w:bookmarkEnd w:id="161"/>
      <w:bookmarkEnd w:id="162"/>
      <w:bookmarkEnd w:id="163"/>
      <w:r w:rsidRPr="00545B14">
        <w:t>Other safety issues</w:t>
      </w:r>
      <w:bookmarkEnd w:id="164"/>
      <w:bookmarkEnd w:id="165"/>
      <w:bookmarkEnd w:id="166"/>
      <w:bookmarkEnd w:id="167"/>
      <w:bookmarkEnd w:id="168"/>
      <w:bookmarkEnd w:id="169"/>
      <w:bookmarkEnd w:id="170"/>
      <w:bookmarkEnd w:id="171"/>
    </w:p>
    <w:p w14:paraId="7539BEF2" w14:textId="77777777" w:rsidR="007757F1" w:rsidRPr="00545B14" w:rsidRDefault="007757F1" w:rsidP="00B7056C">
      <w:pPr>
        <w:pStyle w:val="Heading5"/>
      </w:pPr>
      <w:bookmarkStart w:id="172" w:name="_Toc241374322"/>
      <w:bookmarkStart w:id="173" w:name="_Ref272331212"/>
      <w:bookmarkStart w:id="174" w:name="_Toc272414687"/>
      <w:bookmarkStart w:id="175" w:name="_Toc290888551"/>
      <w:bookmarkStart w:id="176" w:name="_Toc416353766"/>
      <w:bookmarkStart w:id="177" w:name="_Toc421005309"/>
      <w:bookmarkStart w:id="178" w:name="_Toc432079180"/>
      <w:bookmarkStart w:id="179" w:name="_Toc432080753"/>
      <w:r w:rsidRPr="00545B14">
        <w:t>Safety in special populations</w:t>
      </w:r>
      <w:bookmarkEnd w:id="172"/>
      <w:bookmarkEnd w:id="173"/>
      <w:bookmarkEnd w:id="174"/>
      <w:bookmarkEnd w:id="175"/>
      <w:bookmarkEnd w:id="176"/>
      <w:bookmarkEnd w:id="177"/>
      <w:bookmarkEnd w:id="178"/>
      <w:bookmarkEnd w:id="179"/>
    </w:p>
    <w:p w14:paraId="435F3AD5" w14:textId="77777777" w:rsidR="005F7896" w:rsidRPr="00B7056C" w:rsidRDefault="007757F1" w:rsidP="00B7056C">
      <w:pPr>
        <w:rPr>
          <w:rFonts w:cs="Arial"/>
        </w:rPr>
      </w:pPr>
      <w:bookmarkStart w:id="180" w:name="_Toc241374324"/>
      <w:bookmarkStart w:id="181" w:name="_Ref272331214"/>
      <w:bookmarkStart w:id="182" w:name="_Toc272414688"/>
      <w:bookmarkStart w:id="183" w:name="_Toc290888552"/>
      <w:bookmarkStart w:id="184" w:name="_Toc416353767"/>
      <w:bookmarkStart w:id="185" w:name="_Toc421005310"/>
      <w:bookmarkStart w:id="186" w:name="_Toc432079181"/>
      <w:bookmarkStart w:id="187" w:name="_Toc432080754"/>
      <w:r w:rsidRPr="00B7056C">
        <w:rPr>
          <w:lang w:eastAsia="ja-JP"/>
        </w:rPr>
        <w:t>In the ‘</w:t>
      </w:r>
      <w:r w:rsidRPr="00B7056C">
        <w:t xml:space="preserve">Precautions’ section of the approved PI indicates that Asian populations may be at higher risk of experiencing AEs such as HZ infection, OIs, ILD, elevated transaminases and decreased </w:t>
      </w:r>
      <w:r w:rsidR="004337C3">
        <w:t>white blood cell (</w:t>
      </w:r>
      <w:r w:rsidRPr="00B7056C">
        <w:t>WBC</w:t>
      </w:r>
      <w:r w:rsidR="004337C3">
        <w:t>)</w:t>
      </w:r>
      <w:r w:rsidRPr="00B7056C">
        <w:t xml:space="preserve"> counts. These effects are proposed to occur from an exaggerated PD effect to </w:t>
      </w:r>
      <w:proofErr w:type="spellStart"/>
      <w:r w:rsidRPr="00B7056C">
        <w:t>tofacitinib</w:t>
      </w:r>
      <w:proofErr w:type="spellEnd"/>
      <w:r w:rsidRPr="00B7056C">
        <w:t xml:space="preserve"> </w:t>
      </w:r>
      <w:r w:rsidR="00F14B34">
        <w:t>that is,</w:t>
      </w:r>
      <w:r w:rsidRPr="00B7056C">
        <w:t xml:space="preserve"> higher exposure gives rise to higher clinical response, with subsequent higher rates of AEs (RA application </w:t>
      </w:r>
      <w:r w:rsidRPr="00B7056C">
        <w:rPr>
          <w:rFonts w:cs="Arial"/>
        </w:rPr>
        <w:t>PM-2012-00788-3-3)</w:t>
      </w:r>
      <w:r w:rsidR="005F7896" w:rsidRPr="00B7056C">
        <w:rPr>
          <w:rFonts w:cs="Arial"/>
        </w:rPr>
        <w:t>.</w:t>
      </w:r>
    </w:p>
    <w:p w14:paraId="3760CD07" w14:textId="77777777" w:rsidR="007757F1" w:rsidRPr="00B7056C" w:rsidRDefault="007757F1" w:rsidP="00B7056C">
      <w:r w:rsidRPr="00B7056C">
        <w:t xml:space="preserve">Study A3921094 recruited 65 Japanese subjects and Study A3921095 recruited 58 Korean subjects into the </w:t>
      </w:r>
      <w:r w:rsidR="00B7366A">
        <w:t>Phase</w:t>
      </w:r>
      <w:r w:rsidRPr="00B7056C">
        <w:t xml:space="preserve"> III induction program. The sponsor did not provide separate safety analyses of AEs of special interest in Asian populations, although ‘Asian’ was used as a </w:t>
      </w:r>
      <w:r w:rsidRPr="00B7056C">
        <w:lastRenderedPageBreak/>
        <w:t xml:space="preserve">covariate in </w:t>
      </w:r>
      <w:r w:rsidRPr="00B7056C">
        <w:rPr>
          <w:i/>
        </w:rPr>
        <w:t>post-hoc</w:t>
      </w:r>
      <w:r w:rsidRPr="00B7056C">
        <w:t xml:space="preserve"> modelling of AEs of special interest and was not identified as a predictor of serious infections. However, the number of Asian subjects with AEs of special interest was too small to draw meaningful conclusions. The Asian population should continue to be an identified safety concern in the </w:t>
      </w:r>
      <w:r w:rsidR="004337C3">
        <w:t>risk management plan (</w:t>
      </w:r>
      <w:r w:rsidRPr="00B7056C">
        <w:t>RMP</w:t>
      </w:r>
      <w:r w:rsidR="004337C3">
        <w:t>)</w:t>
      </w:r>
      <w:r w:rsidRPr="00B7056C">
        <w:t>.</w:t>
      </w:r>
    </w:p>
    <w:p w14:paraId="17A6629B" w14:textId="77777777" w:rsidR="007757F1" w:rsidRDefault="007757F1" w:rsidP="00B7056C">
      <w:pPr>
        <w:pStyle w:val="Heading5"/>
      </w:pPr>
      <w:r w:rsidRPr="00545B14">
        <w:t>Safety related to drug-drug interactions and other interactions</w:t>
      </w:r>
      <w:bookmarkEnd w:id="180"/>
      <w:bookmarkEnd w:id="181"/>
      <w:bookmarkEnd w:id="182"/>
      <w:bookmarkEnd w:id="183"/>
      <w:bookmarkEnd w:id="184"/>
      <w:bookmarkEnd w:id="185"/>
      <w:bookmarkEnd w:id="186"/>
      <w:bookmarkEnd w:id="187"/>
    </w:p>
    <w:p w14:paraId="65219EB6" w14:textId="77777777" w:rsidR="00500337" w:rsidRPr="00500337" w:rsidRDefault="007757F1" w:rsidP="00B7056C">
      <w:pPr>
        <w:rPr>
          <w:lang w:eastAsia="ja-JP"/>
        </w:rPr>
      </w:pPr>
      <w:r>
        <w:rPr>
          <w:lang w:eastAsia="ja-JP"/>
        </w:rPr>
        <w:t>No data were provided or discussion presented by the sponsor. In the absence of data, significant clinical drug-drug interactions with concomitant UC</w:t>
      </w:r>
      <w:r w:rsidR="00AE7796">
        <w:rPr>
          <w:lang w:eastAsia="ja-JP"/>
        </w:rPr>
        <w:t xml:space="preserve"> treatments cannot be excluded.</w:t>
      </w:r>
    </w:p>
    <w:p w14:paraId="55D2941E" w14:textId="77777777" w:rsidR="00605AD4" w:rsidRDefault="00605AD4" w:rsidP="00605AD4">
      <w:pPr>
        <w:pStyle w:val="Heading4"/>
      </w:pPr>
      <w:r w:rsidRPr="00605AD4">
        <w:t>Post</w:t>
      </w:r>
      <w:r w:rsidR="00B7056C">
        <w:t>-</w:t>
      </w:r>
      <w:r w:rsidRPr="00605AD4">
        <w:t>marketing data</w:t>
      </w:r>
    </w:p>
    <w:p w14:paraId="0A89213D" w14:textId="653E5E49" w:rsidR="007757F1" w:rsidRDefault="004337C3" w:rsidP="00B7056C">
      <w:r>
        <w:t xml:space="preserve">As of </w:t>
      </w:r>
      <w:r w:rsidR="007757F1">
        <w:t>5 November 2016</w:t>
      </w:r>
      <w:r w:rsidR="007757F1" w:rsidRPr="00E237CF">
        <w:t xml:space="preserve">, </w:t>
      </w:r>
      <w:proofErr w:type="spellStart"/>
      <w:r w:rsidR="007757F1" w:rsidRPr="00E237CF">
        <w:t>tofacitinib</w:t>
      </w:r>
      <w:proofErr w:type="spellEnd"/>
      <w:r w:rsidR="007757F1" w:rsidRPr="00E237CF">
        <w:t xml:space="preserve"> </w:t>
      </w:r>
      <w:r w:rsidR="007757F1">
        <w:t>was</w:t>
      </w:r>
      <w:r w:rsidR="007757F1" w:rsidRPr="00E237CF">
        <w:t xml:space="preserve"> approved in 51 countries and marketed in 37</w:t>
      </w:r>
      <w:r w:rsidR="005D22FA">
        <w:t> </w:t>
      </w:r>
      <w:r w:rsidR="007757F1" w:rsidRPr="00E237CF">
        <w:t>countries.</w:t>
      </w:r>
      <w:r w:rsidR="007757F1">
        <w:t xml:space="preserve"> Following a negative opinion</w:t>
      </w:r>
      <w:r w:rsidR="007757F1" w:rsidRPr="00FF313B">
        <w:t xml:space="preserve"> </w:t>
      </w:r>
      <w:r w:rsidR="007757F1" w:rsidRPr="00E237CF">
        <w:t>by the EMA</w:t>
      </w:r>
      <w:r w:rsidR="007757F1">
        <w:t xml:space="preserve">’s </w:t>
      </w:r>
      <w:r w:rsidR="007757F1" w:rsidRPr="00E237CF">
        <w:t>CHMP in</w:t>
      </w:r>
      <w:r w:rsidR="007757F1">
        <w:t xml:space="preserve"> 2013, the resubmitted application for treatment of RA in 2016 had the 5 mg tablet approved on 22 March 2017.</w:t>
      </w:r>
    </w:p>
    <w:p w14:paraId="49CCC892" w14:textId="77777777" w:rsidR="005F7896" w:rsidRDefault="004337C3" w:rsidP="00B7056C">
      <w:r>
        <w:t xml:space="preserve">As of </w:t>
      </w:r>
      <w:r w:rsidR="007757F1">
        <w:t>5 November 2016, c</w:t>
      </w:r>
      <w:r w:rsidR="007757F1" w:rsidRPr="00E237CF">
        <w:t xml:space="preserve">umulatively, </w:t>
      </w:r>
      <w:r w:rsidR="007757F1">
        <w:t>approximately</w:t>
      </w:r>
      <w:r w:rsidR="007757F1" w:rsidRPr="00E237CF">
        <w:t xml:space="preserve"> 21,362 subjects have participated in </w:t>
      </w:r>
      <w:proofErr w:type="spellStart"/>
      <w:r w:rsidR="007757F1" w:rsidRPr="00E237CF">
        <w:t>tofacitinib</w:t>
      </w:r>
      <w:proofErr w:type="spellEnd"/>
      <w:r w:rsidR="007757F1" w:rsidRPr="00E237CF">
        <w:t xml:space="preserve"> </w:t>
      </w:r>
      <w:r w:rsidR="007757F1">
        <w:t>s</w:t>
      </w:r>
      <w:r w:rsidR="007757F1" w:rsidRPr="00E237CF">
        <w:t>ponsor</w:t>
      </w:r>
      <w:r w:rsidR="007757F1">
        <w:t>-</w:t>
      </w:r>
      <w:r w:rsidR="007757F1" w:rsidRPr="00E237CF">
        <w:t>initiated clinical trials worldwide</w:t>
      </w:r>
      <w:r w:rsidR="007757F1">
        <w:t xml:space="preserve"> and</w:t>
      </w:r>
      <w:r w:rsidR="007757F1" w:rsidRPr="00E237CF">
        <w:t xml:space="preserve"> 14,052 subjects exposed to </w:t>
      </w:r>
      <w:proofErr w:type="spellStart"/>
      <w:r w:rsidR="007757F1" w:rsidRPr="00E237CF">
        <w:t>tofacitinib</w:t>
      </w:r>
      <w:proofErr w:type="spellEnd"/>
      <w:r w:rsidR="007757F1" w:rsidRPr="00E237CF">
        <w:t xml:space="preserve">. Cumulatively, there have been approximately 61,043 </w:t>
      </w:r>
      <w:r w:rsidR="007757F1">
        <w:t>PY</w:t>
      </w:r>
      <w:r w:rsidR="007757F1" w:rsidRPr="00E237CF">
        <w:t xml:space="preserve"> of exposure to </w:t>
      </w:r>
      <w:proofErr w:type="spellStart"/>
      <w:r w:rsidR="007757F1" w:rsidRPr="00E237CF">
        <w:t>tofacitinib</w:t>
      </w:r>
      <w:proofErr w:type="spellEnd"/>
      <w:r w:rsidR="007757F1" w:rsidRPr="00E237CF">
        <w:t xml:space="preserve"> from marketing experience</w:t>
      </w:r>
      <w:r w:rsidR="005F7896">
        <w:t>.</w:t>
      </w:r>
    </w:p>
    <w:p w14:paraId="503777B5" w14:textId="77777777" w:rsidR="007757F1" w:rsidRDefault="000651F9" w:rsidP="00B7056C">
      <w:pPr>
        <w:rPr>
          <w:rFonts w:eastAsia="TimesNewRoman,Bold" w:cs="TimesNewRoman,Bold"/>
          <w:bCs/>
        </w:rPr>
      </w:pPr>
      <w:r>
        <w:t xml:space="preserve">The sponsor provided two 6 </w:t>
      </w:r>
      <w:r w:rsidR="007757F1">
        <w:t xml:space="preserve">monthly </w:t>
      </w:r>
      <w:r w:rsidR="004337C3">
        <w:t>Periodic Safety Update Reports (</w:t>
      </w:r>
      <w:r w:rsidR="007757F1">
        <w:t>PSUR</w:t>
      </w:r>
      <w:r w:rsidR="004337C3">
        <w:t>)</w:t>
      </w:r>
      <w:r w:rsidR="007757F1">
        <w:t xml:space="preserve"> in support of its application: PSUR 7, which covered the period </w:t>
      </w:r>
      <w:r w:rsidR="007757F1" w:rsidRPr="00CA6C05">
        <w:rPr>
          <w:rFonts w:eastAsia="TimesNewRoman,Bold" w:cs="TimesNewRoman,Bold"/>
          <w:bCs/>
        </w:rPr>
        <w:t xml:space="preserve">6 November 2015 </w:t>
      </w:r>
      <w:r w:rsidR="007757F1">
        <w:rPr>
          <w:rFonts w:eastAsia="TimesNewRoman,Bold" w:cs="TimesNewRoman,Bold"/>
          <w:bCs/>
        </w:rPr>
        <w:t>to</w:t>
      </w:r>
      <w:r w:rsidR="004337C3">
        <w:rPr>
          <w:rFonts w:eastAsia="TimesNewRoman,Bold" w:cs="TimesNewRoman,Bold"/>
          <w:bCs/>
        </w:rPr>
        <w:t xml:space="preserve"> </w:t>
      </w:r>
      <w:r w:rsidR="007757F1" w:rsidRPr="00CA6C05">
        <w:rPr>
          <w:rFonts w:eastAsia="TimesNewRoman,Bold" w:cs="TimesNewRoman,Bold"/>
          <w:bCs/>
        </w:rPr>
        <w:t>5 May 2016</w:t>
      </w:r>
      <w:r w:rsidR="007757F1">
        <w:rPr>
          <w:rFonts w:eastAsia="TimesNewRoman,Bold" w:cs="TimesNewRoman,Bold"/>
          <w:bCs/>
        </w:rPr>
        <w:t xml:space="preserve"> and</w:t>
      </w:r>
      <w:r w:rsidR="007757F1" w:rsidRPr="00CA6C05">
        <w:t xml:space="preserve"> </w:t>
      </w:r>
      <w:r w:rsidR="007757F1">
        <w:t xml:space="preserve">PSUR 8, which covered the period </w:t>
      </w:r>
      <w:r w:rsidR="007757F1" w:rsidRPr="00CA6C05">
        <w:rPr>
          <w:rFonts w:eastAsia="TimesNewRoman,Bold" w:cs="TimesNewRoman,Bold"/>
          <w:bCs/>
        </w:rPr>
        <w:t xml:space="preserve">6 May 2016 </w:t>
      </w:r>
      <w:r w:rsidR="007757F1">
        <w:rPr>
          <w:rFonts w:eastAsia="TimesNewRoman,Bold" w:cs="TimesNewRoman,Bold"/>
          <w:bCs/>
        </w:rPr>
        <w:t>to</w:t>
      </w:r>
      <w:r w:rsidR="004337C3">
        <w:rPr>
          <w:rFonts w:eastAsia="TimesNewRoman,Bold" w:cs="TimesNewRoman,Bold"/>
          <w:bCs/>
        </w:rPr>
        <w:t xml:space="preserve"> </w:t>
      </w:r>
      <w:r w:rsidR="007757F1" w:rsidRPr="00CA6C05">
        <w:rPr>
          <w:rFonts w:eastAsia="TimesNewRoman,Bold" w:cs="TimesNewRoman,Bold"/>
          <w:bCs/>
        </w:rPr>
        <w:t>5 November 2016</w:t>
      </w:r>
      <w:r w:rsidR="007757F1">
        <w:rPr>
          <w:rFonts w:eastAsia="TimesNewRoman,Bold" w:cs="TimesNewRoman,Bold"/>
          <w:bCs/>
        </w:rPr>
        <w:t xml:space="preserve">. Since both PSURs preceded the application for registration of </w:t>
      </w:r>
      <w:proofErr w:type="spellStart"/>
      <w:r w:rsidR="007757F1">
        <w:rPr>
          <w:rFonts w:eastAsia="TimesNewRoman,Bold" w:cs="TimesNewRoman,Bold"/>
          <w:bCs/>
        </w:rPr>
        <w:t>tofacitinib</w:t>
      </w:r>
      <w:proofErr w:type="spellEnd"/>
      <w:r w:rsidR="007757F1">
        <w:rPr>
          <w:rFonts w:eastAsia="TimesNewRoman,Bold" w:cs="TimesNewRoman,Bold"/>
          <w:bCs/>
        </w:rPr>
        <w:t xml:space="preserve"> citrate in moderate to severe UC, safety data is mostly limited to </w:t>
      </w:r>
      <w:proofErr w:type="spellStart"/>
      <w:r w:rsidR="007757F1">
        <w:rPr>
          <w:rFonts w:eastAsia="TimesNewRoman,Bold" w:cs="TimesNewRoman,Bold"/>
          <w:bCs/>
        </w:rPr>
        <w:t>tofacitinib</w:t>
      </w:r>
      <w:proofErr w:type="spellEnd"/>
      <w:r w:rsidR="007757F1">
        <w:rPr>
          <w:rFonts w:eastAsia="TimesNewRoman,Bold" w:cs="TimesNewRoman,Bold"/>
          <w:bCs/>
        </w:rPr>
        <w:t xml:space="preserve"> usage in patients with RA.</w:t>
      </w:r>
    </w:p>
    <w:p w14:paraId="7AF83F74" w14:textId="77777777" w:rsidR="005F7896" w:rsidRDefault="007757F1" w:rsidP="00B7056C">
      <w:pPr>
        <w:pStyle w:val="ListBullet"/>
      </w:pPr>
      <w:r w:rsidRPr="00156DA7">
        <w:t>PSUR 7</w:t>
      </w:r>
      <w:r w:rsidR="005F7896">
        <w:t>:</w:t>
      </w:r>
    </w:p>
    <w:p w14:paraId="20A74A24" w14:textId="77777777" w:rsidR="007757F1" w:rsidRPr="00B7056C" w:rsidRDefault="007757F1" w:rsidP="00B7056C">
      <w:pPr>
        <w:pStyle w:val="ListBullet2"/>
      </w:pPr>
      <w:r w:rsidRPr="00156DA7">
        <w:t xml:space="preserve">This makes reference to the TGA’s decision to only register </w:t>
      </w:r>
      <w:proofErr w:type="spellStart"/>
      <w:r w:rsidRPr="00156DA7">
        <w:t>Xeljanz</w:t>
      </w:r>
      <w:proofErr w:type="spellEnd"/>
      <w:r w:rsidRPr="00156DA7">
        <w:t xml:space="preserve"> (</w:t>
      </w:r>
      <w:proofErr w:type="spellStart"/>
      <w:r w:rsidRPr="00156DA7">
        <w:t>tofacitinib</w:t>
      </w:r>
      <w:proofErr w:type="spellEnd"/>
      <w:r w:rsidRPr="00156DA7">
        <w:t xml:space="preserve"> citrate) 5 mg tablets, on 5 February 2015</w:t>
      </w:r>
      <w:r>
        <w:t>, based on safety concerns for the 10 mg BID regimen</w:t>
      </w:r>
      <w:r w:rsidRPr="00156DA7">
        <w:t>.</w:t>
      </w:r>
    </w:p>
    <w:p w14:paraId="4CD40A70" w14:textId="77777777" w:rsidR="007757F1" w:rsidRDefault="007757F1" w:rsidP="00B7056C">
      <w:pPr>
        <w:pStyle w:val="ListBullet"/>
      </w:pPr>
      <w:r w:rsidRPr="00156DA7">
        <w:t>PSUR 8:</w:t>
      </w:r>
    </w:p>
    <w:p w14:paraId="7DA14FD6" w14:textId="77777777" w:rsidR="007757F1" w:rsidRDefault="007757F1" w:rsidP="00B7056C">
      <w:pPr>
        <w:pStyle w:val="ListBullet2"/>
      </w:pPr>
      <w:r w:rsidRPr="00156DA7">
        <w:t xml:space="preserve">Following a negative opinion by the FDA for an application of </w:t>
      </w:r>
      <w:proofErr w:type="spellStart"/>
      <w:r w:rsidRPr="00156DA7">
        <w:t>tofacitinib</w:t>
      </w:r>
      <w:proofErr w:type="spellEnd"/>
      <w:r w:rsidRPr="00156DA7">
        <w:t xml:space="preserve"> for the treatment of moderate-to-severe chronic plaque </w:t>
      </w:r>
      <w:r w:rsidR="00B7366A">
        <w:t>psoriasis (</w:t>
      </w:r>
      <w:proofErr w:type="spellStart"/>
      <w:r w:rsidRPr="00156DA7">
        <w:t>PsO</w:t>
      </w:r>
      <w:proofErr w:type="spellEnd"/>
      <w:r w:rsidR="00B7366A">
        <w:t>)</w:t>
      </w:r>
      <w:r w:rsidRPr="00156DA7">
        <w:t xml:space="preserve"> in October 2015, the sponsor withdrew all global applications for treatment of </w:t>
      </w:r>
      <w:proofErr w:type="spellStart"/>
      <w:r w:rsidRPr="00156DA7">
        <w:t>PsO</w:t>
      </w:r>
      <w:proofErr w:type="spellEnd"/>
      <w:r w:rsidRPr="00156DA7">
        <w:t xml:space="preserve"> in July 2016.; and</w:t>
      </w:r>
    </w:p>
    <w:p w14:paraId="3080CD30" w14:textId="77777777" w:rsidR="005F7896" w:rsidRDefault="007757F1" w:rsidP="00B7056C">
      <w:pPr>
        <w:pStyle w:val="ListBullet2"/>
      </w:pPr>
      <w:r w:rsidRPr="00156DA7">
        <w:t>The signal ‘increased risk of herpes zoster in the Korean population’ was categorised as an important identified risk. This is captured in the approved Australian PI (along with Japanese population</w:t>
      </w:r>
      <w:r>
        <w:t xml:space="preserve"> under ‘Asian’</w:t>
      </w:r>
      <w:r w:rsidRPr="00156DA7">
        <w:t>)</w:t>
      </w:r>
      <w:r w:rsidR="005F7896">
        <w:t>.</w:t>
      </w:r>
    </w:p>
    <w:p w14:paraId="584C7B6F" w14:textId="77777777" w:rsidR="00500337" w:rsidRPr="00AE7796" w:rsidRDefault="007757F1" w:rsidP="00B7056C">
      <w:pPr>
        <w:rPr>
          <w:rFonts w:eastAsia="TimesNewRoman" w:cs="TimesNewRoman"/>
        </w:rPr>
      </w:pPr>
      <w:r>
        <w:t>Ongoing safety signals include</w:t>
      </w:r>
      <w:r w:rsidRPr="00107E6A">
        <w:rPr>
          <w:rFonts w:eastAsia="TimesNewRoman" w:cs="TimesNewRoman"/>
        </w:rPr>
        <w:t xml:space="preserve"> </w:t>
      </w:r>
      <w:r>
        <w:rPr>
          <w:rFonts w:eastAsia="TimesNewRoman" w:cs="TimesNewRoman"/>
        </w:rPr>
        <w:t>r</w:t>
      </w:r>
      <w:r w:rsidRPr="00E237CF">
        <w:rPr>
          <w:rFonts w:eastAsia="TimesNewRoman" w:cs="TimesNewRoman"/>
        </w:rPr>
        <w:t xml:space="preserve">eduction in renal function </w:t>
      </w:r>
      <w:r>
        <w:rPr>
          <w:rFonts w:eastAsia="TimesNewRoman" w:cs="TimesNewRoman"/>
        </w:rPr>
        <w:t>(</w:t>
      </w:r>
      <w:r w:rsidRPr="00E237CF">
        <w:rPr>
          <w:rFonts w:eastAsia="TimesNewRoman" w:cs="TimesNewRoman"/>
        </w:rPr>
        <w:t>as reflected in decreased measured glomerular filtration rate and increased serum creatinine</w:t>
      </w:r>
      <w:r>
        <w:rPr>
          <w:rFonts w:eastAsia="TimesNewRoman" w:cs="TimesNewRoman"/>
        </w:rPr>
        <w:t>)</w:t>
      </w:r>
      <w:r w:rsidRPr="00E237CF">
        <w:rPr>
          <w:rFonts w:eastAsia="TimesNewRoman" w:cs="TimesNewRoman"/>
        </w:rPr>
        <w:t xml:space="preserve"> </w:t>
      </w:r>
      <w:r>
        <w:rPr>
          <w:rFonts w:eastAsia="TimesNewRoman" w:cs="TimesNewRoman"/>
        </w:rPr>
        <w:t>and pancreatic ductal carcinoma.</w:t>
      </w:r>
    </w:p>
    <w:p w14:paraId="092838BB" w14:textId="77777777" w:rsidR="00605AD4" w:rsidRPr="00605AD4" w:rsidRDefault="00605AD4" w:rsidP="00605AD4">
      <w:pPr>
        <w:pStyle w:val="Heading4"/>
      </w:pPr>
      <w:r w:rsidRPr="00605AD4">
        <w:t>Evaluator’s conclusions on safety</w:t>
      </w:r>
    </w:p>
    <w:p w14:paraId="67150485" w14:textId="77777777" w:rsidR="005F7896" w:rsidRPr="00B7056C" w:rsidRDefault="007757F1" w:rsidP="00B7056C">
      <w:r w:rsidRPr="00B7056C">
        <w:t>No new safety signal was identified in the submission dossier for adults with moderate to severe ulcerative colitis, which evaluated subjects exposed</w:t>
      </w:r>
      <w:r w:rsidR="000651F9">
        <w:t xml:space="preserve"> with </w:t>
      </w:r>
      <w:proofErr w:type="spellStart"/>
      <w:r w:rsidR="000651F9">
        <w:t>tofacitinib</w:t>
      </w:r>
      <w:proofErr w:type="spellEnd"/>
      <w:r w:rsidR="000651F9">
        <w:t xml:space="preserve"> for up to 4.4 </w:t>
      </w:r>
      <w:r w:rsidRPr="00B7056C">
        <w:t>years duration</w:t>
      </w:r>
      <w:r w:rsidR="005F7896" w:rsidRPr="00B7056C">
        <w:t>.</w:t>
      </w:r>
    </w:p>
    <w:p w14:paraId="2C5B5110" w14:textId="77777777" w:rsidR="007757F1" w:rsidRPr="00B7056C" w:rsidRDefault="007757F1" w:rsidP="00B7056C">
      <w:r w:rsidRPr="00B7056C">
        <w:t xml:space="preserve">Induction and maintenance treatment appeared to be generally well tolerated, with few severe or SAEs reported. </w:t>
      </w:r>
      <w:proofErr w:type="spellStart"/>
      <w:r w:rsidRPr="00B7056C">
        <w:t>Tofacitinib</w:t>
      </w:r>
      <w:proofErr w:type="spellEnd"/>
      <w:r w:rsidRPr="00B7056C">
        <w:t xml:space="preserve"> 10 mg treatment generally had higher incidence of AEs (treatment-emergent and treatment-related), SAEs, severe AEs and AEs that resulted in study discontinuation in</w:t>
      </w:r>
      <w:r w:rsidR="004337C3">
        <w:t xml:space="preserve"> maintenance and long-term open </w:t>
      </w:r>
      <w:r w:rsidRPr="00B7056C">
        <w:t xml:space="preserve">label treatments than </w:t>
      </w:r>
      <w:proofErr w:type="spellStart"/>
      <w:r w:rsidRPr="00B7056C">
        <w:t>tofacitinib</w:t>
      </w:r>
      <w:proofErr w:type="spellEnd"/>
      <w:r w:rsidRPr="00B7056C">
        <w:t xml:space="preserve"> 5 mg treatment. Since there were no </w:t>
      </w:r>
      <w:proofErr w:type="spellStart"/>
      <w:r w:rsidRPr="00B7056C">
        <w:t>tofacitinib</w:t>
      </w:r>
      <w:proofErr w:type="spellEnd"/>
      <w:r w:rsidRPr="00B7056C">
        <w:t xml:space="preserve"> 5 mg treatment arms in the </w:t>
      </w:r>
      <w:r w:rsidR="00B7366A">
        <w:lastRenderedPageBreak/>
        <w:t>Phase</w:t>
      </w:r>
      <w:r w:rsidRPr="00B7056C">
        <w:t xml:space="preserve"> III induction studies no similar comparison can be made, although it would seem reasonable to infer that the proportions of AEs would be less for </w:t>
      </w:r>
      <w:proofErr w:type="spellStart"/>
      <w:r w:rsidRPr="00B7056C">
        <w:t>tofacitinib</w:t>
      </w:r>
      <w:proofErr w:type="spellEnd"/>
      <w:r w:rsidRPr="00B7056C">
        <w:t xml:space="preserve"> 5 mg treatment (particularly as a comparison between the 5 mg and 10 mg doses for RA in the approved PI generally indicate similar or lower frequencies of AEs).</w:t>
      </w:r>
    </w:p>
    <w:p w14:paraId="4641981F" w14:textId="77777777" w:rsidR="007757F1" w:rsidRPr="00B7056C" w:rsidRDefault="007757F1" w:rsidP="00B7056C">
      <w:r w:rsidRPr="00B7056C">
        <w:t xml:space="preserve">In general, the types of adverse events were consistent with those adverse events documented in the approved </w:t>
      </w:r>
      <w:r w:rsidR="000651F9">
        <w:t>PI</w:t>
      </w:r>
      <w:r w:rsidRPr="00B7056C">
        <w:t xml:space="preserve">. In particular, </w:t>
      </w:r>
      <w:proofErr w:type="spellStart"/>
      <w:r w:rsidRPr="00B7056C">
        <w:t>tofacitinib</w:t>
      </w:r>
      <w:proofErr w:type="spellEnd"/>
      <w:r w:rsidRPr="00B7056C">
        <w:t xml:space="preserve"> treatment was associated with increases in serum </w:t>
      </w:r>
      <w:r w:rsidR="004337C3">
        <w:t xml:space="preserve">LDL </w:t>
      </w:r>
      <w:r w:rsidRPr="00B7056C">
        <w:t xml:space="preserve">cholesterol, </w:t>
      </w:r>
      <w:r w:rsidR="004337C3">
        <w:t>HDL cholesterol</w:t>
      </w:r>
      <w:r w:rsidRPr="00B7056C">
        <w:t xml:space="preserve"> and </w:t>
      </w:r>
      <w:r w:rsidR="004337C3">
        <w:t>CPK</w:t>
      </w:r>
      <w:r w:rsidRPr="00B7056C">
        <w:t xml:space="preserve">, and decreases in </w:t>
      </w:r>
      <w:r w:rsidR="004337C3">
        <w:t>ALC</w:t>
      </w:r>
      <w:r w:rsidRPr="00B7056C">
        <w:t>.</w:t>
      </w:r>
    </w:p>
    <w:p w14:paraId="5D75B7C6" w14:textId="77777777" w:rsidR="007757F1" w:rsidRPr="00B7056C" w:rsidRDefault="007757F1" w:rsidP="00B7056C">
      <w:pPr>
        <w:rPr>
          <w:lang w:eastAsia="ja-JP"/>
        </w:rPr>
      </w:pPr>
      <w:r w:rsidRPr="00B7056C">
        <w:t>Across studies, the most frequently occurring AEs (treatment emergent and treatment related) were consistently reported in the ‘Infections and infestations’ (often in a dose-response trend) and ‘Gastrointestinal disorders’ SOCs. The most common GI adverse event was ulcerati</w:t>
      </w:r>
      <w:r w:rsidR="004337C3">
        <w:t>ve</w:t>
      </w:r>
      <w:r w:rsidR="004337C3" w:rsidRPr="004337C3">
        <w:t xml:space="preserve"> </w:t>
      </w:r>
      <w:r w:rsidR="004337C3" w:rsidRPr="00B7056C">
        <w:t>colitis</w:t>
      </w:r>
      <w:r w:rsidR="004337C3">
        <w:t xml:space="preserve">. In the maintenance and long term open </w:t>
      </w:r>
      <w:r w:rsidRPr="00B7056C">
        <w:t xml:space="preserve">label </w:t>
      </w:r>
      <w:r w:rsidR="004337C3">
        <w:t xml:space="preserve">extension study an inverse dose </w:t>
      </w:r>
      <w:r w:rsidRPr="00B7056C">
        <w:t>related tr</w:t>
      </w:r>
      <w:r w:rsidR="004337C3">
        <w:t>end was generally observed for UC</w:t>
      </w:r>
      <w:r w:rsidRPr="00B7056C">
        <w:t xml:space="preserve">, in which incidence became lower with increasing dose of </w:t>
      </w:r>
      <w:proofErr w:type="spellStart"/>
      <w:r w:rsidRPr="00B7056C">
        <w:t>tofacitinib</w:t>
      </w:r>
      <w:proofErr w:type="spellEnd"/>
      <w:r w:rsidRPr="00B7056C">
        <w:t xml:space="preserve"> treatment. This trend i</w:t>
      </w:r>
      <w:r w:rsidRPr="00B7056C">
        <w:rPr>
          <w:lang w:eastAsia="ja-JP"/>
        </w:rPr>
        <w:t>s most likely to reflect underlying disease progression than a treatment-related adverse effect.</w:t>
      </w:r>
    </w:p>
    <w:p w14:paraId="081810F5" w14:textId="77777777" w:rsidR="007757F1" w:rsidRPr="00B7056C" w:rsidRDefault="007757F1" w:rsidP="00B7056C">
      <w:r w:rsidRPr="00B7056C">
        <w:t xml:space="preserve">GI perforations (including a revised definition that excluded fistulae and abscesses below the peritoneal reflection) occurred infrequently with </w:t>
      </w:r>
      <w:proofErr w:type="spellStart"/>
      <w:r w:rsidRPr="00B7056C">
        <w:t>tofacitinib</w:t>
      </w:r>
      <w:proofErr w:type="spellEnd"/>
      <w:r w:rsidRPr="00B7056C">
        <w:t xml:space="preserve"> treatment. Two of the 3 GI perforations reported across studies occurred in subjects at high risk for GI perforation. There appeared to be no evidence of dose- or time-dependency risk for GI perfo</w:t>
      </w:r>
      <w:r w:rsidR="00B7056C">
        <w:t>ration in the study population.</w:t>
      </w:r>
    </w:p>
    <w:p w14:paraId="1E4F3B4E" w14:textId="77777777" w:rsidR="007757F1" w:rsidRPr="00B7056C" w:rsidRDefault="007757F1" w:rsidP="00B7056C">
      <w:r w:rsidRPr="00B7056C">
        <w:t xml:space="preserve">There were no malignancies (excluding NMSC) in either the </w:t>
      </w:r>
      <w:proofErr w:type="spellStart"/>
      <w:r w:rsidRPr="00B7056C">
        <w:t>tofacitinib</w:t>
      </w:r>
      <w:proofErr w:type="spellEnd"/>
      <w:r w:rsidRPr="00B7056C">
        <w:t xml:space="preserve"> 5 mg BID or </w:t>
      </w:r>
      <w:proofErr w:type="spellStart"/>
      <w:r w:rsidRPr="00B7056C">
        <w:t>tofacitinib</w:t>
      </w:r>
      <w:proofErr w:type="spellEnd"/>
      <w:r w:rsidRPr="00B7056C">
        <w:t xml:space="preserve"> 10 mg BID groups in the induction studies (</w:t>
      </w:r>
      <w:r w:rsidR="00B7366A">
        <w:t>Phase</w:t>
      </w:r>
      <w:r w:rsidRPr="00B7056C">
        <w:t xml:space="preserve"> II and </w:t>
      </w:r>
      <w:r w:rsidR="00B7366A">
        <w:t>Phase</w:t>
      </w:r>
      <w:r w:rsidRPr="00B7056C">
        <w:t xml:space="preserve"> III). Dose dependency for the risk of malignancies (excluding NMSC) with long-term </w:t>
      </w:r>
      <w:proofErr w:type="spellStart"/>
      <w:r w:rsidRPr="00B7056C">
        <w:t>tofacitinib</w:t>
      </w:r>
      <w:proofErr w:type="spellEnd"/>
      <w:r w:rsidRPr="00B7056C">
        <w:t xml:space="preserve"> treatment in UC patients cannot be excluded. Also a dose-dependency risk of NMSC cannot be ruled out based on the results of the maintenance study (A3921096) </w:t>
      </w:r>
      <w:r w:rsidR="00F14B34">
        <w:t>that is,</w:t>
      </w:r>
      <w:r w:rsidRPr="00B7056C">
        <w:t xml:space="preserve"> there were no NMSC events in the </w:t>
      </w:r>
      <w:proofErr w:type="spellStart"/>
      <w:r w:rsidRPr="00B7056C">
        <w:t>tofacitinib</w:t>
      </w:r>
      <w:proofErr w:type="spellEnd"/>
      <w:r w:rsidRPr="00B7056C">
        <w:t xml:space="preserve"> 5 mg BID group, whereas the IR </w:t>
      </w:r>
      <w:r w:rsidR="00EF5322">
        <w:t xml:space="preserve">for </w:t>
      </w:r>
      <w:proofErr w:type="spellStart"/>
      <w:r w:rsidR="00EF5322">
        <w:t>tofacitinib</w:t>
      </w:r>
      <w:proofErr w:type="spellEnd"/>
      <w:r w:rsidR="00EF5322">
        <w:t xml:space="preserve"> 10 mg BID (1.91 out of </w:t>
      </w:r>
      <w:r w:rsidRPr="00B7056C">
        <w:t>100 PY, 3 subjects) wa</w:t>
      </w:r>
      <w:r w:rsidR="00EF5322">
        <w:t xml:space="preserve">s higher than for placebo (0.97 out of </w:t>
      </w:r>
      <w:r w:rsidRPr="00B7056C">
        <w:t xml:space="preserve">100 PY, 1 subject). There was no clustering of malignancies (excluding NMSC) into specific types of cancer. The higher ratio of SCC to BCC (estimated by sponsor as 7:6) suggests </w:t>
      </w:r>
      <w:proofErr w:type="spellStart"/>
      <w:r w:rsidRPr="00B7056C">
        <w:t>tofacitinib</w:t>
      </w:r>
      <w:proofErr w:type="spellEnd"/>
      <w:r w:rsidRPr="00B7056C">
        <w:t xml:space="preserve"> has an immunomodulatory effect, particularly as all SCC cases occurred wi</w:t>
      </w:r>
      <w:r w:rsidR="00B7056C">
        <w:t xml:space="preserve">th </w:t>
      </w:r>
      <w:proofErr w:type="spellStart"/>
      <w:r w:rsidR="00B7056C">
        <w:t>tofacitinib</w:t>
      </w:r>
      <w:proofErr w:type="spellEnd"/>
      <w:r w:rsidR="00B7056C">
        <w:t xml:space="preserve"> 10 mg treatment.</w:t>
      </w:r>
    </w:p>
    <w:p w14:paraId="60A2F0EE" w14:textId="77777777" w:rsidR="007757F1" w:rsidRPr="00B7056C" w:rsidRDefault="000651F9" w:rsidP="00B7056C">
      <w:r>
        <w:t>The d</w:t>
      </w:r>
      <w:r w:rsidR="007757F1" w:rsidRPr="00B7056C">
        <w:t>ata do</w:t>
      </w:r>
      <w:r>
        <w:t>es</w:t>
      </w:r>
      <w:r w:rsidR="007757F1" w:rsidRPr="00B7056C">
        <w:t xml:space="preserve"> not suggest an increasing risk of NMSC with longer duration of treatment with </w:t>
      </w:r>
      <w:proofErr w:type="spellStart"/>
      <w:r w:rsidR="007757F1" w:rsidRPr="00B7056C">
        <w:t>tofacitinib</w:t>
      </w:r>
      <w:proofErr w:type="spellEnd"/>
      <w:r w:rsidR="007757F1" w:rsidRPr="00B7056C">
        <w:t xml:space="preserve">, but an effect cannot be ruled out until long-term experience with </w:t>
      </w:r>
      <w:proofErr w:type="spellStart"/>
      <w:r w:rsidR="007757F1" w:rsidRPr="00B7056C">
        <w:t>tofacitinib</w:t>
      </w:r>
      <w:proofErr w:type="spellEnd"/>
      <w:r w:rsidR="007757F1" w:rsidRPr="00B7056C">
        <w:t xml:space="preserve"> in an UC population is available. On this basis, malignancies, including NMSC, should remain as a safety concern in the RMP.</w:t>
      </w:r>
    </w:p>
    <w:p w14:paraId="6601D33E" w14:textId="77777777" w:rsidR="007757F1" w:rsidRPr="00B7056C" w:rsidRDefault="007757F1" w:rsidP="00B7056C">
      <w:r w:rsidRPr="00B7056C">
        <w:t xml:space="preserve">MACE occurred infrequently in </w:t>
      </w:r>
      <w:proofErr w:type="spellStart"/>
      <w:r w:rsidRPr="00B7056C">
        <w:t>tofacitinib</w:t>
      </w:r>
      <w:proofErr w:type="spellEnd"/>
      <w:r w:rsidRPr="00B7056C">
        <w:t xml:space="preserve">-treated subjects. Based on medical history, 3 out of the 4 subjects with MACE had pre-existing cardiovascular risk factors. There was no evidence of dose-dependency or time-dependency risk of MACE. In addition, there were few clinically meaningful vital sign or ECG abnormalities (including hypertension and QT prolongation) that would increase cardiovascular risk. However, risk of cardiovascular (and cerebrovascular) risk is potentially raised in subjects who have an adverse lipid profile since </w:t>
      </w:r>
      <w:proofErr w:type="spellStart"/>
      <w:r w:rsidRPr="00B7056C">
        <w:t>tofacitinib</w:t>
      </w:r>
      <w:proofErr w:type="spellEnd"/>
      <w:r w:rsidRPr="00B7056C">
        <w:t xml:space="preserve"> has consistently demonstrated a dose-response relationship between </w:t>
      </w:r>
      <w:proofErr w:type="spellStart"/>
      <w:r w:rsidRPr="00B7056C">
        <w:t>tofacitinib</w:t>
      </w:r>
      <w:proofErr w:type="spellEnd"/>
      <w:r w:rsidRPr="00B7056C">
        <w:t xml:space="preserve"> exposure and raised levels </w:t>
      </w:r>
      <w:r w:rsidR="00EF5322">
        <w:t>LDL cholesterol</w:t>
      </w:r>
      <w:r w:rsidRPr="00B7056C">
        <w:t xml:space="preserve"> and lowered levels of </w:t>
      </w:r>
      <w:r w:rsidR="00EF5322">
        <w:t>HDL cholesterol</w:t>
      </w:r>
      <w:r w:rsidRPr="00B7056C">
        <w:t xml:space="preserve">. Regular monitoring of patients receiving long-term use of </w:t>
      </w:r>
      <w:proofErr w:type="spellStart"/>
      <w:r w:rsidRPr="00B7056C">
        <w:t>tofacitinib</w:t>
      </w:r>
      <w:proofErr w:type="spellEnd"/>
      <w:r w:rsidRPr="00B7056C">
        <w:t>, irrespective of treatment dose, would seem to be indicated, particularly for patients with co-morbidities that place them at higher risk of a cardiovascular or cerebro</w:t>
      </w:r>
      <w:r w:rsidR="00B7056C">
        <w:t>vascular event.</w:t>
      </w:r>
    </w:p>
    <w:p w14:paraId="6F11EA3B" w14:textId="77777777" w:rsidR="007757F1" w:rsidRPr="00B7056C" w:rsidRDefault="007757F1" w:rsidP="00B7056C">
      <w:pPr>
        <w:rPr>
          <w:rFonts w:eastAsiaTheme="minorHAnsi"/>
        </w:rPr>
      </w:pPr>
      <w:r w:rsidRPr="00B7056C">
        <w:rPr>
          <w:rFonts w:eastAsiaTheme="minorHAnsi"/>
        </w:rPr>
        <w:t xml:space="preserve">Three of the 4 reported deaths in the dossier were related to malignancies, although no cluster by type was observed, which would be more indicative of a treatment-related effect of </w:t>
      </w:r>
      <w:proofErr w:type="spellStart"/>
      <w:r w:rsidRPr="00B7056C">
        <w:rPr>
          <w:rFonts w:eastAsiaTheme="minorHAnsi"/>
        </w:rPr>
        <w:t>tofacitinib</w:t>
      </w:r>
      <w:proofErr w:type="spellEnd"/>
      <w:r w:rsidRPr="00B7056C">
        <w:rPr>
          <w:rFonts w:eastAsiaTheme="minorHAnsi"/>
        </w:rPr>
        <w:t xml:space="preserve"> exposure. One of these subjects had received 8 weeks of </w:t>
      </w:r>
      <w:proofErr w:type="spellStart"/>
      <w:r w:rsidRPr="00B7056C">
        <w:rPr>
          <w:rFonts w:eastAsiaTheme="minorHAnsi"/>
        </w:rPr>
        <w:t>tofacitinib</w:t>
      </w:r>
      <w:proofErr w:type="spellEnd"/>
      <w:r w:rsidR="00EF5322">
        <w:rPr>
          <w:rFonts w:eastAsiaTheme="minorHAnsi"/>
        </w:rPr>
        <w:t xml:space="preserve"> 15 </w:t>
      </w:r>
      <w:r w:rsidRPr="00B7056C">
        <w:rPr>
          <w:rFonts w:eastAsiaTheme="minorHAnsi"/>
        </w:rPr>
        <w:t xml:space="preserve">mg </w:t>
      </w:r>
      <w:r w:rsidR="00F14B34">
        <w:rPr>
          <w:rFonts w:eastAsiaTheme="minorHAnsi"/>
        </w:rPr>
        <w:t>BID</w:t>
      </w:r>
      <w:r w:rsidRPr="00B7056C">
        <w:rPr>
          <w:rFonts w:eastAsiaTheme="minorHAnsi"/>
        </w:rPr>
        <w:t xml:space="preserve"> induction treatment. The sponsor calcul</w:t>
      </w:r>
      <w:r w:rsidR="00EF5322">
        <w:rPr>
          <w:rFonts w:eastAsiaTheme="minorHAnsi"/>
        </w:rPr>
        <w:t xml:space="preserve">ated the mortality rate as 0.12 out of </w:t>
      </w:r>
      <w:r w:rsidRPr="00B7056C">
        <w:rPr>
          <w:rFonts w:eastAsiaTheme="minorHAnsi"/>
        </w:rPr>
        <w:t xml:space="preserve">100 PY based on 2 deaths (occurred with 28 days of last dose) with a sensitivity analysis </w:t>
      </w:r>
      <w:r w:rsidR="00EF5322">
        <w:rPr>
          <w:rFonts w:eastAsiaTheme="minorHAnsi"/>
        </w:rPr>
        <w:lastRenderedPageBreak/>
        <w:t xml:space="preserve">of 0.24 out of </w:t>
      </w:r>
      <w:r w:rsidRPr="00B7056C">
        <w:rPr>
          <w:rFonts w:eastAsiaTheme="minorHAnsi"/>
        </w:rPr>
        <w:t>100 PY that includes all 4 deaths. These rates are not higher than expected for UC patients.</w:t>
      </w:r>
    </w:p>
    <w:p w14:paraId="1D53CB2D" w14:textId="77777777" w:rsidR="005F7896" w:rsidRPr="00EF5322" w:rsidRDefault="007757F1" w:rsidP="00B7056C">
      <w:r w:rsidRPr="00B7056C">
        <w:t xml:space="preserve">Infections generally occurred with the highest AE frequency across studies, although few serious infections were reported, and none resulted in death. The sponsor claims in the </w:t>
      </w:r>
      <w:r w:rsidR="00EF5322">
        <w:t>Summary of Clinical Safety</w:t>
      </w:r>
      <w:r w:rsidRPr="00B7056C">
        <w:t xml:space="preserve"> that </w:t>
      </w:r>
      <w:r w:rsidRPr="00525F92">
        <w:t>the only significant risk factor identified by multivariate analysis was body weight ≥ 90 kg</w:t>
      </w:r>
      <w:r w:rsidR="005F7896" w:rsidRPr="00525F92">
        <w:t>.</w:t>
      </w:r>
    </w:p>
    <w:p w14:paraId="32A64CFF" w14:textId="77777777" w:rsidR="007757F1" w:rsidRPr="00B7056C" w:rsidRDefault="007757F1" w:rsidP="00B7056C">
      <w:r w:rsidRPr="00B7056C">
        <w:t xml:space="preserve">Anaemia is a well-documented predicted AE of </w:t>
      </w:r>
      <w:proofErr w:type="spellStart"/>
      <w:r w:rsidRPr="00B7056C">
        <w:t>tofacitinib</w:t>
      </w:r>
      <w:proofErr w:type="spellEnd"/>
      <w:r w:rsidRPr="00B7056C">
        <w:t xml:space="preserve"> treatment and was reported across trials, although haemoglobin and other red cell indices were generally low, with no apparent dose-response trends observed.</w:t>
      </w:r>
    </w:p>
    <w:p w14:paraId="30E4AFB3" w14:textId="77777777" w:rsidR="005F7896" w:rsidRPr="00B7056C" w:rsidRDefault="007757F1" w:rsidP="00B7056C">
      <w:r w:rsidRPr="00B7056C">
        <w:t xml:space="preserve">There were very few hepatic injuries adjudicated to be possibly study drug related. Even though dose-related trends were generally observed across the studies for ALT, ALP and AST, no case of </w:t>
      </w:r>
      <w:proofErr w:type="spellStart"/>
      <w:r w:rsidRPr="00B7056C">
        <w:t>Hy’s</w:t>
      </w:r>
      <w:proofErr w:type="spellEnd"/>
      <w:r w:rsidRPr="00B7056C">
        <w:t xml:space="preserve"> law was reported (except for one subject who died from a pulmonary embolism secondary to his </w:t>
      </w:r>
      <w:proofErr w:type="spellStart"/>
      <w:r w:rsidRPr="00B7056C">
        <w:t>cholangiocarcinoma</w:t>
      </w:r>
      <w:proofErr w:type="spellEnd"/>
      <w:r w:rsidRPr="00B7056C">
        <w:t>, which resulted in elevated liver function parameters)</w:t>
      </w:r>
      <w:r w:rsidR="005F7896" w:rsidRPr="00B7056C">
        <w:t>.</w:t>
      </w:r>
    </w:p>
    <w:p w14:paraId="5035306E" w14:textId="77777777" w:rsidR="007757F1" w:rsidRPr="00B7056C" w:rsidRDefault="007757F1" w:rsidP="00B7056C">
      <w:r w:rsidRPr="00B7056C">
        <w:t>Opportunistic infections were infrequent. Most were limited to 1 or 2 adjacent dermatomes. Non-</w:t>
      </w:r>
      <w:r w:rsidR="00EF5322">
        <w:t>HZ</w:t>
      </w:r>
      <w:r w:rsidRPr="00B7056C">
        <w:t xml:space="preserve"> OIs consisted of 1 event each of pulmonary </w:t>
      </w:r>
      <w:proofErr w:type="spellStart"/>
      <w:r w:rsidRPr="00B7056C">
        <w:t>cryptococcosis</w:t>
      </w:r>
      <w:proofErr w:type="spellEnd"/>
      <w:r w:rsidRPr="00B7056C">
        <w:t xml:space="preserve">, pulmonary histoplasmosis and CMV hepatitis/CMV colitis. There were no deaths resulting from OIs. A </w:t>
      </w:r>
      <w:r w:rsidRPr="00B7056C">
        <w:rPr>
          <w:i/>
        </w:rPr>
        <w:t>post-hoc</w:t>
      </w:r>
      <w:r w:rsidRPr="00B7056C">
        <w:t xml:space="preserve"> analysis of the maintenance study population suggested there was a dose-response relationship in risk of developing an OI: plac</w:t>
      </w:r>
      <w:r w:rsidR="00EF5322">
        <w:t xml:space="preserve">ebo treatment (0.97 out of </w:t>
      </w:r>
      <w:r w:rsidRPr="00B7056C">
        <w:t xml:space="preserve">100 PY) </w:t>
      </w:r>
      <w:r w:rsidR="009D375F">
        <w:t>versus</w:t>
      </w:r>
      <w:r w:rsidRPr="00B7056C">
        <w:t xml:space="preserve"> </w:t>
      </w:r>
      <w:proofErr w:type="spellStart"/>
      <w:r w:rsidRPr="00B7056C">
        <w:t>t</w:t>
      </w:r>
      <w:r w:rsidR="00EF5322">
        <w:t>ofacitinib</w:t>
      </w:r>
      <w:proofErr w:type="spellEnd"/>
      <w:r w:rsidR="00EF5322">
        <w:t xml:space="preserve"> 5 mg treatment (1.35 out of </w:t>
      </w:r>
      <w:r w:rsidRPr="00B7056C">
        <w:t xml:space="preserve">100 PY) </w:t>
      </w:r>
      <w:r w:rsidR="009D375F">
        <w:t>versus</w:t>
      </w:r>
      <w:r w:rsidRPr="00B7056C">
        <w:t xml:space="preserve"> </w:t>
      </w:r>
      <w:proofErr w:type="spellStart"/>
      <w:r w:rsidRPr="00B7056C">
        <w:t>to</w:t>
      </w:r>
      <w:r w:rsidR="00EF5322">
        <w:t>facitinib</w:t>
      </w:r>
      <w:proofErr w:type="spellEnd"/>
      <w:r w:rsidR="00EF5322">
        <w:t xml:space="preserve"> 10 mg treatment (2.60 out of </w:t>
      </w:r>
      <w:r w:rsidRPr="00B7056C">
        <w:t xml:space="preserve">100 PY), although there was no clear time-dependency relationship observed for OI incidence with duration of </w:t>
      </w:r>
      <w:proofErr w:type="spellStart"/>
      <w:r w:rsidRPr="00B7056C">
        <w:t>tofacitinib</w:t>
      </w:r>
      <w:proofErr w:type="spellEnd"/>
      <w:r w:rsidRPr="00B7056C">
        <w:t xml:space="preserve"> exposure</w:t>
      </w:r>
      <w:r w:rsidR="00DF461B">
        <w:t>.</w:t>
      </w:r>
    </w:p>
    <w:p w14:paraId="638DD4EB" w14:textId="77777777" w:rsidR="005D22FA" w:rsidRDefault="007757F1" w:rsidP="00B7056C">
      <w:r w:rsidRPr="00B7056C">
        <w:t xml:space="preserve">In the </w:t>
      </w:r>
      <w:r w:rsidR="00EF5322">
        <w:t>Summary of Clinical Safety</w:t>
      </w:r>
      <w:r w:rsidR="000651F9">
        <w:t>, the sponsor states:</w:t>
      </w:r>
    </w:p>
    <w:p w14:paraId="2E011B79" w14:textId="2D1EE598" w:rsidR="005D22FA" w:rsidRDefault="007757F1" w:rsidP="00C201CB">
      <w:pPr>
        <w:ind w:left="720"/>
        <w:rPr>
          <w:i/>
        </w:rPr>
      </w:pPr>
      <w:r w:rsidRPr="00B7056C">
        <w:t>‘</w:t>
      </w:r>
      <w:r w:rsidRPr="00B7056C">
        <w:rPr>
          <w:i/>
        </w:rPr>
        <w:t xml:space="preserve">The IR of OIs in the </w:t>
      </w:r>
      <w:proofErr w:type="spellStart"/>
      <w:r w:rsidRPr="00B7056C">
        <w:rPr>
          <w:i/>
        </w:rPr>
        <w:t>Tofacitinib</w:t>
      </w:r>
      <w:proofErr w:type="spellEnd"/>
      <w:r w:rsidRPr="00B7056C">
        <w:rPr>
          <w:i/>
        </w:rPr>
        <w:t xml:space="preserve"> All group in Cohort 3 (</w:t>
      </w:r>
      <w:r w:rsidR="00336108" w:rsidRPr="00336108">
        <w:rPr>
          <w:i/>
        </w:rPr>
        <w:t>Phase II, Phase III long term extension</w:t>
      </w:r>
      <w:r w:rsidRPr="00B7056C">
        <w:rPr>
          <w:i/>
        </w:rPr>
        <w:t xml:space="preserve"> </w:t>
      </w:r>
      <w:proofErr w:type="spellStart"/>
      <w:r w:rsidRPr="00B7056C">
        <w:rPr>
          <w:i/>
        </w:rPr>
        <w:t>Tofacitinib</w:t>
      </w:r>
      <w:proofErr w:type="spellEnd"/>
      <w:r w:rsidRPr="00B7056C">
        <w:rPr>
          <w:i/>
        </w:rPr>
        <w:t xml:space="preserve">) was higher than those reported for the RA and </w:t>
      </w:r>
      <w:proofErr w:type="spellStart"/>
      <w:r w:rsidRPr="00B7056C">
        <w:rPr>
          <w:i/>
        </w:rPr>
        <w:t>PsO</w:t>
      </w:r>
      <w:proofErr w:type="spellEnd"/>
      <w:r w:rsidRPr="00B7056C">
        <w:rPr>
          <w:i/>
        </w:rPr>
        <w:t xml:space="preserve"> programs (all exposure</w:t>
      </w:r>
      <w:r w:rsidRPr="00B7056C">
        <w:t>)’. The sponsor suggests the higher rate of OIs in an UC population ‘</w:t>
      </w:r>
      <w:r w:rsidRPr="00B7056C">
        <w:rPr>
          <w:i/>
        </w:rPr>
        <w:t xml:space="preserve">may reflect a period effect associated with more frequent and more detailed reporting of herpes zoster OIs in the UC program resulting from greater understanding gained over time of the risk of herpes zoster during </w:t>
      </w:r>
      <w:proofErr w:type="spellStart"/>
      <w:r w:rsidRPr="00B7056C">
        <w:rPr>
          <w:i/>
        </w:rPr>
        <w:t>tofacitinib</w:t>
      </w:r>
      <w:proofErr w:type="spellEnd"/>
      <w:r w:rsidRPr="00B7056C">
        <w:rPr>
          <w:i/>
        </w:rPr>
        <w:t xml:space="preserve"> treatment’.</w:t>
      </w:r>
    </w:p>
    <w:p w14:paraId="238FD3F7" w14:textId="6EA66288" w:rsidR="007757F1" w:rsidRPr="000651F9" w:rsidRDefault="007757F1" w:rsidP="00B7056C">
      <w:r w:rsidRPr="00B7056C">
        <w:t>While untested, t</w:t>
      </w:r>
      <w:r w:rsidRPr="00B7056C">
        <w:rPr>
          <w:rFonts w:eastAsiaTheme="minorHAnsi"/>
        </w:rPr>
        <w:t xml:space="preserve">he explanation provided by the sponsor appears to have merit, but an enhanced risk in an UC population cannot be ruled out until more long-term experience of </w:t>
      </w:r>
      <w:proofErr w:type="spellStart"/>
      <w:r w:rsidRPr="00B7056C">
        <w:rPr>
          <w:rFonts w:eastAsiaTheme="minorHAnsi"/>
        </w:rPr>
        <w:t>tofacitinib</w:t>
      </w:r>
      <w:proofErr w:type="spellEnd"/>
      <w:r w:rsidRPr="00B7056C">
        <w:rPr>
          <w:rFonts w:eastAsiaTheme="minorHAnsi"/>
        </w:rPr>
        <w:t xml:space="preserve"> in UC patients is available. On this basis, opportunistic infections, in particular herpes zoster OIs should remain a safety concern in the RMP.</w:t>
      </w:r>
    </w:p>
    <w:p w14:paraId="5FC362B3" w14:textId="77777777" w:rsidR="005F7896" w:rsidRPr="00B7056C" w:rsidRDefault="007757F1" w:rsidP="00B7056C">
      <w:r w:rsidRPr="00B7056C">
        <w:rPr>
          <w:lang w:eastAsia="ja-JP"/>
        </w:rPr>
        <w:t>In Study A3921096, t</w:t>
      </w:r>
      <w:r w:rsidRPr="00B7056C">
        <w:rPr>
          <w:rFonts w:eastAsiaTheme="minorHAnsi"/>
        </w:rPr>
        <w:t xml:space="preserve">he proportion of observed cases of HZ increased in a dose-dependent manner, which achieved statistical significance for </w:t>
      </w:r>
      <w:proofErr w:type="spellStart"/>
      <w:r w:rsidRPr="00B7056C">
        <w:rPr>
          <w:rFonts w:eastAsiaTheme="minorHAnsi"/>
        </w:rPr>
        <w:t>tofacitinib</w:t>
      </w:r>
      <w:proofErr w:type="spellEnd"/>
      <w:r w:rsidRPr="00B7056C">
        <w:rPr>
          <w:rFonts w:eastAsiaTheme="minorHAnsi"/>
        </w:rPr>
        <w:t xml:space="preserve"> 10 mg treatment compared with placebo treatment (p = 0.0053). </w:t>
      </w:r>
      <w:r w:rsidRPr="00B7056C">
        <w:t>The IR for herpes zoster (all) was numerically higher f</w:t>
      </w:r>
      <w:r w:rsidR="00EF5322">
        <w:t xml:space="preserve">or </w:t>
      </w:r>
      <w:proofErr w:type="spellStart"/>
      <w:r w:rsidR="00EF5322">
        <w:t>tofacitinib</w:t>
      </w:r>
      <w:proofErr w:type="spellEnd"/>
      <w:r w:rsidR="00EF5322">
        <w:t xml:space="preserve"> 5 mg BID (2.05 out of </w:t>
      </w:r>
      <w:r w:rsidRPr="00B7056C">
        <w:t>100 PY, 3 subjects) a</w:t>
      </w:r>
      <w:r w:rsidR="00EF5322">
        <w:t xml:space="preserve">nd </w:t>
      </w:r>
      <w:proofErr w:type="spellStart"/>
      <w:r w:rsidR="00EF5322">
        <w:t>tofacitinib</w:t>
      </w:r>
      <w:proofErr w:type="spellEnd"/>
      <w:r w:rsidR="00EF5322">
        <w:t xml:space="preserve"> 10 mg BID (6.64 out of</w:t>
      </w:r>
      <w:r w:rsidRPr="00B7056C">
        <w:t xml:space="preserve"> 100 PY, 10 su</w:t>
      </w:r>
      <w:r w:rsidR="00EF5322">
        <w:t>bjects) than for placebo (0.97 out of</w:t>
      </w:r>
      <w:r w:rsidRPr="00B7056C">
        <w:t xml:space="preserve"> 100 PY, 1 subject), with the difference in IR in the </w:t>
      </w:r>
      <w:proofErr w:type="spellStart"/>
      <w:r w:rsidRPr="00B7056C">
        <w:t>tofacitinib</w:t>
      </w:r>
      <w:proofErr w:type="spellEnd"/>
      <w:r w:rsidRPr="00B7056C">
        <w:t xml:space="preserve"> 10 mg BID group versus placebo reaching statistical significance. This finding suggests dose dependency in the risk of developing herpes zoster. The sponsor claims no relationship to duration of exposure by comparing overall results versus maintenance results. No </w:t>
      </w:r>
      <w:r w:rsidR="00EF5322">
        <w:t>HZ</w:t>
      </w:r>
      <w:r w:rsidRPr="00B7056C">
        <w:t xml:space="preserve"> (all) resulted in death</w:t>
      </w:r>
      <w:r w:rsidR="005F7896" w:rsidRPr="00B7056C">
        <w:t>.</w:t>
      </w:r>
    </w:p>
    <w:p w14:paraId="65AE612A" w14:textId="77777777" w:rsidR="007757F1" w:rsidRPr="00DF461B" w:rsidRDefault="007757F1" w:rsidP="00B7056C">
      <w:pPr>
        <w:rPr>
          <w:rFonts w:eastAsiaTheme="minorHAnsi"/>
        </w:rPr>
      </w:pPr>
      <w:r w:rsidRPr="00B7056C">
        <w:t xml:space="preserve">The sponsor claims the IR of </w:t>
      </w:r>
      <w:r w:rsidR="00EF5322">
        <w:t>HZ</w:t>
      </w:r>
      <w:r w:rsidRPr="00B7056C">
        <w:t xml:space="preserve"> (all) in the </w:t>
      </w:r>
      <w:proofErr w:type="spellStart"/>
      <w:r w:rsidRPr="00B7056C">
        <w:t>Tofacitinib</w:t>
      </w:r>
      <w:proofErr w:type="spellEnd"/>
      <w:r w:rsidRPr="00B7056C">
        <w:t xml:space="preserve"> All group in Cohort 3 (</w:t>
      </w:r>
      <w:r w:rsidR="00336108">
        <w:t>Phase II, Phase III long term extension</w:t>
      </w:r>
      <w:r w:rsidRPr="00B7056C">
        <w:t xml:space="preserve"> </w:t>
      </w:r>
      <w:proofErr w:type="spellStart"/>
      <w:r w:rsidRPr="00B7056C">
        <w:t>Tofacitinib</w:t>
      </w:r>
      <w:proofErr w:type="spellEnd"/>
      <w:r w:rsidRPr="00B7056C">
        <w:t xml:space="preserve">) was generally similar to those reported in the RA and </w:t>
      </w:r>
      <w:proofErr w:type="spellStart"/>
      <w:r w:rsidRPr="00B7056C">
        <w:t>PsO</w:t>
      </w:r>
      <w:proofErr w:type="spellEnd"/>
      <w:r w:rsidRPr="00B7056C">
        <w:t xml:space="preserve"> programs (all exposure) but </w:t>
      </w:r>
      <w:r w:rsidRPr="00EF5322">
        <w:t>higher than those reported</w:t>
      </w:r>
      <w:r w:rsidRPr="00B7056C">
        <w:t xml:space="preserve"> for biologic agents in UC patients in external observational data.</w:t>
      </w:r>
    </w:p>
    <w:p w14:paraId="6DD276ED" w14:textId="77777777" w:rsidR="007757F1" w:rsidRPr="00B7056C" w:rsidRDefault="007757F1" w:rsidP="00B7056C">
      <w:r w:rsidRPr="00B7056C">
        <w:t xml:space="preserve">Among subjects who had failed </w:t>
      </w:r>
      <w:proofErr w:type="spellStart"/>
      <w:r w:rsidRPr="00B7056C">
        <w:t>TNFi</w:t>
      </w:r>
      <w:proofErr w:type="spellEnd"/>
      <w:r w:rsidRPr="00B7056C">
        <w:t xml:space="preserve"> treatment, there were trends towards increased IRs of </w:t>
      </w:r>
      <w:r w:rsidR="00EF5322">
        <w:t>HZ</w:t>
      </w:r>
      <w:r w:rsidRPr="00B7056C">
        <w:t xml:space="preserve"> (all) and NMSC in the </w:t>
      </w:r>
      <w:proofErr w:type="spellStart"/>
      <w:r w:rsidRPr="00B7056C">
        <w:t>tofacitinib</w:t>
      </w:r>
      <w:proofErr w:type="spellEnd"/>
      <w:r w:rsidR="0029633C">
        <w:t xml:space="preserve"> 10 mg BID group in Cohort 2 (Phase III</w:t>
      </w:r>
      <w:r w:rsidRPr="00B7056C">
        <w:t xml:space="preserve"> Maintenance), and increased IRs of </w:t>
      </w:r>
      <w:r w:rsidR="00EF5322">
        <w:t>HZ</w:t>
      </w:r>
      <w:r w:rsidRPr="00B7056C">
        <w:t xml:space="preserve"> (all), NMSC and malignancies (excluding NMSC) in </w:t>
      </w:r>
      <w:r w:rsidRPr="00B7056C">
        <w:lastRenderedPageBreak/>
        <w:t xml:space="preserve">the </w:t>
      </w:r>
      <w:proofErr w:type="spellStart"/>
      <w:r w:rsidRPr="00B7056C">
        <w:t>Tofacitinib</w:t>
      </w:r>
      <w:proofErr w:type="spellEnd"/>
      <w:r w:rsidRPr="00B7056C">
        <w:t xml:space="preserve"> All group in Cohort 3 (</w:t>
      </w:r>
      <w:r w:rsidR="00336108">
        <w:t>Phase II, Phase III long term extension</w:t>
      </w:r>
      <w:r w:rsidRPr="00B7056C">
        <w:t xml:space="preserve"> </w:t>
      </w:r>
      <w:proofErr w:type="spellStart"/>
      <w:r w:rsidRPr="00B7056C">
        <w:t>Tofacitinib</w:t>
      </w:r>
      <w:proofErr w:type="spellEnd"/>
      <w:r w:rsidRPr="00B7056C">
        <w:t>) when compared with the non-</w:t>
      </w:r>
      <w:proofErr w:type="spellStart"/>
      <w:r w:rsidRPr="00B7056C">
        <w:t>TNFi</w:t>
      </w:r>
      <w:proofErr w:type="spellEnd"/>
      <w:r w:rsidRPr="00B7056C">
        <w:t xml:space="preserve"> failure subgroup. In exploratory Cox regression analysis, the status of prior </w:t>
      </w:r>
      <w:proofErr w:type="spellStart"/>
      <w:r w:rsidRPr="00B7056C">
        <w:t>TNFi</w:t>
      </w:r>
      <w:proofErr w:type="spellEnd"/>
      <w:r w:rsidRPr="00B7056C">
        <w:t xml:space="preserve"> failure was found to be significantly associated with an increased risk of </w:t>
      </w:r>
      <w:r w:rsidR="00EF5322">
        <w:t>HZ</w:t>
      </w:r>
      <w:r w:rsidRPr="00B7056C">
        <w:t xml:space="preserve"> and NMSC.</w:t>
      </w:r>
    </w:p>
    <w:p w14:paraId="3E2946CD" w14:textId="77777777" w:rsidR="005F7896" w:rsidRPr="00B7056C" w:rsidRDefault="007757F1" w:rsidP="00B7056C">
      <w:r w:rsidRPr="00B7056C">
        <w:t>In the 71 subjects who receive</w:t>
      </w:r>
      <w:r w:rsidR="00EF5322">
        <w:t xml:space="preserve">d </w:t>
      </w:r>
      <w:proofErr w:type="spellStart"/>
      <w:r w:rsidR="00EF5322">
        <w:t>tofacitinib</w:t>
      </w:r>
      <w:proofErr w:type="spellEnd"/>
      <w:r w:rsidR="00EF5322">
        <w:t xml:space="preserve"> 15 mg BID as an 8 </w:t>
      </w:r>
      <w:r w:rsidRPr="00B7056C">
        <w:t>week induction treatment there was generally no significant safety findings, apart from the death of one subject</w:t>
      </w:r>
      <w:r w:rsidRPr="00B7056C">
        <w:rPr>
          <w:rFonts w:eastAsiaTheme="minorHAnsi"/>
        </w:rPr>
        <w:t xml:space="preserve"> from </w:t>
      </w:r>
      <w:proofErr w:type="spellStart"/>
      <w:r w:rsidRPr="00B7056C">
        <w:rPr>
          <w:rFonts w:eastAsiaTheme="minorHAnsi"/>
        </w:rPr>
        <w:t>cholangiocarcinoma</w:t>
      </w:r>
      <w:proofErr w:type="spellEnd"/>
      <w:r w:rsidRPr="00B7056C">
        <w:rPr>
          <w:rFonts w:eastAsiaTheme="minorHAnsi"/>
        </w:rPr>
        <w:t xml:space="preserve"> in which </w:t>
      </w:r>
      <w:proofErr w:type="spellStart"/>
      <w:r w:rsidRPr="00B7056C">
        <w:rPr>
          <w:rFonts w:eastAsiaTheme="minorHAnsi"/>
        </w:rPr>
        <w:t>tofacitinib</w:t>
      </w:r>
      <w:proofErr w:type="spellEnd"/>
      <w:r w:rsidRPr="00B7056C">
        <w:rPr>
          <w:rFonts w:eastAsiaTheme="minorHAnsi"/>
        </w:rPr>
        <w:t xml:space="preserve"> exposure was considered to have had a contributory effect</w:t>
      </w:r>
      <w:r w:rsidR="005F7896" w:rsidRPr="00B7056C">
        <w:t>.</w:t>
      </w:r>
    </w:p>
    <w:p w14:paraId="508E051B" w14:textId="77777777" w:rsidR="007757F1" w:rsidRPr="00B7056C" w:rsidRDefault="007757F1" w:rsidP="00B7056C">
      <w:r w:rsidRPr="00B7056C">
        <w:t xml:space="preserve">A comparison of the proportions of adverse events listed in the approved PI for RA in the </w:t>
      </w:r>
      <w:r w:rsidR="00B7366A">
        <w:t>Phase</w:t>
      </w:r>
      <w:r w:rsidRPr="00B7056C">
        <w:t xml:space="preserve"> III clinical trials (up to 3 months treatment) for the </w:t>
      </w:r>
      <w:proofErr w:type="spellStart"/>
      <w:r w:rsidRPr="00B7056C">
        <w:t>tofacitinib</w:t>
      </w:r>
      <w:proofErr w:type="spellEnd"/>
      <w:r w:rsidRPr="00B7056C">
        <w:t xml:space="preserve"> 10 mg </w:t>
      </w:r>
      <w:r w:rsidR="00F14B34">
        <w:t>BID</w:t>
      </w:r>
      <w:r w:rsidRPr="00B7056C">
        <w:t xml:space="preserve"> dose regimen, revealed that the UC subjects in the </w:t>
      </w:r>
      <w:r w:rsidR="00B7366A">
        <w:t>Phase</w:t>
      </w:r>
      <w:r w:rsidRPr="00B7056C">
        <w:t xml:space="preserve"> III induction program generally had higher proportions of most of the common AEs listed in the approved PI for RA. Notwithstanding the differences in study populations, design and duration of exposure, the following AEs consistently had higher proportions of AEs in UC subjects than RA subjects: anaemia; abdominal pain; nausea; pyrexia; </w:t>
      </w:r>
      <w:proofErr w:type="spellStart"/>
      <w:r w:rsidRPr="00B7056C">
        <w:t>nasopharyngitis</w:t>
      </w:r>
      <w:proofErr w:type="spellEnd"/>
      <w:r w:rsidRPr="00B7056C">
        <w:t>, raised CPK; arthralgia and headache.</w:t>
      </w:r>
    </w:p>
    <w:p w14:paraId="7366C674" w14:textId="77777777" w:rsidR="00605AD4" w:rsidRPr="00B7056C" w:rsidRDefault="007757F1" w:rsidP="00B7056C">
      <w:r w:rsidRPr="00B7056C">
        <w:t xml:space="preserve">The safety findings observed during the UC program generally support the long-term use of </w:t>
      </w:r>
      <w:proofErr w:type="spellStart"/>
      <w:r w:rsidRPr="00B7056C">
        <w:t>tofacitinib</w:t>
      </w:r>
      <w:proofErr w:type="spellEnd"/>
      <w:r w:rsidRPr="00B7056C">
        <w:t xml:space="preserve"> 5 mg BID and 10 mg BID in adult patients with moderate-to-severe UC. However, the safety (and efficacy) of a </w:t>
      </w:r>
      <w:proofErr w:type="spellStart"/>
      <w:r w:rsidRPr="00B7056C">
        <w:t>tofacitinib</w:t>
      </w:r>
      <w:proofErr w:type="spellEnd"/>
      <w:r w:rsidRPr="00B7056C">
        <w:t xml:space="preserve"> 5 mg dose regimen in an acutely unwell population with moderate to severe disease remains unknown.</w:t>
      </w:r>
    </w:p>
    <w:p w14:paraId="48D854B0" w14:textId="36B37E80" w:rsidR="00605AD4" w:rsidRPr="00605AD4" w:rsidRDefault="00605AD4" w:rsidP="00605AD4">
      <w:pPr>
        <w:pStyle w:val="Heading3"/>
        <w:rPr>
          <w:rFonts w:eastAsia="Cambria"/>
        </w:rPr>
      </w:pPr>
      <w:bookmarkStart w:id="188" w:name="_Toc20301903"/>
      <w:r w:rsidRPr="00605AD4">
        <w:rPr>
          <w:rFonts w:eastAsia="Cambria"/>
        </w:rPr>
        <w:t xml:space="preserve">First </w:t>
      </w:r>
      <w:r w:rsidR="009870DC" w:rsidRPr="00605AD4">
        <w:rPr>
          <w:rFonts w:eastAsia="Cambria"/>
        </w:rPr>
        <w:t>round benefit-risk assessment</w:t>
      </w:r>
      <w:bookmarkEnd w:id="188"/>
    </w:p>
    <w:p w14:paraId="2E35CA37" w14:textId="77777777" w:rsidR="00605AD4" w:rsidRDefault="00605AD4" w:rsidP="00605AD4">
      <w:pPr>
        <w:pStyle w:val="Heading4"/>
      </w:pPr>
      <w:r w:rsidRPr="00605AD4">
        <w:t>First round assessment of benefits</w:t>
      </w:r>
    </w:p>
    <w:p w14:paraId="609B777F" w14:textId="5FED0F8E" w:rsidR="00525F92" w:rsidRPr="00525F92" w:rsidRDefault="005F4107" w:rsidP="00525F92">
      <w:r>
        <w:fldChar w:fldCharType="begin"/>
      </w:r>
      <w:r>
        <w:instrText xml:space="preserve"> REF _Ref15026804 \h </w:instrText>
      </w:r>
      <w:r>
        <w:fldChar w:fldCharType="separate"/>
      </w:r>
      <w:r>
        <w:t xml:space="preserve">Table </w:t>
      </w:r>
      <w:r>
        <w:rPr>
          <w:noProof/>
        </w:rPr>
        <w:t>8</w:t>
      </w:r>
      <w:r>
        <w:fldChar w:fldCharType="end"/>
      </w:r>
      <w:r w:rsidR="00CF6A6C">
        <w:t xml:space="preserve"> summarises the assessment of benefits for </w:t>
      </w:r>
      <w:proofErr w:type="spellStart"/>
      <w:r w:rsidR="00CF6A6C">
        <w:t>Xeljanz</w:t>
      </w:r>
      <w:proofErr w:type="spellEnd"/>
      <w:r w:rsidR="00CF6A6C">
        <w:t xml:space="preserve"> (</w:t>
      </w:r>
      <w:proofErr w:type="spellStart"/>
      <w:r w:rsidR="00CF6A6C">
        <w:t>tofacitinib</w:t>
      </w:r>
      <w:proofErr w:type="spellEnd"/>
      <w:r w:rsidR="00CF6A6C">
        <w:t>) for the proposed indication at the first round evaluation</w:t>
      </w:r>
      <w:r w:rsidR="00525F92">
        <w:t>.</w:t>
      </w:r>
    </w:p>
    <w:p w14:paraId="474422F8" w14:textId="77777777" w:rsidR="00DF461B" w:rsidRPr="00DF461B" w:rsidRDefault="005F4107" w:rsidP="005F4107">
      <w:pPr>
        <w:pStyle w:val="TableTitle"/>
      </w:pPr>
      <w:bookmarkStart w:id="189" w:name="_Ref15026804"/>
      <w:r>
        <w:lastRenderedPageBreak/>
        <w:t xml:space="preserve">Table </w:t>
      </w:r>
      <w:r w:rsidR="009870DC">
        <w:fldChar w:fldCharType="begin"/>
      </w:r>
      <w:r w:rsidR="009870DC">
        <w:instrText xml:space="preserve"> SEQ </w:instrText>
      </w:r>
      <w:r w:rsidR="009870DC">
        <w:instrText xml:space="preserve">Table \* ARABIC </w:instrText>
      </w:r>
      <w:r w:rsidR="009870DC">
        <w:fldChar w:fldCharType="separate"/>
      </w:r>
      <w:r w:rsidR="004E5B1B">
        <w:rPr>
          <w:noProof/>
        </w:rPr>
        <w:t>8</w:t>
      </w:r>
      <w:r w:rsidR="009870DC">
        <w:rPr>
          <w:noProof/>
        </w:rPr>
        <w:fldChar w:fldCharType="end"/>
      </w:r>
      <w:bookmarkEnd w:id="189"/>
      <w:r w:rsidR="00DF461B">
        <w:t>: First round assessment of benefits</w:t>
      </w:r>
    </w:p>
    <w:tbl>
      <w:tblPr>
        <w:tblStyle w:val="TableTGAblue"/>
        <w:tblW w:w="0" w:type="auto"/>
        <w:tblLook w:val="04A0" w:firstRow="1" w:lastRow="0" w:firstColumn="1" w:lastColumn="0" w:noHBand="0" w:noVBand="1"/>
      </w:tblPr>
      <w:tblGrid>
        <w:gridCol w:w="4411"/>
        <w:gridCol w:w="4201"/>
      </w:tblGrid>
      <w:tr w:rsidR="00AE7796" w:rsidRPr="00DF461B" w14:paraId="130C2CB5" w14:textId="77777777" w:rsidTr="00DF461B">
        <w:trPr>
          <w:cnfStyle w:val="100000000000" w:firstRow="1" w:lastRow="0" w:firstColumn="0" w:lastColumn="0" w:oddVBand="0" w:evenVBand="0" w:oddHBand="0" w:evenHBand="0" w:firstRowFirstColumn="0" w:firstRowLastColumn="0" w:lastRowFirstColumn="0" w:lastRowLastColumn="0"/>
        </w:trPr>
        <w:tc>
          <w:tcPr>
            <w:tcW w:w="4411" w:type="dxa"/>
          </w:tcPr>
          <w:p w14:paraId="1BFE6A26" w14:textId="77777777" w:rsidR="00AE7796" w:rsidRPr="00DF461B" w:rsidRDefault="00AE7796" w:rsidP="002E3754">
            <w:pPr>
              <w:ind w:left="0" w:right="0"/>
              <w:rPr>
                <w:rFonts w:asciiTheme="minorHAnsi" w:hAnsiTheme="minorHAnsi"/>
                <w:b w:val="0"/>
                <w:sz w:val="20"/>
                <w:szCs w:val="20"/>
              </w:rPr>
            </w:pPr>
            <w:r w:rsidRPr="00DF461B">
              <w:rPr>
                <w:rFonts w:asciiTheme="minorHAnsi" w:hAnsiTheme="minorHAnsi"/>
                <w:sz w:val="20"/>
                <w:szCs w:val="20"/>
              </w:rPr>
              <w:t>Benefits</w:t>
            </w:r>
          </w:p>
        </w:tc>
        <w:tc>
          <w:tcPr>
            <w:tcW w:w="4201" w:type="dxa"/>
          </w:tcPr>
          <w:p w14:paraId="0A3AF66B" w14:textId="77777777" w:rsidR="00AE7796" w:rsidRPr="00DF461B" w:rsidRDefault="00AE7796" w:rsidP="002E3754">
            <w:pPr>
              <w:ind w:left="0" w:right="0"/>
              <w:rPr>
                <w:rFonts w:asciiTheme="minorHAnsi" w:hAnsiTheme="minorHAnsi"/>
                <w:b w:val="0"/>
                <w:sz w:val="20"/>
                <w:szCs w:val="20"/>
              </w:rPr>
            </w:pPr>
            <w:r w:rsidRPr="00DF461B">
              <w:rPr>
                <w:rFonts w:asciiTheme="minorHAnsi" w:hAnsiTheme="minorHAnsi"/>
                <w:sz w:val="20"/>
                <w:szCs w:val="20"/>
              </w:rPr>
              <w:t>Strengths and Uncertainties</w:t>
            </w:r>
          </w:p>
        </w:tc>
      </w:tr>
      <w:tr w:rsidR="00AE7796" w:rsidRPr="00DF461B" w14:paraId="7198C2D8" w14:textId="77777777" w:rsidTr="00DF461B">
        <w:tc>
          <w:tcPr>
            <w:tcW w:w="4411" w:type="dxa"/>
          </w:tcPr>
          <w:p w14:paraId="551BDA51" w14:textId="4A59CCCE" w:rsidR="00AE7796" w:rsidRPr="00DF461B" w:rsidRDefault="00AE7796" w:rsidP="002E3754">
            <w:pPr>
              <w:pStyle w:val="ListBullet"/>
              <w:keepNext/>
              <w:ind w:left="357" w:right="0" w:hanging="357"/>
              <w:rPr>
                <w:sz w:val="20"/>
                <w:szCs w:val="20"/>
              </w:rPr>
            </w:pPr>
            <w:r w:rsidRPr="00DF461B">
              <w:rPr>
                <w:sz w:val="20"/>
                <w:szCs w:val="20"/>
              </w:rPr>
              <w:t xml:space="preserve">A </w:t>
            </w:r>
            <w:proofErr w:type="spellStart"/>
            <w:r w:rsidRPr="00DF461B">
              <w:rPr>
                <w:sz w:val="20"/>
                <w:szCs w:val="20"/>
              </w:rPr>
              <w:t>tofacitinib</w:t>
            </w:r>
            <w:proofErr w:type="spellEnd"/>
            <w:r w:rsidRPr="00DF461B">
              <w:rPr>
                <w:sz w:val="20"/>
                <w:szCs w:val="20"/>
              </w:rPr>
              <w:t xml:space="preserve"> 10 mg </w:t>
            </w:r>
            <w:r w:rsidR="00F14B34">
              <w:rPr>
                <w:sz w:val="20"/>
                <w:szCs w:val="20"/>
              </w:rPr>
              <w:t>BID</w:t>
            </w:r>
            <w:r w:rsidRPr="00DF461B">
              <w:rPr>
                <w:sz w:val="20"/>
                <w:szCs w:val="20"/>
              </w:rPr>
              <w:t xml:space="preserve"> regimen produces a clinically meaningful response (remissi</w:t>
            </w:r>
            <w:r w:rsidR="00EF5322">
              <w:rPr>
                <w:sz w:val="20"/>
                <w:szCs w:val="20"/>
              </w:rPr>
              <w:t xml:space="preserve">on and mucosal healing) in an 8 </w:t>
            </w:r>
            <w:r w:rsidRPr="00DF461B">
              <w:rPr>
                <w:sz w:val="20"/>
                <w:szCs w:val="20"/>
              </w:rPr>
              <w:t>week induction regimen in patients with moderately to severely active ulcerative colitis. A clinically meaningful r</w:t>
            </w:r>
            <w:r w:rsidR="00EF5322">
              <w:rPr>
                <w:sz w:val="20"/>
                <w:szCs w:val="20"/>
              </w:rPr>
              <w:t>esponse was noted as early as 2 </w:t>
            </w:r>
            <w:r w:rsidRPr="00DF461B">
              <w:rPr>
                <w:sz w:val="20"/>
                <w:szCs w:val="20"/>
              </w:rPr>
              <w:t>weeks post-</w:t>
            </w:r>
            <w:r w:rsidR="00CF6A6C">
              <w:rPr>
                <w:sz w:val="20"/>
                <w:szCs w:val="20"/>
              </w:rPr>
              <w:t>Baseline</w:t>
            </w:r>
            <w:r w:rsidRPr="00DF461B">
              <w:rPr>
                <w:sz w:val="20"/>
                <w:szCs w:val="20"/>
              </w:rPr>
              <w:t xml:space="preserve"> and persisted throughout </w:t>
            </w:r>
            <w:r w:rsidR="00DF461B" w:rsidRPr="00DF461B">
              <w:rPr>
                <w:sz w:val="20"/>
                <w:szCs w:val="20"/>
              </w:rPr>
              <w:t>the study duration.</w:t>
            </w:r>
          </w:p>
          <w:p w14:paraId="289348F8" w14:textId="77777777" w:rsidR="00AE7796" w:rsidRPr="00DF461B" w:rsidRDefault="00AE7796" w:rsidP="002E3754">
            <w:pPr>
              <w:pStyle w:val="ListBullet"/>
              <w:keepNext/>
              <w:ind w:left="357" w:right="0" w:hanging="357"/>
              <w:rPr>
                <w:sz w:val="20"/>
                <w:szCs w:val="20"/>
              </w:rPr>
            </w:pPr>
            <w:r w:rsidRPr="00DF461B">
              <w:rPr>
                <w:sz w:val="20"/>
                <w:szCs w:val="20"/>
              </w:rPr>
              <w:t xml:space="preserve">Maintenance of response (including remission) was maintained for approximately one year with both </w:t>
            </w:r>
            <w:proofErr w:type="spellStart"/>
            <w:r w:rsidRPr="00DF461B">
              <w:rPr>
                <w:sz w:val="20"/>
                <w:szCs w:val="20"/>
              </w:rPr>
              <w:t>tofacitinib</w:t>
            </w:r>
            <w:proofErr w:type="spellEnd"/>
            <w:r w:rsidRPr="00DF461B">
              <w:rPr>
                <w:sz w:val="20"/>
                <w:szCs w:val="20"/>
              </w:rPr>
              <w:t xml:space="preserve"> 5 mg and 10 mg treatment regimens for the target population. This allows for some flexibility in dosing </w:t>
            </w:r>
            <w:r w:rsidR="00404101">
              <w:rPr>
                <w:sz w:val="20"/>
                <w:szCs w:val="20"/>
              </w:rPr>
              <w:t>for example</w:t>
            </w:r>
            <w:r w:rsidRPr="00DF461B">
              <w:rPr>
                <w:sz w:val="20"/>
                <w:szCs w:val="20"/>
              </w:rPr>
              <w:t xml:space="preserve"> in patients who have documented poor response to </w:t>
            </w:r>
            <w:proofErr w:type="spellStart"/>
            <w:r w:rsidRPr="00DF461B">
              <w:rPr>
                <w:sz w:val="20"/>
                <w:szCs w:val="20"/>
              </w:rPr>
              <w:t>TNFi</w:t>
            </w:r>
            <w:proofErr w:type="spellEnd"/>
            <w:r w:rsidRPr="00DF461B">
              <w:rPr>
                <w:sz w:val="20"/>
                <w:szCs w:val="20"/>
              </w:rPr>
              <w:t xml:space="preserve"> treatment/s.</w:t>
            </w:r>
          </w:p>
          <w:p w14:paraId="35630904" w14:textId="77777777" w:rsidR="00AE7796" w:rsidRPr="00DF461B" w:rsidRDefault="00AE7796" w:rsidP="002E3754">
            <w:pPr>
              <w:pStyle w:val="ListBullet"/>
              <w:keepNext/>
              <w:ind w:left="357" w:right="0" w:hanging="357"/>
            </w:pPr>
            <w:r w:rsidRPr="00DF461B">
              <w:rPr>
                <w:sz w:val="20"/>
                <w:szCs w:val="20"/>
              </w:rPr>
              <w:t xml:space="preserve">No new safety signal was identified in the submission dossier for </w:t>
            </w:r>
            <w:proofErr w:type="spellStart"/>
            <w:r w:rsidRPr="00DF461B">
              <w:rPr>
                <w:sz w:val="20"/>
                <w:szCs w:val="20"/>
              </w:rPr>
              <w:t>tofa</w:t>
            </w:r>
            <w:r w:rsidR="00DF461B" w:rsidRPr="00DF461B">
              <w:rPr>
                <w:sz w:val="20"/>
                <w:szCs w:val="20"/>
              </w:rPr>
              <w:t>citinib</w:t>
            </w:r>
            <w:proofErr w:type="spellEnd"/>
            <w:r w:rsidR="00DF461B" w:rsidRPr="00DF461B">
              <w:rPr>
                <w:sz w:val="20"/>
                <w:szCs w:val="20"/>
              </w:rPr>
              <w:t xml:space="preserve"> in the target population</w:t>
            </w:r>
          </w:p>
        </w:tc>
        <w:tc>
          <w:tcPr>
            <w:tcW w:w="4201" w:type="dxa"/>
          </w:tcPr>
          <w:p w14:paraId="335DBDC3" w14:textId="77777777" w:rsidR="00AE7796" w:rsidRPr="00DF461B" w:rsidRDefault="00AE7796" w:rsidP="002E3754">
            <w:pPr>
              <w:pStyle w:val="ListBullet"/>
              <w:keepNext/>
              <w:ind w:left="357" w:right="0" w:hanging="357"/>
              <w:rPr>
                <w:sz w:val="20"/>
              </w:rPr>
            </w:pPr>
            <w:r w:rsidRPr="00DF461B">
              <w:rPr>
                <w:sz w:val="20"/>
              </w:rPr>
              <w:t>The primary efficacy result (remission at Week 8) was supported by most of the sensitivity, subgroup, and secondary and exploratory efficacy analyses.</w:t>
            </w:r>
          </w:p>
          <w:p w14:paraId="2E45BD7B" w14:textId="77777777" w:rsidR="00AE7796" w:rsidRPr="00DF461B" w:rsidRDefault="00AE7796" w:rsidP="002E3754">
            <w:pPr>
              <w:pStyle w:val="ListBullet"/>
              <w:keepNext/>
              <w:ind w:left="357" w:right="0" w:hanging="357"/>
              <w:rPr>
                <w:sz w:val="20"/>
              </w:rPr>
            </w:pPr>
            <w:r w:rsidRPr="00DF461B">
              <w:rPr>
                <w:sz w:val="20"/>
              </w:rPr>
              <w:t xml:space="preserve">The optimal duration of induction treatment remains unknown as no </w:t>
            </w:r>
            <w:proofErr w:type="spellStart"/>
            <w:r w:rsidRPr="00DF461B">
              <w:rPr>
                <w:sz w:val="20"/>
              </w:rPr>
              <w:t>pharmacodynamic</w:t>
            </w:r>
            <w:proofErr w:type="spellEnd"/>
            <w:r w:rsidRPr="00DF461B">
              <w:rPr>
                <w:sz w:val="20"/>
              </w:rPr>
              <w:t xml:space="preserve"> studies were submitted in the submission dossier.</w:t>
            </w:r>
          </w:p>
          <w:p w14:paraId="4482D0C7" w14:textId="77777777" w:rsidR="00AE7796" w:rsidRPr="00DF461B" w:rsidRDefault="00AE7796" w:rsidP="002E3754">
            <w:pPr>
              <w:pStyle w:val="ListBullet"/>
              <w:keepNext/>
              <w:ind w:left="357" w:right="0" w:hanging="357"/>
              <w:rPr>
                <w:sz w:val="20"/>
              </w:rPr>
            </w:pPr>
            <w:r w:rsidRPr="00DF461B">
              <w:rPr>
                <w:sz w:val="20"/>
              </w:rPr>
              <w:t>The lowest effective dose that may induce remission in the target population remains unknown.</w:t>
            </w:r>
          </w:p>
          <w:p w14:paraId="69904BDD" w14:textId="77777777" w:rsidR="00AE7796" w:rsidRPr="00DF461B" w:rsidRDefault="00AE7796" w:rsidP="002E3754">
            <w:pPr>
              <w:pStyle w:val="ListBullet"/>
              <w:keepNext/>
              <w:ind w:left="357" w:right="0" w:hanging="357"/>
              <w:rPr>
                <w:sz w:val="20"/>
              </w:rPr>
            </w:pPr>
            <w:r w:rsidRPr="00DF461B">
              <w:rPr>
                <w:sz w:val="20"/>
              </w:rPr>
              <w:t xml:space="preserve">The characteristics of non-responders to </w:t>
            </w:r>
            <w:proofErr w:type="spellStart"/>
            <w:r w:rsidRPr="00DF461B">
              <w:rPr>
                <w:sz w:val="20"/>
              </w:rPr>
              <w:t>tofacitinib</w:t>
            </w:r>
            <w:proofErr w:type="spellEnd"/>
            <w:r w:rsidRPr="00DF461B">
              <w:rPr>
                <w:sz w:val="20"/>
              </w:rPr>
              <w:t xml:space="preserve"> indu</w:t>
            </w:r>
            <w:r w:rsidR="00DF461B" w:rsidRPr="00DF461B">
              <w:rPr>
                <w:sz w:val="20"/>
              </w:rPr>
              <w:t>ction treatment remain unclear.</w:t>
            </w:r>
          </w:p>
          <w:p w14:paraId="5FBB5ADD" w14:textId="77777777" w:rsidR="00AE7796" w:rsidRPr="00DF461B" w:rsidRDefault="00AE7796" w:rsidP="002E3754">
            <w:pPr>
              <w:pStyle w:val="ListBullet"/>
              <w:keepNext/>
              <w:ind w:left="357" w:right="0" w:hanging="357"/>
              <w:rPr>
                <w:sz w:val="20"/>
              </w:rPr>
            </w:pPr>
            <w:r w:rsidRPr="00DF461B">
              <w:rPr>
                <w:sz w:val="20"/>
              </w:rPr>
              <w:t>The primary efficacy result (proportion of subjects in remission at Week 52) was supported by most of the sensitivity, subgroup, and secondary and exploratory efficacy analyses. Also maintenance of effect was generally maintaine</w:t>
            </w:r>
            <w:r w:rsidR="00EF5322">
              <w:rPr>
                <w:sz w:val="20"/>
              </w:rPr>
              <w:t xml:space="preserve">d for up to 12 months in a long term open </w:t>
            </w:r>
            <w:r w:rsidRPr="00DF461B">
              <w:rPr>
                <w:sz w:val="20"/>
              </w:rPr>
              <w:t xml:space="preserve">label extension study (particularly for subjects who entered the </w:t>
            </w:r>
            <w:r w:rsidR="00404101">
              <w:rPr>
                <w:sz w:val="20"/>
              </w:rPr>
              <w:t>open label</w:t>
            </w:r>
            <w:r w:rsidRPr="00DF461B">
              <w:rPr>
                <w:sz w:val="20"/>
              </w:rPr>
              <w:t xml:space="preserve"> study in remission from the maintenance study referred </w:t>
            </w:r>
            <w:r w:rsidR="00DF461B" w:rsidRPr="00DF461B">
              <w:rPr>
                <w:sz w:val="20"/>
              </w:rPr>
              <w:t>to as ‘maintenance remitters’).</w:t>
            </w:r>
          </w:p>
          <w:p w14:paraId="3199BA9C" w14:textId="77777777" w:rsidR="00AE7796" w:rsidRPr="00DF461B" w:rsidRDefault="00AE7796" w:rsidP="002E3754">
            <w:pPr>
              <w:pStyle w:val="ListBullet"/>
              <w:keepNext/>
              <w:ind w:left="357" w:right="0" w:hanging="357"/>
            </w:pPr>
            <w:r w:rsidRPr="00DF461B">
              <w:rPr>
                <w:sz w:val="20"/>
              </w:rPr>
              <w:t xml:space="preserve">Due to long latency of some adverse events </w:t>
            </w:r>
            <w:r w:rsidR="00404101">
              <w:rPr>
                <w:sz w:val="20"/>
              </w:rPr>
              <w:t>for example</w:t>
            </w:r>
            <w:r w:rsidRPr="00DF461B">
              <w:rPr>
                <w:sz w:val="20"/>
              </w:rPr>
              <w:t xml:space="preserve"> malignancies, any such association may not become apparent until exposure to </w:t>
            </w:r>
            <w:proofErr w:type="spellStart"/>
            <w:r w:rsidRPr="00DF461B">
              <w:rPr>
                <w:sz w:val="20"/>
              </w:rPr>
              <w:t>tofacitinib</w:t>
            </w:r>
            <w:proofErr w:type="spellEnd"/>
            <w:r w:rsidRPr="00DF461B">
              <w:rPr>
                <w:sz w:val="20"/>
              </w:rPr>
              <w:t xml:space="preserve"> becomes greater. In addition, rare (unpredictable) adverse events may also not become apparent until exposure </w:t>
            </w:r>
            <w:r w:rsidR="00DF461B" w:rsidRPr="00DF461B">
              <w:rPr>
                <w:sz w:val="20"/>
              </w:rPr>
              <w:t xml:space="preserve">of </w:t>
            </w:r>
            <w:proofErr w:type="spellStart"/>
            <w:r w:rsidR="00DF461B" w:rsidRPr="00DF461B">
              <w:rPr>
                <w:sz w:val="20"/>
              </w:rPr>
              <w:t>tofacitinib</w:t>
            </w:r>
            <w:proofErr w:type="spellEnd"/>
            <w:r w:rsidR="00DF461B" w:rsidRPr="00DF461B">
              <w:rPr>
                <w:sz w:val="20"/>
              </w:rPr>
              <w:t xml:space="preserve"> becomes greater.</w:t>
            </w:r>
          </w:p>
        </w:tc>
      </w:tr>
    </w:tbl>
    <w:p w14:paraId="0C77BFF3" w14:textId="77777777" w:rsidR="00605AD4" w:rsidRDefault="00605AD4" w:rsidP="00DF461B">
      <w:pPr>
        <w:pStyle w:val="Heading4"/>
      </w:pPr>
      <w:r w:rsidRPr="00DF461B">
        <w:t>First round assessment of risks</w:t>
      </w:r>
    </w:p>
    <w:p w14:paraId="690B7AE8" w14:textId="4F46A132" w:rsidR="00525F92" w:rsidRPr="00525F92" w:rsidRDefault="005F4107" w:rsidP="00525F92">
      <w:r>
        <w:fldChar w:fldCharType="begin"/>
      </w:r>
      <w:r>
        <w:instrText xml:space="preserve"> REF _Ref15026830 \h </w:instrText>
      </w:r>
      <w:r>
        <w:fldChar w:fldCharType="separate"/>
      </w:r>
      <w:r>
        <w:t xml:space="preserve">Table </w:t>
      </w:r>
      <w:r>
        <w:rPr>
          <w:noProof/>
        </w:rPr>
        <w:t>9</w:t>
      </w:r>
      <w:r>
        <w:fldChar w:fldCharType="end"/>
      </w:r>
      <w:r w:rsidR="00CF6A6C">
        <w:t xml:space="preserve"> summarises the assessment of risks</w:t>
      </w:r>
      <w:r w:rsidR="00285A20">
        <w:t xml:space="preserve"> of </w:t>
      </w:r>
      <w:proofErr w:type="spellStart"/>
      <w:r w:rsidR="00285A20">
        <w:t>Xeljanz</w:t>
      </w:r>
      <w:proofErr w:type="spellEnd"/>
      <w:r w:rsidR="00285A20">
        <w:t xml:space="preserve"> (</w:t>
      </w:r>
      <w:proofErr w:type="spellStart"/>
      <w:r w:rsidR="00285A20">
        <w:t>tofacitinib</w:t>
      </w:r>
      <w:proofErr w:type="spellEnd"/>
      <w:r w:rsidR="00285A20">
        <w:t>) for the proposed indication at the first round evaluation</w:t>
      </w:r>
      <w:r w:rsidR="00525F92">
        <w:t>.</w:t>
      </w:r>
    </w:p>
    <w:p w14:paraId="787707DF" w14:textId="77777777" w:rsidR="00DF461B" w:rsidRPr="00DF461B" w:rsidRDefault="005F4107" w:rsidP="005F4107">
      <w:pPr>
        <w:pStyle w:val="TableTitle"/>
      </w:pPr>
      <w:bookmarkStart w:id="190" w:name="_Ref15026830"/>
      <w:r>
        <w:lastRenderedPageBreak/>
        <w:t xml:space="preserve">Table </w:t>
      </w:r>
      <w:r w:rsidR="009870DC">
        <w:fldChar w:fldCharType="begin"/>
      </w:r>
      <w:r w:rsidR="009870DC">
        <w:instrText xml:space="preserve"> SEQ Table \* ARABIC </w:instrText>
      </w:r>
      <w:r w:rsidR="009870DC">
        <w:fldChar w:fldCharType="separate"/>
      </w:r>
      <w:r w:rsidR="004E5B1B">
        <w:rPr>
          <w:noProof/>
        </w:rPr>
        <w:t>9</w:t>
      </w:r>
      <w:r w:rsidR="009870DC">
        <w:rPr>
          <w:noProof/>
        </w:rPr>
        <w:fldChar w:fldCharType="end"/>
      </w:r>
      <w:bookmarkEnd w:id="190"/>
      <w:r w:rsidR="00DF461B">
        <w:t>: First round assessment of risks</w:t>
      </w:r>
    </w:p>
    <w:tbl>
      <w:tblPr>
        <w:tblStyle w:val="TableTGAblue"/>
        <w:tblW w:w="0" w:type="auto"/>
        <w:tblLook w:val="04A0" w:firstRow="1" w:lastRow="0" w:firstColumn="1" w:lastColumn="0" w:noHBand="0" w:noVBand="1"/>
      </w:tblPr>
      <w:tblGrid>
        <w:gridCol w:w="4360"/>
        <w:gridCol w:w="4360"/>
      </w:tblGrid>
      <w:tr w:rsidR="00AE7796" w:rsidRPr="00DF461B" w14:paraId="0F27545B" w14:textId="77777777" w:rsidTr="00AE7796">
        <w:trPr>
          <w:cnfStyle w:val="100000000000" w:firstRow="1" w:lastRow="0" w:firstColumn="0" w:lastColumn="0" w:oddVBand="0" w:evenVBand="0" w:oddHBand="0" w:evenHBand="0" w:firstRowFirstColumn="0" w:firstRowLastColumn="0" w:lastRowFirstColumn="0" w:lastRowLastColumn="0"/>
        </w:trPr>
        <w:tc>
          <w:tcPr>
            <w:tcW w:w="4395" w:type="dxa"/>
          </w:tcPr>
          <w:p w14:paraId="0975DDF1" w14:textId="77777777" w:rsidR="00AE7796" w:rsidRPr="00DF461B" w:rsidRDefault="00AE7796" w:rsidP="002E3754">
            <w:pPr>
              <w:rPr>
                <w:b w:val="0"/>
                <w:sz w:val="20"/>
                <w:szCs w:val="22"/>
              </w:rPr>
            </w:pPr>
            <w:r w:rsidRPr="00DF461B">
              <w:rPr>
                <w:sz w:val="20"/>
                <w:szCs w:val="22"/>
              </w:rPr>
              <w:t>Risks</w:t>
            </w:r>
          </w:p>
        </w:tc>
        <w:tc>
          <w:tcPr>
            <w:tcW w:w="4394" w:type="dxa"/>
          </w:tcPr>
          <w:p w14:paraId="09D017A2" w14:textId="77777777" w:rsidR="00AE7796" w:rsidRPr="00DF461B" w:rsidRDefault="00AE7796" w:rsidP="002E3754">
            <w:pPr>
              <w:rPr>
                <w:b w:val="0"/>
                <w:sz w:val="20"/>
                <w:szCs w:val="22"/>
              </w:rPr>
            </w:pPr>
            <w:r w:rsidRPr="00DF461B">
              <w:rPr>
                <w:sz w:val="20"/>
                <w:szCs w:val="22"/>
              </w:rPr>
              <w:t>Strengths and Uncertainties</w:t>
            </w:r>
          </w:p>
        </w:tc>
      </w:tr>
      <w:tr w:rsidR="00AE7796" w:rsidRPr="00DF461B" w14:paraId="49358A32" w14:textId="77777777" w:rsidTr="00AE7796">
        <w:tc>
          <w:tcPr>
            <w:tcW w:w="4395" w:type="dxa"/>
          </w:tcPr>
          <w:p w14:paraId="72DBEADE" w14:textId="77777777" w:rsidR="00AE7796" w:rsidRPr="00DF461B" w:rsidRDefault="00AE7796" w:rsidP="002E3754">
            <w:pPr>
              <w:pStyle w:val="ListBullet"/>
              <w:keepNext/>
              <w:ind w:left="357" w:right="0" w:hanging="357"/>
              <w:rPr>
                <w:sz w:val="20"/>
              </w:rPr>
            </w:pPr>
            <w:r w:rsidRPr="00DF461B">
              <w:rPr>
                <w:sz w:val="20"/>
              </w:rPr>
              <w:t xml:space="preserve">Administration of a </w:t>
            </w:r>
            <w:proofErr w:type="spellStart"/>
            <w:r w:rsidRPr="00DF461B">
              <w:rPr>
                <w:sz w:val="20"/>
              </w:rPr>
              <w:t>tofacitinib</w:t>
            </w:r>
            <w:proofErr w:type="spellEnd"/>
            <w:r w:rsidRPr="00DF461B">
              <w:rPr>
                <w:sz w:val="20"/>
              </w:rPr>
              <w:t xml:space="preserve"> 10 mg induction dose regimen may produce unacceptably higher incidence of adverse events of special interest and adverse events in general (including severe and serious adverse events) than a </w:t>
            </w:r>
            <w:r w:rsidR="00DF461B" w:rsidRPr="00DF461B">
              <w:rPr>
                <w:sz w:val="20"/>
              </w:rPr>
              <w:t xml:space="preserve">lower </w:t>
            </w:r>
            <w:proofErr w:type="spellStart"/>
            <w:r w:rsidR="00DF461B" w:rsidRPr="00DF461B">
              <w:rPr>
                <w:sz w:val="20"/>
              </w:rPr>
              <w:t>tofacitinib</w:t>
            </w:r>
            <w:proofErr w:type="spellEnd"/>
            <w:r w:rsidR="00DF461B" w:rsidRPr="00DF461B">
              <w:rPr>
                <w:sz w:val="20"/>
              </w:rPr>
              <w:t xml:space="preserve"> dose regimen.</w:t>
            </w:r>
          </w:p>
          <w:p w14:paraId="79CE2F3F" w14:textId="77777777" w:rsidR="00AE7796" w:rsidRPr="00DF461B" w:rsidRDefault="00AE7796" w:rsidP="002E3754">
            <w:pPr>
              <w:pStyle w:val="ListBullet"/>
              <w:keepNext/>
              <w:ind w:left="357" w:right="0" w:hanging="357"/>
            </w:pPr>
            <w:r w:rsidRPr="00DF461B">
              <w:rPr>
                <w:sz w:val="20"/>
              </w:rPr>
              <w:t xml:space="preserve">While clinically meaningful efficacy results were obtained and sustained during maintenance treatments with both </w:t>
            </w:r>
            <w:proofErr w:type="spellStart"/>
            <w:r w:rsidRPr="00DF461B">
              <w:rPr>
                <w:sz w:val="20"/>
              </w:rPr>
              <w:t>tofacitinib</w:t>
            </w:r>
            <w:proofErr w:type="spellEnd"/>
            <w:r w:rsidRPr="00DF461B">
              <w:rPr>
                <w:sz w:val="20"/>
              </w:rPr>
              <w:t xml:space="preserve"> 5 mg and 10 mg regimens, and adverse events rates were generally higher with the </w:t>
            </w:r>
            <w:proofErr w:type="spellStart"/>
            <w:r w:rsidRPr="00DF461B">
              <w:rPr>
                <w:sz w:val="20"/>
              </w:rPr>
              <w:t>tofacitinib</w:t>
            </w:r>
            <w:proofErr w:type="spellEnd"/>
            <w:r w:rsidRPr="00DF461B">
              <w:rPr>
                <w:sz w:val="20"/>
              </w:rPr>
              <w:t xml:space="preserve"> 10 mg treatment regimen, development of serious adverse events (including death) and adverse events of special interest (such as malignancies) may be</w:t>
            </w:r>
            <w:r w:rsidR="00EF5322">
              <w:rPr>
                <w:sz w:val="20"/>
              </w:rPr>
              <w:t xml:space="preserve">come apparent in time with long </w:t>
            </w:r>
            <w:r w:rsidRPr="00DF461B">
              <w:rPr>
                <w:sz w:val="20"/>
              </w:rPr>
              <w:t>t</w:t>
            </w:r>
            <w:r w:rsidR="00DF461B" w:rsidRPr="00DF461B">
              <w:rPr>
                <w:sz w:val="20"/>
              </w:rPr>
              <w:t xml:space="preserve">erm </w:t>
            </w:r>
            <w:proofErr w:type="spellStart"/>
            <w:r w:rsidR="00DF461B" w:rsidRPr="00DF461B">
              <w:rPr>
                <w:sz w:val="20"/>
              </w:rPr>
              <w:t>tofacitinib</w:t>
            </w:r>
            <w:proofErr w:type="spellEnd"/>
            <w:r w:rsidR="00DF461B" w:rsidRPr="00DF461B">
              <w:rPr>
                <w:sz w:val="20"/>
              </w:rPr>
              <w:t xml:space="preserve"> 5 mg treatment.</w:t>
            </w:r>
          </w:p>
        </w:tc>
        <w:tc>
          <w:tcPr>
            <w:tcW w:w="4394" w:type="dxa"/>
          </w:tcPr>
          <w:p w14:paraId="75F7739A" w14:textId="77777777" w:rsidR="00AE7796" w:rsidRPr="00DF461B" w:rsidRDefault="00AE7796" w:rsidP="002E3754">
            <w:pPr>
              <w:pStyle w:val="ListBullet"/>
              <w:keepNext/>
              <w:ind w:left="357" w:right="0" w:hanging="357"/>
              <w:rPr>
                <w:sz w:val="20"/>
              </w:rPr>
            </w:pPr>
            <w:r w:rsidRPr="00DF461B">
              <w:rPr>
                <w:sz w:val="20"/>
              </w:rPr>
              <w:t xml:space="preserve">Since there is no alternative </w:t>
            </w:r>
            <w:proofErr w:type="spellStart"/>
            <w:r w:rsidRPr="00DF461B">
              <w:rPr>
                <w:sz w:val="20"/>
              </w:rPr>
              <w:t>tofacitinib</w:t>
            </w:r>
            <w:proofErr w:type="spellEnd"/>
            <w:r w:rsidRPr="00DF461B">
              <w:rPr>
                <w:sz w:val="20"/>
              </w:rPr>
              <w:t xml:space="preserve"> dose regimen for induction treatment the 10 mg regimen may produce an unacceptably high number of adverse events in an acutely unwell population with ulcerative colitis.</w:t>
            </w:r>
          </w:p>
          <w:p w14:paraId="311AD48E" w14:textId="77777777" w:rsidR="00AE7796" w:rsidRPr="00DF461B" w:rsidRDefault="00AE7796" w:rsidP="002E3754">
            <w:pPr>
              <w:pStyle w:val="ListBullet"/>
              <w:keepNext/>
              <w:ind w:left="357" w:right="0" w:hanging="357"/>
              <w:rPr>
                <w:sz w:val="20"/>
              </w:rPr>
            </w:pPr>
            <w:r w:rsidRPr="00DF461B">
              <w:rPr>
                <w:sz w:val="20"/>
              </w:rPr>
              <w:t xml:space="preserve">Given the concerns raised by the TGA in a previous application for </w:t>
            </w:r>
            <w:r w:rsidR="00B7366A">
              <w:rPr>
                <w:sz w:val="20"/>
              </w:rPr>
              <w:t>RA</w:t>
            </w:r>
            <w:r w:rsidRPr="00DF461B">
              <w:rPr>
                <w:sz w:val="20"/>
              </w:rPr>
              <w:t xml:space="preserve"> (that resulted in registration of just the </w:t>
            </w:r>
            <w:proofErr w:type="spellStart"/>
            <w:r w:rsidRPr="00DF461B">
              <w:rPr>
                <w:sz w:val="20"/>
              </w:rPr>
              <w:t>tofacitinib</w:t>
            </w:r>
            <w:proofErr w:type="spellEnd"/>
            <w:r w:rsidRPr="00DF461B">
              <w:rPr>
                <w:sz w:val="20"/>
              </w:rPr>
              <w:t xml:space="preserve"> 5 mg dose), non-inclusion of a lower induction regimen than </w:t>
            </w:r>
            <w:proofErr w:type="spellStart"/>
            <w:r w:rsidRPr="00DF461B">
              <w:rPr>
                <w:sz w:val="20"/>
              </w:rPr>
              <w:t>tofacitinib</w:t>
            </w:r>
            <w:proofErr w:type="spellEnd"/>
            <w:r w:rsidRPr="00DF461B">
              <w:rPr>
                <w:sz w:val="20"/>
              </w:rPr>
              <w:t xml:space="preserve"> 10 mg does not directly address the previously raised concerns. Furthermore, many of the concerns previously raised by the TGA in respect of RA were aligned with similar concerns by the EMA. In 2017, the EMA approved the use of </w:t>
            </w:r>
            <w:proofErr w:type="spellStart"/>
            <w:r w:rsidRPr="00DF461B">
              <w:rPr>
                <w:sz w:val="20"/>
              </w:rPr>
              <w:t>tofacitinib</w:t>
            </w:r>
            <w:proofErr w:type="spellEnd"/>
            <w:r w:rsidRPr="00DF461B">
              <w:rPr>
                <w:sz w:val="20"/>
              </w:rPr>
              <w:t xml:space="preserve"> 5 mg in RA (but not a </w:t>
            </w:r>
            <w:proofErr w:type="spellStart"/>
            <w:r w:rsidRPr="00DF461B">
              <w:rPr>
                <w:sz w:val="20"/>
              </w:rPr>
              <w:t>tofacitinib</w:t>
            </w:r>
            <w:proofErr w:type="spellEnd"/>
            <w:r w:rsidRPr="00DF461B">
              <w:rPr>
                <w:sz w:val="20"/>
              </w:rPr>
              <w:t xml:space="preserve"> 10 mg regimen).</w:t>
            </w:r>
          </w:p>
          <w:p w14:paraId="6D591DEE" w14:textId="77777777" w:rsidR="00AE7796" w:rsidRPr="00DF461B" w:rsidRDefault="00AE7796" w:rsidP="002E3754">
            <w:pPr>
              <w:pStyle w:val="ListBullet"/>
              <w:keepNext/>
              <w:ind w:left="357" w:right="0" w:hanging="357"/>
              <w:rPr>
                <w:rFonts w:eastAsia="TimesNewRoman" w:cs="TimesNewRoman"/>
                <w:sz w:val="20"/>
              </w:rPr>
            </w:pPr>
            <w:r w:rsidRPr="00DF461B">
              <w:rPr>
                <w:sz w:val="20"/>
              </w:rPr>
              <w:t xml:space="preserve">In addition, </w:t>
            </w:r>
            <w:proofErr w:type="spellStart"/>
            <w:r w:rsidRPr="00DF461B">
              <w:rPr>
                <w:sz w:val="20"/>
              </w:rPr>
              <w:t>tofacitinib</w:t>
            </w:r>
            <w:proofErr w:type="spellEnd"/>
            <w:r w:rsidRPr="00DF461B">
              <w:rPr>
                <w:sz w:val="20"/>
              </w:rPr>
              <w:t xml:space="preserve"> global development programs have been ceased in Crohn’s disease, kidney transplantation and, more recently,</w:t>
            </w:r>
            <w:r w:rsidR="00EF5322">
              <w:rPr>
                <w:rFonts w:eastAsia="TimesNewRoman" w:cs="TimesNewRoman"/>
                <w:sz w:val="20"/>
              </w:rPr>
              <w:t xml:space="preserve"> moderate </w:t>
            </w:r>
            <w:r w:rsidRPr="00DF461B">
              <w:rPr>
                <w:rFonts w:eastAsia="TimesNewRoman" w:cs="TimesNewRoman"/>
                <w:sz w:val="20"/>
              </w:rPr>
              <w:t xml:space="preserve">to-severe chronic plaque </w:t>
            </w:r>
            <w:proofErr w:type="spellStart"/>
            <w:r w:rsidRPr="00DF461B">
              <w:rPr>
                <w:rFonts w:eastAsia="TimesNewRoman" w:cs="TimesNewRoman"/>
                <w:sz w:val="20"/>
              </w:rPr>
              <w:t>PsO</w:t>
            </w:r>
            <w:proofErr w:type="spellEnd"/>
            <w:r w:rsidRPr="00DF461B">
              <w:rPr>
                <w:rFonts w:eastAsia="TimesNewRoman" w:cs="TimesNewRoman"/>
                <w:sz w:val="20"/>
              </w:rPr>
              <w:t xml:space="preserve"> (2015; negative opinion from the FDA). The removal of the </w:t>
            </w:r>
            <w:proofErr w:type="spellStart"/>
            <w:r w:rsidRPr="00DF461B">
              <w:rPr>
                <w:rFonts w:eastAsia="TimesNewRoman" w:cs="TimesNewRoman"/>
                <w:sz w:val="20"/>
              </w:rPr>
              <w:t>tofacitinib</w:t>
            </w:r>
            <w:proofErr w:type="spellEnd"/>
            <w:r w:rsidRPr="00DF461B">
              <w:rPr>
                <w:rFonts w:eastAsia="TimesNewRoman" w:cs="TimesNewRoman"/>
                <w:sz w:val="20"/>
              </w:rPr>
              <w:t xml:space="preserve"> 15 mg treatment arm in the UC </w:t>
            </w:r>
            <w:r w:rsidR="00B7366A">
              <w:rPr>
                <w:rFonts w:eastAsia="TimesNewRoman" w:cs="TimesNewRoman"/>
                <w:sz w:val="20"/>
              </w:rPr>
              <w:t>Phase</w:t>
            </w:r>
            <w:r w:rsidRPr="00DF461B">
              <w:rPr>
                <w:rFonts w:eastAsia="TimesNewRoman" w:cs="TimesNewRoman"/>
                <w:sz w:val="20"/>
              </w:rPr>
              <w:t xml:space="preserve"> III induction program adds weight to the global uncertainty around </w:t>
            </w:r>
            <w:proofErr w:type="spellStart"/>
            <w:r w:rsidRPr="00DF461B">
              <w:rPr>
                <w:rFonts w:eastAsia="TimesNewRoman" w:cs="TimesNewRoman"/>
                <w:sz w:val="20"/>
              </w:rPr>
              <w:t>tofacitinib</w:t>
            </w:r>
            <w:proofErr w:type="spellEnd"/>
            <w:r w:rsidRPr="00DF461B">
              <w:rPr>
                <w:rFonts w:eastAsia="TimesNewRoman" w:cs="TimesNewRoman"/>
                <w:sz w:val="20"/>
              </w:rPr>
              <w:t xml:space="preserve"> and what can be considered an acceptable dose as well as an acceptable level of risk.</w:t>
            </w:r>
          </w:p>
          <w:p w14:paraId="0EDE2535" w14:textId="77777777" w:rsidR="00AE7796" w:rsidRPr="00DF461B" w:rsidRDefault="00AE7796" w:rsidP="002E3754">
            <w:pPr>
              <w:pStyle w:val="ListBullet"/>
              <w:keepNext/>
              <w:ind w:left="357" w:right="0" w:hanging="357"/>
              <w:rPr>
                <w:rFonts w:eastAsia="TimesNewRoman" w:cs="TimesNewRoman"/>
                <w:sz w:val="20"/>
              </w:rPr>
            </w:pPr>
            <w:r w:rsidRPr="00DF461B">
              <w:rPr>
                <w:rFonts w:eastAsia="TimesNewRoman" w:cs="TimesNewRoman"/>
                <w:sz w:val="20"/>
              </w:rPr>
              <w:t xml:space="preserve">Most of the adverse events of special interest are well documented, especially in the RA program and appear to be predictable/possibly related to systemic exposure. Hence, while more adverse events generally occurred with higher incidence with </w:t>
            </w:r>
            <w:proofErr w:type="spellStart"/>
            <w:r w:rsidRPr="00DF461B">
              <w:rPr>
                <w:rFonts w:eastAsia="TimesNewRoman" w:cs="TimesNewRoman"/>
                <w:sz w:val="20"/>
              </w:rPr>
              <w:t>tofacitinib</w:t>
            </w:r>
            <w:proofErr w:type="spellEnd"/>
            <w:r w:rsidRPr="00DF461B">
              <w:rPr>
                <w:rFonts w:eastAsia="TimesNewRoman" w:cs="TimesNewRoman"/>
                <w:sz w:val="20"/>
              </w:rPr>
              <w:t xml:space="preserve"> 10 mg treatment in the clinical trials reported in this submission, given the apparent PK</w:t>
            </w:r>
            <w:r w:rsidR="00EF5322">
              <w:rPr>
                <w:rFonts w:eastAsia="TimesNewRoman" w:cs="TimesNewRoman"/>
                <w:sz w:val="20"/>
              </w:rPr>
              <w:t>/</w:t>
            </w:r>
            <w:r w:rsidRPr="00DF461B">
              <w:rPr>
                <w:rFonts w:eastAsia="TimesNewRoman" w:cs="TimesNewRoman"/>
                <w:sz w:val="20"/>
              </w:rPr>
              <w:t xml:space="preserve">PD relationship of exposure to adverse events, longer duration with the </w:t>
            </w:r>
            <w:proofErr w:type="spellStart"/>
            <w:r w:rsidRPr="00DF461B">
              <w:rPr>
                <w:rFonts w:eastAsia="TimesNewRoman" w:cs="TimesNewRoman"/>
                <w:sz w:val="20"/>
              </w:rPr>
              <w:t>tofacitinib</w:t>
            </w:r>
            <w:proofErr w:type="spellEnd"/>
            <w:r w:rsidRPr="00DF461B">
              <w:rPr>
                <w:rFonts w:eastAsia="TimesNewRoman" w:cs="TimesNewRoman"/>
                <w:sz w:val="20"/>
              </w:rPr>
              <w:t xml:space="preserve"> 5 mg regimen will be expected to give rise to those predictable AEs with longer duration/exposure.</w:t>
            </w:r>
          </w:p>
          <w:p w14:paraId="7B460B89" w14:textId="77777777" w:rsidR="00AE7796" w:rsidRPr="00DF461B" w:rsidRDefault="00AE7796" w:rsidP="002E3754">
            <w:pPr>
              <w:pStyle w:val="ListBullet"/>
              <w:keepNext/>
              <w:ind w:left="357" w:right="0" w:hanging="357"/>
              <w:rPr>
                <w:u w:val="single"/>
              </w:rPr>
            </w:pPr>
            <w:r w:rsidRPr="00DF461B">
              <w:rPr>
                <w:rFonts w:eastAsia="TimesNewRoman" w:cs="TimesNewRoman"/>
                <w:sz w:val="20"/>
              </w:rPr>
              <w:t>While the sponsor provided many detailed post-hoc analyses that generally appear to indicate there is no effect on AE type and duration of exposure, numbers of cases are too small to draw meaningful conclusions and such associations still remain plausible.</w:t>
            </w:r>
          </w:p>
        </w:tc>
      </w:tr>
    </w:tbl>
    <w:p w14:paraId="6C21E46A" w14:textId="77777777" w:rsidR="00605AD4" w:rsidRPr="00605AD4" w:rsidRDefault="00605AD4" w:rsidP="009870DC">
      <w:pPr>
        <w:pStyle w:val="Heading4"/>
        <w:pageBreakBefore/>
      </w:pPr>
      <w:r w:rsidRPr="00605AD4">
        <w:lastRenderedPageBreak/>
        <w:t>First round assessment of benefit-risk balance</w:t>
      </w:r>
    </w:p>
    <w:p w14:paraId="6B44B2F6" w14:textId="59581C35" w:rsidR="00605AD4" w:rsidRPr="00605AD4" w:rsidRDefault="00525F92" w:rsidP="00605AD4">
      <w:r>
        <w:t>The evaluator was not in a position to complete the assessment of benefit risk balance until a response to the questions</w:t>
      </w:r>
      <w:r w:rsidR="00E754F4">
        <w:t xml:space="preserve"> raised</w:t>
      </w:r>
      <w:r>
        <w:t xml:space="preserve"> in the first round </w:t>
      </w:r>
      <w:r w:rsidR="00E754F4">
        <w:t xml:space="preserve">evaluation </w:t>
      </w:r>
      <w:r>
        <w:t>had been received.</w:t>
      </w:r>
    </w:p>
    <w:p w14:paraId="45927C55" w14:textId="0552CB50" w:rsidR="00605AD4" w:rsidRPr="00605AD4" w:rsidRDefault="00605AD4" w:rsidP="00605AD4">
      <w:pPr>
        <w:pStyle w:val="Heading3"/>
        <w:rPr>
          <w:rFonts w:eastAsia="Cambria"/>
        </w:rPr>
      </w:pPr>
      <w:bookmarkStart w:id="191" w:name="_Toc20301904"/>
      <w:r w:rsidRPr="00605AD4">
        <w:rPr>
          <w:rFonts w:eastAsia="Cambria"/>
        </w:rPr>
        <w:t xml:space="preserve">First </w:t>
      </w:r>
      <w:r w:rsidR="009870DC" w:rsidRPr="00605AD4">
        <w:rPr>
          <w:rFonts w:eastAsia="Cambria"/>
        </w:rPr>
        <w:t>round recommendation regarding authorisation</w:t>
      </w:r>
      <w:bookmarkEnd w:id="191"/>
    </w:p>
    <w:p w14:paraId="1FB89130" w14:textId="74154D75" w:rsidR="00605AD4" w:rsidRDefault="00525F92" w:rsidP="00605AD4">
      <w:r>
        <w:t xml:space="preserve">The evaluator was not in a position to recommend authorisation until a response to the questions </w:t>
      </w:r>
      <w:r w:rsidR="00E754F4">
        <w:t>ra</w:t>
      </w:r>
      <w:r w:rsidR="00C201CB">
        <w:t>is</w:t>
      </w:r>
      <w:r w:rsidR="00E754F4">
        <w:t xml:space="preserve">ed </w:t>
      </w:r>
      <w:r>
        <w:t xml:space="preserve">in the first round </w:t>
      </w:r>
      <w:r w:rsidR="00E754F4">
        <w:t xml:space="preserve">evaluation </w:t>
      </w:r>
      <w:r>
        <w:t>had been received.</w:t>
      </w:r>
    </w:p>
    <w:p w14:paraId="06A69CC8" w14:textId="65E880E7" w:rsidR="00605AD4" w:rsidRPr="00605AD4" w:rsidRDefault="002F5122" w:rsidP="00605AD4">
      <w:pPr>
        <w:pStyle w:val="Heading3"/>
        <w:rPr>
          <w:rFonts w:eastAsia="Cambria"/>
        </w:rPr>
      </w:pPr>
      <w:bookmarkStart w:id="192" w:name="_Toc20301905"/>
      <w:r w:rsidRPr="002F5122">
        <w:t xml:space="preserve">Clinical </w:t>
      </w:r>
      <w:r w:rsidR="009870DC" w:rsidRPr="002F5122">
        <w:t>questions</w:t>
      </w:r>
      <w:r w:rsidR="009870DC">
        <w:t xml:space="preserve"> and </w:t>
      </w:r>
      <w:r w:rsidR="009870DC" w:rsidRPr="00605AD4">
        <w:rPr>
          <w:rFonts w:eastAsia="Cambria"/>
        </w:rPr>
        <w:t>second round evaluation</w:t>
      </w:r>
      <w:bookmarkEnd w:id="192"/>
    </w:p>
    <w:p w14:paraId="40D95CED" w14:textId="77777777" w:rsidR="00525F92" w:rsidRPr="00525F92" w:rsidRDefault="00710870" w:rsidP="00525F92">
      <w:pPr>
        <w:pStyle w:val="Heading4"/>
      </w:pPr>
      <w:r w:rsidRPr="00525F92">
        <w:t>Efficacy</w:t>
      </w:r>
    </w:p>
    <w:p w14:paraId="6DCED9BE" w14:textId="77777777" w:rsidR="00710870" w:rsidRPr="00E01445" w:rsidRDefault="00525F92" w:rsidP="00525F92">
      <w:pPr>
        <w:pStyle w:val="Heading5"/>
      </w:pPr>
      <w:r>
        <w:t>Question 1</w:t>
      </w:r>
    </w:p>
    <w:p w14:paraId="3196471E" w14:textId="501E508D" w:rsidR="00074E27" w:rsidRPr="00DF6270" w:rsidRDefault="00710870" w:rsidP="00DF6270">
      <w:pPr>
        <w:rPr>
          <w:b/>
          <w:i/>
        </w:rPr>
      </w:pPr>
      <w:r w:rsidRPr="00DF6270">
        <w:rPr>
          <w:b/>
          <w:i/>
        </w:rPr>
        <w:t xml:space="preserve">Was the major protocol deviation ‘Subject was randomized according to the wrong stratification’ identified before or after each of the pivotal </w:t>
      </w:r>
      <w:r w:rsidR="00B7366A" w:rsidRPr="00DF6270">
        <w:rPr>
          <w:b/>
          <w:i/>
        </w:rPr>
        <w:t>Phase</w:t>
      </w:r>
      <w:r w:rsidRPr="00DF6270">
        <w:rPr>
          <w:b/>
          <w:i/>
        </w:rPr>
        <w:t xml:space="preserve"> III studies (Study</w:t>
      </w:r>
      <w:r w:rsidR="00074E27" w:rsidRPr="00DF6270">
        <w:rPr>
          <w:b/>
          <w:i/>
        </w:rPr>
        <w:t> </w:t>
      </w:r>
      <w:r w:rsidRPr="00DF6270">
        <w:rPr>
          <w:b/>
          <w:i/>
        </w:rPr>
        <w:t xml:space="preserve">A3921094, Study A3921095 and Study A3921096) </w:t>
      </w:r>
      <w:r w:rsidR="00C201CB" w:rsidRPr="00DF6270">
        <w:rPr>
          <w:b/>
          <w:i/>
        </w:rPr>
        <w:t xml:space="preserve">was </w:t>
      </w:r>
      <w:proofErr w:type="spellStart"/>
      <w:r w:rsidRPr="00DF6270">
        <w:rPr>
          <w:b/>
          <w:i/>
        </w:rPr>
        <w:t>unblinded</w:t>
      </w:r>
      <w:proofErr w:type="spellEnd"/>
      <w:r w:rsidRPr="00DF6270">
        <w:rPr>
          <w:b/>
          <w:i/>
        </w:rPr>
        <w:t>?</w:t>
      </w:r>
    </w:p>
    <w:p w14:paraId="33845293" w14:textId="43FAAB16" w:rsidR="00710870" w:rsidRPr="00DF6270" w:rsidRDefault="00710870" w:rsidP="00DF6270">
      <w:pPr>
        <w:rPr>
          <w:b/>
          <w:i/>
        </w:rPr>
      </w:pPr>
      <w:r w:rsidRPr="00DF6270">
        <w:rPr>
          <w:b/>
          <w:i/>
        </w:rPr>
        <w:t>Please provide further details on how this deviation was identified, as well as how it occurred.</w:t>
      </w:r>
    </w:p>
    <w:p w14:paraId="76609150" w14:textId="48E83547" w:rsidR="00710870" w:rsidRPr="00DF6270" w:rsidRDefault="00710870" w:rsidP="00DF6270">
      <w:pPr>
        <w:rPr>
          <w:b/>
          <w:i/>
        </w:rPr>
      </w:pPr>
      <w:r w:rsidRPr="00DF6270">
        <w:rPr>
          <w:b/>
          <w:i/>
        </w:rPr>
        <w:t xml:space="preserve">What proportion of subjects in the pivotal </w:t>
      </w:r>
      <w:r w:rsidR="00B7366A" w:rsidRPr="00DF6270">
        <w:rPr>
          <w:b/>
          <w:i/>
        </w:rPr>
        <w:t>Phase</w:t>
      </w:r>
      <w:r w:rsidRPr="00DF6270">
        <w:rPr>
          <w:b/>
          <w:i/>
        </w:rPr>
        <w:t xml:space="preserve"> III induction studies (A3921094 </w:t>
      </w:r>
      <w:r w:rsidR="00741BA1" w:rsidRPr="00DF6270">
        <w:rPr>
          <w:b/>
          <w:i/>
        </w:rPr>
        <w:t>and</w:t>
      </w:r>
      <w:r w:rsidRPr="00DF6270">
        <w:rPr>
          <w:b/>
          <w:i/>
        </w:rPr>
        <w:t xml:space="preserve"> A3921095) identified with the protocol deviation ‘Subject was randomized according to the wrong stratification’ were wrongly randomised on two separate occasions </w:t>
      </w:r>
      <w:r w:rsidR="00F14B34" w:rsidRPr="00DF6270">
        <w:rPr>
          <w:b/>
          <w:i/>
        </w:rPr>
        <w:t>that is,</w:t>
      </w:r>
      <w:r w:rsidRPr="00DF6270">
        <w:rPr>
          <w:b/>
          <w:i/>
        </w:rPr>
        <w:t xml:space="preserve"> at the end of their induction treatment </w:t>
      </w:r>
      <w:r w:rsidR="00B7366A" w:rsidRPr="00DF6270">
        <w:rPr>
          <w:b/>
          <w:i/>
        </w:rPr>
        <w:t>Phase</w:t>
      </w:r>
      <w:r w:rsidRPr="00DF6270">
        <w:rPr>
          <w:b/>
          <w:i/>
        </w:rPr>
        <w:t xml:space="preserve"> (Week 8) as well as their maintenance treatment </w:t>
      </w:r>
      <w:r w:rsidR="00B7366A" w:rsidRPr="00DF6270">
        <w:rPr>
          <w:b/>
          <w:i/>
        </w:rPr>
        <w:t>Phase</w:t>
      </w:r>
      <w:r w:rsidRPr="00DF6270">
        <w:rPr>
          <w:b/>
          <w:i/>
        </w:rPr>
        <w:t xml:space="preserve"> (at study </w:t>
      </w:r>
      <w:r w:rsidR="00CF6A6C" w:rsidRPr="00DF6270">
        <w:rPr>
          <w:b/>
          <w:i/>
        </w:rPr>
        <w:t>Baseline</w:t>
      </w:r>
      <w:r w:rsidRPr="00DF6270">
        <w:rPr>
          <w:b/>
          <w:i/>
        </w:rPr>
        <w:t>)?</w:t>
      </w:r>
    </w:p>
    <w:p w14:paraId="71B3A7F0" w14:textId="77777777" w:rsidR="005F7896" w:rsidRPr="00DF6270" w:rsidRDefault="00710870" w:rsidP="00DF6270">
      <w:pPr>
        <w:rPr>
          <w:b/>
          <w:i/>
        </w:rPr>
      </w:pPr>
      <w:r w:rsidRPr="00DF6270">
        <w:rPr>
          <w:b/>
          <w:i/>
        </w:rPr>
        <w:t>The sponsor is requested to provide an additional analysis in each study, of the primary efficacy endpoint, in which subjects who had the major deviation ‘Subject was randomized according to the wrong stratification’ are excluded from the primary efficacy analysis</w:t>
      </w:r>
      <w:r w:rsidR="005F7896" w:rsidRPr="00DF6270">
        <w:rPr>
          <w:b/>
          <w:i/>
        </w:rPr>
        <w:t>.</w:t>
      </w:r>
    </w:p>
    <w:p w14:paraId="143EA863" w14:textId="77777777" w:rsidR="00710870" w:rsidRDefault="00091294" w:rsidP="00091294">
      <w:pPr>
        <w:pStyle w:val="Heading6"/>
      </w:pPr>
      <w:r>
        <w:t>Sponsor’s response: i</w:t>
      </w:r>
      <w:r w:rsidR="00710870">
        <w:t>nduction</w:t>
      </w:r>
    </w:p>
    <w:p w14:paraId="42CE9DBB" w14:textId="77777777" w:rsidR="005F7896" w:rsidRDefault="003771B1" w:rsidP="00710870">
      <w:pPr>
        <w:rPr>
          <w:lang w:eastAsia="ja-JP"/>
        </w:rPr>
      </w:pPr>
      <w:r>
        <w:rPr>
          <w:lang w:eastAsia="ja-JP"/>
        </w:rPr>
        <w:t>The s</w:t>
      </w:r>
      <w:r w:rsidR="00710870">
        <w:rPr>
          <w:lang w:eastAsia="ja-JP"/>
        </w:rPr>
        <w:t>ponsor provided a detailed explanation on the process of stratification and how the interactive voice response system (IVRS) and the case report form (CRF) were reconciled during the induction studie</w:t>
      </w:r>
      <w:r>
        <w:rPr>
          <w:lang w:eastAsia="ja-JP"/>
        </w:rPr>
        <w:t>s, prior to database lock. The s</w:t>
      </w:r>
      <w:r w:rsidR="00710870">
        <w:rPr>
          <w:lang w:eastAsia="ja-JP"/>
        </w:rPr>
        <w:t>ponsor claimed that the data had been correctly reported in the CRFs and that errors were made during subject randomisation. Except, errors in stratification factors based on geographic region were set-up within the IVRS and hence not due to site data entry errors, but otherwise discovered and corrected</w:t>
      </w:r>
      <w:r w:rsidR="005F7896">
        <w:rPr>
          <w:lang w:eastAsia="ja-JP"/>
        </w:rPr>
        <w:t>.</w:t>
      </w:r>
    </w:p>
    <w:p w14:paraId="0B85D884" w14:textId="55312FAF" w:rsidR="00710870" w:rsidRDefault="00710870" w:rsidP="00710870">
      <w:pPr>
        <w:rPr>
          <w:lang w:eastAsia="ja-JP"/>
        </w:rPr>
      </w:pPr>
      <w:r>
        <w:rPr>
          <w:lang w:eastAsia="ja-JP"/>
        </w:rPr>
        <w:t xml:space="preserve">When data from the CRF were compared with stratification data, overall percentages of subjects with errors reporting prior </w:t>
      </w:r>
      <w:proofErr w:type="spellStart"/>
      <w:r>
        <w:rPr>
          <w:lang w:eastAsia="ja-JP"/>
        </w:rPr>
        <w:t>TNFi</w:t>
      </w:r>
      <w:proofErr w:type="spellEnd"/>
      <w:r>
        <w:rPr>
          <w:lang w:eastAsia="ja-JP"/>
        </w:rPr>
        <w:t xml:space="preserve"> use, or </w:t>
      </w:r>
      <w:r w:rsidR="00CF6A6C">
        <w:rPr>
          <w:lang w:eastAsia="ja-JP"/>
        </w:rPr>
        <w:t>Baseline</w:t>
      </w:r>
      <w:r>
        <w:rPr>
          <w:lang w:eastAsia="ja-JP"/>
        </w:rPr>
        <w:t xml:space="preserve"> corticosteroid use, were generally similar across treatment groups and across the induction studies, with all recorded values less than 5%. Two further subjects in Study A3921095, who both received </w:t>
      </w:r>
      <w:proofErr w:type="spellStart"/>
      <w:r>
        <w:rPr>
          <w:lang w:eastAsia="ja-JP"/>
        </w:rPr>
        <w:t>tofacitinib</w:t>
      </w:r>
      <w:proofErr w:type="spellEnd"/>
      <w:r>
        <w:rPr>
          <w:lang w:eastAsia="ja-JP"/>
        </w:rPr>
        <w:t xml:space="preserve"> 10 mg BID treatment, recorded stratification errors due to geographic region.</w:t>
      </w:r>
    </w:p>
    <w:p w14:paraId="28D001AB" w14:textId="77777777" w:rsidR="00710870" w:rsidRDefault="00710870" w:rsidP="00710870">
      <w:pPr>
        <w:rPr>
          <w:lang w:eastAsia="ja-JP"/>
        </w:rPr>
      </w:pPr>
      <w:r>
        <w:rPr>
          <w:lang w:eastAsia="ja-JP"/>
        </w:rPr>
        <w:t xml:space="preserve">In the </w:t>
      </w:r>
      <w:r w:rsidR="003771B1">
        <w:rPr>
          <w:lang w:eastAsia="ja-JP"/>
        </w:rPr>
        <w:t>primary efficacy analyses, the s</w:t>
      </w:r>
      <w:r>
        <w:rPr>
          <w:lang w:eastAsia="ja-JP"/>
        </w:rPr>
        <w:t>ponsor claimed that potential errors in stratification factors were controlled for using data from the CRF for each stratification factor, instead of that entered by sites into the IVRS.</w:t>
      </w:r>
    </w:p>
    <w:p w14:paraId="4EDCBC0F" w14:textId="77777777" w:rsidR="00710870" w:rsidRDefault="00710870" w:rsidP="00710870">
      <w:pPr>
        <w:rPr>
          <w:lang w:eastAsia="ja-JP"/>
        </w:rPr>
      </w:pPr>
      <w:r>
        <w:rPr>
          <w:lang w:eastAsia="ja-JP"/>
        </w:rPr>
        <w:t xml:space="preserve">Analysis of remission at induction Week 8, excluding subjects with the major protocol deviation </w:t>
      </w:r>
      <w:r w:rsidRPr="00717922">
        <w:rPr>
          <w:i/>
          <w:lang w:eastAsia="ja-JP"/>
        </w:rPr>
        <w:t>‘Subject was randomized according to the wrong stratification’</w:t>
      </w:r>
      <w:r>
        <w:rPr>
          <w:i/>
          <w:lang w:eastAsia="ja-JP"/>
        </w:rPr>
        <w:t>,</w:t>
      </w:r>
      <w:r w:rsidR="005F7896">
        <w:rPr>
          <w:i/>
          <w:lang w:eastAsia="ja-JP"/>
        </w:rPr>
        <w:t xml:space="preserve"> </w:t>
      </w:r>
      <w:r>
        <w:rPr>
          <w:lang w:eastAsia="ja-JP"/>
        </w:rPr>
        <w:t>are summarised</w:t>
      </w:r>
      <w:r w:rsidR="00864C03">
        <w:rPr>
          <w:lang w:eastAsia="ja-JP"/>
        </w:rPr>
        <w:t xml:space="preserve"> in</w:t>
      </w:r>
      <w:r w:rsidR="004E5B1B">
        <w:rPr>
          <w:lang w:eastAsia="ja-JP"/>
        </w:rPr>
        <w:t xml:space="preserve"> </w:t>
      </w:r>
      <w:r w:rsidR="004E5B1B">
        <w:rPr>
          <w:lang w:eastAsia="ja-JP"/>
        </w:rPr>
        <w:fldChar w:fldCharType="begin"/>
      </w:r>
      <w:r w:rsidR="004E5B1B">
        <w:rPr>
          <w:lang w:eastAsia="ja-JP"/>
        </w:rPr>
        <w:instrText xml:space="preserve"> REF _Ref15026860 \h </w:instrText>
      </w:r>
      <w:r w:rsidR="004E5B1B">
        <w:rPr>
          <w:lang w:eastAsia="ja-JP"/>
        </w:rPr>
      </w:r>
      <w:r w:rsidR="004E5B1B">
        <w:rPr>
          <w:lang w:eastAsia="ja-JP"/>
        </w:rPr>
        <w:fldChar w:fldCharType="separate"/>
      </w:r>
      <w:r w:rsidR="004E5B1B">
        <w:t xml:space="preserve">Table </w:t>
      </w:r>
      <w:r w:rsidR="004E5B1B">
        <w:rPr>
          <w:noProof/>
        </w:rPr>
        <w:t>10</w:t>
      </w:r>
      <w:r w:rsidR="004E5B1B">
        <w:rPr>
          <w:lang w:eastAsia="ja-JP"/>
        </w:rPr>
        <w:fldChar w:fldCharType="end"/>
      </w:r>
      <w:r w:rsidR="003771B1">
        <w:rPr>
          <w:lang w:eastAsia="ja-JP"/>
        </w:rPr>
        <w:t>.</w:t>
      </w:r>
    </w:p>
    <w:p w14:paraId="05277B79" w14:textId="77777777" w:rsidR="00091294" w:rsidRDefault="004E5B1B" w:rsidP="004E5B1B">
      <w:pPr>
        <w:pStyle w:val="TableTitle"/>
        <w:rPr>
          <w:lang w:eastAsia="ja-JP"/>
        </w:rPr>
      </w:pPr>
      <w:bookmarkStart w:id="193" w:name="_Ref15026860"/>
      <w:r>
        <w:lastRenderedPageBreak/>
        <w:t xml:space="preserve">Table </w:t>
      </w:r>
      <w:r w:rsidR="009870DC">
        <w:fldChar w:fldCharType="begin"/>
      </w:r>
      <w:r w:rsidR="009870DC">
        <w:instrText xml:space="preserve"> SEQ Table \* ARABIC </w:instrText>
      </w:r>
      <w:r w:rsidR="009870DC">
        <w:fldChar w:fldCharType="separate"/>
      </w:r>
      <w:r>
        <w:rPr>
          <w:noProof/>
        </w:rPr>
        <w:t>10</w:t>
      </w:r>
      <w:r w:rsidR="009870DC">
        <w:rPr>
          <w:noProof/>
        </w:rPr>
        <w:fldChar w:fldCharType="end"/>
      </w:r>
      <w:bookmarkEnd w:id="193"/>
      <w:r w:rsidR="00091294">
        <w:rPr>
          <w:lang w:eastAsia="ja-JP"/>
        </w:rPr>
        <w:t xml:space="preserve">: </w:t>
      </w:r>
      <w:r w:rsidR="003771B1">
        <w:rPr>
          <w:lang w:eastAsia="ja-JP"/>
        </w:rPr>
        <w:t xml:space="preserve">Remission at Week 8 in Studies A3921094 and A3921095, excluding subjects with the major protocol deviation of ‘subject was randomised according to the wrong stratification’, full analysis set, non-responder imputation, </w:t>
      </w:r>
      <w:proofErr w:type="gramStart"/>
      <w:r w:rsidR="003771B1">
        <w:rPr>
          <w:lang w:eastAsia="ja-JP"/>
        </w:rPr>
        <w:t>central</w:t>
      </w:r>
      <w:proofErr w:type="gramEnd"/>
      <w:r w:rsidR="003771B1">
        <w:rPr>
          <w:lang w:eastAsia="ja-JP"/>
        </w:rPr>
        <w:t xml:space="preserve"> read</w:t>
      </w:r>
    </w:p>
    <w:p w14:paraId="56B87346" w14:textId="77777777" w:rsidR="00710870" w:rsidRDefault="003771B1" w:rsidP="00710870">
      <w:pPr>
        <w:rPr>
          <w:lang w:eastAsia="ja-JP"/>
        </w:rPr>
      </w:pPr>
      <w:r>
        <w:rPr>
          <w:noProof/>
          <w:lang w:eastAsia="en-AU"/>
        </w:rPr>
        <w:drawing>
          <wp:inline distT="0" distB="0" distL="0" distR="0" wp14:anchorId="7C80A617" wp14:editId="6E70BCF5">
            <wp:extent cx="5400040" cy="1873283"/>
            <wp:effectExtent l="0" t="0" r="0" b="0"/>
            <wp:docPr id="6" name="Picture 6" descr="Remission at Week 8 in Studies A3921094 and A3921095, excluding subjects with the major protocol deviation of ‘subject was randomised according to the wrong stratification’, full analysis set, non-responder imputation, central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1873283"/>
                    </a:xfrm>
                    <a:prstGeom prst="rect">
                      <a:avLst/>
                    </a:prstGeom>
                  </pic:spPr>
                </pic:pic>
              </a:graphicData>
            </a:graphic>
          </wp:inline>
        </w:drawing>
      </w:r>
    </w:p>
    <w:p w14:paraId="7D2B259C" w14:textId="77777777" w:rsidR="00710870" w:rsidRPr="00B24B4C" w:rsidRDefault="00091294" w:rsidP="00091294">
      <w:pPr>
        <w:pStyle w:val="Heading6"/>
        <w:rPr>
          <w:lang w:eastAsia="ja-JP"/>
        </w:rPr>
      </w:pPr>
      <w:r>
        <w:rPr>
          <w:lang w:eastAsia="ja-JP"/>
        </w:rPr>
        <w:t>Evaluation of response</w:t>
      </w:r>
    </w:p>
    <w:p w14:paraId="7B4EC210" w14:textId="77777777" w:rsidR="00710870" w:rsidRDefault="00710870" w:rsidP="00091294">
      <w:pPr>
        <w:rPr>
          <w:lang w:eastAsia="ja-JP"/>
        </w:rPr>
      </w:pPr>
      <w:r>
        <w:rPr>
          <w:lang w:eastAsia="ja-JP"/>
        </w:rPr>
        <w:t xml:space="preserve">The </w:t>
      </w:r>
      <w:r w:rsidR="003771B1">
        <w:rPr>
          <w:lang w:eastAsia="ja-JP"/>
        </w:rPr>
        <w:t>sponsor</w:t>
      </w:r>
      <w:r>
        <w:rPr>
          <w:lang w:eastAsia="ja-JP"/>
        </w:rPr>
        <w:t>’s response is generally acceptable. Omission of the major protocol deviation ‘</w:t>
      </w:r>
      <w:r w:rsidRPr="0079311D">
        <w:rPr>
          <w:rFonts w:eastAsiaTheme="minorHAnsi" w:cs="TimesNewRoman"/>
          <w:i/>
          <w:color w:val="000000"/>
        </w:rPr>
        <w:t>Subject was randomized according to the wrong stratification</w:t>
      </w:r>
      <w:r w:rsidRPr="00B71343">
        <w:rPr>
          <w:rFonts w:eastAsiaTheme="minorHAnsi" w:cs="TimesNewRoman"/>
          <w:color w:val="000000"/>
        </w:rPr>
        <w:t>’</w:t>
      </w:r>
      <w:r>
        <w:rPr>
          <w:lang w:eastAsia="ja-JP"/>
        </w:rPr>
        <w:t>, in either induction study, did not adversely affect the outcome from the primary efficacy analysis</w:t>
      </w:r>
      <w:r w:rsidRPr="00AC21BD">
        <w:rPr>
          <w:lang w:eastAsia="ja-JP"/>
        </w:rPr>
        <w:t xml:space="preserve"> </w:t>
      </w:r>
      <w:r>
        <w:rPr>
          <w:lang w:eastAsia="ja-JP"/>
        </w:rPr>
        <w:t xml:space="preserve">(remission at Week 8, central read, </w:t>
      </w:r>
      <w:r w:rsidR="003771B1">
        <w:rPr>
          <w:lang w:eastAsia="ja-JP"/>
        </w:rPr>
        <w:t>full analysis set</w:t>
      </w:r>
      <w:r>
        <w:rPr>
          <w:lang w:eastAsia="ja-JP"/>
        </w:rPr>
        <w:t xml:space="preserve">, </w:t>
      </w:r>
      <w:r w:rsidR="003771B1">
        <w:rPr>
          <w:lang w:eastAsia="ja-JP"/>
        </w:rPr>
        <w:t>non-responder imputation</w:t>
      </w:r>
      <w:r>
        <w:rPr>
          <w:lang w:eastAsia="ja-JP"/>
        </w:rPr>
        <w:t xml:space="preserve">) </w:t>
      </w:r>
      <w:r w:rsidR="00F14B34">
        <w:rPr>
          <w:lang w:eastAsia="ja-JP"/>
        </w:rPr>
        <w:t>that is,</w:t>
      </w:r>
      <w:r>
        <w:rPr>
          <w:lang w:eastAsia="ja-JP"/>
        </w:rPr>
        <w:t xml:space="preserve"> the magnitude of effect (difference from placebo) and the statistical significance were retained:</w:t>
      </w:r>
    </w:p>
    <w:p w14:paraId="1777CB56" w14:textId="77777777" w:rsidR="00710870" w:rsidRPr="00091294" w:rsidRDefault="00710870" w:rsidP="00091294">
      <w:pPr>
        <w:pStyle w:val="ListBullet"/>
        <w:rPr>
          <w:lang w:eastAsia="ja-JP"/>
        </w:rPr>
      </w:pPr>
      <w:r w:rsidRPr="00091294">
        <w:rPr>
          <w:lang w:eastAsia="ja-JP"/>
        </w:rPr>
        <w:t>Study A3921094: Difference from placebo (95% CI): 10.3 (4.3, 16.3) p = 0.0070; and</w:t>
      </w:r>
    </w:p>
    <w:p w14:paraId="69C06EE4" w14:textId="594BB0BE" w:rsidR="00710870" w:rsidRPr="00091294" w:rsidRDefault="00710870" w:rsidP="00091294">
      <w:pPr>
        <w:pStyle w:val="ListBullet"/>
      </w:pPr>
      <w:r w:rsidRPr="00091294">
        <w:t>Study A3921095: Difference from placebo (95% CI): 13.0 (8.1, 17.9) p = 0.0005</w:t>
      </w:r>
      <w:r w:rsidR="00074E27">
        <w:t>.</w:t>
      </w:r>
    </w:p>
    <w:p w14:paraId="166B1A11" w14:textId="6AC5126B" w:rsidR="00710870" w:rsidRDefault="00710870" w:rsidP="00091294">
      <w:r>
        <w:rPr>
          <w:lang w:eastAsia="ja-JP"/>
        </w:rPr>
        <w:t xml:space="preserve">Hence, the major protocol </w:t>
      </w:r>
      <w:r w:rsidRPr="00B71343">
        <w:t xml:space="preserve">deviation </w:t>
      </w:r>
      <w:r w:rsidRPr="0079311D">
        <w:rPr>
          <w:i/>
        </w:rPr>
        <w:t>‘Subject was randomized according to the wrong stratification</w:t>
      </w:r>
      <w:r w:rsidRPr="00B71343">
        <w:t>’</w:t>
      </w:r>
      <w:r>
        <w:t xml:space="preserve"> did not have an adverse effect on the primary efficacy analysis, in either induction study (</w:t>
      </w:r>
      <w:r w:rsidR="00074E27">
        <w:t xml:space="preserve">Studies </w:t>
      </w:r>
      <w:r>
        <w:t>A3921094 and A3921095).</w:t>
      </w:r>
    </w:p>
    <w:p w14:paraId="25D3AD9B" w14:textId="77777777" w:rsidR="00710870" w:rsidRPr="004815A7" w:rsidRDefault="00091294" w:rsidP="00091294">
      <w:pPr>
        <w:pStyle w:val="Heading6"/>
        <w:rPr>
          <w:u w:val="single"/>
          <w:lang w:eastAsia="ja-JP"/>
        </w:rPr>
      </w:pPr>
      <w:r>
        <w:rPr>
          <w:rFonts w:eastAsiaTheme="minorHAnsi"/>
        </w:rPr>
        <w:t>Sponsor’s r</w:t>
      </w:r>
      <w:r w:rsidR="00710870" w:rsidRPr="004815A7">
        <w:rPr>
          <w:rFonts w:eastAsiaTheme="minorHAnsi"/>
        </w:rPr>
        <w:t>esponse</w:t>
      </w:r>
      <w:r>
        <w:rPr>
          <w:rFonts w:eastAsiaTheme="minorHAnsi"/>
        </w:rPr>
        <w:t>: m</w:t>
      </w:r>
      <w:r w:rsidR="00710870">
        <w:rPr>
          <w:rFonts w:eastAsiaTheme="minorHAnsi"/>
        </w:rPr>
        <w:t>aintenance</w:t>
      </w:r>
    </w:p>
    <w:p w14:paraId="44B7EC53" w14:textId="47C85080" w:rsidR="00710870" w:rsidRDefault="00710870" w:rsidP="00091294">
      <w:pPr>
        <w:rPr>
          <w:lang w:eastAsia="ja-JP"/>
        </w:rPr>
      </w:pPr>
      <w:r>
        <w:rPr>
          <w:lang w:eastAsia="ja-JP"/>
        </w:rPr>
        <w:t>In the maintenance study (</w:t>
      </w:r>
      <w:r w:rsidR="00074E27">
        <w:rPr>
          <w:lang w:eastAsia="ja-JP"/>
        </w:rPr>
        <w:t xml:space="preserve">Study </w:t>
      </w:r>
      <w:r>
        <w:rPr>
          <w:lang w:eastAsia="ja-JP"/>
        </w:rPr>
        <w:t xml:space="preserve">A3921096), subjects were stratified at the time of randomisation according to treatment assignment from the induction studies, and the degree of clinical response </w:t>
      </w:r>
      <w:r w:rsidR="00F14B34">
        <w:rPr>
          <w:lang w:eastAsia="ja-JP"/>
        </w:rPr>
        <w:t>that is,</w:t>
      </w:r>
      <w:r>
        <w:rPr>
          <w:lang w:eastAsia="ja-JP"/>
        </w:rPr>
        <w:t xml:space="preserve"> whether remission was achieved (Yes or No). The following explanation was provided to explain the high proportion of subjects in each treatment arm, who recorded the major protocol deviation </w:t>
      </w:r>
      <w:r>
        <w:rPr>
          <w:rFonts w:eastAsiaTheme="minorHAnsi" w:cs="TimesNewRoman"/>
          <w:i/>
          <w:color w:val="000000"/>
        </w:rPr>
        <w:t>‘</w:t>
      </w:r>
      <w:r w:rsidRPr="004A0902">
        <w:rPr>
          <w:rFonts w:eastAsiaTheme="minorHAnsi" w:cs="TimesNewRoman"/>
          <w:i/>
          <w:color w:val="000000"/>
        </w:rPr>
        <w:t>Subject was randomized according to the wrong stratification’</w:t>
      </w:r>
      <w:r>
        <w:rPr>
          <w:rFonts w:eastAsiaTheme="minorHAnsi" w:cs="TimesNewRoman"/>
          <w:i/>
          <w:color w:val="000000"/>
        </w:rPr>
        <w:t>:</w:t>
      </w:r>
    </w:p>
    <w:p w14:paraId="5EF1FDE6" w14:textId="7AEC3CBF" w:rsidR="00710870" w:rsidRPr="00091294" w:rsidRDefault="00710870" w:rsidP="00091294">
      <w:pPr>
        <w:ind w:left="720"/>
        <w:rPr>
          <w:rFonts w:eastAsia="TimesNewRoman" w:cs="TimesNewRoman"/>
        </w:rPr>
      </w:pPr>
      <w:r w:rsidRPr="00091294">
        <w:rPr>
          <w:rFonts w:eastAsia="TimesNewRoman" w:cs="TimesNewRoman"/>
        </w:rPr>
        <w:t xml:space="preserve">As confirmation of remission status requires derivation of Mayo </w:t>
      </w:r>
      <w:proofErr w:type="spellStart"/>
      <w:r w:rsidRPr="00091294">
        <w:rPr>
          <w:rFonts w:eastAsia="TimesNewRoman" w:cs="TimesNewRoman"/>
        </w:rPr>
        <w:t>subscores</w:t>
      </w:r>
      <w:proofErr w:type="spellEnd"/>
      <w:r w:rsidRPr="00091294">
        <w:rPr>
          <w:rFonts w:eastAsia="TimesNewRoman" w:cs="TimesNewRoman"/>
        </w:rPr>
        <w:t xml:space="preserve"> from </w:t>
      </w:r>
      <w:proofErr w:type="spellStart"/>
      <w:r w:rsidRPr="00091294">
        <w:rPr>
          <w:rFonts w:eastAsia="TimesNewRoman" w:cs="TimesNewRoman"/>
        </w:rPr>
        <w:t>ICOPhone</w:t>
      </w:r>
      <w:proofErr w:type="spellEnd"/>
      <w:r w:rsidRPr="00091294">
        <w:rPr>
          <w:rFonts w:eastAsia="TimesNewRoman" w:cs="TimesNewRoman"/>
        </w:rPr>
        <w:t xml:space="preserve"> data and calculation of Mayo scores, which leads to programming complexity, as well as the real-time nature of the randomization process, the IVRS was not programmed to confirm the maintenance study </w:t>
      </w:r>
      <w:r w:rsidR="00CF6A6C">
        <w:rPr>
          <w:rFonts w:eastAsia="TimesNewRoman" w:cs="TimesNewRoman"/>
        </w:rPr>
        <w:t>Baseline</w:t>
      </w:r>
      <w:r w:rsidRPr="00091294">
        <w:rPr>
          <w:rFonts w:eastAsia="TimesNewRoman" w:cs="TimesNewRoman"/>
        </w:rPr>
        <w:t xml:space="preserve"> remission status.</w:t>
      </w:r>
    </w:p>
    <w:p w14:paraId="04A640EB" w14:textId="525D4A0D" w:rsidR="00710870" w:rsidRPr="00091294" w:rsidRDefault="00710870" w:rsidP="00091294">
      <w:pPr>
        <w:ind w:left="720"/>
        <w:rPr>
          <w:rFonts w:eastAsia="TimesNewRoman" w:cs="TimesNewRoman"/>
        </w:rPr>
      </w:pPr>
      <w:r w:rsidRPr="00091294">
        <w:rPr>
          <w:rFonts w:eastAsia="TimesNewRoman" w:cs="TimesNewRoman"/>
        </w:rPr>
        <w:t xml:space="preserve">As the Study A3921096 stratification factors included the induction study treatment assignment, all of the Study A3921096 stratification factors were blinded to both the sites and the </w:t>
      </w:r>
      <w:r w:rsidR="003771B1">
        <w:rPr>
          <w:rFonts w:eastAsia="TimesNewRoman" w:cs="TimesNewRoman"/>
        </w:rPr>
        <w:t>sponsor</w:t>
      </w:r>
      <w:r w:rsidRPr="00091294">
        <w:rPr>
          <w:rFonts w:eastAsia="TimesNewRoman" w:cs="TimesNewRoman"/>
        </w:rPr>
        <w:t xml:space="preserve"> while the induction studies were ongoing. Therefore, the stratification factors for remission status were only </w:t>
      </w:r>
      <w:proofErr w:type="spellStart"/>
      <w:r w:rsidRPr="00091294">
        <w:rPr>
          <w:rFonts w:eastAsia="TimesNewRoman" w:cs="TimesNewRoman"/>
        </w:rPr>
        <w:t>unblinded</w:t>
      </w:r>
      <w:proofErr w:type="spellEnd"/>
      <w:r w:rsidRPr="00091294">
        <w:rPr>
          <w:rFonts w:eastAsia="TimesNewRoman" w:cs="TimesNewRoman"/>
        </w:rPr>
        <w:t xml:space="preserve"> to the </w:t>
      </w:r>
      <w:r w:rsidR="003771B1">
        <w:rPr>
          <w:rFonts w:eastAsia="TimesNewRoman" w:cs="TimesNewRoman"/>
        </w:rPr>
        <w:t>sponsor</w:t>
      </w:r>
      <w:r w:rsidRPr="00091294">
        <w:rPr>
          <w:rFonts w:eastAsia="TimesNewRoman" w:cs="TimesNewRoman"/>
        </w:rPr>
        <w:t xml:space="preserve"> after the induction study closure. At this time, it was realized that a large percentage of subjects had been incorrectly stratified based on remission status at Study A3921096 </w:t>
      </w:r>
      <w:r w:rsidR="00CF6A6C">
        <w:rPr>
          <w:rFonts w:eastAsia="TimesNewRoman" w:cs="TimesNewRoman"/>
        </w:rPr>
        <w:t>Baseline</w:t>
      </w:r>
      <w:r w:rsidRPr="00091294">
        <w:rPr>
          <w:rFonts w:eastAsia="TimesNewRoman" w:cs="TimesNewRoman"/>
        </w:rPr>
        <w:t>. However, as all subjects had been randomized into Study A3921096 by that time, corrective actions could not be taken.</w:t>
      </w:r>
    </w:p>
    <w:p w14:paraId="79151B1C" w14:textId="7A7FF3E7" w:rsidR="00710870" w:rsidRDefault="004E5B1B" w:rsidP="00091294">
      <w:pPr>
        <w:rPr>
          <w:rFonts w:eastAsia="TimesNewRoman" w:cs="TimesNewRoman"/>
        </w:rPr>
      </w:pPr>
      <w:r w:rsidRPr="004E5B1B">
        <w:rPr>
          <w:lang w:eastAsia="ja-JP"/>
        </w:rPr>
        <w:fldChar w:fldCharType="begin"/>
      </w:r>
      <w:r w:rsidRPr="004E5B1B">
        <w:rPr>
          <w:lang w:eastAsia="ja-JP"/>
        </w:rPr>
        <w:instrText xml:space="preserve"> REF _Ref15026887 \h </w:instrText>
      </w:r>
      <w:r>
        <w:rPr>
          <w:lang w:eastAsia="ja-JP"/>
        </w:rPr>
        <w:instrText xml:space="preserve"> \* MERGEFORMAT </w:instrText>
      </w:r>
      <w:r w:rsidRPr="004E5B1B">
        <w:rPr>
          <w:lang w:eastAsia="ja-JP"/>
        </w:rPr>
      </w:r>
      <w:r w:rsidRPr="004E5B1B">
        <w:rPr>
          <w:lang w:eastAsia="ja-JP"/>
        </w:rPr>
        <w:fldChar w:fldCharType="separate"/>
      </w:r>
      <w:r w:rsidRPr="004E5B1B">
        <w:t xml:space="preserve">Table </w:t>
      </w:r>
      <w:r w:rsidRPr="004E5B1B">
        <w:rPr>
          <w:noProof/>
        </w:rPr>
        <w:t>11</w:t>
      </w:r>
      <w:r w:rsidRPr="004E5B1B">
        <w:rPr>
          <w:lang w:eastAsia="ja-JP"/>
        </w:rPr>
        <w:fldChar w:fldCharType="end"/>
      </w:r>
      <w:r w:rsidRPr="004E5B1B">
        <w:rPr>
          <w:lang w:eastAsia="ja-JP"/>
        </w:rPr>
        <w:t xml:space="preserve"> </w:t>
      </w:r>
      <w:r w:rsidR="008C0200" w:rsidRPr="004E5B1B">
        <w:rPr>
          <w:lang w:eastAsia="ja-JP"/>
        </w:rPr>
        <w:t>was included in the</w:t>
      </w:r>
      <w:r w:rsidR="003771B1" w:rsidRPr="004E5B1B">
        <w:rPr>
          <w:lang w:eastAsia="ja-JP"/>
        </w:rPr>
        <w:t xml:space="preserve"> sponsor’s r</w:t>
      </w:r>
      <w:r w:rsidR="00710870" w:rsidRPr="004E5B1B">
        <w:rPr>
          <w:lang w:eastAsia="ja-JP"/>
        </w:rPr>
        <w:t>esponse</w:t>
      </w:r>
      <w:r w:rsidR="00710870" w:rsidRPr="00B74B7C">
        <w:rPr>
          <w:lang w:eastAsia="ja-JP"/>
        </w:rPr>
        <w:t xml:space="preserve"> </w:t>
      </w:r>
      <w:r w:rsidR="008C0200">
        <w:rPr>
          <w:lang w:eastAsia="ja-JP"/>
        </w:rPr>
        <w:t xml:space="preserve">and </w:t>
      </w:r>
      <w:r w:rsidR="00710870" w:rsidRPr="00B74B7C">
        <w:rPr>
          <w:lang w:eastAsia="ja-JP"/>
        </w:rPr>
        <w:t xml:space="preserve">detailed the comparison between </w:t>
      </w:r>
      <w:r w:rsidR="00074E27">
        <w:rPr>
          <w:lang w:eastAsia="ja-JP"/>
        </w:rPr>
        <w:t>b</w:t>
      </w:r>
      <w:r w:rsidR="00CF6A6C">
        <w:rPr>
          <w:lang w:eastAsia="ja-JP"/>
        </w:rPr>
        <w:t>aseline</w:t>
      </w:r>
      <w:r w:rsidR="00710870" w:rsidRPr="00B74B7C">
        <w:rPr>
          <w:lang w:eastAsia="ja-JP"/>
        </w:rPr>
        <w:t xml:space="preserve"> remission status from the IVRS against programmat</w:t>
      </w:r>
      <w:r w:rsidR="00710870">
        <w:rPr>
          <w:lang w:eastAsia="ja-JP"/>
        </w:rPr>
        <w:t xml:space="preserve">ically derived binary endpoints, </w:t>
      </w:r>
      <w:r w:rsidR="00710870" w:rsidRPr="00B74B7C">
        <w:rPr>
          <w:lang w:eastAsia="ja-JP"/>
        </w:rPr>
        <w:t>by treatment groups</w:t>
      </w:r>
      <w:r w:rsidR="00710870">
        <w:rPr>
          <w:lang w:eastAsia="ja-JP"/>
        </w:rPr>
        <w:t>,</w:t>
      </w:r>
      <w:r w:rsidR="00710870" w:rsidRPr="00B74B7C">
        <w:rPr>
          <w:lang w:eastAsia="ja-JP"/>
        </w:rPr>
        <w:t xml:space="preserve"> and </w:t>
      </w:r>
      <w:r w:rsidR="00710870">
        <w:rPr>
          <w:lang w:eastAsia="ja-JP"/>
        </w:rPr>
        <w:t>total</w:t>
      </w:r>
      <w:r w:rsidR="00710870" w:rsidRPr="00B74B7C">
        <w:rPr>
          <w:lang w:eastAsia="ja-JP"/>
        </w:rPr>
        <w:t xml:space="preserve"> maintenance population. </w:t>
      </w:r>
      <w:r w:rsidR="00710870" w:rsidRPr="00B74B7C">
        <w:rPr>
          <w:rFonts w:eastAsia="TimesNewRoman" w:cs="TimesNewRoman"/>
        </w:rPr>
        <w:t>Overall, the percentages of subjects with errors were similar across treatment groups (</w:t>
      </w:r>
      <w:proofErr w:type="spellStart"/>
      <w:r w:rsidR="00710870" w:rsidRPr="00B74B7C">
        <w:rPr>
          <w:rFonts w:eastAsia="TimesNewRoman" w:cs="TimesNewRoman"/>
        </w:rPr>
        <w:t>tofacitinib</w:t>
      </w:r>
      <w:proofErr w:type="spellEnd"/>
      <w:r w:rsidR="00710870" w:rsidRPr="00B74B7C">
        <w:rPr>
          <w:rFonts w:eastAsia="TimesNewRoman" w:cs="TimesNewRoman"/>
        </w:rPr>
        <w:t xml:space="preserve"> 5 mg </w:t>
      </w:r>
      <w:r w:rsidR="00710870" w:rsidRPr="00B74B7C">
        <w:rPr>
          <w:rFonts w:eastAsia="TimesNewRoman" w:cs="TimesNewRoman"/>
        </w:rPr>
        <w:lastRenderedPageBreak/>
        <w:t xml:space="preserve">BID: 32.8%; </w:t>
      </w:r>
      <w:proofErr w:type="spellStart"/>
      <w:r w:rsidR="00710870" w:rsidRPr="00B74B7C">
        <w:rPr>
          <w:rFonts w:eastAsia="TimesNewRoman" w:cs="TimesNewRoman"/>
        </w:rPr>
        <w:t>tofacitinib</w:t>
      </w:r>
      <w:proofErr w:type="spellEnd"/>
      <w:r w:rsidR="00710870" w:rsidRPr="00B74B7C">
        <w:rPr>
          <w:rFonts w:eastAsia="TimesNewRoman" w:cs="TimesNewRoman"/>
        </w:rPr>
        <w:t xml:space="preserve"> 10 mg BID: 36.0%; placebo: 34.3%). Most errors were due to the sites responding in the IVRS that the subjects had achieved remission, whereas derivation based on the actual Study A3921096 </w:t>
      </w:r>
      <w:r w:rsidR="00074E27">
        <w:rPr>
          <w:rFonts w:eastAsia="TimesNewRoman" w:cs="TimesNewRoman"/>
        </w:rPr>
        <w:t>b</w:t>
      </w:r>
      <w:r w:rsidR="00CF6A6C">
        <w:rPr>
          <w:rFonts w:eastAsia="TimesNewRoman" w:cs="TimesNewRoman"/>
        </w:rPr>
        <w:t>aseline</w:t>
      </w:r>
      <w:r w:rsidR="00710870" w:rsidRPr="00B74B7C">
        <w:rPr>
          <w:rFonts w:eastAsia="TimesNewRoman" w:cs="TimesNewRoman"/>
        </w:rPr>
        <w:t xml:space="preserve"> Mayo </w:t>
      </w:r>
      <w:proofErr w:type="spellStart"/>
      <w:r w:rsidR="00710870" w:rsidRPr="00B74B7C">
        <w:rPr>
          <w:rFonts w:eastAsia="TimesNewRoman" w:cs="TimesNewRoman"/>
        </w:rPr>
        <w:t>subscores</w:t>
      </w:r>
      <w:proofErr w:type="spellEnd"/>
      <w:r w:rsidR="00710870" w:rsidRPr="00B74B7C">
        <w:rPr>
          <w:rFonts w:eastAsia="TimesNewRoman" w:cs="TimesNewRoman"/>
        </w:rPr>
        <w:t xml:space="preserve"> showed the subjects had only achieved clinical response and not remission. These findings were consistent using local read endoscopic </w:t>
      </w:r>
      <w:proofErr w:type="spellStart"/>
      <w:r w:rsidR="00710870" w:rsidRPr="00B74B7C">
        <w:rPr>
          <w:rFonts w:eastAsia="TimesNewRoman" w:cs="TimesNewRoman"/>
        </w:rPr>
        <w:t>subscores</w:t>
      </w:r>
      <w:proofErr w:type="spellEnd"/>
      <w:r w:rsidR="00710870" w:rsidRPr="00B74B7C">
        <w:rPr>
          <w:rFonts w:eastAsia="TimesNewRoman" w:cs="TimesNewRoman"/>
        </w:rPr>
        <w:t>.</w:t>
      </w:r>
    </w:p>
    <w:p w14:paraId="39BDF3AA" w14:textId="1D6DB7F2" w:rsidR="008C0200" w:rsidRPr="008C0200" w:rsidRDefault="004E5B1B" w:rsidP="004E5B1B">
      <w:pPr>
        <w:pStyle w:val="TableTitle"/>
      </w:pPr>
      <w:bookmarkStart w:id="194" w:name="_Ref15026887"/>
      <w:r>
        <w:t xml:space="preserve">Table </w:t>
      </w:r>
      <w:r w:rsidR="009870DC">
        <w:fldChar w:fldCharType="begin"/>
      </w:r>
      <w:r w:rsidR="009870DC">
        <w:instrText xml:space="preserve"> SEQ Table \* ARABIC </w:instrText>
      </w:r>
      <w:r w:rsidR="009870DC">
        <w:fldChar w:fldCharType="separate"/>
      </w:r>
      <w:r>
        <w:rPr>
          <w:noProof/>
        </w:rPr>
        <w:t>11</w:t>
      </w:r>
      <w:r w:rsidR="009870DC">
        <w:rPr>
          <w:noProof/>
        </w:rPr>
        <w:fldChar w:fldCharType="end"/>
      </w:r>
      <w:bookmarkEnd w:id="194"/>
      <w:r w:rsidR="008C0200">
        <w:rPr>
          <w:rFonts w:eastAsia="TimesNewRoman" w:cs="TimesNewRoman"/>
        </w:rPr>
        <w:t>: S</w:t>
      </w:r>
      <w:r w:rsidR="008C0200">
        <w:t xml:space="preserve">ummary of </w:t>
      </w:r>
      <w:r w:rsidR="00074E27">
        <w:t>b</w:t>
      </w:r>
      <w:r w:rsidR="00CF6A6C">
        <w:t>aseline</w:t>
      </w:r>
      <w:r w:rsidR="008C0200">
        <w:t xml:space="preserve"> remission status in the IVRS versus derived binary endpoints by treatment groups and overall population in maintenance Study A3921096 (full analysis set, central read)</w:t>
      </w:r>
    </w:p>
    <w:p w14:paraId="47398937" w14:textId="77777777" w:rsidR="008C0200" w:rsidRPr="00B74B7C" w:rsidRDefault="008C0200" w:rsidP="00091294">
      <w:pPr>
        <w:rPr>
          <w:lang w:eastAsia="ja-JP"/>
        </w:rPr>
      </w:pPr>
      <w:r>
        <w:rPr>
          <w:noProof/>
          <w:lang w:eastAsia="en-AU"/>
        </w:rPr>
        <w:drawing>
          <wp:inline distT="0" distB="0" distL="0" distR="0" wp14:anchorId="760E05E7" wp14:editId="7C118539">
            <wp:extent cx="5401310" cy="4688205"/>
            <wp:effectExtent l="0" t="0" r="8890" b="0"/>
            <wp:docPr id="9" name="Picture 9" descr="Summary of baseline remission status in the IVRS versus derived binary endpoints by treatment groups and overall population in maintenance Study A3921096 (full analysis set, central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1310" cy="4688205"/>
                    </a:xfrm>
                    <a:prstGeom prst="rect">
                      <a:avLst/>
                    </a:prstGeom>
                    <a:noFill/>
                  </pic:spPr>
                </pic:pic>
              </a:graphicData>
            </a:graphic>
          </wp:inline>
        </w:drawing>
      </w:r>
    </w:p>
    <w:p w14:paraId="0551CF43" w14:textId="17E613B2" w:rsidR="00710870" w:rsidRDefault="00710870" w:rsidP="00091294">
      <w:pPr>
        <w:rPr>
          <w:lang w:eastAsia="ja-JP"/>
        </w:rPr>
      </w:pPr>
      <w:r>
        <w:rPr>
          <w:lang w:eastAsia="ja-JP"/>
        </w:rPr>
        <w:t xml:space="preserve">In the primary efficacy analysis, the </w:t>
      </w:r>
      <w:r w:rsidR="003771B1">
        <w:rPr>
          <w:lang w:eastAsia="ja-JP"/>
        </w:rPr>
        <w:t>sponsor</w:t>
      </w:r>
      <w:r>
        <w:rPr>
          <w:lang w:eastAsia="ja-JP"/>
        </w:rPr>
        <w:t xml:space="preserve"> claimed that potential errors in stratification factors were controlled for using programmatically derived Study A3921096 </w:t>
      </w:r>
      <w:r w:rsidR="00CF6A6C">
        <w:rPr>
          <w:lang w:eastAsia="ja-JP"/>
        </w:rPr>
        <w:t>Baseline</w:t>
      </w:r>
      <w:r>
        <w:rPr>
          <w:lang w:eastAsia="ja-JP"/>
        </w:rPr>
        <w:t xml:space="preserve"> remission status, instead of data entered by sites into the IVRS.</w:t>
      </w:r>
    </w:p>
    <w:p w14:paraId="2E88ED5F" w14:textId="77777777" w:rsidR="00710870" w:rsidRDefault="00710870" w:rsidP="00091294">
      <w:pPr>
        <w:rPr>
          <w:lang w:eastAsia="ja-JP"/>
        </w:rPr>
      </w:pPr>
      <w:r>
        <w:rPr>
          <w:lang w:eastAsia="ja-JP"/>
        </w:rPr>
        <w:t>Analysis of remission at Week 52 in the maintenance study, excluding subjects with the major protocol deviation ‘</w:t>
      </w:r>
      <w:r w:rsidRPr="005A57AB">
        <w:rPr>
          <w:i/>
          <w:lang w:eastAsia="ja-JP"/>
        </w:rPr>
        <w:t>Subject was randomized according to the wrong stratification</w:t>
      </w:r>
      <w:r>
        <w:rPr>
          <w:lang w:eastAsia="ja-JP"/>
        </w:rPr>
        <w:t xml:space="preserve">’, are summarised </w:t>
      </w:r>
      <w:r w:rsidR="00225681">
        <w:rPr>
          <w:lang w:eastAsia="ja-JP"/>
        </w:rPr>
        <w:t>in</w:t>
      </w:r>
      <w:r w:rsidR="004E5B1B">
        <w:rPr>
          <w:lang w:eastAsia="ja-JP"/>
        </w:rPr>
        <w:t xml:space="preserve"> </w:t>
      </w:r>
      <w:r w:rsidR="004E5B1B">
        <w:rPr>
          <w:lang w:eastAsia="ja-JP"/>
        </w:rPr>
        <w:fldChar w:fldCharType="begin"/>
      </w:r>
      <w:r w:rsidR="004E5B1B">
        <w:rPr>
          <w:lang w:eastAsia="ja-JP"/>
        </w:rPr>
        <w:instrText xml:space="preserve"> REF _Ref15026924 \h </w:instrText>
      </w:r>
      <w:r w:rsidR="004E5B1B">
        <w:rPr>
          <w:lang w:eastAsia="ja-JP"/>
        </w:rPr>
      </w:r>
      <w:r w:rsidR="004E5B1B">
        <w:rPr>
          <w:lang w:eastAsia="ja-JP"/>
        </w:rPr>
        <w:fldChar w:fldCharType="separate"/>
      </w:r>
      <w:r w:rsidR="004E5B1B">
        <w:t xml:space="preserve">Table </w:t>
      </w:r>
      <w:r w:rsidR="004E5B1B">
        <w:rPr>
          <w:noProof/>
        </w:rPr>
        <w:t>12</w:t>
      </w:r>
      <w:r w:rsidR="004E5B1B">
        <w:rPr>
          <w:lang w:eastAsia="ja-JP"/>
        </w:rPr>
        <w:fldChar w:fldCharType="end"/>
      </w:r>
      <w:r w:rsidR="00225681">
        <w:rPr>
          <w:lang w:eastAsia="ja-JP"/>
        </w:rPr>
        <w:t>.</w:t>
      </w:r>
    </w:p>
    <w:p w14:paraId="5607198C" w14:textId="77777777" w:rsidR="00091294" w:rsidRDefault="004E5B1B" w:rsidP="004E5B1B">
      <w:pPr>
        <w:pStyle w:val="TableTitle"/>
        <w:rPr>
          <w:lang w:eastAsia="ja-JP"/>
        </w:rPr>
      </w:pPr>
      <w:bookmarkStart w:id="195" w:name="_Ref15026924"/>
      <w:r>
        <w:lastRenderedPageBreak/>
        <w:t xml:space="preserve">Table </w:t>
      </w:r>
      <w:r w:rsidR="009870DC">
        <w:fldChar w:fldCharType="begin"/>
      </w:r>
      <w:r w:rsidR="009870DC">
        <w:instrText xml:space="preserve"> SEQ Table \* ARABIC </w:instrText>
      </w:r>
      <w:r w:rsidR="009870DC">
        <w:fldChar w:fldCharType="separate"/>
      </w:r>
      <w:r>
        <w:rPr>
          <w:noProof/>
        </w:rPr>
        <w:t>12</w:t>
      </w:r>
      <w:r w:rsidR="009870DC">
        <w:rPr>
          <w:noProof/>
        </w:rPr>
        <w:fldChar w:fldCharType="end"/>
      </w:r>
      <w:bookmarkEnd w:id="195"/>
      <w:r w:rsidR="00091294">
        <w:rPr>
          <w:lang w:eastAsia="ja-JP"/>
        </w:rPr>
        <w:t xml:space="preserve">: </w:t>
      </w:r>
      <w:r w:rsidR="00844FB0">
        <w:rPr>
          <w:lang w:eastAsia="ja-JP"/>
        </w:rPr>
        <w:t xml:space="preserve">Remission at Week 52 in Study A3921096, excluding subjects with the major protocol deviation of ‘subject was randomised according to the wrong stratification’, full analysis set, non-responder imputation, </w:t>
      </w:r>
      <w:proofErr w:type="gramStart"/>
      <w:r w:rsidR="00844FB0">
        <w:rPr>
          <w:lang w:eastAsia="ja-JP"/>
        </w:rPr>
        <w:t>central</w:t>
      </w:r>
      <w:proofErr w:type="gramEnd"/>
      <w:r w:rsidR="00844FB0">
        <w:rPr>
          <w:lang w:eastAsia="ja-JP"/>
        </w:rPr>
        <w:t xml:space="preserve"> read</w:t>
      </w:r>
    </w:p>
    <w:p w14:paraId="696BE700" w14:textId="77777777" w:rsidR="00710870" w:rsidRDefault="00844FB0" w:rsidP="00710870">
      <w:pPr>
        <w:rPr>
          <w:lang w:eastAsia="ja-JP"/>
        </w:rPr>
      </w:pPr>
      <w:r>
        <w:rPr>
          <w:noProof/>
          <w:lang w:eastAsia="en-AU"/>
        </w:rPr>
        <w:drawing>
          <wp:inline distT="0" distB="0" distL="0" distR="0" wp14:anchorId="4EA7F67F" wp14:editId="1CA844B3">
            <wp:extent cx="5400040" cy="1874437"/>
            <wp:effectExtent l="0" t="0" r="0" b="0"/>
            <wp:docPr id="7" name="Picture 7" descr="Remission at Week 52 in Study A3921096, excluding subjects with the major protocol deviation of ‘subject was randomised according to the wrong stratification’, full analysis set, non-responder imputation, central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1874437"/>
                    </a:xfrm>
                    <a:prstGeom prst="rect">
                      <a:avLst/>
                    </a:prstGeom>
                  </pic:spPr>
                </pic:pic>
              </a:graphicData>
            </a:graphic>
          </wp:inline>
        </w:drawing>
      </w:r>
    </w:p>
    <w:p w14:paraId="6B89CE5A" w14:textId="77777777" w:rsidR="00710870" w:rsidRPr="00B24B4C" w:rsidRDefault="00091294" w:rsidP="00091294">
      <w:pPr>
        <w:pStyle w:val="Heading6"/>
        <w:rPr>
          <w:lang w:eastAsia="ja-JP"/>
        </w:rPr>
      </w:pPr>
      <w:r>
        <w:rPr>
          <w:lang w:eastAsia="ja-JP"/>
        </w:rPr>
        <w:t>Evaluation of response</w:t>
      </w:r>
    </w:p>
    <w:p w14:paraId="20BE4D5B" w14:textId="7D3C5B1E" w:rsidR="00710870" w:rsidRPr="00091294" w:rsidRDefault="00710870" w:rsidP="00091294">
      <w:pPr>
        <w:rPr>
          <w:lang w:eastAsia="ja-JP"/>
        </w:rPr>
      </w:pPr>
      <w:r w:rsidRPr="00091294">
        <w:rPr>
          <w:lang w:eastAsia="ja-JP"/>
        </w:rPr>
        <w:t xml:space="preserve">The </w:t>
      </w:r>
      <w:r w:rsidR="003771B1">
        <w:rPr>
          <w:lang w:eastAsia="ja-JP"/>
        </w:rPr>
        <w:t>sponsor</w:t>
      </w:r>
      <w:r w:rsidRPr="00091294">
        <w:rPr>
          <w:lang w:eastAsia="ja-JP"/>
        </w:rPr>
        <w:t xml:space="preserve">’s response is generally acceptable, and it provides some assurance that the primary efficacy analysis was undertaken on the correct </w:t>
      </w:r>
      <w:r w:rsidR="00074E27">
        <w:rPr>
          <w:lang w:eastAsia="ja-JP"/>
        </w:rPr>
        <w:t>b</w:t>
      </w:r>
      <w:r w:rsidR="00CF6A6C">
        <w:rPr>
          <w:lang w:eastAsia="ja-JP"/>
        </w:rPr>
        <w:t>aseline</w:t>
      </w:r>
      <w:r w:rsidRPr="00091294">
        <w:rPr>
          <w:lang w:eastAsia="ja-JP"/>
        </w:rPr>
        <w:t xml:space="preserve"> remission status for each subject.</w:t>
      </w:r>
    </w:p>
    <w:p w14:paraId="3FAA5CDF" w14:textId="77777777" w:rsidR="00710870" w:rsidRPr="00091294" w:rsidRDefault="00710870" w:rsidP="00091294">
      <w:pPr>
        <w:rPr>
          <w:lang w:eastAsia="ja-JP"/>
        </w:rPr>
      </w:pPr>
      <w:r w:rsidRPr="00091294">
        <w:rPr>
          <w:lang w:eastAsia="ja-JP"/>
        </w:rPr>
        <w:t>Omission of the protocol deviation ‘</w:t>
      </w:r>
      <w:r w:rsidRPr="00091294">
        <w:rPr>
          <w:i/>
          <w:lang w:eastAsia="ja-JP"/>
        </w:rPr>
        <w:t>Subject was randomized according to the wrong stratification’</w:t>
      </w:r>
      <w:r w:rsidRPr="00091294">
        <w:rPr>
          <w:lang w:eastAsia="ja-JP"/>
        </w:rPr>
        <w:t xml:space="preserve">, did not adversely affect the outcome from the primary efficacy analysis (remission at Week 52, by treatment group, central read, </w:t>
      </w:r>
      <w:r w:rsidR="00844FB0">
        <w:rPr>
          <w:lang w:eastAsia="ja-JP"/>
        </w:rPr>
        <w:t>full analysis set, non-responder imputation</w:t>
      </w:r>
      <w:r w:rsidRPr="00091294">
        <w:rPr>
          <w:lang w:eastAsia="ja-JP"/>
        </w:rPr>
        <w:t xml:space="preserve">) </w:t>
      </w:r>
      <w:r w:rsidR="00F14B34">
        <w:rPr>
          <w:lang w:eastAsia="ja-JP"/>
        </w:rPr>
        <w:t>that is,</w:t>
      </w:r>
      <w:r w:rsidRPr="00091294">
        <w:rPr>
          <w:lang w:eastAsia="ja-JP"/>
        </w:rPr>
        <w:t xml:space="preserve"> the magnitude of effect (difference from placebo) and the statis</w:t>
      </w:r>
      <w:r w:rsidR="00844FB0">
        <w:rPr>
          <w:lang w:eastAsia="ja-JP"/>
        </w:rPr>
        <w:t>tical significance were retained</w:t>
      </w:r>
      <w:r w:rsidRPr="00091294">
        <w:rPr>
          <w:lang w:eastAsia="ja-JP"/>
        </w:rPr>
        <w:t>:</w:t>
      </w:r>
    </w:p>
    <w:p w14:paraId="05B9B56D" w14:textId="77777777" w:rsidR="00710870" w:rsidRPr="00091294" w:rsidRDefault="00710870" w:rsidP="00091294">
      <w:pPr>
        <w:pStyle w:val="ListBullet"/>
        <w:rPr>
          <w:lang w:eastAsia="ja-JP"/>
        </w:rPr>
      </w:pPr>
      <w:proofErr w:type="spellStart"/>
      <w:r w:rsidRPr="00091294">
        <w:rPr>
          <w:lang w:eastAsia="ja-JP"/>
        </w:rPr>
        <w:t>Tofacitinib</w:t>
      </w:r>
      <w:proofErr w:type="spellEnd"/>
      <w:r w:rsidRPr="00091294">
        <w:rPr>
          <w:lang w:eastAsia="ja-JP"/>
        </w:rPr>
        <w:t xml:space="preserve"> 5 mg BID: Difference from placebo (95% CI): 23.2 (15.3, 31.2) p &lt; 0.0001; and</w:t>
      </w:r>
    </w:p>
    <w:p w14:paraId="4071C4FB" w14:textId="77777777" w:rsidR="00710870" w:rsidRPr="00091294" w:rsidRDefault="00710870" w:rsidP="00091294">
      <w:pPr>
        <w:pStyle w:val="ListBullet"/>
      </w:pPr>
      <w:proofErr w:type="spellStart"/>
      <w:r w:rsidRPr="00091294">
        <w:t>Tofacitinib</w:t>
      </w:r>
      <w:proofErr w:type="spellEnd"/>
      <w:r w:rsidRPr="00091294">
        <w:t xml:space="preserve"> 10 mg BID: Difference from placebo (95% CI): 29.5 (21.4, 37.6) p &lt; 0.0001</w:t>
      </w:r>
      <w:r w:rsidR="00844FB0">
        <w:t>.</w:t>
      </w:r>
    </w:p>
    <w:p w14:paraId="679E955E" w14:textId="77777777" w:rsidR="00710870" w:rsidRPr="00091294" w:rsidRDefault="00710870" w:rsidP="00091294">
      <w:r w:rsidRPr="00091294">
        <w:t xml:space="preserve">However, the relative treatment difference between </w:t>
      </w:r>
      <w:proofErr w:type="spellStart"/>
      <w:r w:rsidRPr="00091294">
        <w:t>tofaciti</w:t>
      </w:r>
      <w:r w:rsidR="00844FB0">
        <w:t>nib</w:t>
      </w:r>
      <w:proofErr w:type="spellEnd"/>
      <w:r w:rsidR="00844FB0">
        <w:t xml:space="preserve"> 5 mg BID and </w:t>
      </w:r>
      <w:proofErr w:type="spellStart"/>
      <w:r w:rsidR="00844FB0">
        <w:t>tofacitinib</w:t>
      </w:r>
      <w:proofErr w:type="spellEnd"/>
      <w:r w:rsidR="00844FB0">
        <w:t xml:space="preserve"> 10 </w:t>
      </w:r>
      <w:r w:rsidRPr="00091294">
        <w:t>mg BID was reduced, after adjustment for placebo, from 6.3 in the primary efficacy analysis to 1.8 in the primary efficacy analysis after correction for the major protocol</w:t>
      </w:r>
      <w:r w:rsidR="005F7896" w:rsidRPr="00091294">
        <w:t xml:space="preserve"> </w:t>
      </w:r>
      <w:r w:rsidRPr="00091294">
        <w:t>deviation ‘</w:t>
      </w:r>
      <w:r w:rsidRPr="00091294">
        <w:rPr>
          <w:i/>
        </w:rPr>
        <w:t>Subject was randomized according to the wrong stratification’.</w:t>
      </w:r>
    </w:p>
    <w:p w14:paraId="49D51C3A" w14:textId="77777777" w:rsidR="00710870" w:rsidRPr="002F3854" w:rsidRDefault="003771B1" w:rsidP="00091294">
      <w:pPr>
        <w:pStyle w:val="Heading6"/>
        <w:rPr>
          <w:lang w:eastAsia="ja-JP"/>
        </w:rPr>
      </w:pPr>
      <w:r>
        <w:rPr>
          <w:lang w:eastAsia="ja-JP"/>
        </w:rPr>
        <w:t>Sponsor’s r</w:t>
      </w:r>
      <w:r w:rsidR="00710870" w:rsidRPr="002F3854">
        <w:rPr>
          <w:lang w:eastAsia="ja-JP"/>
        </w:rPr>
        <w:t>esponse: Stratification errors across induction and maintenance studies</w:t>
      </w:r>
    </w:p>
    <w:p w14:paraId="0FA8B830" w14:textId="221B4437" w:rsidR="00710870" w:rsidRPr="0008642A" w:rsidRDefault="00710870" w:rsidP="00710870">
      <w:pPr>
        <w:autoSpaceDE w:val="0"/>
        <w:autoSpaceDN w:val="0"/>
        <w:adjustRightInd w:val="0"/>
        <w:spacing w:before="0" w:after="0" w:line="240" w:lineRule="auto"/>
        <w:rPr>
          <w:rFonts w:asciiTheme="minorHAnsi" w:hAnsiTheme="minorHAnsi"/>
          <w:lang w:eastAsia="ja-JP"/>
        </w:rPr>
      </w:pPr>
      <w:r w:rsidRPr="0008642A">
        <w:rPr>
          <w:rFonts w:asciiTheme="minorHAnsi" w:hAnsiTheme="minorHAnsi"/>
          <w:lang w:eastAsia="ja-JP"/>
        </w:rPr>
        <w:t xml:space="preserve">The </w:t>
      </w:r>
      <w:r w:rsidR="003771B1">
        <w:rPr>
          <w:rFonts w:asciiTheme="minorHAnsi" w:hAnsiTheme="minorHAnsi"/>
          <w:lang w:eastAsia="ja-JP"/>
        </w:rPr>
        <w:t>sponsor</w:t>
      </w:r>
      <w:r w:rsidRPr="0008642A">
        <w:rPr>
          <w:rFonts w:asciiTheme="minorHAnsi" w:hAnsiTheme="minorHAnsi"/>
          <w:lang w:eastAsia="ja-JP"/>
        </w:rPr>
        <w:t xml:space="preserve"> </w:t>
      </w:r>
      <w:r>
        <w:rPr>
          <w:rFonts w:asciiTheme="minorHAnsi" w:hAnsiTheme="minorHAnsi"/>
          <w:lang w:eastAsia="ja-JP"/>
        </w:rPr>
        <w:t>claimed</w:t>
      </w:r>
      <w:r w:rsidRPr="0008642A">
        <w:rPr>
          <w:rFonts w:asciiTheme="minorHAnsi" w:hAnsiTheme="minorHAnsi"/>
          <w:lang w:eastAsia="ja-JP"/>
        </w:rPr>
        <w:t xml:space="preserve"> </w:t>
      </w:r>
      <w:r w:rsidR="00C41CF7">
        <w:rPr>
          <w:rFonts w:asciiTheme="minorHAnsi" w:hAnsiTheme="minorHAnsi"/>
          <w:lang w:eastAsia="ja-JP"/>
        </w:rPr>
        <w:t xml:space="preserve">that it was not </w:t>
      </w:r>
      <w:r w:rsidR="00225681">
        <w:rPr>
          <w:rFonts w:asciiTheme="minorHAnsi" w:hAnsiTheme="minorHAnsi"/>
          <w:lang w:eastAsia="ja-JP"/>
        </w:rPr>
        <w:t xml:space="preserve">possible to </w:t>
      </w:r>
      <w:proofErr w:type="spellStart"/>
      <w:r w:rsidR="00225681">
        <w:rPr>
          <w:rFonts w:asciiTheme="minorHAnsi" w:hAnsiTheme="minorHAnsi"/>
          <w:lang w:eastAsia="ja-JP"/>
        </w:rPr>
        <w:t>mis</w:t>
      </w:r>
      <w:proofErr w:type="spellEnd"/>
      <w:r w:rsidR="00225681">
        <w:rPr>
          <w:rFonts w:asciiTheme="minorHAnsi" w:hAnsiTheme="minorHAnsi"/>
          <w:lang w:eastAsia="ja-JP"/>
        </w:rPr>
        <w:t>-</w:t>
      </w:r>
      <w:r w:rsidRPr="0008642A">
        <w:rPr>
          <w:rFonts w:asciiTheme="minorHAnsi" w:hAnsiTheme="minorHAnsi"/>
          <w:lang w:eastAsia="ja-JP"/>
        </w:rPr>
        <w:t xml:space="preserve">randomise subjects at </w:t>
      </w:r>
      <w:r>
        <w:rPr>
          <w:rFonts w:asciiTheme="minorHAnsi" w:hAnsiTheme="minorHAnsi"/>
          <w:lang w:eastAsia="ja-JP"/>
        </w:rPr>
        <w:t xml:space="preserve">both </w:t>
      </w:r>
      <w:r w:rsidRPr="0008642A">
        <w:rPr>
          <w:rFonts w:asciiTheme="minorHAnsi" w:hAnsiTheme="minorHAnsi"/>
          <w:lang w:eastAsia="ja-JP"/>
        </w:rPr>
        <w:t xml:space="preserve">the end of induction </w:t>
      </w:r>
      <w:r w:rsidR="006C148C">
        <w:rPr>
          <w:rFonts w:asciiTheme="minorHAnsi" w:hAnsiTheme="minorHAnsi"/>
          <w:lang w:eastAsia="ja-JP"/>
        </w:rPr>
        <w:t>(</w:t>
      </w:r>
      <w:r w:rsidR="00F14B34">
        <w:rPr>
          <w:rFonts w:asciiTheme="minorHAnsi" w:hAnsiTheme="minorHAnsi"/>
          <w:lang w:eastAsia="ja-JP"/>
        </w:rPr>
        <w:t>that is,</w:t>
      </w:r>
      <w:r>
        <w:rPr>
          <w:rFonts w:asciiTheme="minorHAnsi" w:hAnsiTheme="minorHAnsi"/>
          <w:lang w:eastAsia="ja-JP"/>
        </w:rPr>
        <w:t xml:space="preserve"> at </w:t>
      </w:r>
      <w:r w:rsidRPr="0008642A">
        <w:rPr>
          <w:rFonts w:asciiTheme="minorHAnsi" w:hAnsiTheme="minorHAnsi"/>
          <w:lang w:eastAsia="ja-JP"/>
        </w:rPr>
        <w:t>Week 8</w:t>
      </w:r>
      <w:r w:rsidR="006C148C">
        <w:rPr>
          <w:rFonts w:asciiTheme="minorHAnsi" w:hAnsiTheme="minorHAnsi"/>
          <w:lang w:eastAsia="ja-JP"/>
        </w:rPr>
        <w:t>)</w:t>
      </w:r>
      <w:r w:rsidRPr="0008642A">
        <w:rPr>
          <w:rFonts w:asciiTheme="minorHAnsi" w:hAnsiTheme="minorHAnsi"/>
          <w:lang w:eastAsia="ja-JP"/>
        </w:rPr>
        <w:t xml:space="preserve"> and at the </w:t>
      </w:r>
      <w:r w:rsidR="00074E27">
        <w:rPr>
          <w:rFonts w:asciiTheme="minorHAnsi" w:hAnsiTheme="minorHAnsi"/>
          <w:lang w:eastAsia="ja-JP"/>
        </w:rPr>
        <w:t>b</w:t>
      </w:r>
      <w:r w:rsidR="00CF6A6C">
        <w:rPr>
          <w:rFonts w:asciiTheme="minorHAnsi" w:hAnsiTheme="minorHAnsi"/>
          <w:lang w:eastAsia="ja-JP"/>
        </w:rPr>
        <w:t>aseline</w:t>
      </w:r>
      <w:r w:rsidRPr="0008642A">
        <w:rPr>
          <w:rFonts w:asciiTheme="minorHAnsi" w:hAnsiTheme="minorHAnsi"/>
          <w:lang w:eastAsia="ja-JP"/>
        </w:rPr>
        <w:t xml:space="preserve"> of the maintenance study. </w:t>
      </w:r>
      <w:r>
        <w:rPr>
          <w:rFonts w:asciiTheme="minorHAnsi" w:hAnsiTheme="minorHAnsi"/>
          <w:lang w:eastAsia="ja-JP"/>
        </w:rPr>
        <w:t>Furthermore</w:t>
      </w:r>
      <w:r w:rsidRPr="0008642A">
        <w:rPr>
          <w:rFonts w:asciiTheme="minorHAnsi" w:hAnsiTheme="minorHAnsi"/>
          <w:lang w:eastAsia="ja-JP"/>
        </w:rPr>
        <w:t xml:space="preserve">, across the induction and maintenance studies, eight subjects </w:t>
      </w:r>
      <w:r w:rsidRPr="0008642A">
        <w:rPr>
          <w:rFonts w:asciiTheme="minorHAnsi" w:eastAsia="TimesNewRoman" w:hAnsiTheme="minorHAnsi" w:cs="TimesNewRoman"/>
        </w:rPr>
        <w:t>had stratification errors in both the induction and maintenance studies and a total of 248 subjects had stratification errors in either the induction or maintenance studies.</w:t>
      </w:r>
    </w:p>
    <w:p w14:paraId="56AEB81E" w14:textId="77777777" w:rsidR="00710870" w:rsidRPr="00B24B4C" w:rsidRDefault="00091294" w:rsidP="00091294">
      <w:pPr>
        <w:pStyle w:val="Heading6"/>
        <w:rPr>
          <w:lang w:eastAsia="ja-JP"/>
        </w:rPr>
      </w:pPr>
      <w:r>
        <w:rPr>
          <w:lang w:eastAsia="ja-JP"/>
        </w:rPr>
        <w:t>Evaluation of response</w:t>
      </w:r>
    </w:p>
    <w:p w14:paraId="07DA36F6" w14:textId="1474B9BC" w:rsidR="00710870" w:rsidRDefault="00710870" w:rsidP="00091294">
      <w:pPr>
        <w:rPr>
          <w:lang w:eastAsia="ja-JP"/>
        </w:rPr>
      </w:pPr>
      <w:r>
        <w:rPr>
          <w:lang w:eastAsia="ja-JP"/>
        </w:rPr>
        <w:t xml:space="preserve">The evaluator acknowledges there was an error in the wording </w:t>
      </w:r>
      <w:r w:rsidR="00C41CF7">
        <w:rPr>
          <w:lang w:eastAsia="ja-JP"/>
        </w:rPr>
        <w:t>used in the clinical q</w:t>
      </w:r>
      <w:r>
        <w:rPr>
          <w:lang w:eastAsia="ja-JP"/>
        </w:rPr>
        <w:t xml:space="preserve">uestion. Randomisation at induction </w:t>
      </w:r>
      <w:r w:rsidR="00CF6A6C">
        <w:rPr>
          <w:lang w:eastAsia="ja-JP"/>
        </w:rPr>
        <w:t>Baseline</w:t>
      </w:r>
      <w:r>
        <w:rPr>
          <w:lang w:eastAsia="ja-JP"/>
        </w:rPr>
        <w:t xml:space="preserve"> was intended, not Week 8, as initially documented. Notwithstanding this mistake, the </w:t>
      </w:r>
      <w:r w:rsidR="003771B1">
        <w:rPr>
          <w:lang w:eastAsia="ja-JP"/>
        </w:rPr>
        <w:t>sponsor</w:t>
      </w:r>
      <w:r>
        <w:rPr>
          <w:lang w:eastAsia="ja-JP"/>
        </w:rPr>
        <w:t xml:space="preserve"> did provid</w:t>
      </w:r>
      <w:r w:rsidR="00C41CF7">
        <w:rPr>
          <w:lang w:eastAsia="ja-JP"/>
        </w:rPr>
        <w:t>e a satisfactory answer to the clinical q</w:t>
      </w:r>
      <w:r>
        <w:rPr>
          <w:lang w:eastAsia="ja-JP"/>
        </w:rPr>
        <w:t>uestion as it was intended.</w:t>
      </w:r>
    </w:p>
    <w:p w14:paraId="597B2999" w14:textId="77777777" w:rsidR="00710870" w:rsidRDefault="00710870" w:rsidP="00091294">
      <w:pPr>
        <w:rPr>
          <w:rFonts w:asciiTheme="minorHAnsi" w:eastAsia="TimesNewRoman" w:hAnsiTheme="minorHAnsi" w:cs="TimesNewRoman"/>
        </w:rPr>
      </w:pPr>
      <w:r>
        <w:rPr>
          <w:lang w:eastAsia="ja-JP"/>
        </w:rPr>
        <w:t>Given only 8 subjects had</w:t>
      </w:r>
      <w:r w:rsidRPr="00514310">
        <w:rPr>
          <w:rFonts w:asciiTheme="minorHAnsi" w:eastAsia="TimesNewRoman" w:hAnsiTheme="minorHAnsi" w:cs="TimesNewRoman"/>
        </w:rPr>
        <w:t xml:space="preserve"> </w:t>
      </w:r>
      <w:r w:rsidRPr="0008642A">
        <w:rPr>
          <w:rFonts w:asciiTheme="minorHAnsi" w:eastAsia="TimesNewRoman" w:hAnsiTheme="minorHAnsi" w:cs="TimesNewRoman"/>
        </w:rPr>
        <w:t xml:space="preserve">stratification errors </w:t>
      </w:r>
      <w:r>
        <w:rPr>
          <w:rFonts w:asciiTheme="minorHAnsi" w:eastAsia="TimesNewRoman" w:hAnsiTheme="minorHAnsi" w:cs="TimesNewRoman"/>
        </w:rPr>
        <w:t>across</w:t>
      </w:r>
      <w:r w:rsidRPr="0008642A">
        <w:rPr>
          <w:rFonts w:asciiTheme="minorHAnsi" w:eastAsia="TimesNewRoman" w:hAnsiTheme="minorHAnsi" w:cs="TimesNewRoman"/>
        </w:rPr>
        <w:t xml:space="preserve"> the induction and maintenance studies</w:t>
      </w:r>
      <w:r>
        <w:rPr>
          <w:rFonts w:asciiTheme="minorHAnsi" w:eastAsia="TimesNewRoman" w:hAnsiTheme="minorHAnsi" w:cs="TimesNewRoman"/>
        </w:rPr>
        <w:t>, this number of subjects is not expected to adversely affect the results of the primary efficacy analyses in either the induction study or the maintenance study.</w:t>
      </w:r>
    </w:p>
    <w:p w14:paraId="64F7AF31" w14:textId="77777777" w:rsidR="00710870" w:rsidRPr="00541903" w:rsidRDefault="00091294" w:rsidP="00091294">
      <w:pPr>
        <w:pStyle w:val="Heading6"/>
        <w:rPr>
          <w:lang w:eastAsia="ja-JP"/>
        </w:rPr>
      </w:pPr>
      <w:r>
        <w:rPr>
          <w:lang w:eastAsia="ja-JP"/>
        </w:rPr>
        <w:t>Summary of evaluation of response</w:t>
      </w:r>
    </w:p>
    <w:p w14:paraId="0D08D820" w14:textId="5842732F" w:rsidR="005F7896" w:rsidRDefault="00710870" w:rsidP="00091294">
      <w:pPr>
        <w:rPr>
          <w:lang w:eastAsia="ja-JP"/>
        </w:rPr>
      </w:pPr>
      <w:r>
        <w:rPr>
          <w:lang w:eastAsia="ja-JP"/>
        </w:rPr>
        <w:t xml:space="preserve">The </w:t>
      </w:r>
      <w:r w:rsidR="003771B1">
        <w:rPr>
          <w:lang w:eastAsia="ja-JP"/>
        </w:rPr>
        <w:t>sponsor</w:t>
      </w:r>
      <w:r>
        <w:rPr>
          <w:lang w:eastAsia="ja-JP"/>
        </w:rPr>
        <w:t>’s response is generally acceptable. The derivation of errors in assigning stratification</w:t>
      </w:r>
      <w:r w:rsidR="0029633C">
        <w:rPr>
          <w:lang w:eastAsia="ja-JP"/>
        </w:rPr>
        <w:t xml:space="preserve"> factors in both the induction </w:t>
      </w:r>
      <w:r w:rsidR="00074E27">
        <w:rPr>
          <w:lang w:eastAsia="ja-JP"/>
        </w:rPr>
        <w:t xml:space="preserve">studies </w:t>
      </w:r>
      <w:r>
        <w:rPr>
          <w:lang w:eastAsia="ja-JP"/>
        </w:rPr>
        <w:t>(</w:t>
      </w:r>
      <w:r w:rsidR="00074E27">
        <w:rPr>
          <w:lang w:eastAsia="ja-JP"/>
        </w:rPr>
        <w:t xml:space="preserve">Studies </w:t>
      </w:r>
      <w:r>
        <w:rPr>
          <w:lang w:eastAsia="ja-JP"/>
        </w:rPr>
        <w:t>A3921094</w:t>
      </w:r>
      <w:r w:rsidR="0029633C">
        <w:rPr>
          <w:lang w:eastAsia="ja-JP"/>
        </w:rPr>
        <w:t xml:space="preserve"> and A3921095) and </w:t>
      </w:r>
      <w:r w:rsidR="00074E27">
        <w:rPr>
          <w:lang w:eastAsia="ja-JP"/>
        </w:rPr>
        <w:lastRenderedPageBreak/>
        <w:t xml:space="preserve">the </w:t>
      </w:r>
      <w:r w:rsidR="0029633C">
        <w:rPr>
          <w:lang w:eastAsia="ja-JP"/>
        </w:rPr>
        <w:t xml:space="preserve">maintenance </w:t>
      </w:r>
      <w:r w:rsidR="00074E27">
        <w:rPr>
          <w:lang w:eastAsia="ja-JP"/>
        </w:rPr>
        <w:t xml:space="preserve">study </w:t>
      </w:r>
      <w:r>
        <w:rPr>
          <w:lang w:eastAsia="ja-JP"/>
        </w:rPr>
        <w:t>(</w:t>
      </w:r>
      <w:r w:rsidR="00074E27">
        <w:rPr>
          <w:lang w:eastAsia="ja-JP"/>
        </w:rPr>
        <w:t xml:space="preserve">Study </w:t>
      </w:r>
      <w:r>
        <w:rPr>
          <w:lang w:eastAsia="ja-JP"/>
        </w:rPr>
        <w:t>A3921096) has been adequately explained, and the methods employed in the primary efficacy analyses to correct for such stratification errors also adequately described. Overall, assurance has been provided that the major protocol deviation ‘</w:t>
      </w:r>
      <w:r w:rsidRPr="005A57AB">
        <w:rPr>
          <w:i/>
          <w:lang w:eastAsia="ja-JP"/>
        </w:rPr>
        <w:t>Subject was randomized according to the wrong stratifica</w:t>
      </w:r>
      <w:r>
        <w:rPr>
          <w:i/>
          <w:lang w:eastAsia="ja-JP"/>
        </w:rPr>
        <w:t>tion’</w:t>
      </w:r>
      <w:r>
        <w:rPr>
          <w:lang w:eastAsia="ja-JP"/>
        </w:rPr>
        <w:t xml:space="preserve">, did not adversely affect the primary efficacy analysis in </w:t>
      </w:r>
      <w:r w:rsidRPr="003A5942">
        <w:rPr>
          <w:lang w:eastAsia="ja-JP"/>
        </w:rPr>
        <w:t>any</w:t>
      </w:r>
      <w:r>
        <w:rPr>
          <w:lang w:eastAsia="ja-JP"/>
        </w:rPr>
        <w:t xml:space="preserve"> of the induction studies or maintenance</w:t>
      </w:r>
      <w:r w:rsidRPr="003A5942">
        <w:rPr>
          <w:lang w:eastAsia="ja-JP"/>
        </w:rPr>
        <w:t xml:space="preserve"> study</w:t>
      </w:r>
      <w:r w:rsidR="005F7896">
        <w:rPr>
          <w:lang w:eastAsia="ja-JP"/>
        </w:rPr>
        <w:t>.</w:t>
      </w:r>
    </w:p>
    <w:p w14:paraId="2757F7A1" w14:textId="48C08940" w:rsidR="00710870" w:rsidRPr="003A5942" w:rsidRDefault="00710870" w:rsidP="00091294">
      <w:r w:rsidRPr="003A5942">
        <w:rPr>
          <w:lang w:eastAsia="ja-JP"/>
        </w:rPr>
        <w:t xml:space="preserve">While omission of those subjects with the major protocol </w:t>
      </w:r>
      <w:r w:rsidR="0029633C">
        <w:rPr>
          <w:lang w:eastAsia="ja-JP"/>
        </w:rPr>
        <w:t xml:space="preserve">deviation from the maintenance </w:t>
      </w:r>
      <w:r w:rsidR="00074E27">
        <w:rPr>
          <w:lang w:eastAsia="ja-JP"/>
        </w:rPr>
        <w:t>s</w:t>
      </w:r>
      <w:r w:rsidR="00074E27" w:rsidRPr="003A5942">
        <w:rPr>
          <w:lang w:eastAsia="ja-JP"/>
        </w:rPr>
        <w:t xml:space="preserve">tudy </w:t>
      </w:r>
      <w:r w:rsidRPr="003A5942">
        <w:rPr>
          <w:lang w:eastAsia="ja-JP"/>
        </w:rPr>
        <w:t>(</w:t>
      </w:r>
      <w:r w:rsidR="00074E27">
        <w:rPr>
          <w:lang w:eastAsia="ja-JP"/>
        </w:rPr>
        <w:t xml:space="preserve">Study </w:t>
      </w:r>
      <w:r w:rsidRPr="003A5942">
        <w:rPr>
          <w:lang w:eastAsia="ja-JP"/>
        </w:rPr>
        <w:t xml:space="preserve">A3921096) reduced the placebo-adjusted difference between the </w:t>
      </w:r>
      <w:proofErr w:type="spellStart"/>
      <w:r w:rsidRPr="003A5942">
        <w:rPr>
          <w:lang w:eastAsia="ja-JP"/>
        </w:rPr>
        <w:t>tofacitinib</w:t>
      </w:r>
      <w:proofErr w:type="spellEnd"/>
      <w:r w:rsidRPr="003A5942">
        <w:rPr>
          <w:lang w:eastAsia="ja-JP"/>
        </w:rPr>
        <w:t xml:space="preserve"> 5 mg BID and </w:t>
      </w:r>
      <w:proofErr w:type="spellStart"/>
      <w:r w:rsidRPr="003A5942">
        <w:rPr>
          <w:lang w:eastAsia="ja-JP"/>
        </w:rPr>
        <w:t>tofacitinib</w:t>
      </w:r>
      <w:proofErr w:type="spellEnd"/>
      <w:r w:rsidRPr="003A5942">
        <w:rPr>
          <w:lang w:eastAsia="ja-JP"/>
        </w:rPr>
        <w:t xml:space="preserve"> 10 mg BID treatment arms from 6.3 to 1.8, both values are not clinically meaningful. Furthermore, g</w:t>
      </w:r>
      <w:r w:rsidRPr="003A5942">
        <w:t xml:space="preserve">iven the proposed maintenance dose regimen is 5 mg BID, the effect of this major protocol deviation does not </w:t>
      </w:r>
      <w:r>
        <w:t>adversely</w:t>
      </w:r>
      <w:r w:rsidRPr="003A5942">
        <w:t xml:space="preserve"> affect the benefit-risk balance</w:t>
      </w:r>
      <w:r>
        <w:t>, which</w:t>
      </w:r>
      <w:r w:rsidRPr="003A5942">
        <w:t xml:space="preserve"> favours the 5 mg BID </w:t>
      </w:r>
      <w:r>
        <w:t xml:space="preserve">dosage </w:t>
      </w:r>
      <w:r w:rsidRPr="003A5942">
        <w:t xml:space="preserve">regimen </w:t>
      </w:r>
      <w:r>
        <w:t>for</w:t>
      </w:r>
      <w:r w:rsidRPr="003A5942">
        <w:t xml:space="preserve"> maintenance</w:t>
      </w:r>
      <w:r>
        <w:t xml:space="preserve"> treatment.</w:t>
      </w:r>
    </w:p>
    <w:p w14:paraId="74C39135" w14:textId="3585B965" w:rsidR="005F7896" w:rsidRDefault="00710870" w:rsidP="00091294">
      <w:pPr>
        <w:rPr>
          <w:rFonts w:asciiTheme="minorHAnsi" w:eastAsia="TimesNewRoman" w:hAnsiTheme="minorHAnsi" w:cs="TimesNewRoman"/>
        </w:rPr>
      </w:pPr>
      <w:r>
        <w:rPr>
          <w:rFonts w:asciiTheme="minorHAnsi" w:eastAsia="TimesNewRoman" w:hAnsiTheme="minorHAnsi" w:cs="TimesNewRoman"/>
        </w:rPr>
        <w:t>Since</w:t>
      </w:r>
      <w:r w:rsidRPr="0008642A">
        <w:rPr>
          <w:rFonts w:asciiTheme="minorHAnsi" w:eastAsia="TimesNewRoman" w:hAnsiTheme="minorHAnsi" w:cs="TimesNewRoman"/>
        </w:rPr>
        <w:t xml:space="preserve"> 248 subjects had stratification errors in either the induction or maintenance studies</w:t>
      </w:r>
      <w:r>
        <w:rPr>
          <w:rFonts w:asciiTheme="minorHAnsi" w:eastAsia="TimesNewRoman" w:hAnsiTheme="minorHAnsi" w:cs="TimesNewRoman"/>
        </w:rPr>
        <w:t>, this most probably reflects the problems inherent in conducting two sequential clinical trials, with a short period between cessation of one study and commencement of the second study. This is especially important when treatment assignation in the follow-on study requires specific information derived from the previous study,</w:t>
      </w:r>
      <w:r w:rsidR="00C41CF7">
        <w:rPr>
          <w:rFonts w:asciiTheme="minorHAnsi" w:eastAsia="TimesNewRoman" w:hAnsiTheme="minorHAnsi" w:cs="TimesNewRoman"/>
        </w:rPr>
        <w:t xml:space="preserve"> at the time of randomisation (</w:t>
      </w:r>
      <w:r w:rsidR="00074E27">
        <w:rPr>
          <w:rFonts w:asciiTheme="minorHAnsi" w:eastAsia="TimesNewRoman" w:hAnsiTheme="minorHAnsi" w:cs="TimesNewRoman"/>
        </w:rPr>
        <w:t>b</w:t>
      </w:r>
      <w:r w:rsidR="00CF6A6C">
        <w:rPr>
          <w:rFonts w:asciiTheme="minorHAnsi" w:eastAsia="TimesNewRoman" w:hAnsiTheme="minorHAnsi" w:cs="TimesNewRoman"/>
        </w:rPr>
        <w:t>aseline</w:t>
      </w:r>
      <w:r>
        <w:rPr>
          <w:rFonts w:asciiTheme="minorHAnsi" w:eastAsia="TimesNewRoman" w:hAnsiTheme="minorHAnsi" w:cs="TimesNewRoman"/>
        </w:rPr>
        <w:t xml:space="preserve"> remission status in this application</w:t>
      </w:r>
      <w:r w:rsidR="00C41CF7">
        <w:rPr>
          <w:rFonts w:asciiTheme="minorHAnsi" w:eastAsia="TimesNewRoman" w:hAnsiTheme="minorHAnsi" w:cs="TimesNewRoman"/>
        </w:rPr>
        <w:t>)</w:t>
      </w:r>
      <w:r>
        <w:rPr>
          <w:rFonts w:asciiTheme="minorHAnsi" w:eastAsia="TimesNewRoman" w:hAnsiTheme="minorHAnsi" w:cs="TimesNewRoman"/>
        </w:rPr>
        <w:t xml:space="preserve">. As a result, the </w:t>
      </w:r>
      <w:r w:rsidR="003771B1">
        <w:rPr>
          <w:rFonts w:asciiTheme="minorHAnsi" w:eastAsia="TimesNewRoman" w:hAnsiTheme="minorHAnsi" w:cs="TimesNewRoman"/>
        </w:rPr>
        <w:t>sponsor</w:t>
      </w:r>
      <w:r>
        <w:rPr>
          <w:rFonts w:asciiTheme="minorHAnsi" w:eastAsia="TimesNewRoman" w:hAnsiTheme="minorHAnsi" w:cs="TimesNewRoman"/>
        </w:rPr>
        <w:t xml:space="preserve"> had to employ a programmatically derived method to determine </w:t>
      </w:r>
      <w:r w:rsidR="00074E27">
        <w:rPr>
          <w:rFonts w:asciiTheme="minorHAnsi" w:eastAsia="TimesNewRoman" w:hAnsiTheme="minorHAnsi" w:cs="TimesNewRoman"/>
        </w:rPr>
        <w:t>b</w:t>
      </w:r>
      <w:r w:rsidR="00CF6A6C">
        <w:rPr>
          <w:rFonts w:asciiTheme="minorHAnsi" w:eastAsia="TimesNewRoman" w:hAnsiTheme="minorHAnsi" w:cs="TimesNewRoman"/>
        </w:rPr>
        <w:t>aseline</w:t>
      </w:r>
      <w:r>
        <w:rPr>
          <w:rFonts w:asciiTheme="minorHAnsi" w:eastAsia="TimesNewRoman" w:hAnsiTheme="minorHAnsi" w:cs="TimesNewRoman"/>
        </w:rPr>
        <w:t xml:space="preserve"> remission status for its maintenance study subjects. This is not ideal and assumes the program used to derive the remission status has both high precision and high reproducibility. The use of such computer programs has potential to introduce bias into the study design, which could affect the validity of the results</w:t>
      </w:r>
      <w:r w:rsidR="005F7896">
        <w:rPr>
          <w:rFonts w:asciiTheme="minorHAnsi" w:eastAsia="TimesNewRoman" w:hAnsiTheme="minorHAnsi" w:cs="TimesNewRoman"/>
        </w:rPr>
        <w:t>.</w:t>
      </w:r>
    </w:p>
    <w:p w14:paraId="0DA6A787" w14:textId="03B214EA" w:rsidR="00710870" w:rsidRDefault="00C41CF7" w:rsidP="00091294">
      <w:pPr>
        <w:rPr>
          <w:lang w:eastAsia="ja-JP"/>
        </w:rPr>
      </w:pPr>
      <w:r>
        <w:rPr>
          <w:rFonts w:asciiTheme="minorHAnsi" w:eastAsia="TimesNewRoman" w:hAnsiTheme="minorHAnsi" w:cs="TimesNewRoman"/>
        </w:rPr>
        <w:t>If the a</w:t>
      </w:r>
      <w:r w:rsidR="00710870">
        <w:rPr>
          <w:rFonts w:asciiTheme="minorHAnsi" w:eastAsia="TimesNewRoman" w:hAnsiTheme="minorHAnsi" w:cs="TimesNewRoman"/>
        </w:rPr>
        <w:t>d</w:t>
      </w:r>
      <w:r>
        <w:rPr>
          <w:rFonts w:asciiTheme="minorHAnsi" w:eastAsia="TimesNewRoman" w:hAnsiTheme="minorHAnsi" w:cs="TimesNewRoman"/>
        </w:rPr>
        <w:t>opted g</w:t>
      </w:r>
      <w:r w:rsidR="00710870">
        <w:rPr>
          <w:rFonts w:asciiTheme="minorHAnsi" w:eastAsia="TimesNewRoman" w:hAnsiTheme="minorHAnsi" w:cs="TimesNewRoman"/>
        </w:rPr>
        <w:t>uideline</w:t>
      </w:r>
      <w:r>
        <w:rPr>
          <w:rFonts w:asciiTheme="minorHAnsi" w:eastAsia="TimesNewRoman" w:hAnsiTheme="minorHAnsi" w:cs="TimesNewRoman"/>
        </w:rPr>
        <w:fldChar w:fldCharType="begin"/>
      </w:r>
      <w:r>
        <w:rPr>
          <w:rFonts w:asciiTheme="minorHAnsi" w:eastAsia="TimesNewRoman" w:hAnsiTheme="minorHAnsi" w:cs="TimesNewRoman"/>
        </w:rPr>
        <w:instrText xml:space="preserve"> NOTEREF _Ref13729303 \f \h </w:instrText>
      </w:r>
      <w:r>
        <w:rPr>
          <w:rFonts w:asciiTheme="minorHAnsi" w:eastAsia="TimesNewRoman" w:hAnsiTheme="minorHAnsi" w:cs="TimesNewRoman"/>
        </w:rPr>
      </w:r>
      <w:r>
        <w:rPr>
          <w:rFonts w:asciiTheme="minorHAnsi" w:eastAsia="TimesNewRoman" w:hAnsiTheme="minorHAnsi" w:cs="TimesNewRoman"/>
        </w:rPr>
        <w:fldChar w:fldCharType="separate"/>
      </w:r>
      <w:r w:rsidRPr="00C41CF7">
        <w:rPr>
          <w:rStyle w:val="FootnoteReference"/>
        </w:rPr>
        <w:t>2</w:t>
      </w:r>
      <w:r>
        <w:rPr>
          <w:rFonts w:asciiTheme="minorHAnsi" w:eastAsia="TimesNewRoman" w:hAnsiTheme="minorHAnsi" w:cs="TimesNewRoman"/>
        </w:rPr>
        <w:fldChar w:fldCharType="end"/>
      </w:r>
      <w:r w:rsidR="00710870">
        <w:rPr>
          <w:rFonts w:asciiTheme="minorHAnsi" w:eastAsia="TimesNewRoman" w:hAnsiTheme="minorHAnsi" w:cs="TimesNewRoman"/>
        </w:rPr>
        <w:t xml:space="preserve"> recommendation to allow for an adequate period between induction and maintenance studies had been more closely followed then most of the instances of the reported major protocol violation </w:t>
      </w:r>
      <w:r w:rsidR="00710870">
        <w:rPr>
          <w:lang w:eastAsia="ja-JP"/>
        </w:rPr>
        <w:t>‘</w:t>
      </w:r>
      <w:r w:rsidR="00710870" w:rsidRPr="005A57AB">
        <w:rPr>
          <w:i/>
          <w:lang w:eastAsia="ja-JP"/>
        </w:rPr>
        <w:t>Subject was randomized according to the wrong stratifica</w:t>
      </w:r>
      <w:r w:rsidR="00710870">
        <w:rPr>
          <w:i/>
          <w:lang w:eastAsia="ja-JP"/>
        </w:rPr>
        <w:t xml:space="preserve">tion’ </w:t>
      </w:r>
      <w:r w:rsidR="00710870">
        <w:rPr>
          <w:rFonts w:asciiTheme="minorHAnsi" w:eastAsia="TimesNewRoman" w:hAnsiTheme="minorHAnsi" w:cs="TimesNewRoman"/>
        </w:rPr>
        <w:t xml:space="preserve">may have been avoided, with a concomitant reduction in the potential to introduce bias into the design from using a computer program to derive </w:t>
      </w:r>
      <w:r w:rsidR="00CF6A6C">
        <w:rPr>
          <w:rFonts w:asciiTheme="minorHAnsi" w:eastAsia="TimesNewRoman" w:hAnsiTheme="minorHAnsi" w:cs="TimesNewRoman"/>
        </w:rPr>
        <w:t>Baseline</w:t>
      </w:r>
      <w:r w:rsidR="00710870">
        <w:rPr>
          <w:rFonts w:asciiTheme="minorHAnsi" w:eastAsia="TimesNewRoman" w:hAnsiTheme="minorHAnsi" w:cs="TimesNewRoman"/>
        </w:rPr>
        <w:t xml:space="preserve"> remission status.</w:t>
      </w:r>
    </w:p>
    <w:p w14:paraId="4D759087" w14:textId="77777777" w:rsidR="00710870" w:rsidRPr="00E01445" w:rsidRDefault="00091294" w:rsidP="00091294">
      <w:pPr>
        <w:pStyle w:val="Heading5"/>
      </w:pPr>
      <w:r>
        <w:t>Question 2</w:t>
      </w:r>
    </w:p>
    <w:p w14:paraId="32366482" w14:textId="77777777" w:rsidR="00710870" w:rsidRPr="00DF6270" w:rsidRDefault="00710870" w:rsidP="00DF6270">
      <w:pPr>
        <w:rPr>
          <w:b/>
          <w:i/>
        </w:rPr>
      </w:pPr>
      <w:r w:rsidRPr="00DF6270">
        <w:rPr>
          <w:b/>
          <w:i/>
        </w:rPr>
        <w:t xml:space="preserve">For what reason/s was the </w:t>
      </w:r>
      <w:proofErr w:type="spellStart"/>
      <w:r w:rsidRPr="00DF6270">
        <w:rPr>
          <w:b/>
          <w:i/>
        </w:rPr>
        <w:t>tofacitinib</w:t>
      </w:r>
      <w:proofErr w:type="spellEnd"/>
      <w:r w:rsidRPr="00DF6270">
        <w:rPr>
          <w:b/>
          <w:i/>
        </w:rPr>
        <w:t xml:space="preserve"> 15 mg treatment arm removed from the pivotal efficacy induction studies </w:t>
      </w:r>
      <w:r w:rsidRPr="00DF6270">
        <w:rPr>
          <w:b/>
          <w:i/>
          <w:lang w:eastAsia="ja-JP"/>
        </w:rPr>
        <w:t>(P</w:t>
      </w:r>
      <w:r w:rsidRPr="00DF6270">
        <w:rPr>
          <w:b/>
          <w:i/>
        </w:rPr>
        <w:t>rotocol Amendment 3 in Study</w:t>
      </w:r>
      <w:r w:rsidRPr="00DF6270">
        <w:rPr>
          <w:b/>
          <w:i/>
          <w:lang w:eastAsia="ja-JP"/>
        </w:rPr>
        <w:t xml:space="preserve"> A3921094;</w:t>
      </w:r>
      <w:r w:rsidRPr="00DF6270">
        <w:rPr>
          <w:b/>
          <w:i/>
        </w:rPr>
        <w:t xml:space="preserve"> </w:t>
      </w:r>
      <w:r w:rsidRPr="00DF6270">
        <w:rPr>
          <w:b/>
          <w:i/>
          <w:lang w:eastAsia="ja-JP"/>
        </w:rPr>
        <w:t>P</w:t>
      </w:r>
      <w:r w:rsidRPr="00DF6270">
        <w:rPr>
          <w:b/>
          <w:i/>
        </w:rPr>
        <w:t>rotocol Amendment 2 in Study</w:t>
      </w:r>
      <w:r w:rsidRPr="00DF6270">
        <w:rPr>
          <w:b/>
          <w:i/>
          <w:lang w:eastAsia="ja-JP"/>
        </w:rPr>
        <w:t xml:space="preserve"> </w:t>
      </w:r>
      <w:r w:rsidRPr="00DF6270">
        <w:rPr>
          <w:b/>
          <w:i/>
        </w:rPr>
        <w:t xml:space="preserve">A3921095) on </w:t>
      </w:r>
      <w:r w:rsidRPr="00DF6270">
        <w:rPr>
          <w:b/>
          <w:i/>
          <w:lang w:eastAsia="ja-JP"/>
        </w:rPr>
        <w:t xml:space="preserve">30 November 2012? The sponsor is requested to provide a more detailed explanation than cited in the submission dossier, which infers the withdrawal of the </w:t>
      </w:r>
      <w:proofErr w:type="spellStart"/>
      <w:r w:rsidRPr="00DF6270">
        <w:rPr>
          <w:b/>
          <w:i/>
          <w:lang w:eastAsia="ja-JP"/>
        </w:rPr>
        <w:t>tofacitinib</w:t>
      </w:r>
      <w:proofErr w:type="spellEnd"/>
      <w:r w:rsidRPr="00DF6270">
        <w:rPr>
          <w:b/>
          <w:i/>
          <w:lang w:eastAsia="ja-JP"/>
        </w:rPr>
        <w:t xml:space="preserve"> 15 mg treatment arm was not on grounds of safety but few details were provided.</w:t>
      </w:r>
    </w:p>
    <w:p w14:paraId="6BBAA46B" w14:textId="77777777" w:rsidR="00710870" w:rsidRDefault="00091294" w:rsidP="00091294">
      <w:pPr>
        <w:pStyle w:val="Heading6"/>
      </w:pPr>
      <w:r>
        <w:t>Sponsor’s response</w:t>
      </w:r>
    </w:p>
    <w:p w14:paraId="72428ADD" w14:textId="77777777" w:rsidR="00710870" w:rsidRPr="00A51335" w:rsidRDefault="00710870" w:rsidP="00091294">
      <w:pPr>
        <w:rPr>
          <w:lang w:eastAsia="ja-JP"/>
        </w:rPr>
      </w:pPr>
      <w:r w:rsidRPr="00A51335">
        <w:t xml:space="preserve">The 15 mg BID dose was removed via protocol amendments shortly after study start in 2012, based on feedback received in interactions with regulatory authorities around dosing for the </w:t>
      </w:r>
      <w:r w:rsidR="00B7366A">
        <w:t>RA</w:t>
      </w:r>
      <w:r w:rsidRPr="00A51335">
        <w:t xml:space="preserve"> indication at the time, and the complexity of developing a dose (15 mg </w:t>
      </w:r>
      <w:r w:rsidR="0029633C">
        <w:t>BID) not included in the Phase III</w:t>
      </w:r>
      <w:r w:rsidRPr="00A51335">
        <w:t xml:space="preserve"> development programs for non-UC indications. The potential lack of clinical relevance of the small incremental increase in efficacy expected at 15 mg BID compared to 10 mg BID in UC patients, based on exposure-response analyses of efficacy data, was an additional consideration for this decision.</w:t>
      </w:r>
    </w:p>
    <w:p w14:paraId="7DD632FF" w14:textId="77777777" w:rsidR="00710870" w:rsidRDefault="00091294" w:rsidP="00091294">
      <w:pPr>
        <w:pStyle w:val="Heading6"/>
        <w:rPr>
          <w:lang w:eastAsia="ja-JP"/>
        </w:rPr>
      </w:pPr>
      <w:r>
        <w:rPr>
          <w:lang w:eastAsia="ja-JP"/>
        </w:rPr>
        <w:t>Evaluation of response</w:t>
      </w:r>
    </w:p>
    <w:p w14:paraId="1D6F6470" w14:textId="77777777" w:rsidR="00710870" w:rsidRDefault="00710870" w:rsidP="00091294">
      <w:r>
        <w:rPr>
          <w:lang w:eastAsia="ja-JP"/>
        </w:rPr>
        <w:t xml:space="preserve">The </w:t>
      </w:r>
      <w:r w:rsidR="003771B1">
        <w:rPr>
          <w:lang w:eastAsia="ja-JP"/>
        </w:rPr>
        <w:t>sponsor</w:t>
      </w:r>
      <w:r>
        <w:rPr>
          <w:lang w:eastAsia="ja-JP"/>
        </w:rPr>
        <w:t xml:space="preserve">’s response was generally acceptable. However, the </w:t>
      </w:r>
      <w:r w:rsidR="003771B1">
        <w:rPr>
          <w:lang w:eastAsia="ja-JP"/>
        </w:rPr>
        <w:t>sponsor</w:t>
      </w:r>
      <w:r>
        <w:rPr>
          <w:lang w:eastAsia="ja-JP"/>
        </w:rPr>
        <w:t xml:space="preserve"> did not provide further information about what feedback</w:t>
      </w:r>
      <w:r w:rsidRPr="00C50ACE">
        <w:t xml:space="preserve"> </w:t>
      </w:r>
      <w:r>
        <w:t xml:space="preserve">it </w:t>
      </w:r>
      <w:r w:rsidRPr="00A51335">
        <w:t xml:space="preserve">received </w:t>
      </w:r>
      <w:r>
        <w:t>from its</w:t>
      </w:r>
      <w:r w:rsidRPr="00A51335">
        <w:t xml:space="preserve"> interactions with regulatory authorities around </w:t>
      </w:r>
      <w:r>
        <w:t xml:space="preserve">RA dosing that prompted withdrawal of the </w:t>
      </w:r>
      <w:r w:rsidRPr="00A51335">
        <w:t>15 mg BID dose</w:t>
      </w:r>
      <w:r>
        <w:t xml:space="preserve"> regimen, and subsequent study protocol amendments that required major changes to the sample size calculations and statistical power estimations, as well as the randomisation process in </w:t>
      </w:r>
      <w:r>
        <w:lastRenderedPageBreak/>
        <w:t xml:space="preserve">each pivotal </w:t>
      </w:r>
      <w:r w:rsidR="00B7366A">
        <w:t>Phase</w:t>
      </w:r>
      <w:r>
        <w:t xml:space="preserve"> III efficacy study. Such changes have potential to introduce bias into the study design and affect internal validity, as single factors and in combination.</w:t>
      </w:r>
    </w:p>
    <w:p w14:paraId="556CE3A5" w14:textId="77777777" w:rsidR="00710870" w:rsidRDefault="00710870" w:rsidP="00091294">
      <w:pPr>
        <w:rPr>
          <w:lang w:eastAsia="ja-JP"/>
        </w:rPr>
      </w:pPr>
      <w:r>
        <w:t xml:space="preserve">In the absence of further specific information on what </w:t>
      </w:r>
      <w:r w:rsidRPr="00C036A6">
        <w:t>the</w:t>
      </w:r>
      <w:r w:rsidRPr="00D02C7F">
        <w:rPr>
          <w:i/>
        </w:rPr>
        <w:t xml:space="preserve"> ‘feedback received in interactions with regulatory authorities around dosing for the RA indication at the time’</w:t>
      </w:r>
      <w:r>
        <w:t xml:space="preserve"> consisted, which gave rise to the withdrawal of the </w:t>
      </w:r>
      <w:proofErr w:type="spellStart"/>
      <w:r>
        <w:t>tofacitinib</w:t>
      </w:r>
      <w:proofErr w:type="spellEnd"/>
      <w:r>
        <w:t xml:space="preserve"> 15 mg BID treatment arm in the induction studies, an informed judgement about the appropriateness of withdrawing an active treatment arm approximately four to six months after commencement in each induction study cannot be fully made. Furthermore, this same statement was available in the submission dossier and the </w:t>
      </w:r>
      <w:r w:rsidR="003771B1">
        <w:t>sponsor</w:t>
      </w:r>
      <w:r>
        <w:t xml:space="preserve"> has therefore failed to </w:t>
      </w:r>
      <w:r w:rsidRPr="005D38E8">
        <w:rPr>
          <w:i/>
        </w:rPr>
        <w:t>‘</w:t>
      </w:r>
      <w:r w:rsidRPr="005D38E8">
        <w:rPr>
          <w:i/>
          <w:lang w:eastAsia="ja-JP"/>
        </w:rPr>
        <w:t>provide a more detailed explanation than cited in the submission dossier’</w:t>
      </w:r>
      <w:r w:rsidR="00C41CF7">
        <w:rPr>
          <w:lang w:eastAsia="ja-JP"/>
        </w:rPr>
        <w:t xml:space="preserve"> as cited in the clinical q</w:t>
      </w:r>
      <w:r>
        <w:rPr>
          <w:lang w:eastAsia="ja-JP"/>
        </w:rPr>
        <w:t>uestion.</w:t>
      </w:r>
    </w:p>
    <w:p w14:paraId="4D660B4E" w14:textId="77777777" w:rsidR="00710870" w:rsidRPr="00E01445" w:rsidRDefault="00091294" w:rsidP="00091294">
      <w:pPr>
        <w:pStyle w:val="Heading5"/>
      </w:pPr>
      <w:r>
        <w:t>Question 3</w:t>
      </w:r>
    </w:p>
    <w:p w14:paraId="5ECC8B6C" w14:textId="77777777" w:rsidR="00710870" w:rsidRPr="00DF6270" w:rsidRDefault="00710870" w:rsidP="00DF6270">
      <w:pPr>
        <w:rPr>
          <w:b/>
          <w:i/>
        </w:rPr>
      </w:pPr>
      <w:r w:rsidRPr="00DF6270">
        <w:rPr>
          <w:b/>
          <w:i/>
        </w:rPr>
        <w:t xml:space="preserve">The sponsor is requested to provide the results of the primary efficacy analysis (proportion of subjects in remission at Week 8) and the key secondary efficacy analysis (proportion of subjects with mucosal healing at Week 8) for each pivotal </w:t>
      </w:r>
      <w:r w:rsidR="00B7366A" w:rsidRPr="00DF6270">
        <w:rPr>
          <w:b/>
          <w:i/>
        </w:rPr>
        <w:t>Phase</w:t>
      </w:r>
      <w:r w:rsidRPr="00DF6270">
        <w:rPr>
          <w:b/>
          <w:i/>
        </w:rPr>
        <w:t xml:space="preserve"> III induction study </w:t>
      </w:r>
      <w:r w:rsidR="00F14B34" w:rsidRPr="00DF6270">
        <w:rPr>
          <w:b/>
          <w:i/>
        </w:rPr>
        <w:t>that is,</w:t>
      </w:r>
      <w:r w:rsidRPr="00DF6270">
        <w:rPr>
          <w:b/>
          <w:i/>
        </w:rPr>
        <w:t xml:space="preserve"> Study A3921094 and Study A3921095, by treatment group, extent of disease category (proctosigmoiditis; left-sided colitis; extensive/</w:t>
      </w:r>
      <w:proofErr w:type="spellStart"/>
      <w:r w:rsidRPr="00DF6270">
        <w:rPr>
          <w:b/>
          <w:i/>
        </w:rPr>
        <w:t>pancolitis</w:t>
      </w:r>
      <w:proofErr w:type="spellEnd"/>
      <w:r w:rsidRPr="00DF6270">
        <w:rPr>
          <w:b/>
          <w:i/>
        </w:rPr>
        <w:t>) and disease severity category (Bas</w:t>
      </w:r>
      <w:r w:rsidR="00C41CF7" w:rsidRPr="00DF6270">
        <w:rPr>
          <w:b/>
          <w:i/>
        </w:rPr>
        <w:t xml:space="preserve">eline total Mayo scores: &lt; 8; 8 to </w:t>
      </w:r>
      <w:r w:rsidRPr="00DF6270">
        <w:rPr>
          <w:b/>
          <w:i/>
        </w:rPr>
        <w:t>10; &gt;</w:t>
      </w:r>
      <w:r w:rsidR="00C41CF7" w:rsidRPr="00DF6270">
        <w:rPr>
          <w:b/>
          <w:i/>
        </w:rPr>
        <w:t xml:space="preserve"> </w:t>
      </w:r>
      <w:r w:rsidRPr="00DF6270">
        <w:rPr>
          <w:b/>
          <w:i/>
        </w:rPr>
        <w:t>10).</w:t>
      </w:r>
    </w:p>
    <w:p w14:paraId="680D9123" w14:textId="77777777" w:rsidR="00710870" w:rsidRDefault="003771B1" w:rsidP="00091294">
      <w:pPr>
        <w:pStyle w:val="Heading6"/>
      </w:pPr>
      <w:r>
        <w:t>Sponsor’s r</w:t>
      </w:r>
      <w:r w:rsidR="00091294">
        <w:t>esponse</w:t>
      </w:r>
    </w:p>
    <w:p w14:paraId="6B85E2EC" w14:textId="77777777" w:rsidR="00710870" w:rsidRDefault="00710870" w:rsidP="00091294">
      <w:r w:rsidRPr="001A5988">
        <w:rPr>
          <w:lang w:eastAsia="ja-JP"/>
        </w:rPr>
        <w:t xml:space="preserve">The </w:t>
      </w:r>
      <w:r w:rsidR="003771B1">
        <w:rPr>
          <w:lang w:eastAsia="ja-JP"/>
        </w:rPr>
        <w:t>sponsor</w:t>
      </w:r>
      <w:r w:rsidRPr="001A5988">
        <w:rPr>
          <w:lang w:eastAsia="ja-JP"/>
        </w:rPr>
        <w:t xml:space="preserve"> provided succinct tabulated data as requested for the primary efficacy endpoint</w:t>
      </w:r>
      <w:r w:rsidRPr="001A5988">
        <w:t xml:space="preserve"> (proportion of subjects in remission at Week 8) and the key secondary efficacy endpoint (proportion of subjects with mucosal healing at Week 8)</w:t>
      </w:r>
      <w:r>
        <w:t xml:space="preserve"> by individual pivotal induction study, A3921094 and A3921095.</w:t>
      </w:r>
    </w:p>
    <w:p w14:paraId="0A5F7791" w14:textId="77777777" w:rsidR="00710870" w:rsidRDefault="00091294" w:rsidP="00507AD6">
      <w:pPr>
        <w:pStyle w:val="Heading6"/>
        <w:rPr>
          <w:lang w:eastAsia="ja-JP"/>
        </w:rPr>
      </w:pPr>
      <w:r>
        <w:rPr>
          <w:lang w:eastAsia="ja-JP"/>
        </w:rPr>
        <w:t>Evaluation of response</w:t>
      </w:r>
    </w:p>
    <w:p w14:paraId="0B7AA4A9" w14:textId="77777777" w:rsidR="00710870" w:rsidRDefault="00710870" w:rsidP="00091294">
      <w:pPr>
        <w:rPr>
          <w:lang w:eastAsia="ja-JP"/>
        </w:rPr>
      </w:pPr>
      <w:r>
        <w:rPr>
          <w:lang w:eastAsia="ja-JP"/>
        </w:rPr>
        <w:t>Extent of disease and disease severity will be considered separately.</w:t>
      </w:r>
    </w:p>
    <w:p w14:paraId="7B0B9699" w14:textId="77777777" w:rsidR="00710870" w:rsidRDefault="00710870" w:rsidP="00507AD6">
      <w:pPr>
        <w:pStyle w:val="Heading7"/>
      </w:pPr>
      <w:r>
        <w:t>Extent of Disease</w:t>
      </w:r>
    </w:p>
    <w:p w14:paraId="069D560F" w14:textId="77777777" w:rsidR="00710870" w:rsidRPr="00446944" w:rsidRDefault="00710870" w:rsidP="00507AD6">
      <w:r>
        <w:t>No statistical separation or clinically meaningful benefit was demonstrated for the primary efficacy or secondary efficacy endpoints, in subje</w:t>
      </w:r>
      <w:r w:rsidR="0029633C">
        <w:t xml:space="preserve">cts who received </w:t>
      </w:r>
      <w:proofErr w:type="spellStart"/>
      <w:r w:rsidR="0029633C">
        <w:t>tofacitinib</w:t>
      </w:r>
      <w:proofErr w:type="spellEnd"/>
      <w:r w:rsidR="0029633C">
        <w:t xml:space="preserve"> 10 </w:t>
      </w:r>
      <w:r>
        <w:t xml:space="preserve">mg BID treatment for 8 weeks induction and who had predominantly proctosigmoiditis. These findings were consistent across the induction studies </w:t>
      </w:r>
      <w:r w:rsidR="00864C03">
        <w:t>and the pooled analyses (</w:t>
      </w:r>
      <w:r w:rsidR="004E5B1B">
        <w:fldChar w:fldCharType="begin"/>
      </w:r>
      <w:r w:rsidR="004E5B1B">
        <w:instrText xml:space="preserve"> REF _Ref15026953 \h </w:instrText>
      </w:r>
      <w:r w:rsidR="004E5B1B">
        <w:fldChar w:fldCharType="separate"/>
      </w:r>
      <w:r w:rsidR="004E5B1B">
        <w:t xml:space="preserve">Table </w:t>
      </w:r>
      <w:r w:rsidR="004E5B1B">
        <w:rPr>
          <w:noProof/>
        </w:rPr>
        <w:t>13</w:t>
      </w:r>
      <w:r w:rsidR="004E5B1B">
        <w:fldChar w:fldCharType="end"/>
      </w:r>
      <w:r>
        <w:t>).</w:t>
      </w:r>
    </w:p>
    <w:p w14:paraId="5CFB3545" w14:textId="7FA4742C" w:rsidR="00710870" w:rsidRPr="0074728C" w:rsidRDefault="004E5B1B" w:rsidP="004E5B1B">
      <w:pPr>
        <w:pStyle w:val="TableTitle"/>
      </w:pPr>
      <w:bookmarkStart w:id="196" w:name="_Ref15026953"/>
      <w:r>
        <w:lastRenderedPageBreak/>
        <w:t xml:space="preserve">Table </w:t>
      </w:r>
      <w:r w:rsidR="009870DC">
        <w:fldChar w:fldCharType="begin"/>
      </w:r>
      <w:r w:rsidR="009870DC">
        <w:instrText xml:space="preserve"> SEQ Table \* ARABIC </w:instrText>
      </w:r>
      <w:r w:rsidR="009870DC">
        <w:fldChar w:fldCharType="separate"/>
      </w:r>
      <w:r>
        <w:rPr>
          <w:noProof/>
        </w:rPr>
        <w:t>13</w:t>
      </w:r>
      <w:r w:rsidR="009870DC">
        <w:rPr>
          <w:noProof/>
        </w:rPr>
        <w:fldChar w:fldCharType="end"/>
      </w:r>
      <w:bookmarkEnd w:id="196"/>
      <w:r w:rsidR="00710870" w:rsidRPr="0074728C">
        <w:t xml:space="preserve">: </w:t>
      </w:r>
      <w:r w:rsidR="00710870">
        <w:t xml:space="preserve">Remission and mucosal healing at Week 8 in induction </w:t>
      </w:r>
      <w:r w:rsidR="00074E27">
        <w:t xml:space="preserve">Studies </w:t>
      </w:r>
      <w:r w:rsidR="00710870">
        <w:t xml:space="preserve">A3921094 and A3921095 and pooled results by </w:t>
      </w:r>
      <w:r w:rsidR="00074E27">
        <w:t>b</w:t>
      </w:r>
      <w:r w:rsidR="00CF6A6C">
        <w:t>aseline</w:t>
      </w:r>
      <w:r w:rsidR="00710870">
        <w:t xml:space="preserve"> extent of disease, treatment difference from placebo and number needed to treat (</w:t>
      </w:r>
      <w:r w:rsidR="00C41CF7">
        <w:t>full analysis set</w:t>
      </w:r>
      <w:r w:rsidR="00710870">
        <w:t xml:space="preserve">, </w:t>
      </w:r>
      <w:r w:rsidR="00C41CF7">
        <w:rPr>
          <w:lang w:eastAsia="ja-JP"/>
        </w:rPr>
        <w:t>non-responder imputation</w:t>
      </w:r>
      <w:r w:rsidR="00C41CF7">
        <w:t>, central r</w:t>
      </w:r>
      <w:r w:rsidR="00710870">
        <w:t>ead)</w:t>
      </w:r>
    </w:p>
    <w:p w14:paraId="2C377E45" w14:textId="77777777" w:rsidR="00710870" w:rsidRDefault="00710870" w:rsidP="00507AD6">
      <w:pPr>
        <w:rPr>
          <w:u w:val="single"/>
        </w:rPr>
      </w:pPr>
      <w:r w:rsidRPr="0074728C">
        <w:rPr>
          <w:noProof/>
          <w:lang w:eastAsia="en-AU"/>
        </w:rPr>
        <w:drawing>
          <wp:inline distT="0" distB="0" distL="0" distR="0" wp14:anchorId="7E604357" wp14:editId="4E046946">
            <wp:extent cx="3328416" cy="3416198"/>
            <wp:effectExtent l="0" t="0" r="5715" b="0"/>
            <wp:docPr id="19" name="Picture 19" descr="Remission and mucosal healing at Week 8 in induction studies A3921094 and A3921095 and pooled results by baseline extent of disease, treatment difference from placebo and number needed to treat (full analysis set, non-responder imputation, central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9046" cy="3416844"/>
                    </a:xfrm>
                    <a:prstGeom prst="rect">
                      <a:avLst/>
                    </a:prstGeom>
                    <a:noFill/>
                    <a:ln>
                      <a:noFill/>
                    </a:ln>
                  </pic:spPr>
                </pic:pic>
              </a:graphicData>
            </a:graphic>
          </wp:inline>
        </w:drawing>
      </w:r>
    </w:p>
    <w:p w14:paraId="67F3ED9D" w14:textId="2F3FA3A6" w:rsidR="00710870" w:rsidRDefault="00710870" w:rsidP="00507AD6">
      <w:r>
        <w:t>Therefore, the evidence provided in this application does not support the use of oral</w:t>
      </w:r>
      <w:r w:rsidR="00223C03">
        <w:t>,</w:t>
      </w:r>
      <w:r>
        <w:t xml:space="preserve"> </w:t>
      </w:r>
      <w:r w:rsidR="00223C03">
        <w:t>that is</w:t>
      </w:r>
      <w:r>
        <w:t xml:space="preserve"> systemic</w:t>
      </w:r>
      <w:r w:rsidR="00223C03">
        <w:t>,</w:t>
      </w:r>
      <w:r>
        <w:t xml:space="preserve"> treatment with </w:t>
      </w:r>
      <w:proofErr w:type="spellStart"/>
      <w:r>
        <w:t>tofacitinib</w:t>
      </w:r>
      <w:proofErr w:type="spellEnd"/>
      <w:r>
        <w:t xml:space="preserve"> 10 mg BID to treat patients who present with signs and symptoms consistent with predominantly proctosigmoiditis. This is consistent wi</w:t>
      </w:r>
      <w:r w:rsidR="00C41CF7">
        <w:t xml:space="preserve">th the </w:t>
      </w:r>
      <w:r w:rsidR="00074E27">
        <w:t>Adopted Guideline;</w:t>
      </w:r>
      <w:r w:rsidR="00074E27">
        <w:fldChar w:fldCharType="begin"/>
      </w:r>
      <w:r w:rsidR="00074E27">
        <w:instrText xml:space="preserve"> NOTEREF _Ref13729303 \f \h </w:instrText>
      </w:r>
      <w:r w:rsidR="00074E27">
        <w:fldChar w:fldCharType="separate"/>
      </w:r>
      <w:r w:rsidR="00074E27" w:rsidRPr="00C41CF7">
        <w:rPr>
          <w:rStyle w:val="FootnoteReference"/>
        </w:rPr>
        <w:t>2</w:t>
      </w:r>
      <w:r w:rsidR="00074E27">
        <w:fldChar w:fldCharType="end"/>
      </w:r>
      <w:r>
        <w:t xml:space="preserve"> which states:</w:t>
      </w:r>
    </w:p>
    <w:p w14:paraId="13EF83FE" w14:textId="77777777" w:rsidR="00710870" w:rsidRPr="00C41CF7" w:rsidRDefault="00C41CF7" w:rsidP="00C41CF7">
      <w:pPr>
        <w:ind w:left="720"/>
        <w:rPr>
          <w:rFonts w:asciiTheme="minorHAnsi" w:eastAsiaTheme="minorHAnsi" w:hAnsiTheme="minorHAnsi" w:cs="TimesNewRoman"/>
        </w:rPr>
      </w:pPr>
      <w:r>
        <w:rPr>
          <w:rFonts w:asciiTheme="minorHAnsi" w:eastAsiaTheme="minorHAnsi" w:hAnsiTheme="minorHAnsi" w:cs="TimesNewRoman"/>
        </w:rPr>
        <w:t>‘</w:t>
      </w:r>
      <w:r w:rsidR="00710870" w:rsidRPr="00C41CF7">
        <w:rPr>
          <w:rFonts w:asciiTheme="minorHAnsi" w:eastAsiaTheme="minorHAnsi" w:hAnsiTheme="minorHAnsi" w:cs="TimesNewRoman"/>
        </w:rPr>
        <w:t>The extent and severity of the disease will also influence the choice of mode of administration to be used</w:t>
      </w:r>
      <w:r>
        <w:rPr>
          <w:rFonts w:asciiTheme="minorHAnsi" w:eastAsiaTheme="minorHAnsi" w:hAnsiTheme="minorHAnsi" w:cs="TimesNewRoman"/>
        </w:rPr>
        <w:t xml:space="preserve"> for example,</w:t>
      </w:r>
      <w:r w:rsidR="00710870" w:rsidRPr="00C41CF7">
        <w:rPr>
          <w:rFonts w:asciiTheme="minorHAnsi" w:eastAsiaTheme="minorHAnsi" w:hAnsiTheme="minorHAnsi" w:cs="TimesNewRoman"/>
        </w:rPr>
        <w:t xml:space="preserve"> rectal in </w:t>
      </w:r>
      <w:proofErr w:type="spellStart"/>
      <w:r w:rsidR="00710870" w:rsidRPr="00C41CF7">
        <w:rPr>
          <w:rFonts w:asciiTheme="minorHAnsi" w:eastAsiaTheme="minorHAnsi" w:hAnsiTheme="minorHAnsi" w:cs="TimesNewRoman"/>
        </w:rPr>
        <w:t>proctitis</w:t>
      </w:r>
      <w:proofErr w:type="spellEnd"/>
      <w:r w:rsidR="00710870" w:rsidRPr="00C41CF7">
        <w:rPr>
          <w:rFonts w:asciiTheme="minorHAnsi" w:eastAsiaTheme="minorHAnsi" w:hAnsiTheme="minorHAnsi" w:cs="TimesNewRoman"/>
        </w:rPr>
        <w:t xml:space="preserve">, oral for extensive UC and </w:t>
      </w:r>
      <w:r w:rsidR="00507AD6" w:rsidRPr="00C41CF7">
        <w:rPr>
          <w:rFonts w:asciiTheme="minorHAnsi" w:eastAsiaTheme="minorHAnsi" w:hAnsiTheme="minorHAnsi" w:cs="TimesNewRoman"/>
        </w:rPr>
        <w:t>IV for acute severe colitis</w:t>
      </w:r>
      <w:r>
        <w:rPr>
          <w:rFonts w:asciiTheme="minorHAnsi" w:eastAsiaTheme="minorHAnsi" w:hAnsiTheme="minorHAnsi" w:cs="TimesNewRoman"/>
        </w:rPr>
        <w:t>’</w:t>
      </w:r>
      <w:r w:rsidR="00507AD6" w:rsidRPr="00C41CF7">
        <w:rPr>
          <w:rFonts w:asciiTheme="minorHAnsi" w:eastAsiaTheme="minorHAnsi" w:hAnsiTheme="minorHAnsi" w:cs="TimesNewRoman"/>
        </w:rPr>
        <w:t>.</w:t>
      </w:r>
    </w:p>
    <w:p w14:paraId="66A76696" w14:textId="77777777" w:rsidR="005F7896" w:rsidRDefault="00710870" w:rsidP="00507AD6">
      <w:r>
        <w:t>Hence, patients with predominantly proctosigmoiditis are most likely to benefit from topical treatment, such as rectal enemas, unless local treatment forms have failed previously. The latter was not specifically stated in the inclusion or exclusion criteria for either induction study</w:t>
      </w:r>
      <w:r w:rsidR="005F7896">
        <w:t>.</w:t>
      </w:r>
    </w:p>
    <w:p w14:paraId="3F1774FD" w14:textId="77777777" w:rsidR="00710870" w:rsidRDefault="00710870" w:rsidP="00507AD6">
      <w:r>
        <w:t xml:space="preserve">Since the </w:t>
      </w:r>
      <w:r w:rsidR="003771B1">
        <w:t>sponsor</w:t>
      </w:r>
      <w:r>
        <w:t xml:space="preserve"> did not provide detailed explanation and analysis why its recruited subjects with predominantly proctosigmoiditis (and left-sided colitis too) were preferentially treated systemically rather than locally, no further conclusions can be made at this time. However, if subjects recruited into either induction study had actually been responsive to prior local treatments this could, in part, explain the relative lack of treatment effect in subjects with proctosigmoiditis, and left-sided colitis to a lesser extent. The overall effect of recruiting ‘locally responsive subjects’ with proctosigmoiditis and left-sided colitis, in the induction studies, would be to reduce the treatment effect of </w:t>
      </w:r>
      <w:proofErr w:type="spellStart"/>
      <w:r>
        <w:t>tofacitinib</w:t>
      </w:r>
      <w:proofErr w:type="spellEnd"/>
      <w:r>
        <w:t xml:space="preserve"> in those mostly likely to benefit </w:t>
      </w:r>
      <w:r w:rsidR="00F14B34">
        <w:t>that is,</w:t>
      </w:r>
      <w:r>
        <w:t xml:space="preserve"> those with most extensive disease.</w:t>
      </w:r>
    </w:p>
    <w:p w14:paraId="01EFE85A" w14:textId="77777777" w:rsidR="00710870" w:rsidRDefault="00710870" w:rsidP="00507AD6">
      <w:r w:rsidRPr="00446944">
        <w:t xml:space="preserve">For subjects </w:t>
      </w:r>
      <w:r>
        <w:t xml:space="preserve">with left-sided colitis, in Study A3921094, subjects who received </w:t>
      </w:r>
      <w:proofErr w:type="spellStart"/>
      <w:r>
        <w:t>tofacitinib</w:t>
      </w:r>
      <w:proofErr w:type="spellEnd"/>
      <w:r>
        <w:t xml:space="preserve"> 10 mg BID treatment for 8 weeks did not demonstrate statistical separation from placebo for both remission and mucosal healing. However, the c</w:t>
      </w:r>
      <w:r w:rsidR="00C41CF7">
        <w:t>orresponding results from Study </w:t>
      </w:r>
      <w:r>
        <w:t>A3921095, and the pooled analyses, lend support to a clinically meaningful effect for both endpoints.</w:t>
      </w:r>
    </w:p>
    <w:p w14:paraId="6BB18163" w14:textId="4FA962C7" w:rsidR="005F7896" w:rsidRDefault="00710870" w:rsidP="00507AD6">
      <w:r>
        <w:rPr>
          <w:lang w:eastAsia="ja-JP"/>
        </w:rPr>
        <w:lastRenderedPageBreak/>
        <w:t xml:space="preserve">The results for remission and mucosal healing were generally consistent for those subjects </w:t>
      </w:r>
      <w:r w:rsidRPr="009870F9">
        <w:rPr>
          <w:lang w:eastAsia="ja-JP"/>
        </w:rPr>
        <w:t xml:space="preserve">with </w:t>
      </w:r>
      <w:r w:rsidR="00074E27">
        <w:t>b</w:t>
      </w:r>
      <w:r w:rsidR="00CF6A6C">
        <w:t>aseline</w:t>
      </w:r>
      <w:r w:rsidRPr="009870F9">
        <w:t xml:space="preserve"> extensive colitis/</w:t>
      </w:r>
      <w:proofErr w:type="spellStart"/>
      <w:r w:rsidRPr="009870F9">
        <w:t>pancolitis</w:t>
      </w:r>
      <w:proofErr w:type="spellEnd"/>
      <w:r>
        <w:t xml:space="preserve">. This group of subjects are most likely to benefit from 8 weeks </w:t>
      </w:r>
      <w:proofErr w:type="spellStart"/>
      <w:r>
        <w:t>tofacitinib</w:t>
      </w:r>
      <w:proofErr w:type="spellEnd"/>
      <w:r>
        <w:t xml:space="preserve"> 10 mg BID induction treatment</w:t>
      </w:r>
      <w:r w:rsidR="005F7896">
        <w:t>.</w:t>
      </w:r>
    </w:p>
    <w:p w14:paraId="13BD91C1" w14:textId="572C3D0A" w:rsidR="00710870" w:rsidRDefault="00710870" w:rsidP="00507AD6">
      <w:pPr>
        <w:pStyle w:val="Heading7"/>
      </w:pPr>
      <w:r>
        <w:t xml:space="preserve">Severity of </w:t>
      </w:r>
      <w:r w:rsidR="009870DC">
        <w:t>d</w:t>
      </w:r>
      <w:r>
        <w:t>isease</w:t>
      </w:r>
    </w:p>
    <w:p w14:paraId="6A8D5AF9" w14:textId="39EB91EE" w:rsidR="005F7896" w:rsidRDefault="00710870" w:rsidP="00507AD6">
      <w:pPr>
        <w:rPr>
          <w:lang w:eastAsia="ja-JP"/>
        </w:rPr>
      </w:pPr>
      <w:r>
        <w:rPr>
          <w:lang w:eastAsia="ja-JP"/>
        </w:rPr>
        <w:t xml:space="preserve">There appears to be no universally adopted or validated diagnostic tool or approach in the classification of UC disease severity or what range of total Mayo scores correspond to a particular disease category. The </w:t>
      </w:r>
      <w:r w:rsidR="003771B1">
        <w:rPr>
          <w:lang w:eastAsia="ja-JP"/>
        </w:rPr>
        <w:t>sponsor</w:t>
      </w:r>
      <w:r>
        <w:rPr>
          <w:lang w:eastAsia="ja-JP"/>
        </w:rPr>
        <w:t xml:space="preserve"> chose three sub-categories to represent moderate to severe UC disease, which is generally accepted</w:t>
      </w:r>
      <w:r w:rsidR="00C41CF7">
        <w:rPr>
          <w:lang w:eastAsia="ja-JP"/>
        </w:rPr>
        <w:t xml:space="preserve"> as </w:t>
      </w:r>
      <w:r w:rsidR="00074E27">
        <w:rPr>
          <w:lang w:eastAsia="ja-JP"/>
        </w:rPr>
        <w:t>b</w:t>
      </w:r>
      <w:r w:rsidR="00CF6A6C">
        <w:rPr>
          <w:lang w:eastAsia="ja-JP"/>
        </w:rPr>
        <w:t>aseline</w:t>
      </w:r>
      <w:r w:rsidR="00C41CF7">
        <w:rPr>
          <w:lang w:eastAsia="ja-JP"/>
        </w:rPr>
        <w:t xml:space="preserve"> total Mayo score 6 to </w:t>
      </w:r>
      <w:r>
        <w:rPr>
          <w:lang w:eastAsia="ja-JP"/>
        </w:rPr>
        <w:t xml:space="preserve">12 (with 12 as the maximum value possible </w:t>
      </w:r>
      <w:r w:rsidR="00F14B34">
        <w:rPr>
          <w:lang w:eastAsia="ja-JP"/>
        </w:rPr>
        <w:t>that is,</w:t>
      </w:r>
      <w:r>
        <w:rPr>
          <w:lang w:eastAsia="ja-JP"/>
        </w:rPr>
        <w:t xml:space="preserve"> the most severe form of UC disease). The sub-categories used by the </w:t>
      </w:r>
      <w:r w:rsidR="003771B1">
        <w:rPr>
          <w:lang w:eastAsia="ja-JP"/>
        </w:rPr>
        <w:t>sponsor</w:t>
      </w:r>
      <w:r w:rsidR="00C41CF7">
        <w:rPr>
          <w:lang w:eastAsia="ja-JP"/>
        </w:rPr>
        <w:t xml:space="preserve"> were &lt; 8, 8 to </w:t>
      </w:r>
      <w:r>
        <w:rPr>
          <w:lang w:eastAsia="ja-JP"/>
        </w:rPr>
        <w:t>10 and &gt; 10, but did not provide a non-numerical definition for what each sub-category represented. For the purpose of this evaluation, the evaluator has considered a value &lt; 8 as moderate UC disease, a value between 8 to 10 as severe UC disease and a value &gt; 10 as extremely severe UC disease. These descriptors are meant only to delineate between severity groups for ease of comparison for the data provided in this application</w:t>
      </w:r>
      <w:r w:rsidR="005F7896">
        <w:rPr>
          <w:lang w:eastAsia="ja-JP"/>
        </w:rPr>
        <w:t>.</w:t>
      </w:r>
    </w:p>
    <w:p w14:paraId="4BE7F5B2" w14:textId="2ED958D0" w:rsidR="005F7896" w:rsidRDefault="00710870" w:rsidP="00507AD6">
      <w:pPr>
        <w:rPr>
          <w:lang w:eastAsia="ja-JP"/>
        </w:rPr>
      </w:pPr>
      <w:r>
        <w:rPr>
          <w:lang w:eastAsia="ja-JP"/>
        </w:rPr>
        <w:t>There was an apparent inverse relationship between treatment effect with increasing disease severity, in both remission and mucosal healing, across the induction studies, and pooled analyses (</w:t>
      </w:r>
      <w:r w:rsidR="004E5B1B">
        <w:rPr>
          <w:lang w:eastAsia="ja-JP"/>
        </w:rPr>
        <w:fldChar w:fldCharType="begin"/>
      </w:r>
      <w:r w:rsidR="004E5B1B">
        <w:rPr>
          <w:lang w:eastAsia="ja-JP"/>
        </w:rPr>
        <w:instrText xml:space="preserve"> REF _Ref15026985 \h </w:instrText>
      </w:r>
      <w:r w:rsidR="004E5B1B">
        <w:rPr>
          <w:lang w:eastAsia="ja-JP"/>
        </w:rPr>
      </w:r>
      <w:r w:rsidR="004E5B1B">
        <w:rPr>
          <w:lang w:eastAsia="ja-JP"/>
        </w:rPr>
        <w:fldChar w:fldCharType="separate"/>
      </w:r>
      <w:r w:rsidR="004E5B1B">
        <w:t xml:space="preserve">Table </w:t>
      </w:r>
      <w:r w:rsidR="004E5B1B">
        <w:rPr>
          <w:noProof/>
        </w:rPr>
        <w:t>14</w:t>
      </w:r>
      <w:r w:rsidR="004E5B1B">
        <w:rPr>
          <w:lang w:eastAsia="ja-JP"/>
        </w:rPr>
        <w:fldChar w:fldCharType="end"/>
      </w:r>
      <w:r>
        <w:rPr>
          <w:lang w:eastAsia="ja-JP"/>
        </w:rPr>
        <w:t>).</w:t>
      </w:r>
      <w:r w:rsidR="005F7896">
        <w:rPr>
          <w:lang w:eastAsia="ja-JP"/>
        </w:rPr>
        <w:t xml:space="preserve"> </w:t>
      </w:r>
      <w:r>
        <w:rPr>
          <w:lang w:eastAsia="ja-JP"/>
        </w:rPr>
        <w:t xml:space="preserve">Hence, those subjects who most benefited from 8 weeks of </w:t>
      </w:r>
      <w:proofErr w:type="spellStart"/>
      <w:r>
        <w:rPr>
          <w:lang w:eastAsia="ja-JP"/>
        </w:rPr>
        <w:t>tofacitinib</w:t>
      </w:r>
      <w:proofErr w:type="spellEnd"/>
      <w:r>
        <w:rPr>
          <w:lang w:eastAsia="ja-JP"/>
        </w:rPr>
        <w:t xml:space="preserve"> 10 mg BID treatment were subjects with more ‘moderate’ disease (</w:t>
      </w:r>
      <w:r w:rsidR="00F14B34">
        <w:rPr>
          <w:lang w:eastAsia="ja-JP"/>
        </w:rPr>
        <w:t>that is,</w:t>
      </w:r>
      <w:r>
        <w:rPr>
          <w:lang w:eastAsia="ja-JP"/>
        </w:rPr>
        <w:t xml:space="preserve"> </w:t>
      </w:r>
      <w:r w:rsidR="00074E27">
        <w:rPr>
          <w:lang w:eastAsia="ja-JP"/>
        </w:rPr>
        <w:t>b</w:t>
      </w:r>
      <w:r w:rsidR="00CF6A6C">
        <w:rPr>
          <w:lang w:eastAsia="ja-JP"/>
        </w:rPr>
        <w:t>aseline</w:t>
      </w:r>
      <w:r>
        <w:rPr>
          <w:lang w:eastAsia="ja-JP"/>
        </w:rPr>
        <w:t xml:space="preserve"> total Mayo score &lt; 8)</w:t>
      </w:r>
      <w:r w:rsidR="005F7896">
        <w:rPr>
          <w:lang w:eastAsia="ja-JP"/>
        </w:rPr>
        <w:t>.</w:t>
      </w:r>
    </w:p>
    <w:p w14:paraId="1CC99571" w14:textId="4F467BE3" w:rsidR="00710870" w:rsidRDefault="00710870" w:rsidP="00507AD6">
      <w:pPr>
        <w:rPr>
          <w:lang w:eastAsia="ja-JP"/>
        </w:rPr>
      </w:pPr>
      <w:r>
        <w:rPr>
          <w:lang w:eastAsia="ja-JP"/>
        </w:rPr>
        <w:t xml:space="preserve">The benefit of </w:t>
      </w:r>
      <w:proofErr w:type="spellStart"/>
      <w:r>
        <w:rPr>
          <w:lang w:eastAsia="ja-JP"/>
        </w:rPr>
        <w:t>tofacitinib</w:t>
      </w:r>
      <w:proofErr w:type="spellEnd"/>
      <w:r>
        <w:rPr>
          <w:lang w:eastAsia="ja-JP"/>
        </w:rPr>
        <w:t xml:space="preserve"> 10 mg BID treatment for subjects with ‘severe’ UC disease (</w:t>
      </w:r>
      <w:r w:rsidR="00074E27">
        <w:rPr>
          <w:lang w:eastAsia="ja-JP"/>
        </w:rPr>
        <w:t>b</w:t>
      </w:r>
      <w:r w:rsidR="00CF6A6C">
        <w:rPr>
          <w:lang w:eastAsia="ja-JP"/>
        </w:rPr>
        <w:t>aseline</w:t>
      </w:r>
      <w:r w:rsidR="00C41CF7">
        <w:rPr>
          <w:lang w:eastAsia="ja-JP"/>
        </w:rPr>
        <w:t xml:space="preserve"> total Mayo score 8 to </w:t>
      </w:r>
      <w:r>
        <w:rPr>
          <w:lang w:eastAsia="ja-JP"/>
        </w:rPr>
        <w:t>10) is less clear, with no statistical separation or clinically meaningful results observed in Study A3921094. While the corresponding results from Study A3921095, and the pooled analysis, demonstrated statistical separation versus placebo treatment for subjects w</w:t>
      </w:r>
      <w:r w:rsidR="00C41CF7">
        <w:rPr>
          <w:lang w:eastAsia="ja-JP"/>
        </w:rPr>
        <w:t xml:space="preserve">ith </w:t>
      </w:r>
      <w:r w:rsidR="00074E27">
        <w:rPr>
          <w:lang w:eastAsia="ja-JP"/>
        </w:rPr>
        <w:t>b</w:t>
      </w:r>
      <w:r w:rsidR="00CF6A6C">
        <w:rPr>
          <w:lang w:eastAsia="ja-JP"/>
        </w:rPr>
        <w:t>aseline</w:t>
      </w:r>
      <w:r w:rsidR="00C41CF7">
        <w:rPr>
          <w:lang w:eastAsia="ja-JP"/>
        </w:rPr>
        <w:t xml:space="preserve"> total Mayo score 8 to </w:t>
      </w:r>
      <w:r>
        <w:rPr>
          <w:lang w:eastAsia="ja-JP"/>
        </w:rPr>
        <w:t xml:space="preserve">10, the clinical meaningfulness of having to treat 11 subjects for 8 weeks with </w:t>
      </w:r>
      <w:proofErr w:type="spellStart"/>
      <w:r>
        <w:rPr>
          <w:lang w:eastAsia="ja-JP"/>
        </w:rPr>
        <w:t>tofacitinib</w:t>
      </w:r>
      <w:proofErr w:type="spellEnd"/>
      <w:r>
        <w:rPr>
          <w:lang w:eastAsia="ja-JP"/>
        </w:rPr>
        <w:t xml:space="preserve"> 10 mg BID treatment to achieve one case of remission in this sub-population is limited.</w:t>
      </w:r>
    </w:p>
    <w:p w14:paraId="7C76D97A" w14:textId="4DDBFFD9" w:rsidR="00710870" w:rsidRDefault="00710870" w:rsidP="00507AD6">
      <w:pPr>
        <w:rPr>
          <w:lang w:eastAsia="ja-JP"/>
        </w:rPr>
      </w:pPr>
      <w:r>
        <w:rPr>
          <w:lang w:eastAsia="ja-JP"/>
        </w:rPr>
        <w:t>For those subjects with ‘extremely severe’ UC disease (</w:t>
      </w:r>
      <w:r w:rsidR="00F14B34">
        <w:rPr>
          <w:lang w:eastAsia="ja-JP"/>
        </w:rPr>
        <w:t>that is,</w:t>
      </w:r>
      <w:r>
        <w:rPr>
          <w:lang w:eastAsia="ja-JP"/>
        </w:rPr>
        <w:t xml:space="preserve"> </w:t>
      </w:r>
      <w:r w:rsidR="00074E27">
        <w:rPr>
          <w:lang w:eastAsia="ja-JP"/>
        </w:rPr>
        <w:t>b</w:t>
      </w:r>
      <w:r w:rsidR="00CF6A6C">
        <w:rPr>
          <w:lang w:eastAsia="ja-JP"/>
        </w:rPr>
        <w:t>aseline</w:t>
      </w:r>
      <w:r>
        <w:rPr>
          <w:lang w:eastAsia="ja-JP"/>
        </w:rPr>
        <w:t xml:space="preserve"> total Mayo score &gt;</w:t>
      </w:r>
      <w:r w:rsidR="00C41CF7">
        <w:rPr>
          <w:lang w:eastAsia="ja-JP"/>
        </w:rPr>
        <w:t> </w:t>
      </w:r>
      <w:r>
        <w:rPr>
          <w:lang w:eastAsia="ja-JP"/>
        </w:rPr>
        <w:t xml:space="preserve">10), while the remission results demonstrated statistical separation between subjects who received </w:t>
      </w:r>
      <w:proofErr w:type="spellStart"/>
      <w:r>
        <w:rPr>
          <w:lang w:eastAsia="ja-JP"/>
        </w:rPr>
        <w:t>tofacitinib</w:t>
      </w:r>
      <w:proofErr w:type="spellEnd"/>
      <w:r>
        <w:rPr>
          <w:lang w:eastAsia="ja-JP"/>
        </w:rPr>
        <w:t xml:space="preserve"> 10 mg BID treatment versus those who received placebo treatment, the clinical meaningfulness of having to treat 13 subjects for 8 weeks with </w:t>
      </w:r>
      <w:proofErr w:type="spellStart"/>
      <w:r>
        <w:rPr>
          <w:lang w:eastAsia="ja-JP"/>
        </w:rPr>
        <w:t>tofacitinib</w:t>
      </w:r>
      <w:proofErr w:type="spellEnd"/>
      <w:r>
        <w:rPr>
          <w:lang w:eastAsia="ja-JP"/>
        </w:rPr>
        <w:t xml:space="preserve"> 10 mg BID treatment to achieve one case of remission in this sub-population is very limited. Furthermore, the total number of subjects from the pooled analysis with </w:t>
      </w:r>
      <w:r w:rsidR="00074E27">
        <w:rPr>
          <w:lang w:eastAsia="ja-JP"/>
        </w:rPr>
        <w:t>b</w:t>
      </w:r>
      <w:r w:rsidR="00CF6A6C">
        <w:rPr>
          <w:lang w:eastAsia="ja-JP"/>
        </w:rPr>
        <w:t>aseline</w:t>
      </w:r>
      <w:r>
        <w:rPr>
          <w:lang w:eastAsia="ja-JP"/>
        </w:rPr>
        <w:t xml:space="preserve"> ‘extremely severe’ UC that demonstrated remission at Week 8 was just 11 subjects.</w:t>
      </w:r>
      <w:r w:rsidRPr="00A40738">
        <w:rPr>
          <w:lang w:eastAsia="ja-JP"/>
        </w:rPr>
        <w:t xml:space="preserve"> </w:t>
      </w:r>
      <w:r>
        <w:rPr>
          <w:lang w:eastAsia="ja-JP"/>
        </w:rPr>
        <w:t xml:space="preserve">In addition, given </w:t>
      </w:r>
      <w:proofErr w:type="spellStart"/>
      <w:r>
        <w:rPr>
          <w:lang w:eastAsia="ja-JP"/>
        </w:rPr>
        <w:t>tofacitinib</w:t>
      </w:r>
      <w:proofErr w:type="spellEnd"/>
      <w:r>
        <w:rPr>
          <w:lang w:eastAsia="ja-JP"/>
        </w:rPr>
        <w:t xml:space="preserve"> 10 mg BID treatment did not demonstrate either statistical separation from placebo treatment or a clinically meaningful benefit in the ‘extremely severe’ UC population for mucosal healing, the risk-benefit balance for this group of patients becomes negative.</w:t>
      </w:r>
    </w:p>
    <w:p w14:paraId="76821DD2" w14:textId="736454C8" w:rsidR="00710870" w:rsidRPr="0074728C" w:rsidRDefault="004E5B1B" w:rsidP="004E5B1B">
      <w:pPr>
        <w:pStyle w:val="TableTitle"/>
      </w:pPr>
      <w:bookmarkStart w:id="197" w:name="_Ref15026985"/>
      <w:r>
        <w:lastRenderedPageBreak/>
        <w:t xml:space="preserve">Table </w:t>
      </w:r>
      <w:r w:rsidR="009870DC">
        <w:fldChar w:fldCharType="begin"/>
      </w:r>
      <w:r w:rsidR="009870DC">
        <w:instrText xml:space="preserve"> SEQ Table \* ARABIC </w:instrText>
      </w:r>
      <w:r w:rsidR="009870DC">
        <w:fldChar w:fldCharType="separate"/>
      </w:r>
      <w:r>
        <w:rPr>
          <w:noProof/>
        </w:rPr>
        <w:t>14</w:t>
      </w:r>
      <w:r w:rsidR="009870DC">
        <w:rPr>
          <w:noProof/>
        </w:rPr>
        <w:fldChar w:fldCharType="end"/>
      </w:r>
      <w:bookmarkEnd w:id="197"/>
      <w:r w:rsidR="00710870" w:rsidRPr="0074728C">
        <w:t xml:space="preserve">: </w:t>
      </w:r>
      <w:r w:rsidR="00710870">
        <w:t xml:space="preserve">Remission and mucosal healing at Week 8 in induction </w:t>
      </w:r>
      <w:r w:rsidR="00074E27">
        <w:t xml:space="preserve">Studies </w:t>
      </w:r>
      <w:r w:rsidR="00710870">
        <w:t xml:space="preserve">A3921094 and A3921095 and pooled results by </w:t>
      </w:r>
      <w:r w:rsidR="00074E27">
        <w:t>b</w:t>
      </w:r>
      <w:r w:rsidR="00CF6A6C">
        <w:t>aseline</w:t>
      </w:r>
      <w:r w:rsidR="00710870">
        <w:t xml:space="preserve"> severity of disease, treatment difference from placebo and number needed to treat (</w:t>
      </w:r>
      <w:r w:rsidR="00C41CF7">
        <w:t>full analysis set</w:t>
      </w:r>
      <w:r w:rsidR="00710870">
        <w:t xml:space="preserve">, </w:t>
      </w:r>
      <w:r w:rsidR="00C41CF7">
        <w:rPr>
          <w:lang w:eastAsia="ja-JP"/>
        </w:rPr>
        <w:t>non-responder imputation</w:t>
      </w:r>
      <w:r w:rsidR="00C41CF7">
        <w:t>, central r</w:t>
      </w:r>
      <w:r w:rsidR="00710870">
        <w:t>ead)</w:t>
      </w:r>
    </w:p>
    <w:p w14:paraId="78BEEEE8" w14:textId="77777777" w:rsidR="00710870" w:rsidRDefault="00710870" w:rsidP="00710870">
      <w:pPr>
        <w:rPr>
          <w:lang w:eastAsia="ja-JP"/>
        </w:rPr>
      </w:pPr>
      <w:r w:rsidRPr="00F824DA">
        <w:rPr>
          <w:noProof/>
          <w:lang w:eastAsia="en-AU"/>
        </w:rPr>
        <w:drawing>
          <wp:inline distT="0" distB="0" distL="0" distR="0" wp14:anchorId="1A478843" wp14:editId="4543200C">
            <wp:extent cx="3262579" cy="3712648"/>
            <wp:effectExtent l="0" t="0" r="0" b="2540"/>
            <wp:docPr id="3" name="Picture 3" descr="Remission and mucosal healing at Week 8 in induction studies A3921094 and A3921095 and pooled results by baseline severity of disease, treatment difference from placebo and number needed to treat (full analysis set, non-responder imputation, central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4426" cy="3714750"/>
                    </a:xfrm>
                    <a:prstGeom prst="rect">
                      <a:avLst/>
                    </a:prstGeom>
                    <a:noFill/>
                    <a:ln>
                      <a:noFill/>
                    </a:ln>
                  </pic:spPr>
                </pic:pic>
              </a:graphicData>
            </a:graphic>
          </wp:inline>
        </w:drawing>
      </w:r>
    </w:p>
    <w:p w14:paraId="4FE03098" w14:textId="77777777" w:rsidR="00710870" w:rsidRPr="0032034D" w:rsidRDefault="00507AD6" w:rsidP="008C0200">
      <w:pPr>
        <w:pStyle w:val="Heading6"/>
        <w:rPr>
          <w:lang w:eastAsia="ja-JP"/>
        </w:rPr>
      </w:pPr>
      <w:r>
        <w:rPr>
          <w:lang w:eastAsia="ja-JP"/>
        </w:rPr>
        <w:t>Summary of evaluation of re</w:t>
      </w:r>
      <w:r w:rsidR="00CA3661">
        <w:rPr>
          <w:lang w:eastAsia="ja-JP"/>
        </w:rPr>
        <w:t>s</w:t>
      </w:r>
      <w:r>
        <w:rPr>
          <w:lang w:eastAsia="ja-JP"/>
        </w:rPr>
        <w:t>ponse</w:t>
      </w:r>
    </w:p>
    <w:p w14:paraId="66B509DD" w14:textId="20991576" w:rsidR="005F7896" w:rsidRDefault="00710870" w:rsidP="00507AD6">
      <w:r>
        <w:rPr>
          <w:lang w:eastAsia="ja-JP"/>
        </w:rPr>
        <w:t xml:space="preserve">The results for remission and mucosal healing were generally consistent with those subjects </w:t>
      </w:r>
      <w:r w:rsidRPr="009870F9">
        <w:rPr>
          <w:lang w:eastAsia="ja-JP"/>
        </w:rPr>
        <w:t xml:space="preserve">with </w:t>
      </w:r>
      <w:r w:rsidR="00074E27">
        <w:t>b</w:t>
      </w:r>
      <w:r w:rsidR="00CF6A6C">
        <w:t>aseline</w:t>
      </w:r>
      <w:r w:rsidRPr="009870F9">
        <w:t xml:space="preserve"> </w:t>
      </w:r>
      <w:r>
        <w:t xml:space="preserve">total Mayo score &lt; 8 </w:t>
      </w:r>
      <w:r w:rsidR="00F14B34">
        <w:t>that is,</w:t>
      </w:r>
      <w:r>
        <w:t xml:space="preserve"> more moderate UC disease, most likely to benefit from 8 weeks </w:t>
      </w:r>
      <w:proofErr w:type="spellStart"/>
      <w:r>
        <w:t>tofacitinib</w:t>
      </w:r>
      <w:proofErr w:type="spellEnd"/>
      <w:r>
        <w:t xml:space="preserve"> 10 mg BID induction treatment</w:t>
      </w:r>
      <w:r w:rsidR="005F7896">
        <w:t>.</w:t>
      </w:r>
    </w:p>
    <w:p w14:paraId="4A484A89" w14:textId="08C66601" w:rsidR="005F7896" w:rsidRDefault="00710870" w:rsidP="00507AD6">
      <w:r>
        <w:t>The evidence provided in this application for treatment benefit in subjects with ‘severe’ UC disea</w:t>
      </w:r>
      <w:r w:rsidR="005858C8">
        <w:t>se (</w:t>
      </w:r>
      <w:r w:rsidR="00074E27">
        <w:t>b</w:t>
      </w:r>
      <w:r w:rsidR="00CF6A6C">
        <w:t>aseline</w:t>
      </w:r>
      <w:r w:rsidR="005858C8">
        <w:t xml:space="preserve"> total Mayo score 8 to </w:t>
      </w:r>
      <w:r>
        <w:t xml:space="preserve">10) is less convincing, with conflicting results for remission at Week 8 between the induction studies and a relatively high NNT (11) to achieve one case of clinical remission. Of concern is that this </w:t>
      </w:r>
      <w:r w:rsidR="00074E27">
        <w:t>b</w:t>
      </w:r>
      <w:r w:rsidR="00CF6A6C">
        <w:t>aseline</w:t>
      </w:r>
      <w:r>
        <w:t xml:space="preserve"> disease category group comprised almost 70% of the pooled study population of 905 subjects. Based on subject NNT analysis comparisons, approximately three times as many subjects w</w:t>
      </w:r>
      <w:r w:rsidR="005858C8">
        <w:t xml:space="preserve">ith </w:t>
      </w:r>
      <w:r w:rsidR="00074E27">
        <w:t>b</w:t>
      </w:r>
      <w:r w:rsidR="00CF6A6C">
        <w:t>aseline</w:t>
      </w:r>
      <w:r w:rsidR="005858C8">
        <w:t xml:space="preserve"> total Mayo score 8 to </w:t>
      </w:r>
      <w:r>
        <w:t xml:space="preserve">10 will be needed to be treated with </w:t>
      </w:r>
      <w:proofErr w:type="spellStart"/>
      <w:r>
        <w:t>tofacitinib</w:t>
      </w:r>
      <w:proofErr w:type="spellEnd"/>
      <w:r>
        <w:t xml:space="preserve"> 10 mg BID than subjects with </w:t>
      </w:r>
      <w:r w:rsidR="00074E27">
        <w:t>b</w:t>
      </w:r>
      <w:r w:rsidR="00CF6A6C">
        <w:t>aseline</w:t>
      </w:r>
      <w:r>
        <w:t xml:space="preserve"> total Mayo score &lt; 8, to achieve one case of remission </w:t>
      </w:r>
      <w:r w:rsidR="00F14B34">
        <w:t>that is,</w:t>
      </w:r>
      <w:r>
        <w:t xml:space="preserve"> pooled NNT 4 versus pooled NNT 11, respectively</w:t>
      </w:r>
      <w:r w:rsidR="005F7896">
        <w:t>.</w:t>
      </w:r>
    </w:p>
    <w:p w14:paraId="52604F26" w14:textId="3BE65FA3" w:rsidR="005F7896" w:rsidRDefault="00710870" w:rsidP="00507AD6">
      <w:pPr>
        <w:rPr>
          <w:lang w:eastAsia="ja-JP"/>
        </w:rPr>
      </w:pPr>
      <w:r>
        <w:rPr>
          <w:lang w:eastAsia="ja-JP"/>
        </w:rPr>
        <w:t xml:space="preserve">The results from the individual induction studies and the pooled analyses for both remission and mucosal healing do not provide compelling evidence to support </w:t>
      </w:r>
      <w:proofErr w:type="spellStart"/>
      <w:r>
        <w:rPr>
          <w:lang w:eastAsia="ja-JP"/>
        </w:rPr>
        <w:t>tofacitinib</w:t>
      </w:r>
      <w:proofErr w:type="spellEnd"/>
      <w:r>
        <w:rPr>
          <w:lang w:eastAsia="ja-JP"/>
        </w:rPr>
        <w:t xml:space="preserve"> 10 mg BID induction treatment for 8 weeks in those subjects with the most severe UC disease (</w:t>
      </w:r>
      <w:r w:rsidR="00F14B34">
        <w:rPr>
          <w:lang w:eastAsia="ja-JP"/>
        </w:rPr>
        <w:t>that is,</w:t>
      </w:r>
      <w:r>
        <w:rPr>
          <w:lang w:eastAsia="ja-JP"/>
        </w:rPr>
        <w:t xml:space="preserve"> </w:t>
      </w:r>
      <w:r w:rsidR="00074E27">
        <w:rPr>
          <w:lang w:eastAsia="ja-JP"/>
        </w:rPr>
        <w:t>b</w:t>
      </w:r>
      <w:r w:rsidR="00CF6A6C">
        <w:rPr>
          <w:lang w:eastAsia="ja-JP"/>
        </w:rPr>
        <w:t>aseline</w:t>
      </w:r>
      <w:r>
        <w:rPr>
          <w:lang w:eastAsia="ja-JP"/>
        </w:rPr>
        <w:t xml:space="preserve"> total Mayo score &gt; 10)</w:t>
      </w:r>
      <w:r w:rsidR="005F7896">
        <w:rPr>
          <w:lang w:eastAsia="ja-JP"/>
        </w:rPr>
        <w:t>.</w:t>
      </w:r>
    </w:p>
    <w:p w14:paraId="53C9356D" w14:textId="3CAD781D" w:rsidR="005F7896" w:rsidRDefault="00710870" w:rsidP="00507AD6">
      <w:pPr>
        <w:rPr>
          <w:lang w:eastAsia="ja-JP"/>
        </w:rPr>
      </w:pPr>
      <w:r>
        <w:rPr>
          <w:lang w:eastAsia="ja-JP"/>
        </w:rPr>
        <w:t>According to the Adopted Guideline</w:t>
      </w:r>
      <w:r w:rsidR="005F7896">
        <w:rPr>
          <w:lang w:eastAsia="ja-JP"/>
        </w:rPr>
        <w:t>:</w:t>
      </w:r>
    </w:p>
    <w:p w14:paraId="69138185" w14:textId="273473DF" w:rsidR="00710870" w:rsidRPr="005858C8" w:rsidRDefault="005858C8" w:rsidP="005858C8">
      <w:pPr>
        <w:ind w:left="720"/>
        <w:rPr>
          <w:lang w:eastAsia="ja-JP"/>
        </w:rPr>
      </w:pPr>
      <w:r>
        <w:rPr>
          <w:rFonts w:eastAsiaTheme="minorHAnsi" w:cs="TimesNewRoman"/>
        </w:rPr>
        <w:t>‘</w:t>
      </w:r>
      <w:r w:rsidR="00710870" w:rsidRPr="005858C8">
        <w:rPr>
          <w:rFonts w:eastAsiaTheme="minorHAnsi" w:cs="TimesNewRoman"/>
        </w:rPr>
        <w:t>Disease severity can be classified into 3 main categories, mild, moderate and severe UC. As disease severity is a very important factor in determining standard treatment inclusion of patients into Phase III trials should preferably be limited to only one of these categories. Alternatively 2 categories may be included (</w:t>
      </w:r>
      <w:r w:rsidR="00404101">
        <w:rPr>
          <w:rFonts w:eastAsiaTheme="minorHAnsi" w:cs="TimesNewRoman"/>
        </w:rPr>
        <w:t>for example</w:t>
      </w:r>
      <w:r w:rsidR="00710870" w:rsidRPr="005858C8">
        <w:rPr>
          <w:rFonts w:eastAsiaTheme="minorHAnsi" w:cs="TimesNewRoman"/>
        </w:rPr>
        <w:t>, mild to moderate) but in that case the study should allow for separate estimation of effect size in both groups.</w:t>
      </w:r>
      <w:r>
        <w:rPr>
          <w:rFonts w:eastAsiaTheme="minorHAnsi" w:cs="TimesNewRoman"/>
        </w:rPr>
        <w:t>’</w:t>
      </w:r>
      <w:r w:rsidR="00074E27">
        <w:rPr>
          <w:lang w:eastAsia="ja-JP"/>
        </w:rPr>
        <w:fldChar w:fldCharType="begin"/>
      </w:r>
      <w:r w:rsidR="00074E27">
        <w:rPr>
          <w:lang w:eastAsia="ja-JP"/>
        </w:rPr>
        <w:instrText xml:space="preserve"> NOTEREF _Ref13729303 \f \h </w:instrText>
      </w:r>
      <w:r w:rsidR="00074E27">
        <w:rPr>
          <w:lang w:eastAsia="ja-JP"/>
        </w:rPr>
      </w:r>
      <w:r w:rsidR="00074E27">
        <w:rPr>
          <w:lang w:eastAsia="ja-JP"/>
        </w:rPr>
        <w:fldChar w:fldCharType="separate"/>
      </w:r>
      <w:r w:rsidR="00074E27" w:rsidRPr="005858C8">
        <w:rPr>
          <w:rStyle w:val="FootnoteReference"/>
        </w:rPr>
        <w:t>2</w:t>
      </w:r>
      <w:r w:rsidR="00074E27">
        <w:rPr>
          <w:lang w:eastAsia="ja-JP"/>
        </w:rPr>
        <w:fldChar w:fldCharType="end"/>
      </w:r>
    </w:p>
    <w:p w14:paraId="2C5CACE0" w14:textId="1C8337A5" w:rsidR="005F7896" w:rsidRDefault="00710870" w:rsidP="00507AD6">
      <w:pPr>
        <w:rPr>
          <w:lang w:eastAsia="ja-JP"/>
        </w:rPr>
      </w:pPr>
      <w:r>
        <w:rPr>
          <w:lang w:eastAsia="ja-JP"/>
        </w:rPr>
        <w:lastRenderedPageBreak/>
        <w:t xml:space="preserve">The </w:t>
      </w:r>
      <w:r w:rsidR="003771B1">
        <w:rPr>
          <w:lang w:eastAsia="ja-JP"/>
        </w:rPr>
        <w:t>sponsor</w:t>
      </w:r>
      <w:r>
        <w:rPr>
          <w:lang w:eastAsia="ja-JP"/>
        </w:rPr>
        <w:t xml:space="preserve"> aimed to demonstrate a clinical benefit from </w:t>
      </w:r>
      <w:proofErr w:type="spellStart"/>
      <w:r>
        <w:rPr>
          <w:lang w:eastAsia="ja-JP"/>
        </w:rPr>
        <w:t>tofacitinib</w:t>
      </w:r>
      <w:proofErr w:type="spellEnd"/>
      <w:r>
        <w:rPr>
          <w:lang w:eastAsia="ja-JP"/>
        </w:rPr>
        <w:t xml:space="preserve"> 10 mg BID treatment in both moderate and severe categories of UC disease. However, the </w:t>
      </w:r>
      <w:r w:rsidR="003771B1">
        <w:rPr>
          <w:lang w:eastAsia="ja-JP"/>
        </w:rPr>
        <w:t>sponsor</w:t>
      </w:r>
      <w:r>
        <w:rPr>
          <w:lang w:eastAsia="ja-JP"/>
        </w:rPr>
        <w:t xml:space="preserve"> combined these categories within each of its pivotal </w:t>
      </w:r>
      <w:r w:rsidR="00B7366A">
        <w:rPr>
          <w:lang w:eastAsia="ja-JP"/>
        </w:rPr>
        <w:t>Phase</w:t>
      </w:r>
      <w:r>
        <w:rPr>
          <w:lang w:eastAsia="ja-JP"/>
        </w:rPr>
        <w:t xml:space="preserve"> III induction studies (</w:t>
      </w:r>
      <w:r w:rsidR="00074E27">
        <w:rPr>
          <w:lang w:eastAsia="ja-JP"/>
        </w:rPr>
        <w:t xml:space="preserve">Studies </w:t>
      </w:r>
      <w:r>
        <w:rPr>
          <w:lang w:eastAsia="ja-JP"/>
        </w:rPr>
        <w:t xml:space="preserve">A3921094 and A3921095). Furthermore, no separate estimation of effect size appeared to be included in each Study Protocol or Statistical Analysis Plan. The </w:t>
      </w:r>
      <w:r w:rsidR="00074E27">
        <w:rPr>
          <w:lang w:eastAsia="ja-JP"/>
        </w:rPr>
        <w:t>b</w:t>
      </w:r>
      <w:r w:rsidR="00CF6A6C">
        <w:rPr>
          <w:lang w:eastAsia="ja-JP"/>
        </w:rPr>
        <w:t>aseline</w:t>
      </w:r>
      <w:r>
        <w:rPr>
          <w:lang w:eastAsia="ja-JP"/>
        </w:rPr>
        <w:t xml:space="preserve"> total Mayo score in each induction study was provided as a mean and median value in the clinical study report, not by a breakdown into disease severity (moderate, severe or numerical values to reflect severity). Furthermore, the primary and secondary efficacy analyses from each induction study, and most pooled results, did not allow for separate estimation of treatment effect according to severity of disease</w:t>
      </w:r>
      <w:r w:rsidR="005F7896">
        <w:rPr>
          <w:lang w:eastAsia="ja-JP"/>
        </w:rPr>
        <w:t>.</w:t>
      </w:r>
    </w:p>
    <w:p w14:paraId="7A60D3E1" w14:textId="77777777" w:rsidR="00710870" w:rsidRPr="005858C8" w:rsidRDefault="00710870" w:rsidP="00507AD6">
      <w:pPr>
        <w:rPr>
          <w:lang w:eastAsia="ja-JP"/>
        </w:rPr>
      </w:pPr>
      <w:r>
        <w:rPr>
          <w:lang w:eastAsia="ja-JP"/>
        </w:rPr>
        <w:t>Provision of results for disease severity, using aggregated or pooled analyses, upon which a decision to register a product</w:t>
      </w:r>
      <w:r w:rsidRPr="00A67FA6">
        <w:rPr>
          <w:lang w:eastAsia="ja-JP"/>
        </w:rPr>
        <w:t xml:space="preserve"> </w:t>
      </w:r>
      <w:r>
        <w:rPr>
          <w:lang w:eastAsia="ja-JP"/>
        </w:rPr>
        <w:t>is based, is unacceptable and s</w:t>
      </w:r>
      <w:r w:rsidR="005858C8">
        <w:rPr>
          <w:lang w:eastAsia="ja-JP"/>
        </w:rPr>
        <w:t>ignificantly deviates from the adopted g</w:t>
      </w:r>
      <w:r>
        <w:rPr>
          <w:lang w:eastAsia="ja-JP"/>
        </w:rPr>
        <w:t>uideline</w:t>
      </w:r>
      <w:r w:rsidR="005858C8">
        <w:rPr>
          <w:lang w:eastAsia="ja-JP"/>
        </w:rPr>
        <w:fldChar w:fldCharType="begin"/>
      </w:r>
      <w:r w:rsidR="005858C8">
        <w:rPr>
          <w:lang w:eastAsia="ja-JP"/>
        </w:rPr>
        <w:instrText xml:space="preserve"> NOTEREF _Ref13729303 \f \h </w:instrText>
      </w:r>
      <w:r w:rsidR="005858C8">
        <w:rPr>
          <w:lang w:eastAsia="ja-JP"/>
        </w:rPr>
      </w:r>
      <w:r w:rsidR="005858C8">
        <w:rPr>
          <w:lang w:eastAsia="ja-JP"/>
        </w:rPr>
        <w:fldChar w:fldCharType="separate"/>
      </w:r>
      <w:r w:rsidR="005858C8" w:rsidRPr="005858C8">
        <w:rPr>
          <w:rStyle w:val="FootnoteReference"/>
        </w:rPr>
        <w:t>2</w:t>
      </w:r>
      <w:r w:rsidR="005858C8">
        <w:rPr>
          <w:lang w:eastAsia="ja-JP"/>
        </w:rPr>
        <w:fldChar w:fldCharType="end"/>
      </w:r>
      <w:r w:rsidR="005858C8" w:rsidRPr="005858C8">
        <w:rPr>
          <w:lang w:eastAsia="ja-JP"/>
        </w:rPr>
        <w:t xml:space="preserve"> </w:t>
      </w:r>
      <w:r>
        <w:rPr>
          <w:lang w:eastAsia="ja-JP"/>
        </w:rPr>
        <w:t>advice. This approach has the potential to skew the results in favour of an overall treatment effect, while potentially masking inadequate treatment effects for specific population sub-groups.</w:t>
      </w:r>
      <w:r w:rsidRPr="001E05B0">
        <w:rPr>
          <w:lang w:eastAsia="ja-JP"/>
        </w:rPr>
        <w:t xml:space="preserve"> </w:t>
      </w:r>
      <w:r>
        <w:rPr>
          <w:lang w:eastAsia="ja-JP"/>
        </w:rPr>
        <w:t xml:space="preserve">This </w:t>
      </w:r>
      <w:r w:rsidR="005858C8">
        <w:rPr>
          <w:lang w:eastAsia="ja-JP"/>
        </w:rPr>
        <w:t>has been borne out within this clinical q</w:t>
      </w:r>
      <w:r>
        <w:rPr>
          <w:lang w:eastAsia="ja-JP"/>
        </w:rPr>
        <w:t xml:space="preserve">uestion, as a clear relationship between treatment effect and disease severity has been demonstrated. The </w:t>
      </w:r>
      <w:r w:rsidR="003771B1">
        <w:rPr>
          <w:lang w:eastAsia="ja-JP"/>
        </w:rPr>
        <w:t>sponsor</w:t>
      </w:r>
      <w:r>
        <w:rPr>
          <w:lang w:eastAsia="ja-JP"/>
        </w:rPr>
        <w:t xml:space="preserve"> provided no justification or explanation in its submission dossier for it</w:t>
      </w:r>
      <w:r w:rsidR="005858C8">
        <w:rPr>
          <w:lang w:eastAsia="ja-JP"/>
        </w:rPr>
        <w:t>s decision to deviate from the adopted g</w:t>
      </w:r>
      <w:r>
        <w:rPr>
          <w:lang w:eastAsia="ja-JP"/>
        </w:rPr>
        <w:t>uideline.</w:t>
      </w:r>
      <w:r w:rsidR="005858C8">
        <w:rPr>
          <w:lang w:eastAsia="ja-JP"/>
        </w:rPr>
        <w:fldChar w:fldCharType="begin"/>
      </w:r>
      <w:r w:rsidR="005858C8">
        <w:rPr>
          <w:lang w:eastAsia="ja-JP"/>
        </w:rPr>
        <w:instrText xml:space="preserve"> NOTEREF _Ref13729303 \f \h </w:instrText>
      </w:r>
      <w:r w:rsidR="005858C8">
        <w:rPr>
          <w:lang w:eastAsia="ja-JP"/>
        </w:rPr>
      </w:r>
      <w:r w:rsidR="005858C8">
        <w:rPr>
          <w:lang w:eastAsia="ja-JP"/>
        </w:rPr>
        <w:fldChar w:fldCharType="separate"/>
      </w:r>
      <w:r w:rsidR="005858C8" w:rsidRPr="005858C8">
        <w:rPr>
          <w:rStyle w:val="FootnoteReference"/>
        </w:rPr>
        <w:t>2</w:t>
      </w:r>
      <w:r w:rsidR="005858C8">
        <w:rPr>
          <w:lang w:eastAsia="ja-JP"/>
        </w:rPr>
        <w:fldChar w:fldCharType="end"/>
      </w:r>
    </w:p>
    <w:p w14:paraId="6FAD5C04" w14:textId="133A4451" w:rsidR="00710870" w:rsidRDefault="00710870" w:rsidP="00507AD6">
      <w:pPr>
        <w:rPr>
          <w:lang w:eastAsia="ja-JP"/>
        </w:rPr>
      </w:pPr>
      <w:r>
        <w:rPr>
          <w:lang w:eastAsia="ja-JP"/>
        </w:rPr>
        <w:t>Notwithstanding the fact there is no universally agreed definition or measurement of moderate to severe UC, and the induction studies were not designed to provide separate size estimation based on disease severity, the evidence provided in this application suggests the benefit-risk balance for those with the most severe UC disease (</w:t>
      </w:r>
      <w:r w:rsidR="00074E27">
        <w:rPr>
          <w:lang w:eastAsia="ja-JP"/>
        </w:rPr>
        <w:t>b</w:t>
      </w:r>
      <w:r w:rsidR="00CF6A6C">
        <w:rPr>
          <w:lang w:eastAsia="ja-JP"/>
        </w:rPr>
        <w:t>aseline</w:t>
      </w:r>
      <w:r>
        <w:rPr>
          <w:lang w:eastAsia="ja-JP"/>
        </w:rPr>
        <w:t xml:space="preserve"> total Mayo score &gt; 10) is negative. Furthermore, subjects w</w:t>
      </w:r>
      <w:r w:rsidR="005858C8">
        <w:rPr>
          <w:lang w:eastAsia="ja-JP"/>
        </w:rPr>
        <w:t xml:space="preserve">ith </w:t>
      </w:r>
      <w:r w:rsidR="00074E27">
        <w:rPr>
          <w:lang w:eastAsia="ja-JP"/>
        </w:rPr>
        <w:t>b</w:t>
      </w:r>
      <w:r w:rsidR="00CF6A6C">
        <w:rPr>
          <w:lang w:eastAsia="ja-JP"/>
        </w:rPr>
        <w:t>aseline</w:t>
      </w:r>
      <w:r w:rsidR="005858C8">
        <w:rPr>
          <w:lang w:eastAsia="ja-JP"/>
        </w:rPr>
        <w:t xml:space="preserve"> total Mayo score 8 to </w:t>
      </w:r>
      <w:r>
        <w:rPr>
          <w:lang w:eastAsia="ja-JP"/>
        </w:rPr>
        <w:t>10 have a borderline benefit at best.</w:t>
      </w:r>
    </w:p>
    <w:p w14:paraId="68AFFA44" w14:textId="77777777" w:rsidR="00710870" w:rsidRPr="00E01445" w:rsidRDefault="00507AD6" w:rsidP="00507AD6">
      <w:pPr>
        <w:pStyle w:val="Heading5"/>
      </w:pPr>
      <w:r>
        <w:t>Question 4</w:t>
      </w:r>
    </w:p>
    <w:p w14:paraId="4220E370" w14:textId="72E3139E" w:rsidR="00710870" w:rsidRPr="00AD6C46" w:rsidRDefault="00710870" w:rsidP="00AD6C46">
      <w:pPr>
        <w:rPr>
          <w:b/>
          <w:i/>
          <w:lang w:eastAsia="ja-JP"/>
        </w:rPr>
      </w:pPr>
      <w:r w:rsidRPr="00AD6C46">
        <w:rPr>
          <w:b/>
          <w:i/>
          <w:lang w:eastAsia="ja-JP"/>
        </w:rPr>
        <w:t xml:space="preserve">How do the </w:t>
      </w:r>
      <w:r w:rsidR="00074E27" w:rsidRPr="00AD6C46">
        <w:rPr>
          <w:b/>
          <w:i/>
          <w:lang w:eastAsia="ja-JP"/>
        </w:rPr>
        <w:t>b</w:t>
      </w:r>
      <w:r w:rsidR="00CF6A6C" w:rsidRPr="00AD6C46">
        <w:rPr>
          <w:b/>
          <w:i/>
          <w:lang w:eastAsia="ja-JP"/>
        </w:rPr>
        <w:t>aseline</w:t>
      </w:r>
      <w:r w:rsidRPr="00AD6C46">
        <w:rPr>
          <w:b/>
          <w:i/>
          <w:lang w:eastAsia="ja-JP"/>
        </w:rPr>
        <w:t xml:space="preserve"> demographic and disease characteristics compare between subjects who responded to </w:t>
      </w:r>
      <w:proofErr w:type="spellStart"/>
      <w:r w:rsidRPr="00AD6C46">
        <w:rPr>
          <w:b/>
          <w:i/>
          <w:lang w:eastAsia="ja-JP"/>
        </w:rPr>
        <w:t>tofacitinib</w:t>
      </w:r>
      <w:proofErr w:type="spellEnd"/>
      <w:r w:rsidRPr="00AD6C46">
        <w:rPr>
          <w:b/>
          <w:i/>
          <w:lang w:eastAsia="ja-JP"/>
        </w:rPr>
        <w:t xml:space="preserve"> 10 mg treatment in the pivotal </w:t>
      </w:r>
      <w:r w:rsidR="00B7366A" w:rsidRPr="00AD6C46">
        <w:rPr>
          <w:b/>
          <w:i/>
          <w:lang w:eastAsia="ja-JP"/>
        </w:rPr>
        <w:t>Phase</w:t>
      </w:r>
      <w:r w:rsidR="00074E27" w:rsidRPr="00AD6C46">
        <w:rPr>
          <w:b/>
          <w:i/>
          <w:lang w:eastAsia="ja-JP"/>
        </w:rPr>
        <w:t> </w:t>
      </w:r>
      <w:r w:rsidR="00223C03" w:rsidRPr="00AD6C46">
        <w:rPr>
          <w:b/>
          <w:i/>
          <w:lang w:eastAsia="ja-JP"/>
        </w:rPr>
        <w:t xml:space="preserve">III induction </w:t>
      </w:r>
      <w:r w:rsidR="00074E27" w:rsidRPr="00AD6C46">
        <w:rPr>
          <w:b/>
          <w:i/>
          <w:lang w:eastAsia="ja-JP"/>
        </w:rPr>
        <w:t xml:space="preserve">studies </w:t>
      </w:r>
      <w:r w:rsidRPr="00AD6C46">
        <w:rPr>
          <w:b/>
          <w:i/>
          <w:lang w:eastAsia="ja-JP"/>
        </w:rPr>
        <w:t>(</w:t>
      </w:r>
      <w:r w:rsidR="00074E27" w:rsidRPr="00AD6C46">
        <w:rPr>
          <w:b/>
          <w:i/>
          <w:lang w:eastAsia="ja-JP"/>
        </w:rPr>
        <w:t xml:space="preserve">Studies </w:t>
      </w:r>
      <w:r w:rsidRPr="00AD6C46">
        <w:rPr>
          <w:b/>
          <w:i/>
          <w:lang w:eastAsia="ja-JP"/>
        </w:rPr>
        <w:t xml:space="preserve">A3921094 and A3921095), against those subjects who were classified as ‘non-responders’ to </w:t>
      </w:r>
      <w:proofErr w:type="spellStart"/>
      <w:r w:rsidRPr="00AD6C46">
        <w:rPr>
          <w:b/>
          <w:i/>
          <w:lang w:eastAsia="ja-JP"/>
        </w:rPr>
        <w:t>tofacitinib</w:t>
      </w:r>
      <w:proofErr w:type="spellEnd"/>
      <w:r w:rsidRPr="00AD6C46">
        <w:rPr>
          <w:b/>
          <w:i/>
          <w:lang w:eastAsia="ja-JP"/>
        </w:rPr>
        <w:t xml:space="preserve"> 10 mg treatment in the same studies?</w:t>
      </w:r>
    </w:p>
    <w:p w14:paraId="02C20646" w14:textId="77777777" w:rsidR="00710870" w:rsidRDefault="00507AD6" w:rsidP="00507AD6">
      <w:pPr>
        <w:pStyle w:val="Heading6"/>
      </w:pPr>
      <w:r>
        <w:t>Sponsor’s response</w:t>
      </w:r>
    </w:p>
    <w:p w14:paraId="687762F3" w14:textId="0C261E45" w:rsidR="00710870" w:rsidRDefault="00710870" w:rsidP="00507AD6">
      <w:r>
        <w:t xml:space="preserve">The </w:t>
      </w:r>
      <w:r w:rsidR="003771B1">
        <w:t>sponsor</w:t>
      </w:r>
      <w:r>
        <w:t xml:space="preserve"> provided a succinct table that listed </w:t>
      </w:r>
      <w:r w:rsidR="00074E27">
        <w:t>b</w:t>
      </w:r>
      <w:r w:rsidR="00CF6A6C">
        <w:t>aseline</w:t>
      </w:r>
      <w:r>
        <w:t xml:space="preserve"> demographic and disease characteristics for Week 8 clinical responders and clinical non-responders in</w:t>
      </w:r>
      <w:r w:rsidR="00223C03">
        <w:t xml:space="preserve"> each of the pivotal induction </w:t>
      </w:r>
      <w:r w:rsidR="00074E27">
        <w:t xml:space="preserve">studies </w:t>
      </w:r>
      <w:r w:rsidRPr="00E524E0">
        <w:t>(</w:t>
      </w:r>
      <w:r w:rsidR="00074E27">
        <w:t xml:space="preserve">Studies </w:t>
      </w:r>
      <w:r w:rsidRPr="00E524E0">
        <w:t>A3921094 and A3921095)</w:t>
      </w:r>
      <w:r>
        <w:t>, as well as a pooled results comparison from the induction studies for clinical responders and non-responders.</w:t>
      </w:r>
    </w:p>
    <w:p w14:paraId="471BF4F9" w14:textId="77777777" w:rsidR="00710870" w:rsidRPr="00B24B4C" w:rsidRDefault="00507AD6" w:rsidP="00507AD6">
      <w:pPr>
        <w:pStyle w:val="Heading6"/>
        <w:rPr>
          <w:lang w:eastAsia="ja-JP"/>
        </w:rPr>
      </w:pPr>
      <w:r>
        <w:rPr>
          <w:lang w:eastAsia="ja-JP"/>
        </w:rPr>
        <w:t>Evaluation of response</w:t>
      </w:r>
    </w:p>
    <w:p w14:paraId="1691C622" w14:textId="053C8B6B" w:rsidR="00710870" w:rsidRDefault="00710870" w:rsidP="00507AD6">
      <w:r>
        <w:t xml:space="preserve">The information provided in the </w:t>
      </w:r>
      <w:r w:rsidR="003771B1">
        <w:t>sponsor’s r</w:t>
      </w:r>
      <w:r>
        <w:t xml:space="preserve">esponse is acceptable. Generally, </w:t>
      </w:r>
      <w:r w:rsidR="00074E27">
        <w:t>b</w:t>
      </w:r>
      <w:r w:rsidR="00CF6A6C">
        <w:t>aseline</w:t>
      </w:r>
      <w:r w:rsidRPr="00E524E0">
        <w:t xml:space="preserve"> demographics (</w:t>
      </w:r>
      <w:r w:rsidR="00404101">
        <w:t>for example</w:t>
      </w:r>
      <w:r w:rsidRPr="00E524E0">
        <w:t xml:space="preserve"> age, sex and race) were similar across the </w:t>
      </w:r>
      <w:proofErr w:type="spellStart"/>
      <w:r w:rsidRPr="00E524E0">
        <w:t>induction</w:t>
      </w:r>
      <w:r w:rsidR="00074E27">
        <w:t>studies</w:t>
      </w:r>
      <w:proofErr w:type="spellEnd"/>
      <w:r w:rsidRPr="00E524E0">
        <w:t xml:space="preserve"> (</w:t>
      </w:r>
      <w:r w:rsidR="00074E27">
        <w:t xml:space="preserve">Studies </w:t>
      </w:r>
      <w:r w:rsidRPr="00E524E0">
        <w:t xml:space="preserve">A3921094 and A3921095) in subjects receiving </w:t>
      </w:r>
      <w:proofErr w:type="spellStart"/>
      <w:r w:rsidRPr="00E524E0">
        <w:t>tofacitinib</w:t>
      </w:r>
      <w:proofErr w:type="spellEnd"/>
      <w:r w:rsidRPr="00E524E0">
        <w:t xml:space="preserve"> 10</w:t>
      </w:r>
      <w:r w:rsidR="00074E27">
        <w:t> </w:t>
      </w:r>
      <w:r w:rsidRPr="00E524E0">
        <w:t>mg BID</w:t>
      </w:r>
      <w:r>
        <w:t xml:space="preserve"> treatment, irrespective</w:t>
      </w:r>
      <w:r w:rsidRPr="00E524E0">
        <w:t xml:space="preserve"> of clinical response status at Week 8</w:t>
      </w:r>
      <w:r>
        <w:t>.</w:t>
      </w:r>
    </w:p>
    <w:p w14:paraId="716AB960" w14:textId="3D22DA33" w:rsidR="00710870" w:rsidRDefault="00710870" w:rsidP="00507AD6">
      <w:r>
        <w:t>Baseline disease characteristics between responders and non-responders were generally similar across induction studies for mean duration of UC, extent of disease</w:t>
      </w:r>
      <w:r w:rsidR="008C0200">
        <w:t>*</w:t>
      </w:r>
      <w:r>
        <w:t xml:space="preserve"> and to</w:t>
      </w:r>
      <w:r w:rsidR="00404101">
        <w:t xml:space="preserve">tal Mayo score in the &lt; 8 and 8 to </w:t>
      </w:r>
      <w:r>
        <w:t>10 sub</w:t>
      </w:r>
      <w:r>
        <w:rPr>
          <w:rFonts w:cs="Symbol"/>
        </w:rPr>
        <w:t>categories</w:t>
      </w:r>
      <w:r>
        <w:t>. However, t</w:t>
      </w:r>
      <w:r w:rsidRPr="00E524E0">
        <w:t xml:space="preserve">here </w:t>
      </w:r>
      <w:r>
        <w:t>were a</w:t>
      </w:r>
      <w:r w:rsidRPr="00E524E0">
        <w:t xml:space="preserve"> larger proportion </w:t>
      </w:r>
      <w:r>
        <w:t xml:space="preserve">of subjects in the pooled non-responder group compared with pooled clinical responders, </w:t>
      </w:r>
      <w:r w:rsidRPr="00E524E0">
        <w:t xml:space="preserve">with higher </w:t>
      </w:r>
      <w:r w:rsidR="00074E27">
        <w:t>b</w:t>
      </w:r>
      <w:r w:rsidR="00CF6A6C">
        <w:t>aseline</w:t>
      </w:r>
      <w:r w:rsidR="00507AD6">
        <w:t>:</w:t>
      </w:r>
    </w:p>
    <w:p w14:paraId="26568C77" w14:textId="1A4CE58A" w:rsidR="00710870" w:rsidRPr="00610C98" w:rsidRDefault="00710870" w:rsidP="00507AD6">
      <w:pPr>
        <w:pStyle w:val="Numberbullet0"/>
      </w:pPr>
      <w:r w:rsidRPr="00610C98">
        <w:t>Disease severity (</w:t>
      </w:r>
      <w:r w:rsidR="00F14B34">
        <w:t>that is,</w:t>
      </w:r>
      <w:r w:rsidRPr="00610C98">
        <w:t xml:space="preserve"> </w:t>
      </w:r>
      <w:r w:rsidR="00074E27">
        <w:t>b</w:t>
      </w:r>
      <w:r w:rsidR="00CF6A6C">
        <w:t>aseline</w:t>
      </w:r>
      <w:r w:rsidRPr="00610C98">
        <w:t xml:space="preserve"> total Mayo score &gt;</w:t>
      </w:r>
      <w:r w:rsidR="00404101">
        <w:t xml:space="preserve"> </w:t>
      </w:r>
      <w:r w:rsidRPr="00610C98">
        <w:t xml:space="preserve">10; </w:t>
      </w:r>
      <w:r>
        <w:t>22.3</w:t>
      </w:r>
      <w:r w:rsidRPr="00610C98">
        <w:t xml:space="preserve">% </w:t>
      </w:r>
      <w:r w:rsidR="009D375F">
        <w:t>versus</w:t>
      </w:r>
      <w:r w:rsidRPr="00610C98">
        <w:t xml:space="preserve"> </w:t>
      </w:r>
      <w:r>
        <w:t>10.9</w:t>
      </w:r>
      <w:r w:rsidRPr="00610C98">
        <w:t>%),</w:t>
      </w:r>
    </w:p>
    <w:p w14:paraId="61577CFB" w14:textId="77777777" w:rsidR="00710870" w:rsidRPr="00610C98" w:rsidRDefault="00710870" w:rsidP="00507AD6">
      <w:pPr>
        <w:pStyle w:val="Numberbullet0"/>
      </w:pPr>
      <w:r w:rsidRPr="00610C98">
        <w:t xml:space="preserve">Prior </w:t>
      </w:r>
      <w:proofErr w:type="spellStart"/>
      <w:r w:rsidRPr="00610C98">
        <w:t>TNFi</w:t>
      </w:r>
      <w:proofErr w:type="spellEnd"/>
      <w:r w:rsidRPr="00610C98">
        <w:t xml:space="preserve"> exposure (</w:t>
      </w:r>
      <w:r>
        <w:t>60.9</w:t>
      </w:r>
      <w:r w:rsidRPr="00610C98">
        <w:t xml:space="preserve">% </w:t>
      </w:r>
      <w:r w:rsidR="009D375F">
        <w:t>versus</w:t>
      </w:r>
      <w:r w:rsidRPr="00610C98">
        <w:t xml:space="preserve"> </w:t>
      </w:r>
      <w:r>
        <w:t>48.8</w:t>
      </w:r>
      <w:r w:rsidRPr="00610C98">
        <w:t>%, respectively); and</w:t>
      </w:r>
    </w:p>
    <w:p w14:paraId="74629B85" w14:textId="77777777" w:rsidR="00710870" w:rsidRPr="00507AD6" w:rsidRDefault="00710870" w:rsidP="00507AD6">
      <w:pPr>
        <w:pStyle w:val="Numberbullet0"/>
      </w:pPr>
      <w:r w:rsidRPr="00610C98">
        <w:t xml:space="preserve">Prior </w:t>
      </w:r>
      <w:proofErr w:type="spellStart"/>
      <w:r w:rsidRPr="00610C98">
        <w:t>TNFi</w:t>
      </w:r>
      <w:proofErr w:type="spellEnd"/>
      <w:r w:rsidRPr="00610C98">
        <w:t xml:space="preserve"> failure (</w:t>
      </w:r>
      <w:r>
        <w:t>59.4</w:t>
      </w:r>
      <w:r w:rsidRPr="00610C98">
        <w:t xml:space="preserve">% </w:t>
      </w:r>
      <w:r w:rsidR="009D375F">
        <w:t>versus</w:t>
      </w:r>
      <w:r w:rsidRPr="00610C98">
        <w:t xml:space="preserve"> </w:t>
      </w:r>
      <w:r>
        <w:t>45.5</w:t>
      </w:r>
      <w:r w:rsidRPr="00610C98">
        <w:t>%, respectively)</w:t>
      </w:r>
    </w:p>
    <w:p w14:paraId="05F54491" w14:textId="77777777" w:rsidR="00710870" w:rsidRDefault="008C0200" w:rsidP="00507AD6">
      <w:r>
        <w:lastRenderedPageBreak/>
        <w:t>*As expected from clinical Q</w:t>
      </w:r>
      <w:r w:rsidR="00710870">
        <w:t xml:space="preserve">uestion 3, there were proportionately more non-responders to </w:t>
      </w:r>
      <w:proofErr w:type="spellStart"/>
      <w:r w:rsidR="00710870">
        <w:t>tofacitinib</w:t>
      </w:r>
      <w:proofErr w:type="spellEnd"/>
      <w:r w:rsidR="00710870">
        <w:t xml:space="preserve"> 10 mg BID treatment than responders at Week 8 induction (across studies and pooled results) with proctosigmoiditis (pooled analysis: 16.4% </w:t>
      </w:r>
      <w:r w:rsidR="009D375F">
        <w:t>versus</w:t>
      </w:r>
      <w:r w:rsidR="00710870">
        <w:t xml:space="preserve"> 13.3%, respectively) and left-sided colitis (pooled analysis: 36.0% </w:t>
      </w:r>
      <w:r w:rsidR="009D375F">
        <w:t>versus</w:t>
      </w:r>
      <w:r w:rsidR="00710870">
        <w:t xml:space="preserve"> 32.5%, respectively) and proportionately less non-responders with more extensive disease (pooled analysis: 47.5% </w:t>
      </w:r>
      <w:r w:rsidR="009D375F">
        <w:t>versus</w:t>
      </w:r>
      <w:r w:rsidR="00710870">
        <w:t xml:space="preserve"> 54.0%, respectively).</w:t>
      </w:r>
    </w:p>
    <w:p w14:paraId="2D541CE8" w14:textId="52CFA72A" w:rsidR="00710870" w:rsidRDefault="00710870" w:rsidP="00507AD6">
      <w:r>
        <w:t xml:space="preserve">Consistent </w:t>
      </w:r>
      <w:r w:rsidR="00404101">
        <w:t>with the results identified in clinical q</w:t>
      </w:r>
      <w:r>
        <w:t xml:space="preserve">uestion 3, proportionately fewer subjects with the most severe UC disease benefited from 8 weeks induction treatment with </w:t>
      </w:r>
      <w:proofErr w:type="spellStart"/>
      <w:r>
        <w:t>tofacitinib</w:t>
      </w:r>
      <w:proofErr w:type="spellEnd"/>
      <w:r>
        <w:t xml:space="preserve"> 10 mg BID compared with subjects with less severe disease. This is also demonstrated </w:t>
      </w:r>
      <w:r w:rsidRPr="00864C03">
        <w:t>in</w:t>
      </w:r>
      <w:r w:rsidR="004E5B1B">
        <w:t xml:space="preserve"> </w:t>
      </w:r>
      <w:r w:rsidR="004E5B1B">
        <w:fldChar w:fldCharType="begin"/>
      </w:r>
      <w:r w:rsidR="004E5B1B">
        <w:instrText xml:space="preserve"> REF _Ref15027015 \h </w:instrText>
      </w:r>
      <w:r w:rsidR="004E5B1B">
        <w:fldChar w:fldCharType="separate"/>
      </w:r>
      <w:r w:rsidR="004E5B1B">
        <w:t xml:space="preserve">Table </w:t>
      </w:r>
      <w:r w:rsidR="004E5B1B">
        <w:rPr>
          <w:noProof/>
        </w:rPr>
        <w:t>15</w:t>
      </w:r>
      <w:r w:rsidR="004E5B1B">
        <w:fldChar w:fldCharType="end"/>
      </w:r>
      <w:r w:rsidRPr="00864C03">
        <w:t>,</w:t>
      </w:r>
      <w:r>
        <w:t xml:space="preserve"> which shows a reduction in clinical response by </w:t>
      </w:r>
      <w:r w:rsidR="00074E27">
        <w:t>b</w:t>
      </w:r>
      <w:r w:rsidR="00CF6A6C">
        <w:t>aseline</w:t>
      </w:r>
      <w:r>
        <w:t xml:space="preserve"> total Mayo score with increasing disease severity for responders, with a corresponding increase in the proportion of non-responders with worsening disease severity.</w:t>
      </w:r>
    </w:p>
    <w:p w14:paraId="0EE5CCE5" w14:textId="79BB1355" w:rsidR="00710870" w:rsidRDefault="004E5B1B" w:rsidP="004E5B1B">
      <w:pPr>
        <w:pStyle w:val="TableTitle"/>
      </w:pPr>
      <w:bookmarkStart w:id="198" w:name="_Ref15027015"/>
      <w:r>
        <w:t xml:space="preserve">Table </w:t>
      </w:r>
      <w:r w:rsidR="009870DC">
        <w:fldChar w:fldCharType="begin"/>
      </w:r>
      <w:r w:rsidR="009870DC">
        <w:instrText xml:space="preserve"> SEQ Table \* ARABIC </w:instrText>
      </w:r>
      <w:r w:rsidR="009870DC">
        <w:fldChar w:fldCharType="separate"/>
      </w:r>
      <w:r>
        <w:rPr>
          <w:noProof/>
        </w:rPr>
        <w:t>15</w:t>
      </w:r>
      <w:r w:rsidR="009870DC">
        <w:rPr>
          <w:noProof/>
        </w:rPr>
        <w:fldChar w:fldCharType="end"/>
      </w:r>
      <w:bookmarkEnd w:id="198"/>
      <w:r w:rsidR="00710870" w:rsidRPr="00136E7C">
        <w:t>:</w:t>
      </w:r>
      <w:r w:rsidR="00710870">
        <w:t xml:space="preserve"> Proportion of subjects by total Mayo score by induction Week 8 clinical response among subjects who received </w:t>
      </w:r>
      <w:proofErr w:type="spellStart"/>
      <w:r w:rsidR="00710870">
        <w:t>tofacitinib</w:t>
      </w:r>
      <w:proofErr w:type="spellEnd"/>
      <w:r w:rsidR="00710870">
        <w:t xml:space="preserve"> 10 mg BID in induction </w:t>
      </w:r>
      <w:r w:rsidR="00074E27">
        <w:t xml:space="preserve">Studies </w:t>
      </w:r>
      <w:r w:rsidR="00710870">
        <w:t>A3921094 and A3921095 (</w:t>
      </w:r>
      <w:r w:rsidR="00404101">
        <w:t>full analysis set</w:t>
      </w:r>
      <w:r w:rsidR="00710870">
        <w:t xml:space="preserve">, </w:t>
      </w:r>
      <w:r w:rsidR="00404101">
        <w:rPr>
          <w:lang w:eastAsia="ja-JP"/>
        </w:rPr>
        <w:t>non-responder imputation</w:t>
      </w:r>
      <w:r w:rsidR="00404101">
        <w:t>, central r</w:t>
      </w:r>
      <w:r w:rsidR="00710870">
        <w:t>ead)</w:t>
      </w:r>
    </w:p>
    <w:p w14:paraId="20F23427" w14:textId="77777777" w:rsidR="00710870" w:rsidRDefault="00710870" w:rsidP="00710870">
      <w:pPr>
        <w:autoSpaceDE w:val="0"/>
        <w:autoSpaceDN w:val="0"/>
        <w:adjustRightInd w:val="0"/>
        <w:spacing w:before="0" w:after="0" w:line="240" w:lineRule="auto"/>
        <w:rPr>
          <w:rFonts w:asciiTheme="minorHAnsi" w:eastAsia="TimesNewRoman" w:hAnsiTheme="minorHAnsi" w:cs="TimesNewRoman"/>
          <w:color w:val="000000"/>
        </w:rPr>
      </w:pPr>
      <w:r w:rsidRPr="00EE0262">
        <w:rPr>
          <w:noProof/>
          <w:lang w:eastAsia="en-AU"/>
        </w:rPr>
        <w:drawing>
          <wp:inline distT="0" distB="0" distL="0" distR="0" wp14:anchorId="3B313E8E" wp14:editId="6B39B163">
            <wp:extent cx="5149900" cy="1915427"/>
            <wp:effectExtent l="0" t="0" r="0" b="8890"/>
            <wp:docPr id="4" name="Picture 4" descr="Proportion of subjects by total Mayo score by induction Week 8 clinical response among subjects who received tofacitinib 10 mg BID in induction studies A3921094 and A3921095 (full analysis set, non-responder imputation, central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3598" cy="1924241"/>
                    </a:xfrm>
                    <a:prstGeom prst="rect">
                      <a:avLst/>
                    </a:prstGeom>
                    <a:noFill/>
                    <a:ln>
                      <a:noFill/>
                    </a:ln>
                  </pic:spPr>
                </pic:pic>
              </a:graphicData>
            </a:graphic>
          </wp:inline>
        </w:drawing>
      </w:r>
    </w:p>
    <w:p w14:paraId="06C7702C" w14:textId="77777777" w:rsidR="00507AD6" w:rsidRDefault="00507AD6" w:rsidP="00507AD6">
      <w:pPr>
        <w:pStyle w:val="Heading4"/>
      </w:pPr>
      <w:r>
        <w:t>Safety</w:t>
      </w:r>
    </w:p>
    <w:p w14:paraId="2C26FDB6" w14:textId="77777777" w:rsidR="00710870" w:rsidRPr="00E01445" w:rsidRDefault="00507AD6" w:rsidP="00507AD6">
      <w:pPr>
        <w:pStyle w:val="Heading5"/>
      </w:pPr>
      <w:r>
        <w:t>Question 5</w:t>
      </w:r>
    </w:p>
    <w:p w14:paraId="6EDFEBA8" w14:textId="079FA02E" w:rsidR="00507AD6" w:rsidRPr="00AD6C46" w:rsidRDefault="00710870" w:rsidP="00AD6C46">
      <w:pPr>
        <w:rPr>
          <w:b/>
          <w:i/>
        </w:rPr>
      </w:pPr>
      <w:r w:rsidRPr="00AD6C46">
        <w:rPr>
          <w:b/>
          <w:i/>
        </w:rPr>
        <w:t xml:space="preserve">What are the blood results (absolute lymphocyte and absolute neutrophil counts) for Subject </w:t>
      </w:r>
      <w:r w:rsidR="00404101" w:rsidRPr="00AD6C46">
        <w:rPr>
          <w:b/>
          <w:i/>
        </w:rPr>
        <w:t>[information redacted]</w:t>
      </w:r>
      <w:r w:rsidRPr="00AD6C46">
        <w:rPr>
          <w:b/>
          <w:i/>
        </w:rPr>
        <w:t>, who died from acute myeloid leukaemia in Study</w:t>
      </w:r>
      <w:r w:rsidR="00074E27" w:rsidRPr="00AD6C46">
        <w:rPr>
          <w:b/>
          <w:i/>
        </w:rPr>
        <w:t> </w:t>
      </w:r>
      <w:r w:rsidRPr="00AD6C46">
        <w:rPr>
          <w:b/>
          <w:i/>
        </w:rPr>
        <w:t>A3921139, for the period 10 Novemb</w:t>
      </w:r>
      <w:r w:rsidR="00404101" w:rsidRPr="00AD6C46">
        <w:rPr>
          <w:b/>
          <w:i/>
        </w:rPr>
        <w:t xml:space="preserve">er 2014 to </w:t>
      </w:r>
      <w:r w:rsidRPr="00AD6C46">
        <w:rPr>
          <w:b/>
          <w:i/>
        </w:rPr>
        <w:t>1 December 2015, by study visit</w:t>
      </w:r>
      <w:r w:rsidR="00507AD6" w:rsidRPr="00AD6C46">
        <w:rPr>
          <w:b/>
          <w:i/>
        </w:rPr>
        <w:t>?</w:t>
      </w:r>
    </w:p>
    <w:p w14:paraId="1F60833F" w14:textId="77777777" w:rsidR="00710870" w:rsidRDefault="00507AD6" w:rsidP="00507AD6">
      <w:pPr>
        <w:pStyle w:val="Heading6"/>
      </w:pPr>
      <w:r>
        <w:t>Sponsor’s response</w:t>
      </w:r>
    </w:p>
    <w:p w14:paraId="5497BB10" w14:textId="77A647F1" w:rsidR="00710870" w:rsidRDefault="00710870" w:rsidP="00710870">
      <w:pPr>
        <w:rPr>
          <w:lang w:eastAsia="ja-JP"/>
        </w:rPr>
      </w:pPr>
      <w:r>
        <w:rPr>
          <w:lang w:eastAsia="ja-JP"/>
        </w:rPr>
        <w:t xml:space="preserve">As requested, the </w:t>
      </w:r>
      <w:r w:rsidR="003771B1">
        <w:rPr>
          <w:lang w:eastAsia="ja-JP"/>
        </w:rPr>
        <w:t>sponsor</w:t>
      </w:r>
      <w:r>
        <w:rPr>
          <w:lang w:eastAsia="ja-JP"/>
        </w:rPr>
        <w:t xml:space="preserve"> provided additional tabulated absolute lymphocyte and absolute neutrophil count data for Subject </w:t>
      </w:r>
      <w:r w:rsidR="00404101">
        <w:rPr>
          <w:lang w:eastAsia="ja-JP"/>
        </w:rPr>
        <w:t>[information redacted]</w:t>
      </w:r>
      <w:r>
        <w:rPr>
          <w:lang w:eastAsia="ja-JP"/>
        </w:rPr>
        <w:t xml:space="preserve">, who died from </w:t>
      </w:r>
      <w:r w:rsidR="00404101">
        <w:rPr>
          <w:lang w:eastAsia="ja-JP"/>
        </w:rPr>
        <w:t>AML</w:t>
      </w:r>
      <w:r>
        <w:rPr>
          <w:lang w:eastAsia="ja-JP"/>
        </w:rPr>
        <w:t xml:space="preserve"> while participating in Study A3921139 on </w:t>
      </w:r>
      <w:proofErr w:type="spellStart"/>
      <w:r>
        <w:rPr>
          <w:lang w:eastAsia="ja-JP"/>
        </w:rPr>
        <w:t>tofacitinib</w:t>
      </w:r>
      <w:proofErr w:type="spellEnd"/>
      <w:r>
        <w:rPr>
          <w:lang w:eastAsia="ja-JP"/>
        </w:rPr>
        <w:t xml:space="preserve"> 10 mg BID, having completed the induction Study A3921095 (received </w:t>
      </w:r>
      <w:proofErr w:type="spellStart"/>
      <w:r>
        <w:rPr>
          <w:lang w:eastAsia="ja-JP"/>
        </w:rPr>
        <w:t>tofacitinib</w:t>
      </w:r>
      <w:proofErr w:type="spellEnd"/>
      <w:r>
        <w:rPr>
          <w:lang w:eastAsia="ja-JP"/>
        </w:rPr>
        <w:t xml:space="preserve"> 10 mg BID) and completed four months of placebo treatment in the maintenance Study A3921096. The subject had treatment-related AEs of moderate </w:t>
      </w:r>
      <w:proofErr w:type="spellStart"/>
      <w:r>
        <w:rPr>
          <w:lang w:eastAsia="ja-JP"/>
        </w:rPr>
        <w:t>neutrop</w:t>
      </w:r>
      <w:r w:rsidR="00EB1177">
        <w:rPr>
          <w:lang w:eastAsia="ja-JP"/>
        </w:rPr>
        <w:t>a</w:t>
      </w:r>
      <w:r>
        <w:rPr>
          <w:lang w:eastAsia="ja-JP"/>
        </w:rPr>
        <w:t>enia</w:t>
      </w:r>
      <w:proofErr w:type="spellEnd"/>
      <w:r>
        <w:rPr>
          <w:lang w:eastAsia="ja-JP"/>
        </w:rPr>
        <w:t xml:space="preserve"> and moderate </w:t>
      </w:r>
      <w:proofErr w:type="spellStart"/>
      <w:r>
        <w:rPr>
          <w:lang w:eastAsia="ja-JP"/>
        </w:rPr>
        <w:t>leukop</w:t>
      </w:r>
      <w:r w:rsidR="00EB1177">
        <w:rPr>
          <w:lang w:eastAsia="ja-JP"/>
        </w:rPr>
        <w:t>a</w:t>
      </w:r>
      <w:r>
        <w:rPr>
          <w:lang w:eastAsia="ja-JP"/>
        </w:rPr>
        <w:t>enia</w:t>
      </w:r>
      <w:proofErr w:type="spellEnd"/>
      <w:r>
        <w:rPr>
          <w:lang w:eastAsia="ja-JP"/>
        </w:rPr>
        <w:t>.</w:t>
      </w:r>
    </w:p>
    <w:p w14:paraId="5BF030F9" w14:textId="77777777" w:rsidR="00710870" w:rsidRDefault="00507AD6" w:rsidP="00507AD6">
      <w:pPr>
        <w:pStyle w:val="Heading6"/>
        <w:rPr>
          <w:lang w:eastAsia="ja-JP"/>
        </w:rPr>
      </w:pPr>
      <w:r>
        <w:rPr>
          <w:lang w:eastAsia="ja-JP"/>
        </w:rPr>
        <w:t>Evaluation of response</w:t>
      </w:r>
    </w:p>
    <w:p w14:paraId="2893AA55" w14:textId="77777777" w:rsidR="00710870" w:rsidRDefault="00710870" w:rsidP="00507AD6">
      <w:r w:rsidRPr="007D06D7">
        <w:t xml:space="preserve">From the tabulated results provided by the </w:t>
      </w:r>
      <w:r w:rsidR="003771B1">
        <w:t>sponsor</w:t>
      </w:r>
      <w:r w:rsidRPr="007D06D7">
        <w:t>:</w:t>
      </w:r>
    </w:p>
    <w:p w14:paraId="43FA4B9B" w14:textId="67D5A344" w:rsidR="00710870" w:rsidRDefault="00710870" w:rsidP="00507AD6">
      <w:pPr>
        <w:pStyle w:val="ListBullet"/>
      </w:pPr>
      <w:r w:rsidRPr="00A67F62">
        <w:t xml:space="preserve">There </w:t>
      </w:r>
      <w:r>
        <w:t>were</w:t>
      </w:r>
      <w:r w:rsidRPr="00A67F62">
        <w:t xml:space="preserve"> </w:t>
      </w:r>
      <w:r>
        <w:t xml:space="preserve">moderate </w:t>
      </w:r>
      <w:r w:rsidRPr="00A67F62">
        <w:t>reduction</w:t>
      </w:r>
      <w:r>
        <w:t>s</w:t>
      </w:r>
      <w:r w:rsidRPr="00A67F62">
        <w:t xml:space="preserve"> in absolute lymphocyte count </w:t>
      </w:r>
      <w:r>
        <w:t xml:space="preserve">within a few months of exposure to </w:t>
      </w:r>
      <w:proofErr w:type="spellStart"/>
      <w:r>
        <w:t>tofacitinib</w:t>
      </w:r>
      <w:proofErr w:type="spellEnd"/>
      <w:r>
        <w:t xml:space="preserve"> 10 mg BID t</w:t>
      </w:r>
      <w:r w:rsidR="00223C03">
        <w:t>reatment in both the induction S</w:t>
      </w:r>
      <w:r>
        <w:t xml:space="preserve">tudy A3921095 and the </w:t>
      </w:r>
      <w:r w:rsidR="00404101">
        <w:t>open label</w:t>
      </w:r>
      <w:r w:rsidR="00223C03">
        <w:t xml:space="preserve"> extension S</w:t>
      </w:r>
      <w:r>
        <w:t xml:space="preserve">tudy A3921139, with subsequent gradual return to the subject’s </w:t>
      </w:r>
      <w:r w:rsidR="00EB1177">
        <w:t>b</w:t>
      </w:r>
      <w:r w:rsidR="00CF6A6C">
        <w:t>aseline</w:t>
      </w:r>
      <w:r>
        <w:t xml:space="preserve"> value after cessation of induction treatment, and a normalisation of lymphocyte count after 3 months </w:t>
      </w:r>
      <w:r w:rsidR="00404101">
        <w:t>open label</w:t>
      </w:r>
      <w:r>
        <w:t xml:space="preserve"> </w:t>
      </w:r>
      <w:proofErr w:type="spellStart"/>
      <w:r>
        <w:t>tofacitinib</w:t>
      </w:r>
      <w:proofErr w:type="spellEnd"/>
      <w:r>
        <w:t xml:space="preserve"> treatment. These results are consistent with </w:t>
      </w:r>
      <w:r w:rsidRPr="00A67F62">
        <w:t xml:space="preserve">the known pharmacology of </w:t>
      </w:r>
      <w:proofErr w:type="spellStart"/>
      <w:r w:rsidRPr="00A67F62">
        <w:t>tofacitinib</w:t>
      </w:r>
      <w:proofErr w:type="spellEnd"/>
      <w:r>
        <w:t>.</w:t>
      </w:r>
    </w:p>
    <w:p w14:paraId="74335325" w14:textId="0F572942" w:rsidR="00710870" w:rsidRDefault="00710870" w:rsidP="00507AD6">
      <w:pPr>
        <w:pStyle w:val="ListBullet"/>
      </w:pPr>
      <w:r>
        <w:lastRenderedPageBreak/>
        <w:t>Apart from a single lymp</w:t>
      </w:r>
      <w:r w:rsidR="00404101">
        <w:t xml:space="preserve">hocyte result on Day 30 of open </w:t>
      </w:r>
      <w:r>
        <w:t xml:space="preserve">label treatment, every lymphocyte count result provided was below the reference range, but within the </w:t>
      </w:r>
      <w:r w:rsidR="00404101">
        <w:t>&lt; </w:t>
      </w:r>
      <w:r w:rsidRPr="00A67F62">
        <w:t xml:space="preserve">0.50 </w:t>
      </w:r>
      <w:r w:rsidR="008C0200">
        <w:t>x</w:t>
      </w:r>
      <w:r w:rsidR="00404101">
        <w:t xml:space="preserve"> </w:t>
      </w:r>
      <w:r w:rsidRPr="00A67F62">
        <w:t>10</w:t>
      </w:r>
      <w:r w:rsidRPr="006D0692">
        <w:rPr>
          <w:vertAlign w:val="superscript"/>
        </w:rPr>
        <w:t>3</w:t>
      </w:r>
      <w:r w:rsidRPr="00A67F62">
        <w:t>/µL cut-off</w:t>
      </w:r>
      <w:r>
        <w:t>.</w:t>
      </w:r>
      <w:r w:rsidRPr="00A67F62">
        <w:t xml:space="preserve"> Hence, Subject </w:t>
      </w:r>
      <w:r w:rsidR="00404101">
        <w:rPr>
          <w:lang w:eastAsia="ja-JP"/>
        </w:rPr>
        <w:t>[information redacted]</w:t>
      </w:r>
      <w:r>
        <w:t xml:space="preserve"> satisfied the entry criteria, even though they had mild/borderline </w:t>
      </w:r>
      <w:proofErr w:type="spellStart"/>
      <w:r>
        <w:t>leukop</w:t>
      </w:r>
      <w:r w:rsidR="00EB1177">
        <w:t>a</w:t>
      </w:r>
      <w:r>
        <w:t>enia</w:t>
      </w:r>
      <w:proofErr w:type="spellEnd"/>
      <w:r>
        <w:t xml:space="preserve"> a</w:t>
      </w:r>
      <w:r w:rsidR="00404101">
        <w:t xml:space="preserve">t study entry, and at most time </w:t>
      </w:r>
      <w:r>
        <w:t>points thereafter.</w:t>
      </w:r>
    </w:p>
    <w:p w14:paraId="7009AA79" w14:textId="77777777" w:rsidR="005F7896" w:rsidRDefault="00404101" w:rsidP="00507AD6">
      <w:pPr>
        <w:pStyle w:val="ListBullet"/>
      </w:pPr>
      <w:r>
        <w:t>During the s</w:t>
      </w:r>
      <w:r w:rsidR="00710870" w:rsidRPr="00A67F62">
        <w:t>ubject’s participation in the induction and maintenance studies, and until Da</w:t>
      </w:r>
      <w:r>
        <w:t xml:space="preserve">y 267 of the open </w:t>
      </w:r>
      <w:r w:rsidR="00710870" w:rsidRPr="00A67F62">
        <w:t>label extension study, th</w:t>
      </w:r>
      <w:r>
        <w:t xml:space="preserve">e neutrophil counts at </w:t>
      </w:r>
      <w:proofErr w:type="spellStart"/>
      <w:r>
        <w:t>all time</w:t>
      </w:r>
      <w:proofErr w:type="spellEnd"/>
      <w:r>
        <w:t xml:space="preserve"> </w:t>
      </w:r>
      <w:r w:rsidR="00710870" w:rsidRPr="00A67F62">
        <w:t xml:space="preserve">points remained above the reference range of 2.03 to 8.36 </w:t>
      </w:r>
      <w:r w:rsidR="008C0200">
        <w:t>x</w:t>
      </w:r>
      <w:r w:rsidR="00710870" w:rsidRPr="00A67F62">
        <w:t xml:space="preserve"> 10</w:t>
      </w:r>
      <w:r w:rsidR="00710870" w:rsidRPr="006D0692">
        <w:rPr>
          <w:vertAlign w:val="superscript"/>
        </w:rPr>
        <w:t>3</w:t>
      </w:r>
      <w:r w:rsidR="00710870" w:rsidRPr="00A67F62">
        <w:t>/µL</w:t>
      </w:r>
      <w:r w:rsidR="005F7896">
        <w:t>.</w:t>
      </w:r>
    </w:p>
    <w:p w14:paraId="3DDDE3DC" w14:textId="4682D60E" w:rsidR="00710870" w:rsidRDefault="00710870" w:rsidP="00507AD6">
      <w:pPr>
        <w:pStyle w:val="ListBullet"/>
      </w:pPr>
      <w:r w:rsidRPr="00A67F62">
        <w:t xml:space="preserve">From Days 267 to 273, Subject </w:t>
      </w:r>
      <w:r w:rsidR="00404101">
        <w:rPr>
          <w:lang w:eastAsia="ja-JP"/>
        </w:rPr>
        <w:t>[information redacted]</w:t>
      </w:r>
      <w:r w:rsidRPr="00A67F62">
        <w:t xml:space="preserve"> developed moderate severity </w:t>
      </w:r>
      <w:proofErr w:type="spellStart"/>
      <w:r w:rsidRPr="00A67F62">
        <w:t>leukop</w:t>
      </w:r>
      <w:r w:rsidR="00EB1177">
        <w:t>a</w:t>
      </w:r>
      <w:r w:rsidRPr="00A67F62">
        <w:t>enia</w:t>
      </w:r>
      <w:proofErr w:type="spellEnd"/>
      <w:r w:rsidRPr="00A67F62">
        <w:t xml:space="preserve"> and </w:t>
      </w:r>
      <w:proofErr w:type="spellStart"/>
      <w:r w:rsidRPr="00A67F62">
        <w:t>neutrop</w:t>
      </w:r>
      <w:r w:rsidR="00EB1177">
        <w:t>a</w:t>
      </w:r>
      <w:r w:rsidRPr="00A67F62">
        <w:t>enia</w:t>
      </w:r>
      <w:proofErr w:type="spellEnd"/>
      <w:r w:rsidRPr="00A67F62">
        <w:t>.</w:t>
      </w:r>
    </w:p>
    <w:p w14:paraId="047B4B2A" w14:textId="48EE66FD" w:rsidR="005F7896" w:rsidRDefault="00710870" w:rsidP="00507AD6">
      <w:pPr>
        <w:rPr>
          <w:lang w:eastAsia="ja-JP"/>
        </w:rPr>
      </w:pPr>
      <w:r>
        <w:rPr>
          <w:lang w:eastAsia="ja-JP"/>
        </w:rPr>
        <w:t xml:space="preserve">The </w:t>
      </w:r>
      <w:r w:rsidR="003771B1">
        <w:rPr>
          <w:lang w:eastAsia="ja-JP"/>
        </w:rPr>
        <w:t>sponsor</w:t>
      </w:r>
      <w:r>
        <w:rPr>
          <w:lang w:eastAsia="ja-JP"/>
        </w:rPr>
        <w:t>’s response is generally acceptable. Given the subject’s case was also reviewed by the Malignancy Adjudication Committee, and a determination was made that there was no relationship between</w:t>
      </w:r>
      <w:r w:rsidRPr="0053162E">
        <w:rPr>
          <w:lang w:eastAsia="ja-JP"/>
        </w:rPr>
        <w:t xml:space="preserve"> </w:t>
      </w:r>
      <w:r>
        <w:rPr>
          <w:lang w:eastAsia="ja-JP"/>
        </w:rPr>
        <w:t xml:space="preserve">the subject’s exposure to </w:t>
      </w:r>
      <w:proofErr w:type="spellStart"/>
      <w:r>
        <w:rPr>
          <w:lang w:eastAsia="ja-JP"/>
        </w:rPr>
        <w:t>tofacitinib</w:t>
      </w:r>
      <w:proofErr w:type="spellEnd"/>
      <w:r>
        <w:rPr>
          <w:lang w:eastAsia="ja-JP"/>
        </w:rPr>
        <w:t xml:space="preserve"> and the adverse events (moderate </w:t>
      </w:r>
      <w:proofErr w:type="spellStart"/>
      <w:r>
        <w:rPr>
          <w:lang w:eastAsia="ja-JP"/>
        </w:rPr>
        <w:t>leukop</w:t>
      </w:r>
      <w:r w:rsidR="00EB1177">
        <w:rPr>
          <w:lang w:eastAsia="ja-JP"/>
        </w:rPr>
        <w:t>a</w:t>
      </w:r>
      <w:r>
        <w:rPr>
          <w:lang w:eastAsia="ja-JP"/>
        </w:rPr>
        <w:t>enia</w:t>
      </w:r>
      <w:proofErr w:type="spellEnd"/>
      <w:r>
        <w:rPr>
          <w:lang w:eastAsia="ja-JP"/>
        </w:rPr>
        <w:t xml:space="preserve"> and moderate </w:t>
      </w:r>
      <w:proofErr w:type="spellStart"/>
      <w:r>
        <w:rPr>
          <w:lang w:eastAsia="ja-JP"/>
        </w:rPr>
        <w:t>neutrop</w:t>
      </w:r>
      <w:r w:rsidR="00EB1177">
        <w:rPr>
          <w:lang w:eastAsia="ja-JP"/>
        </w:rPr>
        <w:t>a</w:t>
      </w:r>
      <w:r>
        <w:rPr>
          <w:lang w:eastAsia="ja-JP"/>
        </w:rPr>
        <w:t>enia</w:t>
      </w:r>
      <w:proofErr w:type="spellEnd"/>
      <w:r>
        <w:rPr>
          <w:lang w:eastAsia="ja-JP"/>
        </w:rPr>
        <w:t xml:space="preserve">) that preceded a diagnosis of AML that lead to the subject’s death, the investigator’s assessment that considered there was no linkage between the subject’s </w:t>
      </w:r>
      <w:proofErr w:type="spellStart"/>
      <w:r>
        <w:rPr>
          <w:lang w:eastAsia="ja-JP"/>
        </w:rPr>
        <w:t>tofacitinib</w:t>
      </w:r>
      <w:proofErr w:type="spellEnd"/>
      <w:r>
        <w:rPr>
          <w:lang w:eastAsia="ja-JP"/>
        </w:rPr>
        <w:t xml:space="preserve"> exposure and the adverse effects is supported on this occasion</w:t>
      </w:r>
      <w:r w:rsidR="005F7896">
        <w:rPr>
          <w:lang w:eastAsia="ja-JP"/>
        </w:rPr>
        <w:t>.</w:t>
      </w:r>
    </w:p>
    <w:p w14:paraId="08FF2E60" w14:textId="77777777" w:rsidR="00710870" w:rsidRDefault="00710870" w:rsidP="00507AD6">
      <w:pPr>
        <w:rPr>
          <w:lang w:eastAsia="ja-JP"/>
        </w:rPr>
      </w:pPr>
      <w:r>
        <w:rPr>
          <w:lang w:eastAsia="ja-JP"/>
        </w:rPr>
        <w:t xml:space="preserve">However, it is noted that </w:t>
      </w:r>
      <w:r>
        <w:t>t</w:t>
      </w:r>
      <w:r w:rsidRPr="0034201F">
        <w:t>he Summary of Safety Concerns in the draft Risk Management Plan</w:t>
      </w:r>
      <w:r>
        <w:t xml:space="preserve"> (</w:t>
      </w:r>
      <w:r w:rsidR="00223C03">
        <w:t xml:space="preserve">RMP, </w:t>
      </w:r>
      <w:r>
        <w:t xml:space="preserve">Version 2, dated 20 June 2017: data lock point 16 December 2016), </w:t>
      </w:r>
      <w:r>
        <w:rPr>
          <w:lang w:eastAsia="ja-JP"/>
        </w:rPr>
        <w:t xml:space="preserve">continues to list malignancy (excluding </w:t>
      </w:r>
      <w:r w:rsidRPr="00066959">
        <w:rPr>
          <w:rFonts w:asciiTheme="minorHAnsi" w:eastAsia="TimesNewRoman" w:hAnsiTheme="minorHAnsi" w:cs="TimesNewRoman"/>
        </w:rPr>
        <w:t>non-melanoma skin cancer</w:t>
      </w:r>
      <w:r>
        <w:rPr>
          <w:lang w:eastAsia="ja-JP"/>
        </w:rPr>
        <w:t xml:space="preserve">) as an Important Potential Risk. This by definition includes AML, and so an association with </w:t>
      </w:r>
      <w:proofErr w:type="spellStart"/>
      <w:r>
        <w:rPr>
          <w:lang w:eastAsia="ja-JP"/>
        </w:rPr>
        <w:t>tofacitinib</w:t>
      </w:r>
      <w:proofErr w:type="spellEnd"/>
      <w:r>
        <w:rPr>
          <w:lang w:eastAsia="ja-JP"/>
        </w:rPr>
        <w:t xml:space="preserve"> exposure with AML c</w:t>
      </w:r>
      <w:r w:rsidR="00404101">
        <w:rPr>
          <w:lang w:eastAsia="ja-JP"/>
        </w:rPr>
        <w:t xml:space="preserve">annot be ruled out until longer </w:t>
      </w:r>
      <w:r>
        <w:rPr>
          <w:lang w:eastAsia="ja-JP"/>
        </w:rPr>
        <w:t>term safety data becomes available.</w:t>
      </w:r>
    </w:p>
    <w:p w14:paraId="40A2E17B" w14:textId="77777777" w:rsidR="00507AD6" w:rsidRPr="00507AD6" w:rsidRDefault="00507AD6" w:rsidP="00507AD6">
      <w:pPr>
        <w:pStyle w:val="Heading4"/>
      </w:pPr>
      <w:r>
        <w:t>PI and CMI</w:t>
      </w:r>
    </w:p>
    <w:p w14:paraId="43B105E6" w14:textId="77777777" w:rsidR="00710870" w:rsidRPr="00E01445" w:rsidRDefault="00507AD6" w:rsidP="00507AD6">
      <w:pPr>
        <w:pStyle w:val="Heading5"/>
      </w:pPr>
      <w:r>
        <w:t>Question 6</w:t>
      </w:r>
    </w:p>
    <w:p w14:paraId="793C16B4" w14:textId="03D59A32" w:rsidR="00507AD6" w:rsidRPr="00AD6C46" w:rsidRDefault="00710870" w:rsidP="00AD6C46">
      <w:pPr>
        <w:rPr>
          <w:b/>
          <w:i/>
          <w:lang w:eastAsia="ja-JP"/>
        </w:rPr>
      </w:pPr>
      <w:r w:rsidRPr="00AD6C46">
        <w:rPr>
          <w:b/>
          <w:i/>
          <w:lang w:eastAsia="ja-JP"/>
        </w:rPr>
        <w:t xml:space="preserve">How do the </w:t>
      </w:r>
      <w:r w:rsidR="00CF6A6C" w:rsidRPr="00AD6C46">
        <w:rPr>
          <w:b/>
          <w:i/>
          <w:lang w:eastAsia="ja-JP"/>
        </w:rPr>
        <w:t>Baseline</w:t>
      </w:r>
      <w:r w:rsidRPr="00AD6C46">
        <w:rPr>
          <w:b/>
          <w:i/>
          <w:lang w:eastAsia="ja-JP"/>
        </w:rPr>
        <w:t xml:space="preserve"> demographic and disease characteristics compare between subjects who responded to </w:t>
      </w:r>
      <w:proofErr w:type="spellStart"/>
      <w:r w:rsidRPr="00AD6C46">
        <w:rPr>
          <w:b/>
          <w:i/>
          <w:lang w:eastAsia="ja-JP"/>
        </w:rPr>
        <w:t>tofacitinib</w:t>
      </w:r>
      <w:proofErr w:type="spellEnd"/>
      <w:r w:rsidRPr="00AD6C46">
        <w:rPr>
          <w:b/>
          <w:i/>
          <w:lang w:eastAsia="ja-JP"/>
        </w:rPr>
        <w:t xml:space="preserve"> 10 mg treatment in the pivotal </w:t>
      </w:r>
      <w:r w:rsidR="00B7366A" w:rsidRPr="00AD6C46">
        <w:rPr>
          <w:b/>
          <w:i/>
          <w:lang w:eastAsia="ja-JP"/>
        </w:rPr>
        <w:t>Phase</w:t>
      </w:r>
      <w:r w:rsidR="00EB1177" w:rsidRPr="00AD6C46">
        <w:rPr>
          <w:b/>
          <w:i/>
          <w:lang w:eastAsia="ja-JP"/>
        </w:rPr>
        <w:t> </w:t>
      </w:r>
      <w:r w:rsidR="00223C03" w:rsidRPr="00AD6C46">
        <w:rPr>
          <w:b/>
          <w:i/>
          <w:lang w:eastAsia="ja-JP"/>
        </w:rPr>
        <w:t xml:space="preserve">III induction </w:t>
      </w:r>
      <w:r w:rsidR="00EB1177" w:rsidRPr="00AD6C46">
        <w:rPr>
          <w:b/>
          <w:i/>
          <w:lang w:eastAsia="ja-JP"/>
        </w:rPr>
        <w:t xml:space="preserve">studies </w:t>
      </w:r>
      <w:r w:rsidRPr="00AD6C46">
        <w:rPr>
          <w:b/>
          <w:i/>
          <w:lang w:eastAsia="ja-JP"/>
        </w:rPr>
        <w:t>(</w:t>
      </w:r>
      <w:r w:rsidR="00EB1177" w:rsidRPr="00AD6C46">
        <w:rPr>
          <w:b/>
          <w:i/>
          <w:lang w:eastAsia="ja-JP"/>
        </w:rPr>
        <w:t xml:space="preserve">Studies </w:t>
      </w:r>
      <w:r w:rsidRPr="00AD6C46">
        <w:rPr>
          <w:b/>
          <w:i/>
          <w:lang w:eastAsia="ja-JP"/>
        </w:rPr>
        <w:t xml:space="preserve">A3921094 and A3921095), against those subjects who were classified as ‘non-responders’ to </w:t>
      </w:r>
      <w:proofErr w:type="spellStart"/>
      <w:r w:rsidRPr="00AD6C46">
        <w:rPr>
          <w:b/>
          <w:i/>
          <w:lang w:eastAsia="ja-JP"/>
        </w:rPr>
        <w:t>tofacitinib</w:t>
      </w:r>
      <w:proofErr w:type="spellEnd"/>
      <w:r w:rsidRPr="00AD6C46">
        <w:rPr>
          <w:b/>
          <w:i/>
          <w:lang w:eastAsia="ja-JP"/>
        </w:rPr>
        <w:t xml:space="preserve"> 10 mg treatment in the same studies, entered the </w:t>
      </w:r>
      <w:r w:rsidR="00404101" w:rsidRPr="00AD6C46">
        <w:rPr>
          <w:b/>
          <w:i/>
          <w:lang w:eastAsia="ja-JP"/>
        </w:rPr>
        <w:t>open label</w:t>
      </w:r>
      <w:r w:rsidR="00223C03" w:rsidRPr="00AD6C46">
        <w:rPr>
          <w:b/>
          <w:i/>
          <w:lang w:eastAsia="ja-JP"/>
        </w:rPr>
        <w:t xml:space="preserve"> extension </w:t>
      </w:r>
      <w:r w:rsidR="00EB1177" w:rsidRPr="00AD6C46">
        <w:rPr>
          <w:b/>
          <w:i/>
          <w:lang w:eastAsia="ja-JP"/>
        </w:rPr>
        <w:t xml:space="preserve">study </w:t>
      </w:r>
      <w:r w:rsidRPr="00AD6C46">
        <w:rPr>
          <w:b/>
          <w:i/>
          <w:lang w:eastAsia="ja-JP"/>
        </w:rPr>
        <w:t>(</w:t>
      </w:r>
      <w:r w:rsidR="00EB1177" w:rsidRPr="00AD6C46">
        <w:rPr>
          <w:b/>
          <w:i/>
          <w:lang w:eastAsia="ja-JP"/>
        </w:rPr>
        <w:t xml:space="preserve">Study </w:t>
      </w:r>
      <w:r w:rsidRPr="00AD6C46">
        <w:rPr>
          <w:b/>
          <w:i/>
          <w:lang w:eastAsia="ja-JP"/>
        </w:rPr>
        <w:t xml:space="preserve">A3921139) and achieved a meaningful clinical response after an additional 2 months of </w:t>
      </w:r>
      <w:proofErr w:type="spellStart"/>
      <w:r w:rsidRPr="00AD6C46">
        <w:rPr>
          <w:b/>
          <w:i/>
          <w:lang w:eastAsia="ja-JP"/>
        </w:rPr>
        <w:t>tofacitinib</w:t>
      </w:r>
      <w:proofErr w:type="spellEnd"/>
      <w:r w:rsidRPr="00AD6C46">
        <w:rPr>
          <w:b/>
          <w:i/>
          <w:lang w:eastAsia="ja-JP"/>
        </w:rPr>
        <w:t xml:space="preserve"> 10 mg treatment</w:t>
      </w:r>
      <w:r w:rsidR="00507AD6" w:rsidRPr="00AD6C46">
        <w:rPr>
          <w:b/>
          <w:i/>
          <w:lang w:eastAsia="ja-JP"/>
        </w:rPr>
        <w:t>?</w:t>
      </w:r>
    </w:p>
    <w:p w14:paraId="113FE28B" w14:textId="77777777" w:rsidR="00710870" w:rsidRDefault="00507AD6" w:rsidP="00507AD6">
      <w:pPr>
        <w:pStyle w:val="Heading6"/>
      </w:pPr>
      <w:r>
        <w:t>Sponsor’s response</w:t>
      </w:r>
    </w:p>
    <w:p w14:paraId="5AE29861" w14:textId="4A56920B" w:rsidR="00710870" w:rsidRDefault="00710870" w:rsidP="00507AD6">
      <w:r>
        <w:t xml:space="preserve">The </w:t>
      </w:r>
      <w:r w:rsidR="003771B1">
        <w:t>sponsor</w:t>
      </w:r>
      <w:r>
        <w:t xml:space="preserve"> provided a succinct table that provided comparative pooled data of </w:t>
      </w:r>
      <w:r w:rsidR="00EB1177">
        <w:t>b</w:t>
      </w:r>
      <w:r w:rsidR="00CF6A6C">
        <w:t>aseline</w:t>
      </w:r>
      <w:r>
        <w:t xml:space="preserve"> demographic and disease characteristics for Week 8 clinical respond</w:t>
      </w:r>
      <w:r w:rsidR="00223C03">
        <w:t xml:space="preserve">ers from the pivotal induction </w:t>
      </w:r>
      <w:r w:rsidR="00EB1177">
        <w:t xml:space="preserve">studies </w:t>
      </w:r>
      <w:r w:rsidRPr="00E524E0">
        <w:t>(</w:t>
      </w:r>
      <w:r w:rsidR="00EB1177">
        <w:t xml:space="preserve">Studies </w:t>
      </w:r>
      <w:r w:rsidRPr="00E524E0">
        <w:t>A3921094 and A3921095)</w:t>
      </w:r>
      <w:r>
        <w:t xml:space="preserve"> who had received </w:t>
      </w:r>
      <w:proofErr w:type="spellStart"/>
      <w:r>
        <w:t>tofacitinib</w:t>
      </w:r>
      <w:proofErr w:type="spellEnd"/>
      <w:r>
        <w:t xml:space="preserve"> 10 mg BID treatment against clinical non-responders from the induction studies who entered the </w:t>
      </w:r>
      <w:r w:rsidR="00404101">
        <w:t>open label</w:t>
      </w:r>
      <w:r w:rsidR="00223C03">
        <w:t xml:space="preserve"> extension </w:t>
      </w:r>
      <w:r w:rsidR="00EB1177">
        <w:t xml:space="preserve">study </w:t>
      </w:r>
      <w:r>
        <w:t>(</w:t>
      </w:r>
      <w:r w:rsidR="00EB1177">
        <w:t xml:space="preserve">Study </w:t>
      </w:r>
      <w:r>
        <w:t>A3921139) as the ‘</w:t>
      </w:r>
      <w:proofErr w:type="spellStart"/>
      <w:r>
        <w:t>IndNR</w:t>
      </w:r>
      <w:proofErr w:type="spellEnd"/>
      <w:r>
        <w:t xml:space="preserve">’ </w:t>
      </w:r>
      <w:r w:rsidR="0083578A">
        <w:t xml:space="preserve">(induction non-responder) </w:t>
      </w:r>
      <w:r>
        <w:t xml:space="preserve">subpopulation (n = 295) and who achieved a clinical response at the Month 2 assessment with a further 2 month’s treatment with </w:t>
      </w:r>
      <w:r w:rsidR="00404101">
        <w:t>open label</w:t>
      </w:r>
      <w:r>
        <w:t xml:space="preserve"> </w:t>
      </w:r>
      <w:proofErr w:type="spellStart"/>
      <w:r>
        <w:t>tofacitinib</w:t>
      </w:r>
      <w:proofErr w:type="spellEnd"/>
      <w:r>
        <w:t xml:space="preserve"> 10 mg BID (n = 148).</w:t>
      </w:r>
    </w:p>
    <w:p w14:paraId="41FCAFAF" w14:textId="77777777" w:rsidR="00710870" w:rsidRPr="008C0200" w:rsidRDefault="003771B1" w:rsidP="00507AD6">
      <w:r w:rsidRPr="008C0200">
        <w:t>The s</w:t>
      </w:r>
      <w:r w:rsidR="00710870" w:rsidRPr="008C0200">
        <w:t xml:space="preserve">ponsor also included a response to </w:t>
      </w:r>
      <w:r w:rsidR="00710870" w:rsidRPr="008C0200">
        <w:rPr>
          <w:rFonts w:eastAsia="TimesNewRoman,Italic" w:cs="TimesNewRoman,Italic"/>
          <w:iCs/>
        </w:rPr>
        <w:t xml:space="preserve">comments on the draft PI (clinical aspects), which included efficacy and safety data and detailed discussion to </w:t>
      </w:r>
      <w:r w:rsidRPr="008C0200">
        <w:rPr>
          <w:rFonts w:eastAsia="TimesNewRoman,Italic" w:cs="TimesNewRoman,Italic"/>
          <w:iCs/>
        </w:rPr>
        <w:t>support the s</w:t>
      </w:r>
      <w:r w:rsidR="00710870" w:rsidRPr="008C0200">
        <w:rPr>
          <w:rFonts w:eastAsia="TimesNewRoman,Italic" w:cs="TimesNewRoman,Italic"/>
          <w:iCs/>
        </w:rPr>
        <w:t>ponsor’s claim for an exte</w:t>
      </w:r>
      <w:r w:rsidR="0083578A" w:rsidRPr="008C0200">
        <w:rPr>
          <w:rFonts w:eastAsia="TimesNewRoman,Italic" w:cs="TimesNewRoman,Italic"/>
          <w:iCs/>
        </w:rPr>
        <w:t xml:space="preserve">nded 16 </w:t>
      </w:r>
      <w:r w:rsidR="00404101" w:rsidRPr="008C0200">
        <w:rPr>
          <w:rFonts w:eastAsia="TimesNewRoman,Italic" w:cs="TimesNewRoman,Italic"/>
          <w:iCs/>
        </w:rPr>
        <w:t>week induction regimen</w:t>
      </w:r>
      <w:r w:rsidR="008C0200" w:rsidRPr="008C0200">
        <w:rPr>
          <w:rFonts w:eastAsia="TimesNewRoman,Italic" w:cs="TimesNewRoman,Italic"/>
          <w:iCs/>
        </w:rPr>
        <w:t>, however discussion of this is beyond the scope of the AusPAR.</w:t>
      </w:r>
    </w:p>
    <w:p w14:paraId="15EC9C60" w14:textId="77777777" w:rsidR="00710870" w:rsidRPr="00B24B4C" w:rsidRDefault="00507AD6" w:rsidP="00507AD6">
      <w:pPr>
        <w:pStyle w:val="Heading6"/>
        <w:rPr>
          <w:lang w:eastAsia="ja-JP"/>
        </w:rPr>
      </w:pPr>
      <w:r>
        <w:rPr>
          <w:lang w:eastAsia="ja-JP"/>
        </w:rPr>
        <w:t>Evaluation of response</w:t>
      </w:r>
    </w:p>
    <w:p w14:paraId="3137D383" w14:textId="77777777" w:rsidR="00710870" w:rsidRDefault="0083578A" w:rsidP="00507AD6">
      <w:pPr>
        <w:rPr>
          <w:lang w:eastAsia="ja-JP"/>
        </w:rPr>
      </w:pPr>
      <w:r>
        <w:rPr>
          <w:lang w:eastAsia="ja-JP"/>
        </w:rPr>
        <w:t>Approximately 50% of non-</w:t>
      </w:r>
      <w:r w:rsidR="00710870">
        <w:rPr>
          <w:lang w:eastAsia="ja-JP"/>
        </w:rPr>
        <w:t xml:space="preserve">responders at the end of their induction treatment went on to achieve a clinical response after a further 2 months of </w:t>
      </w:r>
      <w:r>
        <w:rPr>
          <w:lang w:eastAsia="ja-JP"/>
        </w:rPr>
        <w:t>open label</w:t>
      </w:r>
      <w:r w:rsidR="00710870">
        <w:rPr>
          <w:lang w:eastAsia="ja-JP"/>
        </w:rPr>
        <w:t xml:space="preserve"> </w:t>
      </w:r>
      <w:proofErr w:type="spellStart"/>
      <w:r w:rsidR="00710870">
        <w:rPr>
          <w:lang w:eastAsia="ja-JP"/>
        </w:rPr>
        <w:t>tofacitinib</w:t>
      </w:r>
      <w:proofErr w:type="spellEnd"/>
      <w:r w:rsidR="00710870">
        <w:rPr>
          <w:lang w:eastAsia="ja-JP"/>
        </w:rPr>
        <w:t xml:space="preserve"> 10 mg BID treatment.</w:t>
      </w:r>
    </w:p>
    <w:p w14:paraId="45BA0AC0" w14:textId="4A028F61" w:rsidR="00710870" w:rsidRDefault="00710870" w:rsidP="00507AD6">
      <w:pPr>
        <w:rPr>
          <w:lang w:eastAsia="ja-JP"/>
        </w:rPr>
      </w:pPr>
      <w:r>
        <w:rPr>
          <w:lang w:eastAsia="ja-JP"/>
        </w:rPr>
        <w:lastRenderedPageBreak/>
        <w:t xml:space="preserve">The differences in </w:t>
      </w:r>
      <w:r w:rsidR="00EB1177">
        <w:rPr>
          <w:lang w:eastAsia="ja-JP"/>
        </w:rPr>
        <w:t>b</w:t>
      </w:r>
      <w:r w:rsidR="00CF6A6C">
        <w:rPr>
          <w:lang w:eastAsia="ja-JP"/>
        </w:rPr>
        <w:t>aseline</w:t>
      </w:r>
      <w:r>
        <w:rPr>
          <w:lang w:eastAsia="ja-JP"/>
        </w:rPr>
        <w:t xml:space="preserve"> demographic and disease characteristics between the induction Week 8 clinical responders to </w:t>
      </w:r>
      <w:proofErr w:type="spellStart"/>
      <w:r>
        <w:rPr>
          <w:lang w:eastAsia="ja-JP"/>
        </w:rPr>
        <w:t>tofacitinib</w:t>
      </w:r>
      <w:proofErr w:type="spellEnd"/>
      <w:r>
        <w:rPr>
          <w:lang w:eastAsia="ja-JP"/>
        </w:rPr>
        <w:t xml:space="preserve"> 10 mg BID treatment and those induction non-responders who achieved clinical response after a further 2 months </w:t>
      </w:r>
      <w:r w:rsidR="00404101">
        <w:rPr>
          <w:lang w:eastAsia="ja-JP"/>
        </w:rPr>
        <w:t>open label</w:t>
      </w:r>
      <w:r>
        <w:rPr>
          <w:lang w:eastAsia="ja-JP"/>
        </w:rPr>
        <w:t xml:space="preserve"> </w:t>
      </w:r>
      <w:proofErr w:type="spellStart"/>
      <w:r>
        <w:rPr>
          <w:lang w:eastAsia="ja-JP"/>
        </w:rPr>
        <w:t>tofacitinib</w:t>
      </w:r>
      <w:proofErr w:type="spellEnd"/>
      <w:r>
        <w:rPr>
          <w:lang w:eastAsia="ja-JP"/>
        </w:rPr>
        <w:t xml:space="preserve"> 10 mg BID treatment (</w:t>
      </w:r>
      <w:proofErr w:type="spellStart"/>
      <w:r>
        <w:rPr>
          <w:lang w:eastAsia="ja-JP"/>
        </w:rPr>
        <w:t>IndNR</w:t>
      </w:r>
      <w:proofErr w:type="spellEnd"/>
      <w:r>
        <w:rPr>
          <w:lang w:eastAsia="ja-JP"/>
        </w:rPr>
        <w:t xml:space="preserve"> responders) are essentially the same as those described und</w:t>
      </w:r>
      <w:r w:rsidR="0083578A">
        <w:rPr>
          <w:lang w:eastAsia="ja-JP"/>
        </w:rPr>
        <w:t>er clinical question 4 response.</w:t>
      </w:r>
    </w:p>
    <w:p w14:paraId="0D3B5081" w14:textId="3546BF9A" w:rsidR="00710870" w:rsidRPr="00207400" w:rsidRDefault="00710870" w:rsidP="00507AD6">
      <w:pPr>
        <w:pStyle w:val="ListBullet"/>
        <w:rPr>
          <w:rFonts w:asciiTheme="minorHAnsi" w:eastAsia="TimesNewRoman" w:hAnsiTheme="minorHAnsi" w:cs="TimesNewRoman"/>
          <w:color w:val="000000"/>
        </w:rPr>
      </w:pPr>
      <w:r w:rsidRPr="00207400">
        <w:rPr>
          <w:rFonts w:asciiTheme="minorHAnsi" w:eastAsia="TimesNewRoman" w:hAnsiTheme="minorHAnsi" w:cs="TimesNewRoman"/>
          <w:color w:val="000000"/>
        </w:rPr>
        <w:t xml:space="preserve">Generally, </w:t>
      </w:r>
      <w:r w:rsidR="00EB1177">
        <w:rPr>
          <w:rFonts w:asciiTheme="minorHAnsi" w:eastAsia="TimesNewRoman" w:hAnsiTheme="minorHAnsi" w:cs="TimesNewRoman"/>
          <w:color w:val="000000"/>
        </w:rPr>
        <w:t>b</w:t>
      </w:r>
      <w:r w:rsidR="00CF6A6C">
        <w:rPr>
          <w:rFonts w:asciiTheme="minorHAnsi" w:eastAsia="TimesNewRoman" w:hAnsiTheme="minorHAnsi" w:cs="TimesNewRoman"/>
          <w:color w:val="000000"/>
        </w:rPr>
        <w:t>aseline</w:t>
      </w:r>
      <w:r w:rsidRPr="00207400">
        <w:rPr>
          <w:rFonts w:asciiTheme="minorHAnsi" w:eastAsia="TimesNewRoman" w:hAnsiTheme="minorHAnsi" w:cs="TimesNewRoman"/>
          <w:color w:val="000000"/>
        </w:rPr>
        <w:t xml:space="preserve"> demographics (</w:t>
      </w:r>
      <w:r w:rsidR="00404101">
        <w:rPr>
          <w:rFonts w:asciiTheme="minorHAnsi" w:eastAsia="TimesNewRoman" w:hAnsiTheme="minorHAnsi" w:cs="TimesNewRoman"/>
          <w:color w:val="000000"/>
        </w:rPr>
        <w:t>for example</w:t>
      </w:r>
      <w:r w:rsidRPr="00207400">
        <w:rPr>
          <w:rFonts w:asciiTheme="minorHAnsi" w:eastAsia="TimesNewRoman" w:hAnsiTheme="minorHAnsi" w:cs="TimesNewRoman"/>
          <w:color w:val="000000"/>
        </w:rPr>
        <w:t xml:space="preserve"> age, sex and race) were similar </w:t>
      </w:r>
      <w:r>
        <w:rPr>
          <w:lang w:eastAsia="ja-JP"/>
        </w:rPr>
        <w:t xml:space="preserve">between the induction Week 8 clinical responders and the </w:t>
      </w:r>
      <w:r w:rsidR="00404101">
        <w:rPr>
          <w:lang w:eastAsia="ja-JP"/>
        </w:rPr>
        <w:t>open label</w:t>
      </w:r>
      <w:r>
        <w:rPr>
          <w:lang w:eastAsia="ja-JP"/>
        </w:rPr>
        <w:t xml:space="preserve"> 2 month </w:t>
      </w:r>
      <w:proofErr w:type="spellStart"/>
      <w:r>
        <w:rPr>
          <w:lang w:eastAsia="ja-JP"/>
        </w:rPr>
        <w:t>IndNR</w:t>
      </w:r>
      <w:proofErr w:type="spellEnd"/>
      <w:r>
        <w:rPr>
          <w:lang w:eastAsia="ja-JP"/>
        </w:rPr>
        <w:t xml:space="preserve"> responders;</w:t>
      </w:r>
    </w:p>
    <w:p w14:paraId="378C15CB" w14:textId="77777777" w:rsidR="00710870" w:rsidRDefault="00710870" w:rsidP="00507AD6">
      <w:pPr>
        <w:pStyle w:val="ListBullet"/>
        <w:rPr>
          <w:rFonts w:asciiTheme="minorHAnsi" w:eastAsia="TimesNewRoman" w:hAnsiTheme="minorHAnsi" w:cs="TimesNewRoman"/>
          <w:color w:val="000000"/>
        </w:rPr>
      </w:pPr>
      <w:r w:rsidRPr="00207400">
        <w:rPr>
          <w:rFonts w:asciiTheme="minorHAnsi" w:eastAsia="TimesNewRoman" w:hAnsiTheme="minorHAnsi" w:cs="TimesNewRoman"/>
          <w:color w:val="000000"/>
        </w:rPr>
        <w:t xml:space="preserve">Disease characteristics between </w:t>
      </w:r>
      <w:r>
        <w:rPr>
          <w:lang w:eastAsia="ja-JP"/>
        </w:rPr>
        <w:t xml:space="preserve">induction Week 8 clinical responders and the </w:t>
      </w:r>
      <w:r w:rsidR="00404101">
        <w:rPr>
          <w:lang w:eastAsia="ja-JP"/>
        </w:rPr>
        <w:t>open label</w:t>
      </w:r>
      <w:r>
        <w:rPr>
          <w:lang w:eastAsia="ja-JP"/>
        </w:rPr>
        <w:t xml:space="preserve"> 2 month </w:t>
      </w:r>
      <w:proofErr w:type="spellStart"/>
      <w:r>
        <w:rPr>
          <w:lang w:eastAsia="ja-JP"/>
        </w:rPr>
        <w:t>IndNR</w:t>
      </w:r>
      <w:proofErr w:type="spellEnd"/>
      <w:r>
        <w:rPr>
          <w:lang w:eastAsia="ja-JP"/>
        </w:rPr>
        <w:t xml:space="preserve"> responders </w:t>
      </w:r>
      <w:r w:rsidRPr="00207400">
        <w:rPr>
          <w:rFonts w:asciiTheme="minorHAnsi" w:eastAsia="TimesNewRoman" w:hAnsiTheme="minorHAnsi" w:cs="TimesNewRoman"/>
          <w:color w:val="000000"/>
        </w:rPr>
        <w:t>were generally similar for mean duration of UC, extent of disease (</w:t>
      </w:r>
      <w:r>
        <w:rPr>
          <w:rFonts w:asciiTheme="minorHAnsi" w:eastAsia="TimesNewRoman" w:hAnsiTheme="minorHAnsi" w:cs="TimesNewRoman"/>
          <w:color w:val="000000"/>
        </w:rPr>
        <w:t>with</w:t>
      </w:r>
      <w:r w:rsidRPr="00207400">
        <w:rPr>
          <w:rFonts w:asciiTheme="minorHAnsi" w:eastAsia="TimesNewRoman" w:hAnsiTheme="minorHAnsi" w:cs="TimesNewRoman"/>
          <w:color w:val="000000"/>
        </w:rPr>
        <w:t xml:space="preserve"> less extensive colitis/</w:t>
      </w:r>
      <w:proofErr w:type="spellStart"/>
      <w:r w:rsidRPr="00207400">
        <w:rPr>
          <w:rFonts w:asciiTheme="minorHAnsi" w:eastAsia="TimesNewRoman" w:hAnsiTheme="minorHAnsi" w:cs="TimesNewRoman"/>
          <w:color w:val="000000"/>
        </w:rPr>
        <w:t>pancolitis</w:t>
      </w:r>
      <w:proofErr w:type="spellEnd"/>
      <w:r>
        <w:rPr>
          <w:rFonts w:asciiTheme="minorHAnsi" w:eastAsia="TimesNewRoman" w:hAnsiTheme="minorHAnsi" w:cs="TimesNewRoman"/>
          <w:color w:val="000000"/>
        </w:rPr>
        <w:t xml:space="preserve"> and more proctosigmoiditis and left-sided colitis, </w:t>
      </w:r>
      <w:r w:rsidRPr="00207400">
        <w:rPr>
          <w:rFonts w:asciiTheme="minorHAnsi" w:eastAsia="TimesNewRoman" w:hAnsiTheme="minorHAnsi" w:cs="TimesNewRoman"/>
          <w:color w:val="000000"/>
        </w:rPr>
        <w:t xml:space="preserve">in the </w:t>
      </w:r>
      <w:proofErr w:type="spellStart"/>
      <w:r w:rsidRPr="00207400">
        <w:rPr>
          <w:rFonts w:asciiTheme="minorHAnsi" w:eastAsia="TimesNewRoman" w:hAnsiTheme="minorHAnsi" w:cs="TimesNewRoman"/>
          <w:color w:val="000000"/>
        </w:rPr>
        <w:t>IndNR</w:t>
      </w:r>
      <w:proofErr w:type="spellEnd"/>
      <w:r w:rsidRPr="00207400">
        <w:rPr>
          <w:rFonts w:asciiTheme="minorHAnsi" w:eastAsia="TimesNewRoman" w:hAnsiTheme="minorHAnsi" w:cs="TimesNewRoman"/>
          <w:color w:val="000000"/>
        </w:rPr>
        <w:t xml:space="preserve"> responders) and </w:t>
      </w:r>
      <w:r>
        <w:rPr>
          <w:rFonts w:asciiTheme="minorHAnsi" w:eastAsia="TimesNewRoman" w:hAnsiTheme="minorHAnsi" w:cs="TimesNewRoman"/>
          <w:color w:val="000000"/>
        </w:rPr>
        <w:t>t</w:t>
      </w:r>
      <w:r w:rsidRPr="00207400">
        <w:rPr>
          <w:rFonts w:asciiTheme="minorHAnsi" w:eastAsia="TimesNewRoman" w:hAnsiTheme="minorHAnsi" w:cs="TimesNewRoman"/>
          <w:color w:val="000000"/>
        </w:rPr>
        <w:t>otal Mayo score</w:t>
      </w:r>
      <w:r w:rsidR="0083578A">
        <w:rPr>
          <w:rFonts w:asciiTheme="minorHAnsi" w:eastAsia="TimesNewRoman" w:hAnsiTheme="minorHAnsi" w:cs="TimesNewRoman"/>
          <w:color w:val="000000"/>
        </w:rPr>
        <w:t xml:space="preserve"> categories &lt; 8 and 8 to </w:t>
      </w:r>
      <w:r>
        <w:rPr>
          <w:rFonts w:asciiTheme="minorHAnsi" w:eastAsia="TimesNewRoman" w:hAnsiTheme="minorHAnsi" w:cs="TimesNewRoman"/>
          <w:color w:val="000000"/>
        </w:rPr>
        <w:t>10.</w:t>
      </w:r>
    </w:p>
    <w:p w14:paraId="142CD7AD" w14:textId="2F7396D5" w:rsidR="00710870" w:rsidRDefault="00710870" w:rsidP="00507AD6">
      <w:r>
        <w:t>However, t</w:t>
      </w:r>
      <w:r w:rsidRPr="00E524E0">
        <w:t xml:space="preserve">here </w:t>
      </w:r>
      <w:r>
        <w:t>were a</w:t>
      </w:r>
      <w:r w:rsidRPr="00E524E0">
        <w:t xml:space="preserve"> larger proportion </w:t>
      </w:r>
      <w:r>
        <w:t>of subjects in the pooled</w:t>
      </w:r>
      <w:r w:rsidRPr="00020755">
        <w:rPr>
          <w:lang w:eastAsia="ja-JP"/>
        </w:rPr>
        <w:t xml:space="preserve"> </w:t>
      </w:r>
      <w:proofErr w:type="spellStart"/>
      <w:r>
        <w:rPr>
          <w:lang w:eastAsia="ja-JP"/>
        </w:rPr>
        <w:t>IndNR</w:t>
      </w:r>
      <w:proofErr w:type="spellEnd"/>
      <w:r>
        <w:rPr>
          <w:lang w:eastAsia="ja-JP"/>
        </w:rPr>
        <w:t xml:space="preserve"> responder group </w:t>
      </w:r>
      <w:r>
        <w:t xml:space="preserve">compared with pooled Week 8 clinical responders, </w:t>
      </w:r>
      <w:r w:rsidRPr="00E524E0">
        <w:t xml:space="preserve">with higher </w:t>
      </w:r>
      <w:r w:rsidR="00EB1177">
        <w:t>b</w:t>
      </w:r>
      <w:r w:rsidR="00CF6A6C">
        <w:t>aseline</w:t>
      </w:r>
      <w:r>
        <w:t>:</w:t>
      </w:r>
    </w:p>
    <w:p w14:paraId="175AD3E7" w14:textId="21E48F22" w:rsidR="00710870" w:rsidRDefault="00710870" w:rsidP="00507AD6">
      <w:pPr>
        <w:pStyle w:val="Numberbullet0"/>
        <w:numPr>
          <w:ilvl w:val="0"/>
          <w:numId w:val="33"/>
        </w:numPr>
        <w:rPr>
          <w:lang w:eastAsia="ja-JP"/>
        </w:rPr>
      </w:pPr>
      <w:r w:rsidRPr="00263126">
        <w:t>Disease severity (</w:t>
      </w:r>
      <w:r w:rsidR="00F14B34">
        <w:t>that is,</w:t>
      </w:r>
      <w:r w:rsidRPr="00263126">
        <w:t xml:space="preserve"> </w:t>
      </w:r>
      <w:r w:rsidR="00EB1177">
        <w:t>b</w:t>
      </w:r>
      <w:r w:rsidR="00CF6A6C">
        <w:t>aseline</w:t>
      </w:r>
      <w:r w:rsidRPr="00263126">
        <w:t xml:space="preserve"> total Mayo score &gt;</w:t>
      </w:r>
      <w:r w:rsidR="009441E1">
        <w:t xml:space="preserve"> </w:t>
      </w:r>
      <w:r w:rsidRPr="00263126">
        <w:t xml:space="preserve">10; </w:t>
      </w:r>
      <w:r>
        <w:rPr>
          <w:lang w:eastAsia="ja-JP"/>
        </w:rPr>
        <w:t xml:space="preserve">20.3% </w:t>
      </w:r>
      <w:r w:rsidR="009D375F">
        <w:rPr>
          <w:lang w:eastAsia="ja-JP"/>
        </w:rPr>
        <w:t>versus</w:t>
      </w:r>
      <w:r>
        <w:rPr>
          <w:lang w:eastAsia="ja-JP"/>
        </w:rPr>
        <w:t xml:space="preserve"> 10.9%, respectively),</w:t>
      </w:r>
    </w:p>
    <w:p w14:paraId="12800669" w14:textId="77777777" w:rsidR="00710870" w:rsidRDefault="00710870" w:rsidP="00507AD6">
      <w:pPr>
        <w:pStyle w:val="Numberbullet0"/>
        <w:numPr>
          <w:ilvl w:val="0"/>
          <w:numId w:val="33"/>
        </w:numPr>
        <w:rPr>
          <w:lang w:eastAsia="ja-JP"/>
        </w:rPr>
      </w:pPr>
      <w:r>
        <w:rPr>
          <w:lang w:eastAsia="ja-JP"/>
        </w:rPr>
        <w:t xml:space="preserve">Prior </w:t>
      </w:r>
      <w:proofErr w:type="spellStart"/>
      <w:r>
        <w:rPr>
          <w:lang w:eastAsia="ja-JP"/>
        </w:rPr>
        <w:t>TNFi</w:t>
      </w:r>
      <w:proofErr w:type="spellEnd"/>
      <w:r>
        <w:rPr>
          <w:lang w:eastAsia="ja-JP"/>
        </w:rPr>
        <w:t xml:space="preserve"> exposure (59.5% </w:t>
      </w:r>
      <w:r w:rsidR="009D375F">
        <w:rPr>
          <w:lang w:eastAsia="ja-JP"/>
        </w:rPr>
        <w:t>versus</w:t>
      </w:r>
      <w:r>
        <w:rPr>
          <w:lang w:eastAsia="ja-JP"/>
        </w:rPr>
        <w:t xml:space="preserve"> 48.8%, respectively); and</w:t>
      </w:r>
    </w:p>
    <w:p w14:paraId="5482942E" w14:textId="77777777" w:rsidR="00710870" w:rsidRDefault="00710870" w:rsidP="00507AD6">
      <w:pPr>
        <w:pStyle w:val="Numberbullet0"/>
        <w:numPr>
          <w:ilvl w:val="0"/>
          <w:numId w:val="33"/>
        </w:numPr>
      </w:pPr>
      <w:r>
        <w:rPr>
          <w:lang w:eastAsia="ja-JP"/>
        </w:rPr>
        <w:t xml:space="preserve">Prior </w:t>
      </w:r>
      <w:proofErr w:type="spellStart"/>
      <w:r>
        <w:rPr>
          <w:lang w:eastAsia="ja-JP"/>
        </w:rPr>
        <w:t>TNFi</w:t>
      </w:r>
      <w:proofErr w:type="spellEnd"/>
      <w:r>
        <w:rPr>
          <w:lang w:eastAsia="ja-JP"/>
        </w:rPr>
        <w:t xml:space="preserve"> failure (57.4% </w:t>
      </w:r>
      <w:r w:rsidR="009D375F">
        <w:rPr>
          <w:lang w:eastAsia="ja-JP"/>
        </w:rPr>
        <w:t>versus</w:t>
      </w:r>
      <w:r>
        <w:rPr>
          <w:lang w:eastAsia="ja-JP"/>
        </w:rPr>
        <w:t xml:space="preserve"> 45.5%, respectively).</w:t>
      </w:r>
    </w:p>
    <w:p w14:paraId="307B7EBB" w14:textId="77777777" w:rsidR="00710870" w:rsidRDefault="00710870" w:rsidP="00507AD6">
      <w:r>
        <w:t xml:space="preserve">These results suggest patients most likely to benefit from treatment have a) less severe UC disease, b) less prior exposure to </w:t>
      </w:r>
      <w:proofErr w:type="spellStart"/>
      <w:r>
        <w:t>TNFi</w:t>
      </w:r>
      <w:proofErr w:type="spellEnd"/>
      <w:r>
        <w:t xml:space="preserve"> treatment and c) less prior failure to </w:t>
      </w:r>
      <w:proofErr w:type="spellStart"/>
      <w:r>
        <w:t>TNFi</w:t>
      </w:r>
      <w:proofErr w:type="spellEnd"/>
      <w:r>
        <w:t xml:space="preserve"> treatment. Furthermore, these results might also suggest that prolonged exposure to </w:t>
      </w:r>
      <w:proofErr w:type="spellStart"/>
      <w:r>
        <w:t>tofacitinib</w:t>
      </w:r>
      <w:proofErr w:type="spellEnd"/>
      <w:r>
        <w:t xml:space="preserve"> 10 mg BID treatment, beyond 8 weeks initial treatment may benefit some persons who did not achieve an adequate clinical response at 8 weeks </w:t>
      </w:r>
      <w:r w:rsidR="00F14B34">
        <w:t>that is,</w:t>
      </w:r>
      <w:r>
        <w:t xml:space="preserve"> some persons with more difficult to treat or severe UC disease may benefit from an extended inductio</w:t>
      </w:r>
      <w:r w:rsidR="003771B1">
        <w:t>n. This forms the basis of the s</w:t>
      </w:r>
      <w:r>
        <w:t>ponsor’s claim for an extended induction to 16 weeks.</w:t>
      </w:r>
    </w:p>
    <w:p w14:paraId="0CB9937E" w14:textId="77777777" w:rsidR="00710870" w:rsidRPr="00B24B4C" w:rsidRDefault="00CA3661" w:rsidP="00CA3661">
      <w:pPr>
        <w:pStyle w:val="Heading4"/>
        <w:rPr>
          <w:lang w:eastAsia="ja-JP"/>
        </w:rPr>
      </w:pPr>
      <w:r>
        <w:rPr>
          <w:lang w:eastAsia="ja-JP"/>
        </w:rPr>
        <w:t xml:space="preserve">Overall summary of evaluation of sponsor’s response to </w:t>
      </w:r>
      <w:r w:rsidRPr="00B24B4C">
        <w:rPr>
          <w:lang w:eastAsia="ja-JP"/>
        </w:rPr>
        <w:t>clinical questions</w:t>
      </w:r>
    </w:p>
    <w:p w14:paraId="465C0E28" w14:textId="77777777" w:rsidR="006136D7" w:rsidRPr="00605AD4" w:rsidRDefault="00CA3661" w:rsidP="006136D7">
      <w:pPr>
        <w:rPr>
          <w:lang w:eastAsia="ja-JP"/>
        </w:rPr>
      </w:pPr>
      <w:r>
        <w:rPr>
          <w:lang w:eastAsia="ja-JP"/>
        </w:rPr>
        <w:t>Generally the s</w:t>
      </w:r>
      <w:r w:rsidR="00710870">
        <w:rPr>
          <w:lang w:eastAsia="ja-JP"/>
        </w:rPr>
        <w:t>ponsor’s responses, including supporting data, were acceptable</w:t>
      </w:r>
      <w:r>
        <w:rPr>
          <w:lang w:eastAsia="ja-JP"/>
        </w:rPr>
        <w:t xml:space="preserve"> and relevant to the clinical q</w:t>
      </w:r>
      <w:r w:rsidR="00710870">
        <w:rPr>
          <w:lang w:eastAsia="ja-JP"/>
        </w:rPr>
        <w:t>uestions.</w:t>
      </w:r>
    </w:p>
    <w:p w14:paraId="5497F603" w14:textId="77D0DFB5" w:rsidR="00605AD4" w:rsidRPr="00605AD4" w:rsidRDefault="00605AD4" w:rsidP="00546154">
      <w:pPr>
        <w:pStyle w:val="Heading3"/>
        <w:rPr>
          <w:rFonts w:eastAsia="Cambria"/>
        </w:rPr>
      </w:pPr>
      <w:bookmarkStart w:id="199" w:name="_Toc20301906"/>
      <w:r w:rsidRPr="00605AD4">
        <w:rPr>
          <w:rFonts w:eastAsia="Cambria"/>
        </w:rPr>
        <w:t xml:space="preserve">Second </w:t>
      </w:r>
      <w:r w:rsidR="009870DC" w:rsidRPr="00605AD4">
        <w:rPr>
          <w:rFonts w:eastAsia="Cambria"/>
        </w:rPr>
        <w:t>round benefit-risk assessment</w:t>
      </w:r>
      <w:bookmarkEnd w:id="199"/>
    </w:p>
    <w:p w14:paraId="64C5B6FE" w14:textId="77777777" w:rsidR="00710870" w:rsidRDefault="00710870" w:rsidP="00C201CB">
      <w:pPr>
        <w:pStyle w:val="Heading4"/>
      </w:pPr>
      <w:bookmarkStart w:id="200" w:name="_Toc272414709"/>
      <w:bookmarkStart w:id="201" w:name="_Toc290888575"/>
      <w:bookmarkStart w:id="202" w:name="_Toc416353792"/>
      <w:bookmarkStart w:id="203" w:name="_Toc421005334"/>
      <w:bookmarkStart w:id="204" w:name="_Toc432079207"/>
      <w:bookmarkStart w:id="205" w:name="_Toc432080780"/>
      <w:bookmarkStart w:id="206" w:name="_Toc506718201"/>
      <w:r w:rsidRPr="00500C5C">
        <w:t>Second round assessment of benefits</w:t>
      </w:r>
      <w:bookmarkEnd w:id="200"/>
      <w:bookmarkEnd w:id="201"/>
      <w:bookmarkEnd w:id="202"/>
      <w:bookmarkEnd w:id="203"/>
      <w:bookmarkEnd w:id="204"/>
      <w:bookmarkEnd w:id="205"/>
      <w:bookmarkEnd w:id="206"/>
    </w:p>
    <w:p w14:paraId="100A0951" w14:textId="77777777" w:rsidR="00710870" w:rsidRDefault="00710870" w:rsidP="00223C03">
      <w:r w:rsidRPr="0090173C">
        <w:t xml:space="preserve">After consideration of the responses to clinical questions, the benefits of </w:t>
      </w:r>
      <w:proofErr w:type="spellStart"/>
      <w:r>
        <w:t>tofacitinib</w:t>
      </w:r>
      <w:proofErr w:type="spellEnd"/>
      <w:r>
        <w:t xml:space="preserve"> citrate</w:t>
      </w:r>
      <w:r w:rsidRPr="0090173C">
        <w:t xml:space="preserve"> in the proposed usage are</w:t>
      </w:r>
      <w:r w:rsidR="00223C03">
        <w:t xml:space="preserve"> outlined in</w:t>
      </w:r>
      <w:r w:rsidR="004E5B1B">
        <w:t xml:space="preserve"> </w:t>
      </w:r>
      <w:r w:rsidR="004E5B1B">
        <w:fldChar w:fldCharType="begin"/>
      </w:r>
      <w:r w:rsidR="004E5B1B">
        <w:instrText xml:space="preserve"> REF _Ref15027044 \h </w:instrText>
      </w:r>
      <w:r w:rsidR="004E5B1B">
        <w:fldChar w:fldCharType="separate"/>
      </w:r>
      <w:r w:rsidR="004E5B1B">
        <w:t xml:space="preserve">Table </w:t>
      </w:r>
      <w:r w:rsidR="004E5B1B">
        <w:rPr>
          <w:noProof/>
        </w:rPr>
        <w:t>16</w:t>
      </w:r>
      <w:r w:rsidR="004E5B1B">
        <w:fldChar w:fldCharType="end"/>
      </w:r>
      <w:r w:rsidR="00223C03">
        <w:t>.</w:t>
      </w:r>
    </w:p>
    <w:p w14:paraId="6C141023" w14:textId="77777777" w:rsidR="00CA3661" w:rsidRPr="0090173C" w:rsidRDefault="004E5B1B" w:rsidP="004E5B1B">
      <w:pPr>
        <w:pStyle w:val="TableTitle"/>
      </w:pPr>
      <w:bookmarkStart w:id="207" w:name="_Ref15027044"/>
      <w:r>
        <w:lastRenderedPageBreak/>
        <w:t xml:space="preserve">Table </w:t>
      </w:r>
      <w:r w:rsidR="009870DC">
        <w:fldChar w:fldCharType="begin"/>
      </w:r>
      <w:r w:rsidR="009870DC">
        <w:instrText xml:space="preserve"> SEQ Table \* ARABIC </w:instrText>
      </w:r>
      <w:r w:rsidR="009870DC">
        <w:fldChar w:fldCharType="separate"/>
      </w:r>
      <w:r>
        <w:rPr>
          <w:noProof/>
        </w:rPr>
        <w:t>16</w:t>
      </w:r>
      <w:r w:rsidR="009870DC">
        <w:rPr>
          <w:noProof/>
        </w:rPr>
        <w:fldChar w:fldCharType="end"/>
      </w:r>
      <w:bookmarkEnd w:id="207"/>
      <w:r w:rsidR="00CA3661">
        <w:t>: Second round assessment of benefits</w:t>
      </w:r>
    </w:p>
    <w:tbl>
      <w:tblPr>
        <w:tblStyle w:val="TableTGAblue"/>
        <w:tblW w:w="0" w:type="auto"/>
        <w:tblLook w:val="04A0" w:firstRow="1" w:lastRow="0" w:firstColumn="1" w:lastColumn="0" w:noHBand="0" w:noVBand="1"/>
      </w:tblPr>
      <w:tblGrid>
        <w:gridCol w:w="4423"/>
        <w:gridCol w:w="4189"/>
      </w:tblGrid>
      <w:tr w:rsidR="00710870" w:rsidRPr="00CA3661" w14:paraId="75F8EF25" w14:textId="77777777" w:rsidTr="00CA3661">
        <w:trPr>
          <w:cnfStyle w:val="100000000000" w:firstRow="1" w:lastRow="0" w:firstColumn="0" w:lastColumn="0" w:oddVBand="0" w:evenVBand="0" w:oddHBand="0" w:evenHBand="0" w:firstRowFirstColumn="0" w:firstRowLastColumn="0" w:lastRowFirstColumn="0" w:lastRowLastColumn="0"/>
        </w:trPr>
        <w:tc>
          <w:tcPr>
            <w:tcW w:w="4423" w:type="dxa"/>
          </w:tcPr>
          <w:p w14:paraId="58BBF2E5" w14:textId="77777777" w:rsidR="00710870" w:rsidRPr="00CA3661" w:rsidRDefault="00710870" w:rsidP="002E3754">
            <w:pPr>
              <w:ind w:left="0" w:right="0"/>
              <w:rPr>
                <w:sz w:val="20"/>
                <w:szCs w:val="20"/>
              </w:rPr>
            </w:pPr>
            <w:r w:rsidRPr="00CA3661">
              <w:rPr>
                <w:sz w:val="20"/>
                <w:szCs w:val="20"/>
              </w:rPr>
              <w:t>Benefits</w:t>
            </w:r>
          </w:p>
        </w:tc>
        <w:tc>
          <w:tcPr>
            <w:tcW w:w="4189" w:type="dxa"/>
          </w:tcPr>
          <w:p w14:paraId="3D620F7C" w14:textId="77777777" w:rsidR="00710870" w:rsidRPr="00CA3661" w:rsidRDefault="00710870" w:rsidP="002E3754">
            <w:pPr>
              <w:ind w:left="0" w:right="0"/>
              <w:rPr>
                <w:sz w:val="20"/>
                <w:szCs w:val="20"/>
              </w:rPr>
            </w:pPr>
            <w:r w:rsidRPr="00CA3661">
              <w:rPr>
                <w:sz w:val="20"/>
                <w:szCs w:val="20"/>
              </w:rPr>
              <w:t>Strengths and Uncertainties</w:t>
            </w:r>
          </w:p>
        </w:tc>
      </w:tr>
      <w:tr w:rsidR="00710870" w:rsidRPr="00CA3661" w14:paraId="0CC26061" w14:textId="77777777" w:rsidTr="00CA3661">
        <w:tc>
          <w:tcPr>
            <w:tcW w:w="4423" w:type="dxa"/>
          </w:tcPr>
          <w:p w14:paraId="69FB5C3E" w14:textId="621F5B2C" w:rsidR="00710870" w:rsidRPr="00CA3661" w:rsidRDefault="00710870" w:rsidP="002E3754">
            <w:pPr>
              <w:keepNext/>
              <w:ind w:left="0" w:right="0"/>
              <w:rPr>
                <w:rFonts w:cstheme="minorHAnsi"/>
                <w:sz w:val="20"/>
                <w:szCs w:val="20"/>
              </w:rPr>
            </w:pPr>
            <w:r w:rsidRPr="00CA3661">
              <w:rPr>
                <w:rFonts w:cstheme="minorHAnsi"/>
                <w:sz w:val="20"/>
                <w:szCs w:val="20"/>
              </w:rPr>
              <w:t xml:space="preserve">A </w:t>
            </w:r>
            <w:proofErr w:type="spellStart"/>
            <w:r w:rsidRPr="00CA3661">
              <w:rPr>
                <w:rFonts w:cstheme="minorHAnsi"/>
                <w:sz w:val="20"/>
                <w:szCs w:val="20"/>
              </w:rPr>
              <w:t>tofacitinib</w:t>
            </w:r>
            <w:proofErr w:type="spellEnd"/>
            <w:r w:rsidRPr="00CA3661">
              <w:rPr>
                <w:rFonts w:cstheme="minorHAnsi"/>
                <w:sz w:val="20"/>
                <w:szCs w:val="20"/>
              </w:rPr>
              <w:t xml:space="preserve"> 10 mg </w:t>
            </w:r>
            <w:r w:rsidR="00F14B34">
              <w:rPr>
                <w:rFonts w:cstheme="minorHAnsi"/>
                <w:sz w:val="20"/>
                <w:szCs w:val="20"/>
              </w:rPr>
              <w:t>BID</w:t>
            </w:r>
            <w:r w:rsidRPr="00CA3661">
              <w:rPr>
                <w:rFonts w:cstheme="minorHAnsi"/>
                <w:sz w:val="20"/>
                <w:szCs w:val="20"/>
              </w:rPr>
              <w:t xml:space="preserve"> regimen produces a clinically meaningful treatment response (remissi</w:t>
            </w:r>
            <w:r w:rsidR="00412140">
              <w:rPr>
                <w:rFonts w:cstheme="minorHAnsi"/>
                <w:sz w:val="20"/>
                <w:szCs w:val="20"/>
              </w:rPr>
              <w:t xml:space="preserve">on and mucosal healing) in an 8 </w:t>
            </w:r>
            <w:r w:rsidRPr="00CA3661">
              <w:rPr>
                <w:rFonts w:cstheme="minorHAnsi"/>
                <w:sz w:val="20"/>
                <w:szCs w:val="20"/>
              </w:rPr>
              <w:t>week induction regimen in patients with moderately</w:t>
            </w:r>
            <w:r w:rsidRPr="00CA3661">
              <w:rPr>
                <w:rFonts w:cstheme="minorHAnsi"/>
                <w:strike/>
                <w:sz w:val="20"/>
                <w:szCs w:val="20"/>
              </w:rPr>
              <w:t xml:space="preserve"> </w:t>
            </w:r>
            <w:r w:rsidRPr="00CA3661">
              <w:rPr>
                <w:rFonts w:cstheme="minorHAnsi"/>
                <w:sz w:val="20"/>
                <w:szCs w:val="20"/>
              </w:rPr>
              <w:t>active ulcerative colitis. A clinically meaningful response was noted as early as 2 weeks post-</w:t>
            </w:r>
            <w:r w:rsidR="00CF6A6C">
              <w:rPr>
                <w:rFonts w:cstheme="minorHAnsi"/>
                <w:sz w:val="20"/>
                <w:szCs w:val="20"/>
              </w:rPr>
              <w:t>Baseline</w:t>
            </w:r>
            <w:r w:rsidRPr="00CA3661">
              <w:rPr>
                <w:rFonts w:cstheme="minorHAnsi"/>
                <w:sz w:val="20"/>
                <w:szCs w:val="20"/>
              </w:rPr>
              <w:t xml:space="preserve"> and persisted </w:t>
            </w:r>
            <w:r w:rsidR="00CA3661" w:rsidRPr="00CA3661">
              <w:rPr>
                <w:rFonts w:cstheme="minorHAnsi"/>
                <w:sz w:val="20"/>
                <w:szCs w:val="20"/>
              </w:rPr>
              <w:t>throughout the study duration.</w:t>
            </w:r>
          </w:p>
        </w:tc>
        <w:tc>
          <w:tcPr>
            <w:tcW w:w="4189" w:type="dxa"/>
          </w:tcPr>
          <w:p w14:paraId="6B0EB5D3" w14:textId="77777777" w:rsidR="00710870" w:rsidRPr="00CA3661" w:rsidRDefault="00710870" w:rsidP="002E3754">
            <w:pPr>
              <w:keepNext/>
              <w:ind w:left="0" w:right="0"/>
              <w:rPr>
                <w:sz w:val="20"/>
                <w:szCs w:val="20"/>
              </w:rPr>
            </w:pPr>
            <w:r w:rsidRPr="00CA3661">
              <w:rPr>
                <w:sz w:val="20"/>
                <w:szCs w:val="20"/>
              </w:rPr>
              <w:t xml:space="preserve">The lowest effective dose that may induce remission in the target population remains unknown. The </w:t>
            </w:r>
            <w:r w:rsidR="003771B1">
              <w:rPr>
                <w:sz w:val="20"/>
                <w:szCs w:val="20"/>
              </w:rPr>
              <w:t>sponsor</w:t>
            </w:r>
            <w:r w:rsidRPr="00CA3661">
              <w:rPr>
                <w:sz w:val="20"/>
                <w:szCs w:val="20"/>
              </w:rPr>
              <w:t xml:space="preserve"> provided post hoc analyses using sparse pharmacokinetic data from the </w:t>
            </w:r>
            <w:r w:rsidR="00B7366A">
              <w:rPr>
                <w:sz w:val="20"/>
                <w:szCs w:val="20"/>
              </w:rPr>
              <w:t>Phase</w:t>
            </w:r>
            <w:r w:rsidRPr="00CA3661">
              <w:rPr>
                <w:sz w:val="20"/>
                <w:szCs w:val="20"/>
              </w:rPr>
              <w:t xml:space="preserve"> II dose-ranging induction study (and post hoc analyses using sparse PK data from the </w:t>
            </w:r>
            <w:r w:rsidR="00B7366A">
              <w:rPr>
                <w:sz w:val="20"/>
                <w:szCs w:val="20"/>
              </w:rPr>
              <w:t>Phase</w:t>
            </w:r>
            <w:r w:rsidRPr="00CA3661">
              <w:rPr>
                <w:sz w:val="20"/>
                <w:szCs w:val="20"/>
              </w:rPr>
              <w:t xml:space="preserve"> III pivotal induction studies) to support a 10 mg BID dose regimen. Such analyses need to have a high degree of precision and reproducibility, and have potential to introduce bias into the study design, which may affect the validity of the study results. No analysis of the minimum effective dose was calculated or discussed in any model.</w:t>
            </w:r>
          </w:p>
          <w:p w14:paraId="2E6250CC" w14:textId="636B3090" w:rsidR="00710870" w:rsidRPr="00CA3661" w:rsidRDefault="00710870" w:rsidP="00EB1177">
            <w:pPr>
              <w:keepNext/>
              <w:ind w:left="0" w:right="0"/>
              <w:rPr>
                <w:strike/>
                <w:sz w:val="20"/>
                <w:szCs w:val="20"/>
              </w:rPr>
            </w:pPr>
            <w:r w:rsidRPr="00CA3661">
              <w:rPr>
                <w:sz w:val="20"/>
                <w:szCs w:val="20"/>
              </w:rPr>
              <w:t xml:space="preserve">The </w:t>
            </w:r>
            <w:r w:rsidR="00EB1177">
              <w:rPr>
                <w:sz w:val="20"/>
                <w:szCs w:val="20"/>
              </w:rPr>
              <w:t>b</w:t>
            </w:r>
            <w:r w:rsidR="00CF6A6C">
              <w:rPr>
                <w:sz w:val="20"/>
                <w:szCs w:val="20"/>
              </w:rPr>
              <w:t>aseline</w:t>
            </w:r>
            <w:r w:rsidRPr="00CA3661">
              <w:rPr>
                <w:sz w:val="20"/>
                <w:szCs w:val="20"/>
              </w:rPr>
              <w:t xml:space="preserve"> demographic and disease characteristics of the induction non-re</w:t>
            </w:r>
            <w:r w:rsidR="00223C03">
              <w:rPr>
                <w:sz w:val="20"/>
                <w:szCs w:val="20"/>
              </w:rPr>
              <w:t xml:space="preserve">sponders </w:t>
            </w:r>
            <w:r w:rsidR="00412140">
              <w:rPr>
                <w:sz w:val="20"/>
                <w:szCs w:val="20"/>
              </w:rPr>
              <w:t>has been presented in clinical Q</w:t>
            </w:r>
            <w:r w:rsidRPr="00CA3661">
              <w:rPr>
                <w:sz w:val="20"/>
                <w:szCs w:val="20"/>
              </w:rPr>
              <w:t xml:space="preserve">uestion 4. Non-responders generally had less extensive colitis, more severe UC disease and more refractory treatment to prior </w:t>
            </w:r>
            <w:proofErr w:type="spellStart"/>
            <w:r w:rsidRPr="00CA3661">
              <w:rPr>
                <w:sz w:val="20"/>
                <w:szCs w:val="20"/>
              </w:rPr>
              <w:t>TNFi</w:t>
            </w:r>
            <w:proofErr w:type="spellEnd"/>
            <w:r w:rsidRPr="00CA3661">
              <w:rPr>
                <w:sz w:val="20"/>
                <w:szCs w:val="20"/>
              </w:rPr>
              <w:t xml:space="preserve"> exposure or </w:t>
            </w:r>
            <w:proofErr w:type="spellStart"/>
            <w:r w:rsidRPr="00CA3661">
              <w:rPr>
                <w:sz w:val="20"/>
                <w:szCs w:val="20"/>
              </w:rPr>
              <w:t>TNFi</w:t>
            </w:r>
            <w:proofErr w:type="spellEnd"/>
            <w:r w:rsidRPr="00CA3661">
              <w:rPr>
                <w:sz w:val="20"/>
                <w:szCs w:val="20"/>
              </w:rPr>
              <w:t xml:space="preserve"> failure.</w:t>
            </w:r>
          </w:p>
        </w:tc>
      </w:tr>
      <w:tr w:rsidR="00710870" w:rsidRPr="00CA3661" w14:paraId="566534BA" w14:textId="77777777" w:rsidTr="00CA3661">
        <w:tc>
          <w:tcPr>
            <w:tcW w:w="4423" w:type="dxa"/>
          </w:tcPr>
          <w:p w14:paraId="17F81A8B" w14:textId="77777777" w:rsidR="00710870" w:rsidRPr="00CA3661" w:rsidRDefault="00710870" w:rsidP="002E3754">
            <w:pPr>
              <w:keepNext/>
              <w:ind w:left="0" w:right="0"/>
              <w:rPr>
                <w:sz w:val="20"/>
                <w:szCs w:val="20"/>
              </w:rPr>
            </w:pPr>
            <w:r w:rsidRPr="00CA3661">
              <w:rPr>
                <w:sz w:val="20"/>
                <w:szCs w:val="20"/>
              </w:rPr>
              <w:t>Patients with more extensive/</w:t>
            </w:r>
            <w:proofErr w:type="spellStart"/>
            <w:r w:rsidRPr="00CA3661">
              <w:rPr>
                <w:sz w:val="20"/>
                <w:szCs w:val="20"/>
              </w:rPr>
              <w:t>pancolitis</w:t>
            </w:r>
            <w:proofErr w:type="spellEnd"/>
            <w:r w:rsidRPr="00CA3661">
              <w:rPr>
                <w:sz w:val="20"/>
                <w:szCs w:val="20"/>
              </w:rPr>
              <w:t xml:space="preserve"> UC disease appeared to derive the greatest therapeutic benefit from induction treatment</w:t>
            </w:r>
          </w:p>
        </w:tc>
        <w:tc>
          <w:tcPr>
            <w:tcW w:w="4189" w:type="dxa"/>
          </w:tcPr>
          <w:p w14:paraId="241F0DE8" w14:textId="77777777" w:rsidR="00710870" w:rsidRPr="00CA3661" w:rsidRDefault="00710870" w:rsidP="002E3754">
            <w:pPr>
              <w:keepNext/>
              <w:ind w:left="0" w:right="0"/>
              <w:rPr>
                <w:sz w:val="20"/>
                <w:szCs w:val="20"/>
              </w:rPr>
            </w:pPr>
            <w:r w:rsidRPr="00CA3661">
              <w:rPr>
                <w:sz w:val="20"/>
                <w:szCs w:val="20"/>
              </w:rPr>
              <w:t>This category of UC disease generally represents the majority of cases.</w:t>
            </w:r>
          </w:p>
        </w:tc>
      </w:tr>
      <w:tr w:rsidR="00710870" w:rsidRPr="00CA3661" w14:paraId="0AF15A24" w14:textId="77777777" w:rsidTr="00CA3661">
        <w:tc>
          <w:tcPr>
            <w:tcW w:w="4423" w:type="dxa"/>
          </w:tcPr>
          <w:p w14:paraId="03A4AD4C" w14:textId="77777777" w:rsidR="00710870" w:rsidRPr="00CA3661" w:rsidRDefault="00710870" w:rsidP="002E3754">
            <w:pPr>
              <w:keepNext/>
              <w:ind w:left="0" w:right="0"/>
              <w:rPr>
                <w:sz w:val="20"/>
                <w:szCs w:val="20"/>
              </w:rPr>
            </w:pPr>
            <w:r w:rsidRPr="00CA3661">
              <w:rPr>
                <w:sz w:val="20"/>
                <w:szCs w:val="20"/>
              </w:rPr>
              <w:t>Patients with left-sided colitis generally benefitted from induction treatment</w:t>
            </w:r>
          </w:p>
        </w:tc>
        <w:tc>
          <w:tcPr>
            <w:tcW w:w="4189" w:type="dxa"/>
          </w:tcPr>
          <w:p w14:paraId="5F98FB66" w14:textId="77777777" w:rsidR="00710870" w:rsidRPr="00CA3661" w:rsidRDefault="00710870" w:rsidP="002E3754">
            <w:pPr>
              <w:keepNext/>
              <w:ind w:left="0" w:right="0"/>
              <w:rPr>
                <w:sz w:val="20"/>
                <w:szCs w:val="20"/>
              </w:rPr>
            </w:pPr>
            <w:r w:rsidRPr="00CA3661">
              <w:rPr>
                <w:sz w:val="20"/>
                <w:szCs w:val="20"/>
              </w:rPr>
              <w:t xml:space="preserve">Non-responders to 8 weeks induction treatment with </w:t>
            </w:r>
            <w:proofErr w:type="spellStart"/>
            <w:r w:rsidRPr="00CA3661">
              <w:rPr>
                <w:sz w:val="20"/>
                <w:szCs w:val="20"/>
              </w:rPr>
              <w:t>tofacitinib</w:t>
            </w:r>
            <w:proofErr w:type="spellEnd"/>
            <w:r w:rsidRPr="00CA3661">
              <w:rPr>
                <w:sz w:val="20"/>
                <w:szCs w:val="20"/>
              </w:rPr>
              <w:t xml:space="preserve"> generally had more left-sided colitis than clinical responders. It is unknown what proportion of subjects who entered the </w:t>
            </w:r>
            <w:r w:rsidR="00B7366A">
              <w:rPr>
                <w:sz w:val="20"/>
                <w:szCs w:val="20"/>
              </w:rPr>
              <w:t>Phase</w:t>
            </w:r>
            <w:r w:rsidRPr="00CA3661">
              <w:rPr>
                <w:sz w:val="20"/>
                <w:szCs w:val="20"/>
              </w:rPr>
              <w:t xml:space="preserve"> III studies had prior failure of topical treatments, as this was not a requirement for study participation. </w:t>
            </w:r>
          </w:p>
        </w:tc>
      </w:tr>
      <w:tr w:rsidR="00710870" w:rsidRPr="00CA3661" w14:paraId="3B683361" w14:textId="77777777" w:rsidTr="00CA3661">
        <w:tc>
          <w:tcPr>
            <w:tcW w:w="4423" w:type="dxa"/>
          </w:tcPr>
          <w:p w14:paraId="681BC1A3" w14:textId="77777777" w:rsidR="00710870" w:rsidRPr="00CA3661" w:rsidRDefault="00710870" w:rsidP="002E3754">
            <w:pPr>
              <w:keepNext/>
              <w:ind w:left="0" w:right="0"/>
              <w:rPr>
                <w:sz w:val="20"/>
                <w:szCs w:val="20"/>
              </w:rPr>
            </w:pPr>
            <w:r w:rsidRPr="00CA3661">
              <w:rPr>
                <w:sz w:val="20"/>
                <w:szCs w:val="20"/>
              </w:rPr>
              <w:t xml:space="preserve">As a first in class new chemical entity </w:t>
            </w:r>
            <w:proofErr w:type="spellStart"/>
            <w:r w:rsidRPr="00CA3661">
              <w:rPr>
                <w:sz w:val="20"/>
                <w:szCs w:val="20"/>
              </w:rPr>
              <w:t>tofacitinib</w:t>
            </w:r>
            <w:proofErr w:type="spellEnd"/>
            <w:r w:rsidRPr="00CA3661">
              <w:rPr>
                <w:sz w:val="20"/>
                <w:szCs w:val="20"/>
              </w:rPr>
              <w:t xml:space="preserve"> offers an alternative to other second-line treatments </w:t>
            </w:r>
          </w:p>
        </w:tc>
        <w:tc>
          <w:tcPr>
            <w:tcW w:w="4189" w:type="dxa"/>
          </w:tcPr>
          <w:p w14:paraId="0BE06AA7" w14:textId="77777777" w:rsidR="00710870" w:rsidRPr="00CA3661" w:rsidRDefault="00710870" w:rsidP="002E3754">
            <w:pPr>
              <w:keepNext/>
              <w:ind w:left="0" w:right="0"/>
              <w:rPr>
                <w:sz w:val="20"/>
                <w:szCs w:val="20"/>
              </w:rPr>
            </w:pPr>
            <w:r w:rsidRPr="00CA3661">
              <w:rPr>
                <w:sz w:val="20"/>
                <w:szCs w:val="20"/>
              </w:rPr>
              <w:t>A proportion of patients who have not tolerated or responded to other treatments may benefit from treatment</w:t>
            </w:r>
          </w:p>
        </w:tc>
      </w:tr>
    </w:tbl>
    <w:p w14:paraId="2787D83F" w14:textId="77777777" w:rsidR="00225681" w:rsidRDefault="00710870" w:rsidP="001120D9">
      <w:pPr>
        <w:pStyle w:val="Heading4"/>
      </w:pPr>
      <w:bookmarkStart w:id="208" w:name="_Toc506718202"/>
      <w:r>
        <w:t>Second</w:t>
      </w:r>
      <w:r w:rsidRPr="000D5752">
        <w:t xml:space="preserve"> round assessment of risks</w:t>
      </w:r>
      <w:bookmarkEnd w:id="208"/>
    </w:p>
    <w:p w14:paraId="217FB1B8" w14:textId="77777777" w:rsidR="00710870" w:rsidRDefault="00710870" w:rsidP="00223C03">
      <w:r w:rsidRPr="0090173C">
        <w:t xml:space="preserve">After consideration of the responses to clinical questions, the risks of </w:t>
      </w:r>
      <w:proofErr w:type="spellStart"/>
      <w:r>
        <w:t>tofacitinib</w:t>
      </w:r>
      <w:proofErr w:type="spellEnd"/>
      <w:r>
        <w:t xml:space="preserve"> citrate</w:t>
      </w:r>
      <w:r w:rsidRPr="0090173C">
        <w:t xml:space="preserve"> in the proposed usage are</w:t>
      </w:r>
      <w:r w:rsidR="00223C03">
        <w:t xml:space="preserve"> outlined in</w:t>
      </w:r>
      <w:r w:rsidR="004E5B1B">
        <w:t xml:space="preserve"> </w:t>
      </w:r>
      <w:r w:rsidR="004E5B1B">
        <w:fldChar w:fldCharType="begin"/>
      </w:r>
      <w:r w:rsidR="004E5B1B">
        <w:instrText xml:space="preserve"> REF _Ref15027069 \h </w:instrText>
      </w:r>
      <w:r w:rsidR="004E5B1B">
        <w:fldChar w:fldCharType="separate"/>
      </w:r>
      <w:r w:rsidR="004E5B1B">
        <w:t xml:space="preserve">Table </w:t>
      </w:r>
      <w:r w:rsidR="004E5B1B">
        <w:rPr>
          <w:noProof/>
        </w:rPr>
        <w:t>17</w:t>
      </w:r>
      <w:r w:rsidR="004E5B1B">
        <w:fldChar w:fldCharType="end"/>
      </w:r>
      <w:r w:rsidR="00223C03">
        <w:t>.</w:t>
      </w:r>
    </w:p>
    <w:p w14:paraId="3AD1A89A" w14:textId="77777777" w:rsidR="00CA3661" w:rsidRPr="0090173C" w:rsidRDefault="004E5B1B" w:rsidP="004E5B1B">
      <w:pPr>
        <w:pStyle w:val="TableTitle"/>
      </w:pPr>
      <w:bookmarkStart w:id="209" w:name="_Ref15027069"/>
      <w:r>
        <w:lastRenderedPageBreak/>
        <w:t xml:space="preserve">Table </w:t>
      </w:r>
      <w:r w:rsidR="009870DC">
        <w:fldChar w:fldCharType="begin"/>
      </w:r>
      <w:r w:rsidR="009870DC">
        <w:instrText xml:space="preserve"> SEQ Table \* ARABIC </w:instrText>
      </w:r>
      <w:r w:rsidR="009870DC">
        <w:fldChar w:fldCharType="separate"/>
      </w:r>
      <w:r>
        <w:rPr>
          <w:noProof/>
        </w:rPr>
        <w:t>17</w:t>
      </w:r>
      <w:r w:rsidR="009870DC">
        <w:rPr>
          <w:noProof/>
        </w:rPr>
        <w:fldChar w:fldCharType="end"/>
      </w:r>
      <w:bookmarkEnd w:id="209"/>
      <w:r w:rsidR="00CA3661">
        <w:t>: Second round assessment of risks</w:t>
      </w:r>
    </w:p>
    <w:tbl>
      <w:tblPr>
        <w:tblStyle w:val="TableGrid"/>
        <w:tblW w:w="0" w:type="auto"/>
        <w:tblInd w:w="108" w:type="dxa"/>
        <w:tblLook w:val="04A0" w:firstRow="1" w:lastRow="0" w:firstColumn="1" w:lastColumn="0" w:noHBand="0" w:noVBand="1"/>
      </w:tblPr>
      <w:tblGrid>
        <w:gridCol w:w="4308"/>
        <w:gridCol w:w="4304"/>
      </w:tblGrid>
      <w:tr w:rsidR="00710870" w:rsidRPr="00EF352C" w14:paraId="249C25CA" w14:textId="77777777" w:rsidTr="00EF6A50">
        <w:trPr>
          <w:tblHeader/>
        </w:trPr>
        <w:tc>
          <w:tcPr>
            <w:tcW w:w="4395" w:type="dxa"/>
            <w:shd w:val="clear" w:color="auto" w:fill="006DA7" w:themeFill="accent3"/>
          </w:tcPr>
          <w:p w14:paraId="183DDDBC" w14:textId="77777777" w:rsidR="00710870" w:rsidRPr="00CA3661" w:rsidRDefault="00710870" w:rsidP="002E3754">
            <w:pPr>
              <w:keepNext/>
              <w:rPr>
                <w:rFonts w:asciiTheme="minorHAnsi" w:hAnsiTheme="minorHAnsi"/>
                <w:b/>
                <w:color w:val="FFFFFF" w:themeColor="background1"/>
                <w:sz w:val="20"/>
                <w:szCs w:val="22"/>
              </w:rPr>
            </w:pPr>
            <w:r w:rsidRPr="00CA3661">
              <w:rPr>
                <w:rFonts w:asciiTheme="minorHAnsi" w:hAnsiTheme="minorHAnsi"/>
                <w:b/>
                <w:color w:val="FFFFFF" w:themeColor="background1"/>
                <w:sz w:val="20"/>
                <w:szCs w:val="22"/>
              </w:rPr>
              <w:t>Risks</w:t>
            </w:r>
          </w:p>
        </w:tc>
        <w:tc>
          <w:tcPr>
            <w:tcW w:w="4394" w:type="dxa"/>
            <w:shd w:val="clear" w:color="auto" w:fill="006DA7" w:themeFill="accent3"/>
          </w:tcPr>
          <w:p w14:paraId="18703B35" w14:textId="77777777" w:rsidR="00710870" w:rsidRPr="00CA3661" w:rsidRDefault="00710870" w:rsidP="002E3754">
            <w:pPr>
              <w:keepNext/>
              <w:rPr>
                <w:rFonts w:asciiTheme="minorHAnsi" w:hAnsiTheme="minorHAnsi"/>
                <w:b/>
                <w:color w:val="FFFFFF" w:themeColor="background1"/>
                <w:sz w:val="20"/>
                <w:szCs w:val="22"/>
              </w:rPr>
            </w:pPr>
            <w:r w:rsidRPr="00CA3661">
              <w:rPr>
                <w:rFonts w:asciiTheme="minorHAnsi" w:hAnsiTheme="minorHAnsi"/>
                <w:b/>
                <w:color w:val="FFFFFF" w:themeColor="background1"/>
                <w:sz w:val="20"/>
                <w:szCs w:val="22"/>
              </w:rPr>
              <w:t>Strengths and Uncertainties</w:t>
            </w:r>
          </w:p>
        </w:tc>
      </w:tr>
      <w:tr w:rsidR="00710870" w:rsidRPr="00EF352C" w14:paraId="1E9C371F" w14:textId="77777777" w:rsidTr="00EF6A50">
        <w:tc>
          <w:tcPr>
            <w:tcW w:w="4395" w:type="dxa"/>
          </w:tcPr>
          <w:p w14:paraId="15627F71" w14:textId="77777777" w:rsidR="00710870" w:rsidRPr="00CA3661" w:rsidRDefault="00710870" w:rsidP="002E3754">
            <w:pPr>
              <w:keepNext/>
              <w:rPr>
                <w:sz w:val="20"/>
                <w:szCs w:val="20"/>
              </w:rPr>
            </w:pPr>
            <w:r w:rsidRPr="00CA3661">
              <w:rPr>
                <w:rFonts w:cstheme="minorHAnsi"/>
                <w:sz w:val="20"/>
                <w:szCs w:val="20"/>
              </w:rPr>
              <w:t>Patients with proctosigmoiditis did not benefit from inductio</w:t>
            </w:r>
            <w:r w:rsidR="009441E1">
              <w:rPr>
                <w:rFonts w:cstheme="minorHAnsi"/>
                <w:sz w:val="20"/>
                <w:szCs w:val="20"/>
              </w:rPr>
              <w:t xml:space="preserve">n treatment with </w:t>
            </w:r>
            <w:proofErr w:type="spellStart"/>
            <w:r w:rsidR="009441E1">
              <w:rPr>
                <w:rFonts w:cstheme="minorHAnsi"/>
                <w:sz w:val="20"/>
                <w:szCs w:val="20"/>
              </w:rPr>
              <w:t>tofacitinib</w:t>
            </w:r>
            <w:proofErr w:type="spellEnd"/>
            <w:r w:rsidR="009441E1">
              <w:rPr>
                <w:rFonts w:cstheme="minorHAnsi"/>
                <w:sz w:val="20"/>
                <w:szCs w:val="20"/>
              </w:rPr>
              <w:t xml:space="preserve"> 10 </w:t>
            </w:r>
            <w:r w:rsidRPr="00CA3661">
              <w:rPr>
                <w:rFonts w:cstheme="minorHAnsi"/>
                <w:sz w:val="20"/>
                <w:szCs w:val="20"/>
              </w:rPr>
              <w:t>mg BID</w:t>
            </w:r>
          </w:p>
        </w:tc>
        <w:tc>
          <w:tcPr>
            <w:tcW w:w="4394" w:type="dxa"/>
          </w:tcPr>
          <w:p w14:paraId="7EBFC958" w14:textId="77777777" w:rsidR="00710870" w:rsidRPr="00CA3661" w:rsidRDefault="00710870" w:rsidP="002E3754">
            <w:pPr>
              <w:keepNext/>
              <w:rPr>
                <w:rFonts w:cstheme="minorHAnsi"/>
                <w:sz w:val="20"/>
                <w:szCs w:val="20"/>
                <w:u w:val="single"/>
              </w:rPr>
            </w:pPr>
            <w:r w:rsidRPr="00CA3661">
              <w:rPr>
                <w:rFonts w:cstheme="minorHAnsi"/>
                <w:sz w:val="20"/>
                <w:szCs w:val="20"/>
              </w:rPr>
              <w:t xml:space="preserve">It is unknown what proportion of subjects who entered the </w:t>
            </w:r>
            <w:r w:rsidR="00B7366A">
              <w:rPr>
                <w:rFonts w:cstheme="minorHAnsi"/>
                <w:sz w:val="20"/>
                <w:szCs w:val="20"/>
              </w:rPr>
              <w:t>Phase</w:t>
            </w:r>
            <w:r w:rsidRPr="00CA3661">
              <w:rPr>
                <w:rFonts w:cstheme="minorHAnsi"/>
                <w:sz w:val="20"/>
                <w:szCs w:val="20"/>
              </w:rPr>
              <w:t xml:space="preserve"> III studies had prior failure of topical treatments, as this was not a requirement for study participation.</w:t>
            </w:r>
          </w:p>
        </w:tc>
      </w:tr>
      <w:tr w:rsidR="00710870" w:rsidRPr="00EF352C" w14:paraId="200F34A0" w14:textId="77777777" w:rsidTr="00EF6A50">
        <w:tc>
          <w:tcPr>
            <w:tcW w:w="4395" w:type="dxa"/>
          </w:tcPr>
          <w:p w14:paraId="69FB675E" w14:textId="49AD6C95" w:rsidR="00710870" w:rsidRPr="00CA3661" w:rsidRDefault="00710870" w:rsidP="00EB1177">
            <w:pPr>
              <w:keepNext/>
              <w:rPr>
                <w:sz w:val="20"/>
                <w:szCs w:val="20"/>
              </w:rPr>
            </w:pPr>
            <w:r w:rsidRPr="00CA3661">
              <w:rPr>
                <w:sz w:val="20"/>
                <w:szCs w:val="20"/>
                <w:lang w:eastAsia="ja-JP"/>
              </w:rPr>
              <w:t xml:space="preserve">Patients with the most severe </w:t>
            </w:r>
            <w:r w:rsidR="00EB1177">
              <w:rPr>
                <w:sz w:val="20"/>
                <w:szCs w:val="20"/>
                <w:lang w:eastAsia="ja-JP"/>
              </w:rPr>
              <w:t>b</w:t>
            </w:r>
            <w:r w:rsidR="00CF6A6C">
              <w:rPr>
                <w:sz w:val="20"/>
                <w:szCs w:val="20"/>
                <w:lang w:eastAsia="ja-JP"/>
              </w:rPr>
              <w:t>aseline</w:t>
            </w:r>
            <w:r w:rsidRPr="00CA3661">
              <w:rPr>
                <w:sz w:val="20"/>
                <w:szCs w:val="20"/>
                <w:lang w:eastAsia="ja-JP"/>
              </w:rPr>
              <w:t xml:space="preserve"> UC disease (total Mayo score greater than 10) are highly unlikely to benefit from 8 weeks induction treatment (and even those treated for up to 16 weeks with </w:t>
            </w:r>
            <w:proofErr w:type="spellStart"/>
            <w:r w:rsidRPr="00CA3661">
              <w:rPr>
                <w:sz w:val="20"/>
                <w:szCs w:val="20"/>
                <w:lang w:eastAsia="ja-JP"/>
              </w:rPr>
              <w:t>tofacitinib</w:t>
            </w:r>
            <w:proofErr w:type="spellEnd"/>
            <w:r w:rsidRPr="00CA3661">
              <w:rPr>
                <w:sz w:val="20"/>
                <w:szCs w:val="20"/>
                <w:lang w:eastAsia="ja-JP"/>
              </w:rPr>
              <w:t xml:space="preserve"> 10 mg twice a day treatment).</w:t>
            </w:r>
          </w:p>
        </w:tc>
        <w:tc>
          <w:tcPr>
            <w:tcW w:w="4394" w:type="dxa"/>
          </w:tcPr>
          <w:p w14:paraId="6CB96972" w14:textId="14909BB3" w:rsidR="00710870" w:rsidRPr="00CA3661" w:rsidRDefault="00710870" w:rsidP="002E3754">
            <w:pPr>
              <w:keepNext/>
              <w:rPr>
                <w:rFonts w:cstheme="minorHAnsi"/>
                <w:sz w:val="20"/>
                <w:szCs w:val="20"/>
                <w:u w:val="single"/>
              </w:rPr>
            </w:pPr>
            <w:r w:rsidRPr="00CA3661">
              <w:rPr>
                <w:sz w:val="20"/>
                <w:szCs w:val="20"/>
                <w:lang w:eastAsia="ja-JP"/>
              </w:rPr>
              <w:t xml:space="preserve">This would also provide support not to extend the induction regimen to 16 weeks as the </w:t>
            </w:r>
            <w:r w:rsidR="003771B1">
              <w:rPr>
                <w:sz w:val="20"/>
                <w:szCs w:val="20"/>
                <w:lang w:eastAsia="ja-JP"/>
              </w:rPr>
              <w:t>sponsor</w:t>
            </w:r>
            <w:r w:rsidRPr="00CA3661">
              <w:rPr>
                <w:sz w:val="20"/>
                <w:szCs w:val="20"/>
                <w:lang w:eastAsia="ja-JP"/>
              </w:rPr>
              <w:t xml:space="preserve"> has proposed, since a reasonable proportion of the non-responder population at Week 8 induction fall within the same </w:t>
            </w:r>
            <w:r w:rsidR="00CF6A6C">
              <w:rPr>
                <w:sz w:val="20"/>
                <w:szCs w:val="20"/>
                <w:lang w:eastAsia="ja-JP"/>
              </w:rPr>
              <w:t>Baseline</w:t>
            </w:r>
            <w:r w:rsidRPr="00CA3661">
              <w:rPr>
                <w:sz w:val="20"/>
                <w:szCs w:val="20"/>
                <w:lang w:eastAsia="ja-JP"/>
              </w:rPr>
              <w:t xml:space="preserve"> UC disease category.</w:t>
            </w:r>
          </w:p>
        </w:tc>
      </w:tr>
      <w:tr w:rsidR="00710870" w:rsidRPr="00EF352C" w14:paraId="5121D560" w14:textId="77777777" w:rsidTr="00EF6A50">
        <w:tc>
          <w:tcPr>
            <w:tcW w:w="4395" w:type="dxa"/>
          </w:tcPr>
          <w:p w14:paraId="02629B7F" w14:textId="746F8229" w:rsidR="00710870" w:rsidRPr="00CA3661" w:rsidRDefault="00710870" w:rsidP="002E3754">
            <w:pPr>
              <w:keepNext/>
              <w:rPr>
                <w:sz w:val="20"/>
                <w:szCs w:val="20"/>
              </w:rPr>
            </w:pPr>
            <w:r w:rsidRPr="00CA3661">
              <w:rPr>
                <w:sz w:val="20"/>
                <w:szCs w:val="20"/>
                <w:lang w:eastAsia="ja-JP"/>
              </w:rPr>
              <w:t xml:space="preserve">Patients with less severe </w:t>
            </w:r>
            <w:r w:rsidR="00CF6A6C">
              <w:rPr>
                <w:sz w:val="20"/>
                <w:szCs w:val="20"/>
                <w:lang w:eastAsia="ja-JP"/>
              </w:rPr>
              <w:t>Baseline</w:t>
            </w:r>
            <w:r w:rsidRPr="00CA3661">
              <w:rPr>
                <w:sz w:val="20"/>
                <w:szCs w:val="20"/>
                <w:lang w:eastAsia="ja-JP"/>
              </w:rPr>
              <w:t xml:space="preserve"> UC disease (total Mayo score greater than 8 and less than 10) are highly unlikely to benefit from 8 weeks induction treatment. Approximately three times as many patients will need to be treated with </w:t>
            </w:r>
            <w:proofErr w:type="spellStart"/>
            <w:r w:rsidRPr="00CA3661">
              <w:rPr>
                <w:sz w:val="20"/>
                <w:szCs w:val="20"/>
                <w:lang w:eastAsia="ja-JP"/>
              </w:rPr>
              <w:t>tofacitinib</w:t>
            </w:r>
            <w:proofErr w:type="spellEnd"/>
            <w:r w:rsidRPr="00CA3661">
              <w:rPr>
                <w:sz w:val="20"/>
                <w:szCs w:val="20"/>
                <w:lang w:eastAsia="ja-JP"/>
              </w:rPr>
              <w:t xml:space="preserve"> 10 mg BID for 8 weeks to achieve one case of remission than patients with more moderate disease.</w:t>
            </w:r>
          </w:p>
        </w:tc>
        <w:tc>
          <w:tcPr>
            <w:tcW w:w="4394" w:type="dxa"/>
          </w:tcPr>
          <w:p w14:paraId="1BF4018C" w14:textId="77777777" w:rsidR="00225681" w:rsidRDefault="00710870" w:rsidP="002E3754">
            <w:pPr>
              <w:keepNext/>
              <w:rPr>
                <w:sz w:val="20"/>
                <w:szCs w:val="20"/>
                <w:lang w:eastAsia="ja-JP"/>
              </w:rPr>
            </w:pPr>
            <w:r w:rsidRPr="00CA3661">
              <w:rPr>
                <w:sz w:val="20"/>
                <w:szCs w:val="20"/>
                <w:lang w:eastAsia="ja-JP"/>
              </w:rPr>
              <w:t>While the benefit for this category has borderline efficacy,</w:t>
            </w:r>
            <w:r w:rsidR="005F7896" w:rsidRPr="00CA3661">
              <w:rPr>
                <w:sz w:val="20"/>
                <w:szCs w:val="20"/>
                <w:lang w:eastAsia="ja-JP"/>
              </w:rPr>
              <w:t xml:space="preserve"> </w:t>
            </w:r>
            <w:r w:rsidRPr="00CA3661">
              <w:rPr>
                <w:sz w:val="20"/>
                <w:szCs w:val="20"/>
                <w:lang w:eastAsia="ja-JP"/>
              </w:rPr>
              <w:t xml:space="preserve">approval in this subpopulation will result in a negative benefit-risk balance as, in all probability, these patients, particularly the more severe and refractory cases will not only be exposed to a further 8 week’s high-dose </w:t>
            </w:r>
            <w:proofErr w:type="spellStart"/>
            <w:r w:rsidRPr="00CA3661">
              <w:rPr>
                <w:sz w:val="20"/>
                <w:szCs w:val="20"/>
                <w:lang w:eastAsia="ja-JP"/>
              </w:rPr>
              <w:t>tofacitinib</w:t>
            </w:r>
            <w:proofErr w:type="spellEnd"/>
            <w:r w:rsidRPr="00CA3661">
              <w:rPr>
                <w:sz w:val="20"/>
                <w:szCs w:val="20"/>
                <w:lang w:eastAsia="ja-JP"/>
              </w:rPr>
              <w:t xml:space="preserve"> induction treatment but will most likely need to be maintained on a 10 mg </w:t>
            </w:r>
            <w:proofErr w:type="spellStart"/>
            <w:r w:rsidRPr="00CA3661">
              <w:rPr>
                <w:sz w:val="20"/>
                <w:szCs w:val="20"/>
                <w:lang w:eastAsia="ja-JP"/>
              </w:rPr>
              <w:t>tofacitinib</w:t>
            </w:r>
            <w:proofErr w:type="spellEnd"/>
            <w:r w:rsidRPr="00CA3661">
              <w:rPr>
                <w:sz w:val="20"/>
                <w:szCs w:val="20"/>
                <w:lang w:eastAsia="ja-JP"/>
              </w:rPr>
              <w:t xml:space="preserve"> </w:t>
            </w:r>
            <w:r w:rsidR="00F14B34">
              <w:rPr>
                <w:sz w:val="20"/>
                <w:szCs w:val="20"/>
                <w:lang w:eastAsia="ja-JP"/>
              </w:rPr>
              <w:t>BID</w:t>
            </w:r>
            <w:r w:rsidRPr="00CA3661">
              <w:rPr>
                <w:sz w:val="20"/>
                <w:szCs w:val="20"/>
                <w:lang w:eastAsia="ja-JP"/>
              </w:rPr>
              <w:t xml:space="preserve"> regimen long-term, in which the adverse effects from </w:t>
            </w:r>
            <w:proofErr w:type="spellStart"/>
            <w:r w:rsidRPr="00CA3661">
              <w:rPr>
                <w:sz w:val="20"/>
                <w:szCs w:val="20"/>
                <w:lang w:eastAsia="ja-JP"/>
              </w:rPr>
              <w:t>tofacitinib</w:t>
            </w:r>
            <w:proofErr w:type="spellEnd"/>
            <w:r w:rsidRPr="00CA3661">
              <w:rPr>
                <w:sz w:val="20"/>
                <w:szCs w:val="20"/>
                <w:lang w:eastAsia="ja-JP"/>
              </w:rPr>
              <w:t xml:space="preserve"> treatment will be expected to be considerably hig</w:t>
            </w:r>
            <w:r w:rsidR="009441E1">
              <w:rPr>
                <w:sz w:val="20"/>
                <w:szCs w:val="20"/>
                <w:lang w:eastAsia="ja-JP"/>
              </w:rPr>
              <w:t>her than those treated with a 5 </w:t>
            </w:r>
            <w:r w:rsidRPr="00CA3661">
              <w:rPr>
                <w:sz w:val="20"/>
                <w:szCs w:val="20"/>
                <w:lang w:eastAsia="ja-JP"/>
              </w:rPr>
              <w:t xml:space="preserve">mg BID dose regimen, especially in terms of AEs of special interest such as serious infections, </w:t>
            </w:r>
            <w:r w:rsidR="009441E1">
              <w:rPr>
                <w:sz w:val="20"/>
                <w:szCs w:val="20"/>
                <w:lang w:eastAsia="ja-JP"/>
              </w:rPr>
              <w:t>HZ</w:t>
            </w:r>
            <w:r w:rsidRPr="00CA3661">
              <w:rPr>
                <w:sz w:val="20"/>
                <w:szCs w:val="20"/>
                <w:lang w:eastAsia="ja-JP"/>
              </w:rPr>
              <w:t xml:space="preserve"> infections, opportunistic infections (</w:t>
            </w:r>
            <w:r w:rsidR="00404101">
              <w:rPr>
                <w:sz w:val="20"/>
                <w:szCs w:val="20"/>
                <w:lang w:eastAsia="ja-JP"/>
              </w:rPr>
              <w:t>for example</w:t>
            </w:r>
            <w:r w:rsidRPr="00CA3661">
              <w:rPr>
                <w:sz w:val="20"/>
                <w:szCs w:val="20"/>
                <w:lang w:eastAsia="ja-JP"/>
              </w:rPr>
              <w:t xml:space="preserve"> TB) and some malignancies</w:t>
            </w:r>
          </w:p>
          <w:p w14:paraId="7AEC2A5B" w14:textId="77777777" w:rsidR="00710870" w:rsidRPr="00CA3661" w:rsidRDefault="00710870" w:rsidP="002E3754">
            <w:pPr>
              <w:keepNext/>
              <w:rPr>
                <w:sz w:val="20"/>
                <w:szCs w:val="20"/>
                <w:lang w:eastAsia="ja-JP"/>
              </w:rPr>
            </w:pPr>
            <w:r w:rsidRPr="00CA3661">
              <w:rPr>
                <w:sz w:val="20"/>
                <w:szCs w:val="20"/>
                <w:lang w:eastAsia="ja-JP"/>
              </w:rPr>
              <w:t>Exclusion of this category would also provide support not to extend the induction regimen to 16 weeks as proposed.</w:t>
            </w:r>
          </w:p>
        </w:tc>
      </w:tr>
      <w:tr w:rsidR="00710870" w:rsidRPr="00EF352C" w14:paraId="18386560" w14:textId="77777777" w:rsidTr="00EF6A50">
        <w:tc>
          <w:tcPr>
            <w:tcW w:w="4395" w:type="dxa"/>
          </w:tcPr>
          <w:p w14:paraId="1A03A882" w14:textId="77777777" w:rsidR="00710870" w:rsidRPr="00CA3661" w:rsidRDefault="00710870" w:rsidP="002E3754">
            <w:pPr>
              <w:keepNext/>
              <w:rPr>
                <w:sz w:val="20"/>
                <w:szCs w:val="20"/>
                <w:lang w:eastAsia="ja-JP"/>
              </w:rPr>
            </w:pPr>
            <w:r w:rsidRPr="00CA3661">
              <w:rPr>
                <w:sz w:val="20"/>
                <w:szCs w:val="20"/>
                <w:lang w:eastAsia="ja-JP"/>
              </w:rPr>
              <w:t xml:space="preserve">Extension of induction exposure from 8 weeks to 16 weeks noticeably increased the incidence of AEs of special interest </w:t>
            </w:r>
            <w:r w:rsidR="00404101">
              <w:rPr>
                <w:sz w:val="20"/>
                <w:szCs w:val="20"/>
                <w:lang w:eastAsia="ja-JP"/>
              </w:rPr>
              <w:t>for example</w:t>
            </w:r>
            <w:r w:rsidRPr="00CA3661">
              <w:rPr>
                <w:sz w:val="20"/>
                <w:szCs w:val="20"/>
                <w:lang w:eastAsia="ja-JP"/>
              </w:rPr>
              <w:t xml:space="preserve"> serious infections</w:t>
            </w:r>
          </w:p>
        </w:tc>
        <w:tc>
          <w:tcPr>
            <w:tcW w:w="4394" w:type="dxa"/>
          </w:tcPr>
          <w:p w14:paraId="19643488" w14:textId="77777777" w:rsidR="00710870" w:rsidRPr="00CA3661" w:rsidRDefault="00710870" w:rsidP="002E3754">
            <w:pPr>
              <w:keepNext/>
              <w:rPr>
                <w:sz w:val="20"/>
                <w:szCs w:val="20"/>
                <w:lang w:eastAsia="ja-JP"/>
              </w:rPr>
            </w:pPr>
            <w:r w:rsidRPr="00CA3661">
              <w:rPr>
                <w:sz w:val="20"/>
                <w:szCs w:val="20"/>
                <w:lang w:eastAsia="ja-JP"/>
              </w:rPr>
              <w:t xml:space="preserve">Exposure of 16 weeks </w:t>
            </w:r>
            <w:proofErr w:type="spellStart"/>
            <w:r w:rsidRPr="00CA3661">
              <w:rPr>
                <w:sz w:val="20"/>
                <w:szCs w:val="20"/>
                <w:lang w:eastAsia="ja-JP"/>
              </w:rPr>
              <w:t>tofacitinib</w:t>
            </w:r>
            <w:proofErr w:type="spellEnd"/>
            <w:r w:rsidRPr="00CA3661">
              <w:rPr>
                <w:sz w:val="20"/>
                <w:szCs w:val="20"/>
                <w:lang w:eastAsia="ja-JP"/>
              </w:rPr>
              <w:t xml:space="preserve"> 10 mg BID treatment, often in the most severe UC disease and refractory cases may give rise to some clinical improvement in some patients. However, given the lack of intermedi</w:t>
            </w:r>
            <w:r w:rsidR="009441E1">
              <w:rPr>
                <w:sz w:val="20"/>
                <w:szCs w:val="20"/>
                <w:lang w:eastAsia="ja-JP"/>
              </w:rPr>
              <w:t xml:space="preserve">ate assessment periods in the 8 to </w:t>
            </w:r>
            <w:r w:rsidRPr="00CA3661">
              <w:rPr>
                <w:sz w:val="20"/>
                <w:szCs w:val="20"/>
                <w:lang w:eastAsia="ja-JP"/>
              </w:rPr>
              <w:t>16 we</w:t>
            </w:r>
            <w:r w:rsidR="009441E1">
              <w:rPr>
                <w:sz w:val="20"/>
                <w:szCs w:val="20"/>
                <w:lang w:eastAsia="ja-JP"/>
              </w:rPr>
              <w:t xml:space="preserve">ek extension period, no placebo </w:t>
            </w:r>
            <w:r w:rsidRPr="00CA3661">
              <w:rPr>
                <w:sz w:val="20"/>
                <w:szCs w:val="20"/>
                <w:lang w:eastAsia="ja-JP"/>
              </w:rPr>
              <w:t xml:space="preserve">control to adjust for underlying natural disease progression, the lack of determination of treatment effect in each disease category and location of disease, if there is an optimum period between 8 to 16 weeks for induction then it cannot be determined from the additional data from the </w:t>
            </w:r>
            <w:r w:rsidR="00404101">
              <w:rPr>
                <w:sz w:val="20"/>
                <w:szCs w:val="20"/>
                <w:lang w:eastAsia="ja-JP"/>
              </w:rPr>
              <w:t>open label</w:t>
            </w:r>
            <w:r w:rsidRPr="00CA3661">
              <w:rPr>
                <w:sz w:val="20"/>
                <w:szCs w:val="20"/>
                <w:lang w:eastAsia="ja-JP"/>
              </w:rPr>
              <w:t xml:space="preserve"> extension study. Persons who did not respond to treatment over 16 weeks may have unnecessa</w:t>
            </w:r>
            <w:r w:rsidR="009441E1">
              <w:rPr>
                <w:sz w:val="20"/>
                <w:szCs w:val="20"/>
                <w:lang w:eastAsia="ja-JP"/>
              </w:rPr>
              <w:t xml:space="preserve">rily been exposed to possibly 6 to </w:t>
            </w:r>
            <w:r w:rsidRPr="00CA3661">
              <w:rPr>
                <w:sz w:val="20"/>
                <w:szCs w:val="20"/>
                <w:lang w:eastAsia="ja-JP"/>
              </w:rPr>
              <w:t xml:space="preserve">7 more weeks’ high-dose </w:t>
            </w:r>
            <w:proofErr w:type="spellStart"/>
            <w:r w:rsidRPr="00CA3661">
              <w:rPr>
                <w:sz w:val="20"/>
                <w:szCs w:val="20"/>
                <w:lang w:eastAsia="ja-JP"/>
              </w:rPr>
              <w:t>tofacitinib</w:t>
            </w:r>
            <w:proofErr w:type="spellEnd"/>
            <w:r w:rsidRPr="00CA3661">
              <w:rPr>
                <w:sz w:val="20"/>
                <w:szCs w:val="20"/>
                <w:lang w:eastAsia="ja-JP"/>
              </w:rPr>
              <w:t xml:space="preserve"> for no clinical gain. This is unacceptable.</w:t>
            </w:r>
          </w:p>
          <w:p w14:paraId="34400CD0" w14:textId="77777777" w:rsidR="00710870" w:rsidRPr="00CA3661" w:rsidRDefault="00710870" w:rsidP="002E3754">
            <w:pPr>
              <w:keepNext/>
              <w:rPr>
                <w:sz w:val="20"/>
                <w:szCs w:val="20"/>
                <w:lang w:eastAsia="ja-JP"/>
              </w:rPr>
            </w:pPr>
            <w:r w:rsidRPr="00CA3661">
              <w:rPr>
                <w:sz w:val="20"/>
                <w:szCs w:val="20"/>
                <w:lang w:eastAsia="ja-JP"/>
              </w:rPr>
              <w:t xml:space="preserve">Removal of the severe UC disease indication allows for removal of the extended period for </w:t>
            </w:r>
            <w:r w:rsidRPr="00CA3661">
              <w:rPr>
                <w:sz w:val="20"/>
                <w:szCs w:val="20"/>
                <w:lang w:eastAsia="ja-JP"/>
              </w:rPr>
              <w:lastRenderedPageBreak/>
              <w:t xml:space="preserve">induction and thereby takes a more responsible safer approach to management of the target population and subject persons to unnecessary risk when the likely clinical benefit will be small. </w:t>
            </w:r>
          </w:p>
        </w:tc>
      </w:tr>
      <w:tr w:rsidR="00710870" w:rsidRPr="00EF352C" w14:paraId="7D38DB6A" w14:textId="77777777" w:rsidTr="00EF6A50">
        <w:tc>
          <w:tcPr>
            <w:tcW w:w="4395" w:type="dxa"/>
          </w:tcPr>
          <w:p w14:paraId="4695D73C" w14:textId="77777777" w:rsidR="00710870" w:rsidRPr="00CA3661" w:rsidRDefault="00710870" w:rsidP="002E3754">
            <w:pPr>
              <w:keepNext/>
              <w:rPr>
                <w:sz w:val="20"/>
                <w:szCs w:val="20"/>
                <w:lang w:eastAsia="ja-JP"/>
              </w:rPr>
            </w:pPr>
            <w:r w:rsidRPr="00CA3661">
              <w:rPr>
                <w:sz w:val="20"/>
                <w:szCs w:val="20"/>
                <w:lang w:eastAsia="ja-JP"/>
              </w:rPr>
              <w:lastRenderedPageBreak/>
              <w:t xml:space="preserve">Since the </w:t>
            </w:r>
            <w:r w:rsidR="003771B1">
              <w:rPr>
                <w:sz w:val="20"/>
                <w:szCs w:val="20"/>
                <w:lang w:eastAsia="ja-JP"/>
              </w:rPr>
              <w:t>sponsor</w:t>
            </w:r>
            <w:r w:rsidRPr="00CA3661">
              <w:rPr>
                <w:sz w:val="20"/>
                <w:szCs w:val="20"/>
                <w:lang w:eastAsia="ja-JP"/>
              </w:rPr>
              <w:t xml:space="preserve"> did not analyse efficacy data in relation to severity of disease and did not use a </w:t>
            </w:r>
            <w:proofErr w:type="spellStart"/>
            <w:r w:rsidRPr="00CA3661">
              <w:rPr>
                <w:sz w:val="20"/>
                <w:szCs w:val="20"/>
                <w:lang w:eastAsia="ja-JP"/>
              </w:rPr>
              <w:t>tofacitinib</w:t>
            </w:r>
            <w:proofErr w:type="spellEnd"/>
            <w:r w:rsidRPr="00CA3661">
              <w:rPr>
                <w:sz w:val="20"/>
                <w:szCs w:val="20"/>
                <w:lang w:eastAsia="ja-JP"/>
              </w:rPr>
              <w:t xml:space="preserve"> induction dose below 10 mg BID, this could have the potential to expose those with more moderate disease to unacceptably higher risk than necessary, since the lowest effective dose should be used.</w:t>
            </w:r>
          </w:p>
        </w:tc>
        <w:tc>
          <w:tcPr>
            <w:tcW w:w="4394" w:type="dxa"/>
          </w:tcPr>
          <w:p w14:paraId="7D6EFDF2" w14:textId="77777777" w:rsidR="00710870" w:rsidRPr="00CA3661" w:rsidRDefault="00710870" w:rsidP="002E3754">
            <w:pPr>
              <w:keepNext/>
              <w:rPr>
                <w:sz w:val="20"/>
                <w:szCs w:val="20"/>
                <w:lang w:eastAsia="ja-JP"/>
              </w:rPr>
            </w:pPr>
            <w:r w:rsidRPr="00CA3661">
              <w:rPr>
                <w:sz w:val="20"/>
                <w:szCs w:val="20"/>
                <w:lang w:eastAsia="ja-JP"/>
              </w:rPr>
              <w:t>The mathematical models used to assess optimal induction dosing did not provide breakdown by disease severity hence the optimum doses used for each severity category remains unknown.</w:t>
            </w:r>
          </w:p>
          <w:p w14:paraId="2611355C" w14:textId="77777777" w:rsidR="00710870" w:rsidRPr="00CA3661" w:rsidRDefault="00710870" w:rsidP="002E3754">
            <w:pPr>
              <w:keepNext/>
              <w:rPr>
                <w:sz w:val="20"/>
                <w:szCs w:val="20"/>
                <w:lang w:eastAsia="ja-JP"/>
              </w:rPr>
            </w:pPr>
            <w:r w:rsidRPr="00CA3661">
              <w:rPr>
                <w:sz w:val="20"/>
                <w:szCs w:val="20"/>
                <w:lang w:eastAsia="ja-JP"/>
              </w:rPr>
              <w:t xml:space="preserve">Notwithstanding the unknown minimum effective induction dose, the risks of 8 weeks </w:t>
            </w:r>
            <w:proofErr w:type="spellStart"/>
            <w:r w:rsidRPr="00CA3661">
              <w:rPr>
                <w:sz w:val="20"/>
                <w:szCs w:val="20"/>
                <w:lang w:eastAsia="ja-JP"/>
              </w:rPr>
              <w:t>tofacitinib</w:t>
            </w:r>
            <w:proofErr w:type="spellEnd"/>
            <w:r w:rsidRPr="00CA3661">
              <w:rPr>
                <w:sz w:val="20"/>
                <w:szCs w:val="20"/>
                <w:lang w:eastAsia="ja-JP"/>
              </w:rPr>
              <w:t xml:space="preserve"> 10 mg BID treatment appear to be outweighed against the benefit derived for the more moderately disease subpopulation.</w:t>
            </w:r>
          </w:p>
        </w:tc>
      </w:tr>
      <w:tr w:rsidR="00710870" w:rsidRPr="00EF352C" w14:paraId="235A5902" w14:textId="77777777" w:rsidTr="00EF6A50">
        <w:tc>
          <w:tcPr>
            <w:tcW w:w="4395" w:type="dxa"/>
          </w:tcPr>
          <w:p w14:paraId="09467F47" w14:textId="77777777" w:rsidR="00710870" w:rsidRPr="009441E1" w:rsidRDefault="00710870" w:rsidP="002E3754">
            <w:pPr>
              <w:keepNext/>
              <w:rPr>
                <w:sz w:val="20"/>
                <w:szCs w:val="20"/>
                <w:lang w:eastAsia="ja-JP"/>
              </w:rPr>
            </w:pPr>
            <w:r w:rsidRPr="00CA3661">
              <w:rPr>
                <w:sz w:val="20"/>
                <w:szCs w:val="20"/>
                <w:lang w:eastAsia="ja-JP"/>
              </w:rPr>
              <w:t>Development program for UC: planning and conduct an</w:t>
            </w:r>
            <w:r w:rsidR="009441E1">
              <w:rPr>
                <w:sz w:val="20"/>
                <w:szCs w:val="20"/>
                <w:lang w:eastAsia="ja-JP"/>
              </w:rPr>
              <w:t>d multiple deviations from the adopted g</w:t>
            </w:r>
            <w:r w:rsidRPr="00CA3661">
              <w:rPr>
                <w:sz w:val="20"/>
                <w:szCs w:val="20"/>
                <w:lang w:eastAsia="ja-JP"/>
              </w:rPr>
              <w:t>uideline</w:t>
            </w:r>
            <w:r w:rsidR="009441E1">
              <w:rPr>
                <w:sz w:val="20"/>
                <w:szCs w:val="20"/>
                <w:lang w:eastAsia="ja-JP"/>
              </w:rPr>
              <w:t>.</w:t>
            </w:r>
            <w:r w:rsidR="009441E1">
              <w:rPr>
                <w:sz w:val="20"/>
                <w:szCs w:val="20"/>
                <w:lang w:eastAsia="ja-JP"/>
              </w:rPr>
              <w:fldChar w:fldCharType="begin"/>
            </w:r>
            <w:r w:rsidR="009441E1">
              <w:rPr>
                <w:sz w:val="20"/>
                <w:szCs w:val="20"/>
                <w:lang w:eastAsia="ja-JP"/>
              </w:rPr>
              <w:instrText xml:space="preserve"> NOTEREF _Ref13729303 \f \h </w:instrText>
            </w:r>
            <w:r w:rsidR="009441E1">
              <w:rPr>
                <w:sz w:val="20"/>
                <w:szCs w:val="20"/>
                <w:lang w:eastAsia="ja-JP"/>
              </w:rPr>
            </w:r>
            <w:r w:rsidR="009441E1">
              <w:rPr>
                <w:sz w:val="20"/>
                <w:szCs w:val="20"/>
                <w:lang w:eastAsia="ja-JP"/>
              </w:rPr>
              <w:fldChar w:fldCharType="separate"/>
            </w:r>
            <w:r w:rsidR="009441E1" w:rsidRPr="009441E1">
              <w:rPr>
                <w:rStyle w:val="FootnoteReference"/>
              </w:rPr>
              <w:t>2</w:t>
            </w:r>
            <w:r w:rsidR="009441E1">
              <w:rPr>
                <w:sz w:val="20"/>
                <w:szCs w:val="20"/>
                <w:lang w:eastAsia="ja-JP"/>
              </w:rPr>
              <w:fldChar w:fldCharType="end"/>
            </w:r>
          </w:p>
          <w:p w14:paraId="708D6D61" w14:textId="77777777" w:rsidR="00710870" w:rsidRPr="00CA3661" w:rsidRDefault="00710870" w:rsidP="002E3754">
            <w:pPr>
              <w:keepNext/>
              <w:rPr>
                <w:sz w:val="20"/>
                <w:szCs w:val="20"/>
                <w:lang w:eastAsia="ja-JP"/>
              </w:rPr>
            </w:pPr>
            <w:r w:rsidRPr="00CA3661">
              <w:rPr>
                <w:sz w:val="20"/>
                <w:szCs w:val="20"/>
                <w:lang w:eastAsia="ja-JP"/>
              </w:rPr>
              <w:t xml:space="preserve">Bias and confounding may have been introduced into each </w:t>
            </w:r>
            <w:r w:rsidR="00B7366A">
              <w:rPr>
                <w:sz w:val="20"/>
                <w:szCs w:val="20"/>
                <w:lang w:eastAsia="ja-JP"/>
              </w:rPr>
              <w:t>Phase</w:t>
            </w:r>
            <w:r w:rsidRPr="00CA3661">
              <w:rPr>
                <w:sz w:val="20"/>
                <w:szCs w:val="20"/>
                <w:lang w:eastAsia="ja-JP"/>
              </w:rPr>
              <w:t xml:space="preserve"> of the UC development program by the use of retrospective analyses and major protocol amendments that required sample size calculations and affected randomisation schedules. Each issue in turn was addressed throughout the clinical evaluation process but taken as a whole the UC development program should have been more carefully planned so as not to compromise the integrity of the studies and the validity of the results, both internally and externally. </w:t>
            </w:r>
          </w:p>
        </w:tc>
        <w:tc>
          <w:tcPr>
            <w:tcW w:w="4394" w:type="dxa"/>
          </w:tcPr>
          <w:p w14:paraId="7CAA10FB" w14:textId="77777777" w:rsidR="00710870" w:rsidRPr="00CA3661" w:rsidRDefault="00710870" w:rsidP="002E3754">
            <w:pPr>
              <w:keepNext/>
              <w:rPr>
                <w:sz w:val="20"/>
                <w:szCs w:val="20"/>
                <w:lang w:eastAsia="ja-JP"/>
              </w:rPr>
            </w:pPr>
            <w:r w:rsidRPr="00CA3661">
              <w:rPr>
                <w:sz w:val="20"/>
                <w:szCs w:val="20"/>
                <w:lang w:eastAsia="ja-JP"/>
              </w:rPr>
              <w:t>If t</w:t>
            </w:r>
            <w:r w:rsidR="009441E1">
              <w:rPr>
                <w:sz w:val="20"/>
                <w:szCs w:val="20"/>
                <w:lang w:eastAsia="ja-JP"/>
              </w:rPr>
              <w:t>he adopted g</w:t>
            </w:r>
            <w:r w:rsidRPr="00CA3661">
              <w:rPr>
                <w:sz w:val="20"/>
                <w:szCs w:val="20"/>
                <w:lang w:eastAsia="ja-JP"/>
              </w:rPr>
              <w:t>uideline had been more closely followed, or the TGA consulted prior to submission or at</w:t>
            </w:r>
            <w:r w:rsidR="009441E1">
              <w:rPr>
                <w:sz w:val="20"/>
                <w:szCs w:val="20"/>
                <w:lang w:eastAsia="ja-JP"/>
              </w:rPr>
              <w:t xml:space="preserve"> least justification for every g</w:t>
            </w:r>
            <w:r w:rsidRPr="00CA3661">
              <w:rPr>
                <w:sz w:val="20"/>
                <w:szCs w:val="20"/>
                <w:lang w:eastAsia="ja-JP"/>
              </w:rPr>
              <w:t>uideline deviation provided then many of the issues raised in this evaluation could have been addressed or negated.</w:t>
            </w:r>
          </w:p>
        </w:tc>
      </w:tr>
    </w:tbl>
    <w:p w14:paraId="5C1563E3" w14:textId="77777777" w:rsidR="00710870" w:rsidRDefault="00710870" w:rsidP="001120D9">
      <w:pPr>
        <w:pStyle w:val="Heading4"/>
      </w:pPr>
      <w:bookmarkStart w:id="210" w:name="_Toc506718203"/>
      <w:r>
        <w:t>Second</w:t>
      </w:r>
      <w:r w:rsidRPr="00545B14">
        <w:t xml:space="preserve"> round assessment of benefit-risk</w:t>
      </w:r>
      <w:r>
        <w:t xml:space="preserve"> balance</w:t>
      </w:r>
      <w:bookmarkEnd w:id="210"/>
    </w:p>
    <w:p w14:paraId="3BA5E437" w14:textId="77777777" w:rsidR="00710870" w:rsidRPr="007F768C" w:rsidRDefault="00710870" w:rsidP="00710870">
      <w:r w:rsidRPr="007F768C">
        <w:t xml:space="preserve">The benefit-risk balance of </w:t>
      </w:r>
      <w:proofErr w:type="spellStart"/>
      <w:r>
        <w:t>Xeljanz</w:t>
      </w:r>
      <w:proofErr w:type="spellEnd"/>
      <w:r>
        <w:t xml:space="preserve"> (</w:t>
      </w:r>
      <w:proofErr w:type="spellStart"/>
      <w:r>
        <w:t>tofacitinib</w:t>
      </w:r>
      <w:proofErr w:type="spellEnd"/>
      <w:r>
        <w:t xml:space="preserve"> citrate)</w:t>
      </w:r>
      <w:r w:rsidRPr="007F768C">
        <w:t xml:space="preserve"> is unfavourable given the proposed usage, but would become favourable if the </w:t>
      </w:r>
      <w:r w:rsidR="009441E1">
        <w:t>recommended changes</w:t>
      </w:r>
      <w:r w:rsidRPr="007F768C">
        <w:t xml:space="preserve"> are adopted.</w:t>
      </w:r>
    </w:p>
    <w:p w14:paraId="6630E945" w14:textId="77777777" w:rsidR="00710870" w:rsidRPr="00EE178A" w:rsidRDefault="00710870" w:rsidP="001120D9">
      <w:pPr>
        <w:pStyle w:val="Heading5"/>
      </w:pPr>
      <w:r w:rsidRPr="00EE178A">
        <w:t>Induction</w:t>
      </w:r>
    </w:p>
    <w:p w14:paraId="7D71ED5B" w14:textId="4E099F5B" w:rsidR="00710870" w:rsidRDefault="00710870" w:rsidP="00CA3661">
      <w:pPr>
        <w:rPr>
          <w:lang w:eastAsia="ja-JP"/>
        </w:rPr>
      </w:pPr>
      <w:r>
        <w:rPr>
          <w:lang w:eastAsia="ja-JP"/>
        </w:rPr>
        <w:t xml:space="preserve">The results for remission and mucosal healing were generally consistent for those subjects </w:t>
      </w:r>
      <w:r w:rsidRPr="009870F9">
        <w:rPr>
          <w:lang w:eastAsia="ja-JP"/>
        </w:rPr>
        <w:t xml:space="preserve">with </w:t>
      </w:r>
      <w:r w:rsidR="00EB1177">
        <w:t>b</w:t>
      </w:r>
      <w:r w:rsidR="00CF6A6C">
        <w:t>aseline</w:t>
      </w:r>
      <w:r w:rsidRPr="009870F9">
        <w:t xml:space="preserve"> </w:t>
      </w:r>
      <w:r>
        <w:t xml:space="preserve">total Mayo score &lt; 8 </w:t>
      </w:r>
      <w:r w:rsidR="00F14B34">
        <w:t>that is,</w:t>
      </w:r>
      <w:r>
        <w:t xml:space="preserve"> more moderate UC disease. This patient subgroup is most likely to benefit from 8 weeks </w:t>
      </w:r>
      <w:proofErr w:type="spellStart"/>
      <w:r>
        <w:t>tofacitinib</w:t>
      </w:r>
      <w:proofErr w:type="spellEnd"/>
      <w:r>
        <w:t xml:space="preserve"> 10 mg BID induction treatment (NNT 4 </w:t>
      </w:r>
      <w:r w:rsidR="00741BA1">
        <w:t>and</w:t>
      </w:r>
      <w:r>
        <w:t xml:space="preserve"> 3, respectively for remission and mucosal healing). However, the evidence provided in this application for treatment benefit in subjects with ‘severe’ UC disea</w:t>
      </w:r>
      <w:r w:rsidR="009441E1">
        <w:t>se (</w:t>
      </w:r>
      <w:r w:rsidR="00EB1177">
        <w:t>b</w:t>
      </w:r>
      <w:r w:rsidR="00CF6A6C">
        <w:t>aseline</w:t>
      </w:r>
      <w:r w:rsidR="009441E1">
        <w:t xml:space="preserve"> total Mayo score 8 to </w:t>
      </w:r>
      <w:r>
        <w:t>10) is less convincing, with conflicting results for remission at Week 8 between the induction studies and a relatively high NNT (11) to achieve one case of clinical remission. Based on subject NNT analysis comparisons, approximately three times as many subjects w</w:t>
      </w:r>
      <w:r w:rsidR="009441E1">
        <w:t xml:space="preserve">ith </w:t>
      </w:r>
      <w:r w:rsidR="00EB1177">
        <w:t>b</w:t>
      </w:r>
      <w:r w:rsidR="00CF6A6C">
        <w:t>aseline</w:t>
      </w:r>
      <w:r w:rsidR="009441E1">
        <w:t xml:space="preserve"> total Mayo score 8 to </w:t>
      </w:r>
      <w:r>
        <w:t xml:space="preserve">10 will be needed to be treated with </w:t>
      </w:r>
      <w:proofErr w:type="spellStart"/>
      <w:r>
        <w:t>tofacitinib</w:t>
      </w:r>
      <w:proofErr w:type="spellEnd"/>
      <w:r>
        <w:t xml:space="preserve"> 10 mg BID than subjects with </w:t>
      </w:r>
      <w:r w:rsidR="00EB1177">
        <w:t>b</w:t>
      </w:r>
      <w:r w:rsidR="00CF6A6C">
        <w:t>aseline</w:t>
      </w:r>
      <w:r>
        <w:t xml:space="preserve"> total Mayo score &lt; 8, to achieve one case of remission </w:t>
      </w:r>
      <w:r w:rsidR="00F14B34">
        <w:t>that is,</w:t>
      </w:r>
      <w:r>
        <w:t xml:space="preserve"> pooled NNT 4 versus pooled NNT 11, respectively. In contrast, t</w:t>
      </w:r>
      <w:r>
        <w:rPr>
          <w:lang w:eastAsia="ja-JP"/>
        </w:rPr>
        <w:t xml:space="preserve">he results from the individual induction studies and the pooled analyses for both remission and mucosal healing do not provide compelling evidence to support </w:t>
      </w:r>
      <w:proofErr w:type="spellStart"/>
      <w:r>
        <w:rPr>
          <w:lang w:eastAsia="ja-JP"/>
        </w:rPr>
        <w:t>tofacitinib</w:t>
      </w:r>
      <w:proofErr w:type="spellEnd"/>
      <w:r>
        <w:rPr>
          <w:lang w:eastAsia="ja-JP"/>
        </w:rPr>
        <w:t xml:space="preserve"> </w:t>
      </w:r>
      <w:r>
        <w:rPr>
          <w:lang w:eastAsia="ja-JP"/>
        </w:rPr>
        <w:lastRenderedPageBreak/>
        <w:t>10 mg BID induction treatment for 8</w:t>
      </w:r>
      <w:r w:rsidR="00EB1177">
        <w:rPr>
          <w:lang w:eastAsia="ja-JP"/>
        </w:rPr>
        <w:t> </w:t>
      </w:r>
      <w:r>
        <w:rPr>
          <w:lang w:eastAsia="ja-JP"/>
        </w:rPr>
        <w:t>weeks in those subjects with the most severe UC disease (</w:t>
      </w:r>
      <w:r w:rsidR="00F14B34">
        <w:rPr>
          <w:lang w:eastAsia="ja-JP"/>
        </w:rPr>
        <w:t>that is,</w:t>
      </w:r>
      <w:r>
        <w:rPr>
          <w:lang w:eastAsia="ja-JP"/>
        </w:rPr>
        <w:t xml:space="preserve"> </w:t>
      </w:r>
      <w:r w:rsidR="00EB1177">
        <w:rPr>
          <w:lang w:eastAsia="ja-JP"/>
        </w:rPr>
        <w:t>b</w:t>
      </w:r>
      <w:r w:rsidR="00CF6A6C">
        <w:rPr>
          <w:lang w:eastAsia="ja-JP"/>
        </w:rPr>
        <w:t>aseline</w:t>
      </w:r>
      <w:r>
        <w:rPr>
          <w:lang w:eastAsia="ja-JP"/>
        </w:rPr>
        <w:t xml:space="preserve"> total Mayo score &gt; 10) </w:t>
      </w:r>
      <w:r w:rsidR="00F14B34">
        <w:rPr>
          <w:lang w:eastAsia="ja-JP"/>
        </w:rPr>
        <w:t>that is,</w:t>
      </w:r>
      <w:r>
        <w:rPr>
          <w:lang w:eastAsia="ja-JP"/>
        </w:rPr>
        <w:t xml:space="preserve"> pooled NNT 13 for remission and 12 for mucosal healing (not statistically significant).</w:t>
      </w:r>
    </w:p>
    <w:p w14:paraId="16ABAE7A" w14:textId="7AF87C1F" w:rsidR="00710870" w:rsidRDefault="00710870" w:rsidP="00CA3661">
      <w:pPr>
        <w:rPr>
          <w:lang w:eastAsia="ja-JP"/>
        </w:rPr>
      </w:pPr>
      <w:r>
        <w:rPr>
          <w:lang w:eastAsia="ja-JP"/>
        </w:rPr>
        <w:t>A</w:t>
      </w:r>
      <w:r w:rsidRPr="00CD1C43">
        <w:rPr>
          <w:lang w:eastAsia="ja-JP"/>
        </w:rPr>
        <w:t xml:space="preserve">pproval </w:t>
      </w:r>
      <w:r>
        <w:rPr>
          <w:lang w:eastAsia="ja-JP"/>
        </w:rPr>
        <w:t xml:space="preserve">for </w:t>
      </w:r>
      <w:proofErr w:type="spellStart"/>
      <w:r>
        <w:rPr>
          <w:lang w:eastAsia="ja-JP"/>
        </w:rPr>
        <w:t>tofacitinib</w:t>
      </w:r>
      <w:proofErr w:type="spellEnd"/>
      <w:r>
        <w:rPr>
          <w:lang w:eastAsia="ja-JP"/>
        </w:rPr>
        <w:t xml:space="preserve"> 10 mg induction treatment for more severe forms of UC disease, will, in all probability result in an inadequate response at 8 weeks in a sizeable proportion of patients, who will, should the </w:t>
      </w:r>
      <w:r w:rsidR="003771B1">
        <w:rPr>
          <w:lang w:eastAsia="ja-JP"/>
        </w:rPr>
        <w:t>sponsor</w:t>
      </w:r>
      <w:r>
        <w:rPr>
          <w:lang w:eastAsia="ja-JP"/>
        </w:rPr>
        <w:t>’s proposed dosing recommendations be accepted,</w:t>
      </w:r>
      <w:r w:rsidR="005F7896">
        <w:rPr>
          <w:lang w:eastAsia="ja-JP"/>
        </w:rPr>
        <w:t xml:space="preserve"> </w:t>
      </w:r>
      <w:r w:rsidR="009441E1">
        <w:rPr>
          <w:lang w:eastAsia="ja-JP"/>
        </w:rPr>
        <w:t xml:space="preserve">require a further 8 week’s high </w:t>
      </w:r>
      <w:r>
        <w:rPr>
          <w:lang w:eastAsia="ja-JP"/>
        </w:rPr>
        <w:t xml:space="preserve">dose </w:t>
      </w:r>
      <w:proofErr w:type="spellStart"/>
      <w:r>
        <w:rPr>
          <w:lang w:eastAsia="ja-JP"/>
        </w:rPr>
        <w:t>tofacitinib</w:t>
      </w:r>
      <w:proofErr w:type="spellEnd"/>
      <w:r>
        <w:rPr>
          <w:lang w:eastAsia="ja-JP"/>
        </w:rPr>
        <w:t xml:space="preserve"> </w:t>
      </w:r>
      <w:r w:rsidR="00F14B34">
        <w:rPr>
          <w:lang w:eastAsia="ja-JP"/>
        </w:rPr>
        <w:t>BID</w:t>
      </w:r>
      <w:r>
        <w:rPr>
          <w:lang w:eastAsia="ja-JP"/>
        </w:rPr>
        <w:t xml:space="preserve"> treatment. Again, given those patients identified as refractory include more severe UC categories, the 10 mg </w:t>
      </w:r>
      <w:r w:rsidR="00F14B34">
        <w:rPr>
          <w:lang w:eastAsia="ja-JP"/>
        </w:rPr>
        <w:t>BID</w:t>
      </w:r>
      <w:r>
        <w:rPr>
          <w:lang w:eastAsia="ja-JP"/>
        </w:rPr>
        <w:t xml:space="preserve"> regimen will continue into maintenance treatment for those who respond to treatment, potentially for long periods of time and with this a concomitant rise in adverse events can be expected, </w:t>
      </w:r>
      <w:r w:rsidRPr="00CD1C43">
        <w:rPr>
          <w:lang w:eastAsia="ja-JP"/>
        </w:rPr>
        <w:t xml:space="preserve">especially in terms of AEs of special interest such as serious infections, </w:t>
      </w:r>
      <w:r w:rsidR="009441E1">
        <w:rPr>
          <w:lang w:eastAsia="ja-JP"/>
        </w:rPr>
        <w:t>HZ</w:t>
      </w:r>
      <w:r w:rsidRPr="00CD1C43">
        <w:rPr>
          <w:lang w:eastAsia="ja-JP"/>
        </w:rPr>
        <w:t xml:space="preserve"> infections, opportunistic infections (</w:t>
      </w:r>
      <w:r w:rsidR="00404101">
        <w:rPr>
          <w:lang w:eastAsia="ja-JP"/>
        </w:rPr>
        <w:t>for example</w:t>
      </w:r>
      <w:r w:rsidRPr="00CD1C43">
        <w:rPr>
          <w:lang w:eastAsia="ja-JP"/>
        </w:rPr>
        <w:t xml:space="preserve"> </w:t>
      </w:r>
      <w:r w:rsidR="00EB1177">
        <w:rPr>
          <w:lang w:eastAsia="ja-JP"/>
        </w:rPr>
        <w:t>tuberculosis</w:t>
      </w:r>
      <w:r w:rsidRPr="00CD1C43">
        <w:rPr>
          <w:lang w:eastAsia="ja-JP"/>
        </w:rPr>
        <w:t>) and some malignancies</w:t>
      </w:r>
      <w:r>
        <w:rPr>
          <w:lang w:eastAsia="ja-JP"/>
        </w:rPr>
        <w:t>.</w:t>
      </w:r>
    </w:p>
    <w:p w14:paraId="53513FE2" w14:textId="77777777" w:rsidR="00710870" w:rsidRDefault="00710870" w:rsidP="00CA3661">
      <w:pPr>
        <w:rPr>
          <w:lang w:eastAsia="ja-JP"/>
        </w:rPr>
      </w:pPr>
      <w:r>
        <w:rPr>
          <w:lang w:eastAsia="ja-JP"/>
        </w:rPr>
        <w:t xml:space="preserve">The </w:t>
      </w:r>
      <w:r w:rsidR="003771B1">
        <w:rPr>
          <w:lang w:eastAsia="ja-JP"/>
        </w:rPr>
        <w:t>sponsor</w:t>
      </w:r>
      <w:r w:rsidR="009441E1">
        <w:rPr>
          <w:lang w:eastAsia="ja-JP"/>
        </w:rPr>
        <w:t xml:space="preserve"> deviated from the adopted g</w:t>
      </w:r>
      <w:r>
        <w:rPr>
          <w:lang w:eastAsia="ja-JP"/>
        </w:rPr>
        <w:t>uideline</w:t>
      </w:r>
      <w:r w:rsidR="009441E1">
        <w:rPr>
          <w:lang w:eastAsia="ja-JP"/>
        </w:rPr>
        <w:fldChar w:fldCharType="begin"/>
      </w:r>
      <w:r w:rsidR="009441E1">
        <w:rPr>
          <w:lang w:eastAsia="ja-JP"/>
        </w:rPr>
        <w:instrText xml:space="preserve"> NOTEREF _Ref13729303 \f \h </w:instrText>
      </w:r>
      <w:r w:rsidR="009441E1">
        <w:rPr>
          <w:lang w:eastAsia="ja-JP"/>
        </w:rPr>
      </w:r>
      <w:r w:rsidR="009441E1">
        <w:rPr>
          <w:lang w:eastAsia="ja-JP"/>
        </w:rPr>
        <w:fldChar w:fldCharType="separate"/>
      </w:r>
      <w:r w:rsidR="009441E1" w:rsidRPr="009441E1">
        <w:rPr>
          <w:rStyle w:val="FootnoteReference"/>
        </w:rPr>
        <w:t>2</w:t>
      </w:r>
      <w:r w:rsidR="009441E1">
        <w:rPr>
          <w:lang w:eastAsia="ja-JP"/>
        </w:rPr>
        <w:fldChar w:fldCharType="end"/>
      </w:r>
      <w:r>
        <w:rPr>
          <w:lang w:eastAsia="ja-JP"/>
        </w:rPr>
        <w:t xml:space="preserve"> on multiple occasions without comment or justification, except for one occasion, namely the recruitment of subjects into the maintenance study who had a clinical response after induction treatment rather than those who had had remission. The more robust/stringent measure is to determine the effect of treatment on sustaining remission. The risk of allowing a high proportion of responders rather than remitters into the maintenance study, while adequately justified in this instance by the </w:t>
      </w:r>
      <w:r w:rsidR="003771B1">
        <w:rPr>
          <w:lang w:eastAsia="ja-JP"/>
        </w:rPr>
        <w:t>sponsor</w:t>
      </w:r>
      <w:r>
        <w:rPr>
          <w:lang w:eastAsia="ja-JP"/>
        </w:rPr>
        <w:t xml:space="preserve">, may lead to a false impression that </w:t>
      </w:r>
      <w:proofErr w:type="spellStart"/>
      <w:r>
        <w:rPr>
          <w:lang w:eastAsia="ja-JP"/>
        </w:rPr>
        <w:t>tofacitinib</w:t>
      </w:r>
      <w:proofErr w:type="spellEnd"/>
      <w:r>
        <w:rPr>
          <w:lang w:eastAsia="ja-JP"/>
        </w:rPr>
        <w:t xml:space="preserve"> is more beneficial for the intended population than it may actually be.</w:t>
      </w:r>
    </w:p>
    <w:p w14:paraId="6F0C9877" w14:textId="202975D2" w:rsidR="005F7896" w:rsidRDefault="00710870" w:rsidP="00CA3661">
      <w:pPr>
        <w:rPr>
          <w:lang w:eastAsia="ja-JP"/>
        </w:rPr>
      </w:pPr>
      <w:r>
        <w:rPr>
          <w:lang w:eastAsia="ja-JP"/>
        </w:rPr>
        <w:t xml:space="preserve">Given the identified risks with </w:t>
      </w:r>
      <w:proofErr w:type="spellStart"/>
      <w:r>
        <w:rPr>
          <w:lang w:eastAsia="ja-JP"/>
        </w:rPr>
        <w:t>tofacitinib</w:t>
      </w:r>
      <w:proofErr w:type="spellEnd"/>
      <w:r>
        <w:rPr>
          <w:lang w:eastAsia="ja-JP"/>
        </w:rPr>
        <w:t xml:space="preserve"> exposure and the past concerns for safety identified by the TGA and other international regulatory jurisdictions, </w:t>
      </w:r>
      <w:r w:rsidR="009441E1">
        <w:rPr>
          <w:lang w:eastAsia="ja-JP"/>
        </w:rPr>
        <w:t>the</w:t>
      </w:r>
      <w:r>
        <w:rPr>
          <w:lang w:eastAsia="ja-JP"/>
        </w:rPr>
        <w:t xml:space="preserve"> evaluator considers the recommendation to restrict treatment to moderate UC patients (</w:t>
      </w:r>
      <w:r w:rsidR="00EB1177">
        <w:rPr>
          <w:lang w:eastAsia="ja-JP"/>
        </w:rPr>
        <w:t>b</w:t>
      </w:r>
      <w:r w:rsidR="00CF6A6C">
        <w:rPr>
          <w:lang w:eastAsia="ja-JP"/>
        </w:rPr>
        <w:t>aseline</w:t>
      </w:r>
      <w:r>
        <w:rPr>
          <w:lang w:eastAsia="ja-JP"/>
        </w:rPr>
        <w:t xml:space="preserve"> total Mayo score &lt; 8) is justified given the borde</w:t>
      </w:r>
      <w:r w:rsidR="009441E1">
        <w:rPr>
          <w:lang w:eastAsia="ja-JP"/>
        </w:rPr>
        <w:t xml:space="preserve">rline efficacy results of the 8 to </w:t>
      </w:r>
      <w:r>
        <w:rPr>
          <w:lang w:eastAsia="ja-JP"/>
        </w:rPr>
        <w:t>10 category and the potential exposure this group may receive for little</w:t>
      </w:r>
      <w:r w:rsidR="009441E1">
        <w:rPr>
          <w:lang w:eastAsia="ja-JP"/>
        </w:rPr>
        <w:t>,</w:t>
      </w:r>
      <w:r>
        <w:rPr>
          <w:lang w:eastAsia="ja-JP"/>
        </w:rPr>
        <w:t xml:space="preserve"> if any</w:t>
      </w:r>
      <w:r w:rsidR="009441E1">
        <w:rPr>
          <w:lang w:eastAsia="ja-JP"/>
        </w:rPr>
        <w:t>,</w:t>
      </w:r>
      <w:r>
        <w:rPr>
          <w:lang w:eastAsia="ja-JP"/>
        </w:rPr>
        <w:t xml:space="preserve"> clinical benefit again</w:t>
      </w:r>
      <w:r w:rsidR="009441E1">
        <w:rPr>
          <w:lang w:eastAsia="ja-JP"/>
        </w:rPr>
        <w:t xml:space="preserve">st the much higher risk of high </w:t>
      </w:r>
      <w:r>
        <w:rPr>
          <w:lang w:eastAsia="ja-JP"/>
        </w:rPr>
        <w:t xml:space="preserve">dose </w:t>
      </w:r>
      <w:proofErr w:type="spellStart"/>
      <w:r>
        <w:rPr>
          <w:lang w:eastAsia="ja-JP"/>
        </w:rPr>
        <w:t>tofacitinib</w:t>
      </w:r>
      <w:proofErr w:type="spellEnd"/>
      <w:r>
        <w:rPr>
          <w:lang w:eastAsia="ja-JP"/>
        </w:rPr>
        <w:t xml:space="preserve"> treatment (for induction and maintenance) than those with more moderate UC disease, especially the risk of increased incidence of adverse events of special interest</w:t>
      </w:r>
      <w:r w:rsidR="005F7896">
        <w:rPr>
          <w:lang w:eastAsia="ja-JP"/>
        </w:rPr>
        <w:t>.</w:t>
      </w:r>
    </w:p>
    <w:p w14:paraId="5142057D" w14:textId="77777777" w:rsidR="00710870" w:rsidRPr="00CD1C43" w:rsidRDefault="00710870" w:rsidP="001120D9">
      <w:pPr>
        <w:pStyle w:val="Heading5"/>
      </w:pPr>
      <w:r w:rsidRPr="00CD1C43">
        <w:t>Maintenance</w:t>
      </w:r>
    </w:p>
    <w:p w14:paraId="6CD97AC7" w14:textId="77777777" w:rsidR="00710870" w:rsidRDefault="00710870" w:rsidP="00CA3661">
      <w:r>
        <w:t xml:space="preserve">Efficacy was demonstrated for both the 5 mg and 10 mg </w:t>
      </w:r>
      <w:r w:rsidR="00F14B34">
        <w:t>BID</w:t>
      </w:r>
      <w:r w:rsidR="00F905F3">
        <w:t xml:space="preserve"> dose regimens in a dose </w:t>
      </w:r>
      <w:r>
        <w:t>dependent manner. However, the treatment differences between the two dose regimens were not generally clinical meaningful. Give</w:t>
      </w:r>
      <w:r w:rsidR="00F905F3">
        <w:t>n there was also a general dose </w:t>
      </w:r>
      <w:r>
        <w:t xml:space="preserve">dependent trend for adverse events, especially for adverse events of special interest (such as serious infections, </w:t>
      </w:r>
      <w:r w:rsidR="00F905F3">
        <w:t>HZ</w:t>
      </w:r>
      <w:r>
        <w:t xml:space="preserve"> reactivation and some malignancies), the </w:t>
      </w:r>
      <w:r w:rsidR="003771B1">
        <w:t>sponsor</w:t>
      </w:r>
      <w:r>
        <w:t xml:space="preserve"> has proposed a routine maintenance regimen of 5mg twice a day and this is supported on both efficacy and safety grounds.</w:t>
      </w:r>
    </w:p>
    <w:p w14:paraId="6E48137C" w14:textId="77777777" w:rsidR="00710870" w:rsidRPr="00D02D09" w:rsidRDefault="00710870" w:rsidP="001120D9">
      <w:pPr>
        <w:pStyle w:val="Heading5"/>
      </w:pPr>
      <w:r w:rsidRPr="00D02D09">
        <w:t>Uncertainties</w:t>
      </w:r>
    </w:p>
    <w:p w14:paraId="5E206B2A" w14:textId="510BBFE1" w:rsidR="00710870" w:rsidRDefault="00710870" w:rsidP="00CA3661">
      <w:r>
        <w:t xml:space="preserve">Notwithstanding that the minimum effective induction dose was not adequately described or determined, it is possible that some patient groups such as patients with more moderate UC disease at induction </w:t>
      </w:r>
      <w:r w:rsidR="00CF6A6C">
        <w:t>Baseline</w:t>
      </w:r>
      <w:r>
        <w:t xml:space="preserve"> would still achieve remission with a lesser dose than 10 mg BID but this remains unknown. If the ‘optimum’ dose regimen was lower than 10 mg for some patient subgroups this would mean an expected reduction in adverse events and hence more favourable benefit-risk balance in such groups.</w:t>
      </w:r>
    </w:p>
    <w:p w14:paraId="1CBC127C" w14:textId="77777777" w:rsidR="00710870" w:rsidRPr="00CA3661" w:rsidRDefault="00710870" w:rsidP="00CA3661">
      <w:pPr>
        <w:rPr>
          <w:lang w:eastAsia="ja-JP"/>
        </w:rPr>
      </w:pPr>
      <w:r>
        <w:rPr>
          <w:lang w:eastAsia="ja-JP"/>
        </w:rPr>
        <w:t xml:space="preserve">Furthermore, for the proposed extended induction period to 16 weeks, the actual optimum time to cease induction treatment, and who is most likely to benefit from an extended induction period, has not been determined. An indication restricted to the more moderate UC disease subpopulation reduces the need for the extended induction period altogether and thereby will considerably reduce overall risk and uncertainty in an unwell population, who are resistant to treatments and may potentially be given </w:t>
      </w:r>
      <w:proofErr w:type="spellStart"/>
      <w:r>
        <w:rPr>
          <w:lang w:eastAsia="ja-JP"/>
        </w:rPr>
        <w:t>tofacitinib</w:t>
      </w:r>
      <w:proofErr w:type="spellEnd"/>
      <w:r>
        <w:rPr>
          <w:lang w:eastAsia="ja-JP"/>
        </w:rPr>
        <w:t xml:space="preserve"> for protracted periods when the risk of adverse events may clearly outweigh any treatment </w:t>
      </w:r>
      <w:r>
        <w:rPr>
          <w:lang w:eastAsia="ja-JP"/>
        </w:rPr>
        <w:lastRenderedPageBreak/>
        <w:t xml:space="preserve">benefit, especially since patients and their clinicians might interpret the dosing period as supported by robust </w:t>
      </w:r>
      <w:r w:rsidR="00B7366A">
        <w:rPr>
          <w:lang w:eastAsia="ja-JP"/>
        </w:rPr>
        <w:t>Phase</w:t>
      </w:r>
      <w:r>
        <w:rPr>
          <w:lang w:eastAsia="ja-JP"/>
        </w:rPr>
        <w:t xml:space="preserve"> III induction studies, when in fact it i</w:t>
      </w:r>
      <w:r w:rsidR="00223C03">
        <w:rPr>
          <w:lang w:eastAsia="ja-JP"/>
        </w:rPr>
        <w:t>s not</w:t>
      </w:r>
      <w:r w:rsidR="00CA3661">
        <w:rPr>
          <w:lang w:eastAsia="ja-JP"/>
        </w:rPr>
        <w:t>.</w:t>
      </w:r>
    </w:p>
    <w:p w14:paraId="761DEBEC" w14:textId="68013A3A" w:rsidR="00710870" w:rsidRPr="00303EC6" w:rsidRDefault="001120D9" w:rsidP="001120D9">
      <w:pPr>
        <w:pStyle w:val="Heading5"/>
      </w:pPr>
      <w:r>
        <w:t>Overall c</w:t>
      </w:r>
      <w:r w:rsidR="00710870" w:rsidRPr="00303EC6">
        <w:t>omment</w:t>
      </w:r>
    </w:p>
    <w:p w14:paraId="74F0A482" w14:textId="77777777" w:rsidR="00710870" w:rsidRDefault="00710870" w:rsidP="00CA3661">
      <w:r>
        <w:t xml:space="preserve">Given </w:t>
      </w:r>
      <w:proofErr w:type="spellStart"/>
      <w:r>
        <w:t>tofacitinib</w:t>
      </w:r>
      <w:proofErr w:type="spellEnd"/>
      <w:r>
        <w:t xml:space="preserve"> is a first in class active substance for the treatment of UC disease, in which other UC treatments have failed, or the patient has not tolerated, the availability of another second-line treatment option, particularly for those with more moderate UC disease is supported in this application.</w:t>
      </w:r>
    </w:p>
    <w:p w14:paraId="4EE3FF18" w14:textId="77777777" w:rsidR="00710870" w:rsidRDefault="00710870" w:rsidP="003F1EF8">
      <w:pPr>
        <w:pStyle w:val="Heading3"/>
      </w:pPr>
      <w:bookmarkStart w:id="211" w:name="_Toc512808714"/>
      <w:bookmarkStart w:id="212" w:name="_Toc20301907"/>
      <w:r>
        <w:t>Second round recommendation regarding authorisation</w:t>
      </w:r>
      <w:bookmarkEnd w:id="211"/>
      <w:bookmarkEnd w:id="212"/>
    </w:p>
    <w:p w14:paraId="1BBE1CE7" w14:textId="77777777" w:rsidR="00CA3661" w:rsidRDefault="00710870" w:rsidP="00710870">
      <w:r w:rsidRPr="001F742E">
        <w:t xml:space="preserve">Approval of </w:t>
      </w:r>
      <w:proofErr w:type="spellStart"/>
      <w:r>
        <w:t>tofacitinib</w:t>
      </w:r>
      <w:proofErr w:type="spellEnd"/>
      <w:r>
        <w:t xml:space="preserve"> citrate</w:t>
      </w:r>
      <w:r w:rsidR="00CA3661">
        <w:t xml:space="preserve"> is recommended:</w:t>
      </w:r>
    </w:p>
    <w:p w14:paraId="676793F2" w14:textId="77777777" w:rsidR="00710870" w:rsidRDefault="00CA3661" w:rsidP="00CA3661">
      <w:pPr>
        <w:ind w:left="720"/>
        <w:rPr>
          <w:rFonts w:eastAsia="TimesNewRoman" w:cs="TimesNewRoman"/>
        </w:rPr>
      </w:pPr>
      <w:r>
        <w:t>…</w:t>
      </w:r>
      <w:r w:rsidR="00710870" w:rsidRPr="00F454AB">
        <w:rPr>
          <w:i/>
        </w:rPr>
        <w:t xml:space="preserve">for </w:t>
      </w:r>
      <w:r w:rsidR="00710870" w:rsidRPr="00F454AB">
        <w:rPr>
          <w:rFonts w:eastAsia="TimesNewRoman" w:cs="TimesNewRoman"/>
          <w:i/>
        </w:rPr>
        <w:t>the induction and maintenance of treatment of adult patients with moderate active ulcerative colitis, who have had an inadequate response, lost response, or were intolerant to conventional therapy</w:t>
      </w:r>
      <w:r w:rsidR="00710870" w:rsidRPr="00EB7937">
        <w:rPr>
          <w:rFonts w:eastAsia="TimesNewRoman" w:cs="TimesNewRoman"/>
        </w:rPr>
        <w:t>.</w:t>
      </w:r>
    </w:p>
    <w:p w14:paraId="0BA39671" w14:textId="77777777" w:rsidR="00710870" w:rsidRDefault="00710870" w:rsidP="00CA3661">
      <w:r>
        <w:t>Other recommended conditions are:</w:t>
      </w:r>
    </w:p>
    <w:p w14:paraId="1DCF1344" w14:textId="2318FF4E" w:rsidR="00710870" w:rsidRDefault="00710870" w:rsidP="00CA3661">
      <w:pPr>
        <w:pStyle w:val="ListBullet"/>
      </w:pPr>
      <w:r>
        <w:t>I</w:t>
      </w:r>
      <w:r w:rsidRPr="001C0EC2">
        <w:t xml:space="preserve">nduction treatment for </w:t>
      </w:r>
      <w:proofErr w:type="spellStart"/>
      <w:r w:rsidRPr="001C0EC2">
        <w:t>tofacitinib</w:t>
      </w:r>
      <w:proofErr w:type="spellEnd"/>
      <w:r w:rsidRPr="001C0EC2">
        <w:t xml:space="preserve"> 10 mg </w:t>
      </w:r>
      <w:r w:rsidR="00F14B34">
        <w:t>BID</w:t>
      </w:r>
      <w:r w:rsidRPr="001C0EC2">
        <w:t xml:space="preserve"> period should be limited to 8</w:t>
      </w:r>
      <w:r w:rsidR="00EB1177">
        <w:t> </w:t>
      </w:r>
      <w:r w:rsidRPr="001C0EC2">
        <w:t>weeks</w:t>
      </w:r>
      <w:r>
        <w:t xml:space="preserve"> only; and</w:t>
      </w:r>
    </w:p>
    <w:p w14:paraId="2C22E39B" w14:textId="6D205804" w:rsidR="00605AD4" w:rsidRPr="00CA3661" w:rsidRDefault="00710870" w:rsidP="00CA3661">
      <w:pPr>
        <w:pStyle w:val="ListBullet"/>
      </w:pPr>
      <w:r w:rsidRPr="001C0EC2">
        <w:t xml:space="preserve">Patients with proctosigmoiditis </w:t>
      </w:r>
      <w:r>
        <w:t xml:space="preserve">should </w:t>
      </w:r>
      <w:r w:rsidRPr="001C0EC2">
        <w:t xml:space="preserve">not receive </w:t>
      </w:r>
      <w:proofErr w:type="spellStart"/>
      <w:r w:rsidRPr="001C0EC2">
        <w:t>tofacitinib</w:t>
      </w:r>
      <w:proofErr w:type="spellEnd"/>
      <w:r w:rsidRPr="001C0EC2">
        <w:t xml:space="preserve"> induction treatment unless there is documented prior failure from topical treatment</w:t>
      </w:r>
      <w:r w:rsidR="00EB1177">
        <w:t>(</w:t>
      </w:r>
      <w:r>
        <w:t>s</w:t>
      </w:r>
      <w:r w:rsidR="00EB1177">
        <w:t>)</w:t>
      </w:r>
      <w:r w:rsidRPr="001C0EC2">
        <w:t>.</w:t>
      </w:r>
    </w:p>
    <w:p w14:paraId="51828B39" w14:textId="77777777" w:rsidR="008E7846" w:rsidRPr="00E41208" w:rsidRDefault="008E7846" w:rsidP="00546154">
      <w:pPr>
        <w:pStyle w:val="Heading2"/>
      </w:pPr>
      <w:bookmarkStart w:id="213" w:name="_Toc20301908"/>
      <w:r w:rsidRPr="00E41208">
        <w:t>V</w:t>
      </w:r>
      <w:r w:rsidR="00500337">
        <w:t>I</w:t>
      </w:r>
      <w:r w:rsidRPr="00E41208">
        <w:t xml:space="preserve">. Pharmacovigilance </w:t>
      </w:r>
      <w:r>
        <w:t>f</w:t>
      </w:r>
      <w:r w:rsidRPr="00E41208">
        <w:t>indings</w:t>
      </w:r>
      <w:bookmarkEnd w:id="95"/>
      <w:bookmarkEnd w:id="96"/>
      <w:bookmarkEnd w:id="213"/>
    </w:p>
    <w:p w14:paraId="1823E25A" w14:textId="77777777" w:rsidR="008E7846" w:rsidRDefault="00386150" w:rsidP="008E7846">
      <w:pPr>
        <w:pStyle w:val="Heading3"/>
        <w:rPr>
          <w:lang w:eastAsia="en-AU"/>
        </w:rPr>
      </w:pPr>
      <w:bookmarkStart w:id="214" w:name="_Toc247691526"/>
      <w:bookmarkStart w:id="215" w:name="_Toc314842509"/>
      <w:bookmarkStart w:id="216" w:name="_Toc20301909"/>
      <w:r>
        <w:rPr>
          <w:lang w:eastAsia="en-AU"/>
        </w:rPr>
        <w:t>Risk m</w:t>
      </w:r>
      <w:r w:rsidR="008E7846">
        <w:rPr>
          <w:lang w:eastAsia="en-AU"/>
        </w:rPr>
        <w:t xml:space="preserve">anagement </w:t>
      </w:r>
      <w:r>
        <w:rPr>
          <w:lang w:eastAsia="en-AU"/>
        </w:rPr>
        <w:t>p</w:t>
      </w:r>
      <w:r w:rsidR="008E7846">
        <w:rPr>
          <w:lang w:eastAsia="en-AU"/>
        </w:rPr>
        <w:t>lan</w:t>
      </w:r>
      <w:bookmarkEnd w:id="214"/>
      <w:bookmarkEnd w:id="215"/>
      <w:bookmarkEnd w:id="216"/>
    </w:p>
    <w:p w14:paraId="33AF459A" w14:textId="77777777" w:rsidR="00456765" w:rsidRDefault="00456765" w:rsidP="00456765">
      <w:pPr>
        <w:pStyle w:val="Heading4"/>
        <w:rPr>
          <w:lang w:eastAsia="en-AU"/>
        </w:rPr>
      </w:pPr>
      <w:bookmarkStart w:id="217" w:name="_Toc247691527"/>
      <w:bookmarkStart w:id="218" w:name="_Toc314842510"/>
      <w:r>
        <w:rPr>
          <w:lang w:eastAsia="en-AU"/>
        </w:rPr>
        <w:t>Summary of RMP evaluation</w:t>
      </w:r>
      <w:r>
        <w:rPr>
          <w:rStyle w:val="FootnoteReference"/>
          <w:lang w:eastAsia="en-AU"/>
        </w:rPr>
        <w:footnoteReference w:id="6"/>
      </w:r>
    </w:p>
    <w:p w14:paraId="660DF38B" w14:textId="77777777" w:rsidR="00EF6A50" w:rsidRPr="009B2DD4" w:rsidRDefault="00EF6A50" w:rsidP="00CA3661">
      <w:pPr>
        <w:pStyle w:val="ListBullet"/>
      </w:pPr>
      <w:bookmarkStart w:id="219" w:name="_Toc477354123"/>
      <w:proofErr w:type="spellStart"/>
      <w:r w:rsidRPr="00CA3661">
        <w:t>Xeljanz</w:t>
      </w:r>
      <w:proofErr w:type="spellEnd"/>
      <w:r w:rsidRPr="009B2DD4">
        <w:t xml:space="preserve"> is currently approved for the treatment of moderate to severe active </w:t>
      </w:r>
      <w:r w:rsidR="00B7366A">
        <w:t>RA</w:t>
      </w:r>
      <w:r w:rsidRPr="009B2DD4">
        <w:t xml:space="preserve"> in adults who have had an inadequate response or are intolerant to </w:t>
      </w:r>
      <w:r w:rsidR="003F1EF8">
        <w:t>MTX</w:t>
      </w:r>
      <w:r w:rsidRPr="009B2DD4">
        <w:t>.</w:t>
      </w:r>
    </w:p>
    <w:p w14:paraId="40450A17" w14:textId="331152C4" w:rsidR="00EF6A50" w:rsidRPr="009B2DD4" w:rsidRDefault="00223C03" w:rsidP="00CA3661">
      <w:pPr>
        <w:pStyle w:val="ListBullet"/>
      </w:pPr>
      <w:r>
        <w:t>At the time this application was under evaluation,</w:t>
      </w:r>
      <w:r w:rsidR="00EF6A50" w:rsidRPr="009B2DD4">
        <w:t xml:space="preserve"> an application </w:t>
      </w:r>
      <w:r>
        <w:t xml:space="preserve">was </w:t>
      </w:r>
      <w:r w:rsidR="00EF6A50" w:rsidRPr="009B2DD4">
        <w:t xml:space="preserve">currently under evaluation by the TGA for </w:t>
      </w:r>
      <w:proofErr w:type="spellStart"/>
      <w:r w:rsidR="00EF6A50" w:rsidRPr="009B2DD4">
        <w:t>tofacitinib</w:t>
      </w:r>
      <w:proofErr w:type="spellEnd"/>
      <w:r w:rsidR="00EF6A50" w:rsidRPr="009B2DD4">
        <w:t xml:space="preserve"> to extend the indications to include the treatment of active </w:t>
      </w:r>
      <w:proofErr w:type="spellStart"/>
      <w:r w:rsidR="00F905F3">
        <w:t>PsA</w:t>
      </w:r>
      <w:proofErr w:type="spellEnd"/>
      <w:r w:rsidR="00EF6A50" w:rsidRPr="009B2DD4">
        <w:t xml:space="preserve"> in adult patients (</w:t>
      </w:r>
      <w:r w:rsidR="00EB1177">
        <w:t xml:space="preserve">submission </w:t>
      </w:r>
      <w:r w:rsidR="00EF6A50" w:rsidRPr="009B2DD4">
        <w:t>PM-2017-03802-1-3).</w:t>
      </w:r>
    </w:p>
    <w:p w14:paraId="33A0F218" w14:textId="77777777" w:rsidR="00EF6A50" w:rsidRPr="009B2DD4" w:rsidRDefault="00EF6A50" w:rsidP="00CA3661">
      <w:pPr>
        <w:pStyle w:val="ListBullet"/>
      </w:pPr>
      <w:r w:rsidRPr="009B2DD4">
        <w:t xml:space="preserve">The dosage for patients with ulcerative colitis is initially </w:t>
      </w:r>
      <w:r>
        <w:t xml:space="preserve">10 mg </w:t>
      </w:r>
      <w:r w:rsidR="00F14B34">
        <w:t>BID</w:t>
      </w:r>
      <w:r>
        <w:t xml:space="preserve"> reducing to 5 </w:t>
      </w:r>
      <w:r w:rsidRPr="009B2DD4">
        <w:t xml:space="preserve">mg </w:t>
      </w:r>
      <w:r w:rsidR="00F14B34">
        <w:t>BID</w:t>
      </w:r>
      <w:r w:rsidRPr="009B2DD4">
        <w:t xml:space="preserve"> for maintenance treatment. The recommended dose of </w:t>
      </w:r>
      <w:proofErr w:type="spellStart"/>
      <w:r w:rsidRPr="009B2DD4">
        <w:t>tofacitinib</w:t>
      </w:r>
      <w:proofErr w:type="spellEnd"/>
      <w:r w:rsidRPr="009B2DD4">
        <w:t xml:space="preserve"> for RA and </w:t>
      </w:r>
      <w:proofErr w:type="spellStart"/>
      <w:r w:rsidRPr="009B2DD4">
        <w:t>PsA</w:t>
      </w:r>
      <w:proofErr w:type="spellEnd"/>
      <w:r w:rsidRPr="009B2DD4">
        <w:t xml:space="preserve"> is 5 mg </w:t>
      </w:r>
      <w:r w:rsidR="00F14B34">
        <w:t>BID</w:t>
      </w:r>
      <w:r w:rsidRPr="009B2DD4">
        <w:t>.</w:t>
      </w:r>
    </w:p>
    <w:p w14:paraId="40743F1C" w14:textId="77777777" w:rsidR="00EF6A50" w:rsidRDefault="00EF6A50" w:rsidP="00CA3661">
      <w:pPr>
        <w:pStyle w:val="ListBullet"/>
      </w:pPr>
      <w:r w:rsidRPr="009B2DD4">
        <w:t xml:space="preserve">In support of the extended indications (ulcerative colitis), the </w:t>
      </w:r>
      <w:r w:rsidR="003771B1">
        <w:t>sponsor</w:t>
      </w:r>
      <w:r w:rsidRPr="009B2DD4">
        <w:t xml:space="preserve"> has submitted EU-RMP version 2.0 (dated 20 June 2017; </w:t>
      </w:r>
      <w:r w:rsidR="00F905F3">
        <w:t>data lock point</w:t>
      </w:r>
      <w:r w:rsidRPr="009B2DD4">
        <w:t xml:space="preserve"> 16 December 2016) and </w:t>
      </w:r>
      <w:r w:rsidR="00F905F3">
        <w:t>Australian Specific Annex (</w:t>
      </w:r>
      <w:r w:rsidRPr="009B2DD4">
        <w:t>ASA</w:t>
      </w:r>
      <w:r w:rsidR="00F905F3">
        <w:t>)</w:t>
      </w:r>
      <w:r w:rsidRPr="009B2DD4">
        <w:t xml:space="preserve"> version 1.0 (dated 1 December 2017).</w:t>
      </w:r>
    </w:p>
    <w:p w14:paraId="46A5FE72" w14:textId="77777777" w:rsidR="005F7896" w:rsidRDefault="00EF6A50" w:rsidP="00CA3661">
      <w:pPr>
        <w:pStyle w:val="ListBullet"/>
      </w:pPr>
      <w:r w:rsidRPr="009B2DD4">
        <w:lastRenderedPageBreak/>
        <w:t xml:space="preserve">The most recently evaluated EU-RMP was version 3.0 (dated 26 July 2017; </w:t>
      </w:r>
      <w:r w:rsidR="00F905F3">
        <w:t>data lock point</w:t>
      </w:r>
      <w:r w:rsidRPr="009B2DD4">
        <w:t xml:space="preserve"> 7 March 2017) and ASA version 1.0 (date 27 September 2017)</w:t>
      </w:r>
      <w:r w:rsidR="005F7896">
        <w:t>.</w:t>
      </w:r>
    </w:p>
    <w:p w14:paraId="691F3D1E" w14:textId="77777777" w:rsidR="00EF6A50" w:rsidRDefault="00EF6A50" w:rsidP="00CA3661">
      <w:pPr>
        <w:pStyle w:val="ListBullet"/>
      </w:pPr>
      <w:r w:rsidRPr="009B2DD4">
        <w:t xml:space="preserve">The </w:t>
      </w:r>
      <w:r w:rsidR="00F905F3">
        <w:t>proposed summary of safety c</w:t>
      </w:r>
      <w:r w:rsidRPr="009B2DD4">
        <w:t xml:space="preserve">oncerns and their associated risk monitoring and mitigation strategies are summarised </w:t>
      </w:r>
      <w:r w:rsidR="00412140">
        <w:t>in</w:t>
      </w:r>
      <w:r w:rsidR="004E5B1B">
        <w:t xml:space="preserve"> </w:t>
      </w:r>
      <w:r w:rsidR="004E5B1B">
        <w:fldChar w:fldCharType="begin"/>
      </w:r>
      <w:r w:rsidR="004E5B1B">
        <w:instrText xml:space="preserve"> REF _Ref15027112 \h </w:instrText>
      </w:r>
      <w:r w:rsidR="004E5B1B">
        <w:fldChar w:fldCharType="separate"/>
      </w:r>
      <w:r w:rsidR="004E5B1B">
        <w:t xml:space="preserve">Table </w:t>
      </w:r>
      <w:r w:rsidR="004E5B1B">
        <w:rPr>
          <w:noProof/>
        </w:rPr>
        <w:t>18</w:t>
      </w:r>
      <w:r w:rsidR="004E5B1B">
        <w:fldChar w:fldCharType="end"/>
      </w:r>
      <w:r w:rsidR="00412140">
        <w:t>.</w:t>
      </w:r>
    </w:p>
    <w:p w14:paraId="6E78A2B4" w14:textId="77777777" w:rsidR="00CA3661" w:rsidRDefault="004E5B1B" w:rsidP="004E5B1B">
      <w:pPr>
        <w:pStyle w:val="TableTitle"/>
      </w:pPr>
      <w:bookmarkStart w:id="220" w:name="_Ref15027112"/>
      <w:r>
        <w:lastRenderedPageBreak/>
        <w:t xml:space="preserve">Table </w:t>
      </w:r>
      <w:r w:rsidR="009870DC">
        <w:fldChar w:fldCharType="begin"/>
      </w:r>
      <w:r w:rsidR="009870DC">
        <w:instrText xml:space="preserve"> SEQ Table \* ARABIC </w:instrText>
      </w:r>
      <w:r w:rsidR="009870DC">
        <w:fldChar w:fldCharType="separate"/>
      </w:r>
      <w:r>
        <w:rPr>
          <w:noProof/>
        </w:rPr>
        <w:t>18</w:t>
      </w:r>
      <w:r w:rsidR="009870DC">
        <w:rPr>
          <w:noProof/>
        </w:rPr>
        <w:fldChar w:fldCharType="end"/>
      </w:r>
      <w:bookmarkEnd w:id="220"/>
      <w:r w:rsidR="00CA3661">
        <w:t>: Summary of safety concerns</w:t>
      </w:r>
    </w:p>
    <w:tbl>
      <w:tblPr>
        <w:tblStyle w:val="TableTGAblue"/>
        <w:tblW w:w="8545" w:type="dxa"/>
        <w:tblLayout w:type="fixed"/>
        <w:tblLook w:val="04A0" w:firstRow="1" w:lastRow="0" w:firstColumn="1" w:lastColumn="0" w:noHBand="0" w:noVBand="1"/>
      </w:tblPr>
      <w:tblGrid>
        <w:gridCol w:w="564"/>
        <w:gridCol w:w="3513"/>
        <w:gridCol w:w="993"/>
        <w:gridCol w:w="1275"/>
        <w:gridCol w:w="993"/>
        <w:gridCol w:w="1207"/>
      </w:tblGrid>
      <w:tr w:rsidR="00EE2501" w:rsidRPr="00EE2501" w14:paraId="5C084323" w14:textId="77777777" w:rsidTr="00223C03">
        <w:trPr>
          <w:cnfStyle w:val="100000000000" w:firstRow="1" w:lastRow="0" w:firstColumn="0" w:lastColumn="0" w:oddVBand="0" w:evenVBand="0" w:oddHBand="0" w:evenHBand="0" w:firstRowFirstColumn="0" w:firstRowLastColumn="0" w:lastRowFirstColumn="0" w:lastRowLastColumn="0"/>
          <w:trHeight w:val="193"/>
        </w:trPr>
        <w:tc>
          <w:tcPr>
            <w:tcW w:w="4077" w:type="dxa"/>
            <w:gridSpan w:val="2"/>
            <w:vMerge w:val="restart"/>
          </w:tcPr>
          <w:p w14:paraId="2506C86E" w14:textId="77777777" w:rsidR="00EE2501" w:rsidRPr="00EE2501" w:rsidRDefault="00EE2501" w:rsidP="00412140">
            <w:pPr>
              <w:pStyle w:val="Tabletext"/>
              <w:ind w:left="0" w:right="0"/>
              <w:rPr>
                <w:b w:val="0"/>
                <w:sz w:val="20"/>
                <w:szCs w:val="20"/>
              </w:rPr>
            </w:pPr>
            <w:r w:rsidRPr="00EE2501">
              <w:rPr>
                <w:sz w:val="20"/>
                <w:szCs w:val="20"/>
              </w:rPr>
              <w:t>Summary of safety concerns</w:t>
            </w:r>
          </w:p>
        </w:tc>
        <w:tc>
          <w:tcPr>
            <w:tcW w:w="2268" w:type="dxa"/>
            <w:gridSpan w:val="2"/>
          </w:tcPr>
          <w:p w14:paraId="1043F350" w14:textId="77777777" w:rsidR="00EE2501" w:rsidRPr="00EE2501" w:rsidRDefault="00EE2501" w:rsidP="00412140">
            <w:pPr>
              <w:pStyle w:val="Tabletext"/>
              <w:ind w:left="0" w:right="0"/>
              <w:rPr>
                <w:b w:val="0"/>
                <w:sz w:val="20"/>
                <w:szCs w:val="20"/>
              </w:rPr>
            </w:pPr>
            <w:r w:rsidRPr="00EE2501">
              <w:rPr>
                <w:sz w:val="20"/>
                <w:szCs w:val="20"/>
              </w:rPr>
              <w:t>Pharmacovigilance</w:t>
            </w:r>
          </w:p>
        </w:tc>
        <w:tc>
          <w:tcPr>
            <w:tcW w:w="2200" w:type="dxa"/>
            <w:gridSpan w:val="2"/>
          </w:tcPr>
          <w:p w14:paraId="19DA0541" w14:textId="77777777" w:rsidR="00EE2501" w:rsidRPr="00EE2501" w:rsidRDefault="00EE2501" w:rsidP="00412140">
            <w:pPr>
              <w:pStyle w:val="Tabletext"/>
              <w:ind w:left="0" w:right="0"/>
              <w:rPr>
                <w:b w:val="0"/>
                <w:sz w:val="20"/>
                <w:szCs w:val="20"/>
              </w:rPr>
            </w:pPr>
            <w:r w:rsidRPr="00EE2501">
              <w:rPr>
                <w:sz w:val="20"/>
                <w:szCs w:val="20"/>
              </w:rPr>
              <w:t>Risk Minimisation</w:t>
            </w:r>
          </w:p>
        </w:tc>
      </w:tr>
      <w:tr w:rsidR="00EE2501" w:rsidRPr="00EE2501" w14:paraId="1FF68270" w14:textId="77777777" w:rsidTr="00223C03">
        <w:trPr>
          <w:trHeight w:val="220"/>
        </w:trPr>
        <w:tc>
          <w:tcPr>
            <w:tcW w:w="4077" w:type="dxa"/>
            <w:gridSpan w:val="2"/>
            <w:vMerge/>
          </w:tcPr>
          <w:p w14:paraId="44047C38" w14:textId="77777777" w:rsidR="00EE2501" w:rsidRPr="00EE2501" w:rsidRDefault="00EE2501" w:rsidP="00412140">
            <w:pPr>
              <w:pStyle w:val="Tabletext"/>
              <w:keepNext/>
              <w:ind w:left="0" w:right="0"/>
              <w:rPr>
                <w:b/>
                <w:sz w:val="20"/>
                <w:szCs w:val="20"/>
              </w:rPr>
            </w:pPr>
          </w:p>
        </w:tc>
        <w:tc>
          <w:tcPr>
            <w:tcW w:w="993" w:type="dxa"/>
          </w:tcPr>
          <w:p w14:paraId="7B1E3666" w14:textId="77777777" w:rsidR="00EE2501" w:rsidRPr="00EE2501" w:rsidRDefault="00EE2501" w:rsidP="00412140">
            <w:pPr>
              <w:pStyle w:val="Tabletext"/>
              <w:keepNext/>
              <w:ind w:left="0" w:right="0"/>
              <w:rPr>
                <w:sz w:val="20"/>
                <w:szCs w:val="20"/>
              </w:rPr>
            </w:pPr>
            <w:r w:rsidRPr="00EE2501">
              <w:rPr>
                <w:sz w:val="20"/>
                <w:szCs w:val="20"/>
              </w:rPr>
              <w:t>Routine</w:t>
            </w:r>
          </w:p>
        </w:tc>
        <w:tc>
          <w:tcPr>
            <w:tcW w:w="1275" w:type="dxa"/>
          </w:tcPr>
          <w:p w14:paraId="5119E0E3" w14:textId="77777777" w:rsidR="00EE2501" w:rsidRPr="00EE2501" w:rsidRDefault="00EE2501" w:rsidP="00412140">
            <w:pPr>
              <w:pStyle w:val="Tabletext"/>
              <w:keepNext/>
              <w:ind w:left="0" w:right="0"/>
              <w:rPr>
                <w:sz w:val="20"/>
                <w:szCs w:val="20"/>
              </w:rPr>
            </w:pPr>
            <w:r w:rsidRPr="00EE2501">
              <w:rPr>
                <w:sz w:val="20"/>
                <w:szCs w:val="20"/>
              </w:rPr>
              <w:t>Additional</w:t>
            </w:r>
          </w:p>
        </w:tc>
        <w:tc>
          <w:tcPr>
            <w:tcW w:w="993" w:type="dxa"/>
          </w:tcPr>
          <w:p w14:paraId="68D54BCA" w14:textId="77777777" w:rsidR="00EE2501" w:rsidRPr="00EE2501" w:rsidRDefault="00EE2501" w:rsidP="00412140">
            <w:pPr>
              <w:pStyle w:val="Tabletext"/>
              <w:keepNext/>
              <w:ind w:left="0" w:right="0"/>
              <w:rPr>
                <w:sz w:val="20"/>
                <w:szCs w:val="20"/>
              </w:rPr>
            </w:pPr>
            <w:r w:rsidRPr="00EE2501">
              <w:rPr>
                <w:sz w:val="20"/>
                <w:szCs w:val="20"/>
              </w:rPr>
              <w:t>Routine</w:t>
            </w:r>
          </w:p>
        </w:tc>
        <w:tc>
          <w:tcPr>
            <w:tcW w:w="1207" w:type="dxa"/>
          </w:tcPr>
          <w:p w14:paraId="59C970BA" w14:textId="77777777" w:rsidR="00EE2501" w:rsidRPr="00EE2501" w:rsidRDefault="00EE2501" w:rsidP="00412140">
            <w:pPr>
              <w:pStyle w:val="Tabletext"/>
              <w:keepNext/>
              <w:ind w:left="0" w:right="0"/>
              <w:rPr>
                <w:sz w:val="20"/>
                <w:szCs w:val="20"/>
              </w:rPr>
            </w:pPr>
            <w:r w:rsidRPr="00EE2501">
              <w:rPr>
                <w:sz w:val="20"/>
                <w:szCs w:val="20"/>
              </w:rPr>
              <w:t>Additional</w:t>
            </w:r>
          </w:p>
        </w:tc>
      </w:tr>
      <w:tr w:rsidR="00EE2501" w:rsidRPr="00EE2501" w14:paraId="7E3A76BD" w14:textId="77777777" w:rsidTr="00223C03">
        <w:trPr>
          <w:trHeight w:val="202"/>
        </w:trPr>
        <w:tc>
          <w:tcPr>
            <w:tcW w:w="564" w:type="dxa"/>
            <w:vMerge w:val="restart"/>
            <w:textDirection w:val="btLr"/>
          </w:tcPr>
          <w:p w14:paraId="4EF6C79F" w14:textId="77777777" w:rsidR="00EE2501" w:rsidRPr="00EE2501" w:rsidRDefault="00EE2501" w:rsidP="00412140">
            <w:pPr>
              <w:pStyle w:val="Tabletext"/>
              <w:keepNext/>
              <w:ind w:left="0" w:right="0"/>
              <w:jc w:val="center"/>
              <w:rPr>
                <w:b/>
                <w:sz w:val="20"/>
                <w:szCs w:val="20"/>
              </w:rPr>
            </w:pPr>
            <w:r w:rsidRPr="00EE2501">
              <w:rPr>
                <w:b/>
                <w:sz w:val="20"/>
                <w:szCs w:val="20"/>
              </w:rPr>
              <w:t>Important identified risks</w:t>
            </w:r>
          </w:p>
        </w:tc>
        <w:tc>
          <w:tcPr>
            <w:tcW w:w="3513" w:type="dxa"/>
          </w:tcPr>
          <w:p w14:paraId="6C54FCCB" w14:textId="77777777" w:rsidR="00EE2501" w:rsidRPr="00EE2501" w:rsidRDefault="00EE2501" w:rsidP="00412140">
            <w:pPr>
              <w:pStyle w:val="Summaryofsafetyconcerns"/>
              <w:keepNext/>
              <w:ind w:left="0" w:right="0"/>
              <w:rPr>
                <w:b w:val="0"/>
                <w:szCs w:val="20"/>
              </w:rPr>
            </w:pPr>
            <w:r w:rsidRPr="00EE2501">
              <w:rPr>
                <w:b w:val="0"/>
                <w:szCs w:val="20"/>
              </w:rPr>
              <w:t>Serious and other important infections</w:t>
            </w:r>
          </w:p>
        </w:tc>
        <w:tc>
          <w:tcPr>
            <w:tcW w:w="993" w:type="dxa"/>
          </w:tcPr>
          <w:p w14:paraId="1372F661"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3C6299D1"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1,2,6,7</w:t>
            </w:r>
          </w:p>
        </w:tc>
        <w:tc>
          <w:tcPr>
            <w:tcW w:w="993" w:type="dxa"/>
          </w:tcPr>
          <w:p w14:paraId="2DB3B1B5"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61B52ADE"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4,5</w:t>
            </w:r>
          </w:p>
        </w:tc>
      </w:tr>
      <w:tr w:rsidR="00EE2501" w:rsidRPr="00EE2501" w14:paraId="59968BCD" w14:textId="77777777" w:rsidTr="00704FE3">
        <w:trPr>
          <w:trHeight w:val="139"/>
        </w:trPr>
        <w:tc>
          <w:tcPr>
            <w:tcW w:w="564" w:type="dxa"/>
            <w:vMerge/>
            <w:textDirection w:val="btLr"/>
          </w:tcPr>
          <w:p w14:paraId="23EA26AD" w14:textId="77777777" w:rsidR="00EE2501" w:rsidRPr="00EE2501" w:rsidRDefault="00EE2501" w:rsidP="00412140">
            <w:pPr>
              <w:pStyle w:val="Tabletext"/>
              <w:keepNext/>
              <w:ind w:left="0" w:right="0"/>
              <w:jc w:val="center"/>
              <w:rPr>
                <w:b/>
                <w:sz w:val="20"/>
                <w:szCs w:val="20"/>
              </w:rPr>
            </w:pPr>
          </w:p>
        </w:tc>
        <w:tc>
          <w:tcPr>
            <w:tcW w:w="3513" w:type="dxa"/>
            <w:shd w:val="clear" w:color="auto" w:fill="8CADD3"/>
          </w:tcPr>
          <w:p w14:paraId="68DA719E" w14:textId="77777777" w:rsidR="00EE2501" w:rsidRPr="00EE2501" w:rsidRDefault="00F905F3" w:rsidP="00412140">
            <w:pPr>
              <w:pStyle w:val="Summaryofsafetyconcerns"/>
              <w:keepNext/>
              <w:ind w:left="0" w:right="0"/>
              <w:rPr>
                <w:b w:val="0"/>
                <w:szCs w:val="20"/>
              </w:rPr>
            </w:pPr>
            <w:r>
              <w:rPr>
                <w:b w:val="0"/>
                <w:szCs w:val="20"/>
              </w:rPr>
              <w:t>HZ</w:t>
            </w:r>
            <w:r w:rsidR="00EE2501" w:rsidRPr="00EE2501">
              <w:rPr>
                <w:b w:val="0"/>
                <w:szCs w:val="20"/>
              </w:rPr>
              <w:t xml:space="preserve"> reactivation</w:t>
            </w:r>
          </w:p>
        </w:tc>
        <w:tc>
          <w:tcPr>
            <w:tcW w:w="993" w:type="dxa"/>
            <w:shd w:val="clear" w:color="auto" w:fill="8CADD3"/>
          </w:tcPr>
          <w:p w14:paraId="1F45B223"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shd w:val="clear" w:color="auto" w:fill="8CADD3"/>
          </w:tcPr>
          <w:p w14:paraId="4FCFA63B"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1,2,7</w:t>
            </w:r>
          </w:p>
        </w:tc>
        <w:tc>
          <w:tcPr>
            <w:tcW w:w="993" w:type="dxa"/>
            <w:shd w:val="clear" w:color="auto" w:fill="8CADD3"/>
          </w:tcPr>
          <w:p w14:paraId="6C290424"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shd w:val="clear" w:color="auto" w:fill="8CADD3"/>
          </w:tcPr>
          <w:p w14:paraId="7C90C9B1"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4,5</w:t>
            </w:r>
          </w:p>
        </w:tc>
      </w:tr>
      <w:tr w:rsidR="00EE2501" w:rsidRPr="00EE2501" w14:paraId="466B9093" w14:textId="77777777" w:rsidTr="00223C03">
        <w:trPr>
          <w:trHeight w:val="139"/>
        </w:trPr>
        <w:tc>
          <w:tcPr>
            <w:tcW w:w="564" w:type="dxa"/>
            <w:vMerge/>
            <w:textDirection w:val="btLr"/>
          </w:tcPr>
          <w:p w14:paraId="7F7E2517" w14:textId="77777777" w:rsidR="00EE2501" w:rsidRPr="00EE2501" w:rsidRDefault="00EE2501" w:rsidP="00412140">
            <w:pPr>
              <w:pStyle w:val="Tabletext"/>
              <w:keepNext/>
              <w:ind w:left="0" w:right="0"/>
              <w:jc w:val="center"/>
              <w:rPr>
                <w:b/>
                <w:sz w:val="20"/>
                <w:szCs w:val="20"/>
              </w:rPr>
            </w:pPr>
          </w:p>
        </w:tc>
        <w:tc>
          <w:tcPr>
            <w:tcW w:w="3513" w:type="dxa"/>
          </w:tcPr>
          <w:p w14:paraId="2561D998" w14:textId="77777777" w:rsidR="00EE2501" w:rsidRPr="00EE2501" w:rsidRDefault="00EE2501" w:rsidP="00412140">
            <w:pPr>
              <w:keepNext/>
              <w:autoSpaceDE w:val="0"/>
              <w:autoSpaceDN w:val="0"/>
              <w:adjustRightInd w:val="0"/>
              <w:ind w:left="0" w:right="0"/>
              <w:rPr>
                <w:rFonts w:eastAsia="TimesNewRoman" w:cs="TimesNewRoman"/>
                <w:sz w:val="20"/>
                <w:szCs w:val="20"/>
              </w:rPr>
            </w:pPr>
            <w:r w:rsidRPr="00EE2501">
              <w:rPr>
                <w:rFonts w:eastAsia="TimesNewRoman" w:cs="TimesNewRoman"/>
                <w:sz w:val="20"/>
                <w:szCs w:val="20"/>
              </w:rPr>
              <w:t>Decrease in neutrophil counts and neutropenia</w:t>
            </w:r>
          </w:p>
        </w:tc>
        <w:tc>
          <w:tcPr>
            <w:tcW w:w="993" w:type="dxa"/>
          </w:tcPr>
          <w:p w14:paraId="35E567F9"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3CD2876F"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993" w:type="dxa"/>
          </w:tcPr>
          <w:p w14:paraId="73A28E34"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3E365BC6"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w:t>
            </w:r>
          </w:p>
        </w:tc>
      </w:tr>
      <w:tr w:rsidR="00EE2501" w:rsidRPr="00EE2501" w14:paraId="57BE58DF" w14:textId="77777777" w:rsidTr="00223C03">
        <w:trPr>
          <w:trHeight w:val="139"/>
        </w:trPr>
        <w:tc>
          <w:tcPr>
            <w:tcW w:w="564" w:type="dxa"/>
            <w:vMerge/>
            <w:textDirection w:val="btLr"/>
          </w:tcPr>
          <w:p w14:paraId="2796227B" w14:textId="77777777" w:rsidR="00EE2501" w:rsidRPr="00EE2501" w:rsidRDefault="00EE2501" w:rsidP="00412140">
            <w:pPr>
              <w:pStyle w:val="Tabletext"/>
              <w:keepNext/>
              <w:ind w:left="0" w:right="0"/>
              <w:jc w:val="center"/>
              <w:rPr>
                <w:b/>
                <w:sz w:val="20"/>
                <w:szCs w:val="20"/>
              </w:rPr>
            </w:pPr>
          </w:p>
        </w:tc>
        <w:tc>
          <w:tcPr>
            <w:tcW w:w="3513" w:type="dxa"/>
          </w:tcPr>
          <w:p w14:paraId="45B5A2AC" w14:textId="77777777" w:rsidR="00EE2501" w:rsidRPr="00EE2501" w:rsidRDefault="00EE2501" w:rsidP="00412140">
            <w:pPr>
              <w:keepNext/>
              <w:ind w:left="0" w:right="0"/>
              <w:rPr>
                <w:sz w:val="20"/>
                <w:szCs w:val="20"/>
              </w:rPr>
            </w:pPr>
            <w:r w:rsidRPr="00EE2501">
              <w:rPr>
                <w:rFonts w:eastAsia="TimesNewRoman" w:cs="TimesNewRoman"/>
                <w:sz w:val="20"/>
                <w:szCs w:val="20"/>
              </w:rPr>
              <w:t xml:space="preserve">Decrease in lymphocyte counts and </w:t>
            </w:r>
            <w:proofErr w:type="spellStart"/>
            <w:r w:rsidRPr="00EE2501">
              <w:rPr>
                <w:rFonts w:eastAsia="TimesNewRoman" w:cs="TimesNewRoman"/>
                <w:sz w:val="20"/>
                <w:szCs w:val="20"/>
              </w:rPr>
              <w:t>lymphopenia</w:t>
            </w:r>
            <w:proofErr w:type="spellEnd"/>
          </w:p>
        </w:tc>
        <w:tc>
          <w:tcPr>
            <w:tcW w:w="993" w:type="dxa"/>
          </w:tcPr>
          <w:p w14:paraId="642E8017"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66F4E9DD"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1</w:t>
            </w:r>
          </w:p>
        </w:tc>
        <w:tc>
          <w:tcPr>
            <w:tcW w:w="993" w:type="dxa"/>
          </w:tcPr>
          <w:p w14:paraId="5CBCB89F"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4F0396D5"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w:t>
            </w:r>
          </w:p>
        </w:tc>
      </w:tr>
      <w:tr w:rsidR="00EE2501" w:rsidRPr="00EE2501" w14:paraId="058EE9E0" w14:textId="77777777" w:rsidTr="00223C03">
        <w:trPr>
          <w:trHeight w:val="139"/>
        </w:trPr>
        <w:tc>
          <w:tcPr>
            <w:tcW w:w="564" w:type="dxa"/>
            <w:vMerge/>
            <w:textDirection w:val="btLr"/>
          </w:tcPr>
          <w:p w14:paraId="3C6447A4" w14:textId="77777777" w:rsidR="00EE2501" w:rsidRPr="00EE2501" w:rsidRDefault="00EE2501" w:rsidP="00412140">
            <w:pPr>
              <w:pStyle w:val="Tabletext"/>
              <w:keepNext/>
              <w:ind w:left="0" w:right="0"/>
              <w:jc w:val="center"/>
              <w:rPr>
                <w:b/>
                <w:sz w:val="20"/>
                <w:szCs w:val="20"/>
              </w:rPr>
            </w:pPr>
          </w:p>
        </w:tc>
        <w:tc>
          <w:tcPr>
            <w:tcW w:w="3513" w:type="dxa"/>
          </w:tcPr>
          <w:p w14:paraId="6E1D363E" w14:textId="77777777" w:rsidR="00EE2501" w:rsidRPr="00EE2501" w:rsidRDefault="00EE2501" w:rsidP="00412140">
            <w:pPr>
              <w:keepNext/>
              <w:autoSpaceDE w:val="0"/>
              <w:autoSpaceDN w:val="0"/>
              <w:adjustRightInd w:val="0"/>
              <w:ind w:left="0" w:right="0"/>
              <w:rPr>
                <w:rFonts w:eastAsia="TimesNewRoman" w:cs="TimesNewRoman"/>
                <w:sz w:val="20"/>
                <w:szCs w:val="20"/>
              </w:rPr>
            </w:pPr>
            <w:r w:rsidRPr="00EE2501">
              <w:rPr>
                <w:rFonts w:eastAsia="TimesNewRoman" w:cs="TimesNewRoman"/>
                <w:sz w:val="20"/>
                <w:szCs w:val="20"/>
              </w:rPr>
              <w:t>Decrease in haemoglobin levels and anaemia</w:t>
            </w:r>
          </w:p>
        </w:tc>
        <w:tc>
          <w:tcPr>
            <w:tcW w:w="993" w:type="dxa"/>
          </w:tcPr>
          <w:p w14:paraId="71B6D64A"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0E47D922"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993" w:type="dxa"/>
          </w:tcPr>
          <w:p w14:paraId="7561B7C1"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40D34F1D"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w:t>
            </w:r>
          </w:p>
        </w:tc>
      </w:tr>
      <w:tr w:rsidR="00EE2501" w:rsidRPr="00EE2501" w14:paraId="0F1E25AC" w14:textId="77777777" w:rsidTr="00223C03">
        <w:trPr>
          <w:trHeight w:val="139"/>
        </w:trPr>
        <w:tc>
          <w:tcPr>
            <w:tcW w:w="564" w:type="dxa"/>
            <w:vMerge/>
            <w:textDirection w:val="btLr"/>
          </w:tcPr>
          <w:p w14:paraId="56AEDDC9" w14:textId="77777777" w:rsidR="00EE2501" w:rsidRPr="00EE2501" w:rsidRDefault="00EE2501" w:rsidP="00412140">
            <w:pPr>
              <w:pStyle w:val="Tabletext"/>
              <w:keepNext/>
              <w:ind w:left="0" w:right="0"/>
              <w:jc w:val="center"/>
              <w:rPr>
                <w:b/>
                <w:sz w:val="20"/>
                <w:szCs w:val="20"/>
              </w:rPr>
            </w:pPr>
          </w:p>
        </w:tc>
        <w:tc>
          <w:tcPr>
            <w:tcW w:w="3513" w:type="dxa"/>
          </w:tcPr>
          <w:p w14:paraId="0D7F56B1" w14:textId="77777777" w:rsidR="00EE2501" w:rsidRPr="00EE2501" w:rsidRDefault="00EE2501" w:rsidP="00412140">
            <w:pPr>
              <w:keepNext/>
              <w:autoSpaceDE w:val="0"/>
              <w:autoSpaceDN w:val="0"/>
              <w:adjustRightInd w:val="0"/>
              <w:ind w:left="0" w:right="0"/>
              <w:rPr>
                <w:rFonts w:eastAsia="TimesNewRoman" w:cs="TimesNewRoman"/>
                <w:sz w:val="20"/>
                <w:szCs w:val="20"/>
              </w:rPr>
            </w:pPr>
            <w:r w:rsidRPr="00EE2501">
              <w:rPr>
                <w:rFonts w:eastAsia="TimesNewRoman" w:cs="TimesNewRoman"/>
                <w:sz w:val="20"/>
                <w:szCs w:val="20"/>
              </w:rPr>
              <w:t>Lipid elevations and hyperlipidaemia</w:t>
            </w:r>
          </w:p>
        </w:tc>
        <w:tc>
          <w:tcPr>
            <w:tcW w:w="993" w:type="dxa"/>
          </w:tcPr>
          <w:p w14:paraId="692D82A4"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11F9AC37"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993" w:type="dxa"/>
          </w:tcPr>
          <w:p w14:paraId="32507D44"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54E277E3"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w:t>
            </w:r>
          </w:p>
        </w:tc>
      </w:tr>
      <w:tr w:rsidR="00EE2501" w:rsidRPr="00EE2501" w14:paraId="6754A6FC" w14:textId="77777777" w:rsidTr="00223C03">
        <w:trPr>
          <w:trHeight w:val="139"/>
        </w:trPr>
        <w:tc>
          <w:tcPr>
            <w:tcW w:w="564" w:type="dxa"/>
            <w:vMerge/>
            <w:textDirection w:val="btLr"/>
          </w:tcPr>
          <w:p w14:paraId="1297E1AC" w14:textId="77777777" w:rsidR="00EE2501" w:rsidRPr="00EE2501" w:rsidRDefault="00EE2501" w:rsidP="00412140">
            <w:pPr>
              <w:pStyle w:val="Tabletext"/>
              <w:keepNext/>
              <w:ind w:left="0" w:right="0"/>
              <w:jc w:val="center"/>
              <w:rPr>
                <w:b/>
                <w:sz w:val="20"/>
                <w:szCs w:val="20"/>
              </w:rPr>
            </w:pPr>
          </w:p>
        </w:tc>
        <w:tc>
          <w:tcPr>
            <w:tcW w:w="3513" w:type="dxa"/>
          </w:tcPr>
          <w:p w14:paraId="67B94113" w14:textId="77777777" w:rsidR="00EE2501" w:rsidRPr="00EE2501" w:rsidRDefault="003F1EF8" w:rsidP="00412140">
            <w:pPr>
              <w:keepNext/>
              <w:autoSpaceDE w:val="0"/>
              <w:autoSpaceDN w:val="0"/>
              <w:adjustRightInd w:val="0"/>
              <w:ind w:left="0" w:right="0"/>
              <w:rPr>
                <w:rFonts w:eastAsia="TimesNewRoman" w:cs="TimesNewRoman"/>
                <w:sz w:val="20"/>
                <w:szCs w:val="20"/>
              </w:rPr>
            </w:pPr>
            <w:r>
              <w:rPr>
                <w:rFonts w:eastAsia="TimesNewRoman" w:cs="TimesNewRoman"/>
                <w:sz w:val="20"/>
                <w:szCs w:val="20"/>
              </w:rPr>
              <w:t>NMSC</w:t>
            </w:r>
          </w:p>
        </w:tc>
        <w:tc>
          <w:tcPr>
            <w:tcW w:w="993" w:type="dxa"/>
          </w:tcPr>
          <w:p w14:paraId="49025B94"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7A802942"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1,2,6</w:t>
            </w:r>
          </w:p>
        </w:tc>
        <w:tc>
          <w:tcPr>
            <w:tcW w:w="993" w:type="dxa"/>
          </w:tcPr>
          <w:p w14:paraId="21BBC9C8"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3C38BA6C"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4,5</w:t>
            </w:r>
          </w:p>
        </w:tc>
      </w:tr>
      <w:tr w:rsidR="00EE2501" w:rsidRPr="00EE2501" w14:paraId="264479F1" w14:textId="77777777" w:rsidTr="00223C03">
        <w:trPr>
          <w:trHeight w:val="275"/>
        </w:trPr>
        <w:tc>
          <w:tcPr>
            <w:tcW w:w="564" w:type="dxa"/>
            <w:vMerge/>
            <w:textDirection w:val="btLr"/>
          </w:tcPr>
          <w:p w14:paraId="35970503" w14:textId="77777777" w:rsidR="00EE2501" w:rsidRPr="00EE2501" w:rsidRDefault="00EE2501" w:rsidP="00412140">
            <w:pPr>
              <w:pStyle w:val="Tabletext"/>
              <w:keepNext/>
              <w:ind w:left="0" w:right="0"/>
              <w:jc w:val="center"/>
              <w:rPr>
                <w:b/>
                <w:sz w:val="20"/>
                <w:szCs w:val="20"/>
              </w:rPr>
            </w:pPr>
          </w:p>
        </w:tc>
        <w:tc>
          <w:tcPr>
            <w:tcW w:w="3513" w:type="dxa"/>
          </w:tcPr>
          <w:p w14:paraId="7DA81A67" w14:textId="77777777" w:rsidR="00EE2501" w:rsidRPr="00EE2501" w:rsidRDefault="00EE2501" w:rsidP="00412140">
            <w:pPr>
              <w:keepNext/>
              <w:ind w:left="0" w:right="0"/>
              <w:rPr>
                <w:sz w:val="20"/>
                <w:szCs w:val="20"/>
              </w:rPr>
            </w:pPr>
            <w:r w:rsidRPr="00EE2501">
              <w:rPr>
                <w:rFonts w:eastAsia="TimesNewRoman" w:cs="TimesNewRoman"/>
                <w:sz w:val="20"/>
                <w:szCs w:val="20"/>
              </w:rPr>
              <w:t>Transaminase elevation and potential for drug-induced liver injury</w:t>
            </w:r>
          </w:p>
        </w:tc>
        <w:tc>
          <w:tcPr>
            <w:tcW w:w="993" w:type="dxa"/>
          </w:tcPr>
          <w:p w14:paraId="3509EB36"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589151F4" w14:textId="51CF3914"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1</w:t>
            </w:r>
            <w:r w:rsidR="00A05036">
              <w:rPr>
                <w:sz w:val="20"/>
                <w:szCs w:val="20"/>
                <w:vertAlign w:val="superscript"/>
              </w:rPr>
              <w:t>,6</w:t>
            </w:r>
          </w:p>
        </w:tc>
        <w:tc>
          <w:tcPr>
            <w:tcW w:w="993" w:type="dxa"/>
          </w:tcPr>
          <w:p w14:paraId="5A01E797"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161E5F8E"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4,5</w:t>
            </w:r>
          </w:p>
        </w:tc>
      </w:tr>
      <w:tr w:rsidR="00EE2501" w:rsidRPr="00EE2501" w14:paraId="18174DF3" w14:textId="77777777" w:rsidTr="00480BCB">
        <w:trPr>
          <w:trHeight w:val="275"/>
        </w:trPr>
        <w:tc>
          <w:tcPr>
            <w:tcW w:w="564" w:type="dxa"/>
            <w:vMerge/>
            <w:textDirection w:val="btLr"/>
          </w:tcPr>
          <w:p w14:paraId="2C06E499" w14:textId="77777777" w:rsidR="00EE2501" w:rsidRPr="00EE2501" w:rsidRDefault="00EE2501" w:rsidP="00412140">
            <w:pPr>
              <w:pStyle w:val="Tabletext"/>
              <w:keepNext/>
              <w:ind w:left="0" w:right="0"/>
              <w:jc w:val="center"/>
              <w:rPr>
                <w:b/>
                <w:sz w:val="20"/>
                <w:szCs w:val="20"/>
              </w:rPr>
            </w:pPr>
          </w:p>
        </w:tc>
        <w:tc>
          <w:tcPr>
            <w:tcW w:w="3513" w:type="dxa"/>
            <w:shd w:val="clear" w:color="auto" w:fill="DBE5B3"/>
          </w:tcPr>
          <w:p w14:paraId="1F7C9774" w14:textId="77777777" w:rsidR="00EE2501" w:rsidRPr="00EE2501" w:rsidRDefault="00EE2501" w:rsidP="00412140">
            <w:pPr>
              <w:keepNext/>
              <w:ind w:left="0" w:right="0"/>
              <w:rPr>
                <w:rFonts w:eastAsia="TimesNewRoman" w:cs="TimesNewRoman"/>
                <w:sz w:val="20"/>
                <w:szCs w:val="20"/>
              </w:rPr>
            </w:pPr>
            <w:r w:rsidRPr="00EE2501">
              <w:rPr>
                <w:rFonts w:eastAsia="TimesNewRoman" w:cs="TimesNewRoman"/>
                <w:sz w:val="20"/>
                <w:szCs w:val="20"/>
              </w:rPr>
              <w:t>Hypertension</w:t>
            </w:r>
          </w:p>
        </w:tc>
        <w:tc>
          <w:tcPr>
            <w:tcW w:w="993" w:type="dxa"/>
            <w:shd w:val="clear" w:color="auto" w:fill="DBE5B3"/>
          </w:tcPr>
          <w:p w14:paraId="09CAF6C4"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shd w:val="clear" w:color="auto" w:fill="DBE5B3"/>
          </w:tcPr>
          <w:p w14:paraId="4A696477"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993" w:type="dxa"/>
            <w:shd w:val="clear" w:color="auto" w:fill="DBE5B3"/>
          </w:tcPr>
          <w:p w14:paraId="484009F6"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shd w:val="clear" w:color="auto" w:fill="DBE5B3"/>
          </w:tcPr>
          <w:p w14:paraId="5BCB0F50" w14:textId="77777777" w:rsidR="00EE2501" w:rsidRPr="00EE2501" w:rsidRDefault="00EE2501" w:rsidP="00412140">
            <w:pPr>
              <w:pStyle w:val="Tabletext"/>
              <w:keepNext/>
              <w:ind w:left="0" w:right="0"/>
              <w:jc w:val="center"/>
              <w:rPr>
                <w:sz w:val="20"/>
                <w:szCs w:val="20"/>
              </w:rPr>
            </w:pPr>
            <w:r w:rsidRPr="00EE2501">
              <w:rPr>
                <w:sz w:val="20"/>
                <w:szCs w:val="20"/>
              </w:rPr>
              <w:t>–</w:t>
            </w:r>
          </w:p>
        </w:tc>
      </w:tr>
      <w:tr w:rsidR="00EE2501" w:rsidRPr="00EE2501" w14:paraId="39BC6A18" w14:textId="77777777" w:rsidTr="00480BCB">
        <w:trPr>
          <w:trHeight w:val="275"/>
        </w:trPr>
        <w:tc>
          <w:tcPr>
            <w:tcW w:w="564" w:type="dxa"/>
            <w:vMerge/>
            <w:textDirection w:val="btLr"/>
          </w:tcPr>
          <w:p w14:paraId="51162D9B" w14:textId="77777777" w:rsidR="00EE2501" w:rsidRPr="00EE2501" w:rsidRDefault="00EE2501" w:rsidP="00412140">
            <w:pPr>
              <w:pStyle w:val="Tabletext"/>
              <w:keepNext/>
              <w:ind w:left="0" w:right="0"/>
              <w:jc w:val="center"/>
              <w:rPr>
                <w:b/>
                <w:sz w:val="20"/>
                <w:szCs w:val="20"/>
              </w:rPr>
            </w:pPr>
          </w:p>
        </w:tc>
        <w:tc>
          <w:tcPr>
            <w:tcW w:w="3513" w:type="dxa"/>
            <w:shd w:val="clear" w:color="auto" w:fill="DBE5B3"/>
          </w:tcPr>
          <w:p w14:paraId="5AE07457" w14:textId="77777777" w:rsidR="00EE2501" w:rsidRPr="00EE2501" w:rsidRDefault="00EE2501" w:rsidP="00412140">
            <w:pPr>
              <w:keepNext/>
              <w:ind w:left="0" w:right="0"/>
              <w:rPr>
                <w:rFonts w:eastAsia="TimesNewRoman" w:cs="TimesNewRoman"/>
                <w:sz w:val="20"/>
                <w:szCs w:val="20"/>
              </w:rPr>
            </w:pPr>
            <w:proofErr w:type="spellStart"/>
            <w:r w:rsidRPr="00EE2501">
              <w:rPr>
                <w:rFonts w:eastAsia="TimesNewRoman" w:cs="TimesNewRoman"/>
                <w:sz w:val="20"/>
                <w:szCs w:val="20"/>
              </w:rPr>
              <w:t>Creatine</w:t>
            </w:r>
            <w:proofErr w:type="spellEnd"/>
            <w:r w:rsidRPr="00EE2501">
              <w:rPr>
                <w:rFonts w:eastAsia="TimesNewRoman" w:cs="TimesNewRoman"/>
                <w:sz w:val="20"/>
                <w:szCs w:val="20"/>
              </w:rPr>
              <w:t xml:space="preserve"> kinase increase</w:t>
            </w:r>
          </w:p>
        </w:tc>
        <w:tc>
          <w:tcPr>
            <w:tcW w:w="993" w:type="dxa"/>
            <w:shd w:val="clear" w:color="auto" w:fill="DBE5B3"/>
          </w:tcPr>
          <w:p w14:paraId="6FDC100F"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shd w:val="clear" w:color="auto" w:fill="DBE5B3"/>
          </w:tcPr>
          <w:p w14:paraId="68610336"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993" w:type="dxa"/>
            <w:shd w:val="clear" w:color="auto" w:fill="DBE5B3"/>
          </w:tcPr>
          <w:p w14:paraId="6CC520E1"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shd w:val="clear" w:color="auto" w:fill="DBE5B3"/>
          </w:tcPr>
          <w:p w14:paraId="618B5804" w14:textId="77777777" w:rsidR="00EE2501" w:rsidRPr="00EE2501" w:rsidRDefault="00EE2501" w:rsidP="00412140">
            <w:pPr>
              <w:pStyle w:val="Tabletext"/>
              <w:keepNext/>
              <w:ind w:left="0" w:right="0"/>
              <w:jc w:val="center"/>
              <w:rPr>
                <w:sz w:val="20"/>
                <w:szCs w:val="20"/>
              </w:rPr>
            </w:pPr>
            <w:r w:rsidRPr="00EE2501">
              <w:rPr>
                <w:sz w:val="20"/>
                <w:szCs w:val="20"/>
              </w:rPr>
              <w:t>–</w:t>
            </w:r>
          </w:p>
        </w:tc>
      </w:tr>
      <w:tr w:rsidR="00EE2501" w:rsidRPr="00EE2501" w14:paraId="330650CA" w14:textId="77777777" w:rsidTr="00480BCB">
        <w:trPr>
          <w:trHeight w:val="275"/>
        </w:trPr>
        <w:tc>
          <w:tcPr>
            <w:tcW w:w="564" w:type="dxa"/>
            <w:vMerge/>
            <w:textDirection w:val="btLr"/>
          </w:tcPr>
          <w:p w14:paraId="0C3EEFFE" w14:textId="77777777" w:rsidR="00EE2501" w:rsidRPr="00EE2501" w:rsidRDefault="00EE2501" w:rsidP="00412140">
            <w:pPr>
              <w:pStyle w:val="Tabletext"/>
              <w:keepNext/>
              <w:ind w:left="0" w:right="0"/>
              <w:jc w:val="center"/>
              <w:rPr>
                <w:b/>
                <w:sz w:val="20"/>
                <w:szCs w:val="20"/>
              </w:rPr>
            </w:pPr>
          </w:p>
        </w:tc>
        <w:tc>
          <w:tcPr>
            <w:tcW w:w="3513" w:type="dxa"/>
            <w:shd w:val="clear" w:color="auto" w:fill="DBE5B3"/>
          </w:tcPr>
          <w:p w14:paraId="65898B82" w14:textId="77777777" w:rsidR="00EE2501" w:rsidRPr="00EE2501" w:rsidRDefault="00EE2501" w:rsidP="00412140">
            <w:pPr>
              <w:keepNext/>
              <w:ind w:left="0" w:right="0"/>
              <w:rPr>
                <w:rFonts w:eastAsia="TimesNewRoman" w:cs="TimesNewRoman"/>
                <w:sz w:val="20"/>
                <w:szCs w:val="20"/>
              </w:rPr>
            </w:pPr>
            <w:r w:rsidRPr="00EE2501">
              <w:rPr>
                <w:rFonts w:eastAsia="TimesNewRoman" w:cs="TimesNewRoman"/>
                <w:sz w:val="20"/>
                <w:szCs w:val="20"/>
              </w:rPr>
              <w:t>Weight increase</w:t>
            </w:r>
          </w:p>
        </w:tc>
        <w:tc>
          <w:tcPr>
            <w:tcW w:w="993" w:type="dxa"/>
            <w:shd w:val="clear" w:color="auto" w:fill="DBE5B3"/>
          </w:tcPr>
          <w:p w14:paraId="68B9E8D2"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shd w:val="clear" w:color="auto" w:fill="DBE5B3"/>
          </w:tcPr>
          <w:p w14:paraId="3F259E06"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993" w:type="dxa"/>
            <w:shd w:val="clear" w:color="auto" w:fill="DBE5B3"/>
          </w:tcPr>
          <w:p w14:paraId="212C2EF0"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shd w:val="clear" w:color="auto" w:fill="DBE5B3"/>
          </w:tcPr>
          <w:p w14:paraId="37117019" w14:textId="77777777" w:rsidR="00EE2501" w:rsidRPr="00EE2501" w:rsidRDefault="00EE2501" w:rsidP="00412140">
            <w:pPr>
              <w:pStyle w:val="Tabletext"/>
              <w:keepNext/>
              <w:ind w:left="0" w:right="0"/>
              <w:jc w:val="center"/>
              <w:rPr>
                <w:sz w:val="20"/>
                <w:szCs w:val="20"/>
              </w:rPr>
            </w:pPr>
            <w:r w:rsidRPr="00EE2501">
              <w:rPr>
                <w:sz w:val="20"/>
                <w:szCs w:val="20"/>
              </w:rPr>
              <w:t>–</w:t>
            </w:r>
          </w:p>
        </w:tc>
      </w:tr>
      <w:tr w:rsidR="00EE2501" w:rsidRPr="00EE2501" w14:paraId="0562E9B2" w14:textId="77777777" w:rsidTr="00223C03">
        <w:trPr>
          <w:trHeight w:val="235"/>
        </w:trPr>
        <w:tc>
          <w:tcPr>
            <w:tcW w:w="564" w:type="dxa"/>
            <w:vMerge w:val="restart"/>
            <w:textDirection w:val="btLr"/>
          </w:tcPr>
          <w:p w14:paraId="145629D4" w14:textId="77777777" w:rsidR="00EE2501" w:rsidRPr="00EE2501" w:rsidRDefault="00EE2501" w:rsidP="00412140">
            <w:pPr>
              <w:pStyle w:val="Tabletext"/>
              <w:keepNext/>
              <w:ind w:left="0" w:right="0"/>
              <w:jc w:val="center"/>
              <w:rPr>
                <w:b/>
                <w:sz w:val="20"/>
                <w:szCs w:val="20"/>
              </w:rPr>
            </w:pPr>
            <w:r w:rsidRPr="00EE2501">
              <w:rPr>
                <w:b/>
                <w:sz w:val="20"/>
                <w:szCs w:val="20"/>
              </w:rPr>
              <w:t>Important potential risks</w:t>
            </w:r>
          </w:p>
        </w:tc>
        <w:tc>
          <w:tcPr>
            <w:tcW w:w="3513" w:type="dxa"/>
          </w:tcPr>
          <w:p w14:paraId="488F78B1" w14:textId="77777777" w:rsidR="00EE2501" w:rsidRPr="00EE2501" w:rsidRDefault="00EE2501" w:rsidP="00412140">
            <w:pPr>
              <w:keepNext/>
              <w:autoSpaceDE w:val="0"/>
              <w:autoSpaceDN w:val="0"/>
              <w:adjustRightInd w:val="0"/>
              <w:ind w:left="0" w:right="0"/>
              <w:rPr>
                <w:rFonts w:eastAsia="TimesNewRoman" w:cs="TimesNewRoman"/>
                <w:sz w:val="20"/>
                <w:szCs w:val="20"/>
              </w:rPr>
            </w:pPr>
            <w:r w:rsidRPr="00EE2501">
              <w:rPr>
                <w:rFonts w:eastAsia="TimesNewRoman" w:cs="TimesNewRoman"/>
                <w:sz w:val="20"/>
                <w:szCs w:val="20"/>
              </w:rPr>
              <w:t xml:space="preserve">Malignancy </w:t>
            </w:r>
            <w:r w:rsidR="006C148C">
              <w:rPr>
                <w:rFonts w:eastAsia="TimesNewRoman" w:cs="TimesNewRoman"/>
                <w:sz w:val="20"/>
                <w:szCs w:val="20"/>
              </w:rPr>
              <w:t>(</w:t>
            </w:r>
            <w:r w:rsidR="003F1EF8">
              <w:rPr>
                <w:rFonts w:eastAsia="TimesNewRoman" w:cs="TimesNewRoman"/>
                <w:sz w:val="20"/>
                <w:szCs w:val="20"/>
              </w:rPr>
              <w:t>excluding NMSC,</w:t>
            </w:r>
            <w:r w:rsidRPr="00EE2501">
              <w:rPr>
                <w:rFonts w:eastAsia="TimesNewRoman" w:cs="TimesNewRoman"/>
                <w:sz w:val="20"/>
                <w:szCs w:val="20"/>
              </w:rPr>
              <w:t xml:space="preserve"> including lymphoma: wording in the ASA</w:t>
            </w:r>
            <w:r w:rsidR="006C148C">
              <w:rPr>
                <w:rFonts w:eastAsia="TimesNewRoman" w:cs="TimesNewRoman"/>
                <w:sz w:val="20"/>
                <w:szCs w:val="20"/>
              </w:rPr>
              <w:t>)</w:t>
            </w:r>
          </w:p>
        </w:tc>
        <w:tc>
          <w:tcPr>
            <w:tcW w:w="993" w:type="dxa"/>
          </w:tcPr>
          <w:p w14:paraId="4315ED80"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3B45211D" w14:textId="23A97F55"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1,2,6</w:t>
            </w:r>
            <w:r w:rsidR="00D64004">
              <w:rPr>
                <w:sz w:val="20"/>
                <w:szCs w:val="20"/>
                <w:vertAlign w:val="superscript"/>
              </w:rPr>
              <w:t>,</w:t>
            </w:r>
            <w:r w:rsidRPr="00EE2501">
              <w:rPr>
                <w:sz w:val="20"/>
                <w:szCs w:val="20"/>
                <w:vertAlign w:val="superscript"/>
              </w:rPr>
              <w:t>7</w:t>
            </w:r>
          </w:p>
        </w:tc>
        <w:tc>
          <w:tcPr>
            <w:tcW w:w="993" w:type="dxa"/>
          </w:tcPr>
          <w:p w14:paraId="661438AA"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30CEB783"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w:t>
            </w:r>
          </w:p>
        </w:tc>
      </w:tr>
      <w:tr w:rsidR="00EE2501" w:rsidRPr="00EE2501" w14:paraId="51B18180" w14:textId="77777777" w:rsidTr="00223C03">
        <w:trPr>
          <w:trHeight w:val="180"/>
        </w:trPr>
        <w:tc>
          <w:tcPr>
            <w:tcW w:w="564" w:type="dxa"/>
            <w:vMerge/>
            <w:textDirection w:val="btLr"/>
          </w:tcPr>
          <w:p w14:paraId="3EAC019E" w14:textId="77777777" w:rsidR="00EE2501" w:rsidRPr="00EE2501" w:rsidRDefault="00EE2501" w:rsidP="00412140">
            <w:pPr>
              <w:pStyle w:val="Tabletext"/>
              <w:keepNext/>
              <w:ind w:left="0" w:right="0"/>
              <w:jc w:val="center"/>
              <w:rPr>
                <w:b/>
                <w:sz w:val="20"/>
                <w:szCs w:val="20"/>
              </w:rPr>
            </w:pPr>
          </w:p>
        </w:tc>
        <w:tc>
          <w:tcPr>
            <w:tcW w:w="3513" w:type="dxa"/>
          </w:tcPr>
          <w:p w14:paraId="67C6EDD4" w14:textId="77777777" w:rsidR="00EE2501" w:rsidRPr="00EE2501" w:rsidRDefault="00EE2501" w:rsidP="00412140">
            <w:pPr>
              <w:keepNext/>
              <w:autoSpaceDE w:val="0"/>
              <w:autoSpaceDN w:val="0"/>
              <w:adjustRightInd w:val="0"/>
              <w:ind w:left="0" w:right="0"/>
              <w:rPr>
                <w:rFonts w:eastAsia="TimesNewRoman" w:cs="TimesNewRoman"/>
                <w:sz w:val="20"/>
                <w:szCs w:val="20"/>
              </w:rPr>
            </w:pPr>
            <w:r w:rsidRPr="00EE2501">
              <w:rPr>
                <w:rFonts w:eastAsia="TimesNewRoman" w:cs="TimesNewRoman"/>
                <w:sz w:val="20"/>
                <w:szCs w:val="20"/>
              </w:rPr>
              <w:t>Cardiovascular risk</w:t>
            </w:r>
          </w:p>
        </w:tc>
        <w:tc>
          <w:tcPr>
            <w:tcW w:w="993" w:type="dxa"/>
          </w:tcPr>
          <w:p w14:paraId="559EB947"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4536BBC6"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1,2,7</w:t>
            </w:r>
          </w:p>
        </w:tc>
        <w:tc>
          <w:tcPr>
            <w:tcW w:w="993" w:type="dxa"/>
          </w:tcPr>
          <w:p w14:paraId="5FCE72BE"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0E14DEBC" w14:textId="77777777" w:rsidR="00EE2501" w:rsidRPr="00EE2501" w:rsidRDefault="00EE2501" w:rsidP="00412140">
            <w:pPr>
              <w:pStyle w:val="Tabletext"/>
              <w:keepNext/>
              <w:ind w:left="0" w:right="0"/>
              <w:jc w:val="center"/>
              <w:rPr>
                <w:sz w:val="20"/>
                <w:szCs w:val="20"/>
              </w:rPr>
            </w:pPr>
            <w:r w:rsidRPr="00EE2501">
              <w:rPr>
                <w:sz w:val="20"/>
                <w:szCs w:val="20"/>
              </w:rPr>
              <w:t>–</w:t>
            </w:r>
          </w:p>
        </w:tc>
      </w:tr>
      <w:tr w:rsidR="00EE2501" w:rsidRPr="00EE2501" w14:paraId="14DA73C3" w14:textId="77777777" w:rsidTr="00223C03">
        <w:trPr>
          <w:trHeight w:val="180"/>
        </w:trPr>
        <w:tc>
          <w:tcPr>
            <w:tcW w:w="564" w:type="dxa"/>
            <w:vMerge/>
            <w:textDirection w:val="btLr"/>
          </w:tcPr>
          <w:p w14:paraId="21C1F5FA" w14:textId="77777777" w:rsidR="00EE2501" w:rsidRPr="00EE2501" w:rsidRDefault="00EE2501" w:rsidP="00412140">
            <w:pPr>
              <w:pStyle w:val="Tabletext"/>
              <w:keepNext/>
              <w:ind w:left="0" w:right="0"/>
              <w:jc w:val="center"/>
              <w:rPr>
                <w:b/>
                <w:sz w:val="20"/>
                <w:szCs w:val="20"/>
              </w:rPr>
            </w:pPr>
          </w:p>
        </w:tc>
        <w:tc>
          <w:tcPr>
            <w:tcW w:w="3513" w:type="dxa"/>
          </w:tcPr>
          <w:p w14:paraId="29062F92" w14:textId="77777777" w:rsidR="00EE2501" w:rsidRPr="00EE2501" w:rsidRDefault="00EE2501" w:rsidP="00412140">
            <w:pPr>
              <w:keepNext/>
              <w:autoSpaceDE w:val="0"/>
              <w:autoSpaceDN w:val="0"/>
              <w:adjustRightInd w:val="0"/>
              <w:ind w:left="0" w:right="0"/>
              <w:rPr>
                <w:rFonts w:eastAsia="TimesNewRoman" w:cs="TimesNewRoman"/>
                <w:sz w:val="20"/>
                <w:szCs w:val="20"/>
              </w:rPr>
            </w:pPr>
            <w:r w:rsidRPr="00EE2501">
              <w:rPr>
                <w:rFonts w:eastAsia="TimesNewRoman" w:cs="TimesNewRoman"/>
                <w:sz w:val="20"/>
                <w:szCs w:val="20"/>
              </w:rPr>
              <w:t xml:space="preserve">Gastrointestinal perforation </w:t>
            </w:r>
            <w:r w:rsidR="006C148C">
              <w:rPr>
                <w:rFonts w:eastAsia="TimesNewRoman" w:cs="TimesNewRoman"/>
                <w:sz w:val="20"/>
                <w:szCs w:val="20"/>
              </w:rPr>
              <w:t>(</w:t>
            </w:r>
            <w:r w:rsidRPr="00EE2501">
              <w:rPr>
                <w:rFonts w:eastAsia="TimesNewRoman" w:cs="TimesNewRoman"/>
                <w:sz w:val="20"/>
                <w:szCs w:val="20"/>
              </w:rPr>
              <w:t>Important Identified Risk in the ASA</w:t>
            </w:r>
            <w:r w:rsidR="006C148C">
              <w:rPr>
                <w:rFonts w:eastAsia="TimesNewRoman" w:cs="TimesNewRoman"/>
                <w:sz w:val="20"/>
                <w:szCs w:val="20"/>
              </w:rPr>
              <w:t>)</w:t>
            </w:r>
          </w:p>
        </w:tc>
        <w:tc>
          <w:tcPr>
            <w:tcW w:w="993" w:type="dxa"/>
          </w:tcPr>
          <w:p w14:paraId="6D5BACE8"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71053B50" w14:textId="15CD875D"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1,2,</w:t>
            </w:r>
            <w:r w:rsidR="00A05036">
              <w:rPr>
                <w:sz w:val="20"/>
                <w:szCs w:val="20"/>
                <w:vertAlign w:val="superscript"/>
              </w:rPr>
              <w:t>6,</w:t>
            </w:r>
            <w:r w:rsidRPr="00EE2501">
              <w:rPr>
                <w:sz w:val="20"/>
                <w:szCs w:val="20"/>
                <w:vertAlign w:val="superscript"/>
              </w:rPr>
              <w:t>7</w:t>
            </w:r>
          </w:p>
        </w:tc>
        <w:tc>
          <w:tcPr>
            <w:tcW w:w="993" w:type="dxa"/>
          </w:tcPr>
          <w:p w14:paraId="70C14FCA"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431EEF98"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4,5</w:t>
            </w:r>
          </w:p>
        </w:tc>
      </w:tr>
      <w:tr w:rsidR="00EE2501" w:rsidRPr="00EE2501" w14:paraId="3BED9FF2" w14:textId="77777777" w:rsidTr="00223C03">
        <w:trPr>
          <w:trHeight w:val="180"/>
        </w:trPr>
        <w:tc>
          <w:tcPr>
            <w:tcW w:w="564" w:type="dxa"/>
            <w:vMerge/>
            <w:textDirection w:val="btLr"/>
          </w:tcPr>
          <w:p w14:paraId="1B97B5A4" w14:textId="77777777" w:rsidR="00EE2501" w:rsidRPr="00EE2501" w:rsidRDefault="00EE2501" w:rsidP="00412140">
            <w:pPr>
              <w:pStyle w:val="Tabletext"/>
              <w:keepNext/>
              <w:ind w:left="0" w:right="0"/>
              <w:jc w:val="center"/>
              <w:rPr>
                <w:b/>
                <w:sz w:val="20"/>
                <w:szCs w:val="20"/>
              </w:rPr>
            </w:pPr>
          </w:p>
        </w:tc>
        <w:tc>
          <w:tcPr>
            <w:tcW w:w="3513" w:type="dxa"/>
          </w:tcPr>
          <w:p w14:paraId="26201817" w14:textId="77777777" w:rsidR="00EE2501" w:rsidRPr="00EE2501" w:rsidRDefault="00EE2501" w:rsidP="00412140">
            <w:pPr>
              <w:keepNext/>
              <w:autoSpaceDE w:val="0"/>
              <w:autoSpaceDN w:val="0"/>
              <w:adjustRightInd w:val="0"/>
              <w:ind w:left="0" w:right="0"/>
              <w:rPr>
                <w:rFonts w:eastAsia="TimesNewRoman" w:cs="TimesNewRoman"/>
                <w:sz w:val="20"/>
                <w:szCs w:val="20"/>
              </w:rPr>
            </w:pPr>
            <w:r w:rsidRPr="00EE2501">
              <w:rPr>
                <w:rFonts w:eastAsia="TimesNewRoman" w:cs="TimesNewRoman"/>
                <w:sz w:val="20"/>
                <w:szCs w:val="20"/>
              </w:rPr>
              <w:t>Interstitial lung disease</w:t>
            </w:r>
          </w:p>
        </w:tc>
        <w:tc>
          <w:tcPr>
            <w:tcW w:w="993" w:type="dxa"/>
          </w:tcPr>
          <w:p w14:paraId="3848F715"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623BBA77"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993" w:type="dxa"/>
          </w:tcPr>
          <w:p w14:paraId="286D5F44"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06EC8D19"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4,5</w:t>
            </w:r>
          </w:p>
        </w:tc>
      </w:tr>
      <w:tr w:rsidR="00EE2501" w:rsidRPr="00EE2501" w14:paraId="5862AE34" w14:textId="77777777" w:rsidTr="00223C03">
        <w:trPr>
          <w:trHeight w:val="180"/>
        </w:trPr>
        <w:tc>
          <w:tcPr>
            <w:tcW w:w="564" w:type="dxa"/>
            <w:vMerge/>
            <w:textDirection w:val="btLr"/>
          </w:tcPr>
          <w:p w14:paraId="261DD2AB" w14:textId="77777777" w:rsidR="00EE2501" w:rsidRPr="00EE2501" w:rsidRDefault="00EE2501" w:rsidP="00412140">
            <w:pPr>
              <w:pStyle w:val="Tabletext"/>
              <w:keepNext/>
              <w:ind w:left="0" w:right="0"/>
              <w:jc w:val="center"/>
              <w:rPr>
                <w:b/>
                <w:sz w:val="20"/>
                <w:szCs w:val="20"/>
              </w:rPr>
            </w:pPr>
          </w:p>
        </w:tc>
        <w:tc>
          <w:tcPr>
            <w:tcW w:w="3513" w:type="dxa"/>
          </w:tcPr>
          <w:p w14:paraId="6127B619" w14:textId="77777777" w:rsidR="00EE2501" w:rsidRPr="00EE2501" w:rsidRDefault="00EE2501" w:rsidP="00412140">
            <w:pPr>
              <w:keepNext/>
              <w:ind w:left="0" w:right="0"/>
              <w:rPr>
                <w:sz w:val="20"/>
                <w:szCs w:val="20"/>
              </w:rPr>
            </w:pPr>
            <w:r w:rsidRPr="00EE2501">
              <w:rPr>
                <w:rFonts w:eastAsia="TimesNewRoman" w:cs="TimesNewRoman"/>
                <w:sz w:val="20"/>
                <w:szCs w:val="20"/>
              </w:rPr>
              <w:t>Progressive multifocal leukoencephalopathy</w:t>
            </w:r>
          </w:p>
        </w:tc>
        <w:tc>
          <w:tcPr>
            <w:tcW w:w="993" w:type="dxa"/>
          </w:tcPr>
          <w:p w14:paraId="4B81BDF7"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4B618140"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1,2</w:t>
            </w:r>
          </w:p>
        </w:tc>
        <w:tc>
          <w:tcPr>
            <w:tcW w:w="993" w:type="dxa"/>
          </w:tcPr>
          <w:p w14:paraId="76A849E4"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1207" w:type="dxa"/>
          </w:tcPr>
          <w:p w14:paraId="3127A145" w14:textId="77777777" w:rsidR="00EE2501" w:rsidRPr="00EE2501" w:rsidRDefault="00EE2501" w:rsidP="00412140">
            <w:pPr>
              <w:pStyle w:val="Tabletext"/>
              <w:keepNext/>
              <w:ind w:left="0" w:right="0"/>
              <w:jc w:val="center"/>
              <w:rPr>
                <w:sz w:val="20"/>
                <w:szCs w:val="20"/>
              </w:rPr>
            </w:pPr>
            <w:r w:rsidRPr="00EE2501">
              <w:rPr>
                <w:sz w:val="20"/>
                <w:szCs w:val="20"/>
              </w:rPr>
              <w:t>–</w:t>
            </w:r>
          </w:p>
        </w:tc>
      </w:tr>
      <w:tr w:rsidR="00EE2501" w:rsidRPr="00EE2501" w14:paraId="44382705" w14:textId="77777777" w:rsidTr="00223C03">
        <w:trPr>
          <w:trHeight w:val="180"/>
        </w:trPr>
        <w:tc>
          <w:tcPr>
            <w:tcW w:w="564" w:type="dxa"/>
            <w:vMerge/>
            <w:textDirection w:val="btLr"/>
          </w:tcPr>
          <w:p w14:paraId="5CC1EE6F" w14:textId="77777777" w:rsidR="00EE2501" w:rsidRPr="00EE2501" w:rsidRDefault="00EE2501" w:rsidP="00412140">
            <w:pPr>
              <w:pStyle w:val="Tabletext"/>
              <w:keepNext/>
              <w:ind w:left="0" w:right="0"/>
              <w:jc w:val="center"/>
              <w:rPr>
                <w:b/>
                <w:sz w:val="20"/>
                <w:szCs w:val="20"/>
              </w:rPr>
            </w:pPr>
          </w:p>
        </w:tc>
        <w:tc>
          <w:tcPr>
            <w:tcW w:w="3513" w:type="dxa"/>
          </w:tcPr>
          <w:p w14:paraId="16E50798" w14:textId="77777777" w:rsidR="00EE2501" w:rsidRPr="00EE2501" w:rsidRDefault="00EE2501" w:rsidP="00412140">
            <w:pPr>
              <w:pStyle w:val="Summaryofsafetyconcerns"/>
              <w:keepNext/>
              <w:ind w:left="0" w:right="0"/>
              <w:rPr>
                <w:b w:val="0"/>
                <w:szCs w:val="20"/>
              </w:rPr>
            </w:pPr>
            <w:r w:rsidRPr="00EE2501">
              <w:rPr>
                <w:b w:val="0"/>
                <w:szCs w:val="20"/>
              </w:rPr>
              <w:t xml:space="preserve">Increased immunosuppression when used in combination with biologic DMARDs and </w:t>
            </w:r>
            <w:proofErr w:type="spellStart"/>
            <w:r w:rsidRPr="00EE2501">
              <w:rPr>
                <w:b w:val="0"/>
                <w:szCs w:val="20"/>
              </w:rPr>
              <w:t>immunosuppressants</w:t>
            </w:r>
            <w:proofErr w:type="spellEnd"/>
            <w:r w:rsidRPr="00EE2501">
              <w:rPr>
                <w:b w:val="0"/>
                <w:szCs w:val="20"/>
              </w:rPr>
              <w:t xml:space="preserve"> including B lymphocyte depleting agents </w:t>
            </w:r>
            <w:r w:rsidR="006C148C">
              <w:rPr>
                <w:b w:val="0"/>
                <w:szCs w:val="20"/>
              </w:rPr>
              <w:t>(</w:t>
            </w:r>
            <w:r w:rsidRPr="00EE2501">
              <w:rPr>
                <w:b w:val="0"/>
                <w:szCs w:val="20"/>
              </w:rPr>
              <w:t>Missing Information in the ASA</w:t>
            </w:r>
            <w:r w:rsidR="006C148C">
              <w:rPr>
                <w:b w:val="0"/>
                <w:szCs w:val="20"/>
              </w:rPr>
              <w:t>)</w:t>
            </w:r>
          </w:p>
        </w:tc>
        <w:tc>
          <w:tcPr>
            <w:tcW w:w="993" w:type="dxa"/>
          </w:tcPr>
          <w:p w14:paraId="6B6121F1"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085FFE95"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6</w:t>
            </w:r>
          </w:p>
        </w:tc>
        <w:tc>
          <w:tcPr>
            <w:tcW w:w="993" w:type="dxa"/>
          </w:tcPr>
          <w:p w14:paraId="65B6607C"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20A06464"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4,5</w:t>
            </w:r>
          </w:p>
        </w:tc>
      </w:tr>
      <w:tr w:rsidR="00EE2501" w:rsidRPr="00EE2501" w14:paraId="6F7C893C" w14:textId="77777777" w:rsidTr="00480BCB">
        <w:trPr>
          <w:trHeight w:val="180"/>
        </w:trPr>
        <w:tc>
          <w:tcPr>
            <w:tcW w:w="564" w:type="dxa"/>
            <w:vMerge/>
            <w:textDirection w:val="btLr"/>
          </w:tcPr>
          <w:p w14:paraId="393DCABA" w14:textId="77777777" w:rsidR="00EE2501" w:rsidRPr="00EE2501" w:rsidRDefault="00EE2501" w:rsidP="00412140">
            <w:pPr>
              <w:pStyle w:val="Tabletext"/>
              <w:keepNext/>
              <w:ind w:left="0" w:right="0"/>
              <w:jc w:val="center"/>
              <w:rPr>
                <w:b/>
                <w:sz w:val="20"/>
                <w:szCs w:val="20"/>
              </w:rPr>
            </w:pPr>
          </w:p>
        </w:tc>
        <w:tc>
          <w:tcPr>
            <w:tcW w:w="3513" w:type="dxa"/>
            <w:shd w:val="clear" w:color="auto" w:fill="8CADD3"/>
          </w:tcPr>
          <w:p w14:paraId="1297083B" w14:textId="77777777" w:rsidR="00EE2501" w:rsidRPr="00EE2501" w:rsidRDefault="00EE2501" w:rsidP="00412140">
            <w:pPr>
              <w:pStyle w:val="Summaryofsafetyconcerns"/>
              <w:keepNext/>
              <w:ind w:left="0" w:right="0"/>
              <w:rPr>
                <w:b w:val="0"/>
                <w:szCs w:val="20"/>
              </w:rPr>
            </w:pPr>
            <w:r w:rsidRPr="00EE2501">
              <w:rPr>
                <w:b w:val="0"/>
                <w:szCs w:val="20"/>
              </w:rPr>
              <w:t xml:space="preserve">Increased risk of adverse events when </w:t>
            </w:r>
            <w:proofErr w:type="spellStart"/>
            <w:r w:rsidRPr="00EE2501">
              <w:rPr>
                <w:b w:val="0"/>
                <w:szCs w:val="20"/>
              </w:rPr>
              <w:t>tofacitinib</w:t>
            </w:r>
            <w:proofErr w:type="spellEnd"/>
            <w:r w:rsidRPr="00EE2501">
              <w:rPr>
                <w:b w:val="0"/>
                <w:szCs w:val="20"/>
              </w:rPr>
              <w:t xml:space="preserve"> is administered in combination with MTX</w:t>
            </w:r>
          </w:p>
        </w:tc>
        <w:tc>
          <w:tcPr>
            <w:tcW w:w="993" w:type="dxa"/>
            <w:shd w:val="clear" w:color="auto" w:fill="8CADD3"/>
          </w:tcPr>
          <w:p w14:paraId="47237DEC"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shd w:val="clear" w:color="auto" w:fill="8CADD3"/>
          </w:tcPr>
          <w:p w14:paraId="37A2B34E"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1,2</w:t>
            </w:r>
          </w:p>
        </w:tc>
        <w:tc>
          <w:tcPr>
            <w:tcW w:w="993" w:type="dxa"/>
            <w:shd w:val="clear" w:color="auto" w:fill="8CADD3"/>
          </w:tcPr>
          <w:p w14:paraId="77C598BD"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shd w:val="clear" w:color="auto" w:fill="8CADD3"/>
          </w:tcPr>
          <w:p w14:paraId="72818FF4"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4,5</w:t>
            </w:r>
          </w:p>
        </w:tc>
      </w:tr>
      <w:tr w:rsidR="00EE2501" w:rsidRPr="00EE2501" w14:paraId="3E00B58A" w14:textId="77777777" w:rsidTr="00480BCB">
        <w:trPr>
          <w:trHeight w:val="180"/>
        </w:trPr>
        <w:tc>
          <w:tcPr>
            <w:tcW w:w="564" w:type="dxa"/>
            <w:vMerge/>
            <w:textDirection w:val="btLr"/>
          </w:tcPr>
          <w:p w14:paraId="17A9BDE8" w14:textId="77777777" w:rsidR="00EE2501" w:rsidRPr="00EE2501" w:rsidRDefault="00EE2501" w:rsidP="00412140">
            <w:pPr>
              <w:pStyle w:val="Tabletext"/>
              <w:keepNext/>
              <w:ind w:left="0" w:right="0"/>
              <w:jc w:val="center"/>
              <w:rPr>
                <w:b/>
                <w:sz w:val="20"/>
                <w:szCs w:val="20"/>
              </w:rPr>
            </w:pPr>
          </w:p>
        </w:tc>
        <w:tc>
          <w:tcPr>
            <w:tcW w:w="3513" w:type="dxa"/>
            <w:shd w:val="clear" w:color="auto" w:fill="8CADD3"/>
          </w:tcPr>
          <w:p w14:paraId="65E7318A" w14:textId="77777777" w:rsidR="00EE2501" w:rsidRPr="00EE2501" w:rsidRDefault="00EE2501" w:rsidP="00412140">
            <w:pPr>
              <w:pStyle w:val="Summaryofsafetyconcerns"/>
              <w:keepNext/>
              <w:ind w:left="0" w:right="0"/>
              <w:rPr>
                <w:b w:val="0"/>
                <w:szCs w:val="20"/>
              </w:rPr>
            </w:pPr>
            <w:r w:rsidRPr="00EE2501">
              <w:rPr>
                <w:b w:val="0"/>
                <w:szCs w:val="20"/>
              </w:rPr>
              <w:t>Primary viral infection following live vaccination</w:t>
            </w:r>
          </w:p>
        </w:tc>
        <w:tc>
          <w:tcPr>
            <w:tcW w:w="993" w:type="dxa"/>
            <w:shd w:val="clear" w:color="auto" w:fill="8CADD3"/>
          </w:tcPr>
          <w:p w14:paraId="7164672D"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shd w:val="clear" w:color="auto" w:fill="8CADD3"/>
          </w:tcPr>
          <w:p w14:paraId="33D726B4"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993" w:type="dxa"/>
            <w:shd w:val="clear" w:color="auto" w:fill="8CADD3"/>
          </w:tcPr>
          <w:p w14:paraId="5FF49CE2"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shd w:val="clear" w:color="auto" w:fill="8CADD3"/>
          </w:tcPr>
          <w:p w14:paraId="46336D9B"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w:t>
            </w:r>
          </w:p>
        </w:tc>
      </w:tr>
      <w:tr w:rsidR="00EE2501" w:rsidRPr="00EE2501" w14:paraId="28BB3B36" w14:textId="77777777" w:rsidTr="00480BCB">
        <w:trPr>
          <w:trHeight w:val="180"/>
        </w:trPr>
        <w:tc>
          <w:tcPr>
            <w:tcW w:w="564" w:type="dxa"/>
            <w:vMerge/>
            <w:textDirection w:val="btLr"/>
          </w:tcPr>
          <w:p w14:paraId="3C414DFE" w14:textId="77777777" w:rsidR="00EE2501" w:rsidRPr="00EE2501" w:rsidRDefault="00EE2501" w:rsidP="00412140">
            <w:pPr>
              <w:pStyle w:val="Tabletext"/>
              <w:keepNext/>
              <w:ind w:left="0" w:right="0"/>
              <w:jc w:val="center"/>
              <w:rPr>
                <w:b/>
                <w:sz w:val="20"/>
                <w:szCs w:val="20"/>
              </w:rPr>
            </w:pPr>
          </w:p>
        </w:tc>
        <w:tc>
          <w:tcPr>
            <w:tcW w:w="3513" w:type="dxa"/>
            <w:shd w:val="clear" w:color="auto" w:fill="8CADD3"/>
          </w:tcPr>
          <w:p w14:paraId="3059E177" w14:textId="77777777" w:rsidR="00EE2501" w:rsidRPr="00EE2501" w:rsidRDefault="00EE2501" w:rsidP="00412140">
            <w:pPr>
              <w:pStyle w:val="Summaryofsafetyconcerns"/>
              <w:keepNext/>
              <w:ind w:left="0" w:right="0"/>
              <w:rPr>
                <w:b w:val="0"/>
                <w:szCs w:val="20"/>
              </w:rPr>
            </w:pPr>
            <w:r w:rsidRPr="00EE2501">
              <w:rPr>
                <w:b w:val="0"/>
                <w:szCs w:val="20"/>
              </w:rPr>
              <w:t xml:space="preserve">Increased exposure to </w:t>
            </w:r>
            <w:proofErr w:type="spellStart"/>
            <w:r w:rsidRPr="00EE2501">
              <w:rPr>
                <w:b w:val="0"/>
                <w:szCs w:val="20"/>
              </w:rPr>
              <w:t>tofacitinib</w:t>
            </w:r>
            <w:proofErr w:type="spellEnd"/>
            <w:r w:rsidRPr="00EE2501">
              <w:rPr>
                <w:b w:val="0"/>
                <w:szCs w:val="20"/>
              </w:rPr>
              <w:t xml:space="preserve"> when co-administered with CYP3A4 and CYP2C19 inhibitors</w:t>
            </w:r>
          </w:p>
        </w:tc>
        <w:tc>
          <w:tcPr>
            <w:tcW w:w="993" w:type="dxa"/>
            <w:shd w:val="clear" w:color="auto" w:fill="8CADD3"/>
          </w:tcPr>
          <w:p w14:paraId="032B640E"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shd w:val="clear" w:color="auto" w:fill="8CADD3"/>
          </w:tcPr>
          <w:p w14:paraId="32AA2E0D"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993" w:type="dxa"/>
            <w:shd w:val="clear" w:color="auto" w:fill="8CADD3"/>
          </w:tcPr>
          <w:p w14:paraId="45B56EB5"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shd w:val="clear" w:color="auto" w:fill="8CADD3"/>
          </w:tcPr>
          <w:p w14:paraId="5C64F942"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4,5</w:t>
            </w:r>
          </w:p>
        </w:tc>
      </w:tr>
      <w:tr w:rsidR="00EE2501" w:rsidRPr="00EE2501" w14:paraId="30102B06" w14:textId="77777777" w:rsidTr="00480BCB">
        <w:trPr>
          <w:trHeight w:val="180"/>
        </w:trPr>
        <w:tc>
          <w:tcPr>
            <w:tcW w:w="564" w:type="dxa"/>
            <w:vMerge/>
            <w:textDirection w:val="btLr"/>
          </w:tcPr>
          <w:p w14:paraId="31DB3F1D" w14:textId="77777777" w:rsidR="00EE2501" w:rsidRPr="00EE2501" w:rsidRDefault="00EE2501" w:rsidP="00412140">
            <w:pPr>
              <w:pStyle w:val="Tabletext"/>
              <w:keepNext/>
              <w:ind w:left="0" w:right="0"/>
              <w:jc w:val="center"/>
              <w:rPr>
                <w:b/>
                <w:sz w:val="20"/>
                <w:szCs w:val="20"/>
              </w:rPr>
            </w:pPr>
          </w:p>
        </w:tc>
        <w:tc>
          <w:tcPr>
            <w:tcW w:w="3513" w:type="dxa"/>
            <w:shd w:val="clear" w:color="auto" w:fill="8CADD3"/>
          </w:tcPr>
          <w:p w14:paraId="431113BA" w14:textId="77777777" w:rsidR="00EE2501" w:rsidRPr="00EE2501" w:rsidRDefault="00EE2501" w:rsidP="00412140">
            <w:pPr>
              <w:keepNext/>
              <w:autoSpaceDE w:val="0"/>
              <w:autoSpaceDN w:val="0"/>
              <w:adjustRightInd w:val="0"/>
              <w:ind w:left="0" w:right="0"/>
              <w:rPr>
                <w:rFonts w:eastAsia="TimesNewRoman" w:cs="TimesNewRoman"/>
                <w:sz w:val="20"/>
                <w:szCs w:val="20"/>
              </w:rPr>
            </w:pPr>
            <w:r w:rsidRPr="00EE2501">
              <w:rPr>
                <w:rFonts w:eastAsia="TimesNewRoman" w:cs="TimesNewRoman"/>
                <w:sz w:val="20"/>
                <w:szCs w:val="20"/>
              </w:rPr>
              <w:t>Off-label use including children with JIA or IBD</w:t>
            </w:r>
          </w:p>
        </w:tc>
        <w:tc>
          <w:tcPr>
            <w:tcW w:w="993" w:type="dxa"/>
            <w:shd w:val="clear" w:color="auto" w:fill="8CADD3"/>
          </w:tcPr>
          <w:p w14:paraId="012E9865"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shd w:val="clear" w:color="auto" w:fill="8CADD3"/>
          </w:tcPr>
          <w:p w14:paraId="73991BA7"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993" w:type="dxa"/>
            <w:shd w:val="clear" w:color="auto" w:fill="8CADD3"/>
          </w:tcPr>
          <w:p w14:paraId="53C6C204"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shd w:val="clear" w:color="auto" w:fill="8CADD3"/>
          </w:tcPr>
          <w:p w14:paraId="0B0DEB7F" w14:textId="77777777" w:rsidR="00EE2501" w:rsidRPr="00EE2501" w:rsidRDefault="00EE2501" w:rsidP="00412140">
            <w:pPr>
              <w:pStyle w:val="Tabletext"/>
              <w:keepNext/>
              <w:ind w:left="0" w:right="0"/>
              <w:jc w:val="center"/>
              <w:rPr>
                <w:sz w:val="20"/>
                <w:szCs w:val="20"/>
              </w:rPr>
            </w:pPr>
            <w:r w:rsidRPr="00EE2501">
              <w:rPr>
                <w:sz w:val="20"/>
                <w:szCs w:val="20"/>
              </w:rPr>
              <w:t>–</w:t>
            </w:r>
          </w:p>
        </w:tc>
      </w:tr>
      <w:tr w:rsidR="00EE2501" w:rsidRPr="00EE2501" w14:paraId="49EE913A" w14:textId="77777777" w:rsidTr="00480BCB">
        <w:trPr>
          <w:trHeight w:val="180"/>
        </w:trPr>
        <w:tc>
          <w:tcPr>
            <w:tcW w:w="564" w:type="dxa"/>
            <w:vMerge/>
            <w:textDirection w:val="btLr"/>
          </w:tcPr>
          <w:p w14:paraId="774F4E62" w14:textId="77777777" w:rsidR="00EE2501" w:rsidRPr="00EE2501" w:rsidRDefault="00EE2501" w:rsidP="00412140">
            <w:pPr>
              <w:pStyle w:val="Tabletext"/>
              <w:keepNext/>
              <w:ind w:left="0" w:right="0"/>
              <w:jc w:val="center"/>
              <w:rPr>
                <w:b/>
                <w:sz w:val="20"/>
                <w:szCs w:val="20"/>
              </w:rPr>
            </w:pPr>
          </w:p>
        </w:tc>
        <w:tc>
          <w:tcPr>
            <w:tcW w:w="3513" w:type="dxa"/>
            <w:shd w:val="clear" w:color="auto" w:fill="8CADD3"/>
          </w:tcPr>
          <w:p w14:paraId="387EF133" w14:textId="77777777" w:rsidR="00EE2501" w:rsidRPr="00EE2501" w:rsidRDefault="00EE2501" w:rsidP="00412140">
            <w:pPr>
              <w:keepNext/>
              <w:ind w:left="0" w:right="0"/>
              <w:rPr>
                <w:sz w:val="20"/>
                <w:szCs w:val="20"/>
              </w:rPr>
            </w:pPr>
            <w:r w:rsidRPr="00EE2501">
              <w:rPr>
                <w:rFonts w:eastAsia="TimesNewRoman" w:cs="TimesNewRoman"/>
                <w:sz w:val="20"/>
                <w:szCs w:val="20"/>
              </w:rPr>
              <w:t>Higher incidence and severity of adverse events in the elderly</w:t>
            </w:r>
          </w:p>
        </w:tc>
        <w:tc>
          <w:tcPr>
            <w:tcW w:w="993" w:type="dxa"/>
            <w:shd w:val="clear" w:color="auto" w:fill="8CADD3"/>
          </w:tcPr>
          <w:p w14:paraId="78F80512"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shd w:val="clear" w:color="auto" w:fill="8CADD3"/>
          </w:tcPr>
          <w:p w14:paraId="5DE771AF"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1,2</w:t>
            </w:r>
          </w:p>
        </w:tc>
        <w:tc>
          <w:tcPr>
            <w:tcW w:w="993" w:type="dxa"/>
            <w:shd w:val="clear" w:color="auto" w:fill="8CADD3"/>
          </w:tcPr>
          <w:p w14:paraId="13012104"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shd w:val="clear" w:color="auto" w:fill="8CADD3"/>
          </w:tcPr>
          <w:p w14:paraId="2D5C5326"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4,5</w:t>
            </w:r>
          </w:p>
        </w:tc>
      </w:tr>
      <w:tr w:rsidR="00EE2501" w:rsidRPr="00EE2501" w14:paraId="02B5868A" w14:textId="77777777" w:rsidTr="00480BCB">
        <w:trPr>
          <w:trHeight w:val="180"/>
        </w:trPr>
        <w:tc>
          <w:tcPr>
            <w:tcW w:w="564" w:type="dxa"/>
            <w:vMerge/>
            <w:textDirection w:val="btLr"/>
          </w:tcPr>
          <w:p w14:paraId="60462F4A" w14:textId="77777777" w:rsidR="00EE2501" w:rsidRPr="00EE2501" w:rsidRDefault="00EE2501" w:rsidP="00412140">
            <w:pPr>
              <w:pStyle w:val="Tabletext"/>
              <w:keepNext/>
              <w:ind w:left="0" w:right="0"/>
              <w:jc w:val="center"/>
              <w:rPr>
                <w:b/>
                <w:sz w:val="20"/>
                <w:szCs w:val="20"/>
              </w:rPr>
            </w:pPr>
          </w:p>
        </w:tc>
        <w:tc>
          <w:tcPr>
            <w:tcW w:w="3513" w:type="dxa"/>
            <w:shd w:val="clear" w:color="auto" w:fill="DBE5B3"/>
          </w:tcPr>
          <w:p w14:paraId="7F91262F" w14:textId="77777777" w:rsidR="00EE2501" w:rsidRPr="00EE2501" w:rsidRDefault="00EE2501" w:rsidP="00412140">
            <w:pPr>
              <w:keepNext/>
              <w:autoSpaceDE w:val="0"/>
              <w:autoSpaceDN w:val="0"/>
              <w:adjustRightInd w:val="0"/>
              <w:ind w:left="0" w:right="0"/>
              <w:rPr>
                <w:rFonts w:eastAsia="TimesNewRoman" w:cs="TimesNewRoman"/>
                <w:sz w:val="20"/>
                <w:szCs w:val="20"/>
              </w:rPr>
            </w:pPr>
            <w:r w:rsidRPr="00EE2501">
              <w:rPr>
                <w:rFonts w:eastAsia="TimesNewRoman" w:cs="TimesNewRoman"/>
                <w:sz w:val="20"/>
                <w:szCs w:val="20"/>
              </w:rPr>
              <w:t>Rhabdomyolysis</w:t>
            </w:r>
          </w:p>
        </w:tc>
        <w:tc>
          <w:tcPr>
            <w:tcW w:w="993" w:type="dxa"/>
            <w:shd w:val="clear" w:color="auto" w:fill="DBE5B3"/>
          </w:tcPr>
          <w:p w14:paraId="7E72E663"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shd w:val="clear" w:color="auto" w:fill="DBE5B3"/>
          </w:tcPr>
          <w:p w14:paraId="18FD53FC"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993" w:type="dxa"/>
            <w:shd w:val="clear" w:color="auto" w:fill="DBE5B3"/>
          </w:tcPr>
          <w:p w14:paraId="498BB34D" w14:textId="44CBBD64" w:rsidR="00EE2501" w:rsidRPr="00EE2501" w:rsidRDefault="00A05036" w:rsidP="00412140">
            <w:pPr>
              <w:pStyle w:val="Tabletext"/>
              <w:keepNext/>
              <w:ind w:left="0" w:right="0"/>
              <w:jc w:val="center"/>
              <w:rPr>
                <w:sz w:val="20"/>
                <w:szCs w:val="20"/>
              </w:rPr>
            </w:pPr>
            <w:r w:rsidRPr="00EE2501">
              <w:rPr>
                <w:sz w:val="20"/>
                <w:szCs w:val="20"/>
              </w:rPr>
              <w:t>–</w:t>
            </w:r>
          </w:p>
        </w:tc>
        <w:tc>
          <w:tcPr>
            <w:tcW w:w="1207" w:type="dxa"/>
            <w:shd w:val="clear" w:color="auto" w:fill="DBE5B3"/>
          </w:tcPr>
          <w:p w14:paraId="0F6A7920" w14:textId="77777777" w:rsidR="00EE2501" w:rsidRPr="00EE2501" w:rsidRDefault="00EE2501" w:rsidP="00412140">
            <w:pPr>
              <w:pStyle w:val="Tabletext"/>
              <w:keepNext/>
              <w:ind w:left="0" w:right="0"/>
              <w:jc w:val="center"/>
              <w:rPr>
                <w:sz w:val="20"/>
                <w:szCs w:val="20"/>
              </w:rPr>
            </w:pPr>
            <w:r w:rsidRPr="00EE2501">
              <w:rPr>
                <w:sz w:val="20"/>
                <w:szCs w:val="20"/>
              </w:rPr>
              <w:t>–</w:t>
            </w:r>
          </w:p>
        </w:tc>
      </w:tr>
      <w:tr w:rsidR="00EE2501" w:rsidRPr="00EE2501" w14:paraId="098DDD39" w14:textId="77777777" w:rsidTr="00480BCB">
        <w:trPr>
          <w:trHeight w:val="180"/>
        </w:trPr>
        <w:tc>
          <w:tcPr>
            <w:tcW w:w="564" w:type="dxa"/>
            <w:vMerge/>
            <w:textDirection w:val="btLr"/>
          </w:tcPr>
          <w:p w14:paraId="08F6FB4F" w14:textId="77777777" w:rsidR="00EE2501" w:rsidRPr="00EE2501" w:rsidRDefault="00EE2501" w:rsidP="00412140">
            <w:pPr>
              <w:pStyle w:val="Tabletext"/>
              <w:keepNext/>
              <w:ind w:left="0" w:right="0"/>
              <w:jc w:val="center"/>
              <w:rPr>
                <w:b/>
                <w:sz w:val="20"/>
                <w:szCs w:val="20"/>
              </w:rPr>
            </w:pPr>
          </w:p>
        </w:tc>
        <w:tc>
          <w:tcPr>
            <w:tcW w:w="3513" w:type="dxa"/>
            <w:shd w:val="clear" w:color="auto" w:fill="DBE5B3"/>
          </w:tcPr>
          <w:p w14:paraId="0613A866" w14:textId="77777777" w:rsidR="00EE2501" w:rsidRPr="00EE2501" w:rsidRDefault="003F1EF8" w:rsidP="00412140">
            <w:pPr>
              <w:keepNext/>
              <w:autoSpaceDE w:val="0"/>
              <w:autoSpaceDN w:val="0"/>
              <w:adjustRightInd w:val="0"/>
              <w:ind w:left="0" w:right="0"/>
              <w:rPr>
                <w:rFonts w:eastAsia="TimesNewRoman" w:cs="TimesNewRoman"/>
                <w:sz w:val="20"/>
                <w:szCs w:val="20"/>
              </w:rPr>
            </w:pPr>
            <w:r>
              <w:rPr>
                <w:rFonts w:eastAsia="TimesNewRoman" w:cs="TimesNewRoman"/>
                <w:sz w:val="20"/>
                <w:szCs w:val="20"/>
              </w:rPr>
              <w:t>EBV</w:t>
            </w:r>
            <w:r w:rsidR="00EE2501" w:rsidRPr="00EE2501">
              <w:rPr>
                <w:rFonts w:eastAsia="TimesNewRoman" w:cs="TimesNewRoman"/>
                <w:sz w:val="20"/>
                <w:szCs w:val="20"/>
              </w:rPr>
              <w:t>-related events</w:t>
            </w:r>
          </w:p>
        </w:tc>
        <w:tc>
          <w:tcPr>
            <w:tcW w:w="993" w:type="dxa"/>
            <w:shd w:val="clear" w:color="auto" w:fill="DBE5B3"/>
          </w:tcPr>
          <w:p w14:paraId="3B2FF8FC"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shd w:val="clear" w:color="auto" w:fill="DBE5B3"/>
          </w:tcPr>
          <w:p w14:paraId="3A6F9F03"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993" w:type="dxa"/>
            <w:shd w:val="clear" w:color="auto" w:fill="DBE5B3"/>
          </w:tcPr>
          <w:p w14:paraId="67340344"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shd w:val="clear" w:color="auto" w:fill="DBE5B3"/>
          </w:tcPr>
          <w:p w14:paraId="516E24FD"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4,5</w:t>
            </w:r>
          </w:p>
        </w:tc>
      </w:tr>
      <w:tr w:rsidR="00EE2501" w:rsidRPr="00EE2501" w14:paraId="6F9F6F8A" w14:textId="77777777" w:rsidTr="00480BCB">
        <w:trPr>
          <w:trHeight w:val="180"/>
        </w:trPr>
        <w:tc>
          <w:tcPr>
            <w:tcW w:w="564" w:type="dxa"/>
            <w:vMerge/>
            <w:textDirection w:val="btLr"/>
          </w:tcPr>
          <w:p w14:paraId="226C88FC" w14:textId="77777777" w:rsidR="00EE2501" w:rsidRPr="00EE2501" w:rsidRDefault="00EE2501" w:rsidP="00412140">
            <w:pPr>
              <w:pStyle w:val="Tabletext"/>
              <w:keepNext/>
              <w:ind w:left="0" w:right="0"/>
              <w:jc w:val="center"/>
              <w:rPr>
                <w:b/>
                <w:sz w:val="20"/>
                <w:szCs w:val="20"/>
              </w:rPr>
            </w:pPr>
          </w:p>
        </w:tc>
        <w:tc>
          <w:tcPr>
            <w:tcW w:w="3513" w:type="dxa"/>
            <w:shd w:val="clear" w:color="auto" w:fill="DBE5B3"/>
          </w:tcPr>
          <w:p w14:paraId="38CFE4A5" w14:textId="77777777" w:rsidR="00EE2501" w:rsidRPr="00EE2501" w:rsidRDefault="00EE2501" w:rsidP="00412140">
            <w:pPr>
              <w:keepNext/>
              <w:autoSpaceDE w:val="0"/>
              <w:autoSpaceDN w:val="0"/>
              <w:adjustRightInd w:val="0"/>
              <w:ind w:left="0" w:right="0"/>
              <w:rPr>
                <w:rFonts w:eastAsia="TimesNewRoman" w:cs="TimesNewRoman"/>
                <w:sz w:val="20"/>
                <w:szCs w:val="20"/>
              </w:rPr>
            </w:pPr>
            <w:r w:rsidRPr="00EE2501">
              <w:rPr>
                <w:rFonts w:eastAsia="TimesNewRoman" w:cs="TimesNewRoman"/>
                <w:sz w:val="20"/>
                <w:szCs w:val="20"/>
              </w:rPr>
              <w:t>QT prolongation</w:t>
            </w:r>
          </w:p>
        </w:tc>
        <w:tc>
          <w:tcPr>
            <w:tcW w:w="993" w:type="dxa"/>
            <w:shd w:val="clear" w:color="auto" w:fill="DBE5B3"/>
          </w:tcPr>
          <w:p w14:paraId="1A835128"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shd w:val="clear" w:color="auto" w:fill="DBE5B3"/>
          </w:tcPr>
          <w:p w14:paraId="3ACD1C63"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993" w:type="dxa"/>
            <w:shd w:val="clear" w:color="auto" w:fill="DBE5B3"/>
          </w:tcPr>
          <w:p w14:paraId="69C6C5EC"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shd w:val="clear" w:color="auto" w:fill="DBE5B3"/>
          </w:tcPr>
          <w:p w14:paraId="09A3E546" w14:textId="77777777" w:rsidR="00EE2501" w:rsidRPr="00EE2501" w:rsidRDefault="00EE2501" w:rsidP="00412140">
            <w:pPr>
              <w:pStyle w:val="Tabletext"/>
              <w:keepNext/>
              <w:ind w:left="0" w:right="0"/>
              <w:jc w:val="center"/>
              <w:rPr>
                <w:sz w:val="20"/>
                <w:szCs w:val="20"/>
              </w:rPr>
            </w:pPr>
            <w:r w:rsidRPr="00EE2501">
              <w:rPr>
                <w:sz w:val="20"/>
                <w:szCs w:val="20"/>
              </w:rPr>
              <w:t>–</w:t>
            </w:r>
          </w:p>
        </w:tc>
      </w:tr>
      <w:tr w:rsidR="00EE2501" w:rsidRPr="00EE2501" w14:paraId="18A52756" w14:textId="77777777" w:rsidTr="00480BCB">
        <w:trPr>
          <w:trHeight w:val="165"/>
        </w:trPr>
        <w:tc>
          <w:tcPr>
            <w:tcW w:w="564" w:type="dxa"/>
            <w:vMerge/>
            <w:textDirection w:val="btLr"/>
          </w:tcPr>
          <w:p w14:paraId="5286FB6A" w14:textId="77777777" w:rsidR="00EE2501" w:rsidRPr="00EE2501" w:rsidRDefault="00EE2501" w:rsidP="00412140">
            <w:pPr>
              <w:pStyle w:val="Tabletext"/>
              <w:keepNext/>
              <w:ind w:left="0" w:right="0"/>
              <w:jc w:val="center"/>
              <w:rPr>
                <w:b/>
                <w:sz w:val="20"/>
                <w:szCs w:val="20"/>
              </w:rPr>
            </w:pPr>
          </w:p>
        </w:tc>
        <w:tc>
          <w:tcPr>
            <w:tcW w:w="3513" w:type="dxa"/>
            <w:shd w:val="clear" w:color="auto" w:fill="DBE5B3"/>
          </w:tcPr>
          <w:p w14:paraId="1F67FC22" w14:textId="77777777" w:rsidR="00EE2501" w:rsidRPr="00EE2501" w:rsidRDefault="00EE2501" w:rsidP="00412140">
            <w:pPr>
              <w:keepNext/>
              <w:ind w:left="0" w:right="0"/>
              <w:rPr>
                <w:sz w:val="20"/>
                <w:szCs w:val="20"/>
              </w:rPr>
            </w:pPr>
            <w:r w:rsidRPr="00EE2501">
              <w:rPr>
                <w:sz w:val="20"/>
                <w:szCs w:val="20"/>
              </w:rPr>
              <w:t>Reduction in renal function</w:t>
            </w:r>
          </w:p>
        </w:tc>
        <w:tc>
          <w:tcPr>
            <w:tcW w:w="993" w:type="dxa"/>
            <w:shd w:val="clear" w:color="auto" w:fill="DBE5B3"/>
          </w:tcPr>
          <w:p w14:paraId="73406A08"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shd w:val="clear" w:color="auto" w:fill="DBE5B3"/>
          </w:tcPr>
          <w:p w14:paraId="0930B244"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993" w:type="dxa"/>
            <w:shd w:val="clear" w:color="auto" w:fill="DBE5B3"/>
          </w:tcPr>
          <w:p w14:paraId="2C3389D6"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shd w:val="clear" w:color="auto" w:fill="DBE5B3"/>
          </w:tcPr>
          <w:p w14:paraId="503B93E2"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4,5</w:t>
            </w:r>
          </w:p>
        </w:tc>
      </w:tr>
      <w:tr w:rsidR="00EE2501" w:rsidRPr="00EE2501" w14:paraId="3C63BD90" w14:textId="77777777" w:rsidTr="00223C03">
        <w:trPr>
          <w:trHeight w:val="262"/>
        </w:trPr>
        <w:tc>
          <w:tcPr>
            <w:tcW w:w="564" w:type="dxa"/>
            <w:vMerge w:val="restart"/>
            <w:textDirection w:val="btLr"/>
          </w:tcPr>
          <w:p w14:paraId="12E2C6BE" w14:textId="77777777" w:rsidR="00EE2501" w:rsidRPr="00EE2501" w:rsidRDefault="00EE2501" w:rsidP="00412140">
            <w:pPr>
              <w:pStyle w:val="Tabletext"/>
              <w:keepNext/>
              <w:ind w:left="0" w:right="0"/>
              <w:jc w:val="center"/>
              <w:rPr>
                <w:b/>
                <w:sz w:val="20"/>
                <w:szCs w:val="20"/>
              </w:rPr>
            </w:pPr>
            <w:r w:rsidRPr="00EE2501">
              <w:rPr>
                <w:b/>
                <w:sz w:val="20"/>
                <w:szCs w:val="20"/>
              </w:rPr>
              <w:t>Missing information</w:t>
            </w:r>
          </w:p>
        </w:tc>
        <w:tc>
          <w:tcPr>
            <w:tcW w:w="3513" w:type="dxa"/>
          </w:tcPr>
          <w:p w14:paraId="20EF18DA" w14:textId="77777777" w:rsidR="00EE2501" w:rsidRPr="00EE2501" w:rsidRDefault="00EE2501" w:rsidP="00412140">
            <w:pPr>
              <w:keepNext/>
              <w:autoSpaceDE w:val="0"/>
              <w:autoSpaceDN w:val="0"/>
              <w:adjustRightInd w:val="0"/>
              <w:ind w:left="0" w:right="0"/>
              <w:rPr>
                <w:rFonts w:eastAsia="TimesNewRoman" w:cs="TimesNewRoman"/>
                <w:sz w:val="20"/>
                <w:szCs w:val="20"/>
              </w:rPr>
            </w:pPr>
            <w:r w:rsidRPr="00EE2501">
              <w:rPr>
                <w:rFonts w:eastAsia="TimesNewRoman" w:cs="TimesNewRoman"/>
                <w:sz w:val="20"/>
                <w:szCs w:val="20"/>
              </w:rPr>
              <w:t>Effects on pregnancy and the foetus</w:t>
            </w:r>
          </w:p>
        </w:tc>
        <w:tc>
          <w:tcPr>
            <w:tcW w:w="993" w:type="dxa"/>
          </w:tcPr>
          <w:p w14:paraId="0F993505"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0393C1C9"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3,6</w:t>
            </w:r>
          </w:p>
        </w:tc>
        <w:tc>
          <w:tcPr>
            <w:tcW w:w="993" w:type="dxa"/>
          </w:tcPr>
          <w:p w14:paraId="567DDBA3"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355FEF15"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4,5</w:t>
            </w:r>
          </w:p>
        </w:tc>
      </w:tr>
      <w:tr w:rsidR="00EE2501" w:rsidRPr="00EE2501" w14:paraId="43B73FDA" w14:textId="77777777" w:rsidTr="00223C03">
        <w:trPr>
          <w:trHeight w:val="152"/>
        </w:trPr>
        <w:tc>
          <w:tcPr>
            <w:tcW w:w="564" w:type="dxa"/>
            <w:vMerge/>
          </w:tcPr>
          <w:p w14:paraId="596C1B59" w14:textId="77777777" w:rsidR="00EE2501" w:rsidRPr="00EE2501" w:rsidRDefault="00EE2501" w:rsidP="00412140">
            <w:pPr>
              <w:pStyle w:val="Tabletext"/>
              <w:keepNext/>
              <w:ind w:left="0" w:right="0"/>
              <w:rPr>
                <w:sz w:val="20"/>
                <w:szCs w:val="20"/>
              </w:rPr>
            </w:pPr>
          </w:p>
        </w:tc>
        <w:tc>
          <w:tcPr>
            <w:tcW w:w="3513" w:type="dxa"/>
          </w:tcPr>
          <w:p w14:paraId="2361FD9A" w14:textId="77777777" w:rsidR="00EE2501" w:rsidRPr="00EE2501" w:rsidRDefault="00EE2501" w:rsidP="00412140">
            <w:pPr>
              <w:keepNext/>
              <w:autoSpaceDE w:val="0"/>
              <w:autoSpaceDN w:val="0"/>
              <w:adjustRightInd w:val="0"/>
              <w:ind w:left="0" w:right="0"/>
              <w:rPr>
                <w:rFonts w:eastAsia="TimesNewRoman" w:cs="TimesNewRoman"/>
                <w:sz w:val="20"/>
                <w:szCs w:val="20"/>
              </w:rPr>
            </w:pPr>
            <w:r w:rsidRPr="00EE2501">
              <w:rPr>
                <w:rFonts w:eastAsia="TimesNewRoman" w:cs="TimesNewRoman"/>
                <w:sz w:val="20"/>
                <w:szCs w:val="20"/>
              </w:rPr>
              <w:t>Use in breastfeeding</w:t>
            </w:r>
          </w:p>
        </w:tc>
        <w:tc>
          <w:tcPr>
            <w:tcW w:w="993" w:type="dxa"/>
          </w:tcPr>
          <w:p w14:paraId="014AAF60"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2936B2B8"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6</w:t>
            </w:r>
          </w:p>
        </w:tc>
        <w:tc>
          <w:tcPr>
            <w:tcW w:w="993" w:type="dxa"/>
          </w:tcPr>
          <w:p w14:paraId="32730334"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014EB660"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4,5</w:t>
            </w:r>
          </w:p>
        </w:tc>
      </w:tr>
      <w:tr w:rsidR="00EE2501" w:rsidRPr="00EE2501" w14:paraId="33568CA0" w14:textId="77777777" w:rsidTr="00223C03">
        <w:trPr>
          <w:trHeight w:val="152"/>
        </w:trPr>
        <w:tc>
          <w:tcPr>
            <w:tcW w:w="564" w:type="dxa"/>
            <w:vMerge/>
          </w:tcPr>
          <w:p w14:paraId="68196E84" w14:textId="77777777" w:rsidR="00EE2501" w:rsidRPr="00EE2501" w:rsidRDefault="00EE2501" w:rsidP="00412140">
            <w:pPr>
              <w:pStyle w:val="Tabletext"/>
              <w:keepNext/>
              <w:ind w:left="0" w:right="0"/>
              <w:rPr>
                <w:sz w:val="20"/>
                <w:szCs w:val="20"/>
              </w:rPr>
            </w:pPr>
          </w:p>
        </w:tc>
        <w:tc>
          <w:tcPr>
            <w:tcW w:w="3513" w:type="dxa"/>
          </w:tcPr>
          <w:p w14:paraId="32B1A342" w14:textId="77777777" w:rsidR="00EE2501" w:rsidRPr="00EE2501" w:rsidRDefault="00EE2501" w:rsidP="00412140">
            <w:pPr>
              <w:keepNext/>
              <w:autoSpaceDE w:val="0"/>
              <w:autoSpaceDN w:val="0"/>
              <w:adjustRightInd w:val="0"/>
              <w:ind w:left="0" w:right="0"/>
              <w:rPr>
                <w:rFonts w:eastAsia="TimesNewRoman" w:cs="TimesNewRoman"/>
                <w:sz w:val="20"/>
                <w:szCs w:val="20"/>
              </w:rPr>
            </w:pPr>
            <w:r w:rsidRPr="00EE2501">
              <w:rPr>
                <w:rFonts w:eastAsia="TimesNewRoman" w:cs="TimesNewRoman"/>
                <w:sz w:val="20"/>
                <w:szCs w:val="20"/>
              </w:rPr>
              <w:t>Effect on vaccination efficacy and the use of live/attenuated vaccines</w:t>
            </w:r>
          </w:p>
        </w:tc>
        <w:tc>
          <w:tcPr>
            <w:tcW w:w="993" w:type="dxa"/>
          </w:tcPr>
          <w:p w14:paraId="63D0E4A1"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5FDFE388"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6</w:t>
            </w:r>
          </w:p>
        </w:tc>
        <w:tc>
          <w:tcPr>
            <w:tcW w:w="993" w:type="dxa"/>
          </w:tcPr>
          <w:p w14:paraId="2B28B997"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54649FE2"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4,5</w:t>
            </w:r>
          </w:p>
        </w:tc>
      </w:tr>
      <w:tr w:rsidR="00EE2501" w:rsidRPr="00EE2501" w14:paraId="03EC0C08" w14:textId="77777777" w:rsidTr="00223C03">
        <w:trPr>
          <w:trHeight w:val="152"/>
        </w:trPr>
        <w:tc>
          <w:tcPr>
            <w:tcW w:w="564" w:type="dxa"/>
            <w:vMerge/>
          </w:tcPr>
          <w:p w14:paraId="1A5DA2B4" w14:textId="77777777" w:rsidR="00EE2501" w:rsidRPr="00EE2501" w:rsidRDefault="00EE2501" w:rsidP="00412140">
            <w:pPr>
              <w:pStyle w:val="Tabletext"/>
              <w:keepNext/>
              <w:ind w:left="0" w:right="0"/>
              <w:rPr>
                <w:sz w:val="20"/>
                <w:szCs w:val="20"/>
              </w:rPr>
            </w:pPr>
          </w:p>
        </w:tc>
        <w:tc>
          <w:tcPr>
            <w:tcW w:w="3513" w:type="dxa"/>
          </w:tcPr>
          <w:p w14:paraId="15379F4C" w14:textId="77777777" w:rsidR="00EE2501" w:rsidRPr="00EE2501" w:rsidRDefault="00EE2501" w:rsidP="00412140">
            <w:pPr>
              <w:keepNext/>
              <w:ind w:left="0" w:right="0"/>
              <w:rPr>
                <w:sz w:val="20"/>
                <w:szCs w:val="20"/>
              </w:rPr>
            </w:pPr>
            <w:r w:rsidRPr="00EE2501">
              <w:rPr>
                <w:rFonts w:eastAsia="TimesNewRoman" w:cs="TimesNewRoman"/>
                <w:sz w:val="20"/>
                <w:szCs w:val="20"/>
              </w:rPr>
              <w:t>Use in paediatric patients</w:t>
            </w:r>
          </w:p>
        </w:tc>
        <w:tc>
          <w:tcPr>
            <w:tcW w:w="993" w:type="dxa"/>
          </w:tcPr>
          <w:p w14:paraId="11E6DA2A"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604C2F88"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1</w:t>
            </w:r>
          </w:p>
        </w:tc>
        <w:tc>
          <w:tcPr>
            <w:tcW w:w="993" w:type="dxa"/>
          </w:tcPr>
          <w:p w14:paraId="65C87009"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557EFE3B" w14:textId="77777777" w:rsidR="00EE2501" w:rsidRPr="00EE2501" w:rsidRDefault="00EE2501" w:rsidP="00412140">
            <w:pPr>
              <w:pStyle w:val="Tabletext"/>
              <w:keepNext/>
              <w:ind w:left="0" w:right="0"/>
              <w:jc w:val="center"/>
              <w:rPr>
                <w:sz w:val="20"/>
                <w:szCs w:val="20"/>
              </w:rPr>
            </w:pPr>
            <w:r w:rsidRPr="00EE2501">
              <w:rPr>
                <w:sz w:val="20"/>
                <w:szCs w:val="20"/>
              </w:rPr>
              <w:t>–</w:t>
            </w:r>
          </w:p>
        </w:tc>
      </w:tr>
      <w:tr w:rsidR="00EE2501" w:rsidRPr="00EE2501" w14:paraId="0E902C00" w14:textId="77777777" w:rsidTr="00223C03">
        <w:trPr>
          <w:trHeight w:val="152"/>
        </w:trPr>
        <w:tc>
          <w:tcPr>
            <w:tcW w:w="564" w:type="dxa"/>
            <w:vMerge/>
          </w:tcPr>
          <w:p w14:paraId="11964648" w14:textId="77777777" w:rsidR="00EE2501" w:rsidRPr="00EE2501" w:rsidRDefault="00EE2501" w:rsidP="00412140">
            <w:pPr>
              <w:pStyle w:val="Tabletext"/>
              <w:keepNext/>
              <w:ind w:left="0" w:right="0"/>
              <w:rPr>
                <w:sz w:val="20"/>
                <w:szCs w:val="20"/>
              </w:rPr>
            </w:pPr>
          </w:p>
        </w:tc>
        <w:tc>
          <w:tcPr>
            <w:tcW w:w="3513" w:type="dxa"/>
          </w:tcPr>
          <w:p w14:paraId="4D12F48C" w14:textId="77777777" w:rsidR="00EE2501" w:rsidRPr="00EE2501" w:rsidRDefault="00EE2501" w:rsidP="00412140">
            <w:pPr>
              <w:pStyle w:val="Summaryofsafetyconcerns"/>
              <w:keepNext/>
              <w:ind w:left="0" w:right="0"/>
              <w:rPr>
                <w:b w:val="0"/>
                <w:szCs w:val="20"/>
              </w:rPr>
            </w:pPr>
            <w:r w:rsidRPr="00EE2501">
              <w:rPr>
                <w:b w:val="0"/>
                <w:szCs w:val="20"/>
              </w:rPr>
              <w:t>Use in patients with mild, moderate, or severe hepatic impairment</w:t>
            </w:r>
          </w:p>
        </w:tc>
        <w:tc>
          <w:tcPr>
            <w:tcW w:w="993" w:type="dxa"/>
          </w:tcPr>
          <w:p w14:paraId="6B3C8822"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0C3F6210"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6</w:t>
            </w:r>
          </w:p>
        </w:tc>
        <w:tc>
          <w:tcPr>
            <w:tcW w:w="993" w:type="dxa"/>
          </w:tcPr>
          <w:p w14:paraId="76A1ADE4"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3398F8DE"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r w:rsidRPr="00EE2501">
              <w:rPr>
                <w:sz w:val="20"/>
                <w:szCs w:val="20"/>
                <w:vertAlign w:val="superscript"/>
              </w:rPr>
              <w:t>4</w:t>
            </w:r>
          </w:p>
        </w:tc>
      </w:tr>
      <w:tr w:rsidR="00EE2501" w:rsidRPr="00EE2501" w14:paraId="4382A780" w14:textId="77777777" w:rsidTr="00223C03">
        <w:trPr>
          <w:trHeight w:val="152"/>
        </w:trPr>
        <w:tc>
          <w:tcPr>
            <w:tcW w:w="564" w:type="dxa"/>
            <w:vMerge/>
          </w:tcPr>
          <w:p w14:paraId="4BF4BD30" w14:textId="77777777" w:rsidR="00EE2501" w:rsidRPr="00EE2501" w:rsidRDefault="00EE2501" w:rsidP="00412140">
            <w:pPr>
              <w:pStyle w:val="Tabletext"/>
              <w:keepNext/>
              <w:ind w:left="0" w:right="0"/>
              <w:rPr>
                <w:sz w:val="20"/>
                <w:szCs w:val="20"/>
              </w:rPr>
            </w:pPr>
          </w:p>
        </w:tc>
        <w:tc>
          <w:tcPr>
            <w:tcW w:w="3513" w:type="dxa"/>
          </w:tcPr>
          <w:p w14:paraId="070AB554" w14:textId="77777777" w:rsidR="00EE2501" w:rsidRPr="00EE2501" w:rsidRDefault="00EE2501" w:rsidP="00412140">
            <w:pPr>
              <w:keepNext/>
              <w:autoSpaceDE w:val="0"/>
              <w:autoSpaceDN w:val="0"/>
              <w:adjustRightInd w:val="0"/>
              <w:ind w:left="0" w:right="0"/>
              <w:rPr>
                <w:rFonts w:eastAsia="TimesNewRoman" w:cs="TimesNewRoman"/>
                <w:sz w:val="20"/>
                <w:szCs w:val="20"/>
              </w:rPr>
            </w:pPr>
            <w:r w:rsidRPr="00EE2501">
              <w:rPr>
                <w:rFonts w:eastAsia="TimesNewRoman" w:cs="TimesNewRoman"/>
                <w:sz w:val="20"/>
                <w:szCs w:val="20"/>
              </w:rPr>
              <w:t>Use in patients with moderate or severe renal impairment</w:t>
            </w:r>
          </w:p>
        </w:tc>
        <w:tc>
          <w:tcPr>
            <w:tcW w:w="993" w:type="dxa"/>
          </w:tcPr>
          <w:p w14:paraId="40DB17A8"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30274E17"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993" w:type="dxa"/>
          </w:tcPr>
          <w:p w14:paraId="6EEB9BD3"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5FC5D4D4" w14:textId="77777777" w:rsidR="00EE2501" w:rsidRPr="00EE2501" w:rsidRDefault="00EE2501" w:rsidP="00412140">
            <w:pPr>
              <w:pStyle w:val="Tabletext"/>
              <w:keepNext/>
              <w:ind w:left="0" w:right="0"/>
              <w:jc w:val="center"/>
              <w:rPr>
                <w:sz w:val="20"/>
                <w:szCs w:val="20"/>
              </w:rPr>
            </w:pPr>
            <w:r w:rsidRPr="00EE2501">
              <w:rPr>
                <w:sz w:val="20"/>
                <w:szCs w:val="20"/>
              </w:rPr>
              <w:t>–</w:t>
            </w:r>
          </w:p>
        </w:tc>
      </w:tr>
      <w:tr w:rsidR="00EE2501" w:rsidRPr="00EE2501" w14:paraId="65A777E6" w14:textId="77777777" w:rsidTr="00223C03">
        <w:trPr>
          <w:trHeight w:val="152"/>
        </w:trPr>
        <w:tc>
          <w:tcPr>
            <w:tcW w:w="564" w:type="dxa"/>
            <w:vMerge/>
          </w:tcPr>
          <w:p w14:paraId="0660B537" w14:textId="77777777" w:rsidR="00EE2501" w:rsidRPr="00EE2501" w:rsidRDefault="00EE2501" w:rsidP="00412140">
            <w:pPr>
              <w:pStyle w:val="Tabletext"/>
              <w:keepNext/>
              <w:ind w:left="0" w:right="0"/>
              <w:rPr>
                <w:sz w:val="20"/>
                <w:szCs w:val="20"/>
              </w:rPr>
            </w:pPr>
          </w:p>
        </w:tc>
        <w:tc>
          <w:tcPr>
            <w:tcW w:w="3513" w:type="dxa"/>
          </w:tcPr>
          <w:p w14:paraId="4714BF0B" w14:textId="77777777" w:rsidR="00EE2501" w:rsidRPr="00EE2501" w:rsidRDefault="00EE2501" w:rsidP="00412140">
            <w:pPr>
              <w:keepNext/>
              <w:autoSpaceDE w:val="0"/>
              <w:autoSpaceDN w:val="0"/>
              <w:adjustRightInd w:val="0"/>
              <w:ind w:left="0" w:right="0"/>
              <w:rPr>
                <w:rFonts w:eastAsia="TimesNewRoman" w:cs="TimesNewRoman"/>
                <w:sz w:val="20"/>
                <w:szCs w:val="20"/>
              </w:rPr>
            </w:pPr>
            <w:r w:rsidRPr="00EE2501">
              <w:rPr>
                <w:rFonts w:eastAsia="TimesNewRoman" w:cs="TimesNewRoman"/>
                <w:sz w:val="20"/>
                <w:szCs w:val="20"/>
              </w:rPr>
              <w:t>Use in patients with evidence of hepatitis B or hepatitis C infection</w:t>
            </w:r>
          </w:p>
        </w:tc>
        <w:tc>
          <w:tcPr>
            <w:tcW w:w="993" w:type="dxa"/>
          </w:tcPr>
          <w:p w14:paraId="01F1EE74"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3955895F"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993" w:type="dxa"/>
          </w:tcPr>
          <w:p w14:paraId="2183C1F4"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56B48036" w14:textId="77777777" w:rsidR="00EE2501" w:rsidRPr="00EE2501" w:rsidRDefault="00EE2501" w:rsidP="00412140">
            <w:pPr>
              <w:pStyle w:val="Tabletext"/>
              <w:keepNext/>
              <w:ind w:left="0" w:right="0"/>
              <w:jc w:val="center"/>
              <w:rPr>
                <w:sz w:val="20"/>
                <w:szCs w:val="20"/>
              </w:rPr>
            </w:pPr>
            <w:r w:rsidRPr="00EE2501">
              <w:rPr>
                <w:sz w:val="20"/>
                <w:szCs w:val="20"/>
              </w:rPr>
              <w:t>–</w:t>
            </w:r>
          </w:p>
        </w:tc>
      </w:tr>
      <w:tr w:rsidR="00EE2501" w:rsidRPr="00EE2501" w14:paraId="0B73AE65" w14:textId="77777777" w:rsidTr="00223C03">
        <w:trPr>
          <w:trHeight w:val="152"/>
        </w:trPr>
        <w:tc>
          <w:tcPr>
            <w:tcW w:w="564" w:type="dxa"/>
            <w:vMerge/>
          </w:tcPr>
          <w:p w14:paraId="64AF9C0D" w14:textId="77777777" w:rsidR="00EE2501" w:rsidRPr="00EE2501" w:rsidRDefault="00EE2501" w:rsidP="00412140">
            <w:pPr>
              <w:pStyle w:val="Tabletext"/>
              <w:keepNext/>
              <w:ind w:left="0" w:right="0"/>
              <w:rPr>
                <w:sz w:val="20"/>
                <w:szCs w:val="20"/>
              </w:rPr>
            </w:pPr>
          </w:p>
        </w:tc>
        <w:tc>
          <w:tcPr>
            <w:tcW w:w="3513" w:type="dxa"/>
          </w:tcPr>
          <w:p w14:paraId="40029556" w14:textId="77777777" w:rsidR="00EE2501" w:rsidRPr="00EE2501" w:rsidRDefault="00EE2501" w:rsidP="00412140">
            <w:pPr>
              <w:keepNext/>
              <w:autoSpaceDE w:val="0"/>
              <w:autoSpaceDN w:val="0"/>
              <w:adjustRightInd w:val="0"/>
              <w:ind w:left="0" w:right="0"/>
              <w:rPr>
                <w:rFonts w:eastAsia="TimesNewRoman" w:cs="TimesNewRoman"/>
                <w:sz w:val="20"/>
                <w:szCs w:val="20"/>
              </w:rPr>
            </w:pPr>
            <w:r w:rsidRPr="00EE2501">
              <w:rPr>
                <w:rFonts w:eastAsia="TimesNewRoman" w:cs="TimesNewRoman"/>
                <w:sz w:val="20"/>
                <w:szCs w:val="20"/>
              </w:rPr>
              <w:t>Use in patients with elevated transaminases</w:t>
            </w:r>
          </w:p>
        </w:tc>
        <w:tc>
          <w:tcPr>
            <w:tcW w:w="993" w:type="dxa"/>
          </w:tcPr>
          <w:p w14:paraId="3E27CC53"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17D65BF4"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993" w:type="dxa"/>
          </w:tcPr>
          <w:p w14:paraId="15926447"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2C1DB9F5" w14:textId="77777777" w:rsidR="00EE2501" w:rsidRPr="00EE2501" w:rsidRDefault="00EE2501" w:rsidP="00412140">
            <w:pPr>
              <w:pStyle w:val="Tabletext"/>
              <w:keepNext/>
              <w:ind w:left="0" w:right="0"/>
              <w:jc w:val="center"/>
              <w:rPr>
                <w:sz w:val="20"/>
                <w:szCs w:val="20"/>
              </w:rPr>
            </w:pPr>
            <w:r w:rsidRPr="00EE2501">
              <w:rPr>
                <w:sz w:val="20"/>
                <w:szCs w:val="20"/>
              </w:rPr>
              <w:t>–</w:t>
            </w:r>
          </w:p>
        </w:tc>
      </w:tr>
      <w:tr w:rsidR="00EE2501" w:rsidRPr="00EE2501" w14:paraId="4252A332" w14:textId="77777777" w:rsidTr="00223C03">
        <w:trPr>
          <w:trHeight w:val="206"/>
        </w:trPr>
        <w:tc>
          <w:tcPr>
            <w:tcW w:w="564" w:type="dxa"/>
            <w:vMerge/>
          </w:tcPr>
          <w:p w14:paraId="6FF6099E" w14:textId="77777777" w:rsidR="00EE2501" w:rsidRPr="00EE2501" w:rsidRDefault="00EE2501" w:rsidP="00412140">
            <w:pPr>
              <w:pStyle w:val="Tabletext"/>
              <w:keepNext/>
              <w:ind w:left="0" w:right="0"/>
              <w:rPr>
                <w:sz w:val="20"/>
                <w:szCs w:val="20"/>
              </w:rPr>
            </w:pPr>
          </w:p>
        </w:tc>
        <w:tc>
          <w:tcPr>
            <w:tcW w:w="3513" w:type="dxa"/>
          </w:tcPr>
          <w:p w14:paraId="4CDBE3B1" w14:textId="77777777" w:rsidR="00EE2501" w:rsidRPr="00EE2501" w:rsidRDefault="00EE2501" w:rsidP="00412140">
            <w:pPr>
              <w:keepNext/>
              <w:ind w:left="0" w:right="0"/>
              <w:rPr>
                <w:sz w:val="20"/>
                <w:szCs w:val="20"/>
              </w:rPr>
            </w:pPr>
            <w:r w:rsidRPr="00EE2501">
              <w:rPr>
                <w:rFonts w:eastAsia="TimesNewRoman" w:cs="TimesNewRoman"/>
                <w:sz w:val="20"/>
                <w:szCs w:val="20"/>
              </w:rPr>
              <w:t>Use in patients with malignancy</w:t>
            </w:r>
          </w:p>
        </w:tc>
        <w:tc>
          <w:tcPr>
            <w:tcW w:w="993" w:type="dxa"/>
          </w:tcPr>
          <w:p w14:paraId="2ABAC95B"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75" w:type="dxa"/>
          </w:tcPr>
          <w:p w14:paraId="5ACB698B" w14:textId="77777777" w:rsidR="00EE2501" w:rsidRPr="00EE2501" w:rsidRDefault="00EE2501" w:rsidP="00412140">
            <w:pPr>
              <w:pStyle w:val="Tabletext"/>
              <w:keepNext/>
              <w:ind w:left="0" w:right="0"/>
              <w:jc w:val="center"/>
              <w:rPr>
                <w:sz w:val="20"/>
                <w:szCs w:val="20"/>
              </w:rPr>
            </w:pPr>
            <w:r w:rsidRPr="00EE2501">
              <w:rPr>
                <w:sz w:val="20"/>
                <w:szCs w:val="20"/>
              </w:rPr>
              <w:t>–</w:t>
            </w:r>
          </w:p>
        </w:tc>
        <w:tc>
          <w:tcPr>
            <w:tcW w:w="993" w:type="dxa"/>
          </w:tcPr>
          <w:p w14:paraId="489CF042" w14:textId="77777777" w:rsidR="00EE2501" w:rsidRPr="00EE2501" w:rsidRDefault="00EE2501" w:rsidP="00412140">
            <w:pPr>
              <w:pStyle w:val="Tabletext"/>
              <w:keepNext/>
              <w:ind w:left="0" w:right="0"/>
              <w:jc w:val="center"/>
              <w:rPr>
                <w:sz w:val="20"/>
                <w:szCs w:val="20"/>
              </w:rPr>
            </w:pPr>
            <w:r w:rsidRPr="00EE2501">
              <w:rPr>
                <w:sz w:val="20"/>
                <w:szCs w:val="20"/>
              </w:rPr>
              <w:sym w:font="Wingdings" w:char="F0FC"/>
            </w:r>
          </w:p>
        </w:tc>
        <w:tc>
          <w:tcPr>
            <w:tcW w:w="1207" w:type="dxa"/>
          </w:tcPr>
          <w:p w14:paraId="47B9E9FE" w14:textId="77777777" w:rsidR="00EE2501" w:rsidRPr="00EE2501" w:rsidRDefault="00EE2501" w:rsidP="00412140">
            <w:pPr>
              <w:pStyle w:val="Tabletext"/>
              <w:keepNext/>
              <w:ind w:left="0" w:right="0"/>
              <w:jc w:val="center"/>
              <w:rPr>
                <w:sz w:val="20"/>
                <w:szCs w:val="20"/>
              </w:rPr>
            </w:pPr>
            <w:r w:rsidRPr="00EE2501">
              <w:rPr>
                <w:sz w:val="20"/>
                <w:szCs w:val="20"/>
              </w:rPr>
              <w:t>–</w:t>
            </w:r>
          </w:p>
        </w:tc>
      </w:tr>
    </w:tbl>
    <w:p w14:paraId="774B7A8B" w14:textId="0A708605" w:rsidR="00EE2501" w:rsidRPr="00704FE3" w:rsidRDefault="00285A20" w:rsidP="00285A20">
      <w:pPr>
        <w:pStyle w:val="TableDescription"/>
      </w:pPr>
      <w:r w:rsidRPr="00285A20">
        <w:rPr>
          <w:snapToGrid w:val="0"/>
        </w:rPr>
        <w:t>1)</w:t>
      </w:r>
      <w:r>
        <w:rPr>
          <w:snapToGrid w:val="0"/>
        </w:rPr>
        <w:t xml:space="preserve"> </w:t>
      </w:r>
      <w:r w:rsidR="003F1EF8">
        <w:rPr>
          <w:snapToGrid w:val="0"/>
        </w:rPr>
        <w:t xml:space="preserve">Clinical trial. </w:t>
      </w:r>
      <w:r w:rsidR="00EE2501" w:rsidRPr="001120D9">
        <w:rPr>
          <w:snapToGrid w:val="0"/>
        </w:rPr>
        <w:t>2</w:t>
      </w:r>
      <w:r>
        <w:rPr>
          <w:snapToGrid w:val="0"/>
        </w:rPr>
        <w:t xml:space="preserve">) </w:t>
      </w:r>
      <w:r w:rsidR="00EE2501" w:rsidRPr="00EE2501">
        <w:rPr>
          <w:snapToGrid w:val="0"/>
        </w:rPr>
        <w:t>PASS</w:t>
      </w:r>
      <w:r w:rsidR="003F1EF8">
        <w:rPr>
          <w:snapToGrid w:val="0"/>
        </w:rPr>
        <w:t xml:space="preserve">. </w:t>
      </w:r>
      <w:r w:rsidR="00EE2501" w:rsidRPr="001120D9">
        <w:rPr>
          <w:snapToGrid w:val="0"/>
        </w:rPr>
        <w:t>3</w:t>
      </w:r>
      <w:r>
        <w:rPr>
          <w:snapToGrid w:val="0"/>
        </w:rPr>
        <w:t xml:space="preserve">) </w:t>
      </w:r>
      <w:r w:rsidR="003F1EF8">
        <w:rPr>
          <w:snapToGrid w:val="0"/>
        </w:rPr>
        <w:t xml:space="preserve">Pregnancy registry. </w:t>
      </w:r>
      <w:r w:rsidR="00EE2501" w:rsidRPr="001120D9">
        <w:rPr>
          <w:snapToGrid w:val="0"/>
        </w:rPr>
        <w:t>4</w:t>
      </w:r>
      <w:r>
        <w:rPr>
          <w:snapToGrid w:val="0"/>
        </w:rPr>
        <w:t xml:space="preserve">) </w:t>
      </w:r>
      <w:r w:rsidR="003F1EF8">
        <w:rPr>
          <w:snapToGrid w:val="0"/>
        </w:rPr>
        <w:t>Prescriber information Pack</w:t>
      </w:r>
      <w:proofErr w:type="gramStart"/>
      <w:r w:rsidR="003F1EF8">
        <w:rPr>
          <w:snapToGrid w:val="0"/>
          <w:vertAlign w:val="superscript"/>
        </w:rPr>
        <w:t>.</w:t>
      </w:r>
      <w:r w:rsidR="003F1EF8">
        <w:rPr>
          <w:snapToGrid w:val="0"/>
        </w:rPr>
        <w:t>.</w:t>
      </w:r>
      <w:proofErr w:type="gramEnd"/>
      <w:r w:rsidR="001120D9">
        <w:rPr>
          <w:snapToGrid w:val="0"/>
        </w:rPr>
        <w:t xml:space="preserve"> </w:t>
      </w:r>
      <w:r w:rsidR="00EE2501" w:rsidRPr="001120D9">
        <w:rPr>
          <w:snapToGrid w:val="0"/>
        </w:rPr>
        <w:t>5</w:t>
      </w:r>
      <w:r>
        <w:rPr>
          <w:snapToGrid w:val="0"/>
        </w:rPr>
        <w:t xml:space="preserve">) </w:t>
      </w:r>
      <w:r w:rsidR="003F1EF8">
        <w:rPr>
          <w:snapToGrid w:val="0"/>
        </w:rPr>
        <w:t xml:space="preserve">Patient Alert Card. </w:t>
      </w:r>
      <w:r w:rsidR="00EE2501" w:rsidRPr="001120D9">
        <w:rPr>
          <w:snapToGrid w:val="0"/>
        </w:rPr>
        <w:t>6</w:t>
      </w:r>
      <w:r>
        <w:rPr>
          <w:snapToGrid w:val="0"/>
        </w:rPr>
        <w:t>)</w:t>
      </w:r>
      <w:r w:rsidR="00EE2501" w:rsidRPr="00EE2501">
        <w:rPr>
          <w:snapToGrid w:val="0"/>
        </w:rPr>
        <w:t xml:space="preserve"> EU based survey for gastroenterolog</w:t>
      </w:r>
      <w:r w:rsidR="003F1EF8">
        <w:rPr>
          <w:snapToGrid w:val="0"/>
        </w:rPr>
        <w:t>ists.</w:t>
      </w:r>
      <w:r w:rsidR="00EE2501" w:rsidRPr="00EE2501">
        <w:rPr>
          <w:snapToGrid w:val="0"/>
        </w:rPr>
        <w:t xml:space="preserve"> </w:t>
      </w:r>
      <w:r w:rsidR="00EE2501" w:rsidRPr="001120D9">
        <w:rPr>
          <w:snapToGrid w:val="0"/>
        </w:rPr>
        <w:t>7</w:t>
      </w:r>
      <w:r>
        <w:rPr>
          <w:snapToGrid w:val="0"/>
        </w:rPr>
        <w:t xml:space="preserve">) </w:t>
      </w:r>
      <w:r w:rsidR="00EE2501" w:rsidRPr="00EE2501">
        <w:rPr>
          <w:snapToGrid w:val="0"/>
          <w:vertAlign w:val="superscript"/>
        </w:rPr>
        <w:t xml:space="preserve"> </w:t>
      </w:r>
      <w:r w:rsidR="00EE2501" w:rsidRPr="00EE2501">
        <w:rPr>
          <w:snapToGrid w:val="0"/>
        </w:rPr>
        <w:t>Active surveillance study</w:t>
      </w:r>
      <w:r w:rsidR="003F1EF8">
        <w:rPr>
          <w:snapToGrid w:val="0"/>
        </w:rPr>
        <w:t>. JIA = juvenile idiopathic arthritis, IBD = inflammatory bowel disease.</w:t>
      </w:r>
      <w:r w:rsidR="00223C03">
        <w:rPr>
          <w:snapToGrid w:val="0"/>
        </w:rPr>
        <w:t xml:space="preserve"> </w:t>
      </w:r>
      <w:r w:rsidR="00480BCB">
        <w:t>Green</w:t>
      </w:r>
      <w:r w:rsidR="00EE2501" w:rsidRPr="00704FE3">
        <w:t xml:space="preserve"> highlighted text show</w:t>
      </w:r>
      <w:r w:rsidR="00704FE3">
        <w:t>s</w:t>
      </w:r>
      <w:r w:rsidR="00EE2501" w:rsidRPr="00704FE3">
        <w:t xml:space="preserve"> the safety concerns that are specific to the ASA</w:t>
      </w:r>
      <w:r w:rsidR="00704FE3">
        <w:t xml:space="preserve">. </w:t>
      </w:r>
      <w:r w:rsidR="00EE2501" w:rsidRPr="00704FE3">
        <w:t>Blue highlighted text show</w:t>
      </w:r>
      <w:r w:rsidR="00704FE3">
        <w:t>s</w:t>
      </w:r>
      <w:r w:rsidR="00EE2501" w:rsidRPr="00704FE3">
        <w:t xml:space="preserve"> the safety concerns that are currently only specific for the EU-RMP</w:t>
      </w:r>
      <w:r w:rsidR="00704FE3">
        <w:t xml:space="preserve">. </w:t>
      </w:r>
      <w:r w:rsidR="00EE2501" w:rsidRPr="00704FE3">
        <w:t>Round 2 update – the sponsor has agreed to add these safety concerns to the next ASA revision but has not yet provided an updated ASA.</w:t>
      </w:r>
    </w:p>
    <w:p w14:paraId="25A92E58" w14:textId="77777777" w:rsidR="00EF6A50" w:rsidRPr="0092722A" w:rsidRDefault="00EF6A50" w:rsidP="005A7777">
      <w:pPr>
        <w:pStyle w:val="ListBullet"/>
      </w:pPr>
      <w:r w:rsidRPr="0092722A">
        <w:t xml:space="preserve">The </w:t>
      </w:r>
      <w:r>
        <w:t xml:space="preserve">sponsor has agreed to update the </w:t>
      </w:r>
      <w:r w:rsidRPr="0092722A">
        <w:t xml:space="preserve">summary of safety concerns for Australia to </w:t>
      </w:r>
      <w:r>
        <w:t>include</w:t>
      </w:r>
      <w:r w:rsidRPr="0092722A">
        <w:t xml:space="preserve"> all </w:t>
      </w:r>
      <w:r>
        <w:t xml:space="preserve">safety </w:t>
      </w:r>
      <w:r w:rsidRPr="0092722A">
        <w:t>concerns included in the EU-RMP</w:t>
      </w:r>
      <w:r w:rsidR="0024469A">
        <w:t>.</w:t>
      </w:r>
    </w:p>
    <w:p w14:paraId="6663A595" w14:textId="77777777" w:rsidR="00EF6A50" w:rsidRPr="00102726" w:rsidRDefault="00EF6A50" w:rsidP="005A7777">
      <w:pPr>
        <w:pStyle w:val="ListBullet"/>
      </w:pPr>
      <w:r w:rsidRPr="009E52E9">
        <w:t xml:space="preserve">The additional pharmacovigilance activities are acceptable for the proposed extension of </w:t>
      </w:r>
      <w:r w:rsidRPr="00102726">
        <w:t>indication.</w:t>
      </w:r>
    </w:p>
    <w:p w14:paraId="17D42723" w14:textId="77777777" w:rsidR="00EF6A50" w:rsidRPr="00102726" w:rsidRDefault="00EF6A50" w:rsidP="005A7777">
      <w:pPr>
        <w:pStyle w:val="ListBullet"/>
      </w:pPr>
      <w:r w:rsidRPr="00102726">
        <w:lastRenderedPageBreak/>
        <w:t xml:space="preserve">The proposed range of additional risk minimisation activities is consistent with what has previously been agreed for this product, and remains acceptable. </w:t>
      </w:r>
      <w:r>
        <w:t>The sponsor has agreed with the RMP evaluator’s recommendation to develop stand-alone risk minimisation materials (prescriber’s guide, patient guide, medical alert card and health practitioner’s guide for non-prescribing healthcare professionals) for the ulcerative colitis indication.</w:t>
      </w:r>
    </w:p>
    <w:p w14:paraId="40EE33AB" w14:textId="77777777" w:rsidR="00456765" w:rsidRDefault="00456765" w:rsidP="00456765">
      <w:pPr>
        <w:pStyle w:val="Heading4"/>
      </w:pPr>
      <w:r>
        <w:t>New and outstanding recommendations from second round evaluation</w:t>
      </w:r>
      <w:bookmarkEnd w:id="219"/>
    </w:p>
    <w:p w14:paraId="0D410BAE" w14:textId="77777777" w:rsidR="00EF6A50" w:rsidRPr="006848E3" w:rsidRDefault="00EF6A50" w:rsidP="005D1B60">
      <w:r w:rsidRPr="006848E3">
        <w:t>The sponsor has committed to provide the following to the TGA:</w:t>
      </w:r>
    </w:p>
    <w:p w14:paraId="1369BC8C" w14:textId="77777777" w:rsidR="00EF6A50" w:rsidRPr="006848E3" w:rsidRDefault="00EF6A50" w:rsidP="005D1B60">
      <w:pPr>
        <w:pStyle w:val="ListBullet"/>
      </w:pPr>
      <w:r w:rsidRPr="006848E3">
        <w:t>An updated ASA that includes the following additional information or amendments:</w:t>
      </w:r>
    </w:p>
    <w:p w14:paraId="5A731263" w14:textId="77777777" w:rsidR="00EF6A50" w:rsidRPr="006848E3" w:rsidRDefault="00EF6A50" w:rsidP="005D1B60">
      <w:pPr>
        <w:pStyle w:val="ListBullet2"/>
      </w:pPr>
      <w:r w:rsidRPr="006848E3">
        <w:t>The safety concerns that are included in the EU-RMP, as specified;</w:t>
      </w:r>
    </w:p>
    <w:p w14:paraId="0B953D67" w14:textId="77777777" w:rsidR="005F7896" w:rsidRDefault="003F1EF8" w:rsidP="005D1B60">
      <w:pPr>
        <w:pStyle w:val="ListBullet2"/>
      </w:pPr>
      <w:r>
        <w:t>C</w:t>
      </w:r>
      <w:r w:rsidR="00EF6A50" w:rsidRPr="006848E3">
        <w:t>onsolidating the various versions of the ASAs into a single ASA to ensure adequate version control and to cover all indications</w:t>
      </w:r>
      <w:r w:rsidR="005F7896">
        <w:t>;</w:t>
      </w:r>
    </w:p>
    <w:p w14:paraId="77615F4C" w14:textId="77777777" w:rsidR="00EF6A50" w:rsidRPr="006848E3" w:rsidRDefault="00EF6A50" w:rsidP="005D1B60">
      <w:pPr>
        <w:pStyle w:val="ListBullet2"/>
      </w:pPr>
      <w:r w:rsidRPr="006848E3">
        <w:t>Submission dates for clinical study reports; and</w:t>
      </w:r>
    </w:p>
    <w:p w14:paraId="6D91E05E" w14:textId="77777777" w:rsidR="00EF6A50" w:rsidRPr="006848E3" w:rsidRDefault="00EF6A50" w:rsidP="005D1B60">
      <w:pPr>
        <w:pStyle w:val="ListBullet2"/>
      </w:pPr>
      <w:r w:rsidRPr="006848E3">
        <w:t>Including additional information regarding the tracking and reporting of distribution of educational materials in the updated ASA.</w:t>
      </w:r>
    </w:p>
    <w:p w14:paraId="1059566F" w14:textId="77777777" w:rsidR="00EF6A50" w:rsidRPr="006848E3" w:rsidRDefault="00EF6A50" w:rsidP="005D1B60">
      <w:pPr>
        <w:pStyle w:val="ListBullet"/>
      </w:pPr>
      <w:r w:rsidRPr="006848E3">
        <w:t>Revised educational materials prior to distribution (see Recommendation 8).</w:t>
      </w:r>
    </w:p>
    <w:p w14:paraId="4E55A389" w14:textId="77777777" w:rsidR="00EF6A50" w:rsidRPr="006848E3" w:rsidRDefault="00EF6A50" w:rsidP="005D1B60">
      <w:pPr>
        <w:pStyle w:val="ListBullet"/>
      </w:pPr>
      <w:r w:rsidRPr="006848E3">
        <w:t xml:space="preserve">The following separate educational materials to serve as stand-alone risk minimisation activities for </w:t>
      </w:r>
      <w:r w:rsidR="00223C03">
        <w:t>UC</w:t>
      </w:r>
      <w:r w:rsidRPr="006848E3">
        <w:t>:</w:t>
      </w:r>
    </w:p>
    <w:p w14:paraId="466F95FC" w14:textId="77777777" w:rsidR="00EF6A50" w:rsidRPr="006848E3" w:rsidRDefault="00EF6A50" w:rsidP="005D1B60">
      <w:pPr>
        <w:pStyle w:val="ListBullet2"/>
        <w:rPr>
          <w:snapToGrid w:val="0"/>
        </w:rPr>
      </w:pPr>
      <w:r w:rsidRPr="006848E3">
        <w:rPr>
          <w:snapToGrid w:val="0"/>
        </w:rPr>
        <w:t>Prescriber’s Guide</w:t>
      </w:r>
    </w:p>
    <w:p w14:paraId="41D9CEDF" w14:textId="77777777" w:rsidR="00EF6A50" w:rsidRPr="006848E3" w:rsidRDefault="00EF6A50" w:rsidP="005D1B60">
      <w:pPr>
        <w:pStyle w:val="ListBullet2"/>
        <w:rPr>
          <w:snapToGrid w:val="0"/>
        </w:rPr>
      </w:pPr>
      <w:r w:rsidRPr="006848E3">
        <w:rPr>
          <w:snapToGrid w:val="0"/>
        </w:rPr>
        <w:t>Patient Guide</w:t>
      </w:r>
    </w:p>
    <w:p w14:paraId="5BE2112F" w14:textId="77777777" w:rsidR="00EF6A50" w:rsidRPr="006848E3" w:rsidRDefault="00EF6A50" w:rsidP="005D1B60">
      <w:pPr>
        <w:pStyle w:val="ListBullet2"/>
        <w:rPr>
          <w:snapToGrid w:val="0"/>
        </w:rPr>
      </w:pPr>
      <w:r w:rsidRPr="006848E3">
        <w:rPr>
          <w:snapToGrid w:val="0"/>
        </w:rPr>
        <w:t>Medical Alert Card</w:t>
      </w:r>
    </w:p>
    <w:p w14:paraId="0ABA1F8E" w14:textId="351C90D5" w:rsidR="00EF6A50" w:rsidRPr="006848E3" w:rsidRDefault="00EF6A50" w:rsidP="005D1B60">
      <w:pPr>
        <w:pStyle w:val="ListBullet2"/>
      </w:pPr>
      <w:r w:rsidRPr="006848E3">
        <w:t>Healthcare Practitioner’s Guide</w:t>
      </w:r>
    </w:p>
    <w:p w14:paraId="21593825" w14:textId="77777777" w:rsidR="005D1B60" w:rsidRDefault="005D1B60" w:rsidP="005D1B60">
      <w:pPr>
        <w:pStyle w:val="Heading5"/>
      </w:pPr>
      <w:r>
        <w:t>Recommendation 7</w:t>
      </w:r>
    </w:p>
    <w:p w14:paraId="76CBA7B3" w14:textId="77777777" w:rsidR="00EF6A50" w:rsidRPr="006848E3" w:rsidRDefault="00EF6A50" w:rsidP="005D1B60">
      <w:r w:rsidRPr="006848E3">
        <w:t xml:space="preserve">This is an outstanding recommendation from the </w:t>
      </w:r>
      <w:r w:rsidR="003F1EF8">
        <w:t>first round</w:t>
      </w:r>
      <w:r w:rsidRPr="006848E3">
        <w:t xml:space="preserve"> evaluation report. The sponsor should describe the target number/percentage of gastroenterologists that will represent successful distribution of the risk minimisation materials (which should be the vast majority of gastroenterologists likely to treat patients with ulcerative colitis), how it will determine that it has achieved this target, and the timing of mail</w:t>
      </w:r>
      <w:r w:rsidR="00225681">
        <w:t xml:space="preserve"> </w:t>
      </w:r>
      <w:r w:rsidRPr="006848E3">
        <w:t>out(s) to prescribers. The sponsor should explain whether its existing database includes all gastroenterologists, and how it ensures that this list is complete and updated. The sponsor should also describe the health professional groups that are the target audience for the healthcare practitioner guide for non-prescribers, how the guide will be distributed to them, and how the sponsor will determine that it has achieved adequate distribution. The sponsor should also describe how it will determine that it has achieved adequate distribution of the materials for patients. The sponsor need not report to the TGA the number of attendees at educational meetings, as educational meetings are not considered to be part of the risk minimisation plan.</w:t>
      </w:r>
    </w:p>
    <w:p w14:paraId="7DED6A12" w14:textId="77777777" w:rsidR="005D1B60" w:rsidRDefault="005D1B60" w:rsidP="005D1B60">
      <w:pPr>
        <w:pStyle w:val="Heading5"/>
      </w:pPr>
      <w:r>
        <w:t>Recommendation 8</w:t>
      </w:r>
    </w:p>
    <w:p w14:paraId="180B320C" w14:textId="77777777" w:rsidR="00EF6A50" w:rsidRPr="006848E3" w:rsidRDefault="00EF6A50" w:rsidP="005D1B60">
      <w:r w:rsidRPr="006848E3">
        <w:t xml:space="preserve">This is an outstanding recommendation from the </w:t>
      </w:r>
      <w:r w:rsidR="003F1EF8">
        <w:t>first round</w:t>
      </w:r>
      <w:r w:rsidRPr="006848E3">
        <w:t xml:space="preserve"> evaluation report. The sponsor has committed to providing updated educational material to the TGA prior to distribution. The sponsor should provide the materials to the TGA at least 6 weeks prior to the launch of the new indication and/or the start of the product familiarisation program and patient support program, whichever is earliest.</w:t>
      </w:r>
    </w:p>
    <w:p w14:paraId="008BB36E" w14:textId="77777777" w:rsidR="005D1B60" w:rsidRDefault="005D1B60" w:rsidP="005D1B60">
      <w:pPr>
        <w:pStyle w:val="Heading5"/>
      </w:pPr>
      <w:r>
        <w:lastRenderedPageBreak/>
        <w:t>Recommendation 9</w:t>
      </w:r>
    </w:p>
    <w:p w14:paraId="0A6F37DD" w14:textId="77777777" w:rsidR="00EF6A50" w:rsidRPr="006848E3" w:rsidRDefault="00EF6A50" w:rsidP="005D1B60">
      <w:r w:rsidRPr="006848E3">
        <w:t xml:space="preserve">This is an outstanding recommendation from the </w:t>
      </w:r>
      <w:r w:rsidR="00184E86">
        <w:t>first round</w:t>
      </w:r>
      <w:r w:rsidRPr="006848E3">
        <w:t xml:space="preserve"> evaluation report. The sponsor commits to providing stand-alone additional risk minimisation activities for </w:t>
      </w:r>
      <w:r w:rsidR="00184E86">
        <w:t>UC</w:t>
      </w:r>
      <w:r w:rsidRPr="006848E3">
        <w:t>, and providing these to the TGA prior to distribution. The sponsor should provide this at least 6 weeks prior to the launch of the new indication and/or the start of the product familiarisation program and patient support program, whichever is earliest.</w:t>
      </w:r>
    </w:p>
    <w:p w14:paraId="67BED5E7" w14:textId="77777777" w:rsidR="005D1B60" w:rsidRDefault="005D1B60" w:rsidP="005D1B60">
      <w:pPr>
        <w:pStyle w:val="Heading5"/>
      </w:pPr>
      <w:r>
        <w:t>Recommendation 12</w:t>
      </w:r>
    </w:p>
    <w:p w14:paraId="1F20E23D" w14:textId="77777777" w:rsidR="00EF6A50" w:rsidRPr="006848E3" w:rsidRDefault="00EF6A50" w:rsidP="005D1B60">
      <w:r w:rsidRPr="006848E3">
        <w:t>The sponsor should provide the updated ASA to the TGA within three months of approval.</w:t>
      </w:r>
    </w:p>
    <w:p w14:paraId="4B93FBC0" w14:textId="77777777" w:rsidR="005D1B60" w:rsidRDefault="005D1B60" w:rsidP="005D1B60">
      <w:pPr>
        <w:pStyle w:val="Heading5"/>
      </w:pPr>
      <w:r>
        <w:t>Recommendation 13</w:t>
      </w:r>
    </w:p>
    <w:p w14:paraId="072DDA6E" w14:textId="77777777" w:rsidR="00456765" w:rsidRDefault="00EF6A50" w:rsidP="005D1B60">
      <w:r w:rsidRPr="006848E3">
        <w:t>The FDA has require</w:t>
      </w:r>
      <w:r w:rsidR="00184E86">
        <w:t xml:space="preserve">d the sponsor to conduct a long </w:t>
      </w:r>
      <w:r w:rsidRPr="006848E3">
        <w:t>term, observational st</w:t>
      </w:r>
      <w:r w:rsidR="00184E86">
        <w:t xml:space="preserve">udy to assess the long </w:t>
      </w:r>
      <w:r w:rsidRPr="006848E3">
        <w:t xml:space="preserve">term safety of </w:t>
      </w:r>
      <w:proofErr w:type="spellStart"/>
      <w:r w:rsidRPr="006848E3">
        <w:t>tofacitinib</w:t>
      </w:r>
      <w:proofErr w:type="spellEnd"/>
      <w:r w:rsidRPr="006848E3">
        <w:t xml:space="preserve"> 5</w:t>
      </w:r>
      <w:r w:rsidR="00412140">
        <w:t xml:space="preserve"> </w:t>
      </w:r>
      <w:r w:rsidRPr="006848E3">
        <w:t>mg B</w:t>
      </w:r>
      <w:r w:rsidR="00184E86">
        <w:t>I</w:t>
      </w:r>
      <w:r w:rsidRPr="006848E3">
        <w:t>D or 10</w:t>
      </w:r>
      <w:r w:rsidR="00412140">
        <w:t xml:space="preserve"> </w:t>
      </w:r>
      <w:r w:rsidRPr="006848E3">
        <w:t>mg B</w:t>
      </w:r>
      <w:r w:rsidR="00184E86">
        <w:t>I</w:t>
      </w:r>
      <w:r w:rsidRPr="006848E3">
        <w:t>D versus other therapies used in the treatment of adults with moderately to severely active ulcerative colitis where the primary outcome of the study is malignancy. The sponsor is required by the FDA to submit a protocol for this study to the FDA by September 2018, with the final study report due in June 2026. This study should also be included as an additional pharmacovigilance activity in the ASA. The RMP/ASA revised with interim and final study outcomes should be submitted to the TGA when available.</w:t>
      </w:r>
    </w:p>
    <w:p w14:paraId="05217419" w14:textId="77777777" w:rsidR="00456765" w:rsidRPr="00BB4B51" w:rsidRDefault="00456765" w:rsidP="00456765">
      <w:pPr>
        <w:pStyle w:val="Heading4"/>
      </w:pPr>
      <w:bookmarkStart w:id="221" w:name="_Toc477354124"/>
      <w:r>
        <w:t>Proposed wording for conditions of registration</w:t>
      </w:r>
      <w:bookmarkEnd w:id="221"/>
    </w:p>
    <w:p w14:paraId="6F6F9728" w14:textId="77777777" w:rsidR="005F7896" w:rsidRPr="0024469A" w:rsidRDefault="00EF6A50" w:rsidP="0024469A">
      <w:pPr>
        <w:ind w:left="720"/>
      </w:pPr>
      <w:r w:rsidRPr="0024469A">
        <w:t xml:space="preserve">The </w:t>
      </w:r>
      <w:proofErr w:type="spellStart"/>
      <w:r w:rsidRPr="0024469A">
        <w:t>Xeljanz</w:t>
      </w:r>
      <w:proofErr w:type="spellEnd"/>
      <w:r w:rsidRPr="0024469A">
        <w:t xml:space="preserve"> EU-Risk Management Plan (RMP) (version 2.0, dated 20 June 2017, data lock point 16 December 2017), with Australian Specific Annex (version 1.0, dated 1 December 2017), included with submission PM-2017-04764-1-1, to be revised to the satisfaction of the TGA, will be implemented in Australia</w:t>
      </w:r>
      <w:r w:rsidR="005F7896" w:rsidRPr="0024469A">
        <w:t>.</w:t>
      </w:r>
    </w:p>
    <w:p w14:paraId="2706BC97" w14:textId="77777777" w:rsidR="00EF6A50" w:rsidRPr="0092181D" w:rsidRDefault="00EF6A50" w:rsidP="00EF6A50">
      <w:pPr>
        <w:pStyle w:val="Standard"/>
      </w:pPr>
      <w:r w:rsidRPr="0092181D">
        <w:t xml:space="preserve">The following wording is recommended for the PSUR requirement </w:t>
      </w:r>
      <w:r w:rsidR="006C148C">
        <w:t>(</w:t>
      </w:r>
      <w:r w:rsidRPr="0092181D">
        <w:t>two options, depending on whether we are aligning with EU reporting dates</w:t>
      </w:r>
      <w:r w:rsidR="006C148C">
        <w:t>)</w:t>
      </w:r>
      <w:r w:rsidRPr="0092181D">
        <w:t>:</w:t>
      </w:r>
    </w:p>
    <w:p w14:paraId="487DA56D" w14:textId="77777777" w:rsidR="00EF6A50" w:rsidRPr="0092181D" w:rsidRDefault="00EF6A50" w:rsidP="0024469A">
      <w:pPr>
        <w:ind w:left="720"/>
      </w:pPr>
      <w:r w:rsidRPr="0092181D">
        <w:t xml:space="preserve">An obligatory component of risk management plans is routine pharmacovigilance. Routine pharmacovigilance includes the submission of Periodic Safety Update Reports (PSURs). </w:t>
      </w:r>
      <w:r w:rsidR="006C148C">
        <w:t>(</w:t>
      </w:r>
      <w:proofErr w:type="gramStart"/>
      <w:r w:rsidRPr="0092181D">
        <w:t>insert</w:t>
      </w:r>
      <w:proofErr w:type="gramEnd"/>
      <w:r w:rsidRPr="0092181D">
        <w:t xml:space="preserve"> option 1 or 2, below</w:t>
      </w:r>
      <w:r w:rsidR="006C148C">
        <w:t>)</w:t>
      </w:r>
      <w:r w:rsidRPr="0092181D">
        <w:t>.</w:t>
      </w:r>
    </w:p>
    <w:p w14:paraId="174025C2" w14:textId="77777777" w:rsidR="005F7896" w:rsidRDefault="00EF6A50" w:rsidP="0024469A">
      <w:pPr>
        <w:ind w:left="720"/>
      </w:pPr>
      <w:r w:rsidRPr="0092181D">
        <w:t>Reports are to be provided in line with the current published list of EU reference dates and frequency of submission of PSURs until the period covered by such reports is not less than three years from the date of this approval letter</w:t>
      </w:r>
      <w:r w:rsidR="005F7896">
        <w:t>.</w:t>
      </w:r>
    </w:p>
    <w:p w14:paraId="12F5512E" w14:textId="77777777" w:rsidR="005F7896" w:rsidRDefault="00EF6A50" w:rsidP="0024469A">
      <w:pPr>
        <w:ind w:left="720"/>
      </w:pPr>
      <w:r w:rsidRPr="0092181D">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r w:rsidR="005F7896">
        <w:t>.</w:t>
      </w:r>
    </w:p>
    <w:p w14:paraId="6838130C" w14:textId="77777777" w:rsidR="00EF6A50" w:rsidRPr="0024469A" w:rsidRDefault="00EF6A50" w:rsidP="0024469A">
      <w:r w:rsidRPr="0024469A">
        <w:t xml:space="preserve">As the indications for </w:t>
      </w:r>
      <w:proofErr w:type="spellStart"/>
      <w:r w:rsidRPr="0024469A">
        <w:t>Xeljanz</w:t>
      </w:r>
      <w:proofErr w:type="spellEnd"/>
      <w:r w:rsidRPr="0024469A">
        <w:t xml:space="preserve"> are being extended into a significantly different population and/or disease/condition it should be included in the Black Triangle Scheme as a condition of registration. The following wording is recommended for the condition of registration:</w:t>
      </w:r>
    </w:p>
    <w:p w14:paraId="4A3F9C2F" w14:textId="77777777" w:rsidR="00456765" w:rsidRPr="0024469A" w:rsidRDefault="00EF6A50" w:rsidP="0024469A">
      <w:pPr>
        <w:ind w:left="720"/>
      </w:pPr>
      <w:proofErr w:type="spellStart"/>
      <w:r w:rsidRPr="0024469A">
        <w:t>Xeljanz</w:t>
      </w:r>
      <w:proofErr w:type="spellEnd"/>
      <w:r w:rsidR="0024469A">
        <w:t xml:space="preserve"> (</w:t>
      </w:r>
      <w:proofErr w:type="spellStart"/>
      <w:r w:rsidR="0024469A">
        <w:t>tofacitinib</w:t>
      </w:r>
      <w:proofErr w:type="spellEnd"/>
      <w:r w:rsidR="0024469A">
        <w:t>)</w:t>
      </w:r>
      <w:r w:rsidRPr="0024469A">
        <w:t xml:space="preserve"> is to be included in the Black Triangle Scheme. The PI and CMI for </w:t>
      </w:r>
      <w:proofErr w:type="spellStart"/>
      <w:r w:rsidRPr="0024469A">
        <w:t>Xeljanz</w:t>
      </w:r>
      <w:proofErr w:type="spellEnd"/>
      <w:r w:rsidRPr="0024469A">
        <w:t xml:space="preserve"> must include the black triangle symbol and mandatory accompanying text for five years, which starts from the date the new indication is registered.</w:t>
      </w:r>
    </w:p>
    <w:p w14:paraId="05579557" w14:textId="77777777" w:rsidR="008E7846" w:rsidRPr="00792A32" w:rsidRDefault="008E7846" w:rsidP="008E7846">
      <w:pPr>
        <w:pStyle w:val="Heading2"/>
      </w:pPr>
      <w:bookmarkStart w:id="222" w:name="_Toc20301910"/>
      <w:r>
        <w:lastRenderedPageBreak/>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7"/>
      <w:bookmarkEnd w:id="217"/>
      <w:bookmarkEnd w:id="218"/>
      <w:bookmarkEnd w:id="222"/>
    </w:p>
    <w:p w14:paraId="0C08CB0E" w14:textId="77777777" w:rsidR="008E7846" w:rsidRDefault="008E7846" w:rsidP="008E7846">
      <w:bookmarkStart w:id="223" w:name="_Toc247691528"/>
      <w:r>
        <w:t xml:space="preserve">The submission was summarised in the following </w:t>
      </w:r>
      <w:r w:rsidRPr="00EF5C48">
        <w:t xml:space="preserve">Delegate’s </w:t>
      </w:r>
      <w:r>
        <w:t>overview</w:t>
      </w:r>
      <w:r w:rsidRPr="00EF5C48">
        <w:t xml:space="preserve"> and recommendation</w:t>
      </w:r>
      <w:r w:rsidR="00EF6A50">
        <w:t>s.</w:t>
      </w:r>
    </w:p>
    <w:p w14:paraId="48627E26" w14:textId="77777777" w:rsidR="00EF6A50" w:rsidRDefault="00EF6A50" w:rsidP="00EF6A50">
      <w:pPr>
        <w:pStyle w:val="Heading3"/>
      </w:pPr>
      <w:bookmarkStart w:id="224" w:name="_Toc20301911"/>
      <w:r>
        <w:t>Background</w:t>
      </w:r>
      <w:bookmarkEnd w:id="224"/>
    </w:p>
    <w:p w14:paraId="058E5C23" w14:textId="77777777" w:rsidR="00EF6A50" w:rsidRPr="0024469A" w:rsidRDefault="00EF6A50" w:rsidP="0024469A">
      <w:pPr>
        <w:pStyle w:val="Heading4"/>
      </w:pPr>
      <w:r w:rsidRPr="0024469A">
        <w:t>Background on condition being treated</w:t>
      </w:r>
    </w:p>
    <w:p w14:paraId="41716682" w14:textId="764C5D20" w:rsidR="00EF6A50" w:rsidRDefault="00EF6A50" w:rsidP="0024469A">
      <w:r w:rsidRPr="007D685F">
        <w:t>UC is a chronic, relapsing, inflammatory disease of the colon characterised by alternating episodes of spontaneous remission and relapse.</w:t>
      </w:r>
      <w:r>
        <w:t xml:space="preserve"> Current treatment options for moderately to severely active UC include: corticosteroids; </w:t>
      </w:r>
      <w:proofErr w:type="spellStart"/>
      <w:r>
        <w:t>immunosuppressants</w:t>
      </w:r>
      <w:proofErr w:type="spellEnd"/>
      <w:r>
        <w:t xml:space="preserve"> such as </w:t>
      </w:r>
      <w:r w:rsidR="00184E86">
        <w:t>AZA</w:t>
      </w:r>
      <w:r>
        <w:t xml:space="preserve"> and </w:t>
      </w:r>
      <w:r w:rsidR="00184E86">
        <w:t>6</w:t>
      </w:r>
      <w:r w:rsidR="007A2D79">
        <w:noBreakHyphen/>
      </w:r>
      <w:r w:rsidR="00184E86">
        <w:t>MP</w:t>
      </w:r>
      <w:r>
        <w:t xml:space="preserve">; </w:t>
      </w:r>
      <w:proofErr w:type="spellStart"/>
      <w:r w:rsidR="00184E86">
        <w:t>TNFi</w:t>
      </w:r>
      <w:proofErr w:type="spellEnd"/>
      <w:r>
        <w:t xml:space="preserve"> such as infliximab, </w:t>
      </w:r>
      <w:proofErr w:type="spellStart"/>
      <w:r>
        <w:t>adalimumab</w:t>
      </w:r>
      <w:proofErr w:type="spellEnd"/>
      <w:r>
        <w:t xml:space="preserve"> and </w:t>
      </w:r>
      <w:proofErr w:type="spellStart"/>
      <w:r>
        <w:t>golimumab</w:t>
      </w:r>
      <w:proofErr w:type="spellEnd"/>
      <w:r>
        <w:t xml:space="preserve">; and the anti-integrin treatment, </w:t>
      </w:r>
      <w:proofErr w:type="spellStart"/>
      <w:r>
        <w:t>vedolizumab</w:t>
      </w:r>
      <w:proofErr w:type="spellEnd"/>
      <w:r>
        <w:t>.</w:t>
      </w:r>
    </w:p>
    <w:p w14:paraId="3676611E" w14:textId="77777777" w:rsidR="00EF6A50" w:rsidRDefault="00EF6A50" w:rsidP="0024469A">
      <w:r>
        <w:t>Corticosteroids are used during acute flare.</w:t>
      </w:r>
    </w:p>
    <w:p w14:paraId="76789835" w14:textId="77777777" w:rsidR="00EF6A50" w:rsidRPr="0024469A" w:rsidRDefault="00EF6A50" w:rsidP="0024469A">
      <w:proofErr w:type="spellStart"/>
      <w:r w:rsidRPr="00BF19F3">
        <w:t>Tofacitinib</w:t>
      </w:r>
      <w:proofErr w:type="spellEnd"/>
      <w:r w:rsidRPr="00BF19F3">
        <w:t xml:space="preserve"> is a </w:t>
      </w:r>
      <w:r w:rsidR="00184E86">
        <w:t>JAK</w:t>
      </w:r>
      <w:r w:rsidRPr="00BF19F3">
        <w:t xml:space="preserve"> inhibitor. JAKs are intracellular enzymes which transmit signals arising from cytokine or growth factor-receptor interactions on the cellular membrane to influence cellular processes of haematopoiesis and immune cell function.</w:t>
      </w:r>
      <w:r>
        <w:t xml:space="preserve"> </w:t>
      </w:r>
      <w:r w:rsidRPr="00BF19F3">
        <w:t xml:space="preserve">In kinase assays, </w:t>
      </w:r>
      <w:proofErr w:type="spellStart"/>
      <w:r w:rsidRPr="00BF19F3">
        <w:t>tofacitinib</w:t>
      </w:r>
      <w:proofErr w:type="spellEnd"/>
      <w:r w:rsidRPr="00BF19F3">
        <w:t xml:space="preserve">, inhibits JAK1, JAK2, JAK3, and to a lesser extent tyrosine kinase 2 (TyK2). In cellular settings where JAK kinases signal in pairs, </w:t>
      </w:r>
      <w:proofErr w:type="spellStart"/>
      <w:r w:rsidRPr="00BF19F3">
        <w:t>tofacitinib</w:t>
      </w:r>
      <w:proofErr w:type="spellEnd"/>
      <w:r w:rsidRPr="00BF19F3">
        <w:t xml:space="preserve"> preferentially inhibits signa</w:t>
      </w:r>
      <w:r>
        <w:t>l</w:t>
      </w:r>
      <w:r w:rsidRPr="00BF19F3">
        <w:t xml:space="preserve">ling by heterodimeric receptors associated with JAK3 and/or JAK1 with functional selectivity over receptors that signal via pairs of JAK2. Inhibition of JAK1 and JAK3 by </w:t>
      </w:r>
      <w:proofErr w:type="spellStart"/>
      <w:r w:rsidRPr="00BF19F3">
        <w:t>tofacitinib</w:t>
      </w:r>
      <w:proofErr w:type="spellEnd"/>
      <w:r w:rsidRPr="00BF19F3">
        <w:t xml:space="preserve"> blocks signa</w:t>
      </w:r>
      <w:r>
        <w:t>l</w:t>
      </w:r>
      <w:r w:rsidRPr="00BF19F3">
        <w:t>ling through the common gamma chain-containing receptors for several cytokines, including IL-2, -4, -7, -9, -15, and -21. These cytokines are integral to lymphocyte activation, proliferation and function, and inhibition of their signa</w:t>
      </w:r>
      <w:r>
        <w:t>l</w:t>
      </w:r>
      <w:r w:rsidRPr="00BF19F3">
        <w:t>ling may thus result in modulation of multiple aspects of the immune response. In addition, inhibition of JAK1 will result in attenuation of signa</w:t>
      </w:r>
      <w:r>
        <w:t>l</w:t>
      </w:r>
      <w:r w:rsidRPr="00BF19F3">
        <w:t>ling by additional pro-inflammatory cytokines, such as IL-6 and type I and II interferons. At higher exposures, inhibition of erythropoietin signa</w:t>
      </w:r>
      <w:r>
        <w:t>l</w:t>
      </w:r>
      <w:r w:rsidRPr="00BF19F3">
        <w:t>ling could occur via inhibition of JAK2 signa</w:t>
      </w:r>
      <w:r>
        <w:t>l</w:t>
      </w:r>
      <w:r w:rsidRPr="00BF19F3">
        <w:t>ling.</w:t>
      </w:r>
    </w:p>
    <w:p w14:paraId="0B742111" w14:textId="77777777" w:rsidR="00EF6A50" w:rsidRPr="0024469A" w:rsidRDefault="00223C03" w:rsidP="0024469A">
      <w:pPr>
        <w:pStyle w:val="Heading4"/>
      </w:pPr>
      <w:r>
        <w:t>Australian r</w:t>
      </w:r>
      <w:r w:rsidR="00EF6A50" w:rsidRPr="0024469A">
        <w:t>e</w:t>
      </w:r>
      <w:r>
        <w:t>gulatory status/</w:t>
      </w:r>
      <w:r w:rsidR="00EF6A50" w:rsidRPr="0024469A">
        <w:t>history</w:t>
      </w:r>
    </w:p>
    <w:p w14:paraId="01254DBD" w14:textId="77777777" w:rsidR="00EF6A50" w:rsidRDefault="00EF6A50" w:rsidP="0024469A">
      <w:proofErr w:type="spellStart"/>
      <w:r w:rsidRPr="007D685F">
        <w:rPr>
          <w:lang w:val="en-US"/>
        </w:rPr>
        <w:t>Tofacitinib</w:t>
      </w:r>
      <w:proofErr w:type="spellEnd"/>
      <w:r w:rsidRPr="007D685F">
        <w:rPr>
          <w:lang w:val="en-US"/>
        </w:rPr>
        <w:t xml:space="preserve"> citrate </w:t>
      </w:r>
      <w:r>
        <w:rPr>
          <w:lang w:val="en-US"/>
        </w:rPr>
        <w:t xml:space="preserve">in </w:t>
      </w:r>
      <w:r w:rsidRPr="007D685F">
        <w:rPr>
          <w:lang w:val="en-US"/>
        </w:rPr>
        <w:t>5 mg tablets w</w:t>
      </w:r>
      <w:r>
        <w:rPr>
          <w:lang w:val="en-US"/>
        </w:rPr>
        <w:t>as</w:t>
      </w:r>
      <w:r w:rsidRPr="007D685F">
        <w:rPr>
          <w:lang w:val="en-US"/>
        </w:rPr>
        <w:t xml:space="preserve"> first registered in Australia on 13 January 2015</w:t>
      </w:r>
      <w:r>
        <w:rPr>
          <w:lang w:val="en-US"/>
        </w:rPr>
        <w:t xml:space="preserve"> (Submission PM-2012-00788-3-3) for the following indication:</w:t>
      </w:r>
    </w:p>
    <w:p w14:paraId="0F2406DB" w14:textId="77777777" w:rsidR="005F7896" w:rsidRPr="00184E86" w:rsidRDefault="005F7896" w:rsidP="00184E86">
      <w:pPr>
        <w:ind w:left="720"/>
        <w:rPr>
          <w:i/>
        </w:rPr>
      </w:pPr>
      <w:proofErr w:type="spellStart"/>
      <w:r w:rsidRPr="00184E86">
        <w:rPr>
          <w:i/>
        </w:rPr>
        <w:t>Xeljanz</w:t>
      </w:r>
      <w:proofErr w:type="spellEnd"/>
      <w:r w:rsidR="00EF6A50" w:rsidRPr="00184E86">
        <w:rPr>
          <w:i/>
        </w:rPr>
        <w:t xml:space="preserve"> is indicated for the treatment of moderate to severe active rheumatoid arthritis in adults who have had an inadequate response or are intolerant to methotrexate. </w:t>
      </w:r>
      <w:proofErr w:type="spellStart"/>
      <w:r w:rsidRPr="00184E86">
        <w:rPr>
          <w:i/>
        </w:rPr>
        <w:t>Xeljanz</w:t>
      </w:r>
      <w:proofErr w:type="spellEnd"/>
      <w:r w:rsidR="00EF6A50" w:rsidRPr="00184E86">
        <w:rPr>
          <w:i/>
        </w:rPr>
        <w:t xml:space="preserve"> can be used alone or in combination with non</w:t>
      </w:r>
      <w:r w:rsidR="00225681">
        <w:rPr>
          <w:i/>
        </w:rPr>
        <w:t>-</w:t>
      </w:r>
      <w:r w:rsidR="00EF6A50" w:rsidRPr="00184E86">
        <w:rPr>
          <w:i/>
        </w:rPr>
        <w:t>biological DMARDs, including methotrexate</w:t>
      </w:r>
      <w:r w:rsidRPr="00184E86">
        <w:rPr>
          <w:i/>
        </w:rPr>
        <w:t>.</w:t>
      </w:r>
    </w:p>
    <w:p w14:paraId="7427C610" w14:textId="77777777" w:rsidR="00EF6A50" w:rsidRPr="00184E86" w:rsidRDefault="00EF6A50" w:rsidP="00184E86">
      <w:pPr>
        <w:ind w:left="720"/>
        <w:rPr>
          <w:i/>
          <w:lang w:val="en-US"/>
        </w:rPr>
      </w:pPr>
      <w:r w:rsidRPr="00184E86">
        <w:rPr>
          <w:i/>
        </w:rPr>
        <w:t xml:space="preserve">Therapy with </w:t>
      </w:r>
      <w:proofErr w:type="spellStart"/>
      <w:r w:rsidR="005F7896" w:rsidRPr="00184E86">
        <w:rPr>
          <w:i/>
        </w:rPr>
        <w:t>Xeljanz</w:t>
      </w:r>
      <w:proofErr w:type="spellEnd"/>
      <w:r w:rsidRPr="00184E86">
        <w:rPr>
          <w:i/>
        </w:rPr>
        <w:t xml:space="preserve"> should be initiated and monitored by a rheumatologist or specialist physician with expertise in the management of rheumatoid arthritis.</w:t>
      </w:r>
    </w:p>
    <w:p w14:paraId="34E65C98" w14:textId="77777777" w:rsidR="00EF6A50" w:rsidRDefault="00EF6A50" w:rsidP="0024469A">
      <w:pPr>
        <w:rPr>
          <w:lang w:val="en-US"/>
        </w:rPr>
      </w:pPr>
      <w:r>
        <w:rPr>
          <w:lang w:val="en-US"/>
        </w:rPr>
        <w:t xml:space="preserve">In the AusPAR </w:t>
      </w:r>
      <w:proofErr w:type="spellStart"/>
      <w:r>
        <w:rPr>
          <w:lang w:val="en-US"/>
        </w:rPr>
        <w:t>s</w:t>
      </w:r>
      <w:r w:rsidR="00412140">
        <w:rPr>
          <w:lang w:val="en-US"/>
        </w:rPr>
        <w:t>ummarising</w:t>
      </w:r>
      <w:proofErr w:type="spellEnd"/>
      <w:r w:rsidR="00412140">
        <w:rPr>
          <w:lang w:val="en-US"/>
        </w:rPr>
        <w:t xml:space="preserve"> that submission the D</w:t>
      </w:r>
      <w:r>
        <w:rPr>
          <w:lang w:val="en-US"/>
        </w:rPr>
        <w:t xml:space="preserve">elegate noted that there was </w:t>
      </w:r>
      <w:r w:rsidRPr="00AD0705">
        <w:rPr>
          <w:lang w:val="en-US"/>
        </w:rPr>
        <w:t>a significant increase in toxicity with increasing dose with more AEs, especially infections, risk of malignancy, gastrointestinal perforations and</w:t>
      </w:r>
      <w:r w:rsidRPr="00FD501C">
        <w:rPr>
          <w:lang w:val="en-GB"/>
        </w:rPr>
        <w:t xml:space="preserve"> dyslipidaemia</w:t>
      </w:r>
      <w:r w:rsidRPr="00AD0705">
        <w:rPr>
          <w:lang w:val="en-US"/>
        </w:rPr>
        <w:t>, noted with the 10 mg</w:t>
      </w:r>
      <w:r>
        <w:rPr>
          <w:lang w:val="en-US"/>
        </w:rPr>
        <w:t xml:space="preserve"> </w:t>
      </w:r>
      <w:r w:rsidR="00184E86">
        <w:rPr>
          <w:lang w:val="en-US"/>
        </w:rPr>
        <w:t>BID</w:t>
      </w:r>
      <w:r w:rsidRPr="00AD0705">
        <w:rPr>
          <w:lang w:val="en-US"/>
        </w:rPr>
        <w:t xml:space="preserve"> dose level. It is difficult to justify the additional risks seen in the 10 mg </w:t>
      </w:r>
      <w:r w:rsidR="00184E86">
        <w:rPr>
          <w:lang w:val="en-US"/>
        </w:rPr>
        <w:t>BID</w:t>
      </w:r>
      <w:r>
        <w:rPr>
          <w:lang w:val="en-US"/>
        </w:rPr>
        <w:t xml:space="preserve"> </w:t>
      </w:r>
      <w:r w:rsidRPr="00AD0705">
        <w:rPr>
          <w:lang w:val="en-US"/>
        </w:rPr>
        <w:t>group in the absence of any proven improvement in inflammatory markers (</w:t>
      </w:r>
      <w:r w:rsidR="00184E86" w:rsidRPr="00184E86">
        <w:rPr>
          <w:lang w:val="en-US"/>
        </w:rPr>
        <w:t xml:space="preserve">erythrocyte sedimentation rate </w:t>
      </w:r>
      <w:r w:rsidR="00184E86">
        <w:rPr>
          <w:lang w:val="en-US"/>
        </w:rPr>
        <w:t>(</w:t>
      </w:r>
      <w:r w:rsidRPr="00AD0705">
        <w:rPr>
          <w:lang w:val="en-US"/>
        </w:rPr>
        <w:t>ESR</w:t>
      </w:r>
      <w:r w:rsidR="00184E86">
        <w:rPr>
          <w:lang w:val="en-US"/>
        </w:rPr>
        <w:t>)</w:t>
      </w:r>
      <w:r w:rsidRPr="00AD0705">
        <w:rPr>
          <w:lang w:val="en-US"/>
        </w:rPr>
        <w:t>) or structural benefit.</w:t>
      </w:r>
    </w:p>
    <w:p w14:paraId="047B105C" w14:textId="4871D283" w:rsidR="00EF6A50" w:rsidRDefault="00EF6A50" w:rsidP="00330821">
      <w:r>
        <w:t xml:space="preserve">Prior to this submission the sponsor submitted an application to extend the indications to include active </w:t>
      </w:r>
      <w:proofErr w:type="spellStart"/>
      <w:r w:rsidR="00B7366A">
        <w:t>PsA</w:t>
      </w:r>
      <w:proofErr w:type="spellEnd"/>
      <w:r>
        <w:t xml:space="preserve"> (</w:t>
      </w:r>
      <w:r w:rsidR="007A2D79">
        <w:t xml:space="preserve">submission </w:t>
      </w:r>
      <w:r>
        <w:t>PM-2017-03802-1-3; October 2017)</w:t>
      </w:r>
      <w:r w:rsidR="005F7896">
        <w:t>.</w:t>
      </w:r>
    </w:p>
    <w:p w14:paraId="002F446F" w14:textId="77777777" w:rsidR="00EF6A50" w:rsidRDefault="00EF6A50" w:rsidP="00184E86">
      <w:r>
        <w:t>During the evaluation process for this submission the sponsor submitted:</w:t>
      </w:r>
    </w:p>
    <w:p w14:paraId="306113D7" w14:textId="50ED4005" w:rsidR="00EF6A50" w:rsidRDefault="007A2D79" w:rsidP="0024469A">
      <w:pPr>
        <w:pStyle w:val="ListBullet"/>
      </w:pPr>
      <w:r>
        <w:t xml:space="preserve">One </w:t>
      </w:r>
      <w:r w:rsidR="00EF6A50" w:rsidRPr="004D1344">
        <w:t>PSUR (January 2018)</w:t>
      </w:r>
      <w:r>
        <w:t>;</w:t>
      </w:r>
    </w:p>
    <w:p w14:paraId="1742FDD2" w14:textId="0445B2B6" w:rsidR="00EF6A50" w:rsidRDefault="00EF6A50" w:rsidP="0024469A">
      <w:pPr>
        <w:pStyle w:val="ListBullet"/>
      </w:pPr>
      <w:r>
        <w:lastRenderedPageBreak/>
        <w:t xml:space="preserve">A </w:t>
      </w:r>
      <w:r w:rsidR="007A2D79">
        <w:t xml:space="preserve">safety related request and minor editorial changes </w:t>
      </w:r>
      <w:r>
        <w:t>(</w:t>
      </w:r>
      <w:r w:rsidR="007A2D79">
        <w:t xml:space="preserve">submission </w:t>
      </w:r>
      <w:r>
        <w:t>PM-2018-00945-1)</w:t>
      </w:r>
      <w:r w:rsidR="007A2D79">
        <w:t>; and</w:t>
      </w:r>
    </w:p>
    <w:p w14:paraId="00101392" w14:textId="48106664" w:rsidR="00EF6A50" w:rsidRDefault="00A05036" w:rsidP="0024469A">
      <w:pPr>
        <w:pStyle w:val="ListBullet"/>
      </w:pPr>
      <w:r>
        <w:t>[Information redacted]</w:t>
      </w:r>
    </w:p>
    <w:p w14:paraId="03CB76F3" w14:textId="32A8BBA6" w:rsidR="00EF6A50" w:rsidRDefault="00EF6A50" w:rsidP="00330821">
      <w:r>
        <w:t xml:space="preserve">Of particular note the </w:t>
      </w:r>
      <w:r w:rsidR="007A2D79">
        <w:t xml:space="preserve">safety related request </w:t>
      </w:r>
      <w:r>
        <w:t>submitted in March 2018 and finalised in April 2018</w:t>
      </w:r>
      <w:r w:rsidR="00184E86">
        <w:t xml:space="preserve"> did not include all the safety </w:t>
      </w:r>
      <w:r>
        <w:t>related changes made to the US PI in May 2018.</w:t>
      </w:r>
    </w:p>
    <w:p w14:paraId="3DF4A6FC" w14:textId="4F4B6B2D" w:rsidR="00D64004" w:rsidRPr="00D64004" w:rsidRDefault="00A05036" w:rsidP="00D64004">
      <w:pPr>
        <w:rPr>
          <w:lang w:val="en-US"/>
        </w:rPr>
      </w:pPr>
      <w:r>
        <w:rPr>
          <w:lang w:val="en-US"/>
        </w:rPr>
        <w:t>[Information redacted]</w:t>
      </w:r>
    </w:p>
    <w:p w14:paraId="7F7DCDD6" w14:textId="2CFE0988" w:rsidR="00EF6A50" w:rsidRDefault="00EF6A50" w:rsidP="00EF6A50">
      <w:pPr>
        <w:pStyle w:val="Heading4"/>
        <w:rPr>
          <w:lang w:val="en-US"/>
        </w:rPr>
      </w:pPr>
      <w:r>
        <w:rPr>
          <w:lang w:val="en-US"/>
        </w:rPr>
        <w:t xml:space="preserve">Overseas </w:t>
      </w:r>
      <w:r w:rsidR="009870DC">
        <w:rPr>
          <w:lang w:val="en-US"/>
        </w:rPr>
        <w:t>regulatory status</w:t>
      </w:r>
    </w:p>
    <w:p w14:paraId="184E8939" w14:textId="77777777" w:rsidR="00EF6A50" w:rsidRDefault="005F7896" w:rsidP="00EF6A50">
      <w:pPr>
        <w:rPr>
          <w:lang w:val="en-US"/>
        </w:rPr>
      </w:pPr>
      <w:proofErr w:type="spellStart"/>
      <w:r>
        <w:rPr>
          <w:lang w:val="en-US"/>
        </w:rPr>
        <w:t>Xeljanz</w:t>
      </w:r>
      <w:proofErr w:type="spellEnd"/>
      <w:r w:rsidR="00EF6A50">
        <w:rPr>
          <w:lang w:val="en-US"/>
        </w:rPr>
        <w:t xml:space="preserve"> was approved in the USA in 2012. During evaluation of this submission the indications for </w:t>
      </w:r>
      <w:proofErr w:type="spellStart"/>
      <w:r w:rsidR="00EF6A50">
        <w:rPr>
          <w:lang w:val="en-US"/>
        </w:rPr>
        <w:t>tofacitinib</w:t>
      </w:r>
      <w:proofErr w:type="spellEnd"/>
      <w:r w:rsidR="00EF6A50">
        <w:rPr>
          <w:lang w:val="en-US"/>
        </w:rPr>
        <w:t xml:space="preserve"> were extended in the USA to include UC.</w:t>
      </w:r>
      <w:r>
        <w:rPr>
          <w:lang w:val="en-US"/>
        </w:rPr>
        <w:t xml:space="preserve"> </w:t>
      </w:r>
      <w:r w:rsidR="00EF6A50">
        <w:rPr>
          <w:lang w:val="en-US"/>
        </w:rPr>
        <w:t>On 31 May 2018 the CHMP recommended that the indications be extended to include the following:</w:t>
      </w:r>
    </w:p>
    <w:p w14:paraId="17F31A90" w14:textId="77777777" w:rsidR="00EF6A50" w:rsidRPr="00330821" w:rsidRDefault="00EF6A50" w:rsidP="00330821">
      <w:pPr>
        <w:ind w:left="720"/>
        <w:rPr>
          <w:i/>
          <w:lang w:val="en-US"/>
        </w:rPr>
      </w:pPr>
      <w:proofErr w:type="spellStart"/>
      <w:r w:rsidRPr="00330821">
        <w:rPr>
          <w:i/>
          <w:lang w:val="en-US"/>
        </w:rPr>
        <w:t>Tofacitinib</w:t>
      </w:r>
      <w:proofErr w:type="spellEnd"/>
      <w:r w:rsidRPr="00330821">
        <w:rPr>
          <w:i/>
          <w:lang w:val="en-US"/>
        </w:rPr>
        <w:t xml:space="preserve"> is indicated for the treatment of adult patients with moderately to severely active ulcerative colitis (UC) who have had an inadequate response, lost response, or were intolerant to either conventional therapy or a biologic agent.</w:t>
      </w:r>
    </w:p>
    <w:p w14:paraId="644ECB65" w14:textId="77777777" w:rsidR="00330821" w:rsidRDefault="00EF6A50" w:rsidP="00EF6A50">
      <w:pPr>
        <w:rPr>
          <w:lang w:val="en-US"/>
        </w:rPr>
      </w:pPr>
      <w:r>
        <w:rPr>
          <w:lang w:val="en-US"/>
        </w:rPr>
        <w:t xml:space="preserve">In the </w:t>
      </w:r>
      <w:r w:rsidR="00330821">
        <w:rPr>
          <w:lang w:val="en-US"/>
        </w:rPr>
        <w:t>USA the indication is:</w:t>
      </w:r>
    </w:p>
    <w:p w14:paraId="3DDDCDAA" w14:textId="77777777" w:rsidR="00EF6A50" w:rsidRPr="00330821" w:rsidRDefault="005F7896" w:rsidP="00330821">
      <w:pPr>
        <w:ind w:left="720"/>
        <w:rPr>
          <w:i/>
          <w:lang w:val="en-US"/>
        </w:rPr>
      </w:pPr>
      <w:proofErr w:type="spellStart"/>
      <w:r w:rsidRPr="00330821">
        <w:rPr>
          <w:i/>
          <w:lang w:val="en-US"/>
        </w:rPr>
        <w:t>Xeljanz</w:t>
      </w:r>
      <w:proofErr w:type="spellEnd"/>
      <w:r w:rsidR="00EF6A50" w:rsidRPr="00330821">
        <w:rPr>
          <w:i/>
          <w:lang w:val="en-US"/>
        </w:rPr>
        <w:t xml:space="preserve"> is indicated for the treatment of adult patients with moderately to severely active ulcerative colitis (UC).</w:t>
      </w:r>
    </w:p>
    <w:p w14:paraId="0127C2C9" w14:textId="77777777" w:rsidR="00EF6A50" w:rsidRPr="00330821" w:rsidRDefault="00EF6A50" w:rsidP="00330821">
      <w:pPr>
        <w:ind w:left="720"/>
        <w:rPr>
          <w:i/>
          <w:lang w:val="en-US"/>
        </w:rPr>
      </w:pPr>
      <w:r w:rsidRPr="00330821">
        <w:rPr>
          <w:i/>
          <w:lang w:val="en-US"/>
        </w:rPr>
        <w:t xml:space="preserve">Limitations of Use: Use of </w:t>
      </w:r>
      <w:proofErr w:type="spellStart"/>
      <w:r w:rsidR="005F7896" w:rsidRPr="00330821">
        <w:rPr>
          <w:i/>
          <w:lang w:val="en-US"/>
        </w:rPr>
        <w:t>Xeljanz</w:t>
      </w:r>
      <w:proofErr w:type="spellEnd"/>
      <w:r w:rsidRPr="00330821">
        <w:rPr>
          <w:i/>
          <w:lang w:val="en-US"/>
        </w:rPr>
        <w:t xml:space="preserve"> in combination with biological therapies for UC or with potent </w:t>
      </w:r>
      <w:proofErr w:type="spellStart"/>
      <w:r w:rsidRPr="00330821">
        <w:rPr>
          <w:i/>
          <w:lang w:val="en-US"/>
        </w:rPr>
        <w:t>immunosuppressants</w:t>
      </w:r>
      <w:proofErr w:type="spellEnd"/>
      <w:r w:rsidRPr="00330821">
        <w:rPr>
          <w:i/>
          <w:lang w:val="en-US"/>
        </w:rPr>
        <w:t xml:space="preserve"> such as azathioprine and cyclosporine is not recommended.</w:t>
      </w:r>
    </w:p>
    <w:p w14:paraId="6D684C31" w14:textId="77777777" w:rsidR="00EF6A50" w:rsidRDefault="00EF6A50" w:rsidP="00EF6A50">
      <w:pPr>
        <w:rPr>
          <w:lang w:val="en-US"/>
        </w:rPr>
      </w:pPr>
      <w:r>
        <w:rPr>
          <w:lang w:val="en-US"/>
        </w:rPr>
        <w:t>The UC indication proposed for Australia differs from the above indications.</w:t>
      </w:r>
      <w:r w:rsidR="005F7896">
        <w:rPr>
          <w:lang w:val="en-US"/>
        </w:rPr>
        <w:t xml:space="preserve"> </w:t>
      </w:r>
      <w:r>
        <w:rPr>
          <w:lang w:val="en-US"/>
        </w:rPr>
        <w:t>Additionally the following safety restrictions and information were added to the US PI in May 2018:</w:t>
      </w:r>
    </w:p>
    <w:p w14:paraId="553FF653" w14:textId="77777777" w:rsidR="00EF6A50" w:rsidRPr="007D685F" w:rsidRDefault="00EF6A50" w:rsidP="00330821">
      <w:pPr>
        <w:pStyle w:val="ListBullet"/>
        <w:rPr>
          <w:lang w:val="en-US"/>
        </w:rPr>
      </w:pPr>
      <w:r>
        <w:rPr>
          <w:lang w:val="en-US"/>
        </w:rPr>
        <w:t>T</w:t>
      </w:r>
      <w:r w:rsidRPr="007D685F">
        <w:rPr>
          <w:lang w:val="en-US"/>
        </w:rPr>
        <w:t xml:space="preserve">he indications </w:t>
      </w:r>
      <w:r>
        <w:rPr>
          <w:lang w:val="en-US"/>
        </w:rPr>
        <w:t xml:space="preserve">were amended to specify </w:t>
      </w:r>
      <w:r w:rsidRPr="007D685F">
        <w:rPr>
          <w:lang w:val="en-US"/>
        </w:rPr>
        <w:t xml:space="preserve">a limitation of use such that </w:t>
      </w:r>
      <w:proofErr w:type="spellStart"/>
      <w:r w:rsidR="005F7896">
        <w:rPr>
          <w:lang w:val="en-US"/>
        </w:rPr>
        <w:t>Xeljanz</w:t>
      </w:r>
      <w:proofErr w:type="spellEnd"/>
      <w:r w:rsidRPr="007D685F">
        <w:rPr>
          <w:lang w:val="en-US"/>
        </w:rPr>
        <w:t xml:space="preserve"> is not recommended to be given in combination with biological therapies or with potent </w:t>
      </w:r>
      <w:proofErr w:type="spellStart"/>
      <w:r w:rsidRPr="007D685F">
        <w:rPr>
          <w:lang w:val="en-US"/>
        </w:rPr>
        <w:t>immunosuppressants</w:t>
      </w:r>
      <w:proofErr w:type="spellEnd"/>
      <w:r w:rsidRPr="007D685F">
        <w:rPr>
          <w:lang w:val="en-US"/>
        </w:rPr>
        <w:t xml:space="preserve"> such as azathioprine and cyclosporine.</w:t>
      </w:r>
    </w:p>
    <w:p w14:paraId="11D9C391" w14:textId="77777777" w:rsidR="005F7896" w:rsidRDefault="00EF6A50" w:rsidP="00330821">
      <w:pPr>
        <w:pStyle w:val="ListBullet"/>
        <w:rPr>
          <w:lang w:val="en-US"/>
        </w:rPr>
      </w:pPr>
      <w:r>
        <w:rPr>
          <w:lang w:val="en-US"/>
        </w:rPr>
        <w:t xml:space="preserve">The Dosage and Administration recommendations were amended </w:t>
      </w:r>
      <w:r w:rsidRPr="007D685F">
        <w:rPr>
          <w:lang w:val="en-US"/>
        </w:rPr>
        <w:t>to include the following additional limitations to dosing</w:t>
      </w:r>
      <w:r w:rsidR="005F7896">
        <w:rPr>
          <w:lang w:val="en-US"/>
        </w:rPr>
        <w:t>:</w:t>
      </w:r>
    </w:p>
    <w:p w14:paraId="6A305D5A" w14:textId="77777777" w:rsidR="005F7896" w:rsidRDefault="00EF6A50" w:rsidP="00330821">
      <w:pPr>
        <w:pStyle w:val="ListBullet2"/>
      </w:pPr>
      <w:r w:rsidRPr="00AF1AAF">
        <w:t xml:space="preserve">Do not initiate </w:t>
      </w:r>
      <w:proofErr w:type="spellStart"/>
      <w:r w:rsidR="005F7896">
        <w:t>Xeljanz</w:t>
      </w:r>
      <w:proofErr w:type="spellEnd"/>
      <w:r w:rsidRPr="00AF1AAF">
        <w:t>/</w:t>
      </w:r>
      <w:proofErr w:type="spellStart"/>
      <w:r w:rsidR="005F7896">
        <w:t>Xeljanz</w:t>
      </w:r>
      <w:proofErr w:type="spellEnd"/>
      <w:r w:rsidRPr="00AF1AAF">
        <w:t xml:space="preserve"> XR in patients with an absolute lymphocyte count less than 500 cells/mm</w:t>
      </w:r>
      <w:r w:rsidRPr="00223C03">
        <w:rPr>
          <w:vertAlign w:val="superscript"/>
        </w:rPr>
        <w:t>3</w:t>
      </w:r>
      <w:r w:rsidRPr="00AF1AAF">
        <w:t xml:space="preserve">, an </w:t>
      </w:r>
      <w:r w:rsidR="00184E86">
        <w:t>ANC</w:t>
      </w:r>
      <w:r w:rsidRPr="00AF1AAF">
        <w:t xml:space="preserve"> less than 1000 cells/</w:t>
      </w:r>
      <w:r w:rsidRPr="00223C03">
        <w:t>mm</w:t>
      </w:r>
      <w:r w:rsidR="00223C03" w:rsidRPr="00223C03">
        <w:rPr>
          <w:vertAlign w:val="superscript"/>
        </w:rPr>
        <w:t>3</w:t>
      </w:r>
      <w:r w:rsidR="00223C03">
        <w:t xml:space="preserve"> </w:t>
      </w:r>
      <w:r w:rsidRPr="00223C03">
        <w:t>or</w:t>
      </w:r>
      <w:r w:rsidRPr="00AF1AAF">
        <w:t xml:space="preserve"> who have haemoglobin levels less than 9 g/</w:t>
      </w:r>
      <w:proofErr w:type="spellStart"/>
      <w:r w:rsidRPr="00AF1AAF">
        <w:t>dL</w:t>
      </w:r>
      <w:proofErr w:type="spellEnd"/>
      <w:r w:rsidR="005F7896">
        <w:t>.</w:t>
      </w:r>
    </w:p>
    <w:p w14:paraId="5C7A3111" w14:textId="77777777" w:rsidR="005F7896" w:rsidRDefault="00EF6A50" w:rsidP="00330821">
      <w:pPr>
        <w:pStyle w:val="ListBullet2"/>
      </w:pPr>
      <w:r w:rsidRPr="00AF1AAF">
        <w:t xml:space="preserve">Dose interruption is recommended for management of </w:t>
      </w:r>
      <w:proofErr w:type="spellStart"/>
      <w:r w:rsidRPr="00AF1AAF">
        <w:t>lymphopenia</w:t>
      </w:r>
      <w:proofErr w:type="spellEnd"/>
      <w:r w:rsidRPr="00AF1AAF">
        <w:t>, neutropenia, and an</w:t>
      </w:r>
      <w:r>
        <w:t>a</w:t>
      </w:r>
      <w:r w:rsidRPr="00AF1AAF">
        <w:t xml:space="preserve">emia </w:t>
      </w:r>
      <w:r w:rsidR="006C148C">
        <w:rPr>
          <w:i/>
          <w:iCs/>
        </w:rPr>
        <w:t>(</w:t>
      </w:r>
      <w:r w:rsidRPr="00AF1AAF">
        <w:rPr>
          <w:i/>
          <w:iCs/>
        </w:rPr>
        <w:t>see Warnings and Precautions (5.4), Adverse Reactions (6.1)</w:t>
      </w:r>
      <w:r w:rsidR="006C148C">
        <w:rPr>
          <w:i/>
          <w:iCs/>
        </w:rPr>
        <w:t>)</w:t>
      </w:r>
      <w:r w:rsidR="005F7896">
        <w:t>.</w:t>
      </w:r>
    </w:p>
    <w:p w14:paraId="56B93E2E" w14:textId="77777777" w:rsidR="005F7896" w:rsidRDefault="00EF6A50" w:rsidP="00330821">
      <w:pPr>
        <w:pStyle w:val="ListBullet2"/>
      </w:pPr>
      <w:r w:rsidRPr="00AF1AAF">
        <w:t xml:space="preserve">Interrupt use of </w:t>
      </w:r>
      <w:proofErr w:type="spellStart"/>
      <w:r w:rsidR="005F7896">
        <w:t>Xeljanz</w:t>
      </w:r>
      <w:proofErr w:type="spellEnd"/>
      <w:r w:rsidRPr="00AF1AAF">
        <w:t>/</w:t>
      </w:r>
      <w:proofErr w:type="spellStart"/>
      <w:r w:rsidR="005F7896">
        <w:t>Xeljanz</w:t>
      </w:r>
      <w:proofErr w:type="spellEnd"/>
      <w:r w:rsidRPr="00AF1AAF">
        <w:t xml:space="preserve"> XR if a patient develops a serious infection until the infection is controlled </w:t>
      </w:r>
      <w:r w:rsidR="006C148C">
        <w:rPr>
          <w:i/>
          <w:iCs/>
        </w:rPr>
        <w:t>(</w:t>
      </w:r>
      <w:r w:rsidRPr="00AF1AAF">
        <w:rPr>
          <w:i/>
          <w:iCs/>
        </w:rPr>
        <w:t>see Warnings and Precautions (5.1)</w:t>
      </w:r>
      <w:r w:rsidR="006C148C">
        <w:rPr>
          <w:i/>
          <w:iCs/>
        </w:rPr>
        <w:t>)</w:t>
      </w:r>
      <w:r w:rsidR="005F7896">
        <w:t>.</w:t>
      </w:r>
    </w:p>
    <w:p w14:paraId="1B933EDC" w14:textId="77777777" w:rsidR="005F7896" w:rsidRDefault="00EF6A50" w:rsidP="00330821">
      <w:pPr>
        <w:pStyle w:val="ListBullet2"/>
      </w:pPr>
      <w:r w:rsidRPr="00AF1AAF">
        <w:t xml:space="preserve">Take </w:t>
      </w:r>
      <w:proofErr w:type="spellStart"/>
      <w:r w:rsidR="005F7896">
        <w:t>Xeljanz</w:t>
      </w:r>
      <w:proofErr w:type="spellEnd"/>
      <w:r w:rsidRPr="00AF1AAF">
        <w:t>/</w:t>
      </w:r>
      <w:proofErr w:type="spellStart"/>
      <w:r w:rsidR="005F7896">
        <w:t>Xeljanz</w:t>
      </w:r>
      <w:proofErr w:type="spellEnd"/>
      <w:r w:rsidRPr="00AF1AAF">
        <w:t xml:space="preserve"> XR with or without food </w:t>
      </w:r>
      <w:r w:rsidR="006C148C">
        <w:rPr>
          <w:i/>
          <w:iCs/>
        </w:rPr>
        <w:t>(</w:t>
      </w:r>
      <w:r w:rsidRPr="00AF1AAF">
        <w:rPr>
          <w:i/>
          <w:iCs/>
        </w:rPr>
        <w:t>see Clinical Pharmacology (12.3)</w:t>
      </w:r>
      <w:r w:rsidR="006C148C">
        <w:rPr>
          <w:i/>
          <w:iCs/>
        </w:rPr>
        <w:t>)</w:t>
      </w:r>
      <w:r w:rsidR="005F7896">
        <w:t>.</w:t>
      </w:r>
    </w:p>
    <w:p w14:paraId="7ADF30B8" w14:textId="77777777" w:rsidR="00EF6A50" w:rsidRPr="00184E86" w:rsidRDefault="00EF6A50" w:rsidP="00184E86">
      <w:pPr>
        <w:pStyle w:val="ListBullet2"/>
        <w:rPr>
          <w:lang w:val="en-US"/>
        </w:rPr>
      </w:pPr>
      <w:r w:rsidRPr="00AF1AAF">
        <w:t xml:space="preserve">Swallow </w:t>
      </w:r>
      <w:proofErr w:type="spellStart"/>
      <w:r w:rsidR="005F7896">
        <w:t>Xeljanz</w:t>
      </w:r>
      <w:proofErr w:type="spellEnd"/>
      <w:r w:rsidRPr="00AF1AAF">
        <w:t xml:space="preserve"> XR tablets whole and intact. Do not crush, split, or chew.</w:t>
      </w:r>
    </w:p>
    <w:p w14:paraId="5F5D08E4" w14:textId="77777777" w:rsidR="00EF6A50" w:rsidRPr="00330821" w:rsidRDefault="00EF6A50" w:rsidP="00330821">
      <w:pPr>
        <w:pStyle w:val="ListBullet"/>
      </w:pPr>
      <w:r>
        <w:t xml:space="preserve">Additional Warnings and Precautions for serious infections, tuberculosis, viral reactivation, gastrointestinal perforations and advice to avoid live vaccinations concurrently with </w:t>
      </w:r>
      <w:proofErr w:type="spellStart"/>
      <w:r w:rsidR="005F7896">
        <w:t>Xeljanz</w:t>
      </w:r>
      <w:proofErr w:type="spellEnd"/>
      <w:r w:rsidR="005F7896">
        <w:t>.</w:t>
      </w:r>
    </w:p>
    <w:p w14:paraId="0F2AEB06" w14:textId="77777777" w:rsidR="00EF6A50" w:rsidRDefault="00EF6A50" w:rsidP="00330821">
      <w:r>
        <w:t>Submissions to extend the indications to include moderate to severe ulcerative colitis have also been made in Canada and Switzerland.</w:t>
      </w:r>
    </w:p>
    <w:p w14:paraId="7C86F0A2" w14:textId="77777777" w:rsidR="00EF6A50" w:rsidRPr="00AF1AAF" w:rsidRDefault="00184E86" w:rsidP="00330821">
      <w:pPr>
        <w:rPr>
          <w:lang w:val="en-US"/>
        </w:rPr>
      </w:pPr>
      <w:proofErr w:type="spellStart"/>
      <w:r>
        <w:t>T</w:t>
      </w:r>
      <w:r w:rsidR="00EF6A50" w:rsidRPr="000E2642">
        <w:t>ofacitinib</w:t>
      </w:r>
      <w:proofErr w:type="spellEnd"/>
      <w:r w:rsidR="00EF6A50" w:rsidRPr="000E2642">
        <w:t xml:space="preserve"> global development programs have been ceased in Crohn’s disease, kidney transplantation and more recently</w:t>
      </w:r>
      <w:r w:rsidR="00EF6A50">
        <w:t xml:space="preserve"> in</w:t>
      </w:r>
      <w:r w:rsidR="00EF6A50" w:rsidRPr="000E2642">
        <w:t xml:space="preserve"> moderate-to-severe chronic plaque </w:t>
      </w:r>
      <w:r w:rsidR="00EF6A50">
        <w:t>psoriasis</w:t>
      </w:r>
      <w:r w:rsidR="00EF6A50" w:rsidRPr="000E2642">
        <w:t xml:space="preserve"> (2015; negative opinion from the FDA). The removal of the </w:t>
      </w:r>
      <w:proofErr w:type="spellStart"/>
      <w:r w:rsidR="00EF6A50" w:rsidRPr="000E2642">
        <w:t>tofacitinib</w:t>
      </w:r>
      <w:proofErr w:type="spellEnd"/>
      <w:r w:rsidR="00EF6A50" w:rsidRPr="000E2642">
        <w:t xml:space="preserve"> 15 mg treatment arm in the </w:t>
      </w:r>
      <w:r w:rsidR="00EF6A50" w:rsidRPr="000E2642">
        <w:lastRenderedPageBreak/>
        <w:t xml:space="preserve">UC </w:t>
      </w:r>
      <w:r w:rsidR="00EF6A50" w:rsidRPr="003857E3">
        <w:t xml:space="preserve">Phase </w:t>
      </w:r>
      <w:r w:rsidR="003857E3" w:rsidRPr="003857E3">
        <w:t>II</w:t>
      </w:r>
      <w:r w:rsidR="00EF6A50" w:rsidRPr="000E2642">
        <w:t xml:space="preserve"> induction program adds weight to the global uncertainty around </w:t>
      </w:r>
      <w:proofErr w:type="spellStart"/>
      <w:r w:rsidR="00EF6A50" w:rsidRPr="000E2642">
        <w:t>tofacitinib</w:t>
      </w:r>
      <w:proofErr w:type="spellEnd"/>
      <w:r w:rsidR="00EF6A50" w:rsidRPr="000E2642">
        <w:t xml:space="preserve"> and what can be considered an acceptable dose as well as an acceptable level of risk.</w:t>
      </w:r>
    </w:p>
    <w:p w14:paraId="5FCA848A" w14:textId="77777777" w:rsidR="00EF6A50" w:rsidRDefault="00EF6A50" w:rsidP="00EF6A50">
      <w:pPr>
        <w:pStyle w:val="Heading4"/>
        <w:rPr>
          <w:lang w:val="en-US"/>
        </w:rPr>
      </w:pPr>
      <w:r>
        <w:rPr>
          <w:lang w:val="en-US"/>
        </w:rPr>
        <w:t>Guidance used</w:t>
      </w:r>
    </w:p>
    <w:p w14:paraId="774B8E8D" w14:textId="77777777" w:rsidR="00EF6A50" w:rsidRPr="00330821" w:rsidRDefault="00EF6A50" w:rsidP="00330821">
      <w:pPr>
        <w:rPr>
          <w:lang w:val="en-US"/>
        </w:rPr>
      </w:pPr>
      <w:r>
        <w:rPr>
          <w:lang w:val="en-US"/>
        </w:rPr>
        <w:t xml:space="preserve">The primary guidance document was </w:t>
      </w:r>
      <w:r w:rsidR="00E91387">
        <w:rPr>
          <w:lang w:val="en-US"/>
        </w:rPr>
        <w:t>the EMA</w:t>
      </w:r>
      <w:r>
        <w:rPr>
          <w:lang w:val="en-US"/>
        </w:rPr>
        <w:t xml:space="preserve"> </w:t>
      </w:r>
      <w:r w:rsidRPr="000F35D3">
        <w:rPr>
          <w:lang w:val="en-US"/>
        </w:rPr>
        <w:t>Guideline on the Development of New Medicinal Products for the Treatment of Ulcerative Colitis</w:t>
      </w:r>
      <w:r w:rsidR="00E91387">
        <w:rPr>
          <w:lang w:val="en-US"/>
        </w:rPr>
        <w:t>.</w:t>
      </w:r>
      <w:r w:rsidR="00E91387">
        <w:rPr>
          <w:lang w:val="en-US"/>
        </w:rPr>
        <w:fldChar w:fldCharType="begin"/>
      </w:r>
      <w:r w:rsidR="00E91387">
        <w:rPr>
          <w:lang w:val="en-US"/>
        </w:rPr>
        <w:instrText xml:space="preserve"> NOTEREF _Ref13729303 \f \h </w:instrText>
      </w:r>
      <w:r w:rsidR="00E91387">
        <w:rPr>
          <w:lang w:val="en-US"/>
        </w:rPr>
      </w:r>
      <w:r w:rsidR="00E91387">
        <w:rPr>
          <w:lang w:val="en-US"/>
        </w:rPr>
        <w:fldChar w:fldCharType="separate"/>
      </w:r>
      <w:r w:rsidR="00E91387" w:rsidRPr="00E91387">
        <w:rPr>
          <w:rStyle w:val="FootnoteReference"/>
        </w:rPr>
        <w:t>2</w:t>
      </w:r>
      <w:r w:rsidR="00E91387">
        <w:rPr>
          <w:lang w:val="en-US"/>
        </w:rPr>
        <w:fldChar w:fldCharType="end"/>
      </w:r>
    </w:p>
    <w:p w14:paraId="28A8B10F" w14:textId="77777777" w:rsidR="00730F8A" w:rsidRDefault="008E7846" w:rsidP="00330821">
      <w:pPr>
        <w:pStyle w:val="Heading3"/>
      </w:pPr>
      <w:bookmarkStart w:id="225" w:name="_Toc314842511"/>
      <w:bookmarkStart w:id="226" w:name="_Toc20301912"/>
      <w:r>
        <w:t>Quality</w:t>
      </w:r>
      <w:bookmarkEnd w:id="223"/>
      <w:bookmarkEnd w:id="225"/>
      <w:bookmarkEnd w:id="226"/>
    </w:p>
    <w:p w14:paraId="6A9D4D69" w14:textId="77777777" w:rsidR="005F7896" w:rsidRDefault="00EF6A50" w:rsidP="00330821">
      <w:bookmarkStart w:id="227" w:name="_Toc314842512"/>
      <w:r>
        <w:t xml:space="preserve">There were no chemistry objections to approval of the blister pack presentation of </w:t>
      </w:r>
      <w:proofErr w:type="spellStart"/>
      <w:r>
        <w:t>Xeljanz</w:t>
      </w:r>
      <w:proofErr w:type="spellEnd"/>
      <w:r>
        <w:t xml:space="preserve"> </w:t>
      </w:r>
      <w:r w:rsidRPr="00733115">
        <w:t xml:space="preserve">10 mg </w:t>
      </w:r>
      <w:r>
        <w:t>tablets. The bottle presentation was not recommended for approval due to an apparent increase in water content over time, such that it was out of specification at the proposed shelf-life limit. The sponsor subsequently agreed to withdraw the bottle presentation</w:t>
      </w:r>
      <w:r w:rsidR="005F7896">
        <w:t>.</w:t>
      </w:r>
    </w:p>
    <w:p w14:paraId="2FAFA17E" w14:textId="77777777" w:rsidR="008E7846" w:rsidRDefault="008E7846" w:rsidP="008E7846">
      <w:pPr>
        <w:pStyle w:val="Heading3"/>
      </w:pPr>
      <w:bookmarkStart w:id="228" w:name="_Toc20301913"/>
      <w:r>
        <w:t>Nonclinical</w:t>
      </w:r>
      <w:bookmarkEnd w:id="227"/>
      <w:bookmarkEnd w:id="228"/>
    </w:p>
    <w:p w14:paraId="7FD32B46" w14:textId="77777777" w:rsidR="00EF6A50" w:rsidRDefault="00EF6A50" w:rsidP="00330821">
      <w:r w:rsidRPr="000F35D3">
        <w:t xml:space="preserve">There are no objections on nonclinical grounds to the proposed changes to the registration of </w:t>
      </w:r>
      <w:proofErr w:type="spellStart"/>
      <w:r w:rsidR="005F7896">
        <w:t>Xeljanz</w:t>
      </w:r>
      <w:proofErr w:type="spellEnd"/>
      <w:r w:rsidR="00330821">
        <w:t>. The non</w:t>
      </w:r>
      <w:r>
        <w:t xml:space="preserve">clinical evaluator stated that the pharmacology of </w:t>
      </w:r>
      <w:proofErr w:type="spellStart"/>
      <w:r>
        <w:t>tofacitinib</w:t>
      </w:r>
      <w:proofErr w:type="spellEnd"/>
      <w:r>
        <w:t>, based on the literature presented, supports the new indication.</w:t>
      </w:r>
    </w:p>
    <w:p w14:paraId="633007BA" w14:textId="77777777" w:rsidR="00EF6A50" w:rsidRDefault="00EF6A50" w:rsidP="00330821">
      <w:r>
        <w:t xml:space="preserve">Demonstration of </w:t>
      </w:r>
      <w:proofErr w:type="spellStart"/>
      <w:r>
        <w:t>tofacitinib</w:t>
      </w:r>
      <w:proofErr w:type="spellEnd"/>
      <w:r>
        <w:t xml:space="preserve"> efficacy in ulcerative colitis will rely on the clinical data though it is noted that previous nonclinical data showed anti-inflammatory efficacy in animal models of </w:t>
      </w:r>
      <w:r w:rsidR="00B7366A">
        <w:t>RA</w:t>
      </w:r>
      <w:r>
        <w:t xml:space="preserve"> and </w:t>
      </w:r>
      <w:proofErr w:type="spellStart"/>
      <w:r w:rsidR="00B7366A">
        <w:t>PsA</w:t>
      </w:r>
      <w:r>
        <w:t>.</w:t>
      </w:r>
      <w:proofErr w:type="spellEnd"/>
    </w:p>
    <w:p w14:paraId="44A5489B" w14:textId="77777777" w:rsidR="00EF6A50" w:rsidRPr="00EF6A50" w:rsidRDefault="00EF6A50" w:rsidP="00330821">
      <w:r>
        <w:t xml:space="preserve">Relative exposure margins in the previously evaluated toxicology studies were high for the 10 mg </w:t>
      </w:r>
      <w:r w:rsidR="00F14B34">
        <w:t>BID</w:t>
      </w:r>
      <w:r>
        <w:t xml:space="preserve"> clinical dosing regimen and raise no extra safety concerns.</w:t>
      </w:r>
    </w:p>
    <w:p w14:paraId="13DF3A94" w14:textId="77777777" w:rsidR="008E7846" w:rsidRDefault="008E7846" w:rsidP="008E7846">
      <w:pPr>
        <w:pStyle w:val="Heading3"/>
      </w:pPr>
      <w:bookmarkStart w:id="229" w:name="_Toc247691530"/>
      <w:bookmarkStart w:id="230" w:name="_Toc314842513"/>
      <w:bookmarkStart w:id="231" w:name="_Toc20301914"/>
      <w:r>
        <w:t>Clinical</w:t>
      </w:r>
      <w:bookmarkEnd w:id="229"/>
      <w:bookmarkEnd w:id="230"/>
      <w:bookmarkEnd w:id="231"/>
    </w:p>
    <w:p w14:paraId="75D6F230" w14:textId="77777777" w:rsidR="00EF6A50" w:rsidRDefault="00EF6A50" w:rsidP="00EF6A50">
      <w:pPr>
        <w:pStyle w:val="Heading4"/>
        <w:spacing w:before="0"/>
      </w:pPr>
      <w:bookmarkStart w:id="232" w:name="_Toc314842514"/>
      <w:r w:rsidRPr="00AA53F4">
        <w:t>Pharmacology</w:t>
      </w:r>
    </w:p>
    <w:p w14:paraId="52162501" w14:textId="77777777" w:rsidR="00EF6A50" w:rsidRPr="00DA457A" w:rsidRDefault="00EF6A50" w:rsidP="00330821">
      <w:r>
        <w:t>No new pharmacology studies were included in this submission.</w:t>
      </w:r>
    </w:p>
    <w:p w14:paraId="36968416" w14:textId="77777777" w:rsidR="00EF6A50" w:rsidRDefault="00EF6A50" w:rsidP="00EF6A50">
      <w:pPr>
        <w:pStyle w:val="Heading5"/>
      </w:pPr>
      <w:r w:rsidRPr="00AA53F4">
        <w:t>Population PK data (</w:t>
      </w:r>
      <w:proofErr w:type="spellStart"/>
      <w:r w:rsidRPr="00AA53F4">
        <w:t>popPK</w:t>
      </w:r>
      <w:proofErr w:type="spellEnd"/>
      <w:r w:rsidRPr="00AA53F4">
        <w:t>)</w:t>
      </w:r>
    </w:p>
    <w:p w14:paraId="475608F9" w14:textId="77777777" w:rsidR="00EF6A50" w:rsidRPr="007859E3" w:rsidRDefault="00EF6A50" w:rsidP="00330821">
      <w:r w:rsidRPr="007859E3">
        <w:t xml:space="preserve">A </w:t>
      </w:r>
      <w:proofErr w:type="spellStart"/>
      <w:r w:rsidRPr="007859E3">
        <w:t>PopPK</w:t>
      </w:r>
      <w:proofErr w:type="spellEnd"/>
      <w:r w:rsidRPr="007859E3">
        <w:t xml:space="preserve"> analysis, based on sparse PK sample data from one </w:t>
      </w:r>
      <w:r w:rsidR="00E91387">
        <w:t>Phase II</w:t>
      </w:r>
      <w:r w:rsidRPr="007859E3">
        <w:t xml:space="preserve"> study and three </w:t>
      </w:r>
      <w:r w:rsidR="00E91387">
        <w:t>Phase III</w:t>
      </w:r>
      <w:r w:rsidRPr="007859E3">
        <w:t xml:space="preserve"> studies in </w:t>
      </w:r>
      <w:r>
        <w:t>the</w:t>
      </w:r>
      <w:r w:rsidRPr="007859E3">
        <w:t xml:space="preserve"> clinical development program for UC was consistent with the PK of </w:t>
      </w:r>
      <w:proofErr w:type="spellStart"/>
      <w:r w:rsidRPr="007859E3">
        <w:t>tofacitinib</w:t>
      </w:r>
      <w:proofErr w:type="spellEnd"/>
      <w:r w:rsidRPr="007859E3">
        <w:t xml:space="preserve"> in a moderate to severe UC population being </w:t>
      </w:r>
      <w:r>
        <w:t xml:space="preserve">similar to the </w:t>
      </w:r>
      <w:r w:rsidRPr="007859E3">
        <w:t xml:space="preserve">PK of </w:t>
      </w:r>
      <w:proofErr w:type="spellStart"/>
      <w:r w:rsidRPr="007859E3">
        <w:t>tofacitinib</w:t>
      </w:r>
      <w:proofErr w:type="spellEnd"/>
      <w:r w:rsidRPr="007859E3">
        <w:t xml:space="preserve"> from the RA clinical develo</w:t>
      </w:r>
      <w:r w:rsidR="00E91387">
        <w:t>pment program, where the 10 mg BID</w:t>
      </w:r>
      <w:r w:rsidRPr="007859E3">
        <w:t xml:space="preserve"> dose was also explored.</w:t>
      </w:r>
    </w:p>
    <w:p w14:paraId="4AA30F26" w14:textId="77777777" w:rsidR="00EF6A50" w:rsidRDefault="00EF6A50" w:rsidP="00EF6A50">
      <w:pPr>
        <w:pStyle w:val="Heading4"/>
      </w:pPr>
      <w:r w:rsidRPr="00AA53F4">
        <w:t>Efficacy</w:t>
      </w:r>
    </w:p>
    <w:p w14:paraId="6C8904B6" w14:textId="77777777" w:rsidR="005F7896" w:rsidRDefault="00E91387" w:rsidP="00330821">
      <w:r>
        <w:t>A</w:t>
      </w:r>
      <w:r w:rsidR="00EF6A50">
        <w:t xml:space="preserve"> 5 mg </w:t>
      </w:r>
      <w:r>
        <w:t>BID</w:t>
      </w:r>
      <w:r w:rsidR="00EF6A50">
        <w:t xml:space="preserve"> induction dose regimen was not explored.</w:t>
      </w:r>
      <w:r w:rsidR="005F7896">
        <w:t xml:space="preserve"> </w:t>
      </w:r>
      <w:r w:rsidR="00EF6A50" w:rsidRPr="002951F5">
        <w:t xml:space="preserve">The doses of </w:t>
      </w:r>
      <w:proofErr w:type="spellStart"/>
      <w:r w:rsidR="00EF6A50" w:rsidRPr="002951F5">
        <w:t>tofacitinib</w:t>
      </w:r>
      <w:proofErr w:type="spellEnd"/>
      <w:r w:rsidR="00EF6A50" w:rsidRPr="002951F5">
        <w:t xml:space="preserve"> studied in </w:t>
      </w:r>
      <w:r>
        <w:t>the dose finding S</w:t>
      </w:r>
      <w:r w:rsidR="00EF6A50">
        <w:t xml:space="preserve">tudy </w:t>
      </w:r>
      <w:r w:rsidR="00EF6A50" w:rsidRPr="002951F5">
        <w:t>1063 were 0.5 mg, 3 mg, 10 mg and</w:t>
      </w:r>
      <w:r w:rsidR="00EF6A50">
        <w:t xml:space="preserve"> 1</w:t>
      </w:r>
      <w:r w:rsidR="00EF6A50" w:rsidRPr="002951F5">
        <w:t>5 mg</w:t>
      </w:r>
      <w:r w:rsidR="00EF6A50">
        <w:t xml:space="preserve"> </w:t>
      </w:r>
      <w:r>
        <w:t>BID</w:t>
      </w:r>
      <w:r w:rsidR="00EF6A50" w:rsidRPr="002951F5">
        <w:t>.</w:t>
      </w:r>
      <w:r w:rsidR="00EF6A50">
        <w:t xml:space="preserve"> That study did not allow for statistical comparisons between the various doses, however for the primary efficacy measure of clinical response at Week 8, response rates were lower in the 0.5 mg and 3 mg </w:t>
      </w:r>
      <w:r>
        <w:t>BID</w:t>
      </w:r>
      <w:r w:rsidR="00EF6A50">
        <w:t xml:space="preserve"> dose groups than in the placebo group.</w:t>
      </w:r>
      <w:r w:rsidR="005F7896">
        <w:t xml:space="preserve"> </w:t>
      </w:r>
      <w:r w:rsidR="00EF6A50">
        <w:t xml:space="preserve">Clinical response rates at Week 8 in the placebo, 10 mg </w:t>
      </w:r>
      <w:r>
        <w:t>BID</w:t>
      </w:r>
      <w:r w:rsidR="00EF6A50">
        <w:t xml:space="preserve"> and 15 mg </w:t>
      </w:r>
      <w:r>
        <w:t>BID</w:t>
      </w:r>
      <w:r w:rsidR="00EF6A50">
        <w:t xml:space="preserve"> groups were 47.5%, 63.3% and 80% respectively</w:t>
      </w:r>
      <w:r w:rsidR="005F7896">
        <w:t>.</w:t>
      </w:r>
    </w:p>
    <w:p w14:paraId="5F86A723" w14:textId="77777777" w:rsidR="00EF6A50" w:rsidRDefault="00EF6A50" w:rsidP="00330821">
      <w:r>
        <w:t xml:space="preserve">There were three pivotal studies, two assessed induction and one assessed maintenance effects of </w:t>
      </w:r>
      <w:proofErr w:type="spellStart"/>
      <w:r>
        <w:t>tofacitinib</w:t>
      </w:r>
      <w:proofErr w:type="spellEnd"/>
      <w:r>
        <w:t xml:space="preserve"> in UC.</w:t>
      </w:r>
      <w:r w:rsidR="005F7896">
        <w:t xml:space="preserve"> </w:t>
      </w:r>
      <w:r w:rsidR="00E91387">
        <w:t xml:space="preserve">There was also an open, long </w:t>
      </w:r>
      <w:r>
        <w:t>term efficacy and safety study.</w:t>
      </w:r>
      <w:r w:rsidR="005F7896">
        <w:t xml:space="preserve"> </w:t>
      </w:r>
      <w:r>
        <w:t xml:space="preserve">Additional safety information from use of </w:t>
      </w:r>
      <w:proofErr w:type="spellStart"/>
      <w:r>
        <w:t>tofacitinib</w:t>
      </w:r>
      <w:proofErr w:type="spellEnd"/>
      <w:r>
        <w:t xml:space="preserve"> in the management of Crohn’s disease and </w:t>
      </w:r>
      <w:r w:rsidR="003857E3">
        <w:t>psoriasis (</w:t>
      </w:r>
      <w:proofErr w:type="spellStart"/>
      <w:r w:rsidR="00E91387">
        <w:t>PsO</w:t>
      </w:r>
      <w:proofErr w:type="spellEnd"/>
      <w:r w:rsidR="003857E3">
        <w:t>)</w:t>
      </w:r>
      <w:r>
        <w:t xml:space="preserve"> was included in the dossier.</w:t>
      </w:r>
    </w:p>
    <w:p w14:paraId="4BC6CEA5" w14:textId="77777777" w:rsidR="00EF6A50" w:rsidRDefault="00EF6A50" w:rsidP="00330821">
      <w:pPr>
        <w:pStyle w:val="Heading5"/>
      </w:pPr>
      <w:r w:rsidRPr="00DA457A">
        <w:lastRenderedPageBreak/>
        <w:t>Induction</w:t>
      </w:r>
      <w:r>
        <w:t xml:space="preserve"> of remission</w:t>
      </w:r>
    </w:p>
    <w:p w14:paraId="24F25D1F" w14:textId="47721823" w:rsidR="00223C03" w:rsidRDefault="00EF6A50" w:rsidP="00223C03">
      <w:pPr>
        <w:pStyle w:val="Heading6"/>
      </w:pPr>
      <w:r w:rsidRPr="002546D0">
        <w:t xml:space="preserve">Studies </w:t>
      </w:r>
      <w:r w:rsidR="007A2D79" w:rsidRPr="007A2D79">
        <w:t>A3921094 and A3921095</w:t>
      </w:r>
    </w:p>
    <w:p w14:paraId="00EB2530" w14:textId="77777777" w:rsidR="005F7896" w:rsidRDefault="00223C03" w:rsidP="00330821">
      <w:r>
        <w:t xml:space="preserve">These studies </w:t>
      </w:r>
      <w:r w:rsidR="00EF6A50">
        <w:t xml:space="preserve">were of identical design. They were </w:t>
      </w:r>
      <w:r w:rsidR="00E91387">
        <w:t xml:space="preserve">randomised, double blind, placebo controlled, parallel </w:t>
      </w:r>
      <w:r w:rsidR="00EF6A50" w:rsidRPr="00DD7CA0">
        <w:t>group, multi-centre, multi-national studies</w:t>
      </w:r>
      <w:r w:rsidR="00EF6A50">
        <w:t xml:space="preserve"> </w:t>
      </w:r>
      <w:r w:rsidR="00EF6A50" w:rsidRPr="00DD7CA0">
        <w:t xml:space="preserve">to demonstrate superior efficacy of </w:t>
      </w:r>
      <w:proofErr w:type="spellStart"/>
      <w:r w:rsidR="00EF6A50" w:rsidRPr="00DD7CA0">
        <w:t>tofacitinib</w:t>
      </w:r>
      <w:proofErr w:type="spellEnd"/>
      <w:r w:rsidR="00EF6A50" w:rsidRPr="00DD7CA0">
        <w:t xml:space="preserve"> to placebo in inducing remission in subjects with moderately to severely active UC. These studies consisted of a screening period up to 3 weeks</w:t>
      </w:r>
      <w:r w:rsidR="00EF6A50">
        <w:t xml:space="preserve">, </w:t>
      </w:r>
      <w:r w:rsidR="00E91387">
        <w:t xml:space="preserve">a 9 </w:t>
      </w:r>
      <w:r w:rsidR="00EF6A50" w:rsidRPr="00DD7CA0">
        <w:t xml:space="preserve">week </w:t>
      </w:r>
      <w:r w:rsidR="00E91387">
        <w:t>double blind</w:t>
      </w:r>
      <w:r w:rsidR="00EF6A50" w:rsidRPr="00DD7CA0">
        <w:t xml:space="preserve"> treatment period</w:t>
      </w:r>
      <w:r w:rsidR="00E91387">
        <w:t xml:space="preserve"> and a 4 week follow </w:t>
      </w:r>
      <w:r w:rsidR="00EF6A50">
        <w:t>up period.</w:t>
      </w:r>
      <w:r w:rsidR="005F7896">
        <w:t xml:space="preserve"> </w:t>
      </w:r>
      <w:r w:rsidR="00EF6A50">
        <w:t xml:space="preserve">The </w:t>
      </w:r>
      <w:r w:rsidR="00EF6A50" w:rsidRPr="00DD7CA0">
        <w:t xml:space="preserve">final </w:t>
      </w:r>
      <w:r w:rsidR="00EF6A50">
        <w:t xml:space="preserve">efficacy </w:t>
      </w:r>
      <w:r w:rsidR="00EF6A50" w:rsidRPr="00DD7CA0">
        <w:t xml:space="preserve">evaluation </w:t>
      </w:r>
      <w:r w:rsidR="00EF6A50">
        <w:t xml:space="preserve">was </w:t>
      </w:r>
      <w:r w:rsidR="00EF6A50" w:rsidRPr="00DD7CA0">
        <w:t xml:space="preserve">at </w:t>
      </w:r>
      <w:r w:rsidR="00EF6A50">
        <w:t>W</w:t>
      </w:r>
      <w:r w:rsidR="00EF6A50" w:rsidRPr="00DD7CA0">
        <w:t>eek 8</w:t>
      </w:r>
      <w:r w:rsidR="00EF6A50">
        <w:t xml:space="preserve"> of the </w:t>
      </w:r>
      <w:r w:rsidR="00E91387">
        <w:t>double blind</w:t>
      </w:r>
      <w:r w:rsidR="00EF6A50">
        <w:t xml:space="preserve"> treatment period</w:t>
      </w:r>
      <w:r w:rsidR="005F7896">
        <w:t>.</w:t>
      </w:r>
    </w:p>
    <w:p w14:paraId="57FE5B62" w14:textId="04B5BE4B" w:rsidR="00EF6A50" w:rsidRDefault="00EF6A50" w:rsidP="00330821">
      <w:r>
        <w:t xml:space="preserve">Subjects with moderate to severe UC were randomised 4:1 to receive either </w:t>
      </w:r>
      <w:proofErr w:type="spellStart"/>
      <w:r>
        <w:t>tofacitinib</w:t>
      </w:r>
      <w:proofErr w:type="spellEnd"/>
      <w:r w:rsidR="00B94414">
        <w:t xml:space="preserve"> </w:t>
      </w:r>
      <w:r w:rsidR="00E91387">
        <w:t>10 </w:t>
      </w:r>
      <w:r>
        <w:t xml:space="preserve">mg </w:t>
      </w:r>
      <w:r w:rsidR="00E91387">
        <w:t>BID</w:t>
      </w:r>
      <w:r>
        <w:t xml:space="preserve"> or placebo. Subjects were stratified based on the status of prior treatment with </w:t>
      </w:r>
      <w:proofErr w:type="spellStart"/>
      <w:r w:rsidR="00E91387">
        <w:t>TNFi</w:t>
      </w:r>
      <w:proofErr w:type="spellEnd"/>
      <w:r>
        <w:t xml:space="preserve"> therapy, corticosteroid use at </w:t>
      </w:r>
      <w:r w:rsidR="00CF6A6C">
        <w:t>Baseline</w:t>
      </w:r>
      <w:r>
        <w:t xml:space="preserve">, and geographic region. Initially there was a 15 mg </w:t>
      </w:r>
      <w:r w:rsidR="00E91387">
        <w:t>BID</w:t>
      </w:r>
      <w:r>
        <w:t xml:space="preserve"> arm but that was removed from both studies with subsequent recalculations of the randomisation schedule, sample size and power calculations.</w:t>
      </w:r>
      <w:r w:rsidR="005F7896">
        <w:t xml:space="preserve"> </w:t>
      </w:r>
      <w:r w:rsidRPr="00D96D67">
        <w:t xml:space="preserve">Subjects assigned </w:t>
      </w:r>
      <w:proofErr w:type="spellStart"/>
      <w:r w:rsidRPr="00D96D67">
        <w:t>tofacitinib</w:t>
      </w:r>
      <w:proofErr w:type="spellEnd"/>
      <w:r w:rsidRPr="00D96D67">
        <w:t xml:space="preserve"> 15 mg </w:t>
      </w:r>
      <w:r w:rsidR="00E91387">
        <w:t>BID</w:t>
      </w:r>
      <w:r w:rsidRPr="00D96D67">
        <w:t xml:space="preserve"> treatment in either study were not included in the analysis sets, but summarised descriptively in separate tables for safety and efficacy.</w:t>
      </w:r>
      <w:r w:rsidRPr="000E4F41">
        <w:t xml:space="preserve"> A total of 614 subjects were randomised to Study </w:t>
      </w:r>
      <w:r w:rsidR="007A2D79" w:rsidRPr="007A2D79">
        <w:t>A392</w:t>
      </w:r>
      <w:r w:rsidRPr="000E4F41">
        <w:t>1094</w:t>
      </w:r>
      <w:r>
        <w:t xml:space="preserve"> (476 to </w:t>
      </w:r>
      <w:proofErr w:type="spellStart"/>
      <w:r>
        <w:t>tofacitinib</w:t>
      </w:r>
      <w:proofErr w:type="spellEnd"/>
      <w:r>
        <w:t xml:space="preserve"> and 122 to placebo)</w:t>
      </w:r>
      <w:r w:rsidRPr="000E4F41">
        <w:t xml:space="preserve"> and 547 </w:t>
      </w:r>
      <w:r>
        <w:t xml:space="preserve">(429 to </w:t>
      </w:r>
      <w:proofErr w:type="spellStart"/>
      <w:r>
        <w:t>tofacitinib</w:t>
      </w:r>
      <w:proofErr w:type="spellEnd"/>
      <w:r>
        <w:t xml:space="preserve"> and 122 to placebo) </w:t>
      </w:r>
      <w:r w:rsidRPr="000E4F41">
        <w:t xml:space="preserve">to Study </w:t>
      </w:r>
      <w:r w:rsidR="007A2D79" w:rsidRPr="007A2D79">
        <w:t>A392</w:t>
      </w:r>
      <w:r w:rsidRPr="000E4F41">
        <w:t>1095.</w:t>
      </w:r>
    </w:p>
    <w:p w14:paraId="54049A3D" w14:textId="77777777" w:rsidR="00EF6A50" w:rsidRDefault="00EF6A50" w:rsidP="00330821">
      <w:r>
        <w:t xml:space="preserve">The full inclusion and exclusion criteria are listed </w:t>
      </w:r>
      <w:r w:rsidR="00E91387">
        <w:t>in the clinical evaluation report</w:t>
      </w:r>
      <w:r>
        <w:t>. Of note study subjects were required to have:</w:t>
      </w:r>
    </w:p>
    <w:p w14:paraId="4F9E0115" w14:textId="385A278D" w:rsidR="00EF6A50" w:rsidRDefault="00EF6A50" w:rsidP="00330821">
      <w:pPr>
        <w:pStyle w:val="ListBullet"/>
      </w:pPr>
      <w:r>
        <w:t>Moderately to severely active UC (total Mayo score of ≥ 6, with a rectal bleeding scor</w:t>
      </w:r>
      <w:r w:rsidR="00E91387">
        <w:t>e of ≥ 1, and an endoscopic sub-</w:t>
      </w:r>
      <w:r>
        <w:t xml:space="preserve">score of ≥ 2 on the </w:t>
      </w:r>
      <w:r w:rsidR="00E91387">
        <w:t>Mayo score determined within 10 </w:t>
      </w:r>
      <w:r>
        <w:t xml:space="preserve">days of </w:t>
      </w:r>
      <w:r w:rsidR="00CF6A6C">
        <w:t>Baseline</w:t>
      </w:r>
      <w:r>
        <w:t>);</w:t>
      </w:r>
    </w:p>
    <w:p w14:paraId="7B9C642F" w14:textId="77777777" w:rsidR="00EF6A50" w:rsidRDefault="00EF6A50" w:rsidP="00330821">
      <w:pPr>
        <w:pStyle w:val="ListBullet"/>
      </w:pPr>
      <w:r>
        <w:t xml:space="preserve">Subjects must have failed or been intolerant (discontinued due to an AE) at least one UC treatment (oral or IV corticosteroids, AZA or 6-MP or </w:t>
      </w:r>
      <w:proofErr w:type="spellStart"/>
      <w:r>
        <w:t>TNFi</w:t>
      </w:r>
      <w:proofErr w:type="spellEnd"/>
      <w:r>
        <w:t>); and</w:t>
      </w:r>
    </w:p>
    <w:p w14:paraId="39BC4BF2" w14:textId="77777777" w:rsidR="00EF6A50" w:rsidRDefault="00EF6A50" w:rsidP="00330821">
      <w:pPr>
        <w:pStyle w:val="ListBullet"/>
      </w:pPr>
      <w:r>
        <w:t xml:space="preserve"> Stable oral 5-ASA, oral corticosteroids (prednisone equivalent up to 25 mg/day; budesonide up to 9 mg/day) and antibiotics were allowed during the study period.</w:t>
      </w:r>
    </w:p>
    <w:p w14:paraId="07BA59E9" w14:textId="77777777" w:rsidR="00EF6A50" w:rsidRDefault="00EF6A50" w:rsidP="00330821">
      <w:r>
        <w:t xml:space="preserve">The </w:t>
      </w:r>
      <w:r w:rsidRPr="00D2759C">
        <w:t xml:space="preserve">Mayo score consists of </w:t>
      </w:r>
      <w:r>
        <w:t>4</w:t>
      </w:r>
      <w:r w:rsidRPr="00D2759C">
        <w:t xml:space="preserve"> </w:t>
      </w:r>
      <w:proofErr w:type="spellStart"/>
      <w:r w:rsidRPr="00D2759C">
        <w:t>subscores</w:t>
      </w:r>
      <w:proofErr w:type="spellEnd"/>
      <w:r w:rsidRPr="00D2759C">
        <w:t>: stool frequency, rectal bleeding, findings of endoscopy, and physician’s global assessment. Each sub</w:t>
      </w:r>
      <w:r w:rsidR="00E91387">
        <w:t>-</w:t>
      </w:r>
      <w:r w:rsidRPr="00D2759C">
        <w:t>score is rated on a scale from 0 to 3, indicating normal (0) to severe (3) activity</w:t>
      </w:r>
      <w:r>
        <w:t xml:space="preserve"> with the </w:t>
      </w:r>
      <w:r w:rsidRPr="00D2759C">
        <w:t>Mayo score</w:t>
      </w:r>
      <w:r>
        <w:t xml:space="preserve"> being</w:t>
      </w:r>
      <w:r w:rsidRPr="00D2759C">
        <w:t xml:space="preserve"> the sum of the 4 </w:t>
      </w:r>
      <w:proofErr w:type="spellStart"/>
      <w:r w:rsidRPr="00D2759C">
        <w:t>subscores</w:t>
      </w:r>
      <w:proofErr w:type="spellEnd"/>
      <w:r w:rsidRPr="00D2759C">
        <w:t>.</w:t>
      </w:r>
    </w:p>
    <w:p w14:paraId="1317EEB4" w14:textId="77777777" w:rsidR="005F7896" w:rsidRDefault="00EF6A50" w:rsidP="00330821">
      <w:r w:rsidRPr="00897F6A">
        <w:t>The primary efficacy endpoint was the proportion of subjects in remission at Week 8</w:t>
      </w:r>
      <w:r>
        <w:t>, defined as a tot</w:t>
      </w:r>
      <w:r w:rsidRPr="00897F6A">
        <w:t>al Mayo score of ≤ 2 points, with no individual sub</w:t>
      </w:r>
      <w:r w:rsidR="00E91387">
        <w:t>-</w:t>
      </w:r>
      <w:r w:rsidRPr="00897F6A">
        <w:t>score exceeding 1 point and a rectal bleeding sub</w:t>
      </w:r>
      <w:r w:rsidR="00E91387">
        <w:t>-</w:t>
      </w:r>
      <w:r w:rsidRPr="00897F6A">
        <w:t>score of 0</w:t>
      </w:r>
      <w:r w:rsidR="005F7896">
        <w:t>.</w:t>
      </w:r>
    </w:p>
    <w:p w14:paraId="182D2591" w14:textId="21D52DDF" w:rsidR="00EF6A50" w:rsidRDefault="00EF6A50" w:rsidP="00330821">
      <w:r>
        <w:t>The k</w:t>
      </w:r>
      <w:r w:rsidRPr="00A360AF">
        <w:t xml:space="preserve">ey secondary efficacy endpoint was the proportion of subjects with </w:t>
      </w:r>
      <w:r w:rsidR="00BF7FB1">
        <w:t>mucosal h</w:t>
      </w:r>
      <w:r>
        <w:t xml:space="preserve">ealing </w:t>
      </w:r>
      <w:r w:rsidRPr="00A360AF">
        <w:t xml:space="preserve">at Week 8 (total Mayo endoscopic </w:t>
      </w:r>
      <w:r w:rsidR="00E91387">
        <w:t>sub-score</w:t>
      </w:r>
      <w:r w:rsidRPr="00A360AF">
        <w:t xml:space="preserve"> of 0 or 1).</w:t>
      </w:r>
      <w:r>
        <w:t xml:space="preserve"> Clinical response at Week 8 was a secondary endpoint and was defined as </w:t>
      </w:r>
      <w:r w:rsidRPr="00A360AF">
        <w:t xml:space="preserve">a decrease from </w:t>
      </w:r>
      <w:r w:rsidR="00CF6A6C">
        <w:t>Baseline</w:t>
      </w:r>
      <w:r w:rsidRPr="00A360AF">
        <w:t xml:space="preserve"> in Mayo score of at least 3 points and at least 30%, with an accompanying decrease in the </w:t>
      </w:r>
      <w:r w:rsidR="00E91387">
        <w:t>sub-score</w:t>
      </w:r>
      <w:r w:rsidRPr="00A360AF">
        <w:t xml:space="preserve"> for rectal bleeding of at least 1 point or absolute </w:t>
      </w:r>
      <w:r w:rsidR="00E91387">
        <w:t>sub-score</w:t>
      </w:r>
      <w:r w:rsidRPr="00A360AF">
        <w:t xml:space="preserve"> for rectal bleeding of 0 or 1</w:t>
      </w:r>
      <w:r>
        <w:t xml:space="preserve">. The final secondary endpoint was endoscopic remission at Week 8, defined as a Mayo endoscopic </w:t>
      </w:r>
      <w:r w:rsidR="00E91387">
        <w:t>sub-score</w:t>
      </w:r>
      <w:r>
        <w:t xml:space="preserve"> of 0.</w:t>
      </w:r>
    </w:p>
    <w:p w14:paraId="1706EBAB" w14:textId="784B2B74" w:rsidR="005F7896" w:rsidRDefault="00EF6A50" w:rsidP="00330821">
      <w:r w:rsidRPr="00D96D67">
        <w:t>The pri</w:t>
      </w:r>
      <w:r w:rsidR="00E91387">
        <w:t>mary analysis was based on the f</w:t>
      </w:r>
      <w:r>
        <w:t xml:space="preserve">ull </w:t>
      </w:r>
      <w:r w:rsidR="00E91387">
        <w:t>a</w:t>
      </w:r>
      <w:r>
        <w:t xml:space="preserve">nalysis </w:t>
      </w:r>
      <w:r w:rsidR="00E91387">
        <w:t>s</w:t>
      </w:r>
      <w:r>
        <w:t>et</w:t>
      </w:r>
      <w:r w:rsidRPr="00D96D67">
        <w:t xml:space="preserve"> with central read of endoscopy. The primary endpoint was compared between treatment groups by the Cochran-Mantel-</w:t>
      </w:r>
      <w:proofErr w:type="spellStart"/>
      <w:r w:rsidRPr="00D96D67">
        <w:t>Haenszel</w:t>
      </w:r>
      <w:proofErr w:type="spellEnd"/>
      <w:r w:rsidRPr="00D96D67">
        <w:t xml:space="preserve"> (CMH) Chi-square test</w:t>
      </w:r>
      <w:r>
        <w:t>,</w:t>
      </w:r>
      <w:r w:rsidRPr="00D96D67">
        <w:t xml:space="preserve"> stratified by prior treatment with </w:t>
      </w:r>
      <w:proofErr w:type="spellStart"/>
      <w:r w:rsidRPr="00D96D67">
        <w:t>TNFi</w:t>
      </w:r>
      <w:proofErr w:type="spellEnd"/>
      <w:r w:rsidRPr="00D96D67">
        <w:t xml:space="preserve"> therapy (exposure and failure), corticosteroid use at </w:t>
      </w:r>
      <w:r w:rsidR="00CF6A6C">
        <w:t>Baseline</w:t>
      </w:r>
      <w:r w:rsidRPr="00D96D67">
        <w:t>, and geographic region using Fisher’s exact test</w:t>
      </w:r>
      <w:r w:rsidR="005F7896">
        <w:t>.</w:t>
      </w:r>
    </w:p>
    <w:p w14:paraId="7F8BB73D" w14:textId="77777777" w:rsidR="00EF6A50" w:rsidRDefault="00EF6A50" w:rsidP="00330821">
      <w:r w:rsidRPr="00D96D67">
        <w:t>Subjects with missing remission data at Week 8 were treated as non-</w:t>
      </w:r>
      <w:r>
        <w:t>r</w:t>
      </w:r>
      <w:r w:rsidRPr="00D96D67">
        <w:t>esponders. The non-responder imputation method was used to handle missing values in both the summary presentations and analyses.</w:t>
      </w:r>
    </w:p>
    <w:p w14:paraId="2E01A13D" w14:textId="685A4159" w:rsidR="005F7896" w:rsidRDefault="00EF6A50" w:rsidP="00330821">
      <w:r>
        <w:lastRenderedPageBreak/>
        <w:t xml:space="preserve">Demographic and disease characteristics at </w:t>
      </w:r>
      <w:r w:rsidR="00CF6A6C">
        <w:t>Baseline</w:t>
      </w:r>
      <w:r>
        <w:t xml:space="preserve"> for these studies </w:t>
      </w:r>
      <w:r w:rsidR="00BF7FB1">
        <w:t>are shown in the clinical evaluation report</w:t>
      </w:r>
      <w:r>
        <w:t>. M</w:t>
      </w:r>
      <w:r w:rsidRPr="005E59B7">
        <w:t xml:space="preserve">ean total Mayo score </w:t>
      </w:r>
      <w:r>
        <w:t>was</w:t>
      </w:r>
      <w:r w:rsidRPr="005E59B7">
        <w:t xml:space="preserve"> 9.0</w:t>
      </w:r>
      <w:r>
        <w:t>.</w:t>
      </w:r>
      <w:r w:rsidR="005F7896">
        <w:t xml:space="preserve"> </w:t>
      </w:r>
      <w:r>
        <w:t xml:space="preserve">Prior </w:t>
      </w:r>
      <w:proofErr w:type="spellStart"/>
      <w:r>
        <w:t>TNFi</w:t>
      </w:r>
      <w:proofErr w:type="spellEnd"/>
      <w:r>
        <w:t xml:space="preserve"> treatment failure was reported for 51.3% of subjects in Study </w:t>
      </w:r>
      <w:r w:rsidR="007A2D79" w:rsidRPr="007A2D79">
        <w:t>A392</w:t>
      </w:r>
      <w:r>
        <w:t xml:space="preserve">1094 and in 52.1% of subjects in </w:t>
      </w:r>
      <w:r w:rsidR="007A2D79">
        <w:t xml:space="preserve">Study </w:t>
      </w:r>
      <w:r w:rsidR="007A2D79" w:rsidRPr="007A2D79">
        <w:t>A392</w:t>
      </w:r>
      <w:r>
        <w:t xml:space="preserve">1095. Concomitant corticosteroids were taken by 45.5% of subjects in Study </w:t>
      </w:r>
      <w:r w:rsidR="007A2D79" w:rsidRPr="007A2D79">
        <w:t>A392</w:t>
      </w:r>
      <w:r>
        <w:t xml:space="preserve">1094 and by 47.7% in Study </w:t>
      </w:r>
      <w:r w:rsidR="007A2D79" w:rsidRPr="007A2D79">
        <w:t>A392</w:t>
      </w:r>
      <w:r>
        <w:t xml:space="preserve">1095. Results for the primary endpoint (remission at Week 8) from both studies are shown </w:t>
      </w:r>
      <w:r w:rsidR="00BF7FB1">
        <w:t>i</w:t>
      </w:r>
      <w:r w:rsidR="00864C03">
        <w:t>n</w:t>
      </w:r>
      <w:r w:rsidR="004E5B1B">
        <w:t xml:space="preserve"> </w:t>
      </w:r>
      <w:r w:rsidR="004E5B1B">
        <w:fldChar w:fldCharType="begin"/>
      </w:r>
      <w:r w:rsidR="004E5B1B">
        <w:instrText xml:space="preserve"> REF _Ref15027164 \h </w:instrText>
      </w:r>
      <w:r w:rsidR="004E5B1B">
        <w:fldChar w:fldCharType="separate"/>
      </w:r>
      <w:r w:rsidR="004E5B1B">
        <w:t xml:space="preserve">Table </w:t>
      </w:r>
      <w:r w:rsidR="004E5B1B">
        <w:rPr>
          <w:noProof/>
        </w:rPr>
        <w:t>19</w:t>
      </w:r>
      <w:r w:rsidR="004E5B1B">
        <w:fldChar w:fldCharType="end"/>
      </w:r>
      <w:r w:rsidR="00BF7FB1">
        <w:t>.</w:t>
      </w:r>
    </w:p>
    <w:p w14:paraId="0F93613A" w14:textId="77777777" w:rsidR="00330821" w:rsidRDefault="004E5B1B" w:rsidP="004E5B1B">
      <w:pPr>
        <w:pStyle w:val="TableTitle"/>
      </w:pPr>
      <w:bookmarkStart w:id="233" w:name="_Ref15027164"/>
      <w:r>
        <w:t xml:space="preserve">Table </w:t>
      </w:r>
      <w:r w:rsidR="009870DC">
        <w:fldChar w:fldCharType="begin"/>
      </w:r>
      <w:r w:rsidR="009870DC">
        <w:instrText xml:space="preserve"> SEQ Table \* ARABIC </w:instrText>
      </w:r>
      <w:r w:rsidR="009870DC">
        <w:fldChar w:fldCharType="separate"/>
      </w:r>
      <w:r>
        <w:rPr>
          <w:noProof/>
        </w:rPr>
        <w:t>19</w:t>
      </w:r>
      <w:r w:rsidR="009870DC">
        <w:rPr>
          <w:noProof/>
        </w:rPr>
        <w:fldChar w:fldCharType="end"/>
      </w:r>
      <w:bookmarkEnd w:id="233"/>
      <w:r w:rsidR="00B41FBC">
        <w:t>: Results for the primary endpoint (remission at Week 8)</w:t>
      </w:r>
    </w:p>
    <w:tbl>
      <w:tblPr>
        <w:tblStyle w:val="TableTGAblue"/>
        <w:tblW w:w="0" w:type="auto"/>
        <w:tblLook w:val="04A0" w:firstRow="1" w:lastRow="0" w:firstColumn="1" w:lastColumn="0" w:noHBand="0" w:noVBand="1"/>
      </w:tblPr>
      <w:tblGrid>
        <w:gridCol w:w="1116"/>
        <w:gridCol w:w="2007"/>
        <w:gridCol w:w="1720"/>
        <w:gridCol w:w="3584"/>
      </w:tblGrid>
      <w:tr w:rsidR="00330821" w14:paraId="67CEEC30" w14:textId="77777777" w:rsidTr="003857E3">
        <w:trPr>
          <w:cnfStyle w:val="100000000000" w:firstRow="1" w:lastRow="0" w:firstColumn="0" w:lastColumn="0" w:oddVBand="0" w:evenVBand="0" w:oddHBand="0" w:evenHBand="0" w:firstRowFirstColumn="0" w:firstRowLastColumn="0" w:lastRowFirstColumn="0" w:lastRowLastColumn="0"/>
          <w:trHeight w:val="585"/>
        </w:trPr>
        <w:tc>
          <w:tcPr>
            <w:tcW w:w="970" w:type="dxa"/>
          </w:tcPr>
          <w:p w14:paraId="2405AD29" w14:textId="77777777" w:rsidR="00330821" w:rsidRPr="00330821" w:rsidRDefault="00330821" w:rsidP="00B41FBC">
            <w:pPr>
              <w:ind w:left="0" w:right="0"/>
              <w:rPr>
                <w:sz w:val="20"/>
              </w:rPr>
            </w:pPr>
            <w:r w:rsidRPr="00330821">
              <w:rPr>
                <w:sz w:val="20"/>
              </w:rPr>
              <w:t>Study</w:t>
            </w:r>
          </w:p>
        </w:tc>
        <w:tc>
          <w:tcPr>
            <w:tcW w:w="2007" w:type="dxa"/>
          </w:tcPr>
          <w:p w14:paraId="08D0D57D" w14:textId="77777777" w:rsidR="00330821" w:rsidRPr="00330821" w:rsidRDefault="00B41FBC" w:rsidP="00B41FBC">
            <w:pPr>
              <w:ind w:left="0" w:right="0"/>
              <w:rPr>
                <w:sz w:val="20"/>
              </w:rPr>
            </w:pPr>
            <w:proofErr w:type="spellStart"/>
            <w:r w:rsidRPr="00330821">
              <w:rPr>
                <w:sz w:val="20"/>
              </w:rPr>
              <w:t>Tofacitinib</w:t>
            </w:r>
            <w:proofErr w:type="spellEnd"/>
            <w:r w:rsidR="00225681">
              <w:rPr>
                <w:sz w:val="20"/>
              </w:rPr>
              <w:t>,</w:t>
            </w:r>
            <w:r w:rsidR="00330821" w:rsidRPr="00330821">
              <w:rPr>
                <w:sz w:val="20"/>
              </w:rPr>
              <w:t xml:space="preserve"> n (%)</w:t>
            </w:r>
          </w:p>
        </w:tc>
        <w:tc>
          <w:tcPr>
            <w:tcW w:w="1720" w:type="dxa"/>
          </w:tcPr>
          <w:p w14:paraId="4E9ADCD9" w14:textId="77777777" w:rsidR="00330821" w:rsidRPr="00330821" w:rsidRDefault="00330821" w:rsidP="00B41FBC">
            <w:pPr>
              <w:ind w:left="0" w:right="0"/>
              <w:rPr>
                <w:sz w:val="20"/>
              </w:rPr>
            </w:pPr>
            <w:r w:rsidRPr="00330821">
              <w:rPr>
                <w:sz w:val="20"/>
              </w:rPr>
              <w:t>Placebo, n (%)</w:t>
            </w:r>
          </w:p>
        </w:tc>
        <w:tc>
          <w:tcPr>
            <w:tcW w:w="3584" w:type="dxa"/>
          </w:tcPr>
          <w:p w14:paraId="261752C4" w14:textId="77777777" w:rsidR="00330821" w:rsidRPr="00330821" w:rsidRDefault="00330821" w:rsidP="00B41FBC">
            <w:pPr>
              <w:ind w:left="0" w:right="0"/>
              <w:rPr>
                <w:sz w:val="20"/>
              </w:rPr>
            </w:pPr>
            <w:r w:rsidRPr="00330821">
              <w:rPr>
                <w:sz w:val="20"/>
                <w:szCs w:val="20"/>
              </w:rPr>
              <w:t>Difference from placebo (95%CI; p)</w:t>
            </w:r>
          </w:p>
        </w:tc>
      </w:tr>
      <w:tr w:rsidR="00330821" w14:paraId="18E223BA" w14:textId="77777777" w:rsidTr="003857E3">
        <w:trPr>
          <w:trHeight w:val="595"/>
        </w:trPr>
        <w:tc>
          <w:tcPr>
            <w:tcW w:w="970" w:type="dxa"/>
          </w:tcPr>
          <w:p w14:paraId="0847D61E" w14:textId="1BE50CC3" w:rsidR="00330821" w:rsidRDefault="007A2D79" w:rsidP="00B41FBC">
            <w:pPr>
              <w:ind w:left="0" w:right="0"/>
            </w:pPr>
            <w:r w:rsidRPr="007A2D79">
              <w:rPr>
                <w:sz w:val="20"/>
                <w:szCs w:val="20"/>
              </w:rPr>
              <w:t>A392</w:t>
            </w:r>
            <w:r w:rsidR="00330821" w:rsidRPr="00CF2F9D">
              <w:rPr>
                <w:sz w:val="20"/>
                <w:szCs w:val="20"/>
              </w:rPr>
              <w:t>1094</w:t>
            </w:r>
          </w:p>
        </w:tc>
        <w:tc>
          <w:tcPr>
            <w:tcW w:w="2007" w:type="dxa"/>
          </w:tcPr>
          <w:p w14:paraId="46EDE6DC" w14:textId="77777777" w:rsidR="00330821" w:rsidRDefault="00330821" w:rsidP="00B41FBC">
            <w:pPr>
              <w:ind w:left="0" w:right="0"/>
            </w:pPr>
            <w:r w:rsidRPr="00CF2F9D">
              <w:rPr>
                <w:sz w:val="20"/>
                <w:szCs w:val="20"/>
              </w:rPr>
              <w:t>88 (18.5)</w:t>
            </w:r>
          </w:p>
        </w:tc>
        <w:tc>
          <w:tcPr>
            <w:tcW w:w="1720" w:type="dxa"/>
          </w:tcPr>
          <w:p w14:paraId="2FBE54F9" w14:textId="77777777" w:rsidR="00330821" w:rsidRDefault="00330821" w:rsidP="00B41FBC">
            <w:pPr>
              <w:ind w:left="0" w:right="0"/>
            </w:pPr>
            <w:r w:rsidRPr="00CF2F9D">
              <w:rPr>
                <w:sz w:val="20"/>
                <w:szCs w:val="20"/>
              </w:rPr>
              <w:t>10 (8.2)</w:t>
            </w:r>
          </w:p>
        </w:tc>
        <w:tc>
          <w:tcPr>
            <w:tcW w:w="3584" w:type="dxa"/>
          </w:tcPr>
          <w:p w14:paraId="33CEA023" w14:textId="77777777" w:rsidR="00330821" w:rsidRDefault="00330821" w:rsidP="00B41FBC">
            <w:pPr>
              <w:ind w:left="0" w:right="0"/>
            </w:pPr>
            <w:r w:rsidRPr="00CF2F9D">
              <w:rPr>
                <w:sz w:val="20"/>
                <w:szCs w:val="20"/>
              </w:rPr>
              <w:t>10.3 (4.3, 16.3; p</w:t>
            </w:r>
            <w:r>
              <w:rPr>
                <w:sz w:val="20"/>
                <w:szCs w:val="20"/>
              </w:rPr>
              <w:t xml:space="preserve"> </w:t>
            </w:r>
            <w:r w:rsidRPr="00CF2F9D">
              <w:rPr>
                <w:sz w:val="20"/>
                <w:szCs w:val="20"/>
              </w:rPr>
              <w:t>= 0.007)</w:t>
            </w:r>
          </w:p>
        </w:tc>
      </w:tr>
      <w:tr w:rsidR="00330821" w14:paraId="67C9F079" w14:textId="77777777" w:rsidTr="003857E3">
        <w:trPr>
          <w:trHeight w:val="585"/>
        </w:trPr>
        <w:tc>
          <w:tcPr>
            <w:tcW w:w="970" w:type="dxa"/>
          </w:tcPr>
          <w:p w14:paraId="36815536" w14:textId="2452D859" w:rsidR="00330821" w:rsidRDefault="007A2D79" w:rsidP="00B41FBC">
            <w:pPr>
              <w:ind w:left="0" w:right="0"/>
            </w:pPr>
            <w:r w:rsidRPr="007A2D79">
              <w:rPr>
                <w:sz w:val="20"/>
                <w:szCs w:val="20"/>
              </w:rPr>
              <w:t>A392</w:t>
            </w:r>
            <w:r w:rsidR="00330821" w:rsidRPr="00CF2F9D">
              <w:rPr>
                <w:sz w:val="20"/>
                <w:szCs w:val="20"/>
              </w:rPr>
              <w:t>1095</w:t>
            </w:r>
          </w:p>
        </w:tc>
        <w:tc>
          <w:tcPr>
            <w:tcW w:w="2007" w:type="dxa"/>
          </w:tcPr>
          <w:p w14:paraId="1AAECCC4" w14:textId="77777777" w:rsidR="00330821" w:rsidRDefault="00330821" w:rsidP="00B41FBC">
            <w:pPr>
              <w:ind w:left="0" w:right="0"/>
            </w:pPr>
            <w:r w:rsidRPr="00CF2F9D">
              <w:rPr>
                <w:sz w:val="20"/>
                <w:szCs w:val="20"/>
              </w:rPr>
              <w:t>71 (16.6)</w:t>
            </w:r>
          </w:p>
        </w:tc>
        <w:tc>
          <w:tcPr>
            <w:tcW w:w="1720" w:type="dxa"/>
          </w:tcPr>
          <w:p w14:paraId="3EF22E01" w14:textId="77777777" w:rsidR="00330821" w:rsidRDefault="00330821" w:rsidP="00B41FBC">
            <w:pPr>
              <w:ind w:left="0" w:right="0"/>
            </w:pPr>
            <w:r w:rsidRPr="00CF2F9D">
              <w:rPr>
                <w:sz w:val="20"/>
                <w:szCs w:val="20"/>
              </w:rPr>
              <w:t>4 (3.6)</w:t>
            </w:r>
          </w:p>
        </w:tc>
        <w:tc>
          <w:tcPr>
            <w:tcW w:w="3584" w:type="dxa"/>
          </w:tcPr>
          <w:p w14:paraId="6BDBBC0B" w14:textId="77777777" w:rsidR="00330821" w:rsidRDefault="00330821" w:rsidP="00B41FBC">
            <w:pPr>
              <w:ind w:left="0" w:right="0"/>
            </w:pPr>
            <w:r w:rsidRPr="00CF2F9D">
              <w:rPr>
                <w:sz w:val="20"/>
                <w:szCs w:val="20"/>
              </w:rPr>
              <w:t>13.0 (8.1, 17.9;</w:t>
            </w:r>
            <w:r>
              <w:rPr>
                <w:sz w:val="20"/>
                <w:szCs w:val="20"/>
              </w:rPr>
              <w:t xml:space="preserve"> </w:t>
            </w:r>
            <w:r w:rsidRPr="00CF2F9D">
              <w:rPr>
                <w:sz w:val="20"/>
                <w:szCs w:val="20"/>
              </w:rPr>
              <w:t>p</w:t>
            </w:r>
            <w:r w:rsidR="00B41FBC">
              <w:rPr>
                <w:sz w:val="20"/>
                <w:szCs w:val="20"/>
              </w:rPr>
              <w:t xml:space="preserve"> </w:t>
            </w:r>
            <w:r w:rsidRPr="00CF2F9D">
              <w:rPr>
                <w:sz w:val="20"/>
                <w:szCs w:val="20"/>
              </w:rPr>
              <w:t>=</w:t>
            </w:r>
            <w:r>
              <w:rPr>
                <w:sz w:val="20"/>
                <w:szCs w:val="20"/>
              </w:rPr>
              <w:t xml:space="preserve"> </w:t>
            </w:r>
            <w:r w:rsidRPr="00CF2F9D">
              <w:rPr>
                <w:sz w:val="20"/>
                <w:szCs w:val="20"/>
              </w:rPr>
              <w:t>0.005)</w:t>
            </w:r>
          </w:p>
        </w:tc>
      </w:tr>
    </w:tbl>
    <w:p w14:paraId="35ECDA6F" w14:textId="77777777" w:rsidR="00EF6A50" w:rsidRDefault="00EF6A50" w:rsidP="009870DC">
      <w:r>
        <w:t xml:space="preserve">Various sensitivity analyses showed consistent superiority of </w:t>
      </w:r>
      <w:proofErr w:type="spellStart"/>
      <w:r>
        <w:t>tofacitinib</w:t>
      </w:r>
      <w:proofErr w:type="spellEnd"/>
      <w:r>
        <w:t xml:space="preserve"> over placebo for</w:t>
      </w:r>
      <w:r w:rsidR="005F7896">
        <w:t xml:space="preserve"> </w:t>
      </w:r>
      <w:r>
        <w:t>remission at Week 8</w:t>
      </w:r>
      <w:r w:rsidR="00BF7FB1">
        <w:t>, as outlined in the clinical evaluation report</w:t>
      </w:r>
      <w:r>
        <w:t>.</w:t>
      </w:r>
      <w:r w:rsidR="005F7896">
        <w:t xml:space="preserve"> </w:t>
      </w:r>
      <w:r>
        <w:t>Results from</w:t>
      </w:r>
      <w:r w:rsidR="005F7896">
        <w:t xml:space="preserve"> </w:t>
      </w:r>
      <w:proofErr w:type="spellStart"/>
      <w:r>
        <w:t>TNFi</w:t>
      </w:r>
      <w:proofErr w:type="spellEnd"/>
      <w:r>
        <w:t xml:space="preserve"> subgroup analyses are shown</w:t>
      </w:r>
      <w:r w:rsidR="00864C03">
        <w:t xml:space="preserve"> in</w:t>
      </w:r>
      <w:r w:rsidR="004E5B1B">
        <w:t xml:space="preserve"> </w:t>
      </w:r>
      <w:r w:rsidR="004E5B1B">
        <w:fldChar w:fldCharType="begin"/>
      </w:r>
      <w:r w:rsidR="004E5B1B">
        <w:instrText xml:space="preserve"> REF _Ref15027184 \h </w:instrText>
      </w:r>
      <w:r w:rsidR="004E5B1B">
        <w:fldChar w:fldCharType="separate"/>
      </w:r>
      <w:r w:rsidR="004E5B1B">
        <w:t xml:space="preserve">Table </w:t>
      </w:r>
      <w:r w:rsidR="004E5B1B">
        <w:rPr>
          <w:noProof/>
        </w:rPr>
        <w:t>20</w:t>
      </w:r>
      <w:r w:rsidR="004E5B1B">
        <w:fldChar w:fldCharType="end"/>
      </w:r>
      <w:r>
        <w:t>.</w:t>
      </w:r>
    </w:p>
    <w:p w14:paraId="5A8499EE" w14:textId="77777777" w:rsidR="00424472" w:rsidRDefault="004E5B1B" w:rsidP="004E5B1B">
      <w:pPr>
        <w:pStyle w:val="TableTitle"/>
      </w:pPr>
      <w:bookmarkStart w:id="234" w:name="_Ref15027184"/>
      <w:r>
        <w:t xml:space="preserve">Table </w:t>
      </w:r>
      <w:r w:rsidR="009870DC">
        <w:fldChar w:fldCharType="begin"/>
      </w:r>
      <w:r w:rsidR="009870DC">
        <w:instrText xml:space="preserve"> SEQ Table \* ARABIC </w:instrText>
      </w:r>
      <w:r w:rsidR="009870DC">
        <w:fldChar w:fldCharType="separate"/>
      </w:r>
      <w:r>
        <w:rPr>
          <w:noProof/>
        </w:rPr>
        <w:t>20</w:t>
      </w:r>
      <w:r w:rsidR="009870DC">
        <w:rPr>
          <w:noProof/>
        </w:rPr>
        <w:fldChar w:fldCharType="end"/>
      </w:r>
      <w:bookmarkEnd w:id="234"/>
      <w:r w:rsidR="00424472">
        <w:t xml:space="preserve">: </w:t>
      </w:r>
      <w:r w:rsidR="00B94414">
        <w:t xml:space="preserve">Results for primary endpoint (remission at Week 8) by </w:t>
      </w:r>
      <w:proofErr w:type="spellStart"/>
      <w:r w:rsidR="00B94414">
        <w:t>TNFi</w:t>
      </w:r>
      <w:proofErr w:type="spellEnd"/>
      <w:r w:rsidR="00B94414">
        <w:t xml:space="preserve"> subgroup</w:t>
      </w:r>
    </w:p>
    <w:p w14:paraId="2C1235D9" w14:textId="77777777" w:rsidR="00EF6A50" w:rsidRDefault="00EF6A50" w:rsidP="00EF6A50">
      <w:r>
        <w:rPr>
          <w:noProof/>
          <w:lang w:eastAsia="en-AU"/>
        </w:rPr>
        <w:drawing>
          <wp:inline distT="0" distB="0" distL="0" distR="0" wp14:anchorId="1F572112" wp14:editId="6C9C7DFD">
            <wp:extent cx="5400040" cy="2318862"/>
            <wp:effectExtent l="0" t="0" r="0" b="5715"/>
            <wp:docPr id="305" name="Picture 305" descr="Results for primary endpoint (remission at Week 8) by TNFi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2318862"/>
                    </a:xfrm>
                    <a:prstGeom prst="rect">
                      <a:avLst/>
                    </a:prstGeom>
                    <a:noFill/>
                    <a:ln>
                      <a:noFill/>
                    </a:ln>
                  </pic:spPr>
                </pic:pic>
              </a:graphicData>
            </a:graphic>
          </wp:inline>
        </w:drawing>
      </w:r>
    </w:p>
    <w:p w14:paraId="51A89F5F" w14:textId="77777777" w:rsidR="005F7896" w:rsidRDefault="00EF6A50" w:rsidP="00B94414">
      <w:r>
        <w:t>Treatment effects for remission at Week 8 (</w:t>
      </w:r>
      <w:r w:rsidR="00BF7FB1">
        <w:t>full analysis set</w:t>
      </w:r>
      <w:r>
        <w:t xml:space="preserve">, </w:t>
      </w:r>
      <w:r w:rsidR="00BF7FB1">
        <w:rPr>
          <w:lang w:eastAsia="ja-JP"/>
        </w:rPr>
        <w:t>non-responder imputation</w:t>
      </w:r>
      <w:r>
        <w:t xml:space="preserve">) were observed across the majority of subgroups in these exploratory analyses with </w:t>
      </w:r>
      <w:proofErr w:type="spellStart"/>
      <w:r>
        <w:t>tofacitinib</w:t>
      </w:r>
      <w:proofErr w:type="spellEnd"/>
      <w:r>
        <w:t xml:space="preserve"> showing similar differences from placebo regardless of previous </w:t>
      </w:r>
      <w:proofErr w:type="spellStart"/>
      <w:r>
        <w:t>TNFi</w:t>
      </w:r>
      <w:proofErr w:type="spellEnd"/>
      <w:r>
        <w:t xml:space="preserve"> experience.</w:t>
      </w:r>
      <w:r w:rsidR="005F7896">
        <w:t xml:space="preserve"> </w:t>
      </w:r>
      <w:r>
        <w:t>Time to onset was assessed in exploratory analyses with efficacy suggested by Week 2</w:t>
      </w:r>
      <w:r w:rsidR="005F7896">
        <w:t>.</w:t>
      </w:r>
    </w:p>
    <w:p w14:paraId="4CF6DBAC" w14:textId="77777777" w:rsidR="005F7896" w:rsidRDefault="00EF6A50" w:rsidP="00B94414">
      <w:r>
        <w:t xml:space="preserve">Superiority of </w:t>
      </w:r>
      <w:proofErr w:type="spellStart"/>
      <w:r>
        <w:t>tofacitinib</w:t>
      </w:r>
      <w:proofErr w:type="spellEnd"/>
      <w:r>
        <w:t xml:space="preserve"> over placebo was also demonstrated for mucosal healing at Week 8 with </w:t>
      </w:r>
      <w:r w:rsidR="00BF7FB1">
        <w:t>mucosal healing</w:t>
      </w:r>
      <w:r>
        <w:t xml:space="preserve"> achieved by about 30% of subjects given </w:t>
      </w:r>
      <w:proofErr w:type="spellStart"/>
      <w:r>
        <w:t>tofacitinib</w:t>
      </w:r>
      <w:proofErr w:type="spellEnd"/>
      <w:r>
        <w:t xml:space="preserve"> and 16% given placebo across the 2 studies.</w:t>
      </w:r>
      <w:r w:rsidR="005F7896">
        <w:t xml:space="preserve"> </w:t>
      </w:r>
      <w:r>
        <w:t>Clinical response at Week 8 was a secondary endpoint.</w:t>
      </w:r>
      <w:r w:rsidR="005F7896">
        <w:t xml:space="preserve"> </w:t>
      </w:r>
      <w:r>
        <w:t xml:space="preserve">This was achieved by 59.6% </w:t>
      </w:r>
      <w:proofErr w:type="spellStart"/>
      <w:r>
        <w:t>tofacitinib</w:t>
      </w:r>
      <w:proofErr w:type="spellEnd"/>
      <w:r>
        <w:t xml:space="preserve"> </w:t>
      </w:r>
      <w:r w:rsidR="009D375F">
        <w:t>versus</w:t>
      </w:r>
      <w:r>
        <w:t xml:space="preserve"> 32.8% placebo in </w:t>
      </w:r>
      <w:r w:rsidR="003857E3">
        <w:t xml:space="preserve">Study </w:t>
      </w:r>
      <w:r>
        <w:t xml:space="preserve">1094 and by 55.0% </w:t>
      </w:r>
      <w:proofErr w:type="spellStart"/>
      <w:r>
        <w:t>tofacitinib</w:t>
      </w:r>
      <w:proofErr w:type="spellEnd"/>
      <w:r>
        <w:t xml:space="preserve"> </w:t>
      </w:r>
      <w:r w:rsidR="009D375F">
        <w:t>versus</w:t>
      </w:r>
      <w:r>
        <w:t xml:space="preserve"> 28.6% placebo in </w:t>
      </w:r>
      <w:r w:rsidR="003857E3">
        <w:t xml:space="preserve">Study </w:t>
      </w:r>
      <w:r>
        <w:t>1095</w:t>
      </w:r>
      <w:r w:rsidR="005F7896">
        <w:t>.</w:t>
      </w:r>
    </w:p>
    <w:p w14:paraId="35563F5C" w14:textId="77777777" w:rsidR="00EF6A50" w:rsidRDefault="00EF6A50" w:rsidP="00330821">
      <w:pPr>
        <w:pStyle w:val="Heading5"/>
      </w:pPr>
      <w:r>
        <w:t>Maintenance</w:t>
      </w:r>
    </w:p>
    <w:p w14:paraId="48C97926" w14:textId="194298BD" w:rsidR="00C93AD2" w:rsidRDefault="00EF6A50" w:rsidP="00C93AD2">
      <w:pPr>
        <w:pStyle w:val="Heading6"/>
      </w:pPr>
      <w:r w:rsidRPr="002546D0">
        <w:t xml:space="preserve">Study </w:t>
      </w:r>
      <w:r w:rsidR="007A2D79" w:rsidRPr="007A2D79">
        <w:t>A392</w:t>
      </w:r>
      <w:r w:rsidRPr="002546D0">
        <w:t>1096</w:t>
      </w:r>
    </w:p>
    <w:p w14:paraId="743980A4" w14:textId="4961262D" w:rsidR="005F7896" w:rsidRDefault="00C93AD2" w:rsidP="00B94414">
      <w:r>
        <w:t xml:space="preserve">This study </w:t>
      </w:r>
      <w:r w:rsidR="00C27E2E">
        <w:t>w</w:t>
      </w:r>
      <w:r w:rsidR="00EF6A50" w:rsidRPr="00A267F5">
        <w:t xml:space="preserve">as a randomised, </w:t>
      </w:r>
      <w:r w:rsidR="00E91387">
        <w:t>double blind</w:t>
      </w:r>
      <w:r w:rsidR="00BF7FB1">
        <w:t xml:space="preserve">, placebo controlled, parallel </w:t>
      </w:r>
      <w:r w:rsidR="00EF6A50" w:rsidRPr="00A267F5">
        <w:t xml:space="preserve">group, multi-centre, multi-national, maintenance study in subjects with UC who had </w:t>
      </w:r>
      <w:r w:rsidR="00BF7FB1">
        <w:t>completed one of the induction S</w:t>
      </w:r>
      <w:r w:rsidR="00EF6A50" w:rsidRPr="00A267F5">
        <w:t xml:space="preserve">tudies </w:t>
      </w:r>
      <w:r w:rsidR="007A2D79" w:rsidRPr="007A2D79">
        <w:t>A392</w:t>
      </w:r>
      <w:r w:rsidR="00EF6A50" w:rsidRPr="00A267F5">
        <w:t xml:space="preserve">1094 or </w:t>
      </w:r>
      <w:r w:rsidR="001120D9" w:rsidRPr="007A2D79">
        <w:t>A392</w:t>
      </w:r>
      <w:r w:rsidR="00EF6A50" w:rsidRPr="00A267F5">
        <w:t>1095 and had demonstrated clinical response</w:t>
      </w:r>
      <w:r w:rsidR="00EF6A50">
        <w:t>, defined as in the induction studies</w:t>
      </w:r>
      <w:r w:rsidR="005F7896">
        <w:t>.</w:t>
      </w:r>
    </w:p>
    <w:p w14:paraId="5D090B9D" w14:textId="443FBC64" w:rsidR="005F7896" w:rsidRDefault="00EF6A50" w:rsidP="00B94414">
      <w:r>
        <w:lastRenderedPageBreak/>
        <w:t xml:space="preserve">Subjects were re-randomised at Week 0 to receive </w:t>
      </w:r>
      <w:proofErr w:type="spellStart"/>
      <w:r>
        <w:t>tofacitinib</w:t>
      </w:r>
      <w:proofErr w:type="spellEnd"/>
      <w:r>
        <w:t xml:space="preserve"> 10 mg </w:t>
      </w:r>
      <w:r w:rsidR="00BF7FB1">
        <w:t>BID</w:t>
      </w:r>
      <w:r>
        <w:t xml:space="preserve">, 5 mg </w:t>
      </w:r>
      <w:r w:rsidR="00BF7FB1">
        <w:t>BID</w:t>
      </w:r>
      <w:r>
        <w:t xml:space="preserve"> or placebo in a 1:1:1 ratio to Week 53.</w:t>
      </w:r>
      <w:r w:rsidR="005F7896">
        <w:t xml:space="preserve"> </w:t>
      </w:r>
      <w:r>
        <w:t xml:space="preserve">They were then eligible for continued </w:t>
      </w:r>
      <w:r w:rsidR="00404101">
        <w:t>open label</w:t>
      </w:r>
      <w:r>
        <w:t xml:space="preserve"> </w:t>
      </w:r>
      <w:proofErr w:type="spellStart"/>
      <w:r>
        <w:t>tofacitinib</w:t>
      </w:r>
      <w:proofErr w:type="spellEnd"/>
      <w:r>
        <w:t xml:space="preserve"> 5 mg </w:t>
      </w:r>
      <w:r w:rsidR="00BF7FB1">
        <w:t>BID</w:t>
      </w:r>
      <w:r>
        <w:t xml:space="preserve"> or 10 mg </w:t>
      </w:r>
      <w:r w:rsidR="00BF7FB1">
        <w:t>BID</w:t>
      </w:r>
      <w:r>
        <w:t xml:space="preserve"> in Study </w:t>
      </w:r>
      <w:r w:rsidR="007A2D79" w:rsidRPr="007A2D79">
        <w:t>A392</w:t>
      </w:r>
      <w:r w:rsidRPr="00A267F5">
        <w:t>1139.</w:t>
      </w:r>
      <w:r>
        <w:t xml:space="preserve"> Subjects were to remain on </w:t>
      </w:r>
      <w:r w:rsidRPr="00A267F5">
        <w:t xml:space="preserve">stable doses of their concomitant UC medications during the study treatment period, except for corticosteroids, which were tapered </w:t>
      </w:r>
      <w:r>
        <w:t xml:space="preserve">from </w:t>
      </w:r>
      <w:r w:rsidRPr="00A267F5">
        <w:t xml:space="preserve">the </w:t>
      </w:r>
      <w:r w:rsidR="00CF6A6C">
        <w:t>Baseline</w:t>
      </w:r>
      <w:r w:rsidRPr="00A267F5">
        <w:t xml:space="preserve"> visit</w:t>
      </w:r>
      <w:r w:rsidR="005F7896">
        <w:t>.</w:t>
      </w:r>
    </w:p>
    <w:p w14:paraId="3F0F5F93" w14:textId="7C963D9E" w:rsidR="00EF6A50" w:rsidRDefault="00EF6A50" w:rsidP="00B94414">
      <w:r>
        <w:t>The primary efficacy endpoint was remission at Week 52. Remission was defined as in the induction studies as a total Mayo score of ≤</w:t>
      </w:r>
      <w:r w:rsidR="00BF7FB1">
        <w:t xml:space="preserve"> </w:t>
      </w:r>
      <w:r>
        <w:t xml:space="preserve">2 points with no individual </w:t>
      </w:r>
      <w:r w:rsidR="00E91387">
        <w:t>sub-score</w:t>
      </w:r>
      <w:r>
        <w:t xml:space="preserve"> exceeding 1 point and a rectal bleeding </w:t>
      </w:r>
      <w:r w:rsidR="00E91387">
        <w:t>sub-score</w:t>
      </w:r>
      <w:r>
        <w:t xml:space="preserve"> of 0. The primary endpoint analysis was based on the centrally-read endoscopic </w:t>
      </w:r>
      <w:r w:rsidR="00E91387">
        <w:t>sub-score</w:t>
      </w:r>
      <w:r>
        <w:t xml:space="preserve">. A total of 593 subjects were randomised. At </w:t>
      </w:r>
      <w:r w:rsidR="00CF6A6C">
        <w:t>Baseline</w:t>
      </w:r>
      <w:r>
        <w:t xml:space="preserve"> the mean total Mayo score was 3.3, 179 (30.2%) subjects were in remission and 295 (</w:t>
      </w:r>
      <w:r w:rsidRPr="0097542E">
        <w:t>49.7%</w:t>
      </w:r>
      <w:r>
        <w:t>)</w:t>
      </w:r>
      <w:r w:rsidRPr="0097542E">
        <w:t xml:space="preserve"> </w:t>
      </w:r>
      <w:r>
        <w:t>had mucosal healing.</w:t>
      </w:r>
    </w:p>
    <w:p w14:paraId="4BD26690" w14:textId="73CADFD2" w:rsidR="005F7896" w:rsidRDefault="00EF6A50" w:rsidP="00B94414">
      <w:r>
        <w:t>The proportion of subjects in remission at Week 52 (</w:t>
      </w:r>
      <w:r w:rsidR="00D83BB0">
        <w:t>full analysis set</w:t>
      </w:r>
      <w:r>
        <w:t xml:space="preserve">, </w:t>
      </w:r>
      <w:r w:rsidR="00D83BB0">
        <w:rPr>
          <w:lang w:eastAsia="ja-JP"/>
        </w:rPr>
        <w:t>non-responder imputation</w:t>
      </w:r>
      <w:r>
        <w:t>) was statistically significantly (p &lt;</w:t>
      </w:r>
      <w:r w:rsidR="00D83BB0">
        <w:t xml:space="preserve"> </w:t>
      </w:r>
      <w:r>
        <w:t xml:space="preserve">0.0001) greater in both the </w:t>
      </w:r>
      <w:proofErr w:type="spellStart"/>
      <w:r>
        <w:t>tofacitinib</w:t>
      </w:r>
      <w:proofErr w:type="spellEnd"/>
      <w:r>
        <w:t xml:space="preserve"> 5 mg </w:t>
      </w:r>
      <w:r w:rsidR="00D83BB0">
        <w:t>BID</w:t>
      </w:r>
      <w:r>
        <w:t xml:space="preserve"> group (34.3%) and the </w:t>
      </w:r>
      <w:proofErr w:type="spellStart"/>
      <w:r>
        <w:t>tofacitinib</w:t>
      </w:r>
      <w:proofErr w:type="spellEnd"/>
      <w:r>
        <w:t xml:space="preserve"> 10 mg </w:t>
      </w:r>
      <w:r w:rsidR="00D83BB0">
        <w:t>BID</w:t>
      </w:r>
      <w:r>
        <w:t xml:space="preserve"> group (40.6%) compared with the placebo group (11.1%). </w:t>
      </w:r>
      <w:r w:rsidRPr="0097542E">
        <w:t>The results from sensitivity analyses (</w:t>
      </w:r>
      <w:r w:rsidR="007A2D79">
        <w:rPr>
          <w:color w:val="000000"/>
          <w:shd w:val="clear" w:color="auto" w:fill="FFFFFF"/>
        </w:rPr>
        <w:t xml:space="preserve">generalised </w:t>
      </w:r>
      <w:r w:rsidR="00D83BB0">
        <w:rPr>
          <w:color w:val="000000"/>
          <w:shd w:val="clear" w:color="auto" w:fill="FFFFFF"/>
        </w:rPr>
        <w:t>linear mixed model (</w:t>
      </w:r>
      <w:r w:rsidRPr="0097542E">
        <w:t>GLMM</w:t>
      </w:r>
      <w:r w:rsidR="00D83BB0">
        <w:t>)</w:t>
      </w:r>
      <w:r w:rsidRPr="0097542E">
        <w:t xml:space="preserve">, responder imputation, responder imputation, multiple imputation and </w:t>
      </w:r>
      <w:r w:rsidR="00D83BB0">
        <w:t>per protocol analysis set</w:t>
      </w:r>
      <w:r w:rsidR="00D83BB0" w:rsidRPr="0097542E">
        <w:t xml:space="preserve"> </w:t>
      </w:r>
      <w:r w:rsidR="00D83BB0">
        <w:t>(</w:t>
      </w:r>
      <w:r w:rsidRPr="0097542E">
        <w:t>PPAS</w:t>
      </w:r>
      <w:r w:rsidR="00D83BB0">
        <w:t>)</w:t>
      </w:r>
      <w:r w:rsidRPr="0097542E">
        <w:t xml:space="preserve">) of the </w:t>
      </w:r>
      <w:r w:rsidR="00D83BB0">
        <w:t>full analysis set</w:t>
      </w:r>
      <w:r w:rsidRPr="0097542E">
        <w:t xml:space="preserve"> population, and the m</w:t>
      </w:r>
      <w:r w:rsidR="00D83BB0">
        <w:t>odified full analysis set</w:t>
      </w:r>
      <w:r w:rsidRPr="0097542E">
        <w:t xml:space="preserve"> population, were generally consistent with the primary efficacy analysis</w:t>
      </w:r>
      <w:r w:rsidR="005F7896">
        <w:t>.</w:t>
      </w:r>
    </w:p>
    <w:p w14:paraId="61B58C2F" w14:textId="1FC053F6" w:rsidR="00EF6A50" w:rsidRDefault="00EF6A50" w:rsidP="00B94414">
      <w:r>
        <w:t xml:space="preserve">Various subgroup analyses compared remission rates at Week 52 between the </w:t>
      </w:r>
      <w:r w:rsidR="003857E3">
        <w:t>two</w:t>
      </w:r>
      <w:r>
        <w:t xml:space="preserve"> </w:t>
      </w:r>
      <w:proofErr w:type="spellStart"/>
      <w:r>
        <w:t>tofacitinib</w:t>
      </w:r>
      <w:proofErr w:type="spellEnd"/>
      <w:r>
        <w:t xml:space="preserve"> groups and placebo.</w:t>
      </w:r>
      <w:r w:rsidR="005F7896">
        <w:t xml:space="preserve"> </w:t>
      </w:r>
      <w:r>
        <w:t xml:space="preserve">There were no statistical comparisons between the </w:t>
      </w:r>
      <w:proofErr w:type="spellStart"/>
      <w:r>
        <w:t>tofacitinib</w:t>
      </w:r>
      <w:proofErr w:type="spellEnd"/>
      <w:r>
        <w:t xml:space="preserve"> 5 mg </w:t>
      </w:r>
      <w:r w:rsidR="00D83BB0">
        <w:t>BID</w:t>
      </w:r>
      <w:r>
        <w:t xml:space="preserve"> and 10 mg </w:t>
      </w:r>
      <w:r w:rsidR="00D83BB0">
        <w:t>BID</w:t>
      </w:r>
      <w:r>
        <w:t xml:space="preserve"> dose groups. The major differences between study subgroups are listed in </w:t>
      </w:r>
      <w:r w:rsidR="00D83BB0">
        <w:t>the clinical evaluation report</w:t>
      </w:r>
      <w:r>
        <w:t xml:space="preserve">. Of note, for the prior </w:t>
      </w:r>
      <w:proofErr w:type="spellStart"/>
      <w:r>
        <w:t>TNFi</w:t>
      </w:r>
      <w:proofErr w:type="spellEnd"/>
      <w:r>
        <w:t xml:space="preserve"> failure subgroup, there was a 12.5% difference in remission rates at Week 52, favouring </w:t>
      </w:r>
      <w:proofErr w:type="spellStart"/>
      <w:r>
        <w:t>tofacitinib</w:t>
      </w:r>
      <w:proofErr w:type="spellEnd"/>
      <w:r>
        <w:t xml:space="preserve"> 10 mg </w:t>
      </w:r>
      <w:r w:rsidR="00D83BB0">
        <w:t>BID</w:t>
      </w:r>
      <w:r>
        <w:t xml:space="preserve"> compared with 5 mg </w:t>
      </w:r>
      <w:r w:rsidR="00D83BB0">
        <w:t>BID</w:t>
      </w:r>
      <w:r>
        <w:t xml:space="preserve"> (</w:t>
      </w:r>
      <w:r w:rsidRPr="0097542E">
        <w:t xml:space="preserve">24.1% </w:t>
      </w:r>
      <w:r w:rsidR="009D375F">
        <w:t>versus</w:t>
      </w:r>
      <w:r w:rsidRPr="0097542E">
        <w:t xml:space="preserve"> 36.6%, respectively)</w:t>
      </w:r>
      <w:r>
        <w:t>. This difference was</w:t>
      </w:r>
      <w:r w:rsidRPr="0097542E">
        <w:t xml:space="preserve"> not </w:t>
      </w:r>
      <w:r>
        <w:t>seen in</w:t>
      </w:r>
      <w:r w:rsidRPr="0097542E">
        <w:t xml:space="preserve"> subjects who did not have prior failure with </w:t>
      </w:r>
      <w:proofErr w:type="spellStart"/>
      <w:r w:rsidRPr="0097542E">
        <w:t>TNFi</w:t>
      </w:r>
      <w:proofErr w:type="spellEnd"/>
      <w:r w:rsidRPr="0097542E">
        <w:t xml:space="preserve"> treatment.</w:t>
      </w:r>
      <w:r>
        <w:t xml:space="preserve"> In general, subjects with markers consistent with more severe or more treatment</w:t>
      </w:r>
      <w:r w:rsidR="00D83BB0">
        <w:t xml:space="preserve"> </w:t>
      </w:r>
      <w:r>
        <w:t xml:space="preserve">resistant disease at </w:t>
      </w:r>
      <w:r w:rsidR="00CF6A6C">
        <w:t>Baseline</w:t>
      </w:r>
      <w:r>
        <w:t xml:space="preserve"> had higher remission rates with the 10 mg </w:t>
      </w:r>
      <w:r w:rsidR="00D83BB0">
        <w:t>BID</w:t>
      </w:r>
      <w:r>
        <w:t xml:space="preserve"> dose regimen than with 5 mg </w:t>
      </w:r>
      <w:r w:rsidR="00D83BB0">
        <w:t>BID</w:t>
      </w:r>
      <w:r>
        <w:t>.</w:t>
      </w:r>
    </w:p>
    <w:p w14:paraId="0CCFDA2B" w14:textId="6C698EF3" w:rsidR="00EF6A50" w:rsidRDefault="00EF6A50" w:rsidP="00B94414">
      <w:r>
        <w:t xml:space="preserve">Results for key secondary endpoints are shown </w:t>
      </w:r>
      <w:r w:rsidR="00D83BB0">
        <w:t>the clinical evaluation report</w:t>
      </w:r>
      <w:r>
        <w:t xml:space="preserve">. Statistical superiority of each dose regimen of </w:t>
      </w:r>
      <w:proofErr w:type="spellStart"/>
      <w:r>
        <w:t>tofacitinib</w:t>
      </w:r>
      <w:proofErr w:type="spellEnd"/>
      <w:r>
        <w:t xml:space="preserve"> compared with placebo was demonstrated for mucosal healing at Week 52, present in 13.1% of subjects given placebo,</w:t>
      </w:r>
      <w:r w:rsidR="00D83BB0">
        <w:t xml:space="preserve"> 37.4% given </w:t>
      </w:r>
      <w:proofErr w:type="spellStart"/>
      <w:r w:rsidR="00D83BB0">
        <w:t>tofacitinib</w:t>
      </w:r>
      <w:proofErr w:type="spellEnd"/>
      <w:r w:rsidR="00D83BB0">
        <w:t xml:space="preserve"> 5 mg BID</w:t>
      </w:r>
      <w:r>
        <w:t xml:space="preserve"> and 45.7% given </w:t>
      </w:r>
      <w:proofErr w:type="spellStart"/>
      <w:r>
        <w:t>tofacitinib</w:t>
      </w:r>
      <w:proofErr w:type="spellEnd"/>
      <w:r>
        <w:t xml:space="preserve"> 10 mg </w:t>
      </w:r>
      <w:r w:rsidR="00D83BB0">
        <w:t>BID</w:t>
      </w:r>
      <w:r>
        <w:t>.</w:t>
      </w:r>
      <w:r w:rsidR="005F7896">
        <w:t xml:space="preserve"> </w:t>
      </w:r>
      <w:r>
        <w:t xml:space="preserve">Sustained corticosteroid-free remission at Week 52 among subjects who were in remission at </w:t>
      </w:r>
      <w:r w:rsidR="00CF6A6C">
        <w:t>Baseline</w:t>
      </w:r>
      <w:r>
        <w:t xml:space="preserve"> was achieved by 5.1% of subjects given placebo, 35.4% given </w:t>
      </w:r>
      <w:proofErr w:type="spellStart"/>
      <w:r>
        <w:t>tofacitinib</w:t>
      </w:r>
      <w:proofErr w:type="spellEnd"/>
      <w:r>
        <w:t xml:space="preserve"> 5 mg </w:t>
      </w:r>
      <w:r w:rsidR="00C27E2E">
        <w:t>BID</w:t>
      </w:r>
      <w:r>
        <w:t xml:space="preserve"> and by 47.3% given </w:t>
      </w:r>
      <w:proofErr w:type="spellStart"/>
      <w:r>
        <w:t>tofacitinib</w:t>
      </w:r>
      <w:proofErr w:type="spellEnd"/>
      <w:r>
        <w:t xml:space="preserve"> 10 mg </w:t>
      </w:r>
      <w:r w:rsidR="00C27E2E">
        <w:t>BID</w:t>
      </w:r>
      <w:r>
        <w:t>.</w:t>
      </w:r>
    </w:p>
    <w:p w14:paraId="1CF15719" w14:textId="77777777" w:rsidR="005F7896" w:rsidRDefault="00EF6A50" w:rsidP="00B94414">
      <w:r>
        <w:t>The duration of effect after ceasing treatment could be assessed from the placebo group in this study.</w:t>
      </w:r>
      <w:r w:rsidR="005F7896">
        <w:t xml:space="preserve"> </w:t>
      </w:r>
      <w:r>
        <w:t xml:space="preserve">At Week 8, the first assessment </w:t>
      </w:r>
      <w:r w:rsidR="00225681">
        <w:t>time point</w:t>
      </w:r>
      <w:r>
        <w:t xml:space="preserve">, </w:t>
      </w:r>
      <w:r w:rsidRPr="007C432A">
        <w:t xml:space="preserve">the placebo group had statistically significantly higher adjusted mean </w:t>
      </w:r>
      <w:r w:rsidR="00C27E2E">
        <w:t>high sensitivity C-reactive protein</w:t>
      </w:r>
      <w:r w:rsidR="00C27E2E" w:rsidRPr="007C432A">
        <w:t xml:space="preserve"> </w:t>
      </w:r>
      <w:r w:rsidR="00C27E2E">
        <w:t>(</w:t>
      </w:r>
      <w:proofErr w:type="spellStart"/>
      <w:r w:rsidRPr="007C432A">
        <w:t>hsCRP</w:t>
      </w:r>
      <w:proofErr w:type="spellEnd"/>
      <w:r w:rsidR="00C27E2E">
        <w:t>)</w:t>
      </w:r>
      <w:r w:rsidRPr="007C432A">
        <w:t xml:space="preserve"> values compared with both </w:t>
      </w:r>
      <w:proofErr w:type="spellStart"/>
      <w:r w:rsidRPr="007C432A">
        <w:t>tofacitinib</w:t>
      </w:r>
      <w:proofErr w:type="spellEnd"/>
      <w:r w:rsidRPr="007C432A">
        <w:t xml:space="preserve"> treatment groups.</w:t>
      </w:r>
      <w:r>
        <w:t xml:space="preserve"> This suggests the effect of </w:t>
      </w:r>
      <w:proofErr w:type="spellStart"/>
      <w:r>
        <w:t>tofacitinib</w:t>
      </w:r>
      <w:proofErr w:type="spellEnd"/>
      <w:r>
        <w:t xml:space="preserve"> is lost quite quickly after cessation of treatment</w:t>
      </w:r>
      <w:r w:rsidR="005F7896">
        <w:t>.</w:t>
      </w:r>
    </w:p>
    <w:p w14:paraId="71A72BC0" w14:textId="2C9C787A" w:rsidR="00C93AD2" w:rsidRDefault="00EF6A50" w:rsidP="00C93AD2">
      <w:pPr>
        <w:pStyle w:val="Heading6"/>
      </w:pPr>
      <w:r w:rsidRPr="002546D0">
        <w:t xml:space="preserve">Study </w:t>
      </w:r>
      <w:r w:rsidR="00BA5B06" w:rsidRPr="007A2D79">
        <w:t>A392</w:t>
      </w:r>
      <w:r w:rsidRPr="002546D0">
        <w:t>1139</w:t>
      </w:r>
    </w:p>
    <w:p w14:paraId="35466481" w14:textId="6DFB230A" w:rsidR="005F7896" w:rsidRDefault="00C93AD2" w:rsidP="00B94414">
      <w:r>
        <w:t xml:space="preserve">This study </w:t>
      </w:r>
      <w:r w:rsidR="00C27E2E">
        <w:t>i</w:t>
      </w:r>
      <w:r w:rsidR="00EF6A50">
        <w:t xml:space="preserve">s an ongoing, open, long-term extension study </w:t>
      </w:r>
      <w:r w:rsidR="00EF6A50" w:rsidRPr="00367ACB">
        <w:t>in subjects who had completed or demonstrated treatm</w:t>
      </w:r>
      <w:r w:rsidR="00C27E2E">
        <w:t>ent failure in the maintenance S</w:t>
      </w:r>
      <w:r w:rsidR="00EF6A50" w:rsidRPr="00367ACB">
        <w:t xml:space="preserve">tudy </w:t>
      </w:r>
      <w:r w:rsidR="00BA5B06" w:rsidRPr="007A2D79">
        <w:t>A392</w:t>
      </w:r>
      <w:r w:rsidR="00EF6A50" w:rsidRPr="00367ACB">
        <w:t>1096), or who were non-responders after c</w:t>
      </w:r>
      <w:r w:rsidR="00C27E2E">
        <w:t>ompleting one of the induction S</w:t>
      </w:r>
      <w:r w:rsidR="00EF6A50" w:rsidRPr="00367ACB">
        <w:t xml:space="preserve">tudies </w:t>
      </w:r>
      <w:r w:rsidR="00BA5B06" w:rsidRPr="007A2D79">
        <w:t>A392</w:t>
      </w:r>
      <w:r w:rsidR="00EF6A50" w:rsidRPr="00367ACB">
        <w:t xml:space="preserve">1094 </w:t>
      </w:r>
      <w:r w:rsidR="00EF6A50">
        <w:t>and</w:t>
      </w:r>
      <w:r w:rsidR="00EF6A50" w:rsidRPr="00367ACB">
        <w:t xml:space="preserve"> </w:t>
      </w:r>
      <w:r w:rsidR="00BA5B06" w:rsidRPr="007A2D79">
        <w:t>A392</w:t>
      </w:r>
      <w:r w:rsidR="00EF6A50" w:rsidRPr="00367ACB">
        <w:t>1095.</w:t>
      </w:r>
      <w:r w:rsidR="005F7896">
        <w:t xml:space="preserve"> </w:t>
      </w:r>
      <w:r w:rsidR="00EF6A50">
        <w:t>It was primarily a safety study</w:t>
      </w:r>
      <w:r w:rsidR="005F7896">
        <w:t>.</w:t>
      </w:r>
    </w:p>
    <w:p w14:paraId="688A7729" w14:textId="7D557AC4" w:rsidR="00EF6A50" w:rsidRDefault="00EF6A50" w:rsidP="00B94414">
      <w:r w:rsidRPr="00C7355E">
        <w:t xml:space="preserve">Eligible subjects were assigned </w:t>
      </w:r>
      <w:proofErr w:type="spellStart"/>
      <w:r w:rsidRPr="00C7355E">
        <w:t>tofacitinib</w:t>
      </w:r>
      <w:proofErr w:type="spellEnd"/>
      <w:r w:rsidRPr="00C7355E">
        <w:t xml:space="preserve"> 5 mg </w:t>
      </w:r>
      <w:r w:rsidR="00C27E2E">
        <w:t>BID</w:t>
      </w:r>
      <w:r w:rsidRPr="00C7355E">
        <w:t xml:space="preserve"> or 10 mg </w:t>
      </w:r>
      <w:r w:rsidR="00C27E2E">
        <w:t>BID</w:t>
      </w:r>
      <w:r w:rsidRPr="00C7355E">
        <w:t xml:space="preserve"> depending on </w:t>
      </w:r>
      <w:r w:rsidR="00BA5B06">
        <w:t>b</w:t>
      </w:r>
      <w:r w:rsidR="00CF6A6C">
        <w:t>aseline</w:t>
      </w:r>
      <w:r w:rsidRPr="00C7355E">
        <w:t xml:space="preserve"> remission status. Those in remission at </w:t>
      </w:r>
      <w:r w:rsidR="00CF6A6C">
        <w:t>Baseline</w:t>
      </w:r>
      <w:r w:rsidRPr="00C7355E">
        <w:t xml:space="preserve"> </w:t>
      </w:r>
      <w:r>
        <w:t>(</w:t>
      </w:r>
      <w:r w:rsidR="00F14B34">
        <w:t>that is,</w:t>
      </w:r>
      <w:r>
        <w:t xml:space="preserve"> who were in remission at Week 52 of Study </w:t>
      </w:r>
      <w:r w:rsidR="00BA5B06" w:rsidRPr="007A2D79">
        <w:t>A392</w:t>
      </w:r>
      <w:r>
        <w:t xml:space="preserve">1096) </w:t>
      </w:r>
      <w:r w:rsidRPr="00C7355E">
        <w:t xml:space="preserve">received </w:t>
      </w:r>
      <w:proofErr w:type="spellStart"/>
      <w:r w:rsidRPr="00C7355E">
        <w:t>tofacitinib</w:t>
      </w:r>
      <w:proofErr w:type="spellEnd"/>
      <w:r w:rsidRPr="00C7355E">
        <w:t xml:space="preserve"> 5 mg treatment while all other subpopulations (including non-responders) received </w:t>
      </w:r>
      <w:proofErr w:type="spellStart"/>
      <w:r w:rsidRPr="00C7355E">
        <w:t>tofacitinib</w:t>
      </w:r>
      <w:proofErr w:type="spellEnd"/>
      <w:r w:rsidRPr="00C7355E">
        <w:t xml:space="preserve"> 10 mg treatment. Non-responders who failed to demonstrate clinical response at Month 2 (central endoscopic </w:t>
      </w:r>
      <w:r w:rsidR="00E91387">
        <w:t>sub-score</w:t>
      </w:r>
      <w:r w:rsidRPr="00C7355E">
        <w:t xml:space="preserve"> read) </w:t>
      </w:r>
      <w:r w:rsidRPr="00C7355E">
        <w:lastRenderedPageBreak/>
        <w:t xml:space="preserve">were withdrawn from the study. </w:t>
      </w:r>
      <w:proofErr w:type="spellStart"/>
      <w:r w:rsidRPr="00C7355E">
        <w:t>Tofacitinib</w:t>
      </w:r>
      <w:proofErr w:type="spellEnd"/>
      <w:r w:rsidRPr="00C7355E">
        <w:t xml:space="preserve"> dose adj</w:t>
      </w:r>
      <w:r w:rsidR="00C27E2E">
        <w:t>ustments were permitted after 8 </w:t>
      </w:r>
      <w:r w:rsidRPr="00C7355E">
        <w:t xml:space="preserve">weeks of study treatment. Subjects on </w:t>
      </w:r>
      <w:r w:rsidR="00BA5B06">
        <w:t>b</w:t>
      </w:r>
      <w:r w:rsidR="00CF6A6C">
        <w:t>aseline</w:t>
      </w:r>
      <w:r w:rsidRPr="00C7355E">
        <w:t xml:space="preserve"> corticosteroids needed to continue tapering. There was no primary efficacy endpoint. Secondary efficacy endpoints included remission, clinical remission, </w:t>
      </w:r>
      <w:r w:rsidR="00C27E2E">
        <w:t>mucosal healing</w:t>
      </w:r>
      <w:r w:rsidRPr="00C7355E">
        <w:t xml:space="preserve"> and clinical response.</w:t>
      </w:r>
    </w:p>
    <w:p w14:paraId="230A58FB" w14:textId="7AE15E3D" w:rsidR="005F7896" w:rsidRDefault="00EF6A50" w:rsidP="00B94414">
      <w:r>
        <w:t xml:space="preserve">There were 429 induction non-responders with 295 having received 10 mg </w:t>
      </w:r>
      <w:r w:rsidR="00C27E2E">
        <w:t>BID</w:t>
      </w:r>
      <w:r>
        <w:t xml:space="preserve"> </w:t>
      </w:r>
      <w:proofErr w:type="spellStart"/>
      <w:r>
        <w:t>tofacitinib</w:t>
      </w:r>
      <w:proofErr w:type="spellEnd"/>
      <w:r>
        <w:t xml:space="preserve"> for 8 weeks prior to commencing Study </w:t>
      </w:r>
      <w:r w:rsidR="00BA5B06" w:rsidRPr="007A2D79">
        <w:t>A392</w:t>
      </w:r>
      <w:r>
        <w:t>1139.</w:t>
      </w:r>
      <w:r w:rsidR="005F7896">
        <w:t xml:space="preserve"> </w:t>
      </w:r>
      <w:r>
        <w:t>Of these 295 non-responders to 8</w:t>
      </w:r>
      <w:r w:rsidR="00BA5B06">
        <w:t> </w:t>
      </w:r>
      <w:r>
        <w:t xml:space="preserve">weeks of </w:t>
      </w:r>
      <w:proofErr w:type="spellStart"/>
      <w:r>
        <w:t>tofacitinib</w:t>
      </w:r>
      <w:proofErr w:type="spellEnd"/>
      <w:r>
        <w:t xml:space="preserve"> 10 mg </w:t>
      </w:r>
      <w:r w:rsidR="00C27E2E">
        <w:t>BID</w:t>
      </w:r>
      <w:r>
        <w:t xml:space="preserve"> who then continued to receive </w:t>
      </w:r>
      <w:proofErr w:type="spellStart"/>
      <w:r>
        <w:t>tofacitinib</w:t>
      </w:r>
      <w:proofErr w:type="spellEnd"/>
      <w:r>
        <w:t xml:space="preserve"> 10 mg </w:t>
      </w:r>
      <w:r w:rsidR="00C27E2E">
        <w:t>BID</w:t>
      </w:r>
      <w:r>
        <w:t xml:space="preserve"> in this study, 260 (88%) had an efficacy assessment at Week 8 </w:t>
      </w:r>
      <w:r w:rsidR="00F14B34">
        <w:t>that is,</w:t>
      </w:r>
      <w:r>
        <w:t xml:space="preserve"> after a total of 16</w:t>
      </w:r>
      <w:r w:rsidR="00BA5B06">
        <w:t> </w:t>
      </w:r>
      <w:r>
        <w:t xml:space="preserve">weeks treatment with </w:t>
      </w:r>
      <w:proofErr w:type="spellStart"/>
      <w:r>
        <w:t>tofacitinib</w:t>
      </w:r>
      <w:proofErr w:type="spellEnd"/>
      <w:r w:rsidR="00C27E2E">
        <w:t xml:space="preserve"> </w:t>
      </w:r>
      <w:r>
        <w:t xml:space="preserve">10 mg </w:t>
      </w:r>
      <w:r w:rsidR="00C27E2E">
        <w:t>BID</w:t>
      </w:r>
      <w:r>
        <w:t>.</w:t>
      </w:r>
      <w:r w:rsidR="005F7896">
        <w:t xml:space="preserve"> </w:t>
      </w:r>
      <w:r w:rsidR="00C27E2E">
        <w:t xml:space="preserve">Of these, 42 out of </w:t>
      </w:r>
      <w:r>
        <w:t>260 (16.2%) were in remission.</w:t>
      </w:r>
      <w:r w:rsidR="005F7896">
        <w:t xml:space="preserve"> </w:t>
      </w:r>
      <w:r w:rsidR="00C27E2E">
        <w:t xml:space="preserve">265 out of </w:t>
      </w:r>
      <w:r>
        <w:t>295 subjects were assessed at Week 8 for mucosal healing and 68</w:t>
      </w:r>
      <w:r w:rsidR="00BA5B06">
        <w:t> </w:t>
      </w:r>
      <w:r>
        <w:t>(25.7%) ha</w:t>
      </w:r>
      <w:r w:rsidR="00C27E2E">
        <w:t xml:space="preserve">d mucosal healing. 258 out of </w:t>
      </w:r>
      <w:r>
        <w:t>295 were assessed for clinical response and 155 (60.1%) had clinical response</w:t>
      </w:r>
      <w:r w:rsidR="005F7896">
        <w:t>.</w:t>
      </w:r>
    </w:p>
    <w:p w14:paraId="5F045D0A" w14:textId="77777777" w:rsidR="00EF6A50" w:rsidRPr="00B94414" w:rsidRDefault="00B94414" w:rsidP="00B94414">
      <w:r>
        <w:t>The Delegate</w:t>
      </w:r>
      <w:r w:rsidR="00EF6A50">
        <w:t xml:space="preserve"> note</w:t>
      </w:r>
      <w:r>
        <w:t>s</w:t>
      </w:r>
      <w:r w:rsidR="00EF6A50">
        <w:t xml:space="preserve"> that the pharmacovigilance plan indicates that a study to evaluate the efficacy and</w:t>
      </w:r>
      <w:r>
        <w:t xml:space="preserve"> </w:t>
      </w:r>
      <w:r w:rsidR="00EF6A50">
        <w:t xml:space="preserve">safety of </w:t>
      </w:r>
      <w:proofErr w:type="spellStart"/>
      <w:r w:rsidR="00EF6A50">
        <w:t>tofacitinib</w:t>
      </w:r>
      <w:proofErr w:type="spellEnd"/>
      <w:r w:rsidR="00EF6A50">
        <w:t xml:space="preserve"> in UC patients in stable remission on 10 mg </w:t>
      </w:r>
      <w:r w:rsidR="00C27E2E">
        <w:t>BID</w:t>
      </w:r>
      <w:r w:rsidR="00EF6A50">
        <w:t xml:space="preserve"> who decrease the</w:t>
      </w:r>
      <w:r>
        <w:t xml:space="preserve"> </w:t>
      </w:r>
      <w:r w:rsidR="00EF6A50">
        <w:t xml:space="preserve">dose to 5 mg </w:t>
      </w:r>
      <w:r w:rsidR="00C27E2E">
        <w:t>BID</w:t>
      </w:r>
      <w:r w:rsidR="00EF6A50">
        <w:t xml:space="preserve"> compared to subjects remaining on 10 mg </w:t>
      </w:r>
      <w:r w:rsidR="00C27E2E">
        <w:t>BID</w:t>
      </w:r>
      <w:r w:rsidR="00EF6A50">
        <w:t xml:space="preserve"> for 6 months is planned and is expected to have a final report by the end of 2020</w:t>
      </w:r>
      <w:r w:rsidR="005F7896">
        <w:t>.</w:t>
      </w:r>
    </w:p>
    <w:p w14:paraId="457229E4" w14:textId="77777777" w:rsidR="00EF6A50" w:rsidRDefault="00EF6A50" w:rsidP="00330821">
      <w:pPr>
        <w:pStyle w:val="Heading4"/>
      </w:pPr>
      <w:r w:rsidRPr="00C154A6">
        <w:t>Safety</w:t>
      </w:r>
    </w:p>
    <w:p w14:paraId="47BDE0D3" w14:textId="77777777" w:rsidR="005F7896" w:rsidRDefault="00EF6A50" w:rsidP="00330821">
      <w:r>
        <w:t xml:space="preserve">Safety risks associated with </w:t>
      </w:r>
      <w:proofErr w:type="spellStart"/>
      <w:r>
        <w:t>tofacitinib</w:t>
      </w:r>
      <w:proofErr w:type="spellEnd"/>
      <w:r>
        <w:t xml:space="preserve"> include serious infection including </w:t>
      </w:r>
      <w:r w:rsidR="00C27E2E">
        <w:t>TB</w:t>
      </w:r>
      <w:r>
        <w:t xml:space="preserve"> and bacterial, invasive fungal, viral and other opportunistic infections, lymphoma and other malignancies. </w:t>
      </w:r>
      <w:r w:rsidRPr="0042198F">
        <w:t>The major</w:t>
      </w:r>
      <w:r>
        <w:t xml:space="preserve"> safety</w:t>
      </w:r>
      <w:r w:rsidRPr="0042198F">
        <w:t xml:space="preserve"> </w:t>
      </w:r>
      <w:r>
        <w:t xml:space="preserve">issue with this submission is whether the risks associated with the </w:t>
      </w:r>
      <w:proofErr w:type="spellStart"/>
      <w:r>
        <w:t>tofacitinib</w:t>
      </w:r>
      <w:proofErr w:type="spellEnd"/>
      <w:r>
        <w:t xml:space="preserve"> 10 mg </w:t>
      </w:r>
      <w:r w:rsidR="00C27E2E">
        <w:t>BID</w:t>
      </w:r>
      <w:r>
        <w:t xml:space="preserve"> dose regimen are justified given the extent of efficacy demonstrated by the 10 mg </w:t>
      </w:r>
      <w:r w:rsidR="00C27E2E">
        <w:t>BID</w:t>
      </w:r>
      <w:r>
        <w:t xml:space="preserve"> dose in induction and ma</w:t>
      </w:r>
      <w:r w:rsidR="00C27E2E">
        <w:t>intenance periods in the Phase III</w:t>
      </w:r>
      <w:r>
        <w:t xml:space="preserve"> studies.</w:t>
      </w:r>
      <w:r w:rsidR="005F7896">
        <w:t xml:space="preserve"> </w:t>
      </w:r>
      <w:r>
        <w:t xml:space="preserve">In the RA studies an increase in </w:t>
      </w:r>
      <w:r w:rsidRPr="00B953F0">
        <w:t>infections, malignanc</w:t>
      </w:r>
      <w:r>
        <w:t>ies</w:t>
      </w:r>
      <w:r w:rsidRPr="00B953F0">
        <w:t>, gastrointestinal perforations and dyslipidaemia</w:t>
      </w:r>
      <w:r>
        <w:t xml:space="preserve"> was associated with the 10 mg </w:t>
      </w:r>
      <w:r w:rsidR="00C27E2E">
        <w:t>BID compared with the 5 </w:t>
      </w:r>
      <w:r>
        <w:t xml:space="preserve">mg </w:t>
      </w:r>
      <w:r w:rsidR="00C27E2E">
        <w:t>BID</w:t>
      </w:r>
      <w:r>
        <w:t xml:space="preserve"> </w:t>
      </w:r>
      <w:proofErr w:type="spellStart"/>
      <w:r>
        <w:t>tofacitinib</w:t>
      </w:r>
      <w:proofErr w:type="spellEnd"/>
      <w:r>
        <w:t xml:space="preserve"> dose</w:t>
      </w:r>
      <w:r w:rsidR="005F7896">
        <w:t>.</w:t>
      </w:r>
    </w:p>
    <w:p w14:paraId="5A66E60D" w14:textId="77777777" w:rsidR="00EF6A50" w:rsidRDefault="00EF6A50" w:rsidP="00330821">
      <w:r>
        <w:t xml:space="preserve">In this submission a total of 938 subjects received 10 mg </w:t>
      </w:r>
      <w:proofErr w:type="spellStart"/>
      <w:r>
        <w:t>tofa</w:t>
      </w:r>
      <w:r w:rsidR="00C27E2E">
        <w:t>citinib</w:t>
      </w:r>
      <w:proofErr w:type="spellEnd"/>
      <w:r w:rsidR="00C27E2E">
        <w:t xml:space="preserve"> for 8 weeks in the dose </w:t>
      </w:r>
      <w:r>
        <w:t xml:space="preserve">finding and induction studies and a further 282 received 15 mg </w:t>
      </w:r>
      <w:r w:rsidR="00C27E2E">
        <w:t>BID</w:t>
      </w:r>
      <w:r>
        <w:t xml:space="preserve"> for 8 weeks.</w:t>
      </w:r>
      <w:r w:rsidR="005F7896">
        <w:t xml:space="preserve"> </w:t>
      </w:r>
      <w:r>
        <w:t xml:space="preserve">In the pivotal maintenance study, 196 subjects received </w:t>
      </w:r>
      <w:proofErr w:type="spellStart"/>
      <w:r>
        <w:t>tofacitinib</w:t>
      </w:r>
      <w:proofErr w:type="spellEnd"/>
      <w:r>
        <w:t xml:space="preserve"> 10 mg </w:t>
      </w:r>
      <w:r w:rsidR="00C27E2E">
        <w:t>BID for up to 52 </w:t>
      </w:r>
      <w:r>
        <w:t xml:space="preserve">weeks and a further 914 subjects received a mix of 5 mg and 10 mg </w:t>
      </w:r>
      <w:r w:rsidR="004F28B8">
        <w:t>BID</w:t>
      </w:r>
      <w:r>
        <w:t xml:space="preserve"> during the ongoing open maintenance study 1139. Overall the 10 mg </w:t>
      </w:r>
      <w:r w:rsidR="004F28B8">
        <w:t>BID</w:t>
      </w:r>
      <w:r>
        <w:t xml:space="preserve"> dose has been received by 506 subjects for at least 12 months in the UC studies.</w:t>
      </w:r>
    </w:p>
    <w:p w14:paraId="3894740A" w14:textId="4E125699" w:rsidR="005F7896" w:rsidRDefault="00EF6A50" w:rsidP="00330821">
      <w:r>
        <w:t xml:space="preserve">In the Phase </w:t>
      </w:r>
      <w:r w:rsidR="004F28B8">
        <w:t>III</w:t>
      </w:r>
      <w:r>
        <w:t xml:space="preserve"> induction studies there was no consistent difference in the proportion of subjects with AEs</w:t>
      </w:r>
      <w:r w:rsidR="004F28B8">
        <w:t xml:space="preserve"> across the placebo and 10 mg BID</w:t>
      </w:r>
      <w:r>
        <w:t xml:space="preserve"> </w:t>
      </w:r>
      <w:proofErr w:type="spellStart"/>
      <w:r>
        <w:t>tofacitinib</w:t>
      </w:r>
      <w:proofErr w:type="spellEnd"/>
      <w:r>
        <w:t xml:space="preserve"> groups, nor in the rate of reporting of serious AEs, severe AEs or discontinuations due to AEs.</w:t>
      </w:r>
      <w:r w:rsidR="005F7896">
        <w:t xml:space="preserve"> </w:t>
      </w:r>
      <w:r w:rsidRPr="00A378A8">
        <w:t xml:space="preserve">The most frequent treatment-related </w:t>
      </w:r>
      <w:r>
        <w:t>AEs</w:t>
      </w:r>
      <w:r w:rsidRPr="00A378A8">
        <w:t xml:space="preserve"> in the </w:t>
      </w:r>
      <w:proofErr w:type="spellStart"/>
      <w:r w:rsidRPr="00A378A8">
        <w:t>tofacitinib</w:t>
      </w:r>
      <w:proofErr w:type="spellEnd"/>
      <w:r w:rsidRPr="00A378A8">
        <w:t xml:space="preserve"> 10 mg group was headache, in both induction studies: 4.4% and 6.1% for </w:t>
      </w:r>
      <w:proofErr w:type="spellStart"/>
      <w:r w:rsidRPr="00A378A8">
        <w:t>tofacitinib</w:t>
      </w:r>
      <w:proofErr w:type="spellEnd"/>
      <w:r w:rsidRPr="00A378A8">
        <w:t xml:space="preserve"> 10 mg in Studies </w:t>
      </w:r>
      <w:r w:rsidR="00BA5B06" w:rsidRPr="007A2D79">
        <w:t>A392</w:t>
      </w:r>
      <w:r w:rsidRPr="00A378A8">
        <w:t xml:space="preserve">1094 </w:t>
      </w:r>
      <w:r>
        <w:t>and</w:t>
      </w:r>
      <w:r w:rsidRPr="00A378A8">
        <w:t xml:space="preserve"> </w:t>
      </w:r>
      <w:r w:rsidR="00BA5B06" w:rsidRPr="007A2D79">
        <w:t>A392</w:t>
      </w:r>
      <w:r w:rsidRPr="00A378A8">
        <w:t xml:space="preserve">1095, respectively </w:t>
      </w:r>
      <w:r w:rsidR="009D375F">
        <w:t>versus</w:t>
      </w:r>
      <w:r w:rsidRPr="00A378A8">
        <w:t xml:space="preserve"> 3.3% and 5.4% for placebo treated subjects, respectively.</w:t>
      </w:r>
      <w:r>
        <w:t xml:space="preserve"> There was a higher rate of infections and GI disorders in the </w:t>
      </w:r>
      <w:proofErr w:type="spellStart"/>
      <w:r>
        <w:t>tofacitinib</w:t>
      </w:r>
      <w:proofErr w:type="spellEnd"/>
      <w:r>
        <w:t xml:space="preserve"> groups in both studies</w:t>
      </w:r>
      <w:r w:rsidR="005F7896">
        <w:t>.</w:t>
      </w:r>
    </w:p>
    <w:p w14:paraId="32346C04" w14:textId="77777777" w:rsidR="005F7896" w:rsidRDefault="00EF6A50" w:rsidP="00330821">
      <w:r>
        <w:t xml:space="preserve">AEs in the maintenance study 1096 </w:t>
      </w:r>
      <w:r w:rsidR="004F28B8">
        <w:t>were summarised in the clinical evaluation report and allowed</w:t>
      </w:r>
      <w:r>
        <w:t xml:space="preserve"> a comparison of events in the 5 mg </w:t>
      </w:r>
      <w:r w:rsidR="004F28B8">
        <w:t>BID</w:t>
      </w:r>
      <w:r>
        <w:t xml:space="preserve"> and 10 mg </w:t>
      </w:r>
      <w:r w:rsidR="004F28B8">
        <w:t>BID</w:t>
      </w:r>
      <w:r>
        <w:t xml:space="preserve"> </w:t>
      </w:r>
      <w:proofErr w:type="spellStart"/>
      <w:r>
        <w:t>tofacitinib</w:t>
      </w:r>
      <w:proofErr w:type="spellEnd"/>
      <w:r>
        <w:t xml:space="preserve"> dose groups.</w:t>
      </w:r>
      <w:r w:rsidR="005F7896">
        <w:t xml:space="preserve"> </w:t>
      </w:r>
      <w:r>
        <w:t xml:space="preserve">Slightly higher rates of AEs, </w:t>
      </w:r>
      <w:r w:rsidR="004F28B8">
        <w:t>S</w:t>
      </w:r>
      <w:r>
        <w:t>AEs</w:t>
      </w:r>
      <w:r w:rsidR="004F28B8">
        <w:t>,</w:t>
      </w:r>
      <w:r>
        <w:t xml:space="preserve"> severe AEs and discontinuations and dose reductions due to AEs were reported with the 10 mg </w:t>
      </w:r>
      <w:r w:rsidR="004F28B8">
        <w:t>BID</w:t>
      </w:r>
      <w:r>
        <w:t xml:space="preserve"> dose group compared with the</w:t>
      </w:r>
      <w:r w:rsidR="004F28B8">
        <w:t xml:space="preserve"> </w:t>
      </w:r>
      <w:r>
        <w:t xml:space="preserve">5 mg </w:t>
      </w:r>
      <w:r w:rsidR="004F28B8">
        <w:t>BID</w:t>
      </w:r>
      <w:r>
        <w:t xml:space="preserve"> dose group.</w:t>
      </w:r>
      <w:r w:rsidR="005F7896">
        <w:t xml:space="preserve"> </w:t>
      </w:r>
      <w:r>
        <w:t xml:space="preserve">Of note, infections and infestations were reported for </w:t>
      </w:r>
      <w:r w:rsidRPr="008F2B2D">
        <w:t xml:space="preserve">24.2% placebo </w:t>
      </w:r>
      <w:r w:rsidR="009D375F">
        <w:t>versus</w:t>
      </w:r>
      <w:r w:rsidRPr="008F2B2D">
        <w:t xml:space="preserve"> 35.9% </w:t>
      </w:r>
      <w:proofErr w:type="spellStart"/>
      <w:r w:rsidRPr="008F2B2D">
        <w:t>tofacitinib</w:t>
      </w:r>
      <w:proofErr w:type="spellEnd"/>
      <w:r w:rsidRPr="008F2B2D">
        <w:t xml:space="preserve"> 5 mg</w:t>
      </w:r>
      <w:r>
        <w:t xml:space="preserve"> </w:t>
      </w:r>
      <w:r w:rsidR="004F28B8">
        <w:t>BID</w:t>
      </w:r>
      <w:r w:rsidRPr="008F2B2D">
        <w:t xml:space="preserve"> </w:t>
      </w:r>
      <w:r w:rsidR="009D375F">
        <w:t>versus</w:t>
      </w:r>
      <w:r w:rsidRPr="008F2B2D">
        <w:t xml:space="preserve"> 39.8% </w:t>
      </w:r>
      <w:proofErr w:type="spellStart"/>
      <w:r w:rsidRPr="008F2B2D">
        <w:t>tofacitinib</w:t>
      </w:r>
      <w:proofErr w:type="spellEnd"/>
      <w:r w:rsidRPr="008F2B2D">
        <w:t xml:space="preserve"> 10 mg</w:t>
      </w:r>
      <w:r>
        <w:t xml:space="preserve"> </w:t>
      </w:r>
      <w:r w:rsidR="004F28B8">
        <w:t>BID</w:t>
      </w:r>
      <w:r>
        <w:t xml:space="preserve"> in that study.</w:t>
      </w:r>
      <w:r w:rsidR="004F28B8">
        <w:t xml:space="preserve"> Dose </w:t>
      </w:r>
      <w:r w:rsidRPr="008F2B2D">
        <w:t xml:space="preserve">related trends were also observed for gastro-oesophageal reflux disease, vomiting, chest pain, cystitis, tooth abscess, bronchitis, folliculitis, gastroenteritis, HZ, oral herpes, urinary tract infection, ALT increased, blood CPK increased, weight increased, back pain, hypercholesterolemia, oropharyngeal pain, dermatitis and dermatitis acneiform. </w:t>
      </w:r>
      <w:r>
        <w:t xml:space="preserve">For all these events the total numbers reported and between group differences were quite small. The largest difference was in </w:t>
      </w:r>
      <w:r w:rsidR="004F28B8">
        <w:t>HZ</w:t>
      </w:r>
      <w:r>
        <w:t xml:space="preserve"> (1.0% for 5 mg </w:t>
      </w:r>
      <w:r w:rsidR="004F28B8">
        <w:t>BID</w:t>
      </w:r>
      <w:r>
        <w:t xml:space="preserve"> </w:t>
      </w:r>
      <w:r w:rsidR="009D375F">
        <w:t>versus</w:t>
      </w:r>
      <w:r>
        <w:t xml:space="preserve"> 5.1% for 10 mg </w:t>
      </w:r>
      <w:r w:rsidR="004F28B8">
        <w:t>BID</w:t>
      </w:r>
      <w:r>
        <w:t>)</w:t>
      </w:r>
      <w:r w:rsidR="005F7896">
        <w:t>.</w:t>
      </w:r>
    </w:p>
    <w:p w14:paraId="20209AC4" w14:textId="5F0BBB1C" w:rsidR="00EF6A50" w:rsidRDefault="003857E3" w:rsidP="00330821">
      <w:r>
        <w:lastRenderedPageBreak/>
        <w:t xml:space="preserve">The Delegate included an </w:t>
      </w:r>
      <w:r w:rsidR="00EF6A50">
        <w:t>A</w:t>
      </w:r>
      <w:r>
        <w:t>ttachment that showed</w:t>
      </w:r>
      <w:r w:rsidR="00EF6A50">
        <w:t xml:space="preserve"> the p</w:t>
      </w:r>
      <w:r w:rsidR="00EF6A50" w:rsidRPr="00A51E2C">
        <w:t xml:space="preserve">roportions and </w:t>
      </w:r>
      <w:r w:rsidR="00EF6A50">
        <w:t>i</w:t>
      </w:r>
      <w:r w:rsidR="00EF6A50" w:rsidRPr="00A51E2C">
        <w:t xml:space="preserve">ncidence </w:t>
      </w:r>
      <w:r w:rsidR="00EF6A50">
        <w:t>r</w:t>
      </w:r>
      <w:r w:rsidR="00EF6A50" w:rsidRPr="00A51E2C">
        <w:t xml:space="preserve">ates of </w:t>
      </w:r>
      <w:r w:rsidR="00EF6A50">
        <w:t>AEs o</w:t>
      </w:r>
      <w:r w:rsidR="00EF6A50" w:rsidRPr="00A51E2C">
        <w:t xml:space="preserve">f </w:t>
      </w:r>
      <w:r w:rsidR="00EF6A50">
        <w:t>s</w:t>
      </w:r>
      <w:r w:rsidR="00EF6A50" w:rsidRPr="00A51E2C">
        <w:t xml:space="preserve">pecial </w:t>
      </w:r>
      <w:r w:rsidR="00EF6A50">
        <w:t>i</w:t>
      </w:r>
      <w:r w:rsidR="00EF6A50" w:rsidRPr="00A51E2C">
        <w:t>nterest in Cohort 1 (</w:t>
      </w:r>
      <w:r w:rsidR="004F28B8">
        <w:t>Phase II and III</w:t>
      </w:r>
      <w:r w:rsidR="00EF6A50">
        <w:t xml:space="preserve"> induction studies)</w:t>
      </w:r>
      <w:r w:rsidR="00EF6A50" w:rsidRPr="00A51E2C">
        <w:t>, Cohort 2 (P</w:t>
      </w:r>
      <w:r w:rsidR="00EF6A50">
        <w:t xml:space="preserve">hase </w:t>
      </w:r>
      <w:r w:rsidR="004F28B8">
        <w:t>III</w:t>
      </w:r>
      <w:r w:rsidR="00EF6A50" w:rsidRPr="00A51E2C">
        <w:t xml:space="preserve"> </w:t>
      </w:r>
      <w:r w:rsidR="00EF6A50">
        <w:t>m</w:t>
      </w:r>
      <w:r w:rsidR="00EF6A50" w:rsidRPr="00A51E2C">
        <w:t>aintenance</w:t>
      </w:r>
      <w:r w:rsidR="00EF6A50">
        <w:t xml:space="preserve"> study</w:t>
      </w:r>
      <w:r w:rsidR="00EF6A50" w:rsidRPr="00A51E2C">
        <w:t xml:space="preserve">), the </w:t>
      </w:r>
      <w:r w:rsidR="004F28B8">
        <w:t>i</w:t>
      </w:r>
      <w:r w:rsidR="00EF6A50">
        <w:t>nduction non-responder s</w:t>
      </w:r>
      <w:r w:rsidR="00EF6A50" w:rsidRPr="00A51E2C">
        <w:t>ubgroup, and Cohort 3 (</w:t>
      </w:r>
      <w:r w:rsidR="004F28B8">
        <w:t>Phase II and III</w:t>
      </w:r>
      <w:r w:rsidR="00EF6A50">
        <w:t xml:space="preserve"> </w:t>
      </w:r>
      <w:r w:rsidR="004F28B8">
        <w:t>l</w:t>
      </w:r>
      <w:r w:rsidR="00EF6A50">
        <w:t xml:space="preserve">ong term extension study) </w:t>
      </w:r>
      <w:r w:rsidR="00EF6A50" w:rsidRPr="00A51E2C">
        <w:t>in the UC Program</w:t>
      </w:r>
      <w:r>
        <w:t xml:space="preserve"> </w:t>
      </w:r>
      <w:r w:rsidR="001120D9">
        <w:t>(</w:t>
      </w:r>
      <w:r>
        <w:t>not included in this AusPAR</w:t>
      </w:r>
      <w:r w:rsidR="001120D9">
        <w:t>)</w:t>
      </w:r>
      <w:r w:rsidR="005F7896">
        <w:t>.</w:t>
      </w:r>
    </w:p>
    <w:p w14:paraId="1DDE055B" w14:textId="77923CD4" w:rsidR="005F7896" w:rsidRDefault="00EF6A50" w:rsidP="00330821">
      <w:r>
        <w:t xml:space="preserve">Four deaths in the UC program were reported, these were due to: aortic dissection; hepatic </w:t>
      </w:r>
      <w:proofErr w:type="spellStart"/>
      <w:r>
        <w:t>angiosarcoma</w:t>
      </w:r>
      <w:proofErr w:type="spellEnd"/>
      <w:r>
        <w:t xml:space="preserve">; pulmonary embolism; and </w:t>
      </w:r>
      <w:r w:rsidR="00C93AD2">
        <w:t>AML</w:t>
      </w:r>
      <w:r>
        <w:t xml:space="preserve">. Of these events only the </w:t>
      </w:r>
      <w:proofErr w:type="spellStart"/>
      <w:r>
        <w:t>angiosarcoma</w:t>
      </w:r>
      <w:proofErr w:type="spellEnd"/>
      <w:r>
        <w:t xml:space="preserve"> was consider</w:t>
      </w:r>
      <w:r w:rsidR="00C93AD2">
        <w:t>ed possibly study drug related.</w:t>
      </w:r>
      <w:r>
        <w:t xml:space="preserve"> The subject with death due to pulmonary embolism was in Study</w:t>
      </w:r>
      <w:r w:rsidR="00BA5B06" w:rsidRPr="00BA5B06">
        <w:t xml:space="preserve"> </w:t>
      </w:r>
      <w:r w:rsidR="00BA5B06" w:rsidRPr="007A2D79">
        <w:t>A392</w:t>
      </w:r>
      <w:r>
        <w:t xml:space="preserve">1139. That subject developed </w:t>
      </w:r>
      <w:proofErr w:type="spellStart"/>
      <w:r>
        <w:t>cholangiocarcinoma</w:t>
      </w:r>
      <w:proofErr w:type="spellEnd"/>
      <w:r>
        <w:t xml:space="preserve"> and metastases to the peritoneum after</w:t>
      </w:r>
      <w:r w:rsidR="004F28B8">
        <w:t xml:space="preserve"> having received </w:t>
      </w:r>
      <w:proofErr w:type="spellStart"/>
      <w:r w:rsidR="004F28B8">
        <w:t>tofacitinib</w:t>
      </w:r>
      <w:proofErr w:type="spellEnd"/>
      <w:r w:rsidR="004F28B8">
        <w:t xml:space="preserve"> 10 </w:t>
      </w:r>
      <w:r>
        <w:t xml:space="preserve">mg </w:t>
      </w:r>
      <w:r w:rsidR="004F28B8">
        <w:t>BID</w:t>
      </w:r>
      <w:r>
        <w:t xml:space="preserve"> for 378 days. This patient died due to pulmonary embolism. Additionally there was 1 event of hepatic </w:t>
      </w:r>
      <w:proofErr w:type="spellStart"/>
      <w:r>
        <w:t>angiosarcoma</w:t>
      </w:r>
      <w:proofErr w:type="spellEnd"/>
      <w:r>
        <w:t xml:space="preserve"> and 1 event of AML reported as the cause of death in 2 </w:t>
      </w:r>
      <w:proofErr w:type="spellStart"/>
      <w:r>
        <w:t>tofacitinib</w:t>
      </w:r>
      <w:proofErr w:type="spellEnd"/>
      <w:r>
        <w:t xml:space="preserve">-treated subjects in Study </w:t>
      </w:r>
      <w:r w:rsidR="00BA5B06" w:rsidRPr="007A2D79">
        <w:t>A392</w:t>
      </w:r>
      <w:r>
        <w:t>1139</w:t>
      </w:r>
      <w:r w:rsidR="005F7896">
        <w:t>.</w:t>
      </w:r>
    </w:p>
    <w:p w14:paraId="698037B7" w14:textId="3DDFEEFE" w:rsidR="00EF6A50" w:rsidRDefault="00EF6A50" w:rsidP="00330821">
      <w:r>
        <w:t xml:space="preserve">There were 10 reports of </w:t>
      </w:r>
      <w:r w:rsidR="004F28B8">
        <w:t>NMSC</w:t>
      </w:r>
      <w:r>
        <w:t xml:space="preserve"> all in the maintenance studies (</w:t>
      </w:r>
      <w:r w:rsidRPr="00993505">
        <w:t xml:space="preserve">6 in Study </w:t>
      </w:r>
      <w:r w:rsidR="00BA5B06" w:rsidRPr="007A2D79">
        <w:t>A392</w:t>
      </w:r>
      <w:r w:rsidRPr="00993505">
        <w:t>1139</w:t>
      </w:r>
      <w:r w:rsidR="004F28B8">
        <w:t xml:space="preserve">, </w:t>
      </w:r>
      <w:r>
        <w:t xml:space="preserve">1 given </w:t>
      </w:r>
      <w:proofErr w:type="spellStart"/>
      <w:r>
        <w:t>tofacitinib</w:t>
      </w:r>
      <w:proofErr w:type="spellEnd"/>
      <w:r>
        <w:t xml:space="preserve"> 5 mg </w:t>
      </w:r>
      <w:r w:rsidR="004F28B8">
        <w:t>BID</w:t>
      </w:r>
      <w:r>
        <w:t xml:space="preserve"> and 5 given </w:t>
      </w:r>
      <w:proofErr w:type="spellStart"/>
      <w:r>
        <w:t>tofacitinib</w:t>
      </w:r>
      <w:proofErr w:type="spellEnd"/>
      <w:r>
        <w:t xml:space="preserve"> 10 mg </w:t>
      </w:r>
      <w:r w:rsidR="004F28B8">
        <w:t xml:space="preserve">BID and 4 in Study </w:t>
      </w:r>
      <w:r w:rsidR="00BA5B06" w:rsidRPr="007A2D79">
        <w:t>A392</w:t>
      </w:r>
      <w:r w:rsidR="004F28B8">
        <w:t xml:space="preserve">1096, </w:t>
      </w:r>
      <w:r>
        <w:t xml:space="preserve">3 given </w:t>
      </w:r>
      <w:proofErr w:type="spellStart"/>
      <w:r>
        <w:t>tofacitinib</w:t>
      </w:r>
      <w:proofErr w:type="spellEnd"/>
      <w:r>
        <w:t xml:space="preserve"> 10 mg </w:t>
      </w:r>
      <w:r w:rsidR="004F28B8">
        <w:t>BID</w:t>
      </w:r>
      <w:r>
        <w:t xml:space="preserve"> and 1 given placebo). The Safety Summary mentioned an additional NMSC case in the maintenance studies.</w:t>
      </w:r>
      <w:r w:rsidR="005F7896">
        <w:t xml:space="preserve"> </w:t>
      </w:r>
      <w:r>
        <w:t>Modelling data from the UC studies p</w:t>
      </w:r>
      <w:r w:rsidR="004F28B8">
        <w:t>redicted incidence rates events out of 100 PY</w:t>
      </w:r>
      <w:r>
        <w:t xml:space="preserve">) for placebo, 5 and 10 mg </w:t>
      </w:r>
      <w:r w:rsidR="004F28B8">
        <w:t>BID</w:t>
      </w:r>
      <w:r>
        <w:t xml:space="preserve"> </w:t>
      </w:r>
      <w:proofErr w:type="spellStart"/>
      <w:r>
        <w:t>tofacitinib</w:t>
      </w:r>
      <w:proofErr w:type="spellEnd"/>
      <w:r>
        <w:t xml:space="preserve"> using time-weighted average concentrations were: 1.66, 1.84 and 2.06 for serious infections, 0.384, 0.709 and 1.31 for opportunistic infections, 1.32, 2.44 and 4.48 for </w:t>
      </w:r>
      <w:r w:rsidR="004F28B8">
        <w:t>HZ</w:t>
      </w:r>
      <w:r>
        <w:t>, and 0.147, 0.342 and 0.796 for NMSC.</w:t>
      </w:r>
    </w:p>
    <w:p w14:paraId="76E66881" w14:textId="52E065BB" w:rsidR="00EF6A50" w:rsidRDefault="00EF6A50" w:rsidP="00330821">
      <w:r>
        <w:t xml:space="preserve">In Study </w:t>
      </w:r>
      <w:r w:rsidR="00BA5B06" w:rsidRPr="007A2D79">
        <w:t>A392</w:t>
      </w:r>
      <w:r>
        <w:t>1139, there were 15 subjects with malignant ev</w:t>
      </w:r>
      <w:r w:rsidR="003857E3">
        <w:t xml:space="preserve">ents: 1 </w:t>
      </w:r>
      <w:proofErr w:type="spellStart"/>
      <w:r w:rsidR="003857E3">
        <w:t>tofacitinib</w:t>
      </w:r>
      <w:proofErr w:type="spellEnd"/>
      <w:r w:rsidR="003857E3">
        <w:t xml:space="preserve"> 5 mg and 14 </w:t>
      </w:r>
      <w:proofErr w:type="spellStart"/>
      <w:r>
        <w:t>tofacitinib</w:t>
      </w:r>
      <w:proofErr w:type="spellEnd"/>
      <w:r>
        <w:t xml:space="preserve"> 10 mg. Malignancy, excluding NMSC, was confirmed in 9 subjects, all in the </w:t>
      </w:r>
      <w:proofErr w:type="spellStart"/>
      <w:r>
        <w:t>tofacitinib</w:t>
      </w:r>
      <w:proofErr w:type="spellEnd"/>
      <w:r>
        <w:t xml:space="preserve"> 10 mg </w:t>
      </w:r>
      <w:r w:rsidR="004F28B8">
        <w:t>BID</w:t>
      </w:r>
      <w:r>
        <w:t xml:space="preserve"> group. Of the 9 subjects in the </w:t>
      </w:r>
      <w:proofErr w:type="spellStart"/>
      <w:r>
        <w:t>tofacitinib</w:t>
      </w:r>
      <w:proofErr w:type="spellEnd"/>
      <w:r>
        <w:t xml:space="preserve"> 10 mg </w:t>
      </w:r>
      <w:r w:rsidR="004F28B8">
        <w:t>BID</w:t>
      </w:r>
      <w:r>
        <w:t xml:space="preserve"> group with confirmed malignancy, excluding NMSC, 3 subjects died during the study: 1 confirmed case each of hepatic </w:t>
      </w:r>
      <w:proofErr w:type="spellStart"/>
      <w:r>
        <w:t>angiosarcoma</w:t>
      </w:r>
      <w:proofErr w:type="spellEnd"/>
      <w:r>
        <w:t xml:space="preserve">; </w:t>
      </w:r>
      <w:r w:rsidR="004F28B8">
        <w:t>AML</w:t>
      </w:r>
      <w:r>
        <w:t xml:space="preserve"> and </w:t>
      </w:r>
      <w:proofErr w:type="spellStart"/>
      <w:r>
        <w:t>cholangiocarcinoma</w:t>
      </w:r>
      <w:proofErr w:type="spellEnd"/>
      <w:r>
        <w:t>.</w:t>
      </w:r>
    </w:p>
    <w:p w14:paraId="004414D4" w14:textId="77777777" w:rsidR="00EF6A50" w:rsidRDefault="00EF6A50" w:rsidP="00330821">
      <w:r>
        <w:t xml:space="preserve">For the other 6 cases who received </w:t>
      </w:r>
      <w:proofErr w:type="spellStart"/>
      <w:r>
        <w:t>tofacitinib</w:t>
      </w:r>
      <w:proofErr w:type="spellEnd"/>
      <w:r>
        <w:t xml:space="preserve"> 10 mg treatment: 1 case had confirmed (EBV-associated lymphoma considered study drug related; 1 case of moderate cutaneous</w:t>
      </w:r>
      <w:r w:rsidRPr="007A37D5">
        <w:t xml:space="preserve"> </w:t>
      </w:r>
      <w:proofErr w:type="spellStart"/>
      <w:r w:rsidRPr="007A37D5">
        <w:t>leiomyosarcoma</w:t>
      </w:r>
      <w:proofErr w:type="spellEnd"/>
      <w:r w:rsidRPr="007A37D5">
        <w:t xml:space="preserve"> (study drug related); 1 case of study related moderate essential </w:t>
      </w:r>
      <w:proofErr w:type="spellStart"/>
      <w:r w:rsidRPr="007A37D5">
        <w:t>thrombocythaemia</w:t>
      </w:r>
      <w:proofErr w:type="spellEnd"/>
      <w:r w:rsidRPr="007A37D5">
        <w:t>; 1 case of study drug related renal cell carcinoma and 2 cases of non-study drug related malignancies (1 case of severe cervical dysplasia and 1 case of severe adenocarcinoma of colon).</w:t>
      </w:r>
    </w:p>
    <w:p w14:paraId="4EDFB526" w14:textId="4455D5D6" w:rsidR="00456765" w:rsidRPr="00456765" w:rsidRDefault="00EF6A50" w:rsidP="00330821">
      <w:r w:rsidRPr="008A351B">
        <w:t xml:space="preserve">Gastrointestinal perforation was reported in 3 subjects, 1 given placebo and 2 given </w:t>
      </w:r>
      <w:proofErr w:type="spellStart"/>
      <w:r w:rsidRPr="008A351B">
        <w:t>tofacitinib</w:t>
      </w:r>
      <w:proofErr w:type="spellEnd"/>
      <w:r w:rsidRPr="008A351B">
        <w:t xml:space="preserve"> 10 mg </w:t>
      </w:r>
      <w:r w:rsidR="003857E3">
        <w:t>BID</w:t>
      </w:r>
      <w:r w:rsidRPr="008A351B">
        <w:t>. Opportunist</w:t>
      </w:r>
      <w:r w:rsidR="004F28B8">
        <w:t>ic infections were reported in S</w:t>
      </w:r>
      <w:r w:rsidRPr="008A351B">
        <w:t xml:space="preserve">tudies </w:t>
      </w:r>
      <w:r w:rsidR="00BA5B06" w:rsidRPr="007A2D79">
        <w:t>A392</w:t>
      </w:r>
      <w:r w:rsidRPr="008A351B">
        <w:t xml:space="preserve">1094, </w:t>
      </w:r>
      <w:r w:rsidR="00BA5B06" w:rsidRPr="007A2D79">
        <w:t>A392</w:t>
      </w:r>
      <w:r w:rsidRPr="008A351B">
        <w:t xml:space="preserve">1095, </w:t>
      </w:r>
      <w:r w:rsidR="00BA5B06" w:rsidRPr="007A2D79">
        <w:t>A392</w:t>
      </w:r>
      <w:r w:rsidRPr="008A351B">
        <w:t xml:space="preserve">1096 and </w:t>
      </w:r>
      <w:r w:rsidR="00BA5B06" w:rsidRPr="007A2D79">
        <w:t>A392</w:t>
      </w:r>
      <w:r w:rsidRPr="008A351B">
        <w:t xml:space="preserve">1139. These were most frequently </w:t>
      </w:r>
      <w:r w:rsidR="004F28B8">
        <w:t>HZ</w:t>
      </w:r>
      <w:r w:rsidRPr="008A351B">
        <w:t xml:space="preserve"> and 1 case each of </w:t>
      </w:r>
      <w:r w:rsidR="004F28B8">
        <w:t>CMV</w:t>
      </w:r>
      <w:r w:rsidRPr="008A351B">
        <w:t xml:space="preserve">, histoplasmosis and pulmonary mycosis associated with </w:t>
      </w:r>
      <w:proofErr w:type="spellStart"/>
      <w:r w:rsidRPr="008A351B">
        <w:t>tofacitinib</w:t>
      </w:r>
      <w:proofErr w:type="spellEnd"/>
      <w:r w:rsidRPr="008A351B">
        <w:t>.</w:t>
      </w:r>
      <w:r w:rsidR="005F7896">
        <w:t xml:space="preserve"> </w:t>
      </w:r>
      <w:r>
        <w:t xml:space="preserve">Four cases of pulmonary embolism were seen in subjects given the 10 mg </w:t>
      </w:r>
      <w:r w:rsidR="004F28B8">
        <w:t>BID dose in the extension S</w:t>
      </w:r>
      <w:r>
        <w:t xml:space="preserve">tudy </w:t>
      </w:r>
      <w:r w:rsidR="00BA5B06" w:rsidRPr="007A2D79">
        <w:t>A392</w:t>
      </w:r>
      <w:r>
        <w:t>1139.</w:t>
      </w:r>
      <w:r w:rsidR="005F7896">
        <w:t xml:space="preserve"> </w:t>
      </w:r>
      <w:r w:rsidR="004F28B8">
        <w:t xml:space="preserve">Dose </w:t>
      </w:r>
      <w:r>
        <w:t xml:space="preserve">dependent increases in </w:t>
      </w:r>
      <w:r w:rsidR="004F28B8">
        <w:t>HZ</w:t>
      </w:r>
      <w:r>
        <w:t xml:space="preserve"> infections, serious infections and NMSC were seen</w:t>
      </w:r>
      <w:r w:rsidR="005F7896">
        <w:t>.</w:t>
      </w:r>
    </w:p>
    <w:p w14:paraId="77354C1E" w14:textId="5334B6DD" w:rsidR="008E7846" w:rsidRDefault="00386150" w:rsidP="007B6132">
      <w:pPr>
        <w:pStyle w:val="Heading3"/>
        <w:rPr>
          <w:lang w:eastAsia="en-AU"/>
        </w:rPr>
      </w:pPr>
      <w:bookmarkStart w:id="235" w:name="_Toc20301915"/>
      <w:r>
        <w:rPr>
          <w:lang w:eastAsia="en-AU"/>
        </w:rPr>
        <w:t>Risk m</w:t>
      </w:r>
      <w:r w:rsidR="008E7846">
        <w:rPr>
          <w:lang w:eastAsia="en-AU"/>
        </w:rPr>
        <w:t xml:space="preserve">anagement </w:t>
      </w:r>
      <w:r>
        <w:rPr>
          <w:lang w:eastAsia="en-AU"/>
        </w:rPr>
        <w:t>p</w:t>
      </w:r>
      <w:r w:rsidR="008E7846">
        <w:rPr>
          <w:lang w:eastAsia="en-AU"/>
        </w:rPr>
        <w:t>lan</w:t>
      </w:r>
      <w:bookmarkEnd w:id="232"/>
      <w:bookmarkEnd w:id="235"/>
    </w:p>
    <w:p w14:paraId="52B616E7" w14:textId="24A3D2D9" w:rsidR="00EF6A50" w:rsidRDefault="00EF6A50" w:rsidP="00424472">
      <w:r>
        <w:t xml:space="preserve">The most recently evaluated RMP for this submission was </w:t>
      </w:r>
      <w:r w:rsidRPr="00A01197">
        <w:t>version 3.0 (</w:t>
      </w:r>
      <w:r>
        <w:t xml:space="preserve">EU-RMP </w:t>
      </w:r>
      <w:r w:rsidRPr="00A01197">
        <w:t>dated 26</w:t>
      </w:r>
      <w:r w:rsidR="00BA5B06">
        <w:t> </w:t>
      </w:r>
      <w:r w:rsidRPr="00A01197">
        <w:t xml:space="preserve">July 2017; </w:t>
      </w:r>
      <w:r w:rsidR="004F28B8">
        <w:t>data lock point</w:t>
      </w:r>
      <w:r w:rsidRPr="00A01197">
        <w:t xml:space="preserve"> 7 March 2017) and ASA version 1.0 (date 27 September 2017).</w:t>
      </w:r>
      <w:r>
        <w:t xml:space="preserve"> The sponsor agreed to update the next ASA revision to include additional safety concerns that have been included in the most recent EU-RMP but were not in the submitted ASA.</w:t>
      </w:r>
      <w:r w:rsidR="005F7896">
        <w:t xml:space="preserve"> </w:t>
      </w:r>
      <w:r>
        <w:t xml:space="preserve">These were: </w:t>
      </w:r>
      <w:r w:rsidR="004F28B8">
        <w:t>HZ</w:t>
      </w:r>
      <w:r>
        <w:t xml:space="preserve"> reactivation; i</w:t>
      </w:r>
      <w:r w:rsidRPr="00A01197">
        <w:t xml:space="preserve">ncreased risk of adverse events when </w:t>
      </w:r>
      <w:proofErr w:type="spellStart"/>
      <w:r w:rsidRPr="00A01197">
        <w:t>tofacitinib</w:t>
      </w:r>
      <w:proofErr w:type="spellEnd"/>
      <w:r w:rsidRPr="00A01197">
        <w:t xml:space="preserve"> is administered in combination with MTX</w:t>
      </w:r>
      <w:r>
        <w:t>;</w:t>
      </w:r>
      <w:r w:rsidRPr="00A01197">
        <w:t xml:space="preserve"> </w:t>
      </w:r>
      <w:r>
        <w:t xml:space="preserve">primary viral infection following live vaccination; increased exposure to </w:t>
      </w:r>
      <w:proofErr w:type="spellStart"/>
      <w:r>
        <w:t>tofacitinib</w:t>
      </w:r>
      <w:proofErr w:type="spellEnd"/>
      <w:r>
        <w:t xml:space="preserve"> when co-administered with CYP3A4 and CYP2C19 inhibitors; off-label use including children with JIA or IBD; and higher incidence and severity of</w:t>
      </w:r>
      <w:r w:rsidR="00424472">
        <w:t xml:space="preserve"> adverse events in the elderly.</w:t>
      </w:r>
    </w:p>
    <w:p w14:paraId="2E998D70" w14:textId="77777777" w:rsidR="00EF6A50" w:rsidRDefault="00EF6A50" w:rsidP="00424472">
      <w:r>
        <w:lastRenderedPageBreak/>
        <w:t>In addition to updating the ASA the sponsor has committed to</w:t>
      </w:r>
      <w:r w:rsidRPr="0018703E">
        <w:t xml:space="preserve"> </w:t>
      </w:r>
      <w:r>
        <w:t>provide revised educational materials prior to distribution.</w:t>
      </w:r>
      <w:r w:rsidR="005F7896">
        <w:t xml:space="preserve"> </w:t>
      </w:r>
      <w:r>
        <w:t>These are to include:</w:t>
      </w:r>
    </w:p>
    <w:p w14:paraId="53D3BC48" w14:textId="77777777" w:rsidR="00EF6A50" w:rsidRPr="00424472" w:rsidRDefault="00EF6A50" w:rsidP="00424472">
      <w:pPr>
        <w:pStyle w:val="ListBullet"/>
      </w:pPr>
      <w:r w:rsidRPr="00424472">
        <w:t>Prescriber’s Guide</w:t>
      </w:r>
      <w:r w:rsidR="003D66D8">
        <w:t>.</w:t>
      </w:r>
    </w:p>
    <w:p w14:paraId="7CEAF1A4" w14:textId="77777777" w:rsidR="00EF6A50" w:rsidRPr="00424472" w:rsidRDefault="00EF6A50" w:rsidP="00424472">
      <w:pPr>
        <w:pStyle w:val="ListBullet"/>
      </w:pPr>
      <w:r w:rsidRPr="00424472">
        <w:t>Patient Guide</w:t>
      </w:r>
      <w:r w:rsidR="003D66D8">
        <w:t>.</w:t>
      </w:r>
    </w:p>
    <w:p w14:paraId="5C451876" w14:textId="77777777" w:rsidR="00EF6A50" w:rsidRPr="00424472" w:rsidRDefault="00EF6A50" w:rsidP="00424472">
      <w:pPr>
        <w:pStyle w:val="ListBullet"/>
      </w:pPr>
      <w:r w:rsidRPr="00424472">
        <w:t>Medical Alert Card</w:t>
      </w:r>
      <w:r w:rsidR="003D66D8">
        <w:t>.</w:t>
      </w:r>
    </w:p>
    <w:p w14:paraId="61C858AE" w14:textId="77777777" w:rsidR="00EF6A50" w:rsidRPr="00424472" w:rsidRDefault="00EF6A50" w:rsidP="00424472">
      <w:pPr>
        <w:pStyle w:val="ListBullet"/>
      </w:pPr>
      <w:r w:rsidRPr="00424472">
        <w:t>Healthcare Practitioner’s Guide</w:t>
      </w:r>
      <w:r w:rsidR="003D66D8">
        <w:t>.</w:t>
      </w:r>
    </w:p>
    <w:p w14:paraId="5DFF080A" w14:textId="06B278C0" w:rsidR="00EF6A50" w:rsidRDefault="00EF6A50" w:rsidP="00424472">
      <w:r>
        <w:t>Additionally, with approval of the UC indication, the FDA required t</w:t>
      </w:r>
      <w:r w:rsidR="003D66D8">
        <w:t xml:space="preserve">he sponsor to conduct a long </w:t>
      </w:r>
      <w:r w:rsidRPr="0018703E">
        <w:t xml:space="preserve">term, observational study to assess the long‐term safety of </w:t>
      </w:r>
      <w:proofErr w:type="spellStart"/>
      <w:r w:rsidRPr="0018703E">
        <w:t>tofacitinib</w:t>
      </w:r>
      <w:proofErr w:type="spellEnd"/>
      <w:r w:rsidRPr="0018703E">
        <w:t xml:space="preserve"> 5</w:t>
      </w:r>
      <w:r w:rsidR="00BA5B06">
        <w:t xml:space="preserve"> </w:t>
      </w:r>
      <w:r w:rsidRPr="0018703E">
        <w:t xml:space="preserve">mg </w:t>
      </w:r>
      <w:r w:rsidR="003D66D8">
        <w:t>BID</w:t>
      </w:r>
      <w:r w:rsidRPr="0018703E">
        <w:t xml:space="preserve"> or 10mg </w:t>
      </w:r>
      <w:r w:rsidR="003D66D8">
        <w:t>BID</w:t>
      </w:r>
      <w:r w:rsidRPr="0018703E">
        <w:t xml:space="preserve"> versus other therapies used in the treatment of adults with moderately to severely active ulcerative colitis. That study’s primary outcome is malignancy. Secondary outcomes of interest include, but are not limited to, opportunistic infections, thromboembolic events, and hepatic injury. Study subjects ar</w:t>
      </w:r>
      <w:r w:rsidR="003D66D8">
        <w:t>e to be followed for at least 7 </w:t>
      </w:r>
      <w:r w:rsidRPr="0018703E">
        <w:t>years. The FDA has noted that the sponsor has advised that a draft protocol for this study is to be submitted in September 2018 and the study to be completed by 2026 with the final study report to be submitted to the FDA in June 2026.</w:t>
      </w:r>
      <w:r w:rsidR="005F7896">
        <w:t xml:space="preserve"> </w:t>
      </w:r>
      <w:r>
        <w:t>Interim and final study reports of that study are to be submitted to the TGA when available.</w:t>
      </w:r>
    </w:p>
    <w:p w14:paraId="1BE45900" w14:textId="77777777" w:rsidR="00EF6A50" w:rsidRDefault="00EF6A50" w:rsidP="00EF6A50">
      <w:pPr>
        <w:pStyle w:val="Heading4"/>
      </w:pPr>
      <w:r w:rsidRPr="00AA53F4">
        <w:t>R</w:t>
      </w:r>
      <w:r w:rsidR="00424472">
        <w:t>ecommended condition</w:t>
      </w:r>
      <w:r w:rsidRPr="00AA53F4">
        <w:t>s of registration</w:t>
      </w:r>
    </w:p>
    <w:p w14:paraId="22372806" w14:textId="77777777" w:rsidR="00EF6A50" w:rsidRDefault="00EF6A50" w:rsidP="00424472">
      <w:r w:rsidRPr="0018703E">
        <w:t xml:space="preserve">The </w:t>
      </w:r>
      <w:proofErr w:type="spellStart"/>
      <w:r w:rsidR="005F7896">
        <w:t>Xeljanz</w:t>
      </w:r>
      <w:proofErr w:type="spellEnd"/>
      <w:r w:rsidRPr="0018703E">
        <w:t xml:space="preserve"> EU-Risk Management Plan (RMP) (version 2.0, dated 20 June 2017, data lock point 16 December 2017), with </w:t>
      </w:r>
      <w:r w:rsidR="003D66D8">
        <w:t>ASA</w:t>
      </w:r>
      <w:r w:rsidRPr="0018703E">
        <w:t xml:space="preserve"> (version 1.0, dated 1 December 2017), included with submission PM-2017-04764-1-1, to be revised to the satisfaction of the TGA, will be implemented in Australia.</w:t>
      </w:r>
    </w:p>
    <w:p w14:paraId="39072B8C" w14:textId="77777777" w:rsidR="00EF6A50" w:rsidRDefault="00EF6A50" w:rsidP="00424472">
      <w:r>
        <w:t xml:space="preserve">As the indications for </w:t>
      </w:r>
      <w:proofErr w:type="spellStart"/>
      <w:r w:rsidR="005F7896">
        <w:t>Xeljanz</w:t>
      </w:r>
      <w:proofErr w:type="spellEnd"/>
      <w:r>
        <w:t xml:space="preserve"> are being extended into a significantly different population and/or disease/condition it should be included in the Black Triangle Scheme as a condition of registration. The following wording is recommended for the condition of registration:</w:t>
      </w:r>
    </w:p>
    <w:p w14:paraId="631E6AA1" w14:textId="77777777" w:rsidR="005F7896" w:rsidRDefault="005F7896" w:rsidP="00424472">
      <w:pPr>
        <w:ind w:left="720"/>
      </w:pPr>
      <w:proofErr w:type="spellStart"/>
      <w:r>
        <w:t>Xeljanz</w:t>
      </w:r>
      <w:proofErr w:type="spellEnd"/>
      <w:r w:rsidR="00424472">
        <w:t xml:space="preserve"> (</w:t>
      </w:r>
      <w:proofErr w:type="spellStart"/>
      <w:r w:rsidR="00424472">
        <w:t>tofacitinib</w:t>
      </w:r>
      <w:proofErr w:type="spellEnd"/>
      <w:r w:rsidR="00424472">
        <w:t>)</w:t>
      </w:r>
      <w:r w:rsidR="00EF6A50">
        <w:t xml:space="preserve"> is to be included in the Black Triangle Scheme. The PI and CMI for </w:t>
      </w:r>
      <w:proofErr w:type="spellStart"/>
      <w:r>
        <w:t>Xeljanz</w:t>
      </w:r>
      <w:proofErr w:type="spellEnd"/>
      <w:r w:rsidR="00EF6A50">
        <w:t xml:space="preserve"> must include the black triangle symbol and mandatory accompanying text for five years, which starts from the date the new indication is registered</w:t>
      </w:r>
      <w:r>
        <w:t>.</w:t>
      </w:r>
    </w:p>
    <w:p w14:paraId="20ED9B5A" w14:textId="77777777" w:rsidR="008E7846" w:rsidRDefault="00EF6A50" w:rsidP="00424472">
      <w:r>
        <w:t>Two options were presented by the RMP evaluator for the PSUR reporting requirement, dependent on whether the indication was aligned with the EU reporting dates.</w:t>
      </w:r>
    </w:p>
    <w:p w14:paraId="566D7EA5" w14:textId="77777777" w:rsidR="008E7846" w:rsidRDefault="00AA0ED0" w:rsidP="008E7846">
      <w:pPr>
        <w:pStyle w:val="Heading3"/>
      </w:pPr>
      <w:bookmarkStart w:id="236" w:name="_Toc247691531"/>
      <w:bookmarkStart w:id="237" w:name="_Toc314842515"/>
      <w:bookmarkStart w:id="238" w:name="_Toc196046505"/>
      <w:bookmarkStart w:id="239" w:name="_Toc196046949"/>
      <w:bookmarkStart w:id="240" w:name="_Toc20301916"/>
      <w:r>
        <w:t>Risk-benefit a</w:t>
      </w:r>
      <w:r w:rsidR="008E7846">
        <w:t>nalysis</w:t>
      </w:r>
      <w:bookmarkEnd w:id="236"/>
      <w:bookmarkEnd w:id="237"/>
      <w:bookmarkEnd w:id="240"/>
    </w:p>
    <w:p w14:paraId="41A06D90" w14:textId="77777777" w:rsidR="00225681" w:rsidRDefault="00D23139" w:rsidP="00D23139">
      <w:pPr>
        <w:pStyle w:val="Heading4"/>
      </w:pPr>
      <w:r w:rsidRPr="00D23139">
        <w:t>Delegate’s considerations</w:t>
      </w:r>
    </w:p>
    <w:p w14:paraId="4297FD30" w14:textId="77777777" w:rsidR="00456765" w:rsidRDefault="00EF6A50" w:rsidP="00EF6A50">
      <w:pPr>
        <w:pStyle w:val="Heading5"/>
      </w:pPr>
      <w:r>
        <w:t>Discussion</w:t>
      </w:r>
    </w:p>
    <w:p w14:paraId="5BD8E60A" w14:textId="77777777" w:rsidR="005F7896" w:rsidRDefault="00EF6A50" w:rsidP="00424472">
      <w:r>
        <w:t xml:space="preserve">This submission did not allow for a direct comparative assessment of the benefits and risks of </w:t>
      </w:r>
      <w:proofErr w:type="spellStart"/>
      <w:r>
        <w:t>tofacitinib</w:t>
      </w:r>
      <w:proofErr w:type="spellEnd"/>
      <w:r>
        <w:t xml:space="preserve"> in relation to other treatments for moderate to severe UC.</w:t>
      </w:r>
      <w:r w:rsidR="005F7896">
        <w:t xml:space="preserve"> </w:t>
      </w:r>
      <w:r>
        <w:t xml:space="preserve">A cross-study comparison with the induction studies for infliximab (described in the infliximab PIs) suggests that the efficacy of </w:t>
      </w:r>
      <w:proofErr w:type="spellStart"/>
      <w:r>
        <w:t>tofacitinib</w:t>
      </w:r>
      <w:proofErr w:type="spellEnd"/>
      <w:r>
        <w:t xml:space="preserve"> 10 mg </w:t>
      </w:r>
      <w:r w:rsidR="003D66D8">
        <w:t>BID</w:t>
      </w:r>
      <w:r>
        <w:t xml:space="preserve"> in induction of remission and clinical response may be somewhat less than was demonstrated with infliximab however as with any cross-study comparison there are limitations to the comparison.</w:t>
      </w:r>
      <w:r w:rsidR="005F7896">
        <w:t xml:space="preserve"> </w:t>
      </w:r>
      <w:r>
        <w:t xml:space="preserve">In this case differences in available patient population are likely to contribute to differences in apparent efficacy due to the lack of prior exposure of any infliximab subjects to a </w:t>
      </w:r>
      <w:proofErr w:type="spellStart"/>
      <w:r>
        <w:t>TNFi</w:t>
      </w:r>
      <w:proofErr w:type="spellEnd"/>
      <w:r w:rsidR="005F7896">
        <w:t>.</w:t>
      </w:r>
    </w:p>
    <w:p w14:paraId="2AFDF20A" w14:textId="77777777" w:rsidR="005F7896" w:rsidRDefault="00EF6A50" w:rsidP="00424472">
      <w:r>
        <w:t xml:space="preserve">The clinical trial program allowed some assessment of efficacy after 16 weeks of treatment at 10 mg </w:t>
      </w:r>
      <w:r w:rsidR="003D66D8">
        <w:t>BID</w:t>
      </w:r>
      <w:r>
        <w:t xml:space="preserve"> for those subjects who did not have a clinical response at Week 8.</w:t>
      </w:r>
      <w:r w:rsidR="005F7896">
        <w:t xml:space="preserve"> </w:t>
      </w:r>
      <w:r>
        <w:t xml:space="preserve">These subjects were assessed in the ongoing open extension study, 1139 and those results, in my </w:t>
      </w:r>
      <w:r>
        <w:lastRenderedPageBreak/>
        <w:t xml:space="preserve">view, support continuation of treatment for up to 16 weeks at 10 mg </w:t>
      </w:r>
      <w:r w:rsidR="003D66D8">
        <w:t>BID</w:t>
      </w:r>
      <w:r>
        <w:t xml:space="preserve"> for those patients who do not have a clinical response at Week 8. The clinical evaluator commented extensively on this issue in </w:t>
      </w:r>
      <w:r w:rsidR="003D66D8">
        <w:t>the clinical evaluation report</w:t>
      </w:r>
      <w:r>
        <w:t>. The evaluator does not recommend an induction period of up to 16 weeks primarily because efficacy was based on results from an open, uncontrolled stu</w:t>
      </w:r>
      <w:r w:rsidR="003D66D8">
        <w:t xml:space="preserve">dy and AEs are known to be dose </w:t>
      </w:r>
      <w:r>
        <w:t>related</w:t>
      </w:r>
      <w:r w:rsidR="005F7896">
        <w:t>.</w:t>
      </w:r>
    </w:p>
    <w:p w14:paraId="6B3B2C64" w14:textId="77777777" w:rsidR="005F7896" w:rsidRDefault="003D66D8" w:rsidP="00424472">
      <w:r>
        <w:t>The Delegate considers</w:t>
      </w:r>
      <w:r w:rsidR="00EF6A50">
        <w:t xml:space="preserve"> that for some patients, particularly those who haven’t adequately responded to other medical treatment and for whom the alternative is surgery, it would be acceptable to allow a further 8 weeks of induction treatment with </w:t>
      </w:r>
      <w:proofErr w:type="spellStart"/>
      <w:r w:rsidR="00EF6A50">
        <w:t>tofacitinib</w:t>
      </w:r>
      <w:proofErr w:type="spellEnd"/>
      <w:r w:rsidR="00EF6A50">
        <w:t xml:space="preserve"> 10 mg </w:t>
      </w:r>
      <w:r>
        <w:t>BID</w:t>
      </w:r>
      <w:r w:rsidR="00EF6A50">
        <w:t>.</w:t>
      </w:r>
      <w:r w:rsidR="005F7896">
        <w:t xml:space="preserve"> </w:t>
      </w:r>
      <w:r w:rsidR="00EF6A50">
        <w:t xml:space="preserve">Patients who then fail to adequately respond would be recommended to cease </w:t>
      </w:r>
      <w:proofErr w:type="spellStart"/>
      <w:r w:rsidR="00EF6A50">
        <w:t>tofacitinib</w:t>
      </w:r>
      <w:proofErr w:type="spellEnd"/>
      <w:r w:rsidR="00EF6A50">
        <w:t>.</w:t>
      </w:r>
      <w:r w:rsidR="005F7896">
        <w:t xml:space="preserve"> </w:t>
      </w:r>
      <w:r w:rsidR="00EF6A50">
        <w:t>While the data showing a benefit for these patients was from an open study, efficacy was assessed using the Mayo score, a robust and validated tool for assessment of efficacy of treatments for UC so the open nature of that study is not as significant as it would be for a more subjective measure of efficacy</w:t>
      </w:r>
      <w:r w:rsidR="005F7896">
        <w:t>.</w:t>
      </w:r>
    </w:p>
    <w:p w14:paraId="5822F276" w14:textId="77777777" w:rsidR="00EF6A50" w:rsidRDefault="00EF6A50" w:rsidP="00424472">
      <w:r>
        <w:t xml:space="preserve">The 10 mg </w:t>
      </w:r>
      <w:r w:rsidR="003D66D8">
        <w:t>BID</w:t>
      </w:r>
      <w:r w:rsidR="005F7896">
        <w:t xml:space="preserve"> </w:t>
      </w:r>
      <w:r>
        <w:t xml:space="preserve">maintenance dose should only be considered for patients who had an initial clinical response after up to 16 weeks induction treatment and who have subsequently not had an adequate continued response to </w:t>
      </w:r>
      <w:proofErr w:type="spellStart"/>
      <w:r>
        <w:t>tofacitinib</w:t>
      </w:r>
      <w:proofErr w:type="spellEnd"/>
      <w:r>
        <w:t xml:space="preserve"> 5 mg </w:t>
      </w:r>
      <w:r w:rsidR="003D66D8">
        <w:t>BID.</w:t>
      </w:r>
      <w:r>
        <w:t xml:space="preserve"> Monitoring for AEs is required for all patients taking </w:t>
      </w:r>
      <w:proofErr w:type="spellStart"/>
      <w:r>
        <w:t>tofacitinib</w:t>
      </w:r>
      <w:proofErr w:type="spellEnd"/>
      <w:r>
        <w:t xml:space="preserve"> and patients moving to a 10 mg </w:t>
      </w:r>
      <w:r w:rsidR="003D66D8">
        <w:t>BID</w:t>
      </w:r>
      <w:r>
        <w:t xml:space="preserve"> maintenance dose should be advised that the risks of AEs are increased with that higher dose of </w:t>
      </w:r>
      <w:proofErr w:type="spellStart"/>
      <w:r>
        <w:t>tofacitinib</w:t>
      </w:r>
      <w:proofErr w:type="spellEnd"/>
      <w:r>
        <w:t>.</w:t>
      </w:r>
    </w:p>
    <w:p w14:paraId="4FBC75B4" w14:textId="77777777" w:rsidR="00EF6A50" w:rsidRDefault="00EF6A50" w:rsidP="00424472">
      <w:r>
        <w:t>The claim that a clinical response can be seen from 2 weeks of commencing treatment appears to be based on an exploratory endpoint of change in partial Mayo score over time.</w:t>
      </w:r>
    </w:p>
    <w:p w14:paraId="0BFC5642" w14:textId="77777777" w:rsidR="00EF6A50" w:rsidRDefault="00EF6A50" w:rsidP="00424472">
      <w:proofErr w:type="spellStart"/>
      <w:r w:rsidRPr="000A4C21">
        <w:t>Tofacitinib</w:t>
      </w:r>
      <w:proofErr w:type="spellEnd"/>
      <w:r w:rsidRPr="000A4C21">
        <w:t xml:space="preserve"> </w:t>
      </w:r>
      <w:r>
        <w:t xml:space="preserve">demonstrated clinically and statistically significant efficacy </w:t>
      </w:r>
      <w:r w:rsidRPr="000A4C21">
        <w:t xml:space="preserve">in subjects who had failed prior </w:t>
      </w:r>
      <w:proofErr w:type="spellStart"/>
      <w:r w:rsidRPr="000A4C21">
        <w:t>TNFi</w:t>
      </w:r>
      <w:proofErr w:type="spellEnd"/>
      <w:r w:rsidRPr="000A4C21">
        <w:t xml:space="preserve"> treatment</w:t>
      </w:r>
      <w:r>
        <w:t xml:space="preserve"> and in </w:t>
      </w:r>
      <w:proofErr w:type="spellStart"/>
      <w:r>
        <w:t>TNFi</w:t>
      </w:r>
      <w:proofErr w:type="spellEnd"/>
      <w:r>
        <w:t xml:space="preserve"> naïve subjects.</w:t>
      </w:r>
      <w:r w:rsidR="005F7896">
        <w:t xml:space="preserve"> </w:t>
      </w:r>
      <w:r>
        <w:t>Al</w:t>
      </w:r>
      <w:r w:rsidRPr="000A4C21">
        <w:t xml:space="preserve">though the remission rate was lower in </w:t>
      </w:r>
      <w:r>
        <w:t xml:space="preserve">those who had failed </w:t>
      </w:r>
      <w:proofErr w:type="spellStart"/>
      <w:r>
        <w:t>TNFi</w:t>
      </w:r>
      <w:proofErr w:type="spellEnd"/>
      <w:r>
        <w:t xml:space="preserve"> therapy than in </w:t>
      </w:r>
      <w:proofErr w:type="spellStart"/>
      <w:r>
        <w:t>TNFi</w:t>
      </w:r>
      <w:proofErr w:type="spellEnd"/>
      <w:r>
        <w:t xml:space="preserve"> naïve subjects, the difference from placebo was similar for both these subgroups.</w:t>
      </w:r>
    </w:p>
    <w:p w14:paraId="6A85C99D" w14:textId="77777777" w:rsidR="005F7896" w:rsidRDefault="00EF6A50" w:rsidP="00424472">
      <w:r>
        <w:t xml:space="preserve">The relative safety and efficacy of </w:t>
      </w:r>
      <w:proofErr w:type="spellStart"/>
      <w:r>
        <w:t>tofacitinib</w:t>
      </w:r>
      <w:proofErr w:type="spellEnd"/>
      <w:r>
        <w:t xml:space="preserve"> compared to other available treatments for UC is uncertain however there are considerable safety signals that have recently </w:t>
      </w:r>
      <w:r w:rsidR="003D66D8">
        <w:t xml:space="preserve">been detected and that are dose </w:t>
      </w:r>
      <w:r>
        <w:t>related.</w:t>
      </w:r>
      <w:r w:rsidR="005F7896">
        <w:t xml:space="preserve"> </w:t>
      </w:r>
      <w:r>
        <w:t>A longer term comparative observational safety study is planned.</w:t>
      </w:r>
      <w:r w:rsidR="005F7896">
        <w:t xml:space="preserve"> </w:t>
      </w:r>
      <w:r>
        <w:t xml:space="preserve">Given these factors it should be considered whether </w:t>
      </w:r>
      <w:proofErr w:type="spellStart"/>
      <w:r>
        <w:t>tofacitinib</w:t>
      </w:r>
      <w:proofErr w:type="spellEnd"/>
      <w:r>
        <w:t xml:space="preserve"> should be restricted in UC to those patients who were either intolerant or unresponsive to other treatments, including biologic agents</w:t>
      </w:r>
      <w:r w:rsidR="005F7896">
        <w:t>.</w:t>
      </w:r>
    </w:p>
    <w:p w14:paraId="2994693F" w14:textId="77777777" w:rsidR="00B94414" w:rsidRDefault="00EF6A50" w:rsidP="00424472">
      <w:r>
        <w:t>The sponsor initially pr</w:t>
      </w:r>
      <w:r w:rsidR="00B94414">
        <w:t>oposed the UC indication state</w:t>
      </w:r>
      <w:r w:rsidR="003857E3">
        <w:t>d</w:t>
      </w:r>
      <w:r w:rsidR="00B94414">
        <w:t>:</w:t>
      </w:r>
    </w:p>
    <w:p w14:paraId="3D966E3A" w14:textId="77777777" w:rsidR="00EF6A50" w:rsidRDefault="005F7896" w:rsidP="00B94414">
      <w:pPr>
        <w:ind w:left="720"/>
        <w:rPr>
          <w:i/>
        </w:rPr>
      </w:pPr>
      <w:proofErr w:type="spellStart"/>
      <w:r>
        <w:rPr>
          <w:i/>
        </w:rPr>
        <w:t>Xeljanz</w:t>
      </w:r>
      <w:proofErr w:type="spellEnd"/>
      <w:r w:rsidR="00EF6A50" w:rsidRPr="00707368">
        <w:rPr>
          <w:i/>
        </w:rPr>
        <w:t xml:space="preserve"> is indicated for the induction and maintenance of treatment of adult patients with moderately to severely active ulcerative colitis (UC) who have had an inadequate response, lost response, or were intolerant to conventional therapy.</w:t>
      </w:r>
    </w:p>
    <w:p w14:paraId="4F0F86D4" w14:textId="0B60DB34" w:rsidR="005F7896" w:rsidRDefault="00EF6A50" w:rsidP="00424472">
      <w:r>
        <w:t xml:space="preserve">In the response to </w:t>
      </w:r>
      <w:r w:rsidR="003D66D8">
        <w:t>clinical questions,</w:t>
      </w:r>
      <w:r>
        <w:t xml:space="preserve"> the clinical evaluator had recommended that the PI reflect that </w:t>
      </w:r>
      <w:proofErr w:type="spellStart"/>
      <w:r>
        <w:t>tofacitinib</w:t>
      </w:r>
      <w:proofErr w:type="spellEnd"/>
      <w:r>
        <w:t xml:space="preserve"> should be used only in UC patients with moderate UC (Mayo score &lt;</w:t>
      </w:r>
      <w:r w:rsidR="003D66D8">
        <w:t> </w:t>
      </w:r>
      <w:r>
        <w:t xml:space="preserve">8 at </w:t>
      </w:r>
      <w:r w:rsidR="00CF6A6C">
        <w:t>Baseline</w:t>
      </w:r>
      <w:r>
        <w:t>) and that it be avoided in patients with principally proctosigmoiditis.</w:t>
      </w:r>
      <w:r w:rsidR="005F7896">
        <w:t xml:space="preserve"> </w:t>
      </w:r>
      <w:r>
        <w:t xml:space="preserve">These recommendations are based on subgroup analyses from small numbers of patients and </w:t>
      </w:r>
      <w:r w:rsidR="003D66D8">
        <w:t xml:space="preserve">the Delegate does </w:t>
      </w:r>
      <w:r>
        <w:t>not accept those recommendations.</w:t>
      </w:r>
      <w:r w:rsidR="005F7896">
        <w:t xml:space="preserve"> </w:t>
      </w:r>
      <w:r>
        <w:t>The pivotal studies were not designed primarily to assess</w:t>
      </w:r>
      <w:r w:rsidR="005F7896">
        <w:t xml:space="preserve"> </w:t>
      </w:r>
      <w:r>
        <w:t>efficacy in these subgroups, but rather to assess efficacy for moderate to severe UC in total</w:t>
      </w:r>
      <w:r w:rsidR="005F7896">
        <w:t>.</w:t>
      </w:r>
    </w:p>
    <w:p w14:paraId="21B4521A" w14:textId="77777777" w:rsidR="00EF6A50" w:rsidRPr="00707368" w:rsidRDefault="00EF6A50" w:rsidP="00424472">
      <w:r>
        <w:t xml:space="preserve">The sponsor had proposed to refer to induction and maintenance </w:t>
      </w:r>
      <w:r w:rsidR="003857E3">
        <w:t>p</w:t>
      </w:r>
      <w:r w:rsidR="00B7366A">
        <w:t>hase</w:t>
      </w:r>
      <w:r>
        <w:t>s of treatment in the indications.</w:t>
      </w:r>
      <w:r w:rsidR="005F7896">
        <w:t xml:space="preserve"> </w:t>
      </w:r>
      <w:r>
        <w:t>To be consistent with the indications for other systemic UC treatments the indications should refer to UC only.</w:t>
      </w:r>
      <w:r w:rsidR="005F7896">
        <w:t xml:space="preserve"> </w:t>
      </w:r>
      <w:r>
        <w:t xml:space="preserve">Additionally </w:t>
      </w:r>
      <w:r w:rsidR="003D66D8">
        <w:t xml:space="preserve">the Delegate considers </w:t>
      </w:r>
      <w:r>
        <w:t>that reference to biologic agents should be included in the indications.</w:t>
      </w:r>
      <w:r w:rsidR="005F7896">
        <w:t xml:space="preserve"> </w:t>
      </w:r>
      <w:r>
        <w:t>The indication accep</w:t>
      </w:r>
      <w:r w:rsidR="00B94414">
        <w:t>ted by the EMA is requested, that is:</w:t>
      </w:r>
    </w:p>
    <w:p w14:paraId="1DBE762E" w14:textId="77777777" w:rsidR="00EF6A50" w:rsidRPr="00EF6A50" w:rsidRDefault="00EF6A50" w:rsidP="00B94414">
      <w:pPr>
        <w:ind w:left="720"/>
        <w:rPr>
          <w:i/>
        </w:rPr>
      </w:pPr>
      <w:proofErr w:type="spellStart"/>
      <w:r w:rsidRPr="00772D65">
        <w:rPr>
          <w:i/>
        </w:rPr>
        <w:t>Xeljanz</w:t>
      </w:r>
      <w:proofErr w:type="spellEnd"/>
      <w:r w:rsidRPr="00772D65">
        <w:rPr>
          <w:i/>
        </w:rPr>
        <w:t xml:space="preserve"> is indicated for the treatment of adult patients with moderately to severely active ulcerative colitis (UC) who have had an inadequate response, lost response, or were intolerant to either conventional therapy </w:t>
      </w:r>
      <w:r w:rsidRPr="003857E3">
        <w:rPr>
          <w:i/>
        </w:rPr>
        <w:t>or a biologic agent</w:t>
      </w:r>
      <w:r>
        <w:rPr>
          <w:i/>
        </w:rPr>
        <w:t>.</w:t>
      </w:r>
    </w:p>
    <w:p w14:paraId="2EC8882C" w14:textId="77777777" w:rsidR="00EF6A50" w:rsidRDefault="00EF6A50" w:rsidP="00D23139">
      <w:pPr>
        <w:pStyle w:val="Heading4"/>
      </w:pPr>
      <w:r>
        <w:lastRenderedPageBreak/>
        <w:t>Summary of issues</w:t>
      </w:r>
    </w:p>
    <w:p w14:paraId="5E1CC212" w14:textId="77777777" w:rsidR="00EE7B7F" w:rsidRDefault="00EE7B7F" w:rsidP="00B94414">
      <w:pPr>
        <w:pStyle w:val="ListBullet"/>
      </w:pPr>
      <w:r>
        <w:t xml:space="preserve">The relative efficacy and safety of </w:t>
      </w:r>
      <w:proofErr w:type="spellStart"/>
      <w:r>
        <w:t>tofacitinib</w:t>
      </w:r>
      <w:proofErr w:type="spellEnd"/>
      <w:r>
        <w:t xml:space="preserve"> compared with </w:t>
      </w:r>
      <w:proofErr w:type="spellStart"/>
      <w:r>
        <w:t>TNFi</w:t>
      </w:r>
      <w:proofErr w:type="spellEnd"/>
      <w:r>
        <w:t xml:space="preserve"> </w:t>
      </w:r>
      <w:r w:rsidR="003D66D8">
        <w:t>and/</w:t>
      </w:r>
      <w:r>
        <w:t xml:space="preserve">or </w:t>
      </w:r>
      <w:proofErr w:type="spellStart"/>
      <w:r>
        <w:t>vedolizumab</w:t>
      </w:r>
      <w:proofErr w:type="spellEnd"/>
      <w:r>
        <w:t xml:space="preserve"> is not clear.</w:t>
      </w:r>
      <w:r w:rsidR="005F7896">
        <w:t xml:space="preserve"> </w:t>
      </w:r>
      <w:r>
        <w:t>A post-market observational study to assess differences in safety outcomes is planned but will not be reported until 2026.</w:t>
      </w:r>
    </w:p>
    <w:p w14:paraId="104E0E53" w14:textId="77777777" w:rsidR="00EE7B7F" w:rsidRDefault="00EE7B7F" w:rsidP="00B94414">
      <w:pPr>
        <w:pStyle w:val="ListBullet"/>
      </w:pPr>
      <w:r>
        <w:t>The RMP evaluator has proposed a black triangle be added to the PI given the increased dose proposed for UC compared with the current RA dose.</w:t>
      </w:r>
      <w:r w:rsidR="005F7896">
        <w:t xml:space="preserve"> </w:t>
      </w:r>
      <w:r>
        <w:t>This is supported by the evaluator and agreed by the sponsor.</w:t>
      </w:r>
      <w:r w:rsidR="005F7896">
        <w:t xml:space="preserve"> </w:t>
      </w:r>
      <w:r>
        <w:t xml:space="preserve">It is not clear if a boxed warning is also required to highlight the risks from use of </w:t>
      </w:r>
      <w:proofErr w:type="spellStart"/>
      <w:r>
        <w:t>tofacitinib</w:t>
      </w:r>
      <w:proofErr w:type="spellEnd"/>
      <w:r>
        <w:t>. While the US PI has a boxed warning the EU- SPC does not.</w:t>
      </w:r>
    </w:p>
    <w:p w14:paraId="1D883B34" w14:textId="77777777" w:rsidR="005F7896" w:rsidRDefault="00EE7B7F" w:rsidP="00B94414">
      <w:pPr>
        <w:pStyle w:val="ListBullet"/>
      </w:pPr>
      <w:r>
        <w:t xml:space="preserve">It isn’t clear whether </w:t>
      </w:r>
      <w:proofErr w:type="spellStart"/>
      <w:r>
        <w:t>tofacitinib</w:t>
      </w:r>
      <w:proofErr w:type="spellEnd"/>
      <w:r>
        <w:t xml:space="preserve"> should be reserved for UC patients who have inadequate response to or lose response to </w:t>
      </w:r>
      <w:proofErr w:type="spellStart"/>
      <w:r>
        <w:t>TNFi</w:t>
      </w:r>
      <w:proofErr w:type="spellEnd"/>
      <w:r>
        <w:t xml:space="preserve"> or other biologic therapies</w:t>
      </w:r>
      <w:r w:rsidR="005F7896">
        <w:t>.</w:t>
      </w:r>
    </w:p>
    <w:p w14:paraId="0E540473" w14:textId="77777777" w:rsidR="00D23139" w:rsidRDefault="00D23139" w:rsidP="00D23139">
      <w:pPr>
        <w:pStyle w:val="Heading4"/>
      </w:pPr>
      <w:r w:rsidRPr="00D23139">
        <w:t>Proposed action</w:t>
      </w:r>
    </w:p>
    <w:p w14:paraId="483B58FD" w14:textId="77777777" w:rsidR="005F7896" w:rsidRDefault="00424472" w:rsidP="00B94414">
      <w:r>
        <w:t>The Delegate has</w:t>
      </w:r>
      <w:r w:rsidR="00EE7B7F">
        <w:t xml:space="preserve"> no reason to say, at this time, that the application for </w:t>
      </w:r>
      <w:proofErr w:type="spellStart"/>
      <w:r w:rsidR="00EE7B7F">
        <w:t>Xeljanz</w:t>
      </w:r>
      <w:proofErr w:type="spellEnd"/>
      <w:r w:rsidR="00EE7B7F">
        <w:t xml:space="preserve"> (</w:t>
      </w:r>
      <w:proofErr w:type="spellStart"/>
      <w:r w:rsidR="00EE7B7F">
        <w:t>tofacitinib</w:t>
      </w:r>
      <w:proofErr w:type="spellEnd"/>
      <w:r w:rsidR="00EE7B7F">
        <w:t>)</w:t>
      </w:r>
      <w:r w:rsidR="00EE7B7F" w:rsidRPr="00961042">
        <w:rPr>
          <w:color w:val="0070C0"/>
        </w:rPr>
        <w:t xml:space="preserve"> </w:t>
      </w:r>
      <w:r w:rsidR="00EE7B7F">
        <w:t xml:space="preserve">should not be approved for registration, subject to satisfactory negotiation of the </w:t>
      </w:r>
      <w:r w:rsidR="003D66D8">
        <w:t>PI</w:t>
      </w:r>
      <w:r w:rsidR="00EE7B7F">
        <w:t xml:space="preserve"> and RMP</w:t>
      </w:r>
      <w:r w:rsidR="005F7896">
        <w:t>.</w:t>
      </w:r>
    </w:p>
    <w:p w14:paraId="27D1B801" w14:textId="77777777" w:rsidR="00D23139" w:rsidRDefault="00A22D57" w:rsidP="00D23139">
      <w:pPr>
        <w:pStyle w:val="Heading4"/>
      </w:pPr>
      <w:r>
        <w:t>Request for AC</w:t>
      </w:r>
      <w:r w:rsidR="00D23139" w:rsidRPr="00D23139">
        <w:t>M advice</w:t>
      </w:r>
    </w:p>
    <w:p w14:paraId="338CCCE4" w14:textId="77777777" w:rsidR="00225681" w:rsidRDefault="00EE7B7F" w:rsidP="00424472">
      <w:pPr>
        <w:pStyle w:val="Numberbullet0"/>
        <w:numPr>
          <w:ilvl w:val="0"/>
          <w:numId w:val="34"/>
        </w:numPr>
      </w:pPr>
      <w:r>
        <w:t>Please provide comment on the following amen</w:t>
      </w:r>
      <w:r w:rsidR="003857E3">
        <w:t>ded indication proposed by the D</w:t>
      </w:r>
      <w:r>
        <w:t>elegate</w:t>
      </w:r>
      <w:r w:rsidR="00225681">
        <w:t>:</w:t>
      </w:r>
    </w:p>
    <w:p w14:paraId="3B9D0817" w14:textId="77777777" w:rsidR="00EE7B7F" w:rsidRPr="00424472" w:rsidRDefault="00EE7B7F" w:rsidP="00424472">
      <w:pPr>
        <w:pStyle w:val="Numberbullet0"/>
        <w:numPr>
          <w:ilvl w:val="0"/>
          <w:numId w:val="0"/>
        </w:numPr>
        <w:ind w:left="425"/>
        <w:rPr>
          <w:i/>
        </w:rPr>
      </w:pPr>
      <w:proofErr w:type="spellStart"/>
      <w:r w:rsidRPr="00424472">
        <w:rPr>
          <w:i/>
        </w:rPr>
        <w:t>Xeljanz</w:t>
      </w:r>
      <w:proofErr w:type="spellEnd"/>
      <w:r w:rsidRPr="00424472">
        <w:rPr>
          <w:i/>
        </w:rPr>
        <w:t xml:space="preserve"> is indicated for the induction and maintenance of treatment of adult patients with moderately to severely active ulcerative colitis (UC) who have had an inadequate response, lost response, or were intolerant to conventional therapy </w:t>
      </w:r>
      <w:r w:rsidRPr="003857E3">
        <w:rPr>
          <w:i/>
        </w:rPr>
        <w:t>or a biologic therapy.</w:t>
      </w:r>
    </w:p>
    <w:p w14:paraId="124C3C37" w14:textId="77777777" w:rsidR="00EE7B7F" w:rsidRDefault="00EE7B7F" w:rsidP="00424472">
      <w:pPr>
        <w:pStyle w:val="Numberbullet0"/>
        <w:numPr>
          <w:ilvl w:val="0"/>
          <w:numId w:val="0"/>
        </w:numPr>
        <w:ind w:left="425"/>
      </w:pPr>
      <w:r>
        <w:t xml:space="preserve">Does the Committee consider the above proposed indication is appropriate to limit use of </w:t>
      </w:r>
      <w:proofErr w:type="spellStart"/>
      <w:r>
        <w:t>tofacitinib</w:t>
      </w:r>
      <w:proofErr w:type="spellEnd"/>
      <w:r>
        <w:t xml:space="preserve"> in the treatment of UC?</w:t>
      </w:r>
    </w:p>
    <w:p w14:paraId="11AEC600" w14:textId="77777777" w:rsidR="00EE7B7F" w:rsidRDefault="00EE7B7F" w:rsidP="00424472">
      <w:pPr>
        <w:pStyle w:val="Numberbullet0"/>
        <w:numPr>
          <w:ilvl w:val="0"/>
          <w:numId w:val="34"/>
        </w:numPr>
      </w:pPr>
      <w:r>
        <w:t xml:space="preserve">Does the Committee consider it appropriate to include a restriction on the use of </w:t>
      </w:r>
      <w:proofErr w:type="spellStart"/>
      <w:r>
        <w:t>tofacitinib</w:t>
      </w:r>
      <w:proofErr w:type="spellEnd"/>
      <w:r>
        <w:t xml:space="preserve"> in the induction </w:t>
      </w:r>
      <w:r w:rsidR="00B7366A">
        <w:t>Phase</w:t>
      </w:r>
      <w:r>
        <w:t xml:space="preserve"> of treatment of UC in the indication?</w:t>
      </w:r>
      <w:r w:rsidR="005F7896">
        <w:t xml:space="preserve"> </w:t>
      </w:r>
      <w:r>
        <w:t>Such a restriction would specify a duration within which a clinical response required in order that treatment be continued.</w:t>
      </w:r>
    </w:p>
    <w:p w14:paraId="78EEB46E" w14:textId="77777777" w:rsidR="00456765" w:rsidRPr="00456765" w:rsidRDefault="00EE7B7F" w:rsidP="00424472">
      <w:pPr>
        <w:pStyle w:val="Numberbullet0"/>
        <w:numPr>
          <w:ilvl w:val="0"/>
          <w:numId w:val="34"/>
        </w:numPr>
      </w:pPr>
      <w:r>
        <w:t>The Committee’s advice on the extent of warnings regarding dose-related toxicity in the draft PI is requested.</w:t>
      </w:r>
    </w:p>
    <w:p w14:paraId="788CD645" w14:textId="77777777" w:rsidR="00D23139" w:rsidRDefault="00424472" w:rsidP="00D23139">
      <w:pPr>
        <w:pStyle w:val="Heading4"/>
      </w:pPr>
      <w:r>
        <w:t>Response from s</w:t>
      </w:r>
      <w:r w:rsidR="00456765">
        <w:t>ponsor</w:t>
      </w:r>
    </w:p>
    <w:p w14:paraId="4E050E13" w14:textId="77777777" w:rsidR="00EE7B7F" w:rsidRDefault="00424472" w:rsidP="00424472">
      <w:pPr>
        <w:pStyle w:val="Heading5"/>
      </w:pPr>
      <w:r>
        <w:t>Introduction</w:t>
      </w:r>
    </w:p>
    <w:p w14:paraId="32F9D63B" w14:textId="72BA97E6" w:rsidR="00EE7B7F" w:rsidRDefault="004A0EDE" w:rsidP="00424472">
      <w:r>
        <w:t>The sponsor</w:t>
      </w:r>
      <w:r w:rsidR="00EE7B7F">
        <w:t xml:space="preserve"> welcomes the opportunity to comment on the issues raised in the Delegate’s Summary for consideration by the </w:t>
      </w:r>
      <w:r w:rsidR="00C93AD2">
        <w:t>ACM</w:t>
      </w:r>
      <w:r w:rsidR="00EE7B7F">
        <w:t xml:space="preserve"> on the efficacy and safety of </w:t>
      </w:r>
      <w:proofErr w:type="spellStart"/>
      <w:r w:rsidR="00EE7B7F">
        <w:t>tofacitinib</w:t>
      </w:r>
      <w:proofErr w:type="spellEnd"/>
      <w:r w:rsidR="00EE7B7F">
        <w:t xml:space="preserve"> 5 mg </w:t>
      </w:r>
      <w:r w:rsidR="00F14B34">
        <w:t>BID</w:t>
      </w:r>
      <w:r w:rsidR="00EE7B7F">
        <w:t xml:space="preserve"> and 10 mg </w:t>
      </w:r>
      <w:r w:rsidR="00F14B34">
        <w:t>BID</w:t>
      </w:r>
      <w:r w:rsidR="00EE7B7F">
        <w:t xml:space="preserve"> in the treatment of moderately to severely active </w:t>
      </w:r>
      <w:r w:rsidR="003D66D8">
        <w:t>UC</w:t>
      </w:r>
      <w:r w:rsidR="00EE7B7F">
        <w:t xml:space="preserve"> in adults. </w:t>
      </w:r>
      <w:r>
        <w:t>The sponsor</w:t>
      </w:r>
      <w:r w:rsidR="00EE7B7F">
        <w:t xml:space="preserve"> supports the indication wording as modified by the Delegate together</w:t>
      </w:r>
      <w:r w:rsidR="001120D9">
        <w:t xml:space="preserve"> with the proposed addition of ‘either’</w:t>
      </w:r>
      <w:r w:rsidR="00EE7B7F">
        <w:t xml:space="preserve"> as follows:</w:t>
      </w:r>
    </w:p>
    <w:p w14:paraId="359C5B6B" w14:textId="77777777" w:rsidR="00EE7B7F" w:rsidRPr="00424472" w:rsidRDefault="00EE7B7F" w:rsidP="00424472">
      <w:pPr>
        <w:ind w:left="720"/>
        <w:rPr>
          <w:i/>
        </w:rPr>
      </w:pPr>
      <w:proofErr w:type="spellStart"/>
      <w:r w:rsidRPr="00424472">
        <w:rPr>
          <w:i/>
        </w:rPr>
        <w:t>Xeljanz</w:t>
      </w:r>
      <w:proofErr w:type="spellEnd"/>
      <w:r w:rsidRPr="00424472">
        <w:rPr>
          <w:i/>
        </w:rPr>
        <w:t xml:space="preserve"> is indicated for the </w:t>
      </w:r>
      <w:r w:rsidRPr="001120D9">
        <w:rPr>
          <w:i/>
          <w:strike/>
        </w:rPr>
        <w:t>induction and maintenance of</w:t>
      </w:r>
      <w:r w:rsidRPr="00424472">
        <w:rPr>
          <w:i/>
        </w:rPr>
        <w:t xml:space="preserve"> treatment of adult patients with moderately to severely active ulcerative colitis (UC) who have had an inadequate response, lost response, or were intolerant to either conventional t</w:t>
      </w:r>
      <w:r w:rsidR="00424472" w:rsidRPr="00424472">
        <w:rPr>
          <w:i/>
        </w:rPr>
        <w:t>herapy or a biological therapy.</w:t>
      </w:r>
    </w:p>
    <w:p w14:paraId="4A6BE45F" w14:textId="77777777" w:rsidR="00EE7B7F" w:rsidRDefault="00424472" w:rsidP="00424472">
      <w:pPr>
        <w:pStyle w:val="Heading5"/>
      </w:pPr>
      <w:r>
        <w:t>Advice sought</w:t>
      </w:r>
    </w:p>
    <w:p w14:paraId="2824FBD0" w14:textId="77777777" w:rsidR="00EE7B7F" w:rsidRDefault="00635508" w:rsidP="00424472">
      <w:r>
        <w:t>The sponsor</w:t>
      </w:r>
      <w:r w:rsidR="00EE7B7F">
        <w:t xml:space="preserve"> acknowledges the Summary of Issues and the Delegate’s Request</w:t>
      </w:r>
      <w:r>
        <w:t xml:space="preserve"> for ACM advice.</w:t>
      </w:r>
    </w:p>
    <w:p w14:paraId="2DDD123C" w14:textId="77777777" w:rsidR="00424472" w:rsidRPr="00AD6C46" w:rsidRDefault="00EE7B7F" w:rsidP="00424472">
      <w:pPr>
        <w:pStyle w:val="Numberbullet0"/>
        <w:numPr>
          <w:ilvl w:val="0"/>
          <w:numId w:val="35"/>
        </w:numPr>
        <w:rPr>
          <w:b/>
          <w:i/>
        </w:rPr>
      </w:pPr>
      <w:r w:rsidRPr="00AD6C46">
        <w:rPr>
          <w:b/>
          <w:i/>
        </w:rPr>
        <w:lastRenderedPageBreak/>
        <w:t>Please provide comment on the following amended indic</w:t>
      </w:r>
      <w:r w:rsidR="00635508" w:rsidRPr="00AD6C46">
        <w:rPr>
          <w:b/>
          <w:i/>
        </w:rPr>
        <w:t>ation proposed by the D</w:t>
      </w:r>
      <w:r w:rsidR="00424472" w:rsidRPr="00AD6C46">
        <w:rPr>
          <w:b/>
          <w:i/>
        </w:rPr>
        <w:t>elegate:</w:t>
      </w:r>
    </w:p>
    <w:p w14:paraId="15116011" w14:textId="77777777" w:rsidR="00424472" w:rsidRPr="00AD6C46" w:rsidRDefault="00EE7B7F" w:rsidP="00635508">
      <w:pPr>
        <w:pStyle w:val="Numberbullet0"/>
        <w:numPr>
          <w:ilvl w:val="0"/>
          <w:numId w:val="0"/>
        </w:numPr>
        <w:ind w:left="425"/>
        <w:rPr>
          <w:b/>
          <w:i/>
        </w:rPr>
      </w:pPr>
      <w:proofErr w:type="spellStart"/>
      <w:r w:rsidRPr="00AD6C46">
        <w:rPr>
          <w:b/>
          <w:i/>
        </w:rPr>
        <w:t>Xeljanz</w:t>
      </w:r>
      <w:proofErr w:type="spellEnd"/>
      <w:r w:rsidRPr="00AD6C46">
        <w:rPr>
          <w:b/>
          <w:i/>
        </w:rPr>
        <w:t xml:space="preserve"> is indicated for the </w:t>
      </w:r>
      <w:r w:rsidRPr="00AD6C46">
        <w:rPr>
          <w:b/>
          <w:i/>
          <w:strike/>
        </w:rPr>
        <w:t>induction and maintenance of</w:t>
      </w:r>
      <w:r w:rsidRPr="00AD6C46">
        <w:rPr>
          <w:b/>
          <w:i/>
        </w:rPr>
        <w:t xml:space="preserve"> treatment of adult patients with moderately to severely active ulcerative colitis (UC) who have had an inadequate response, lost response, or were intolerant to conventional therapy or a biological therapy</w:t>
      </w:r>
      <w:r w:rsidR="00FF7EB4" w:rsidRPr="00AD6C46">
        <w:rPr>
          <w:b/>
          <w:i/>
        </w:rPr>
        <w:t>.</w:t>
      </w:r>
    </w:p>
    <w:p w14:paraId="569F1E9A" w14:textId="77777777" w:rsidR="00EE7B7F" w:rsidRPr="00AD6C46" w:rsidRDefault="00EE7B7F" w:rsidP="00635508">
      <w:pPr>
        <w:pStyle w:val="Numberbullet0"/>
        <w:numPr>
          <w:ilvl w:val="0"/>
          <w:numId w:val="0"/>
        </w:numPr>
        <w:ind w:left="425"/>
        <w:rPr>
          <w:b/>
          <w:i/>
        </w:rPr>
      </w:pPr>
      <w:r w:rsidRPr="00AD6C46">
        <w:rPr>
          <w:b/>
          <w:i/>
        </w:rPr>
        <w:t xml:space="preserve">Does the Committee consider the above proposed indication is appropriate to limit use of </w:t>
      </w:r>
      <w:proofErr w:type="spellStart"/>
      <w:r w:rsidRPr="00AD6C46">
        <w:rPr>
          <w:b/>
          <w:i/>
        </w:rPr>
        <w:t>tofacitinib</w:t>
      </w:r>
      <w:proofErr w:type="spellEnd"/>
      <w:r w:rsidRPr="00AD6C46">
        <w:rPr>
          <w:b/>
          <w:i/>
        </w:rPr>
        <w:t xml:space="preserve"> in the treatment of UC?</w:t>
      </w:r>
    </w:p>
    <w:p w14:paraId="3165DD27" w14:textId="6F5F89D3" w:rsidR="00EE7B7F" w:rsidRDefault="00EE7B7F" w:rsidP="00FF7EB4">
      <w:r>
        <w:t xml:space="preserve">As requested by the Delegate the </w:t>
      </w:r>
      <w:r w:rsidR="003771B1">
        <w:t>sponsor</w:t>
      </w:r>
      <w:r>
        <w:t xml:space="preserve"> agrees to remove </w:t>
      </w:r>
      <w:r w:rsidR="00285A20">
        <w:t>‘</w:t>
      </w:r>
      <w:r>
        <w:t>induction and maintenance</w:t>
      </w:r>
      <w:r w:rsidR="00285A20">
        <w:t>’</w:t>
      </w:r>
      <w:r>
        <w:t xml:space="preserve"> and to include </w:t>
      </w:r>
      <w:r w:rsidR="00285A20">
        <w:t>‘</w:t>
      </w:r>
      <w:r>
        <w:t>or a biological therapy</w:t>
      </w:r>
      <w:r w:rsidR="00285A20">
        <w:t>’</w:t>
      </w:r>
      <w:r>
        <w:t xml:space="preserve"> in the proposed indication, and seeks to clarify the treatment further by stating </w:t>
      </w:r>
      <w:proofErr w:type="spellStart"/>
      <w:r>
        <w:t>tofacitinib</w:t>
      </w:r>
      <w:proofErr w:type="spellEnd"/>
      <w:r>
        <w:t xml:space="preserve"> can be used following </w:t>
      </w:r>
      <w:r w:rsidR="00285A20">
        <w:t>‘</w:t>
      </w:r>
      <w:r>
        <w:t>either conventional therapy or a biological therapy</w:t>
      </w:r>
      <w:r w:rsidR="00285A20">
        <w:t>’</w:t>
      </w:r>
      <w:r>
        <w:t>.</w:t>
      </w:r>
    </w:p>
    <w:p w14:paraId="2BE1E787" w14:textId="41B95A6B" w:rsidR="00EE7B7F" w:rsidRDefault="00EE7B7F" w:rsidP="00FF7EB4">
      <w:r>
        <w:t xml:space="preserve">In view of the existing unmet medical need across a range of patients with moderately to severely active UC, and the robust clinical data in support of </w:t>
      </w:r>
      <w:proofErr w:type="spellStart"/>
      <w:r>
        <w:t>tofacitinib’s</w:t>
      </w:r>
      <w:proofErr w:type="spellEnd"/>
      <w:r>
        <w:t xml:space="preserve"> safety and efficacy in patients who have failed </w:t>
      </w:r>
      <w:proofErr w:type="spellStart"/>
      <w:r>
        <w:t>immunosuppressants</w:t>
      </w:r>
      <w:proofErr w:type="spellEnd"/>
      <w:r>
        <w:t xml:space="preserve"> or corticosteroids (</w:t>
      </w:r>
      <w:proofErr w:type="spellStart"/>
      <w:r>
        <w:t>TNFi</w:t>
      </w:r>
      <w:proofErr w:type="spellEnd"/>
      <w:r>
        <w:t xml:space="preserve">-naïve) and those who have failed </w:t>
      </w:r>
      <w:proofErr w:type="spellStart"/>
      <w:r>
        <w:t>TNFi</w:t>
      </w:r>
      <w:proofErr w:type="spellEnd"/>
      <w:r>
        <w:t xml:space="preserve"> agents (</w:t>
      </w:r>
      <w:proofErr w:type="spellStart"/>
      <w:r>
        <w:t>TNFi</w:t>
      </w:r>
      <w:proofErr w:type="spellEnd"/>
      <w:r>
        <w:t xml:space="preserve"> failures), the </w:t>
      </w:r>
      <w:r w:rsidR="003771B1">
        <w:t>sponsor</w:t>
      </w:r>
      <w:r>
        <w:t xml:space="preserve"> believes that </w:t>
      </w:r>
      <w:proofErr w:type="spellStart"/>
      <w:r>
        <w:t>tofacitinib</w:t>
      </w:r>
      <w:proofErr w:type="spellEnd"/>
      <w:r>
        <w:t xml:space="preserve"> provides significant benefit as an oral therapy to UC patients who have failed or were intolerant to either of these groups of existing treatment options. This was also </w:t>
      </w:r>
      <w:r w:rsidR="00BA5B06">
        <w:t xml:space="preserve">recognised </w:t>
      </w:r>
      <w:r>
        <w:t xml:space="preserve">by the </w:t>
      </w:r>
      <w:r w:rsidR="003D66D8">
        <w:t>EMA</w:t>
      </w:r>
      <w:r>
        <w:t xml:space="preserve"> </w:t>
      </w:r>
      <w:r w:rsidR="003D66D8">
        <w:t>CHMP</w:t>
      </w:r>
      <w:r>
        <w:t xml:space="preserve">’s determination that </w:t>
      </w:r>
      <w:proofErr w:type="spellStart"/>
      <w:r>
        <w:t>tofacitinib</w:t>
      </w:r>
      <w:proofErr w:type="spellEnd"/>
      <w:r>
        <w:t xml:space="preserve"> brings significant clinical benefit to patients with UC in comparison with existing therapies, based on a major contribution to patient care. As a result of this assessment and in line with the provisions of Article 14(11) of Regulation (EC) No 726/2004, </w:t>
      </w:r>
      <w:proofErr w:type="spellStart"/>
      <w:r>
        <w:t>tofacitinib</w:t>
      </w:r>
      <w:proofErr w:type="spellEnd"/>
      <w:r>
        <w:t xml:space="preserve"> has been granted an additional year of marketing protection in the </w:t>
      </w:r>
      <w:r w:rsidR="00FF7EB4">
        <w:t>EU</w:t>
      </w:r>
      <w:r>
        <w:t xml:space="preserve"> across all indications.</w:t>
      </w:r>
      <w:r w:rsidR="00381881">
        <w:rPr>
          <w:rStyle w:val="FootnoteReference"/>
        </w:rPr>
        <w:footnoteReference w:id="7"/>
      </w:r>
    </w:p>
    <w:p w14:paraId="147BEF07" w14:textId="77777777" w:rsidR="0056204C" w:rsidRDefault="00EE7B7F" w:rsidP="00635508">
      <w:proofErr w:type="spellStart"/>
      <w:r>
        <w:t>Tofacitinib</w:t>
      </w:r>
      <w:proofErr w:type="spellEnd"/>
      <w:r>
        <w:t xml:space="preserve"> is the first oral advanced therapy in many years that provides an effective treatment alternative to existing therapies for both </w:t>
      </w:r>
      <w:proofErr w:type="spellStart"/>
      <w:r>
        <w:t>TNFi</w:t>
      </w:r>
      <w:proofErr w:type="spellEnd"/>
      <w:r>
        <w:t xml:space="preserve">-naïve and </w:t>
      </w:r>
      <w:proofErr w:type="spellStart"/>
      <w:r>
        <w:t>TNFi</w:t>
      </w:r>
      <w:proofErr w:type="spellEnd"/>
      <w:r>
        <w:t>-failure patients. It exhibits all of the following attributes including</w:t>
      </w:r>
      <w:r w:rsidR="0056204C">
        <w:t>:</w:t>
      </w:r>
    </w:p>
    <w:p w14:paraId="718D8FDE" w14:textId="77777777" w:rsidR="0056204C" w:rsidRDefault="0056204C" w:rsidP="0056204C">
      <w:pPr>
        <w:pStyle w:val="ListBullet"/>
      </w:pPr>
      <w:r>
        <w:t>R</w:t>
      </w:r>
      <w:r w:rsidR="00EE7B7F">
        <w:t>obust induction and maintenance efficacy in patients with prior failure of conventional therap</w:t>
      </w:r>
      <w:r w:rsidR="001A534F">
        <w:t xml:space="preserve">y, including </w:t>
      </w:r>
      <w:proofErr w:type="spellStart"/>
      <w:r w:rsidR="001A534F">
        <w:t>immunosuppressants</w:t>
      </w:r>
      <w:proofErr w:type="spellEnd"/>
      <w:r w:rsidR="001A534F">
        <w:t xml:space="preserve"> </w:t>
      </w:r>
      <w:r>
        <w:t>and corticosteroids.</w:t>
      </w:r>
    </w:p>
    <w:p w14:paraId="5ED53DEB" w14:textId="77777777" w:rsidR="0056204C" w:rsidRDefault="0056204C" w:rsidP="0056204C">
      <w:pPr>
        <w:pStyle w:val="ListBullet"/>
      </w:pPr>
      <w:r>
        <w:t>R</w:t>
      </w:r>
      <w:r w:rsidR="00EE7B7F">
        <w:t>obust and similar induction effic</w:t>
      </w:r>
      <w:r w:rsidR="001A534F">
        <w:t xml:space="preserve">acy in both </w:t>
      </w:r>
      <w:proofErr w:type="spellStart"/>
      <w:r w:rsidR="001A534F">
        <w:t>TNFi</w:t>
      </w:r>
      <w:proofErr w:type="spellEnd"/>
      <w:r w:rsidR="001A534F">
        <w:t xml:space="preserve"> naïve and </w:t>
      </w:r>
      <w:proofErr w:type="spellStart"/>
      <w:r w:rsidR="001A534F">
        <w:t>TNFi</w:t>
      </w:r>
      <w:proofErr w:type="spellEnd"/>
      <w:r w:rsidR="001A534F">
        <w:t xml:space="preserve"> </w:t>
      </w:r>
      <w:r>
        <w:t>failures.</w:t>
      </w:r>
    </w:p>
    <w:p w14:paraId="35B54D65" w14:textId="77777777" w:rsidR="0056204C" w:rsidRDefault="0056204C" w:rsidP="0056204C">
      <w:pPr>
        <w:pStyle w:val="ListBullet"/>
      </w:pPr>
      <w:r>
        <w:t>R</w:t>
      </w:r>
      <w:r w:rsidR="00EE7B7F">
        <w:t xml:space="preserve">obust maintenance efficacy in both </w:t>
      </w:r>
      <w:proofErr w:type="spellStart"/>
      <w:r w:rsidR="00EE7B7F">
        <w:t>T</w:t>
      </w:r>
      <w:r w:rsidR="001A534F">
        <w:t>NFi</w:t>
      </w:r>
      <w:proofErr w:type="spellEnd"/>
      <w:r w:rsidR="001A534F">
        <w:t xml:space="preserve"> naïve and </w:t>
      </w:r>
      <w:proofErr w:type="spellStart"/>
      <w:r w:rsidR="001A534F">
        <w:t>TNFi</w:t>
      </w:r>
      <w:proofErr w:type="spellEnd"/>
      <w:r w:rsidR="001A534F">
        <w:t xml:space="preserve"> failures and </w:t>
      </w:r>
      <w:r w:rsidR="00EE7B7F">
        <w:t>achievement of corti</w:t>
      </w:r>
      <w:r>
        <w:t>costeroid free remission.</w:t>
      </w:r>
    </w:p>
    <w:p w14:paraId="0766DA2F" w14:textId="77777777" w:rsidR="0056204C" w:rsidRDefault="0056204C" w:rsidP="0056204C">
      <w:pPr>
        <w:pStyle w:val="ListBullet"/>
      </w:pPr>
      <w:r>
        <w:t>E</w:t>
      </w:r>
      <w:r w:rsidR="00EE7B7F">
        <w:t>arly onset</w:t>
      </w:r>
      <w:r>
        <w:t xml:space="preserve"> of action.</w:t>
      </w:r>
    </w:p>
    <w:p w14:paraId="0FCD0349" w14:textId="77777777" w:rsidR="0056204C" w:rsidRDefault="0056204C" w:rsidP="0056204C">
      <w:pPr>
        <w:pStyle w:val="ListBullet"/>
      </w:pPr>
      <w:r>
        <w:t>P</w:t>
      </w:r>
      <w:r w:rsidR="001A534F">
        <w:t xml:space="preserve">redictable and </w:t>
      </w:r>
      <w:r w:rsidR="00EE7B7F">
        <w:t>durable plasma drug exposure without immunogeni</w:t>
      </w:r>
      <w:r w:rsidR="001A534F">
        <w:t xml:space="preserve">city and the burden of need for </w:t>
      </w:r>
      <w:r w:rsidR="00EE7B7F">
        <w:t>therapeutic drug monitoring fo</w:t>
      </w:r>
      <w:r>
        <w:t>r treatment optimization</w:t>
      </w:r>
    </w:p>
    <w:p w14:paraId="4703C290" w14:textId="77777777" w:rsidR="0056204C" w:rsidRDefault="0056204C" w:rsidP="0056204C">
      <w:pPr>
        <w:pStyle w:val="ListBullet"/>
      </w:pPr>
      <w:r>
        <w:t>N</w:t>
      </w:r>
      <w:r w:rsidR="00EE7B7F">
        <w:t>o need for concomitant</w:t>
      </w:r>
      <w:r w:rsidR="001A534F">
        <w:t xml:space="preserve"> </w:t>
      </w:r>
      <w:r w:rsidR="00EE7B7F">
        <w:t>im</w:t>
      </w:r>
      <w:r>
        <w:t>munosuppressant therapy</w:t>
      </w:r>
    </w:p>
    <w:p w14:paraId="764BED3E" w14:textId="77777777" w:rsidR="0056204C" w:rsidRDefault="0056204C" w:rsidP="0056204C">
      <w:pPr>
        <w:pStyle w:val="ListBullet"/>
      </w:pPr>
      <w:r>
        <w:t>O</w:t>
      </w:r>
      <w:r w:rsidR="00EE7B7F">
        <w:t xml:space="preserve">verall acceptable safety profile generally similar to </w:t>
      </w:r>
      <w:proofErr w:type="spellStart"/>
      <w:r w:rsidR="00EE7B7F">
        <w:t>TNFi</w:t>
      </w:r>
      <w:proofErr w:type="spellEnd"/>
      <w:r w:rsidR="001A534F">
        <w:t xml:space="preserve"> </w:t>
      </w:r>
      <w:r w:rsidR="00EE7B7F">
        <w:t xml:space="preserve">agents with the exception of the manageable risk of </w:t>
      </w:r>
      <w:r w:rsidR="00381881">
        <w:t>HZ</w:t>
      </w:r>
      <w:r>
        <w:t>.</w:t>
      </w:r>
    </w:p>
    <w:p w14:paraId="59D9690B" w14:textId="77777777" w:rsidR="001A534F" w:rsidRDefault="0056204C" w:rsidP="0056204C">
      <w:pPr>
        <w:pStyle w:val="ListBullet"/>
      </w:pPr>
      <w:r>
        <w:t>G</w:t>
      </w:r>
      <w:r w:rsidR="001A534F">
        <w:t xml:space="preserve">ood </w:t>
      </w:r>
      <w:r w:rsidR="00EE7B7F">
        <w:t>adherence to a convenient oral therapy due to its low pill bu</w:t>
      </w:r>
      <w:r w:rsidR="001A534F">
        <w:t xml:space="preserve">rden and good tolerability that </w:t>
      </w:r>
      <w:r w:rsidR="00EE7B7F">
        <w:t>can otherwise be challen</w:t>
      </w:r>
      <w:r w:rsidR="001A534F">
        <w:t>ging in chronic treatment.</w:t>
      </w:r>
      <w:r w:rsidR="00381881">
        <w:rPr>
          <w:rStyle w:val="FootnoteReference"/>
        </w:rPr>
        <w:footnoteReference w:id="8"/>
      </w:r>
      <w:r w:rsidR="001A534F">
        <w:t xml:space="preserve"> </w:t>
      </w:r>
      <w:r w:rsidR="00381881">
        <w:rPr>
          <w:rStyle w:val="FootnoteReference"/>
        </w:rPr>
        <w:footnoteReference w:id="9"/>
      </w:r>
      <w:r w:rsidR="00381881">
        <w:t xml:space="preserve"> </w:t>
      </w:r>
      <w:r w:rsidR="00381881">
        <w:rPr>
          <w:rStyle w:val="FootnoteReference"/>
        </w:rPr>
        <w:footnoteReference w:id="10"/>
      </w:r>
    </w:p>
    <w:p w14:paraId="049FBF37" w14:textId="77777777" w:rsidR="00EE7B7F" w:rsidRDefault="00EE7B7F" w:rsidP="00635508">
      <w:r>
        <w:t>In relation to the Delegate’s question to the ACM on the p</w:t>
      </w:r>
      <w:r w:rsidR="001A534F">
        <w:t xml:space="preserve">roposed indication, the </w:t>
      </w:r>
      <w:r w:rsidR="003771B1">
        <w:t>sponsor</w:t>
      </w:r>
      <w:r w:rsidR="001A534F">
        <w:t xml:space="preserve"> </w:t>
      </w:r>
      <w:r>
        <w:t xml:space="preserve">discusses below the </w:t>
      </w:r>
      <w:proofErr w:type="spellStart"/>
      <w:r>
        <w:t>tofacitinib</w:t>
      </w:r>
      <w:proofErr w:type="spellEnd"/>
      <w:r>
        <w:t xml:space="preserve"> data in these subgroups, follow</w:t>
      </w:r>
      <w:r w:rsidR="001A534F">
        <w:t xml:space="preserve">ed by a brief discussion on </w:t>
      </w:r>
      <w:r w:rsidR="001A534F">
        <w:lastRenderedPageBreak/>
        <w:t xml:space="preserve">the </w:t>
      </w:r>
      <w:r>
        <w:t>relative efficacy and safety as c</w:t>
      </w:r>
      <w:r w:rsidR="001A534F">
        <w:t xml:space="preserve">ompared to other UC treatments. </w:t>
      </w:r>
      <w:r>
        <w:t xml:space="preserve">Current data on </w:t>
      </w:r>
      <w:proofErr w:type="spellStart"/>
      <w:r>
        <w:t>tofacitinib</w:t>
      </w:r>
      <w:proofErr w:type="spellEnd"/>
      <w:r>
        <w:t xml:space="preserve"> in moderately to severely act</w:t>
      </w:r>
      <w:r w:rsidR="001A534F">
        <w:t xml:space="preserve">ive UC patients demonstrate the </w:t>
      </w:r>
      <w:r>
        <w:t>following:</w:t>
      </w:r>
    </w:p>
    <w:p w14:paraId="7F7749E3" w14:textId="77777777" w:rsidR="00EE7B7F" w:rsidRDefault="00EE7B7F" w:rsidP="00635508">
      <w:pPr>
        <w:pStyle w:val="ListBullet"/>
      </w:pPr>
      <w:r>
        <w:t xml:space="preserve">Efficacy for induction was consistent across </w:t>
      </w:r>
      <w:proofErr w:type="spellStart"/>
      <w:r>
        <w:t>TNFi</w:t>
      </w:r>
      <w:proofErr w:type="spellEnd"/>
      <w:r>
        <w:t>-na</w:t>
      </w:r>
      <w:r w:rsidR="001A534F">
        <w:t>ïve subjects (</w:t>
      </w:r>
      <w:r w:rsidR="00381881">
        <w:t>that is</w:t>
      </w:r>
      <w:r w:rsidR="001A534F">
        <w:t xml:space="preserve">, those who had </w:t>
      </w:r>
      <w:r>
        <w:t xml:space="preserve">failed only conventional therapy) and </w:t>
      </w:r>
      <w:proofErr w:type="spellStart"/>
      <w:r>
        <w:t>TNFi</w:t>
      </w:r>
      <w:proofErr w:type="spellEnd"/>
      <w:r>
        <w:t>-exposed/T</w:t>
      </w:r>
      <w:r w:rsidR="00381881">
        <w:t xml:space="preserve">NF-failures in placebo </w:t>
      </w:r>
      <w:r w:rsidR="001A534F">
        <w:t xml:space="preserve">adjusted </w:t>
      </w:r>
      <w:r>
        <w:t>remission, mucosal healing and clinical response rates</w:t>
      </w:r>
      <w:r w:rsidR="001A534F">
        <w:t xml:space="preserve">; this was demonstrated in both </w:t>
      </w:r>
      <w:r>
        <w:t>prima</w:t>
      </w:r>
      <w:r w:rsidR="00381881">
        <w:t xml:space="preserve">ry and secondary </w:t>
      </w:r>
      <w:proofErr w:type="spellStart"/>
      <w:r w:rsidR="00381881">
        <w:t>TNFi</w:t>
      </w:r>
      <w:proofErr w:type="spellEnd"/>
      <w:r w:rsidR="00381881">
        <w:t>-failures</w:t>
      </w:r>
      <w:r>
        <w:t>.</w:t>
      </w:r>
    </w:p>
    <w:p w14:paraId="1E5A906A" w14:textId="77777777" w:rsidR="00EE7B7F" w:rsidRDefault="00EE7B7F" w:rsidP="00635508">
      <w:pPr>
        <w:pStyle w:val="ListBullet"/>
      </w:pPr>
      <w:r>
        <w:t xml:space="preserve">In maintenance, patients without prior </w:t>
      </w:r>
      <w:proofErr w:type="spellStart"/>
      <w:r>
        <w:t>TNFi</w:t>
      </w:r>
      <w:proofErr w:type="spellEnd"/>
      <w:r>
        <w:t xml:space="preserve">-failure </w:t>
      </w:r>
      <w:r w:rsidR="001A534F">
        <w:t xml:space="preserve">showed similar efficacy between </w:t>
      </w:r>
      <w:proofErr w:type="spellStart"/>
      <w:r>
        <w:t>tofacitinib</w:t>
      </w:r>
      <w:proofErr w:type="spellEnd"/>
      <w:r>
        <w:t xml:space="preserve"> 5 mg </w:t>
      </w:r>
      <w:r w:rsidR="00F14B34">
        <w:t>BID</w:t>
      </w:r>
      <w:r>
        <w:t xml:space="preserve"> and 10 mg BID; wher</w:t>
      </w:r>
      <w:r w:rsidR="001A534F">
        <w:t xml:space="preserve">eas </w:t>
      </w:r>
      <w:proofErr w:type="spellStart"/>
      <w:r w:rsidR="001A534F">
        <w:t>TNFi</w:t>
      </w:r>
      <w:proofErr w:type="spellEnd"/>
      <w:r w:rsidR="001A534F">
        <w:t xml:space="preserve">-failure subjects had a </w:t>
      </w:r>
      <w:r>
        <w:t xml:space="preserve">larger gain in efficacy of </w:t>
      </w:r>
      <w:proofErr w:type="spellStart"/>
      <w:r>
        <w:t>tofacitinib</w:t>
      </w:r>
      <w:proofErr w:type="spellEnd"/>
      <w:r>
        <w:t xml:space="preserve"> 10 mg BID over 5 mg BID, which was substantia</w:t>
      </w:r>
      <w:r w:rsidR="001A534F">
        <w:t xml:space="preserve">l </w:t>
      </w:r>
      <w:r>
        <w:t>and clinically meaningful.</w:t>
      </w:r>
    </w:p>
    <w:p w14:paraId="1362EB3B" w14:textId="77777777" w:rsidR="00EE7B7F" w:rsidRDefault="00EE7B7F" w:rsidP="00635508">
      <w:pPr>
        <w:pStyle w:val="ListBullet"/>
      </w:pPr>
      <w:r>
        <w:t xml:space="preserve">The safety profile of </w:t>
      </w:r>
      <w:proofErr w:type="spellStart"/>
      <w:r>
        <w:t>tofacitinib</w:t>
      </w:r>
      <w:proofErr w:type="spellEnd"/>
      <w:r>
        <w:t xml:space="preserve"> has been well charact</w:t>
      </w:r>
      <w:r w:rsidR="001A534F">
        <w:t xml:space="preserve">erized based on a robust safety </w:t>
      </w:r>
      <w:r>
        <w:t xml:space="preserve">database in UC as well as an extensive safety database </w:t>
      </w:r>
      <w:r w:rsidR="001A534F">
        <w:t xml:space="preserve">derived from other indications, </w:t>
      </w:r>
      <w:r>
        <w:t xml:space="preserve">particularly </w:t>
      </w:r>
      <w:r w:rsidR="00B7366A">
        <w:t>RA</w:t>
      </w:r>
      <w:r>
        <w:t>. No new safety signals were id</w:t>
      </w:r>
      <w:r w:rsidR="001A534F">
        <w:t xml:space="preserve">entified in the UC program. The </w:t>
      </w:r>
      <w:r>
        <w:t xml:space="preserve">safety profile of </w:t>
      </w:r>
      <w:proofErr w:type="spellStart"/>
      <w:r>
        <w:t>tofacitinib</w:t>
      </w:r>
      <w:proofErr w:type="spellEnd"/>
      <w:r>
        <w:t xml:space="preserve"> is generally consistent across in</w:t>
      </w:r>
      <w:r w:rsidR="001A534F">
        <w:t xml:space="preserve">dications. The totality of data </w:t>
      </w:r>
      <w:r>
        <w:t>across indications indicated a dose-relationship</w:t>
      </w:r>
      <w:r w:rsidR="001A534F">
        <w:t xml:space="preserve"> for serious infections, HZ and </w:t>
      </w:r>
      <w:r w:rsidR="00381881">
        <w:t>NMSC</w:t>
      </w:r>
      <w:r>
        <w:t xml:space="preserve"> but a dose</w:t>
      </w:r>
      <w:r w:rsidR="00381881">
        <w:t xml:space="preserve"> </w:t>
      </w:r>
      <w:r w:rsidR="001A534F">
        <w:t xml:space="preserve">relationship was not shown for </w:t>
      </w:r>
      <w:r>
        <w:t>malignancy (excluding NMSC). In addition, in UC p</w:t>
      </w:r>
      <w:r w:rsidR="001A534F">
        <w:t xml:space="preserve">atients, the safety profile was </w:t>
      </w:r>
      <w:r>
        <w:t xml:space="preserve">generally similar between </w:t>
      </w:r>
      <w:proofErr w:type="spellStart"/>
      <w:r>
        <w:t>tofacitinib</w:t>
      </w:r>
      <w:proofErr w:type="spellEnd"/>
      <w:r>
        <w:t xml:space="preserve"> (both 5 mg B</w:t>
      </w:r>
      <w:r w:rsidR="001A534F">
        <w:t xml:space="preserve">ID and 10 mg BID) and biologics </w:t>
      </w:r>
      <w:r>
        <w:t>approved for UC, except for a higher rate of HZ with</w:t>
      </w:r>
      <w:r w:rsidR="001A534F">
        <w:t xml:space="preserve"> </w:t>
      </w:r>
      <w:proofErr w:type="spellStart"/>
      <w:r w:rsidR="001A534F">
        <w:t>tofacitinib</w:t>
      </w:r>
      <w:proofErr w:type="spellEnd"/>
      <w:r>
        <w:t>.</w:t>
      </w:r>
    </w:p>
    <w:p w14:paraId="54E6FD2A" w14:textId="77777777" w:rsidR="00EE7B7F" w:rsidRDefault="00EE7B7F" w:rsidP="00635508">
      <w:r>
        <w:t>Overall, the consistent and clinically meaningful induct</w:t>
      </w:r>
      <w:r w:rsidR="001A534F">
        <w:t xml:space="preserve">ion and maintenance efficacy in </w:t>
      </w:r>
      <w:r>
        <w:t>various subgroups based on their treatment experience, toge</w:t>
      </w:r>
      <w:r w:rsidR="001A534F">
        <w:t xml:space="preserve">ther with the manageable safety </w:t>
      </w:r>
      <w:r>
        <w:t xml:space="preserve">profile, supports a </w:t>
      </w:r>
      <w:r w:rsidR="00336108">
        <w:t>favourable</w:t>
      </w:r>
      <w:r>
        <w:t xml:space="preserve"> benefit risk profile in </w:t>
      </w:r>
      <w:proofErr w:type="spellStart"/>
      <w:r>
        <w:t>TNFi</w:t>
      </w:r>
      <w:proofErr w:type="spellEnd"/>
      <w:r>
        <w:t>-na</w:t>
      </w:r>
      <w:r w:rsidR="001A534F">
        <w:t>ïve and TNF-failure UC patients</w:t>
      </w:r>
      <w:r>
        <w:t xml:space="preserve">. These data support the use of </w:t>
      </w:r>
      <w:proofErr w:type="spellStart"/>
      <w:r>
        <w:t>tofacitinib</w:t>
      </w:r>
      <w:proofErr w:type="spellEnd"/>
      <w:r>
        <w:t xml:space="preserve"> as a t</w:t>
      </w:r>
      <w:r w:rsidR="001A534F">
        <w:t xml:space="preserve">reatment option for UC patients </w:t>
      </w:r>
      <w:r>
        <w:t xml:space="preserve">who have failed conventional therapy as well as patients who have failed </w:t>
      </w:r>
      <w:proofErr w:type="spellStart"/>
      <w:r>
        <w:t>TNFi</w:t>
      </w:r>
      <w:proofErr w:type="spellEnd"/>
      <w:r>
        <w:t>.</w:t>
      </w:r>
    </w:p>
    <w:p w14:paraId="3C8B2015" w14:textId="77777777" w:rsidR="001A534F" w:rsidRDefault="001A534F" w:rsidP="00381881">
      <w:pPr>
        <w:pStyle w:val="Heading6"/>
      </w:pPr>
      <w:r>
        <w:t>Relative Safety and Efficacy</w:t>
      </w:r>
    </w:p>
    <w:p w14:paraId="405A87B7" w14:textId="79A705D3" w:rsidR="001A534F" w:rsidRDefault="001A534F" w:rsidP="00635508">
      <w:r>
        <w:t xml:space="preserve">The Delegate states in the Summary of Issues that </w:t>
      </w:r>
      <w:r w:rsidR="00285A20">
        <w:t>‘</w:t>
      </w:r>
      <w:r>
        <w:t xml:space="preserve">…The relative efficacy and safety of </w:t>
      </w:r>
      <w:proofErr w:type="spellStart"/>
      <w:r>
        <w:t>tofa</w:t>
      </w:r>
      <w:r w:rsidR="00381881">
        <w:t>citinib</w:t>
      </w:r>
      <w:proofErr w:type="spellEnd"/>
      <w:r w:rsidR="00381881">
        <w:t xml:space="preserve"> compared with </w:t>
      </w:r>
      <w:proofErr w:type="spellStart"/>
      <w:r w:rsidR="00381881">
        <w:t>TNFi</w:t>
      </w:r>
      <w:proofErr w:type="spellEnd"/>
      <w:r w:rsidR="00381881">
        <w:t xml:space="preserve"> and/</w:t>
      </w:r>
      <w:r>
        <w:t xml:space="preserve">or </w:t>
      </w:r>
      <w:proofErr w:type="spellStart"/>
      <w:r>
        <w:t>vedolizumab</w:t>
      </w:r>
      <w:proofErr w:type="spellEnd"/>
      <w:r>
        <w:t xml:space="preserve"> is not clear</w:t>
      </w:r>
      <w:r w:rsidR="00285A20">
        <w:t>’</w:t>
      </w:r>
      <w:r>
        <w:t xml:space="preserve">. The </w:t>
      </w:r>
      <w:r w:rsidR="003771B1">
        <w:t>sponsor</w:t>
      </w:r>
      <w:r>
        <w:t xml:space="preserve"> notes that while there are no controlled data with direct comparison and there are limitations when interpreting results across studies, </w:t>
      </w:r>
      <w:proofErr w:type="spellStart"/>
      <w:r>
        <w:t>tofacitinib</w:t>
      </w:r>
      <w:proofErr w:type="spellEnd"/>
      <w:r>
        <w:t xml:space="preserve"> data was </w:t>
      </w:r>
      <w:r w:rsidR="00BA5B06">
        <w:t xml:space="preserve">contextualised </w:t>
      </w:r>
      <w:r>
        <w:t>with historical data from currently approved treatments, as follows:</w:t>
      </w:r>
    </w:p>
    <w:p w14:paraId="6C155942" w14:textId="3FF08472" w:rsidR="001A534F" w:rsidRDefault="001A534F" w:rsidP="00381881">
      <w:pPr>
        <w:pStyle w:val="ListBullet"/>
      </w:pPr>
      <w:r>
        <w:t xml:space="preserve">The observed treatment effect of </w:t>
      </w:r>
      <w:proofErr w:type="spellStart"/>
      <w:r>
        <w:t>tofacitinib</w:t>
      </w:r>
      <w:proofErr w:type="spellEnd"/>
      <w:r>
        <w:t xml:space="preserve"> 10 mg BID in induction was at least similar to historical Phase </w:t>
      </w:r>
      <w:r w:rsidR="00381881">
        <w:t xml:space="preserve">III </w:t>
      </w:r>
      <w:r>
        <w:t xml:space="preserve">results of UC treatments approved during the last 10 years including </w:t>
      </w:r>
      <w:proofErr w:type="spellStart"/>
      <w:r>
        <w:t>golimumab</w:t>
      </w:r>
      <w:proofErr w:type="spellEnd"/>
      <w:r>
        <w:t xml:space="preserve">, </w:t>
      </w:r>
      <w:proofErr w:type="spellStart"/>
      <w:r>
        <w:t>vedolizumab</w:t>
      </w:r>
      <w:proofErr w:type="spellEnd"/>
      <w:r>
        <w:t xml:space="preserve">, and </w:t>
      </w:r>
      <w:proofErr w:type="spellStart"/>
      <w:r>
        <w:t>adalimumab</w:t>
      </w:r>
      <w:proofErr w:type="spellEnd"/>
      <w:r>
        <w:t xml:space="preserve"> (excluding infliximab for which, as noted by the Delegate, differences in patient population likely contributed to differences in apparent efficacy due to the lack of prior exposure to a </w:t>
      </w:r>
      <w:proofErr w:type="spellStart"/>
      <w:r>
        <w:t>TNFi</w:t>
      </w:r>
      <w:proofErr w:type="spellEnd"/>
      <w:r>
        <w:t xml:space="preserve"> in al</w:t>
      </w:r>
      <w:r w:rsidR="00381881">
        <w:t>l subjects in infliximab Phase III trials</w:t>
      </w:r>
      <w:r w:rsidR="007F7A94">
        <w:t>)</w:t>
      </w:r>
      <w:r>
        <w:t>.</w:t>
      </w:r>
    </w:p>
    <w:p w14:paraId="0A0E3AC2" w14:textId="77777777" w:rsidR="001A534F" w:rsidRDefault="001A534F" w:rsidP="00381881">
      <w:pPr>
        <w:pStyle w:val="ListBullet"/>
      </w:pPr>
      <w:r>
        <w:t xml:space="preserve">When </w:t>
      </w:r>
      <w:r w:rsidR="00381881">
        <w:t>analysed</w:t>
      </w:r>
      <w:r>
        <w:t xml:space="preserve"> by prior </w:t>
      </w:r>
      <w:proofErr w:type="spellStart"/>
      <w:r>
        <w:t>TNFi</w:t>
      </w:r>
      <w:proofErr w:type="spellEnd"/>
      <w:r>
        <w:t xml:space="preserve"> experience, the observed treatment effect of </w:t>
      </w:r>
      <w:proofErr w:type="spellStart"/>
      <w:r>
        <w:t>tofacitinib</w:t>
      </w:r>
      <w:proofErr w:type="spellEnd"/>
      <w:r>
        <w:t xml:space="preserve"> 10 mg BID induction in </w:t>
      </w:r>
      <w:proofErr w:type="spellStart"/>
      <w:r>
        <w:t>TNFi</w:t>
      </w:r>
      <w:proofErr w:type="spellEnd"/>
      <w:r>
        <w:t xml:space="preserve">-naïve patients was at least similar to the same subgroup of subjects in the comparable development programs; and in patients with prior </w:t>
      </w:r>
      <w:proofErr w:type="spellStart"/>
      <w:r>
        <w:t>TNFi</w:t>
      </w:r>
      <w:proofErr w:type="spellEnd"/>
      <w:r>
        <w:t xml:space="preserve"> exposure or failure, the observed treatment effect of </w:t>
      </w:r>
      <w:proofErr w:type="spellStart"/>
      <w:r>
        <w:t>tofacitinib</w:t>
      </w:r>
      <w:proofErr w:type="spellEnd"/>
      <w:r>
        <w:t xml:space="preserve"> was numerically larger than that for </w:t>
      </w:r>
      <w:proofErr w:type="spellStart"/>
      <w:r>
        <w:t>adalimumab</w:t>
      </w:r>
      <w:proofErr w:type="spellEnd"/>
      <w:r>
        <w:t xml:space="preserve"> and </w:t>
      </w:r>
      <w:proofErr w:type="spellStart"/>
      <w:r>
        <w:t>vedolizumab</w:t>
      </w:r>
      <w:proofErr w:type="spellEnd"/>
      <w:r>
        <w:t>.</w:t>
      </w:r>
      <w:bookmarkStart w:id="241" w:name="_Ref13842000"/>
      <w:r w:rsidR="00F1270A">
        <w:rPr>
          <w:rStyle w:val="FootnoteReference"/>
        </w:rPr>
        <w:footnoteReference w:id="11"/>
      </w:r>
      <w:bookmarkEnd w:id="241"/>
      <w:r w:rsidR="00F1270A">
        <w:t xml:space="preserve"> </w:t>
      </w:r>
      <w:r w:rsidR="00F1270A">
        <w:rPr>
          <w:rStyle w:val="FootnoteReference"/>
        </w:rPr>
        <w:footnoteReference w:id="12"/>
      </w:r>
      <w:r w:rsidR="00F1270A">
        <w:t xml:space="preserve"> </w:t>
      </w:r>
      <w:r w:rsidR="00F1270A">
        <w:rPr>
          <w:rStyle w:val="FootnoteReference"/>
        </w:rPr>
        <w:footnoteReference w:id="13"/>
      </w:r>
      <w:r w:rsidR="00F1270A">
        <w:t xml:space="preserve"> </w:t>
      </w:r>
      <w:r w:rsidR="00F1270A">
        <w:rPr>
          <w:rStyle w:val="FootnoteReference"/>
        </w:rPr>
        <w:footnoteReference w:id="14"/>
      </w:r>
    </w:p>
    <w:p w14:paraId="5EF0C8AA" w14:textId="77777777" w:rsidR="001A534F" w:rsidRDefault="001A534F" w:rsidP="00381881">
      <w:pPr>
        <w:pStyle w:val="ListBullet"/>
      </w:pPr>
      <w:r>
        <w:t>For maintenance therapy, the observed treatment effect</w:t>
      </w:r>
      <w:r w:rsidR="00F1270A">
        <w:t xml:space="preserve"> of </w:t>
      </w:r>
      <w:proofErr w:type="spellStart"/>
      <w:r w:rsidR="00F1270A">
        <w:t>tofacitinib</w:t>
      </w:r>
      <w:proofErr w:type="spellEnd"/>
      <w:r w:rsidR="00F1270A">
        <w:t xml:space="preserve"> 5 mg BID and 10 </w:t>
      </w:r>
      <w:r>
        <w:t xml:space="preserve">mg BID at 1 year for clinical remission was similar to or greater </w:t>
      </w:r>
      <w:r w:rsidR="00F1270A">
        <w:t xml:space="preserve">than that for </w:t>
      </w:r>
      <w:r w:rsidR="00F1270A">
        <w:lastRenderedPageBreak/>
        <w:t>historical Phase III</w:t>
      </w:r>
      <w:r>
        <w:t xml:space="preserve"> results including </w:t>
      </w:r>
      <w:proofErr w:type="spellStart"/>
      <w:r>
        <w:t>vedolizumab</w:t>
      </w:r>
      <w:proofErr w:type="spellEnd"/>
      <w:r>
        <w:t xml:space="preserve">, </w:t>
      </w:r>
      <w:proofErr w:type="spellStart"/>
      <w:r>
        <w:t>golim</w:t>
      </w:r>
      <w:r w:rsidR="00F1270A">
        <w:t>umab</w:t>
      </w:r>
      <w:proofErr w:type="spellEnd"/>
      <w:r w:rsidR="00F1270A">
        <w:t xml:space="preserve">, </w:t>
      </w:r>
      <w:proofErr w:type="spellStart"/>
      <w:r w:rsidR="00F1270A">
        <w:t>adalimumab</w:t>
      </w:r>
      <w:proofErr w:type="spellEnd"/>
      <w:r w:rsidR="00F1270A">
        <w:t xml:space="preserve"> and infliximab.</w:t>
      </w:r>
    </w:p>
    <w:p w14:paraId="564F17B2" w14:textId="77777777" w:rsidR="001A534F" w:rsidRDefault="001A534F" w:rsidP="00381881">
      <w:pPr>
        <w:pStyle w:val="ListBullet"/>
      </w:pPr>
      <w:r>
        <w:t xml:space="preserve">When </w:t>
      </w:r>
      <w:r w:rsidR="00F1270A">
        <w:t>analysed</w:t>
      </w:r>
      <w:r>
        <w:t xml:space="preserve"> by prior </w:t>
      </w:r>
      <w:proofErr w:type="spellStart"/>
      <w:r>
        <w:t>TNFi</w:t>
      </w:r>
      <w:proofErr w:type="spellEnd"/>
      <w:r>
        <w:t xml:space="preserve"> experience, the observed treatment effect for clinical remission in maintenance for </w:t>
      </w:r>
      <w:proofErr w:type="spellStart"/>
      <w:r>
        <w:t>TNFi</w:t>
      </w:r>
      <w:proofErr w:type="spellEnd"/>
      <w:r>
        <w:t xml:space="preserve">-naïve patients or patients without prior </w:t>
      </w:r>
      <w:proofErr w:type="spellStart"/>
      <w:r>
        <w:t>TNFi</w:t>
      </w:r>
      <w:proofErr w:type="spellEnd"/>
      <w:r>
        <w:t xml:space="preserve"> failure at either dose of </w:t>
      </w:r>
      <w:proofErr w:type="spellStart"/>
      <w:r>
        <w:t>tofacitinib</w:t>
      </w:r>
      <w:proofErr w:type="spellEnd"/>
      <w:r>
        <w:t xml:space="preserve"> was numerically higher than that for </w:t>
      </w:r>
      <w:proofErr w:type="spellStart"/>
      <w:r>
        <w:t>vedolizumab</w:t>
      </w:r>
      <w:proofErr w:type="spellEnd"/>
      <w:r>
        <w:t xml:space="preserve"> or </w:t>
      </w:r>
      <w:proofErr w:type="spellStart"/>
      <w:r>
        <w:t>TNFi</w:t>
      </w:r>
      <w:proofErr w:type="spellEnd"/>
      <w:r>
        <w:t xml:space="preserve"> (</w:t>
      </w:r>
      <w:proofErr w:type="spellStart"/>
      <w:r>
        <w:t>golimumab</w:t>
      </w:r>
      <w:proofErr w:type="spellEnd"/>
      <w:r>
        <w:t xml:space="preserve">, </w:t>
      </w:r>
      <w:proofErr w:type="spellStart"/>
      <w:r>
        <w:t>adalimumab</w:t>
      </w:r>
      <w:proofErr w:type="spellEnd"/>
      <w:r>
        <w:t xml:space="preserve"> and infliximab); and in patients with prior </w:t>
      </w:r>
      <w:proofErr w:type="spellStart"/>
      <w:r>
        <w:t>TNFi</w:t>
      </w:r>
      <w:proofErr w:type="spellEnd"/>
      <w:r>
        <w:t xml:space="preserve"> failure, </w:t>
      </w:r>
      <w:proofErr w:type="spellStart"/>
      <w:r>
        <w:t>tofacitinib</w:t>
      </w:r>
      <w:proofErr w:type="spellEnd"/>
      <w:r>
        <w:t xml:space="preserve"> 5 mg BID was numerically lower than </w:t>
      </w:r>
      <w:proofErr w:type="spellStart"/>
      <w:r>
        <w:t>vedolizumab</w:t>
      </w:r>
      <w:proofErr w:type="spellEnd"/>
      <w:r>
        <w:t xml:space="preserve"> but numerically higher than </w:t>
      </w:r>
      <w:proofErr w:type="spellStart"/>
      <w:r>
        <w:t>adalimumab</w:t>
      </w:r>
      <w:proofErr w:type="spellEnd"/>
      <w:r>
        <w:t xml:space="preserve">, while the results of </w:t>
      </w:r>
      <w:proofErr w:type="spellStart"/>
      <w:r>
        <w:t>tofacitinib</w:t>
      </w:r>
      <w:proofErr w:type="spellEnd"/>
      <w:r>
        <w:t xml:space="preserve"> 10 mg BID were similar to those observed with </w:t>
      </w:r>
      <w:proofErr w:type="spellStart"/>
      <w:r>
        <w:t>vedolizumab</w:t>
      </w:r>
      <w:proofErr w:type="spellEnd"/>
      <w:r>
        <w:t>.</w:t>
      </w:r>
      <w:r w:rsidR="00F1270A">
        <w:t xml:space="preserve"> </w:t>
      </w:r>
      <w:r w:rsidR="00F1270A">
        <w:fldChar w:fldCharType="begin"/>
      </w:r>
      <w:r w:rsidR="00F1270A">
        <w:instrText xml:space="preserve"> NOTEREF _Ref13842000 \f \h </w:instrText>
      </w:r>
      <w:r w:rsidR="00F1270A">
        <w:fldChar w:fldCharType="separate"/>
      </w:r>
      <w:r w:rsidR="00F1270A" w:rsidRPr="00F1270A">
        <w:rPr>
          <w:rStyle w:val="FootnoteReference"/>
        </w:rPr>
        <w:t>10</w:t>
      </w:r>
      <w:r w:rsidR="00F1270A">
        <w:fldChar w:fldCharType="end"/>
      </w:r>
      <w:r w:rsidR="00F1270A">
        <w:t xml:space="preserve"> </w:t>
      </w:r>
      <w:r w:rsidR="00F1270A">
        <w:rPr>
          <w:rStyle w:val="FootnoteReference"/>
        </w:rPr>
        <w:footnoteReference w:id="15"/>
      </w:r>
      <w:r w:rsidR="00F1270A">
        <w:t xml:space="preserve"> </w:t>
      </w:r>
      <w:r w:rsidR="00F1270A">
        <w:rPr>
          <w:rStyle w:val="FootnoteReference"/>
        </w:rPr>
        <w:footnoteReference w:id="16"/>
      </w:r>
      <w:r w:rsidR="00F1270A">
        <w:t xml:space="preserve"> </w:t>
      </w:r>
      <w:r w:rsidR="00F1270A">
        <w:rPr>
          <w:rStyle w:val="FootnoteReference"/>
        </w:rPr>
        <w:footnoteReference w:id="17"/>
      </w:r>
      <w:r w:rsidR="00F1270A">
        <w:t xml:space="preserve"> </w:t>
      </w:r>
      <w:r w:rsidR="00F1270A">
        <w:rPr>
          <w:rStyle w:val="FootnoteReference"/>
        </w:rPr>
        <w:footnoteReference w:id="18"/>
      </w:r>
    </w:p>
    <w:p w14:paraId="334CDDC2" w14:textId="728BC7F9" w:rsidR="001A534F" w:rsidRDefault="001A534F" w:rsidP="00381881">
      <w:pPr>
        <w:pStyle w:val="ListBullet"/>
      </w:pPr>
      <w:r>
        <w:t>Based on contextualizat</w:t>
      </w:r>
      <w:r w:rsidR="00F1270A">
        <w:t xml:space="preserve">ion using the </w:t>
      </w:r>
      <w:proofErr w:type="spellStart"/>
      <w:r w:rsidR="00F1270A">
        <w:t>Truven</w:t>
      </w:r>
      <w:proofErr w:type="spellEnd"/>
      <w:r w:rsidR="00F1270A">
        <w:t xml:space="preserve"> </w:t>
      </w:r>
      <w:proofErr w:type="spellStart"/>
      <w:r w:rsidR="00F1270A">
        <w:t>MarketScan</w:t>
      </w:r>
      <w:proofErr w:type="spellEnd"/>
      <w:r>
        <w:t xml:space="preserve"> Database, an administrative healthcare claims database in the US, the safety profile of the entire treatment experience with </w:t>
      </w:r>
      <w:proofErr w:type="spellStart"/>
      <w:r>
        <w:t>tofacitinib</w:t>
      </w:r>
      <w:proofErr w:type="spellEnd"/>
      <w:r>
        <w:t xml:space="preserve"> 5 mg BID and 10 mg BID in the UC program was similar to that of </w:t>
      </w:r>
      <w:proofErr w:type="spellStart"/>
      <w:r>
        <w:t>TNFi</w:t>
      </w:r>
      <w:proofErr w:type="spellEnd"/>
      <w:r>
        <w:t xml:space="preserve"> agents, with the exception of a higher </w:t>
      </w:r>
      <w:r w:rsidR="002F2C3C">
        <w:t>IR</w:t>
      </w:r>
      <w:r>
        <w:t xml:space="preserve"> of HZ or </w:t>
      </w:r>
      <w:proofErr w:type="spellStart"/>
      <w:r>
        <w:t>tofacitinib</w:t>
      </w:r>
      <w:proofErr w:type="spellEnd"/>
      <w:r>
        <w:t xml:space="preserve">. Similarly, with the exception of higher rates of HZ for </w:t>
      </w:r>
      <w:proofErr w:type="spellStart"/>
      <w:r>
        <w:t>tofacitinib</w:t>
      </w:r>
      <w:proofErr w:type="spellEnd"/>
      <w:r>
        <w:t xml:space="preserve">, the rates of adverse events of special interest in induction and maintenance were similar to those reported for </w:t>
      </w:r>
      <w:proofErr w:type="spellStart"/>
      <w:r>
        <w:t>TNFi</w:t>
      </w:r>
      <w:proofErr w:type="spellEnd"/>
      <w:r>
        <w:t xml:space="preserve"> agents in published UC induction and maintenance </w:t>
      </w:r>
      <w:r w:rsidR="00BA5B06">
        <w:t xml:space="preserve">randomised </w:t>
      </w:r>
      <w:r>
        <w:t>clinical trials.</w:t>
      </w:r>
    </w:p>
    <w:p w14:paraId="26E42A01" w14:textId="484A5CA1" w:rsidR="001A534F" w:rsidRDefault="001A534F" w:rsidP="00381881">
      <w:pPr>
        <w:pStyle w:val="ListBullet"/>
      </w:pPr>
      <w:r>
        <w:t xml:space="preserve">Lastly, the </w:t>
      </w:r>
      <w:r w:rsidR="003771B1">
        <w:t>sponsor</w:t>
      </w:r>
      <w:r>
        <w:t xml:space="preserve"> acknowledges that data from the post-marketing observational study (</w:t>
      </w:r>
      <w:r w:rsidR="00285A20">
        <w:t>‘</w:t>
      </w:r>
      <w:proofErr w:type="spellStart"/>
      <w:r>
        <w:t>Corrona</w:t>
      </w:r>
      <w:proofErr w:type="spellEnd"/>
      <w:r w:rsidR="00285A20">
        <w:t>’</w:t>
      </w:r>
      <w:r>
        <w:t xml:space="preserve">) will be available in 2026; however, quarterly updates of unadjusted rates of events of interest will also be reported in the periodic safety update reports submitted to </w:t>
      </w:r>
      <w:r w:rsidR="002F2C3C">
        <w:t>TGA</w:t>
      </w:r>
      <w:r>
        <w:t>.</w:t>
      </w:r>
    </w:p>
    <w:p w14:paraId="1A2C29A1" w14:textId="77777777" w:rsidR="001A534F" w:rsidRDefault="001A534F" w:rsidP="00635508">
      <w:r>
        <w:t xml:space="preserve">Based upon these considerations, the </w:t>
      </w:r>
      <w:r w:rsidR="003771B1">
        <w:t>sponsor</w:t>
      </w:r>
      <w:r>
        <w:t xml:space="preserve"> believes that the data and the rationale provided in the original application and responses, justifies the use of </w:t>
      </w:r>
      <w:proofErr w:type="spellStart"/>
      <w:r>
        <w:t>tofacitinib</w:t>
      </w:r>
      <w:proofErr w:type="spellEnd"/>
      <w:r>
        <w:t xml:space="preserve"> in adult UC patients who have had an inadequate response, lost response, or were intolerant to either conventional therapy or a biological therapy.</w:t>
      </w:r>
    </w:p>
    <w:p w14:paraId="2B45C0FC" w14:textId="7688D848" w:rsidR="001A534F" w:rsidRPr="00AD6C46" w:rsidRDefault="001A534F" w:rsidP="00635508">
      <w:pPr>
        <w:pStyle w:val="Numberbullet0"/>
        <w:rPr>
          <w:b/>
          <w:i/>
        </w:rPr>
      </w:pPr>
      <w:r w:rsidRPr="00AD6C46">
        <w:rPr>
          <w:b/>
          <w:i/>
        </w:rPr>
        <w:t xml:space="preserve">Does the Committee consider it appropriate to include a restriction on the use of </w:t>
      </w:r>
      <w:proofErr w:type="spellStart"/>
      <w:r w:rsidRPr="00AD6C46">
        <w:rPr>
          <w:b/>
          <w:i/>
        </w:rPr>
        <w:t>tofacitinib</w:t>
      </w:r>
      <w:proofErr w:type="spellEnd"/>
      <w:r w:rsidRPr="00AD6C46">
        <w:rPr>
          <w:b/>
          <w:i/>
        </w:rPr>
        <w:t xml:space="preserve"> in the induction </w:t>
      </w:r>
      <w:r w:rsidR="00BA5B06" w:rsidRPr="00AD6C46">
        <w:rPr>
          <w:b/>
          <w:i/>
        </w:rPr>
        <w:t xml:space="preserve">phase </w:t>
      </w:r>
      <w:r w:rsidRPr="00AD6C46">
        <w:rPr>
          <w:b/>
          <w:i/>
        </w:rPr>
        <w:t>of treatment of UC in the indication? Such a restriction would specify a duration within which a clinical response required in order that treatment be continued.</w:t>
      </w:r>
    </w:p>
    <w:p w14:paraId="2E093F91" w14:textId="77777777" w:rsidR="001A534F" w:rsidRDefault="001A534F" w:rsidP="001A534F">
      <w:r>
        <w:t xml:space="preserve">The </w:t>
      </w:r>
      <w:r w:rsidR="003771B1">
        <w:t>sponsor</w:t>
      </w:r>
      <w:r>
        <w:t xml:space="preserve"> maintains that the most appropriate place to describe limitations on the duration of induction therapy is in </w:t>
      </w:r>
      <w:r w:rsidR="002F2C3C">
        <w:t>PI</w:t>
      </w:r>
      <w:r>
        <w:t xml:space="preserve"> Section 4.2 Dose and Method of Administration, where there is clear advice that continued treatment is not recommended for patients who have not shown a clinical response by Week 16. The placement of this information would also be consistent with the PI of other treatments approved for use in UC.</w:t>
      </w:r>
    </w:p>
    <w:p w14:paraId="33D8641C" w14:textId="1D4C4405" w:rsidR="001A534F" w:rsidRDefault="001A534F" w:rsidP="001A534F">
      <w:r>
        <w:t xml:space="preserve">The </w:t>
      </w:r>
      <w:r w:rsidR="003771B1">
        <w:t>sponsor</w:t>
      </w:r>
      <w:r>
        <w:t xml:space="preserve"> agrees to most of the Delegate’s recommended changes to the PI in the dose and m</w:t>
      </w:r>
      <w:r w:rsidR="002F2C3C">
        <w:t>ethod of administration section</w:t>
      </w:r>
      <w:r>
        <w:t xml:space="preserve"> including the emphasis on using the lowest maintenance dose, however, </w:t>
      </w:r>
      <w:r w:rsidR="00BA5B06">
        <w:t xml:space="preserve">the sponsor </w:t>
      </w:r>
      <w:r>
        <w:t>prefer</w:t>
      </w:r>
      <w:r w:rsidR="00BA5B06">
        <w:t>s</w:t>
      </w:r>
      <w:r>
        <w:t xml:space="preserve"> to retain the statem</w:t>
      </w:r>
      <w:r w:rsidR="002F2C3C">
        <w:t>ent that continuation of the 10 </w:t>
      </w:r>
      <w:r>
        <w:t>mg BID dose for maintenance may be most appropriate for refractory patient</w:t>
      </w:r>
      <w:r w:rsidR="00E91E20">
        <w:t xml:space="preserve">s such as those who have failed </w:t>
      </w:r>
      <w:r>
        <w:t xml:space="preserve">prior </w:t>
      </w:r>
      <w:proofErr w:type="spellStart"/>
      <w:r>
        <w:t>TNFi</w:t>
      </w:r>
      <w:proofErr w:type="spellEnd"/>
      <w:r>
        <w:t xml:space="preserve"> therapy</w:t>
      </w:r>
      <w:r w:rsidR="00E91E20">
        <w:t xml:space="preserve">. The </w:t>
      </w:r>
      <w:r w:rsidR="003771B1">
        <w:t>sponsor</w:t>
      </w:r>
      <w:r w:rsidR="00E91E20">
        <w:t xml:space="preserve"> believes it is </w:t>
      </w:r>
      <w:r>
        <w:t>important for prescribers’ awareness that individual patie</w:t>
      </w:r>
      <w:r w:rsidR="00E91E20">
        <w:t xml:space="preserve">nts (for example those who have </w:t>
      </w:r>
      <w:r>
        <w:t>history of failure to multiple agents) may benefit from continuation of the 10 mg BID dose.</w:t>
      </w:r>
    </w:p>
    <w:p w14:paraId="0F855620" w14:textId="77777777" w:rsidR="001A534F" w:rsidRPr="00AD6C46" w:rsidRDefault="001A534F" w:rsidP="00635508">
      <w:pPr>
        <w:pStyle w:val="Numberbullet0"/>
        <w:rPr>
          <w:b/>
          <w:i/>
        </w:rPr>
      </w:pPr>
      <w:r w:rsidRPr="00AD6C46">
        <w:rPr>
          <w:b/>
          <w:i/>
        </w:rPr>
        <w:t>The Committee’s advice on the extent of warnings regarding dose-related</w:t>
      </w:r>
      <w:r w:rsidR="00E91E20" w:rsidRPr="00AD6C46">
        <w:rPr>
          <w:b/>
          <w:i/>
        </w:rPr>
        <w:t xml:space="preserve"> toxicity in </w:t>
      </w:r>
      <w:r w:rsidRPr="00AD6C46">
        <w:rPr>
          <w:b/>
          <w:i/>
        </w:rPr>
        <w:t>the draft PI is requested.</w:t>
      </w:r>
    </w:p>
    <w:p w14:paraId="0945B5D6" w14:textId="77777777" w:rsidR="001A534F" w:rsidRDefault="001A534F" w:rsidP="00635508">
      <w:r>
        <w:lastRenderedPageBreak/>
        <w:t xml:space="preserve">The totality of data across indications in the broader </w:t>
      </w:r>
      <w:proofErr w:type="spellStart"/>
      <w:r w:rsidR="00E91E20">
        <w:t>tofacitinib</w:t>
      </w:r>
      <w:proofErr w:type="spellEnd"/>
      <w:r w:rsidR="00E91E20">
        <w:t xml:space="preserve"> development program </w:t>
      </w:r>
      <w:r>
        <w:t>indicated a dose-relationship for serious infections, HZ a</w:t>
      </w:r>
      <w:r w:rsidR="00E91E20">
        <w:t xml:space="preserve">nd NMSC but a dose-relationship </w:t>
      </w:r>
      <w:r>
        <w:t>was not shown for malignancy (excluding NMSC).</w:t>
      </w:r>
    </w:p>
    <w:p w14:paraId="525D8CA9" w14:textId="77777777" w:rsidR="001A534F" w:rsidRDefault="001A534F" w:rsidP="00635508">
      <w:r>
        <w:t xml:space="preserve">The </w:t>
      </w:r>
      <w:r w:rsidR="003771B1">
        <w:t>sponsor</w:t>
      </w:r>
      <w:r>
        <w:t xml:space="preserve"> agrees to the Delegate’s recommended chan</w:t>
      </w:r>
      <w:r w:rsidR="00E91E20">
        <w:t xml:space="preserve">ges to the PI in order to raise </w:t>
      </w:r>
      <w:r>
        <w:t>awareness of a potentially greater risk of serious infections in pa</w:t>
      </w:r>
      <w:r w:rsidR="00E91E20">
        <w:t xml:space="preserve">tients treated with </w:t>
      </w:r>
      <w:proofErr w:type="spellStart"/>
      <w:r w:rsidR="00E91E20">
        <w:t>tofacitinib</w:t>
      </w:r>
      <w:proofErr w:type="spellEnd"/>
      <w:r w:rsidR="00E91E20">
        <w:t xml:space="preserve"> </w:t>
      </w:r>
      <w:r>
        <w:t>10 mg BID, and to indicate that opportunistic HZ infections we</w:t>
      </w:r>
      <w:r w:rsidR="00E91E20">
        <w:t xml:space="preserve">re observed in patients treated </w:t>
      </w:r>
      <w:r>
        <w:t xml:space="preserve">with </w:t>
      </w:r>
      <w:proofErr w:type="spellStart"/>
      <w:r>
        <w:t>tofacitinib</w:t>
      </w:r>
      <w:proofErr w:type="spellEnd"/>
      <w:r>
        <w:t xml:space="preserve"> 10 mg BID.</w:t>
      </w:r>
    </w:p>
    <w:p w14:paraId="69EA18E4" w14:textId="77777777" w:rsidR="00E91E20" w:rsidRDefault="001A534F" w:rsidP="00635508">
      <w:r>
        <w:t xml:space="preserve">Regarding malignancies, the </w:t>
      </w:r>
      <w:r w:rsidR="003771B1">
        <w:t>sponsor</w:t>
      </w:r>
      <w:r>
        <w:t xml:space="preserve"> agrees to include the </w:t>
      </w:r>
      <w:r w:rsidR="002F2C3C">
        <w:t xml:space="preserve">statement that in the long </w:t>
      </w:r>
      <w:r w:rsidR="00E91E20">
        <w:t xml:space="preserve">term </w:t>
      </w:r>
      <w:r>
        <w:t xml:space="preserve">extension study, malignancies were observed more often in patients treated with </w:t>
      </w:r>
      <w:proofErr w:type="spellStart"/>
      <w:r>
        <w:t>tofacitinib</w:t>
      </w:r>
      <w:proofErr w:type="spellEnd"/>
      <w:r w:rsidR="00E91E20">
        <w:t xml:space="preserve"> </w:t>
      </w:r>
      <w:r>
        <w:t>10 mg BID compared with 5 mg BID. However, ev</w:t>
      </w:r>
      <w:r w:rsidR="002F2C3C">
        <w:t xml:space="preserve">aluation of dose </w:t>
      </w:r>
      <w:r w:rsidR="00E91E20">
        <w:t xml:space="preserve">dependency was </w:t>
      </w:r>
      <w:r>
        <w:t>confounded by a marked imbalance in the proportion of</w:t>
      </w:r>
      <w:r w:rsidR="00E91E20">
        <w:t xml:space="preserve"> subjects treated with 5 mg BID </w:t>
      </w:r>
      <w:r>
        <w:t>versu</w:t>
      </w:r>
      <w:r w:rsidR="002F2C3C">
        <w:t xml:space="preserve">s 10 mg BID in Cohort 3 (Phase II, Phase III long </w:t>
      </w:r>
      <w:r>
        <w:t xml:space="preserve">term extension </w:t>
      </w:r>
      <w:proofErr w:type="spellStart"/>
      <w:r w:rsidR="002F2C3C">
        <w:t>t</w:t>
      </w:r>
      <w:r w:rsidR="00E91E20">
        <w:t>ofacitinib</w:t>
      </w:r>
      <w:proofErr w:type="spellEnd"/>
      <w:r w:rsidR="00E91E20">
        <w:t xml:space="preserve">), which represents the entire treatment experience with </w:t>
      </w:r>
      <w:proofErr w:type="spellStart"/>
      <w:r w:rsidR="00E91E20">
        <w:t>tofacitinib</w:t>
      </w:r>
      <w:proofErr w:type="spellEnd"/>
      <w:r w:rsidR="00E91E20">
        <w:t xml:space="preserve"> in the UC program, with 84% of the subjects categorized to the Predominant Dose 10 mg BID group by design. Overall, malignancies (excluding NMSC) were reported infrequently in the UC program.</w:t>
      </w:r>
    </w:p>
    <w:p w14:paraId="54C9D970" w14:textId="77777777" w:rsidR="00E91E20" w:rsidRDefault="00E91E20" w:rsidP="00635508">
      <w:r>
        <w:t xml:space="preserve">The current PI already contains warnings associated with serious infection, HZ virus reactivation, opportunistic infections, NMSC and malignancies (excluding NMSC) such as lymphoma, based on findings in the RA development program. Additionally, the risk that HZ and NMSC may be higher in patients treated with </w:t>
      </w:r>
      <w:proofErr w:type="spellStart"/>
      <w:r>
        <w:t>tofacitinib</w:t>
      </w:r>
      <w:proofErr w:type="spellEnd"/>
      <w:r>
        <w:t xml:space="preserve"> 10 mg </w:t>
      </w:r>
      <w:r w:rsidR="00F14B34">
        <w:t>BID</w:t>
      </w:r>
      <w:r>
        <w:t xml:space="preserve"> than in patients treated with 5 mg </w:t>
      </w:r>
      <w:r w:rsidR="00F14B34">
        <w:t>BID</w:t>
      </w:r>
      <w:r>
        <w:t xml:space="preserve"> is highlighted. The </w:t>
      </w:r>
      <w:r w:rsidR="003771B1">
        <w:t>sponsor</w:t>
      </w:r>
      <w:r>
        <w:t xml:space="preserve"> also agrees with the </w:t>
      </w:r>
      <w:r w:rsidR="002F2C3C">
        <w:t>RMP e</w:t>
      </w:r>
      <w:r>
        <w:t>valuator’s proposal that a black triangle is added to the PI given the increased dose proposed for UC compared with the currently approved dose for RA.</w:t>
      </w:r>
    </w:p>
    <w:p w14:paraId="5EA78C21" w14:textId="1889EDD4" w:rsidR="00E91E20" w:rsidRDefault="00E91E20" w:rsidP="00635508">
      <w:r>
        <w:t xml:space="preserve">Lastly, the </w:t>
      </w:r>
      <w:r w:rsidR="003771B1">
        <w:t>sponsor</w:t>
      </w:r>
      <w:r>
        <w:t xml:space="preserve"> notes the Delegate’s comments in the Summary of Issues that </w:t>
      </w:r>
      <w:r w:rsidR="00285A20">
        <w:t>‘</w:t>
      </w:r>
      <w:r>
        <w:t xml:space="preserve">…It is not clear if a boxed warning is also required to highlight the risks from use of </w:t>
      </w:r>
      <w:proofErr w:type="spellStart"/>
      <w:r>
        <w:t>tofacitinib</w:t>
      </w:r>
      <w:proofErr w:type="spellEnd"/>
      <w:r w:rsidR="00285A20">
        <w:t>’</w:t>
      </w:r>
      <w:r>
        <w:t xml:space="preserve"> since the United States Package Insert (USPI) has a boxed warning and the EU Summary of Product Characteristics (</w:t>
      </w:r>
      <w:proofErr w:type="spellStart"/>
      <w:r>
        <w:t>SmPC</w:t>
      </w:r>
      <w:proofErr w:type="spellEnd"/>
      <w:r>
        <w:t xml:space="preserve">) does not. The </w:t>
      </w:r>
      <w:r w:rsidR="003771B1">
        <w:t>sponsor</w:t>
      </w:r>
      <w:r>
        <w:t xml:space="preserve"> believes it is important to clarify the existing boxed warning in the USPI was not updated during the Food and Drug Administration (FDA) review of the UC application.</w:t>
      </w:r>
    </w:p>
    <w:p w14:paraId="5CB7C426" w14:textId="77777777" w:rsidR="00E91E20" w:rsidRDefault="00E91E20" w:rsidP="00635508">
      <w:r>
        <w:t xml:space="preserve">Typically there are regional differences in the use of boxed warnings and in this case the </w:t>
      </w:r>
      <w:r w:rsidR="003771B1">
        <w:t>sponsor</w:t>
      </w:r>
      <w:r>
        <w:t xml:space="preserve"> maintains that the most appropriate placement of warnings regarding serious infections and malignancies is within the body of the PI. There are no boxed warnings in the current </w:t>
      </w:r>
      <w:proofErr w:type="spellStart"/>
      <w:r>
        <w:t>tofacitinib</w:t>
      </w:r>
      <w:proofErr w:type="spellEnd"/>
      <w:r>
        <w:t xml:space="preserve"> PI based on the RA data. As discussed above, the safety profile of </w:t>
      </w:r>
      <w:proofErr w:type="spellStart"/>
      <w:r>
        <w:t>tofacitinib</w:t>
      </w:r>
      <w:proofErr w:type="spellEnd"/>
      <w:r>
        <w:t xml:space="preserve"> is generally consistent across indications and no new safety signals were observed in the UC program compared with the RA program. Therefore, there are no new safety data emerging from the UC program that would warrant the introduction of a boxed warning for the </w:t>
      </w:r>
      <w:proofErr w:type="spellStart"/>
      <w:r>
        <w:t>tofacitinib</w:t>
      </w:r>
      <w:proofErr w:type="spellEnd"/>
      <w:r>
        <w:t xml:space="preserve"> PI. The placement of warnings within the body of the PI would also be consistent with the Australian PIs of other treatments approved for use in UC.</w:t>
      </w:r>
    </w:p>
    <w:p w14:paraId="10ECD0CE" w14:textId="77777777" w:rsidR="001A534F" w:rsidRPr="00EE7B7F" w:rsidRDefault="00E91E20" w:rsidP="00635508">
      <w:r>
        <w:t xml:space="preserve">The </w:t>
      </w:r>
      <w:r w:rsidR="003771B1">
        <w:t>sponsor</w:t>
      </w:r>
      <w:r>
        <w:t xml:space="preserve"> looks forward to the outcome of the ACM discussions on this application.</w:t>
      </w:r>
    </w:p>
    <w:p w14:paraId="681330FF" w14:textId="77777777" w:rsidR="008E7846" w:rsidRDefault="008E7846" w:rsidP="008E7846">
      <w:pPr>
        <w:pStyle w:val="Heading4"/>
      </w:pPr>
      <w:r>
        <w:lastRenderedPageBreak/>
        <w:t>Advisory Committee Considerations</w:t>
      </w:r>
      <w:r w:rsidR="00456765">
        <w:rPr>
          <w:rStyle w:val="FootnoteReference"/>
        </w:rPr>
        <w:footnoteReference w:id="19"/>
      </w:r>
    </w:p>
    <w:p w14:paraId="434B8F63" w14:textId="008D4E54" w:rsidR="00E91E20" w:rsidRPr="00E91E20" w:rsidRDefault="00E91E20" w:rsidP="00635508">
      <w:r w:rsidRPr="00E91E20">
        <w:t xml:space="preserve">The </w:t>
      </w:r>
      <w:r w:rsidR="00BA5B06">
        <w:t>Advisory Committee on Medicines (</w:t>
      </w:r>
      <w:r w:rsidRPr="00E91E20">
        <w:t>ACM</w:t>
      </w:r>
      <w:r w:rsidR="00BA5B06">
        <w:t>)</w:t>
      </w:r>
      <w:r w:rsidRPr="00E91E20">
        <w:t xml:space="preserve"> taking into account the submitted evidence of efficacy, safety and quality, agreed</w:t>
      </w:r>
      <w:r w:rsidR="0056204C">
        <w:t xml:space="preserve"> with the D</w:t>
      </w:r>
      <w:r w:rsidRPr="00E91E20">
        <w:t xml:space="preserve">elegate and considered </w:t>
      </w:r>
      <w:proofErr w:type="spellStart"/>
      <w:r w:rsidR="005F7896">
        <w:t>Xeljanz</w:t>
      </w:r>
      <w:proofErr w:type="spellEnd"/>
      <w:r w:rsidR="002F2C3C">
        <w:t xml:space="preserve"> film </w:t>
      </w:r>
      <w:r w:rsidRPr="00E91E20">
        <w:t xml:space="preserve">coated tablet containing 10 mg of </w:t>
      </w:r>
      <w:proofErr w:type="spellStart"/>
      <w:r w:rsidRPr="00E91E20">
        <w:t>tofacitinib</w:t>
      </w:r>
      <w:proofErr w:type="spellEnd"/>
      <w:r w:rsidRPr="00E91E20">
        <w:t xml:space="preserve"> to have an overall positiv</w:t>
      </w:r>
      <w:r w:rsidR="0056204C">
        <w:t>e benefit-risk profile for the D</w:t>
      </w:r>
      <w:r w:rsidRPr="00E91E20">
        <w:t>elegate’s amended indication;</w:t>
      </w:r>
    </w:p>
    <w:p w14:paraId="44C8A042" w14:textId="77777777" w:rsidR="00E91E20" w:rsidRPr="002F2C3C" w:rsidRDefault="00E91E20" w:rsidP="002F2C3C">
      <w:pPr>
        <w:ind w:left="720"/>
        <w:rPr>
          <w:i/>
        </w:rPr>
      </w:pPr>
      <w:proofErr w:type="spellStart"/>
      <w:r w:rsidRPr="002F2C3C">
        <w:rPr>
          <w:i/>
        </w:rPr>
        <w:t>Xeljanz</w:t>
      </w:r>
      <w:proofErr w:type="spellEnd"/>
      <w:r w:rsidRPr="002F2C3C">
        <w:rPr>
          <w:i/>
        </w:rPr>
        <w:t xml:space="preserve"> is indicated for the induction and maintenance of treatment of adult patients with moderately to severely active </w:t>
      </w:r>
      <w:r w:rsidR="00B94414" w:rsidRPr="002F2C3C">
        <w:rPr>
          <w:i/>
        </w:rPr>
        <w:t>UC</w:t>
      </w:r>
      <w:r w:rsidRPr="002F2C3C">
        <w:rPr>
          <w:i/>
        </w:rPr>
        <w:t xml:space="preserve"> who have had an inadequate response, lost response, or were intolerant to conventional therapy or a biologic therapy.</w:t>
      </w:r>
    </w:p>
    <w:p w14:paraId="5FB8CEE7" w14:textId="77777777" w:rsidR="00E91E20" w:rsidRPr="00E91E20" w:rsidRDefault="00E91E20" w:rsidP="00635508">
      <w:pPr>
        <w:pStyle w:val="Heading5"/>
      </w:pPr>
      <w:r w:rsidRPr="00E91E20">
        <w:t>Proposed conditions of registration</w:t>
      </w:r>
    </w:p>
    <w:p w14:paraId="4FE66655" w14:textId="6DEA9E08" w:rsidR="00E91E20" w:rsidRPr="00E91E20" w:rsidRDefault="00E91E20" w:rsidP="00635508">
      <w:r w:rsidRPr="00E91E20">
        <w:t xml:space="preserve">The ACM agreed with the </w:t>
      </w:r>
      <w:r w:rsidR="00BA5B06">
        <w:t>D</w:t>
      </w:r>
      <w:r w:rsidRPr="00E91E20">
        <w:t>elegate on the proposed conditions of registration.</w:t>
      </w:r>
    </w:p>
    <w:p w14:paraId="54F0B2BB" w14:textId="77777777" w:rsidR="00E91E20" w:rsidRPr="00E91E20" w:rsidRDefault="00E91E20" w:rsidP="00635508">
      <w:pPr>
        <w:pStyle w:val="Heading5"/>
      </w:pPr>
      <w:r w:rsidRPr="00E91E20">
        <w:t>Proposed Product Information (PI)/ Consumer Medicine Information (CMI) amendments</w:t>
      </w:r>
    </w:p>
    <w:p w14:paraId="31058055" w14:textId="337D2BBA" w:rsidR="00E91E20" w:rsidRDefault="00E91E20" w:rsidP="00635508">
      <w:r w:rsidRPr="00E91E20">
        <w:t xml:space="preserve">The ACM agreed with the </w:t>
      </w:r>
      <w:r w:rsidR="00BA5B06">
        <w:t>D</w:t>
      </w:r>
      <w:r w:rsidRPr="00E91E20">
        <w:t xml:space="preserve">elegate to the proposed amendments to the </w:t>
      </w:r>
      <w:r w:rsidR="00B94414">
        <w:t>PI</w:t>
      </w:r>
      <w:r w:rsidRPr="00E91E20">
        <w:t xml:space="preserve"> and </w:t>
      </w:r>
      <w:r w:rsidR="00B94414">
        <w:t>CMI</w:t>
      </w:r>
      <w:r w:rsidRPr="00E91E20">
        <w:t>.</w:t>
      </w:r>
    </w:p>
    <w:p w14:paraId="3B1912E6" w14:textId="77777777" w:rsidR="00E91E20" w:rsidRDefault="00E91E20" w:rsidP="00635508">
      <w:pPr>
        <w:pStyle w:val="Heading5"/>
      </w:pPr>
      <w:r w:rsidRPr="00E91E20">
        <w:t>Specific Advice</w:t>
      </w:r>
    </w:p>
    <w:p w14:paraId="4BF6C91C" w14:textId="77777777" w:rsidR="008E7846" w:rsidRDefault="00456765" w:rsidP="00635508">
      <w:r w:rsidRPr="00456765">
        <w:t xml:space="preserve">The </w:t>
      </w:r>
      <w:r w:rsidR="00B94414">
        <w:t>ACM</w:t>
      </w:r>
      <w:r w:rsidRPr="00456765">
        <w:t>, having considered the evaluations and the Delegate’s overview, as well as the sponsor’s response to these documents, advised the following:</w:t>
      </w:r>
    </w:p>
    <w:p w14:paraId="558E22EB" w14:textId="3B829AE6" w:rsidR="005F7896" w:rsidRPr="00AD6C46" w:rsidRDefault="00E91E20" w:rsidP="00635508">
      <w:pPr>
        <w:pStyle w:val="Numberbullet0"/>
        <w:numPr>
          <w:ilvl w:val="0"/>
          <w:numId w:val="36"/>
        </w:numPr>
        <w:rPr>
          <w:b/>
          <w:i/>
        </w:rPr>
      </w:pPr>
      <w:r w:rsidRPr="00AD6C46">
        <w:rPr>
          <w:b/>
          <w:i/>
        </w:rPr>
        <w:t>Please provide comment on the following amended indication (as propos</w:t>
      </w:r>
      <w:r w:rsidR="001120D9" w:rsidRPr="00AD6C46">
        <w:rPr>
          <w:b/>
          <w:i/>
        </w:rPr>
        <w:t>ed by the D</w:t>
      </w:r>
      <w:r w:rsidRPr="00AD6C46">
        <w:rPr>
          <w:b/>
          <w:i/>
        </w:rPr>
        <w:t>elegate)</w:t>
      </w:r>
      <w:r w:rsidR="005F7896" w:rsidRPr="00AD6C46">
        <w:rPr>
          <w:b/>
          <w:i/>
        </w:rPr>
        <w:t>:</w:t>
      </w:r>
    </w:p>
    <w:p w14:paraId="48DE72DA" w14:textId="77777777" w:rsidR="00E91E20" w:rsidRPr="00AD6C46" w:rsidRDefault="00E91E20" w:rsidP="00BA5B06">
      <w:pPr>
        <w:pStyle w:val="Numberbullet0"/>
        <w:numPr>
          <w:ilvl w:val="0"/>
          <w:numId w:val="0"/>
        </w:numPr>
        <w:ind w:left="720"/>
        <w:rPr>
          <w:b/>
          <w:i/>
        </w:rPr>
      </w:pPr>
      <w:proofErr w:type="spellStart"/>
      <w:r w:rsidRPr="00AD6C46">
        <w:rPr>
          <w:b/>
          <w:i/>
        </w:rPr>
        <w:t>Xeljanz</w:t>
      </w:r>
      <w:proofErr w:type="spellEnd"/>
      <w:r w:rsidRPr="00AD6C46">
        <w:rPr>
          <w:b/>
          <w:i/>
        </w:rPr>
        <w:t xml:space="preserve"> is indicated for the induction and maintenance of treatment of adult patients with moderately to severely active ulcerative colitis (UC) who have had an inadequate response, lost response, or were intolerant to conventional therapy or a biologic</w:t>
      </w:r>
      <w:r w:rsidR="001010EA" w:rsidRPr="00AD6C46">
        <w:rPr>
          <w:b/>
          <w:i/>
        </w:rPr>
        <w:t>al</w:t>
      </w:r>
      <w:r w:rsidRPr="00AD6C46">
        <w:rPr>
          <w:b/>
          <w:i/>
        </w:rPr>
        <w:t xml:space="preserve"> therapy.</w:t>
      </w:r>
    </w:p>
    <w:p w14:paraId="18E8FB1A" w14:textId="30C2F946" w:rsidR="00E91E20" w:rsidRDefault="0056204C" w:rsidP="00E91E20">
      <w:r>
        <w:t>The ACM agreed with the D</w:t>
      </w:r>
      <w:r w:rsidR="00E91E20">
        <w:t xml:space="preserve">elegate’s proposed amendments to the indication to include </w:t>
      </w:r>
      <w:r w:rsidR="00285A20" w:rsidRPr="001120D9">
        <w:rPr>
          <w:i/>
        </w:rPr>
        <w:t>‘</w:t>
      </w:r>
      <w:r w:rsidR="00E91E20" w:rsidRPr="001120D9">
        <w:rPr>
          <w:i/>
        </w:rPr>
        <w:t>…or a biological therapy</w:t>
      </w:r>
      <w:r w:rsidR="00285A20" w:rsidRPr="001120D9">
        <w:rPr>
          <w:i/>
        </w:rPr>
        <w:t>’</w:t>
      </w:r>
      <w:r w:rsidR="005F7896" w:rsidRPr="001120D9">
        <w:rPr>
          <w:i/>
        </w:rPr>
        <w:t>.</w:t>
      </w:r>
    </w:p>
    <w:p w14:paraId="3CF5C91F" w14:textId="77777777" w:rsidR="001010EA" w:rsidRPr="00AD6C46" w:rsidRDefault="00E91E20" w:rsidP="001010EA">
      <w:pPr>
        <w:pStyle w:val="Numberbullet0"/>
        <w:rPr>
          <w:b/>
          <w:i/>
        </w:rPr>
      </w:pPr>
      <w:r w:rsidRPr="00AD6C46">
        <w:rPr>
          <w:b/>
          <w:i/>
        </w:rPr>
        <w:t xml:space="preserve">Does the Committee consider the above proposed indication is appropriate to limit use of </w:t>
      </w:r>
      <w:proofErr w:type="spellStart"/>
      <w:r w:rsidRPr="00AD6C46">
        <w:rPr>
          <w:b/>
          <w:i/>
        </w:rPr>
        <w:t>tofacitinib</w:t>
      </w:r>
      <w:proofErr w:type="spellEnd"/>
      <w:r w:rsidRPr="00AD6C46">
        <w:rPr>
          <w:b/>
          <w:i/>
        </w:rPr>
        <w:t xml:space="preserve"> in the treatment of UC?</w:t>
      </w:r>
    </w:p>
    <w:p w14:paraId="3C317856" w14:textId="77777777" w:rsidR="00E91E20" w:rsidRDefault="00E91E20" w:rsidP="00E91E20">
      <w:r w:rsidRPr="001010EA">
        <w:t xml:space="preserve">The committee considered the above proposed indication to be appropriate to limit the use of </w:t>
      </w:r>
      <w:proofErr w:type="spellStart"/>
      <w:r w:rsidRPr="001010EA">
        <w:t>tofacitinib</w:t>
      </w:r>
      <w:proofErr w:type="spellEnd"/>
      <w:r w:rsidRPr="001010EA">
        <w:t xml:space="preserve"> in the treatment of UC</w:t>
      </w:r>
      <w:r w:rsidR="001010EA">
        <w:t>.</w:t>
      </w:r>
    </w:p>
    <w:p w14:paraId="50E25F6C" w14:textId="3F7DD8D7" w:rsidR="00E91E20" w:rsidRPr="00AD6C46" w:rsidRDefault="00E91E20" w:rsidP="001010EA">
      <w:pPr>
        <w:pStyle w:val="Numberbullet0"/>
        <w:rPr>
          <w:b/>
          <w:i/>
        </w:rPr>
      </w:pPr>
      <w:r w:rsidRPr="00AD6C46">
        <w:rPr>
          <w:b/>
          <w:i/>
        </w:rPr>
        <w:t xml:space="preserve">Does the Committee consider it appropriate to include a restriction on the use of </w:t>
      </w:r>
      <w:proofErr w:type="spellStart"/>
      <w:r w:rsidRPr="00AD6C46">
        <w:rPr>
          <w:b/>
          <w:i/>
        </w:rPr>
        <w:t>tofacitinib</w:t>
      </w:r>
      <w:proofErr w:type="spellEnd"/>
      <w:r w:rsidRPr="00AD6C46">
        <w:rPr>
          <w:b/>
          <w:i/>
        </w:rPr>
        <w:t xml:space="preserve"> in the induction </w:t>
      </w:r>
      <w:r w:rsidR="00BA5B06" w:rsidRPr="00AD6C46">
        <w:rPr>
          <w:b/>
          <w:i/>
        </w:rPr>
        <w:t>p</w:t>
      </w:r>
      <w:r w:rsidR="00B7366A" w:rsidRPr="00AD6C46">
        <w:rPr>
          <w:b/>
          <w:i/>
        </w:rPr>
        <w:t>hase</w:t>
      </w:r>
      <w:r w:rsidRPr="00AD6C46">
        <w:rPr>
          <w:b/>
          <w:i/>
        </w:rPr>
        <w:t xml:space="preserve"> of treatment of UC in the indication?</w:t>
      </w:r>
      <w:r w:rsidR="005F7896" w:rsidRPr="00AD6C46">
        <w:rPr>
          <w:b/>
          <w:i/>
        </w:rPr>
        <w:t xml:space="preserve"> </w:t>
      </w:r>
      <w:r w:rsidRPr="00AD6C46">
        <w:rPr>
          <w:b/>
          <w:i/>
        </w:rPr>
        <w:t>Such a restriction would specify a duration within which a clinical response required in order that treatment be continued.</w:t>
      </w:r>
    </w:p>
    <w:p w14:paraId="17738675" w14:textId="46F3E938" w:rsidR="00E91E20" w:rsidRDefault="00E91E20" w:rsidP="00E91E20">
      <w:r>
        <w:t xml:space="preserve">The committee did not consider it appropriate to include in the indication a restriction regarding the use of </w:t>
      </w:r>
      <w:proofErr w:type="spellStart"/>
      <w:r>
        <w:t>tofacitinib</w:t>
      </w:r>
      <w:proofErr w:type="spellEnd"/>
      <w:r>
        <w:t xml:space="preserve"> in the induction </w:t>
      </w:r>
      <w:r w:rsidR="00BA5B06">
        <w:t>p</w:t>
      </w:r>
      <w:r w:rsidR="00B7366A">
        <w:t>hase</w:t>
      </w:r>
      <w:r>
        <w:t xml:space="preserve"> of treatment of UC. Instead the committee recommended placing a restriction on the continuation of ineffective therapy beyond 16 weeks in the </w:t>
      </w:r>
      <w:r w:rsidR="00285A20">
        <w:t>‘</w:t>
      </w:r>
      <w:r>
        <w:t>Dosage and Administration</w:t>
      </w:r>
      <w:r w:rsidR="00285A20">
        <w:t>’</w:t>
      </w:r>
      <w:r>
        <w:t xml:space="preserve"> section of the PI.</w:t>
      </w:r>
    </w:p>
    <w:p w14:paraId="45F9F046" w14:textId="77777777" w:rsidR="00E91E20" w:rsidRPr="00AD6C46" w:rsidRDefault="00E91E20" w:rsidP="001010EA">
      <w:pPr>
        <w:pStyle w:val="Numberbullet0"/>
        <w:rPr>
          <w:b/>
          <w:i/>
        </w:rPr>
      </w:pPr>
      <w:r w:rsidRPr="00AD6C46">
        <w:rPr>
          <w:b/>
          <w:i/>
        </w:rPr>
        <w:lastRenderedPageBreak/>
        <w:t>The Committee’s advice on the extent of warnings regarding dose-related toxicity in the draft PI is requested.</w:t>
      </w:r>
    </w:p>
    <w:p w14:paraId="208388FF" w14:textId="77777777" w:rsidR="00E91E20" w:rsidRDefault="00E91E20" w:rsidP="001010EA">
      <w:r>
        <w:t xml:space="preserve">The committee agreed with the recommendation to add a black triangle to the PI in consideration of the 10 mg higher dose. In addition, the committee also supported the use of a boxed warning to highlight the dose-related toxicity risks associated with the use of the higher strength (10 mg) </w:t>
      </w:r>
      <w:proofErr w:type="spellStart"/>
      <w:r>
        <w:t>tofacitinib</w:t>
      </w:r>
      <w:proofErr w:type="spellEnd"/>
      <w:r>
        <w:t xml:space="preserve">. The committee agreed that through these warnings, the PI would be able to make clear that there is a higher risk of certain infections (including opportunistic infections such as </w:t>
      </w:r>
      <w:r w:rsidR="002F2C3C">
        <w:t>HZ</w:t>
      </w:r>
      <w:r>
        <w:t xml:space="preserve"> infections) when treating with a higher dose</w:t>
      </w:r>
      <w:r w:rsidR="001010EA">
        <w:t>.</w:t>
      </w:r>
    </w:p>
    <w:p w14:paraId="712B50C3" w14:textId="77777777" w:rsidR="00E91E20" w:rsidRDefault="00E91E20" w:rsidP="001010EA">
      <w:r>
        <w:t xml:space="preserve">Based on the maintenance therapy data, the 5 mg </w:t>
      </w:r>
      <w:r w:rsidR="002F2C3C">
        <w:t>BID</w:t>
      </w:r>
      <w:r>
        <w:t xml:space="preserve"> dose was generally as effective as the 10 mg dosing. The committee therefore agreed that a </w:t>
      </w:r>
      <w:r w:rsidR="002F2C3C">
        <w:t>maintenance dose of more than 5 </w:t>
      </w:r>
      <w:r>
        <w:t xml:space="preserve">mg </w:t>
      </w:r>
      <w:r w:rsidR="002F2C3C">
        <w:t>BID</w:t>
      </w:r>
      <w:r>
        <w:t xml:space="preserve"> would be inappropriate due to the dose-dependent ri</w:t>
      </w:r>
      <w:r w:rsidR="002F2C3C">
        <w:t xml:space="preserve">sk of serious adverse effects, </w:t>
      </w:r>
      <w:r>
        <w:t xml:space="preserve">except in patients who had previously failed maintenance treatment with 5 mg </w:t>
      </w:r>
      <w:r w:rsidR="002F2C3C">
        <w:t>BID</w:t>
      </w:r>
      <w:r>
        <w:t>. Those patients should have the option of progressing to 10 m</w:t>
      </w:r>
      <w:r w:rsidR="001010EA">
        <w:t xml:space="preserve">g </w:t>
      </w:r>
      <w:r w:rsidR="002F2C3C">
        <w:t>BID</w:t>
      </w:r>
      <w:r w:rsidR="001010EA">
        <w:t xml:space="preserve"> for maintenance treatment.</w:t>
      </w:r>
    </w:p>
    <w:p w14:paraId="25C63689" w14:textId="77777777" w:rsidR="001010EA" w:rsidRDefault="001010EA" w:rsidP="001010EA">
      <w:pPr>
        <w:pStyle w:val="Heading6"/>
      </w:pPr>
      <w:r>
        <w:t>Conclusion</w:t>
      </w:r>
    </w:p>
    <w:p w14:paraId="4026FC9D" w14:textId="77777777" w:rsidR="00456765" w:rsidRPr="00A322B3" w:rsidRDefault="00E91E20" w:rsidP="00E91E20">
      <w:r>
        <w:t>The ACM advised that implementation by the sponsor of the recommendations outlined above to the satisfaction of the TGA, in addition to the evidence of efficacy and safety provided would support the safe and effective use of this product.</w:t>
      </w:r>
    </w:p>
    <w:p w14:paraId="32B5DA85" w14:textId="77777777" w:rsidR="008E7846" w:rsidRPr="002E238E" w:rsidRDefault="008E7846" w:rsidP="008E7846">
      <w:pPr>
        <w:pStyle w:val="Heading3"/>
      </w:pPr>
      <w:bookmarkStart w:id="242" w:name="_Toc247691532"/>
      <w:bookmarkStart w:id="243" w:name="_Toc314842516"/>
      <w:bookmarkStart w:id="244" w:name="_Toc20301917"/>
      <w:bookmarkEnd w:id="98"/>
      <w:bookmarkEnd w:id="238"/>
      <w:bookmarkEnd w:id="239"/>
      <w:r>
        <w:t>Outcome</w:t>
      </w:r>
      <w:bookmarkEnd w:id="242"/>
      <w:bookmarkEnd w:id="243"/>
      <w:bookmarkEnd w:id="244"/>
    </w:p>
    <w:p w14:paraId="058CDEBC" w14:textId="18687C0A" w:rsidR="00D23139" w:rsidRPr="00D23139" w:rsidRDefault="00D23139" w:rsidP="001010EA">
      <w:bookmarkStart w:id="245" w:name="_Toc247691533"/>
      <w:bookmarkStart w:id="246" w:name="_Toc314842517"/>
      <w:r w:rsidRPr="00D23139">
        <w:t xml:space="preserve">Based on a review of quality, safety and efficacy, </w:t>
      </w:r>
      <w:r w:rsidR="00BA5B06">
        <w:t xml:space="preserve">the </w:t>
      </w:r>
      <w:r w:rsidRPr="00D23139">
        <w:t xml:space="preserve">TGA approved the registration of </w:t>
      </w:r>
      <w:proofErr w:type="spellStart"/>
      <w:r w:rsidR="000F5A69">
        <w:t>Xeljanz</w:t>
      </w:r>
      <w:proofErr w:type="spellEnd"/>
      <w:r w:rsidR="000F5A69">
        <w:t xml:space="preserve"> (</w:t>
      </w:r>
      <w:proofErr w:type="spellStart"/>
      <w:r w:rsidR="000F5A69">
        <w:t>tofacitinib</w:t>
      </w:r>
      <w:proofErr w:type="spellEnd"/>
      <w:r w:rsidR="000F5A69">
        <w:t xml:space="preserve"> as citrate)</w:t>
      </w:r>
      <w:r w:rsidRPr="00D23139">
        <w:t xml:space="preserve"> for </w:t>
      </w:r>
      <w:r w:rsidR="000F5A69">
        <w:t>new strength 10 mg film coated</w:t>
      </w:r>
      <w:r w:rsidR="002F2C3C">
        <w:t xml:space="preserve"> tablet and existing strength 5 </w:t>
      </w:r>
      <w:r w:rsidR="000F5A69">
        <w:t xml:space="preserve">mg film coated tablet for the following </w:t>
      </w:r>
      <w:r w:rsidR="00336108">
        <w:t xml:space="preserve">new </w:t>
      </w:r>
      <w:r w:rsidR="000F5A69">
        <w:t>indication</w:t>
      </w:r>
      <w:r w:rsidRPr="00D23139">
        <w:t>:</w:t>
      </w:r>
    </w:p>
    <w:p w14:paraId="0849918A" w14:textId="77777777" w:rsidR="000F5A69" w:rsidRDefault="000F5A69" w:rsidP="000F5A69">
      <w:pPr>
        <w:ind w:left="720"/>
        <w:rPr>
          <w:i/>
        </w:rPr>
      </w:pPr>
      <w:r>
        <w:rPr>
          <w:i/>
        </w:rPr>
        <w:t>Ulcerative colitis</w:t>
      </w:r>
    </w:p>
    <w:p w14:paraId="09611A4D" w14:textId="77777777" w:rsidR="00D23139" w:rsidRDefault="000F5A69" w:rsidP="000F5A69">
      <w:pPr>
        <w:ind w:left="720"/>
        <w:rPr>
          <w:i/>
        </w:rPr>
      </w:pPr>
      <w:proofErr w:type="spellStart"/>
      <w:r w:rsidRPr="002757A8">
        <w:rPr>
          <w:i/>
        </w:rPr>
        <w:t>Xeljanz</w:t>
      </w:r>
      <w:proofErr w:type="spellEnd"/>
      <w:r w:rsidRPr="002757A8">
        <w:rPr>
          <w:i/>
        </w:rPr>
        <w:t xml:space="preserve"> is indicated for the treatment of adult patients with moderately to severely active ulcerative colitis (UC) who have had an inadequate response, lost response, or were intolerant to either conventional therapy or a biological therapy</w:t>
      </w:r>
      <w:r w:rsidR="00490F35">
        <w:rPr>
          <w:i/>
        </w:rPr>
        <w:t>.</w:t>
      </w:r>
    </w:p>
    <w:p w14:paraId="6D3AB42B" w14:textId="77777777" w:rsidR="00490F35" w:rsidRDefault="00490F35" w:rsidP="00490F35">
      <w:r>
        <w:t>The full indications for the 5 mg tablet are now:</w:t>
      </w:r>
    </w:p>
    <w:p w14:paraId="001EB84E" w14:textId="77777777" w:rsidR="00336108" w:rsidRDefault="00336108" w:rsidP="00336108">
      <w:pPr>
        <w:ind w:left="720"/>
        <w:rPr>
          <w:i/>
        </w:rPr>
      </w:pPr>
      <w:r>
        <w:rPr>
          <w:i/>
        </w:rPr>
        <w:t>Rheumatoid arthritis</w:t>
      </w:r>
    </w:p>
    <w:p w14:paraId="3591445B" w14:textId="3E041222" w:rsidR="00336108" w:rsidRDefault="00336108" w:rsidP="00336108">
      <w:pPr>
        <w:ind w:left="720"/>
        <w:rPr>
          <w:i/>
        </w:rPr>
      </w:pPr>
      <w:proofErr w:type="spellStart"/>
      <w:r w:rsidRPr="00565B30">
        <w:rPr>
          <w:i/>
        </w:rPr>
        <w:t>Xeljanz</w:t>
      </w:r>
      <w:proofErr w:type="spellEnd"/>
      <w:r w:rsidRPr="00565B30">
        <w:rPr>
          <w:i/>
        </w:rPr>
        <w:t xml:space="preserve"> is indicated for the treatment of moderate to severe active rheumatoid arthritis in adults who have had an inadequate response or are intolerant to methotrexate. </w:t>
      </w:r>
      <w:proofErr w:type="spellStart"/>
      <w:r>
        <w:rPr>
          <w:i/>
        </w:rPr>
        <w:t>Xeljanz</w:t>
      </w:r>
      <w:proofErr w:type="spellEnd"/>
      <w:r w:rsidRPr="00565B30">
        <w:rPr>
          <w:i/>
        </w:rPr>
        <w:t xml:space="preserve"> can be used alone or in combination with </w:t>
      </w:r>
      <w:r w:rsidR="007F7A94">
        <w:rPr>
          <w:i/>
        </w:rPr>
        <w:t xml:space="preserve">conventional synthetic disease-modifying </w:t>
      </w:r>
      <w:proofErr w:type="spellStart"/>
      <w:r w:rsidR="007F7A94">
        <w:rPr>
          <w:i/>
        </w:rPr>
        <w:t>antirheumatic</w:t>
      </w:r>
      <w:proofErr w:type="spellEnd"/>
      <w:r w:rsidR="007F7A94">
        <w:rPr>
          <w:i/>
        </w:rPr>
        <w:t xml:space="preserve"> drugs (</w:t>
      </w:r>
      <w:r>
        <w:rPr>
          <w:i/>
        </w:rPr>
        <w:t>DMARDs</w:t>
      </w:r>
      <w:r w:rsidR="007F7A94">
        <w:rPr>
          <w:i/>
        </w:rPr>
        <w:t>)</w:t>
      </w:r>
      <w:r>
        <w:rPr>
          <w:i/>
        </w:rPr>
        <w:t>, including methotrexate.</w:t>
      </w:r>
    </w:p>
    <w:p w14:paraId="20F81D7F" w14:textId="77777777" w:rsidR="00336108" w:rsidRPr="00565B30" w:rsidRDefault="00336108" w:rsidP="00336108">
      <w:pPr>
        <w:ind w:left="720"/>
        <w:rPr>
          <w:i/>
        </w:rPr>
      </w:pPr>
      <w:r w:rsidRPr="00565B30">
        <w:rPr>
          <w:i/>
        </w:rPr>
        <w:t>Psoriati</w:t>
      </w:r>
      <w:r>
        <w:rPr>
          <w:i/>
        </w:rPr>
        <w:t>c a</w:t>
      </w:r>
      <w:r w:rsidRPr="00565B30">
        <w:rPr>
          <w:i/>
        </w:rPr>
        <w:t>rthritis</w:t>
      </w:r>
    </w:p>
    <w:p w14:paraId="6990491B" w14:textId="77777777" w:rsidR="00336108" w:rsidRDefault="00336108" w:rsidP="00336108">
      <w:pPr>
        <w:ind w:left="720"/>
        <w:rPr>
          <w:i/>
        </w:rPr>
      </w:pPr>
      <w:proofErr w:type="spellStart"/>
      <w:r w:rsidRPr="00565B30">
        <w:rPr>
          <w:i/>
        </w:rPr>
        <w:t>Xeljanz</w:t>
      </w:r>
      <w:proofErr w:type="spellEnd"/>
      <w:r w:rsidRPr="00565B30">
        <w:rPr>
          <w:i/>
        </w:rPr>
        <w:t xml:space="preserve"> in combination with conventional synthetic DMARDs is indicated for the treatment of active psoriatic arthritis in adult patients who have had an inadequate re</w:t>
      </w:r>
      <w:r>
        <w:rPr>
          <w:i/>
        </w:rPr>
        <w:t>sponse to a prior DMARD therapy</w:t>
      </w:r>
    </w:p>
    <w:p w14:paraId="5F5184F2" w14:textId="77777777" w:rsidR="00336108" w:rsidRDefault="00336108" w:rsidP="00336108">
      <w:pPr>
        <w:ind w:left="720"/>
        <w:rPr>
          <w:i/>
        </w:rPr>
      </w:pPr>
      <w:r>
        <w:rPr>
          <w:i/>
        </w:rPr>
        <w:t>Ulcerative colitis</w:t>
      </w:r>
    </w:p>
    <w:p w14:paraId="55662695" w14:textId="77777777" w:rsidR="00336108" w:rsidRPr="00336108" w:rsidRDefault="00336108" w:rsidP="00336108">
      <w:pPr>
        <w:ind w:left="720"/>
        <w:rPr>
          <w:i/>
        </w:rPr>
      </w:pPr>
      <w:proofErr w:type="spellStart"/>
      <w:r w:rsidRPr="002757A8">
        <w:rPr>
          <w:i/>
        </w:rPr>
        <w:t>Xeljanz</w:t>
      </w:r>
      <w:proofErr w:type="spellEnd"/>
      <w:r w:rsidRPr="002757A8">
        <w:rPr>
          <w:i/>
        </w:rPr>
        <w:t xml:space="preserve"> is indicated for the treatment of adult patients with moderately to severely active ulcerative colitis (UC) who have had an inadequate response, lost response, or were intolerant to either conventional therapy or a biological therapy</w:t>
      </w:r>
      <w:r>
        <w:rPr>
          <w:i/>
        </w:rPr>
        <w:t>.</w:t>
      </w:r>
    </w:p>
    <w:p w14:paraId="4AE306D5" w14:textId="77777777" w:rsidR="00D23139" w:rsidRPr="00D23139" w:rsidRDefault="00D23139" w:rsidP="00D23139">
      <w:pPr>
        <w:pStyle w:val="Heading4"/>
      </w:pPr>
      <w:r w:rsidRPr="00D23139">
        <w:lastRenderedPageBreak/>
        <w:t>Specific conditions of registration applying to these goods</w:t>
      </w:r>
    </w:p>
    <w:p w14:paraId="0289F804" w14:textId="77777777" w:rsidR="00456765" w:rsidRDefault="000F5A69" w:rsidP="001010EA">
      <w:pPr>
        <w:pStyle w:val="ListBullet"/>
      </w:pPr>
      <w:proofErr w:type="spellStart"/>
      <w:r>
        <w:t>Xeljanz</w:t>
      </w:r>
      <w:proofErr w:type="spellEnd"/>
      <w:r>
        <w:t xml:space="preserve"> (</w:t>
      </w:r>
      <w:proofErr w:type="spellStart"/>
      <w:r>
        <w:t>tofacitinib</w:t>
      </w:r>
      <w:proofErr w:type="spellEnd"/>
      <w:r>
        <w:t xml:space="preserve">) is </w:t>
      </w:r>
      <w:r w:rsidR="00847384">
        <w:t xml:space="preserve">to </w:t>
      </w:r>
      <w:r>
        <w:t xml:space="preserve">be included in the Black Triangle Scheme. The PI and CMI for </w:t>
      </w:r>
      <w:proofErr w:type="spellStart"/>
      <w:r>
        <w:t>Xeljanz</w:t>
      </w:r>
      <w:proofErr w:type="spellEnd"/>
      <w:r>
        <w:t xml:space="preserve"> must include the black triangle symbol and mandatory accompanying text for 5 years, which starts from the date the new indication is registered.</w:t>
      </w:r>
    </w:p>
    <w:p w14:paraId="39AF916F" w14:textId="4746ED13" w:rsidR="00AD6C46" w:rsidRDefault="000F5A69" w:rsidP="0064631E">
      <w:pPr>
        <w:pStyle w:val="ListBullet"/>
      </w:pPr>
      <w:r>
        <w:t xml:space="preserve">The </w:t>
      </w:r>
      <w:proofErr w:type="spellStart"/>
      <w:r>
        <w:t>Xeljanz</w:t>
      </w:r>
      <w:proofErr w:type="spellEnd"/>
      <w:r>
        <w:t xml:space="preserve"> EU-</w:t>
      </w:r>
      <w:r w:rsidR="002F2C3C">
        <w:t>RMP</w:t>
      </w:r>
      <w:r>
        <w:t xml:space="preserve"> (version 2.0, dated 20 June 2017, data lock point 16 December 2016), with </w:t>
      </w:r>
      <w:r w:rsidR="002F2C3C">
        <w:t>ASA</w:t>
      </w:r>
      <w:r>
        <w:t xml:space="preserve"> (version 1.0</w:t>
      </w:r>
      <w:r w:rsidR="00EA1B2A">
        <w:t>, dated 1 December 201</w:t>
      </w:r>
      <w:r w:rsidR="0025421D">
        <w:t>7), included with submission PM</w:t>
      </w:r>
      <w:r w:rsidR="0025421D">
        <w:noBreakHyphen/>
      </w:r>
      <w:r w:rsidR="00EA1B2A">
        <w:t>2017-04764-1-1, to be revised to the satisfaction of the TGA, will be implemented in Australia.</w:t>
      </w:r>
    </w:p>
    <w:p w14:paraId="4D1754D9" w14:textId="77777777" w:rsidR="008E7846" w:rsidRDefault="00A80B5B" w:rsidP="00D23139">
      <w:pPr>
        <w:pStyle w:val="Heading2"/>
      </w:pPr>
      <w:bookmarkStart w:id="247" w:name="_Toc20301918"/>
      <w:r>
        <w:t xml:space="preserve">Attachment 1. </w:t>
      </w:r>
      <w:r w:rsidR="008E7846">
        <w:t xml:space="preserve">Product </w:t>
      </w:r>
      <w:r w:rsidR="00AA0ED0">
        <w:t>I</w:t>
      </w:r>
      <w:r w:rsidR="008E7846">
        <w:t>nformation</w:t>
      </w:r>
      <w:bookmarkEnd w:id="245"/>
      <w:bookmarkEnd w:id="246"/>
      <w:bookmarkEnd w:id="247"/>
    </w:p>
    <w:p w14:paraId="131EDFAC" w14:textId="77777777" w:rsidR="00C80137" w:rsidRDefault="006136D7" w:rsidP="00C80137">
      <w:pPr>
        <w:rPr>
          <w:color w:val="000000"/>
          <w:lang w:eastAsia="en-AU"/>
        </w:rPr>
      </w:pPr>
      <w:r w:rsidRPr="002B3624">
        <w:t xml:space="preserve">The </w:t>
      </w:r>
      <w:r>
        <w:t>PI</w:t>
      </w:r>
      <w:r w:rsidRPr="002B3624">
        <w:t xml:space="preserve"> for </w:t>
      </w:r>
      <w:proofErr w:type="spellStart"/>
      <w:r w:rsidR="00EA1B2A">
        <w:t>Xeljanz</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8" w:history="1">
        <w:r w:rsidR="007C6B9B" w:rsidRPr="007C6B9B">
          <w:rPr>
            <w:rStyle w:val="Hyperlink"/>
          </w:rPr>
          <w:t>https://www.tga.gov.au/product-information-pi</w:t>
        </w:r>
      </w:hyperlink>
      <w:r w:rsidR="00EA1B2A">
        <w:t>&gt;.</w:t>
      </w:r>
    </w:p>
    <w:p w14:paraId="22778953" w14:textId="77777777" w:rsidR="00291957" w:rsidRDefault="00291957" w:rsidP="00291957">
      <w:pPr>
        <w:rPr>
          <w:lang w:eastAsia="ja-JP"/>
        </w:rPr>
      </w:pPr>
    </w:p>
    <w:p w14:paraId="5EDC05B3" w14:textId="77777777" w:rsidR="00C80137" w:rsidRPr="001D043B" w:rsidRDefault="00C80137" w:rsidP="003A7F6C">
      <w:pPr>
        <w:pStyle w:val="TableTitle"/>
        <w:sectPr w:rsidR="00C80137" w:rsidRPr="001D043B" w:rsidSect="00B452CE">
          <w:headerReference w:type="even" r:id="rId29"/>
          <w:headerReference w:type="default" r:id="rId30"/>
          <w:headerReference w:type="first" r:id="rId31"/>
          <w:footerReference w:type="first" r:id="rId3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3148DDE" w14:textId="77777777" w:rsidTr="00A05FA4">
        <w:trPr>
          <w:trHeight w:hRule="exact" w:val="704"/>
        </w:trPr>
        <w:tc>
          <w:tcPr>
            <w:tcW w:w="9175" w:type="dxa"/>
          </w:tcPr>
          <w:p w14:paraId="39D387FB" w14:textId="77777777" w:rsidR="001C32CD" w:rsidRPr="00487162" w:rsidRDefault="001C32CD" w:rsidP="00A05FA4">
            <w:pPr>
              <w:pStyle w:val="TGASignoff"/>
            </w:pPr>
            <w:r w:rsidRPr="00487162">
              <w:lastRenderedPageBreak/>
              <w:t>Therapeutic Goods Administration</w:t>
            </w:r>
          </w:p>
        </w:tc>
      </w:tr>
      <w:tr w:rsidR="001C32CD" w:rsidRPr="004C239D" w14:paraId="52DA4432" w14:textId="77777777" w:rsidTr="00A05FA4">
        <w:trPr>
          <w:trHeight w:val="1221"/>
        </w:trPr>
        <w:tc>
          <w:tcPr>
            <w:tcW w:w="9175" w:type="dxa"/>
            <w:tcMar>
              <w:top w:w="28" w:type="dxa"/>
            </w:tcMar>
          </w:tcPr>
          <w:p w14:paraId="46931D6B" w14:textId="77777777" w:rsidR="001C32CD" w:rsidRPr="00487162" w:rsidRDefault="001C32CD" w:rsidP="00A05FA4">
            <w:pPr>
              <w:pStyle w:val="Address"/>
            </w:pPr>
            <w:r w:rsidRPr="00487162">
              <w:t>PO Box 100 Woden ACT 2606 Australia</w:t>
            </w:r>
          </w:p>
          <w:p w14:paraId="14DC6C51" w14:textId="77777777" w:rsidR="001C32CD" w:rsidRPr="00487162" w:rsidRDefault="001C32CD" w:rsidP="00A05FA4">
            <w:pPr>
              <w:pStyle w:val="Address"/>
            </w:pPr>
            <w:r w:rsidRPr="00487162">
              <w:t xml:space="preserve">Email: </w:t>
            </w:r>
            <w:hyperlink r:id="rId33" w:history="1">
              <w:r w:rsidRPr="004C239D">
                <w:rPr>
                  <w:rStyle w:val="Hyperlink"/>
                </w:rPr>
                <w:t>info@tga.gov.au</w:t>
              </w:r>
            </w:hyperlink>
            <w:r w:rsidR="005F7896">
              <w:t xml:space="preserve"> </w:t>
            </w:r>
            <w:r w:rsidRPr="00487162">
              <w:t>Phone: 1800 020 653</w:t>
            </w:r>
            <w:r w:rsidR="005F7896">
              <w:t xml:space="preserve"> </w:t>
            </w:r>
            <w:r w:rsidRPr="00487162">
              <w:t>Fax: 02 6232 8605</w:t>
            </w:r>
          </w:p>
          <w:p w14:paraId="67340CC1" w14:textId="77777777" w:rsidR="001C32CD" w:rsidRPr="004C239D" w:rsidRDefault="009870DC" w:rsidP="00A05FA4">
            <w:pPr>
              <w:pStyle w:val="Address"/>
              <w:spacing w:line="260" w:lineRule="atLeast"/>
              <w:rPr>
                <w:b/>
                <w:color w:val="0000FF"/>
                <w:u w:val="single"/>
              </w:rPr>
            </w:pPr>
            <w:hyperlink r:id="rId34" w:history="1">
              <w:r w:rsidR="007C6B9B" w:rsidRPr="007C6B9B">
                <w:rPr>
                  <w:rStyle w:val="Hyperlink"/>
                  <w:b/>
                </w:rPr>
                <w:t>https://www.tga.gov.au</w:t>
              </w:r>
            </w:hyperlink>
          </w:p>
        </w:tc>
      </w:tr>
    </w:tbl>
    <w:p w14:paraId="1A770437" w14:textId="77777777" w:rsidR="00774E1D" w:rsidRPr="008A5E0B" w:rsidRDefault="00774E1D" w:rsidP="004C239D"/>
    <w:sectPr w:rsidR="00774E1D" w:rsidRPr="008A5E0B" w:rsidSect="001C32CD">
      <w:headerReference w:type="even" r:id="rId35"/>
      <w:headerReference w:type="default" r:id="rId36"/>
      <w:footerReference w:type="default" r:id="rId37"/>
      <w:headerReference w:type="first" r:id="rId38"/>
      <w:footerReference w:type="first" r:id="rId39"/>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DB7937" w16cid:durableId="20FBC6D6"/>
  <w16cid:commentId w16cid:paraId="396E9A43" w16cid:durableId="20FBE717"/>
  <w16cid:commentId w16cid:paraId="51211177" w16cid:durableId="20F87030"/>
  <w16cid:commentId w16cid:paraId="7CA7F29F" w16cid:durableId="20F87050"/>
  <w16cid:commentId w16cid:paraId="0AEAA238" w16cid:durableId="20F8707D"/>
  <w16cid:commentId w16cid:paraId="74E4DB2C" w16cid:durableId="20F8711B"/>
  <w16cid:commentId w16cid:paraId="2ADE7673" w16cid:durableId="20FBE775"/>
  <w16cid:commentId w16cid:paraId="02397011" w16cid:durableId="20F871C2"/>
  <w16cid:commentId w16cid:paraId="56DEA557" w16cid:durableId="20F871E0"/>
  <w16cid:commentId w16cid:paraId="36416BCA" w16cid:durableId="20F87203"/>
  <w16cid:commentId w16cid:paraId="402E095D" w16cid:durableId="20F87251"/>
  <w16cid:commentId w16cid:paraId="2A62DDAA" w16cid:durableId="20FBD02D"/>
  <w16cid:commentId w16cid:paraId="4E86BE23" w16cid:durableId="20FBD03A"/>
  <w16cid:commentId w16cid:paraId="0BE52522" w16cid:durableId="20F872AD"/>
  <w16cid:commentId w16cid:paraId="407D3789" w16cid:durableId="20F872F4"/>
  <w16cid:commentId w16cid:paraId="6553B843" w16cid:durableId="20F8738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6EBDE" w14:textId="77777777" w:rsidR="00DF6270" w:rsidRDefault="00DF6270" w:rsidP="00C40A36">
      <w:pPr>
        <w:spacing w:after="0"/>
      </w:pPr>
      <w:r>
        <w:separator/>
      </w:r>
    </w:p>
  </w:endnote>
  <w:endnote w:type="continuationSeparator" w:id="0">
    <w:p w14:paraId="45DC4D0C" w14:textId="77777777" w:rsidR="00DF6270" w:rsidRDefault="00DF627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Times New Roman"/>
    <w:panose1 w:val="00000000000000000000"/>
    <w:charset w:val="A1"/>
    <w:family w:val="auto"/>
    <w:notTrueType/>
    <w:pitch w:val="default"/>
    <w:sig w:usb0="00000081" w:usb1="00000000" w:usb2="00000000" w:usb3="00000000" w:csb0="00000008" w:csb1="00000000"/>
  </w:font>
  <w:font w:name="TimesNewRomanPS-ItalicMT">
    <w:panose1 w:val="00000000000000000000"/>
    <w:charset w:val="00"/>
    <w:family w:val="roman"/>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0" w:usb1="08070000" w:usb2="00000010" w:usb3="00000000" w:csb0="00020000" w:csb1="00000000"/>
  </w:font>
  <w:font w:name="TimesNewRoman,Italic">
    <w:altName w:val="MS Mincho"/>
    <w:panose1 w:val="00000000000000000000"/>
    <w:charset w:val="80"/>
    <w:family w:val="auto"/>
    <w:notTrueType/>
    <w:pitch w:val="default"/>
    <w:sig w:usb0="00000003" w:usb1="08070000" w:usb2="00000010" w:usb3="00000000" w:csb0="00020001" w:csb1="00000000"/>
  </w:font>
  <w:font w:name="Courier">
    <w:panose1 w:val="02070409020205020404"/>
    <w:charset w:val="00"/>
    <w:family w:val="modern"/>
    <w:notTrueType/>
    <w:pitch w:val="fixed"/>
    <w:sig w:usb0="00000003" w:usb1="00000000" w:usb2="00000000" w:usb3="00000000" w:csb0="00000001"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A3719" w14:textId="77777777" w:rsidR="00996341" w:rsidRDefault="009963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DF6270" w:rsidRPr="00487162" w14:paraId="269D05BB" w14:textId="77777777" w:rsidTr="00996341">
      <w:trPr>
        <w:trHeight w:val="269"/>
      </w:trPr>
      <w:tc>
        <w:tcPr>
          <w:tcW w:w="7797" w:type="dxa"/>
          <w:tcMar>
            <w:top w:w="142" w:type="dxa"/>
            <w:bottom w:w="0" w:type="dxa"/>
          </w:tcMar>
        </w:tcPr>
        <w:p w14:paraId="1F9FDA7E" w14:textId="5D95C51D" w:rsidR="00DF6270" w:rsidRPr="00487162" w:rsidRDefault="00DF6270" w:rsidP="00480BCB">
          <w:pPr>
            <w:pStyle w:val="Footer"/>
          </w:pPr>
          <w:r w:rsidRPr="00487162">
            <w:t>AusPA</w:t>
          </w:r>
          <w:r>
            <w:t xml:space="preserve">R - </w:t>
          </w:r>
          <w:proofErr w:type="spellStart"/>
          <w:r w:rsidRPr="00DE1377">
            <w:t>X</w:t>
          </w:r>
          <w:r>
            <w:t>eljanz</w:t>
          </w:r>
          <w:proofErr w:type="spellEnd"/>
          <w:r w:rsidRPr="00DE1377">
            <w:t xml:space="preserve"> - </w:t>
          </w:r>
          <w:proofErr w:type="spellStart"/>
          <w:r w:rsidRPr="00DE1377">
            <w:t>Tofacitinib</w:t>
          </w:r>
          <w:proofErr w:type="spellEnd"/>
          <w:r w:rsidRPr="00DE1377">
            <w:t xml:space="preserve"> - Pfizer Austr</w:t>
          </w:r>
          <w:r>
            <w:t>alia Pty Ltd - PM-2017-04764-1-1 – FINAL 10 September 2019</w:t>
          </w:r>
        </w:p>
      </w:tc>
      <w:tc>
        <w:tcPr>
          <w:tcW w:w="1064" w:type="dxa"/>
          <w:tcMar>
            <w:top w:w="142" w:type="dxa"/>
            <w:bottom w:w="0" w:type="dxa"/>
          </w:tcMar>
        </w:tcPr>
        <w:p w14:paraId="528DD7CF" w14:textId="033DDE35" w:rsidR="00DF6270" w:rsidRPr="00487162" w:rsidRDefault="00DF6270" w:rsidP="00DB750B">
          <w:pPr>
            <w:pStyle w:val="Footer"/>
            <w:jc w:val="right"/>
          </w:pPr>
          <w:r w:rsidRPr="00487162">
            <w:t xml:space="preserve">Page </w:t>
          </w:r>
          <w:r>
            <w:fldChar w:fldCharType="begin"/>
          </w:r>
          <w:r>
            <w:instrText xml:space="preserve"> PAGE  \* Arabic </w:instrText>
          </w:r>
          <w:r>
            <w:fldChar w:fldCharType="separate"/>
          </w:r>
          <w:r w:rsidR="009870DC">
            <w:rPr>
              <w:noProof/>
            </w:rPr>
            <w:t>3</w:t>
          </w:r>
          <w:r>
            <w:fldChar w:fldCharType="end"/>
          </w:r>
          <w:r w:rsidRPr="00487162">
            <w:t xml:space="preserve"> of </w:t>
          </w:r>
          <w:r w:rsidR="009870DC">
            <w:fldChar w:fldCharType="begin"/>
          </w:r>
          <w:r w:rsidR="009870DC">
            <w:instrText xml:space="preserve"> NUMPAGES  \* Arabic </w:instrText>
          </w:r>
          <w:r w:rsidR="009870DC">
            <w:fldChar w:fldCharType="separate"/>
          </w:r>
          <w:r w:rsidR="009870DC">
            <w:rPr>
              <w:noProof/>
            </w:rPr>
            <w:t>88</w:t>
          </w:r>
          <w:r w:rsidR="009870DC">
            <w:rPr>
              <w:noProof/>
            </w:rPr>
            <w:fldChar w:fldCharType="end"/>
          </w:r>
        </w:p>
      </w:tc>
    </w:tr>
  </w:tbl>
  <w:p w14:paraId="70F18F21" w14:textId="77777777" w:rsidR="00DF6270" w:rsidRDefault="00DF6270"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22176" w14:textId="77777777" w:rsidR="00996341" w:rsidRDefault="009963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F6270" w:rsidRPr="00487162" w14:paraId="6A74E137" w14:textId="77777777" w:rsidTr="00E45619">
      <w:trPr>
        <w:trHeight w:val="269"/>
      </w:trPr>
      <w:tc>
        <w:tcPr>
          <w:tcW w:w="4519" w:type="dxa"/>
          <w:tcBorders>
            <w:top w:val="single" w:sz="4" w:space="0" w:color="auto"/>
          </w:tcBorders>
          <w:tcMar>
            <w:top w:w="142" w:type="dxa"/>
            <w:bottom w:w="0" w:type="dxa"/>
          </w:tcMar>
        </w:tcPr>
        <w:p w14:paraId="07713197" w14:textId="77777777" w:rsidR="00DF6270" w:rsidRPr="00487162" w:rsidRDefault="00DF6270" w:rsidP="00FE1DEE">
          <w:pPr>
            <w:pStyle w:val="Footer"/>
          </w:pPr>
          <w:r w:rsidRPr="00487162">
            <w:t>Document title, Part #, Section # - Section title</w:t>
          </w:r>
        </w:p>
        <w:p w14:paraId="1C881545" w14:textId="77777777" w:rsidR="00DF6270" w:rsidRPr="00487162" w:rsidRDefault="00DF6270" w:rsidP="00FE1DEE">
          <w:pPr>
            <w:pStyle w:val="Footer"/>
          </w:pPr>
          <w:r w:rsidRPr="00487162">
            <w:t>V1.0 October 2010</w:t>
          </w:r>
        </w:p>
      </w:tc>
      <w:tc>
        <w:tcPr>
          <w:tcW w:w="4342" w:type="dxa"/>
          <w:tcBorders>
            <w:top w:val="single" w:sz="4" w:space="0" w:color="auto"/>
          </w:tcBorders>
          <w:tcMar>
            <w:top w:w="142" w:type="dxa"/>
            <w:bottom w:w="0" w:type="dxa"/>
          </w:tcMar>
        </w:tcPr>
        <w:p w14:paraId="2BA4C060" w14:textId="77777777" w:rsidR="00DF6270" w:rsidRPr="00487162" w:rsidRDefault="00DF627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9870DC">
            <w:fldChar w:fldCharType="begin"/>
          </w:r>
          <w:r w:rsidR="009870DC">
            <w:instrText xml:space="preserve"> NUMPAGES  </w:instrText>
          </w:r>
          <w:r w:rsidR="009870DC">
            <w:fldChar w:fldCharType="separate"/>
          </w:r>
          <w:r>
            <w:rPr>
              <w:noProof/>
            </w:rPr>
            <w:t>3</w:t>
          </w:r>
          <w:r w:rsidR="009870DC">
            <w:rPr>
              <w:noProof/>
            </w:rPr>
            <w:fldChar w:fldCharType="end"/>
          </w:r>
        </w:p>
      </w:tc>
    </w:tr>
  </w:tbl>
  <w:p w14:paraId="20F0D99E" w14:textId="77777777" w:rsidR="00DF6270" w:rsidRDefault="00DF62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C7AA4" w14:textId="77777777" w:rsidR="00DF6270" w:rsidRPr="001C32CD" w:rsidRDefault="00DF6270"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F6270" w14:paraId="7D475789" w14:textId="77777777" w:rsidTr="0010601F">
      <w:trPr>
        <w:trHeight w:val="108"/>
      </w:trPr>
      <w:tc>
        <w:tcPr>
          <w:tcW w:w="8875" w:type="dxa"/>
          <w:gridSpan w:val="2"/>
          <w:tcBorders>
            <w:bottom w:val="single" w:sz="4" w:space="0" w:color="auto"/>
          </w:tcBorders>
          <w:tcMar>
            <w:right w:w="284" w:type="dxa"/>
          </w:tcMar>
        </w:tcPr>
        <w:p w14:paraId="72306001" w14:textId="77777777" w:rsidR="00DF6270" w:rsidRDefault="00DF6270" w:rsidP="006E08B3">
          <w:pPr>
            <w:pStyle w:val="Heading3"/>
          </w:pPr>
          <w:r>
            <w:t>Copyright</w:t>
          </w:r>
        </w:p>
        <w:p w14:paraId="44E002AB" w14:textId="77777777" w:rsidR="00DF6270" w:rsidRDefault="00DF6270" w:rsidP="006E08B3">
          <w:r>
            <w:rPr>
              <w:rFonts w:cs="Arial"/>
            </w:rPr>
            <w:t>©</w:t>
          </w:r>
          <w:r>
            <w:t xml:space="preserve"> Commonwealth of Australia (add year)</w:t>
          </w:r>
        </w:p>
        <w:p w14:paraId="60D34125" w14:textId="77777777" w:rsidR="00DF6270" w:rsidRDefault="00DF6270" w:rsidP="006E08B3"/>
        <w:p w14:paraId="23771F48" w14:textId="77777777" w:rsidR="00DF6270" w:rsidRDefault="00DF627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BF7C3C8" w14:textId="77777777" w:rsidR="00DF6270" w:rsidRDefault="00DF6270" w:rsidP="006E08B3"/>
        <w:p w14:paraId="5B1E9317" w14:textId="77777777" w:rsidR="00DF6270" w:rsidRDefault="00DF6270" w:rsidP="006E08B3">
          <w:pPr>
            <w:pStyle w:val="Heading3"/>
          </w:pPr>
          <w:r>
            <w:t>Confidentiality</w:t>
          </w:r>
        </w:p>
        <w:p w14:paraId="3EFDC57A" w14:textId="77777777" w:rsidR="00DF6270" w:rsidRDefault="00DF627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88DB748" w14:textId="77777777" w:rsidR="00DF6270" w:rsidRDefault="00DF6270" w:rsidP="006E08B3"/>
        <w:p w14:paraId="5FBD1674" w14:textId="77777777" w:rsidR="00DF6270" w:rsidRDefault="00DF6270" w:rsidP="006E08B3">
          <w:r>
            <w:t>For submission made by individuals, all personal details, other than your name, will be removed from your submission before it is published on the TGA’s Internet site.</w:t>
          </w:r>
        </w:p>
        <w:p w14:paraId="74133D0D" w14:textId="77777777" w:rsidR="00DF6270" w:rsidRDefault="00DF6270" w:rsidP="006E08B3"/>
        <w:p w14:paraId="2119FE8E" w14:textId="77777777" w:rsidR="00DF6270" w:rsidRDefault="00DF627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F6270" w14:paraId="5DB7133D" w14:textId="77777777" w:rsidTr="0010601F">
      <w:trPr>
        <w:trHeight w:val="417"/>
      </w:trPr>
      <w:tc>
        <w:tcPr>
          <w:tcW w:w="4519" w:type="dxa"/>
          <w:tcBorders>
            <w:top w:val="single" w:sz="4" w:space="0" w:color="auto"/>
          </w:tcBorders>
          <w:tcMar>
            <w:top w:w="142" w:type="dxa"/>
            <w:bottom w:w="0" w:type="dxa"/>
          </w:tcMar>
        </w:tcPr>
        <w:p w14:paraId="34F62DB0" w14:textId="77777777" w:rsidR="00DF6270" w:rsidRDefault="00DF6270" w:rsidP="006E08B3">
          <w:r>
            <w:t>Document title, Part #, Section # - Section title</w:t>
          </w:r>
        </w:p>
        <w:p w14:paraId="634389C9" w14:textId="77777777" w:rsidR="00DF6270" w:rsidRDefault="00DF6270" w:rsidP="006E08B3">
          <w:r>
            <w:t>V1.0 October 2010</w:t>
          </w:r>
        </w:p>
      </w:tc>
      <w:tc>
        <w:tcPr>
          <w:tcW w:w="4356" w:type="dxa"/>
          <w:tcBorders>
            <w:top w:val="single" w:sz="4" w:space="0" w:color="auto"/>
          </w:tcBorders>
          <w:tcMar>
            <w:top w:w="142" w:type="dxa"/>
            <w:bottom w:w="0" w:type="dxa"/>
          </w:tcMar>
        </w:tcPr>
        <w:p w14:paraId="3109BD7C" w14:textId="77777777" w:rsidR="00DF6270" w:rsidRDefault="00DF627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9870DC">
            <w:fldChar w:fldCharType="begin"/>
          </w:r>
          <w:r w:rsidR="009870DC">
            <w:instrText xml:space="preserve"> NUMPAGES  \* Arabic </w:instrText>
          </w:r>
          <w:r w:rsidR="009870DC">
            <w:fldChar w:fldCharType="separate"/>
          </w:r>
          <w:r>
            <w:rPr>
              <w:noProof/>
            </w:rPr>
            <w:t>3</w:t>
          </w:r>
          <w:r w:rsidR="009870DC">
            <w:rPr>
              <w:noProof/>
            </w:rPr>
            <w:fldChar w:fldCharType="end"/>
          </w:r>
          <w:r>
            <w:t xml:space="preserve"> </w:t>
          </w:r>
        </w:p>
      </w:tc>
    </w:tr>
  </w:tbl>
  <w:p w14:paraId="5369F927" w14:textId="77777777" w:rsidR="00DF6270" w:rsidRDefault="00DF627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2222C" w14:textId="77777777" w:rsidR="00DF6270" w:rsidRDefault="00DF6270" w:rsidP="00C40A36">
      <w:pPr>
        <w:spacing w:after="0"/>
      </w:pPr>
      <w:r>
        <w:separator/>
      </w:r>
    </w:p>
  </w:footnote>
  <w:footnote w:type="continuationSeparator" w:id="0">
    <w:p w14:paraId="638DDB5A" w14:textId="77777777" w:rsidR="00DF6270" w:rsidRDefault="00DF6270" w:rsidP="00C40A36">
      <w:pPr>
        <w:spacing w:after="0"/>
      </w:pPr>
      <w:r>
        <w:continuationSeparator/>
      </w:r>
    </w:p>
  </w:footnote>
  <w:footnote w:id="1">
    <w:p w14:paraId="3EC68A97" w14:textId="77777777" w:rsidR="00DF6270" w:rsidRPr="00BE17B7" w:rsidRDefault="00DF6270" w:rsidP="00486A6C">
      <w:pPr>
        <w:pStyle w:val="FootnoteText"/>
        <w:rPr>
          <w:lang w:val="en-US"/>
        </w:rPr>
      </w:pPr>
      <w:r>
        <w:rPr>
          <w:rStyle w:val="FootnoteReference"/>
        </w:rPr>
        <w:footnoteRef/>
      </w:r>
      <w:r>
        <w:t xml:space="preserve"> Clinical Population PK Report </w:t>
      </w:r>
      <w:r w:rsidRPr="00646337">
        <w:t>PMAR-EQDD-A392i-sNDA-513</w:t>
      </w:r>
      <w:r>
        <w:t>; 19 Dec 2016</w:t>
      </w:r>
    </w:p>
  </w:footnote>
  <w:footnote w:id="2">
    <w:p w14:paraId="61BFAAEE" w14:textId="77777777" w:rsidR="00DF6270" w:rsidRDefault="00DF6270">
      <w:pPr>
        <w:pStyle w:val="FootnoteText"/>
      </w:pPr>
      <w:r>
        <w:rPr>
          <w:rStyle w:val="FootnoteReference"/>
        </w:rPr>
        <w:footnoteRef/>
      </w:r>
      <w:r>
        <w:t xml:space="preserve"> European Medicines Agency (EMA), </w:t>
      </w:r>
      <w:r w:rsidRPr="001916B6">
        <w:t>Committee for Medicinal Products for Human Use</w:t>
      </w:r>
      <w:r>
        <w:t xml:space="preserve"> (CHMP), 24 January 2008, </w:t>
      </w:r>
      <w:r w:rsidRPr="00144A15">
        <w:t xml:space="preserve">Guideline on the Development of New Medicinal Products for the </w:t>
      </w:r>
      <w:r>
        <w:t>Treatment of Ulcerative Colitis, CHMP/EWP/18463/2006.</w:t>
      </w:r>
    </w:p>
  </w:footnote>
  <w:footnote w:id="3">
    <w:p w14:paraId="110D51C4" w14:textId="77777777" w:rsidR="00DF6270" w:rsidRDefault="00DF6270">
      <w:pPr>
        <w:pStyle w:val="FootnoteText"/>
      </w:pPr>
      <w:r>
        <w:rPr>
          <w:rStyle w:val="FootnoteReference"/>
        </w:rPr>
        <w:footnoteRef/>
      </w:r>
      <w:r>
        <w:t xml:space="preserve"> European Medicines Agency (EMA), </w:t>
      </w:r>
      <w:r w:rsidRPr="00741BA1">
        <w:t>Committee for Medicinal Products for Human Use (CHMP)</w:t>
      </w:r>
      <w:r>
        <w:t xml:space="preserve">, </w:t>
      </w:r>
      <w:r w:rsidRPr="00741BA1">
        <w:t>Draft guideline on the development of new medicinal products for the treatment of Ulcerative Colitis</w:t>
      </w:r>
      <w:r>
        <w:t xml:space="preserve">, </w:t>
      </w:r>
      <w:r w:rsidRPr="00741BA1">
        <w:t>consultation end: 31 January 2017</w:t>
      </w:r>
      <w:r>
        <w:t>, CHMP/EWP/18463/2006 – Rev 1.</w:t>
      </w:r>
    </w:p>
  </w:footnote>
  <w:footnote w:id="4">
    <w:p w14:paraId="470695DC" w14:textId="77777777" w:rsidR="00DF6270" w:rsidRDefault="00DF6270">
      <w:pPr>
        <w:pStyle w:val="FootnoteText"/>
      </w:pPr>
      <w:r>
        <w:rPr>
          <w:rStyle w:val="FootnoteReference"/>
        </w:rPr>
        <w:footnoteRef/>
      </w:r>
      <w:r>
        <w:t xml:space="preserve"> The Mayo score assesses the severity of ulcerative colitis. It comprises four components, each with a score of 0 to 3; stool frequency, rectal bleeding, mucosal appearance at endoscopy and physician rating of disease activity. The higher the score (maximum 12 points) the more severe the ulcerative colitis.</w:t>
      </w:r>
    </w:p>
  </w:footnote>
  <w:footnote w:id="5">
    <w:p w14:paraId="62AFE19A" w14:textId="77777777" w:rsidR="00DF6270" w:rsidRPr="008C6732" w:rsidRDefault="00DF6270">
      <w:pPr>
        <w:pStyle w:val="FootnoteText"/>
        <w:rPr>
          <w:b/>
          <w:szCs w:val="18"/>
        </w:rPr>
      </w:pPr>
      <w:r>
        <w:rPr>
          <w:rStyle w:val="FootnoteReference"/>
        </w:rPr>
        <w:footnoteRef/>
      </w:r>
      <w:r>
        <w:t xml:space="preserve"> </w:t>
      </w:r>
      <w:r w:rsidRPr="008C6732">
        <w:rPr>
          <w:rFonts w:eastAsiaTheme="minorHAnsi" w:cs="Courier"/>
          <w:szCs w:val="18"/>
        </w:rPr>
        <w:t>ALT or AST &gt; =</w:t>
      </w:r>
      <w:r>
        <w:rPr>
          <w:rFonts w:eastAsiaTheme="minorHAnsi" w:cs="Courier"/>
          <w:szCs w:val="18"/>
        </w:rPr>
        <w:t xml:space="preserve"> </w:t>
      </w:r>
      <w:r w:rsidRPr="008C6732">
        <w:rPr>
          <w:rFonts w:eastAsiaTheme="minorHAnsi" w:cs="Courier"/>
          <w:szCs w:val="18"/>
        </w:rPr>
        <w:t xml:space="preserve">3 </w:t>
      </w:r>
      <w:r>
        <w:rPr>
          <w:rFonts w:eastAsiaTheme="minorHAnsi" w:cs="Courier"/>
          <w:szCs w:val="18"/>
        </w:rPr>
        <w:t>times ULN and t</w:t>
      </w:r>
      <w:r w:rsidRPr="008C6732">
        <w:rPr>
          <w:rFonts w:eastAsiaTheme="minorHAnsi" w:cs="Courier"/>
          <w:szCs w:val="18"/>
        </w:rPr>
        <w:t xml:space="preserve">otal </w:t>
      </w:r>
      <w:r>
        <w:rPr>
          <w:rFonts w:eastAsiaTheme="minorHAnsi" w:cs="Courier"/>
          <w:szCs w:val="18"/>
        </w:rPr>
        <w:t>bilirubin &gt; = 2 times ULN and ALP &lt; = 2 times</w:t>
      </w:r>
      <w:r w:rsidRPr="008C6732">
        <w:rPr>
          <w:rFonts w:eastAsiaTheme="minorHAnsi" w:cs="Courier"/>
          <w:szCs w:val="18"/>
        </w:rPr>
        <w:t xml:space="preserve"> ULN</w:t>
      </w:r>
    </w:p>
  </w:footnote>
  <w:footnote w:id="6">
    <w:p w14:paraId="106EB221" w14:textId="77777777" w:rsidR="00DF6270" w:rsidRDefault="00DF6270"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01B46606" w14:textId="77777777" w:rsidR="00DF6270" w:rsidRDefault="00DF6270" w:rsidP="00456765">
      <w:pPr>
        <w:pStyle w:val="FootnoteText"/>
      </w:pPr>
      <w:r w:rsidRPr="00F12492">
        <w:rPr>
          <w:i/>
        </w:rPr>
        <w:t>Routine pharmacovigilance</w:t>
      </w:r>
      <w:r>
        <w:t xml:space="preserve"> practices involve the following activities:</w:t>
      </w:r>
    </w:p>
    <w:p w14:paraId="00BA92FB" w14:textId="77777777" w:rsidR="00DF6270" w:rsidRDefault="00DF6270" w:rsidP="00BB24E0">
      <w:pPr>
        <w:pStyle w:val="FootnoteText"/>
        <w:numPr>
          <w:ilvl w:val="0"/>
          <w:numId w:val="6"/>
        </w:numPr>
      </w:pPr>
      <w:r>
        <w:t>All suspected adverse reactions that are reported to the personnel of the company are collected and collated in an accessible manner;</w:t>
      </w:r>
    </w:p>
    <w:p w14:paraId="10A54D67" w14:textId="77777777" w:rsidR="00DF6270" w:rsidRDefault="00DF6270" w:rsidP="00BB24E0">
      <w:pPr>
        <w:pStyle w:val="FootnoteText"/>
        <w:numPr>
          <w:ilvl w:val="0"/>
          <w:numId w:val="6"/>
        </w:numPr>
      </w:pPr>
      <w:r>
        <w:t>Reporting to regulatory authorities;</w:t>
      </w:r>
    </w:p>
    <w:p w14:paraId="309724F5" w14:textId="77777777" w:rsidR="00DF6270" w:rsidRDefault="00DF6270" w:rsidP="00BB24E0">
      <w:pPr>
        <w:pStyle w:val="FootnoteText"/>
        <w:numPr>
          <w:ilvl w:val="0"/>
          <w:numId w:val="6"/>
        </w:numPr>
      </w:pPr>
      <w:r>
        <w:t xml:space="preserve">Continuous monitoring of the safety profiles of approved products including signal detection and updating of </w:t>
      </w:r>
      <w:proofErr w:type="spellStart"/>
      <w:r>
        <w:t>labeling</w:t>
      </w:r>
      <w:proofErr w:type="spellEnd"/>
      <w:r>
        <w:t>;</w:t>
      </w:r>
    </w:p>
    <w:p w14:paraId="317188BA" w14:textId="77777777" w:rsidR="00DF6270" w:rsidRDefault="00DF6270" w:rsidP="00BB24E0">
      <w:pPr>
        <w:pStyle w:val="FootnoteText"/>
        <w:numPr>
          <w:ilvl w:val="0"/>
          <w:numId w:val="6"/>
        </w:numPr>
      </w:pPr>
      <w:r>
        <w:t>Submission of PSURs;</w:t>
      </w:r>
    </w:p>
    <w:p w14:paraId="6B971CB0" w14:textId="77777777" w:rsidR="00DF6270" w:rsidRPr="00F12492" w:rsidRDefault="00DF6270" w:rsidP="00BB24E0">
      <w:pPr>
        <w:pStyle w:val="FootnoteText"/>
        <w:numPr>
          <w:ilvl w:val="0"/>
          <w:numId w:val="6"/>
        </w:numPr>
        <w:rPr>
          <w:lang w:val="en-US"/>
        </w:rPr>
      </w:pPr>
      <w:r>
        <w:t>Meeting other local regulatory agency requirements.</w:t>
      </w:r>
    </w:p>
  </w:footnote>
  <w:footnote w:id="7">
    <w:p w14:paraId="1F3472F7" w14:textId="77777777" w:rsidR="00DF6270" w:rsidRDefault="00DF6270">
      <w:pPr>
        <w:pStyle w:val="FootnoteText"/>
      </w:pPr>
      <w:r>
        <w:rPr>
          <w:rStyle w:val="FootnoteReference"/>
        </w:rPr>
        <w:footnoteRef/>
      </w:r>
      <w:r>
        <w:t xml:space="preserve"> </w:t>
      </w:r>
      <w:r w:rsidRPr="00381881">
        <w:t>Xeljanz-h-c-4214-x-0005 European Public Assessment Report, Appendix</w:t>
      </w:r>
      <w:r>
        <w:t>.</w:t>
      </w:r>
    </w:p>
  </w:footnote>
  <w:footnote w:id="8">
    <w:p w14:paraId="3A2B3E47" w14:textId="77777777" w:rsidR="00DF6270" w:rsidRDefault="00DF6270" w:rsidP="00381881">
      <w:pPr>
        <w:pStyle w:val="FootnoteText"/>
      </w:pPr>
      <w:r>
        <w:rPr>
          <w:rStyle w:val="FootnoteReference"/>
        </w:rPr>
        <w:footnoteRef/>
      </w:r>
      <w:r>
        <w:t xml:space="preserve"> Devine, F. et al. (2018), Barriers to treatment: describing them from a different perspective. </w:t>
      </w:r>
      <w:r w:rsidRPr="00381881">
        <w:rPr>
          <w:i/>
        </w:rPr>
        <w:t>Patient Prefer Adherence</w:t>
      </w:r>
      <w:r>
        <w:t>, 2018; 12: 129-133.</w:t>
      </w:r>
    </w:p>
  </w:footnote>
  <w:footnote w:id="9">
    <w:p w14:paraId="28010DC0" w14:textId="77777777" w:rsidR="00DF6270" w:rsidRDefault="00DF6270" w:rsidP="00381881">
      <w:pPr>
        <w:pStyle w:val="FootnoteText"/>
      </w:pPr>
      <w:r>
        <w:rPr>
          <w:rStyle w:val="FootnoteReference"/>
        </w:rPr>
        <w:footnoteRef/>
      </w:r>
      <w:r>
        <w:t xml:space="preserve"> Neiman, A. B. et al. (2017), CDC Grand Rounds: Improving Medication Adherence for Chronic Disease Management - Innovations and Opportunities, </w:t>
      </w:r>
      <w:r w:rsidRPr="00381881">
        <w:rPr>
          <w:i/>
        </w:rPr>
        <w:t xml:space="preserve">MMWR </w:t>
      </w:r>
      <w:proofErr w:type="spellStart"/>
      <w:r w:rsidRPr="00381881">
        <w:rPr>
          <w:i/>
        </w:rPr>
        <w:t>Morb</w:t>
      </w:r>
      <w:proofErr w:type="spellEnd"/>
      <w:r w:rsidRPr="00381881">
        <w:rPr>
          <w:i/>
        </w:rPr>
        <w:t xml:space="preserve"> Mortal </w:t>
      </w:r>
      <w:proofErr w:type="spellStart"/>
      <w:r w:rsidRPr="00381881">
        <w:rPr>
          <w:i/>
        </w:rPr>
        <w:t>Wkly</w:t>
      </w:r>
      <w:proofErr w:type="spellEnd"/>
      <w:r w:rsidRPr="00381881">
        <w:rPr>
          <w:i/>
        </w:rPr>
        <w:t xml:space="preserve"> Rep</w:t>
      </w:r>
      <w:r>
        <w:t>, 2017; 66:1248-1251.</w:t>
      </w:r>
    </w:p>
  </w:footnote>
  <w:footnote w:id="10">
    <w:p w14:paraId="4B793E10" w14:textId="77777777" w:rsidR="00DF6270" w:rsidRDefault="00DF6270" w:rsidP="00381881">
      <w:pPr>
        <w:pStyle w:val="FootnoteText"/>
      </w:pPr>
      <w:r>
        <w:rPr>
          <w:rStyle w:val="FootnoteReference"/>
        </w:rPr>
        <w:footnoteRef/>
      </w:r>
      <w:r>
        <w:t xml:space="preserve"> </w:t>
      </w:r>
      <w:proofErr w:type="spellStart"/>
      <w:r>
        <w:t>Testa</w:t>
      </w:r>
      <w:proofErr w:type="spellEnd"/>
      <w:r>
        <w:t xml:space="preserve">, A. et al. (2017), Adherence in ulcerative colitis: an overview, </w:t>
      </w:r>
      <w:r w:rsidRPr="00381881">
        <w:rPr>
          <w:i/>
        </w:rPr>
        <w:t>Patient Prefer Adherence</w:t>
      </w:r>
      <w:r>
        <w:rPr>
          <w:i/>
        </w:rPr>
        <w:t>,</w:t>
      </w:r>
      <w:r>
        <w:t xml:space="preserve"> 2017; 11: 297-303.</w:t>
      </w:r>
    </w:p>
  </w:footnote>
  <w:footnote w:id="11">
    <w:p w14:paraId="054ED850" w14:textId="77777777" w:rsidR="00DF6270" w:rsidRDefault="00DF6270" w:rsidP="00F1270A">
      <w:pPr>
        <w:pStyle w:val="FootnoteText"/>
      </w:pPr>
      <w:r>
        <w:rPr>
          <w:rStyle w:val="FootnoteReference"/>
        </w:rPr>
        <w:footnoteRef/>
      </w:r>
      <w:r>
        <w:t xml:space="preserve"> </w:t>
      </w:r>
      <w:proofErr w:type="spellStart"/>
      <w:r>
        <w:t>Feagan</w:t>
      </w:r>
      <w:proofErr w:type="spellEnd"/>
      <w:r>
        <w:t xml:space="preserve">, B.G. et al. (2013), </w:t>
      </w:r>
      <w:proofErr w:type="spellStart"/>
      <w:r>
        <w:t>Vedolizumab</w:t>
      </w:r>
      <w:proofErr w:type="spellEnd"/>
      <w:r>
        <w:t xml:space="preserve"> as induction and maintenance therapy for ulcerative colitis. </w:t>
      </w:r>
      <w:r w:rsidRPr="00F1270A">
        <w:rPr>
          <w:i/>
        </w:rPr>
        <w:t xml:space="preserve">N </w:t>
      </w:r>
      <w:proofErr w:type="spellStart"/>
      <w:r w:rsidRPr="00F1270A">
        <w:rPr>
          <w:i/>
        </w:rPr>
        <w:t>Engl</w:t>
      </w:r>
      <w:proofErr w:type="spellEnd"/>
      <w:r w:rsidRPr="00F1270A">
        <w:rPr>
          <w:i/>
        </w:rPr>
        <w:t xml:space="preserve"> J Med</w:t>
      </w:r>
      <w:r>
        <w:t>, 2013; 369: 699-710.</w:t>
      </w:r>
    </w:p>
  </w:footnote>
  <w:footnote w:id="12">
    <w:p w14:paraId="3CCD2923" w14:textId="77777777" w:rsidR="00DF6270" w:rsidRDefault="00DF6270">
      <w:pPr>
        <w:pStyle w:val="FootnoteText"/>
      </w:pPr>
      <w:r>
        <w:rPr>
          <w:rStyle w:val="FootnoteReference"/>
        </w:rPr>
        <w:footnoteRef/>
      </w:r>
      <w:r>
        <w:t xml:space="preserve"> </w:t>
      </w:r>
      <w:proofErr w:type="spellStart"/>
      <w:r w:rsidRPr="00F1270A">
        <w:t>V</w:t>
      </w:r>
      <w:r>
        <w:t>edolizumab</w:t>
      </w:r>
      <w:proofErr w:type="spellEnd"/>
      <w:r>
        <w:t xml:space="preserve"> FDA AC BD Figure 7-4, accessed from the FDA website 9 November 2018.</w:t>
      </w:r>
    </w:p>
  </w:footnote>
  <w:footnote w:id="13">
    <w:p w14:paraId="25B006C6" w14:textId="77777777" w:rsidR="00DF6270" w:rsidRDefault="00DF6270" w:rsidP="00F1270A">
      <w:pPr>
        <w:pStyle w:val="FootnoteText"/>
      </w:pPr>
      <w:r>
        <w:rPr>
          <w:rStyle w:val="FootnoteReference"/>
        </w:rPr>
        <w:footnoteRef/>
      </w:r>
      <w:r>
        <w:t xml:space="preserve"> </w:t>
      </w:r>
      <w:proofErr w:type="spellStart"/>
      <w:r>
        <w:t>Sandborn</w:t>
      </w:r>
      <w:proofErr w:type="spellEnd"/>
      <w:r>
        <w:t xml:space="preserve">, W.J. et al. (2012), </w:t>
      </w:r>
      <w:proofErr w:type="spellStart"/>
      <w:r>
        <w:t>Adalimumab</w:t>
      </w:r>
      <w:proofErr w:type="spellEnd"/>
      <w:r>
        <w:t xml:space="preserve"> induces and maintains clinical remission in patients with moderate to severe ulcerative colitis, </w:t>
      </w:r>
      <w:r w:rsidRPr="00F1270A">
        <w:rPr>
          <w:i/>
        </w:rPr>
        <w:t>Gastroenterology</w:t>
      </w:r>
      <w:r>
        <w:t>, 2012; 142: 257-265.</w:t>
      </w:r>
    </w:p>
  </w:footnote>
  <w:footnote w:id="14">
    <w:p w14:paraId="6D009259" w14:textId="77777777" w:rsidR="00DF6270" w:rsidRDefault="00DF6270">
      <w:pPr>
        <w:pStyle w:val="FootnoteText"/>
      </w:pPr>
      <w:r>
        <w:rPr>
          <w:rStyle w:val="FootnoteReference"/>
        </w:rPr>
        <w:footnoteRef/>
      </w:r>
      <w:r>
        <w:t xml:space="preserve"> </w:t>
      </w:r>
      <w:proofErr w:type="spellStart"/>
      <w:r w:rsidRPr="00F1270A">
        <w:t>Adalimumab</w:t>
      </w:r>
      <w:proofErr w:type="spellEnd"/>
      <w:r w:rsidRPr="00F1270A">
        <w:t xml:space="preserve"> FDA BLA Appendix 4; Appendix 5</w:t>
      </w:r>
      <w:r>
        <w:t>, accessed from the FDA website 9 November 2018.</w:t>
      </w:r>
    </w:p>
  </w:footnote>
  <w:footnote w:id="15">
    <w:p w14:paraId="49FB57EB" w14:textId="77777777" w:rsidR="00DF6270" w:rsidRDefault="00DF6270">
      <w:pPr>
        <w:pStyle w:val="FootnoteText"/>
      </w:pPr>
      <w:r>
        <w:rPr>
          <w:rStyle w:val="FootnoteReference"/>
        </w:rPr>
        <w:footnoteRef/>
      </w:r>
      <w:r>
        <w:t xml:space="preserve"> </w:t>
      </w:r>
      <w:proofErr w:type="spellStart"/>
      <w:r w:rsidRPr="00F1270A">
        <w:t>V</w:t>
      </w:r>
      <w:r>
        <w:t>edolizumab</w:t>
      </w:r>
      <w:proofErr w:type="spellEnd"/>
      <w:r>
        <w:t xml:space="preserve"> FDA AC BD Figure 7-7, accessed from the FDA website 9 November 2018.</w:t>
      </w:r>
    </w:p>
  </w:footnote>
  <w:footnote w:id="16">
    <w:p w14:paraId="4A68A850" w14:textId="77777777" w:rsidR="00DF6270" w:rsidRDefault="00DF6270" w:rsidP="00F1270A">
      <w:pPr>
        <w:pStyle w:val="FootnoteText"/>
      </w:pPr>
      <w:r>
        <w:rPr>
          <w:rStyle w:val="FootnoteReference"/>
        </w:rPr>
        <w:footnoteRef/>
      </w:r>
      <w:r>
        <w:t xml:space="preserve"> </w:t>
      </w:r>
      <w:proofErr w:type="spellStart"/>
      <w:r>
        <w:t>Sandborn</w:t>
      </w:r>
      <w:proofErr w:type="spellEnd"/>
      <w:r>
        <w:t xml:space="preserve">, W.J et al. (2014), Subcutaneous </w:t>
      </w:r>
      <w:proofErr w:type="spellStart"/>
      <w:r>
        <w:t>golimumab</w:t>
      </w:r>
      <w:proofErr w:type="spellEnd"/>
      <w:r>
        <w:t xml:space="preserve"> maintains clinical response in patients with moderate-to-severe ulcerative colitis, </w:t>
      </w:r>
      <w:r w:rsidRPr="00F1270A">
        <w:rPr>
          <w:i/>
        </w:rPr>
        <w:t>Gastroenterology</w:t>
      </w:r>
      <w:r>
        <w:t>, 2014; 146: 96-109.</w:t>
      </w:r>
    </w:p>
  </w:footnote>
  <w:footnote w:id="17">
    <w:p w14:paraId="2C0DEC04" w14:textId="77777777" w:rsidR="00DF6270" w:rsidRDefault="00DF6270">
      <w:pPr>
        <w:pStyle w:val="FootnoteText"/>
      </w:pPr>
      <w:r>
        <w:rPr>
          <w:rStyle w:val="FootnoteReference"/>
        </w:rPr>
        <w:footnoteRef/>
      </w:r>
      <w:r>
        <w:t xml:space="preserve"> </w:t>
      </w:r>
      <w:proofErr w:type="spellStart"/>
      <w:r>
        <w:t>Adalimumab</w:t>
      </w:r>
      <w:proofErr w:type="spellEnd"/>
      <w:r>
        <w:t xml:space="preserve"> FDA BLA Appendix 5, accessed from the FDA website 9 November 2018.</w:t>
      </w:r>
    </w:p>
  </w:footnote>
  <w:footnote w:id="18">
    <w:p w14:paraId="2D241EF6" w14:textId="77777777" w:rsidR="00DF6270" w:rsidRDefault="00DF6270" w:rsidP="00F1270A">
      <w:pPr>
        <w:pStyle w:val="FootnoteText"/>
      </w:pPr>
      <w:r>
        <w:rPr>
          <w:rStyle w:val="FootnoteReference"/>
        </w:rPr>
        <w:footnoteRef/>
      </w:r>
      <w:r>
        <w:t xml:space="preserve"> </w:t>
      </w:r>
      <w:proofErr w:type="spellStart"/>
      <w:r>
        <w:t>Rutgeerts</w:t>
      </w:r>
      <w:proofErr w:type="spellEnd"/>
      <w:r>
        <w:t xml:space="preserve">, P. et al. (2005), Infliximab for induction and maintenance therapy for ulcerative colitis, </w:t>
      </w:r>
      <w:r w:rsidRPr="00F1270A">
        <w:rPr>
          <w:i/>
        </w:rPr>
        <w:t xml:space="preserve">N </w:t>
      </w:r>
      <w:proofErr w:type="spellStart"/>
      <w:r w:rsidRPr="00F1270A">
        <w:rPr>
          <w:i/>
        </w:rPr>
        <w:t>Engl</w:t>
      </w:r>
      <w:proofErr w:type="spellEnd"/>
      <w:r w:rsidRPr="00F1270A">
        <w:rPr>
          <w:i/>
        </w:rPr>
        <w:t xml:space="preserve"> J Med</w:t>
      </w:r>
      <w:r>
        <w:t>, 2005; 353: 2462-2476.</w:t>
      </w:r>
    </w:p>
  </w:footnote>
  <w:footnote w:id="19">
    <w:p w14:paraId="5DC47E1C" w14:textId="77777777" w:rsidR="00DF6270" w:rsidRDefault="00DF6270"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5626E198" w14:textId="77777777" w:rsidR="00DF6270" w:rsidRPr="00456765" w:rsidRDefault="00DF6270"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B36E4" w14:textId="77777777" w:rsidR="00996341" w:rsidRDefault="009963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E30DF" w14:textId="77777777" w:rsidR="00DF6270" w:rsidRDefault="00DF6270"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4CD80" w14:textId="77777777" w:rsidR="00DF6270" w:rsidRDefault="00DF6270">
    <w:pPr>
      <w:rPr>
        <w:noProof/>
        <w:lang w:eastAsia="en-AU"/>
      </w:rPr>
    </w:pPr>
    <w:r w:rsidRPr="00347824">
      <w:rPr>
        <w:noProof/>
        <w:lang w:eastAsia="en-AU"/>
      </w:rPr>
      <w:drawing>
        <wp:anchor distT="0" distB="0" distL="114300" distR="114300" simplePos="0" relativeHeight="251659264" behindDoc="1" locked="0" layoutInCell="1" allowOverlap="1" wp14:anchorId="6856FB24" wp14:editId="6BED91F5">
          <wp:simplePos x="0" y="0"/>
          <wp:positionH relativeFrom="column">
            <wp:posOffset>-1089660</wp:posOffset>
          </wp:positionH>
          <wp:positionV relativeFrom="paragraph">
            <wp:posOffset>-585470</wp:posOffset>
          </wp:positionV>
          <wp:extent cx="7572375" cy="10706100"/>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F5C9460" w14:textId="77777777" w:rsidR="00DF6270" w:rsidRDefault="00DF6270" w:rsidP="00593AD1">
    <w:pPr>
      <w:pStyle w:val="HeaderNoLine"/>
    </w:pPr>
    <w:r>
      <w:rPr>
        <w:noProof/>
        <w:lang w:eastAsia="en-AU"/>
      </w:rPr>
      <w:drawing>
        <wp:inline distT="0" distB="0" distL="0" distR="0" wp14:anchorId="140543D7" wp14:editId="29084EDF">
          <wp:extent cx="5400675" cy="7639050"/>
          <wp:effectExtent l="0" t="0" r="9525" b="0"/>
          <wp:docPr id="2" name="Picture 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96569" w14:textId="77777777" w:rsidR="00DF6270" w:rsidRDefault="00DF62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7751" w14:textId="77777777" w:rsidR="00DF6270" w:rsidRDefault="00DF6270">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85140" w14:textId="77777777" w:rsidR="00DF6270" w:rsidRDefault="00DF6270">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328C2" w14:textId="77777777" w:rsidR="00DF6270" w:rsidRDefault="00DF627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863C2" w14:textId="77777777" w:rsidR="00DF6270" w:rsidRDefault="00DF6270"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D3F8E" w14:textId="77777777" w:rsidR="00DF6270" w:rsidRDefault="00DF6270" w:rsidP="006E08B3">
    <w:r>
      <w:t>Therapeutic Goods Administration</w:t>
    </w:r>
  </w:p>
  <w:p w14:paraId="3D8C0DA4" w14:textId="77777777" w:rsidR="00DF6270" w:rsidRDefault="00DF6270"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B8A984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7770B3"/>
    <w:multiLevelType w:val="hybridMultilevel"/>
    <w:tmpl w:val="C20CF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842279"/>
    <w:multiLevelType w:val="hybridMultilevel"/>
    <w:tmpl w:val="7C9E2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4470903"/>
    <w:multiLevelType w:val="hybridMultilevel"/>
    <w:tmpl w:val="6F0C82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B44865"/>
    <w:multiLevelType w:val="hybridMultilevel"/>
    <w:tmpl w:val="77768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A728511A"/>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FA9440F"/>
    <w:multiLevelType w:val="hybridMultilevel"/>
    <w:tmpl w:val="79AC41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7A52BD"/>
    <w:multiLevelType w:val="multilevel"/>
    <w:tmpl w:val="5EE6F734"/>
    <w:lvl w:ilvl="0">
      <w:start w:val="12"/>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7F63EAC"/>
    <w:multiLevelType w:val="hybridMultilevel"/>
    <w:tmpl w:val="13562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66740A"/>
    <w:multiLevelType w:val="hybridMultilevel"/>
    <w:tmpl w:val="32A09876"/>
    <w:lvl w:ilvl="0" w:tplc="7CCAF100">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3AC02909"/>
    <w:multiLevelType w:val="hybridMultilevel"/>
    <w:tmpl w:val="DD1E68C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42765BF4"/>
    <w:multiLevelType w:val="hybridMultilevel"/>
    <w:tmpl w:val="D2406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A01DBF"/>
    <w:multiLevelType w:val="hybridMultilevel"/>
    <w:tmpl w:val="CC9AB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B47752"/>
    <w:multiLevelType w:val="multilevel"/>
    <w:tmpl w:val="D3FAAF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6" w15:restartNumberingAfterBreak="0">
    <w:nsid w:val="4F12276C"/>
    <w:multiLevelType w:val="hybridMultilevel"/>
    <w:tmpl w:val="81F662A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15:restartNumberingAfterBreak="0">
    <w:nsid w:val="4F746201"/>
    <w:multiLevelType w:val="hybridMultilevel"/>
    <w:tmpl w:val="1C9A8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483474"/>
    <w:multiLevelType w:val="hybridMultilevel"/>
    <w:tmpl w:val="A10E2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AB03AA"/>
    <w:multiLevelType w:val="hybridMultilevel"/>
    <w:tmpl w:val="6AE07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B56819"/>
    <w:multiLevelType w:val="multilevel"/>
    <w:tmpl w:val="001C9D3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C0A3EA2"/>
    <w:multiLevelType w:val="hybridMultilevel"/>
    <w:tmpl w:val="030652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76770E"/>
    <w:multiLevelType w:val="hybridMultilevel"/>
    <w:tmpl w:val="3DD20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996460"/>
    <w:multiLevelType w:val="hybridMultilevel"/>
    <w:tmpl w:val="F7006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B279E4"/>
    <w:multiLevelType w:val="hybridMultilevel"/>
    <w:tmpl w:val="409879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0B1B75"/>
    <w:multiLevelType w:val="multilevel"/>
    <w:tmpl w:val="D3FAAF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6" w15:restartNumberingAfterBreak="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242964"/>
    <w:multiLevelType w:val="hybridMultilevel"/>
    <w:tmpl w:val="6872511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38629C7"/>
    <w:multiLevelType w:val="hybridMultilevel"/>
    <w:tmpl w:val="DCA65C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40E0F2A"/>
    <w:multiLevelType w:val="hybridMultilevel"/>
    <w:tmpl w:val="D40EDA9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15:restartNumberingAfterBreak="0">
    <w:nsid w:val="75F57B2F"/>
    <w:multiLevelType w:val="hybridMultilevel"/>
    <w:tmpl w:val="FD2E6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7"/>
  </w:num>
  <w:num w:numId="4">
    <w:abstractNumId w:val="4"/>
  </w:num>
  <w:num w:numId="5">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31"/>
  </w:num>
  <w:num w:numId="7">
    <w:abstractNumId w:val="12"/>
  </w:num>
  <w:num w:numId="8">
    <w:abstractNumId w:val="11"/>
  </w:num>
  <w:num w:numId="9">
    <w:abstractNumId w:val="25"/>
  </w:num>
  <w:num w:numId="10">
    <w:abstractNumId w:val="14"/>
  </w:num>
  <w:num w:numId="11">
    <w:abstractNumId w:val="18"/>
  </w:num>
  <w:num w:numId="12">
    <w:abstractNumId w:val="26"/>
  </w:num>
  <w:num w:numId="13">
    <w:abstractNumId w:val="8"/>
  </w:num>
  <w:num w:numId="14">
    <w:abstractNumId w:val="15"/>
  </w:num>
  <w:num w:numId="15">
    <w:abstractNumId w:val="5"/>
  </w:num>
  <w:num w:numId="16">
    <w:abstractNumId w:val="1"/>
  </w:num>
  <w:num w:numId="17">
    <w:abstractNumId w:val="24"/>
  </w:num>
  <w:num w:numId="18">
    <w:abstractNumId w:val="23"/>
  </w:num>
  <w:num w:numId="19">
    <w:abstractNumId w:val="17"/>
  </w:num>
  <w:num w:numId="20">
    <w:abstractNumId w:val="28"/>
  </w:num>
  <w:num w:numId="21">
    <w:abstractNumId w:val="3"/>
  </w:num>
  <w:num w:numId="22">
    <w:abstractNumId w:val="9"/>
  </w:num>
  <w:num w:numId="23">
    <w:abstractNumId w:val="21"/>
  </w:num>
  <w:num w:numId="24">
    <w:abstractNumId w:val="29"/>
  </w:num>
  <w:num w:numId="25">
    <w:abstractNumId w:val="20"/>
  </w:num>
  <w:num w:numId="26">
    <w:abstractNumId w:val="16"/>
  </w:num>
  <w:num w:numId="27">
    <w:abstractNumId w:val="19"/>
  </w:num>
  <w:num w:numId="28">
    <w:abstractNumId w:val="22"/>
  </w:num>
  <w:num w:numId="29">
    <w:abstractNumId w:val="6"/>
  </w:num>
  <w:num w:numId="30">
    <w:abstractNumId w:val="13"/>
  </w:num>
  <w:num w:numId="31">
    <w:abstractNumId w:val="2"/>
  </w:num>
  <w:num w:numId="32">
    <w:abstractNumId w:val="30"/>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0"/>
  </w:num>
  <w:num w:numId="39">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92C"/>
    <w:rsid w:val="00002031"/>
    <w:rsid w:val="00004734"/>
    <w:rsid w:val="00006B22"/>
    <w:rsid w:val="0001051B"/>
    <w:rsid w:val="0001276A"/>
    <w:rsid w:val="00015541"/>
    <w:rsid w:val="000246AE"/>
    <w:rsid w:val="00025C67"/>
    <w:rsid w:val="00033E9C"/>
    <w:rsid w:val="00043029"/>
    <w:rsid w:val="00044772"/>
    <w:rsid w:val="0004541C"/>
    <w:rsid w:val="00054D61"/>
    <w:rsid w:val="00054F57"/>
    <w:rsid w:val="0005559E"/>
    <w:rsid w:val="000604D6"/>
    <w:rsid w:val="000651F9"/>
    <w:rsid w:val="0007292C"/>
    <w:rsid w:val="000734D8"/>
    <w:rsid w:val="00074E27"/>
    <w:rsid w:val="00077775"/>
    <w:rsid w:val="00077E65"/>
    <w:rsid w:val="00090204"/>
    <w:rsid w:val="00090471"/>
    <w:rsid w:val="00091294"/>
    <w:rsid w:val="00096AA7"/>
    <w:rsid w:val="000A3AED"/>
    <w:rsid w:val="000B3532"/>
    <w:rsid w:val="000B3A75"/>
    <w:rsid w:val="000B78D8"/>
    <w:rsid w:val="000C00C2"/>
    <w:rsid w:val="000C690F"/>
    <w:rsid w:val="000D0442"/>
    <w:rsid w:val="000D1295"/>
    <w:rsid w:val="000D2426"/>
    <w:rsid w:val="000D391B"/>
    <w:rsid w:val="000D3D6D"/>
    <w:rsid w:val="000D4FC7"/>
    <w:rsid w:val="000E2BE6"/>
    <w:rsid w:val="000E50AD"/>
    <w:rsid w:val="000E6196"/>
    <w:rsid w:val="000E621E"/>
    <w:rsid w:val="000F4869"/>
    <w:rsid w:val="000F5A69"/>
    <w:rsid w:val="000F5B42"/>
    <w:rsid w:val="000F6E6F"/>
    <w:rsid w:val="001010EA"/>
    <w:rsid w:val="0010601F"/>
    <w:rsid w:val="0010788A"/>
    <w:rsid w:val="00107A31"/>
    <w:rsid w:val="00110EA5"/>
    <w:rsid w:val="001120D9"/>
    <w:rsid w:val="00112F56"/>
    <w:rsid w:val="00124ACD"/>
    <w:rsid w:val="00125318"/>
    <w:rsid w:val="001305A2"/>
    <w:rsid w:val="00133238"/>
    <w:rsid w:val="00133A1B"/>
    <w:rsid w:val="0014197B"/>
    <w:rsid w:val="001447CD"/>
    <w:rsid w:val="001516B1"/>
    <w:rsid w:val="00154EBB"/>
    <w:rsid w:val="00156316"/>
    <w:rsid w:val="00161181"/>
    <w:rsid w:val="00162D14"/>
    <w:rsid w:val="00163780"/>
    <w:rsid w:val="00165389"/>
    <w:rsid w:val="0017693F"/>
    <w:rsid w:val="0018110E"/>
    <w:rsid w:val="00181684"/>
    <w:rsid w:val="001843C6"/>
    <w:rsid w:val="0018499F"/>
    <w:rsid w:val="00184E86"/>
    <w:rsid w:val="001850E0"/>
    <w:rsid w:val="001916B6"/>
    <w:rsid w:val="0019299D"/>
    <w:rsid w:val="001A03AF"/>
    <w:rsid w:val="001A2158"/>
    <w:rsid w:val="001A525F"/>
    <w:rsid w:val="001A534F"/>
    <w:rsid w:val="001A5B43"/>
    <w:rsid w:val="001B09F9"/>
    <w:rsid w:val="001B5C90"/>
    <w:rsid w:val="001B6448"/>
    <w:rsid w:val="001C32CD"/>
    <w:rsid w:val="001D2984"/>
    <w:rsid w:val="001E07CF"/>
    <w:rsid w:val="001E59F1"/>
    <w:rsid w:val="001F2CEE"/>
    <w:rsid w:val="001F49EB"/>
    <w:rsid w:val="001F6CBA"/>
    <w:rsid w:val="00201D4E"/>
    <w:rsid w:val="002076C9"/>
    <w:rsid w:val="00220B8A"/>
    <w:rsid w:val="00223C03"/>
    <w:rsid w:val="00225681"/>
    <w:rsid w:val="002257F3"/>
    <w:rsid w:val="00226D03"/>
    <w:rsid w:val="00233456"/>
    <w:rsid w:val="002339A5"/>
    <w:rsid w:val="0024469A"/>
    <w:rsid w:val="0025421D"/>
    <w:rsid w:val="00257848"/>
    <w:rsid w:val="0027084A"/>
    <w:rsid w:val="002752C6"/>
    <w:rsid w:val="002757A8"/>
    <w:rsid w:val="00280265"/>
    <w:rsid w:val="00285A20"/>
    <w:rsid w:val="00286434"/>
    <w:rsid w:val="00286C59"/>
    <w:rsid w:val="00291957"/>
    <w:rsid w:val="002942D1"/>
    <w:rsid w:val="0029501A"/>
    <w:rsid w:val="0029633C"/>
    <w:rsid w:val="00296F38"/>
    <w:rsid w:val="002A3721"/>
    <w:rsid w:val="002B1638"/>
    <w:rsid w:val="002B3624"/>
    <w:rsid w:val="002C5EA8"/>
    <w:rsid w:val="002D0952"/>
    <w:rsid w:val="002E3754"/>
    <w:rsid w:val="002E40B3"/>
    <w:rsid w:val="002E4C9A"/>
    <w:rsid w:val="002F11F8"/>
    <w:rsid w:val="002F2C3C"/>
    <w:rsid w:val="002F3F56"/>
    <w:rsid w:val="002F44B5"/>
    <w:rsid w:val="002F5122"/>
    <w:rsid w:val="002F6B9B"/>
    <w:rsid w:val="00311AC0"/>
    <w:rsid w:val="003176A8"/>
    <w:rsid w:val="003176FC"/>
    <w:rsid w:val="0032583B"/>
    <w:rsid w:val="00327883"/>
    <w:rsid w:val="00330821"/>
    <w:rsid w:val="00333D15"/>
    <w:rsid w:val="003343FF"/>
    <w:rsid w:val="00334720"/>
    <w:rsid w:val="00335504"/>
    <w:rsid w:val="00336108"/>
    <w:rsid w:val="00340C18"/>
    <w:rsid w:val="00343EBF"/>
    <w:rsid w:val="003442FD"/>
    <w:rsid w:val="00347824"/>
    <w:rsid w:val="00350567"/>
    <w:rsid w:val="003521E8"/>
    <w:rsid w:val="00357ED5"/>
    <w:rsid w:val="003611EE"/>
    <w:rsid w:val="00370CE3"/>
    <w:rsid w:val="003728F3"/>
    <w:rsid w:val="003735BC"/>
    <w:rsid w:val="0037496E"/>
    <w:rsid w:val="003771B1"/>
    <w:rsid w:val="00381881"/>
    <w:rsid w:val="00383221"/>
    <w:rsid w:val="003857E3"/>
    <w:rsid w:val="00386150"/>
    <w:rsid w:val="003874CE"/>
    <w:rsid w:val="00390900"/>
    <w:rsid w:val="003A7F6C"/>
    <w:rsid w:val="003B27DF"/>
    <w:rsid w:val="003B4D60"/>
    <w:rsid w:val="003B7E39"/>
    <w:rsid w:val="003C0C76"/>
    <w:rsid w:val="003C58DC"/>
    <w:rsid w:val="003D1E62"/>
    <w:rsid w:val="003D66D8"/>
    <w:rsid w:val="003E0B99"/>
    <w:rsid w:val="003E2486"/>
    <w:rsid w:val="003E3208"/>
    <w:rsid w:val="003F0B04"/>
    <w:rsid w:val="003F0C94"/>
    <w:rsid w:val="003F1EF8"/>
    <w:rsid w:val="0040134E"/>
    <w:rsid w:val="00404101"/>
    <w:rsid w:val="00412140"/>
    <w:rsid w:val="00416AC1"/>
    <w:rsid w:val="00424472"/>
    <w:rsid w:val="004334C7"/>
    <w:rsid w:val="004337C3"/>
    <w:rsid w:val="00440A2D"/>
    <w:rsid w:val="00441C3F"/>
    <w:rsid w:val="00446214"/>
    <w:rsid w:val="0045186A"/>
    <w:rsid w:val="004564A7"/>
    <w:rsid w:val="00456765"/>
    <w:rsid w:val="00457FB2"/>
    <w:rsid w:val="004617BF"/>
    <w:rsid w:val="00463658"/>
    <w:rsid w:val="004637A0"/>
    <w:rsid w:val="00467648"/>
    <w:rsid w:val="004722CC"/>
    <w:rsid w:val="00480BCB"/>
    <w:rsid w:val="00486A6C"/>
    <w:rsid w:val="00490F35"/>
    <w:rsid w:val="004936E4"/>
    <w:rsid w:val="00494E60"/>
    <w:rsid w:val="00497487"/>
    <w:rsid w:val="004A0EDE"/>
    <w:rsid w:val="004A24E0"/>
    <w:rsid w:val="004A45D2"/>
    <w:rsid w:val="004A6189"/>
    <w:rsid w:val="004A7390"/>
    <w:rsid w:val="004B2567"/>
    <w:rsid w:val="004B7B76"/>
    <w:rsid w:val="004C239D"/>
    <w:rsid w:val="004C2DCA"/>
    <w:rsid w:val="004C61D2"/>
    <w:rsid w:val="004D03E1"/>
    <w:rsid w:val="004D55EB"/>
    <w:rsid w:val="004E24BB"/>
    <w:rsid w:val="004E5B1B"/>
    <w:rsid w:val="004F095D"/>
    <w:rsid w:val="004F0C4A"/>
    <w:rsid w:val="004F0F38"/>
    <w:rsid w:val="004F28B8"/>
    <w:rsid w:val="004F47D6"/>
    <w:rsid w:val="00500337"/>
    <w:rsid w:val="00501921"/>
    <w:rsid w:val="00505CA3"/>
    <w:rsid w:val="00507AD6"/>
    <w:rsid w:val="00523058"/>
    <w:rsid w:val="00525F92"/>
    <w:rsid w:val="00530354"/>
    <w:rsid w:val="0053625B"/>
    <w:rsid w:val="00541597"/>
    <w:rsid w:val="005434C6"/>
    <w:rsid w:val="00543B39"/>
    <w:rsid w:val="00546154"/>
    <w:rsid w:val="00550096"/>
    <w:rsid w:val="00553680"/>
    <w:rsid w:val="00555280"/>
    <w:rsid w:val="00557FF9"/>
    <w:rsid w:val="00561A2B"/>
    <w:rsid w:val="0056204C"/>
    <w:rsid w:val="00562327"/>
    <w:rsid w:val="00565B30"/>
    <w:rsid w:val="005711D5"/>
    <w:rsid w:val="005742E4"/>
    <w:rsid w:val="00576378"/>
    <w:rsid w:val="00577130"/>
    <w:rsid w:val="00577945"/>
    <w:rsid w:val="00577E38"/>
    <w:rsid w:val="00585322"/>
    <w:rsid w:val="005857C6"/>
    <w:rsid w:val="005858C8"/>
    <w:rsid w:val="00592F6E"/>
    <w:rsid w:val="00593AD1"/>
    <w:rsid w:val="005A68B6"/>
    <w:rsid w:val="005A7777"/>
    <w:rsid w:val="005C5570"/>
    <w:rsid w:val="005C6BD4"/>
    <w:rsid w:val="005C79A4"/>
    <w:rsid w:val="005D1B60"/>
    <w:rsid w:val="005D22FA"/>
    <w:rsid w:val="005D5442"/>
    <w:rsid w:val="005F4107"/>
    <w:rsid w:val="005F7896"/>
    <w:rsid w:val="0060148F"/>
    <w:rsid w:val="00603F32"/>
    <w:rsid w:val="00605AD4"/>
    <w:rsid w:val="006136D7"/>
    <w:rsid w:val="00614D9F"/>
    <w:rsid w:val="00625A6E"/>
    <w:rsid w:val="00632398"/>
    <w:rsid w:val="00635508"/>
    <w:rsid w:val="00640FC3"/>
    <w:rsid w:val="00642020"/>
    <w:rsid w:val="0064631E"/>
    <w:rsid w:val="0065337B"/>
    <w:rsid w:val="0065419D"/>
    <w:rsid w:val="006603BC"/>
    <w:rsid w:val="006604D8"/>
    <w:rsid w:val="00664A5B"/>
    <w:rsid w:val="0066735C"/>
    <w:rsid w:val="00670068"/>
    <w:rsid w:val="00670863"/>
    <w:rsid w:val="00675B21"/>
    <w:rsid w:val="006763D2"/>
    <w:rsid w:val="00680C08"/>
    <w:rsid w:val="006916A0"/>
    <w:rsid w:val="0069229E"/>
    <w:rsid w:val="006931B1"/>
    <w:rsid w:val="006A15C0"/>
    <w:rsid w:val="006A3836"/>
    <w:rsid w:val="006A58A8"/>
    <w:rsid w:val="006A5C5A"/>
    <w:rsid w:val="006C148C"/>
    <w:rsid w:val="006C3E2A"/>
    <w:rsid w:val="006C642F"/>
    <w:rsid w:val="006D03E5"/>
    <w:rsid w:val="006D245D"/>
    <w:rsid w:val="006D5D3E"/>
    <w:rsid w:val="006D68C7"/>
    <w:rsid w:val="006E08B3"/>
    <w:rsid w:val="006E3A34"/>
    <w:rsid w:val="006F17AC"/>
    <w:rsid w:val="006F25B8"/>
    <w:rsid w:val="006F572E"/>
    <w:rsid w:val="007046D6"/>
    <w:rsid w:val="00704FE3"/>
    <w:rsid w:val="00705DB0"/>
    <w:rsid w:val="00710870"/>
    <w:rsid w:val="00722B57"/>
    <w:rsid w:val="00730F8A"/>
    <w:rsid w:val="007349AD"/>
    <w:rsid w:val="00735A8C"/>
    <w:rsid w:val="00741BA1"/>
    <w:rsid w:val="0074253D"/>
    <w:rsid w:val="0074429B"/>
    <w:rsid w:val="00751C6F"/>
    <w:rsid w:val="007532F2"/>
    <w:rsid w:val="007615BC"/>
    <w:rsid w:val="00762F05"/>
    <w:rsid w:val="007652FF"/>
    <w:rsid w:val="00766A79"/>
    <w:rsid w:val="00770CAC"/>
    <w:rsid w:val="00770EF1"/>
    <w:rsid w:val="00773EF7"/>
    <w:rsid w:val="00774E1D"/>
    <w:rsid w:val="007757F1"/>
    <w:rsid w:val="007765D8"/>
    <w:rsid w:val="0077675A"/>
    <w:rsid w:val="00780355"/>
    <w:rsid w:val="007819FD"/>
    <w:rsid w:val="00785717"/>
    <w:rsid w:val="00785721"/>
    <w:rsid w:val="0079259F"/>
    <w:rsid w:val="00792AA1"/>
    <w:rsid w:val="00793A59"/>
    <w:rsid w:val="007A2D79"/>
    <w:rsid w:val="007A46F5"/>
    <w:rsid w:val="007A6505"/>
    <w:rsid w:val="007B6132"/>
    <w:rsid w:val="007B6E9F"/>
    <w:rsid w:val="007C1216"/>
    <w:rsid w:val="007C1AF7"/>
    <w:rsid w:val="007C6B9B"/>
    <w:rsid w:val="007D44D0"/>
    <w:rsid w:val="007F7A94"/>
    <w:rsid w:val="00805D27"/>
    <w:rsid w:val="00806DCB"/>
    <w:rsid w:val="00812C35"/>
    <w:rsid w:val="00821776"/>
    <w:rsid w:val="00824977"/>
    <w:rsid w:val="008274D8"/>
    <w:rsid w:val="008321F5"/>
    <w:rsid w:val="00832369"/>
    <w:rsid w:val="00834660"/>
    <w:rsid w:val="0083578A"/>
    <w:rsid w:val="00836BC2"/>
    <w:rsid w:val="00844FB0"/>
    <w:rsid w:val="00847384"/>
    <w:rsid w:val="0085156D"/>
    <w:rsid w:val="00852B28"/>
    <w:rsid w:val="00855238"/>
    <w:rsid w:val="0085641B"/>
    <w:rsid w:val="00857136"/>
    <w:rsid w:val="00864C03"/>
    <w:rsid w:val="00875A6B"/>
    <w:rsid w:val="0088335E"/>
    <w:rsid w:val="00885B11"/>
    <w:rsid w:val="00886D15"/>
    <w:rsid w:val="00887DD8"/>
    <w:rsid w:val="00891BA9"/>
    <w:rsid w:val="00896018"/>
    <w:rsid w:val="008960DD"/>
    <w:rsid w:val="0089635C"/>
    <w:rsid w:val="008A2B9D"/>
    <w:rsid w:val="008A3D9F"/>
    <w:rsid w:val="008A5E0B"/>
    <w:rsid w:val="008A6D59"/>
    <w:rsid w:val="008B3D2E"/>
    <w:rsid w:val="008B4B03"/>
    <w:rsid w:val="008B596F"/>
    <w:rsid w:val="008C0200"/>
    <w:rsid w:val="008C159F"/>
    <w:rsid w:val="008C1623"/>
    <w:rsid w:val="008C1850"/>
    <w:rsid w:val="008C51A9"/>
    <w:rsid w:val="008C6732"/>
    <w:rsid w:val="008E7846"/>
    <w:rsid w:val="008F02E5"/>
    <w:rsid w:val="008F1CCC"/>
    <w:rsid w:val="008F2967"/>
    <w:rsid w:val="008F6943"/>
    <w:rsid w:val="00902A21"/>
    <w:rsid w:val="0091523F"/>
    <w:rsid w:val="00915958"/>
    <w:rsid w:val="00920330"/>
    <w:rsid w:val="009219D7"/>
    <w:rsid w:val="00922D53"/>
    <w:rsid w:val="00923B70"/>
    <w:rsid w:val="00924482"/>
    <w:rsid w:val="00930077"/>
    <w:rsid w:val="00930237"/>
    <w:rsid w:val="00937C17"/>
    <w:rsid w:val="00940A89"/>
    <w:rsid w:val="00941F77"/>
    <w:rsid w:val="009441E1"/>
    <w:rsid w:val="00946EA5"/>
    <w:rsid w:val="0095067E"/>
    <w:rsid w:val="00963C08"/>
    <w:rsid w:val="009752A5"/>
    <w:rsid w:val="0098585A"/>
    <w:rsid w:val="009870DC"/>
    <w:rsid w:val="009872B2"/>
    <w:rsid w:val="00996341"/>
    <w:rsid w:val="009A4CED"/>
    <w:rsid w:val="009A690D"/>
    <w:rsid w:val="009B1D12"/>
    <w:rsid w:val="009B416B"/>
    <w:rsid w:val="009C4BD5"/>
    <w:rsid w:val="009D375F"/>
    <w:rsid w:val="009D3935"/>
    <w:rsid w:val="009D7B77"/>
    <w:rsid w:val="009E0BB0"/>
    <w:rsid w:val="009E3FBB"/>
    <w:rsid w:val="009F7353"/>
    <w:rsid w:val="00A04F85"/>
    <w:rsid w:val="00A05036"/>
    <w:rsid w:val="00A05FA4"/>
    <w:rsid w:val="00A102E4"/>
    <w:rsid w:val="00A12C42"/>
    <w:rsid w:val="00A14DF7"/>
    <w:rsid w:val="00A22D57"/>
    <w:rsid w:val="00A25B9F"/>
    <w:rsid w:val="00A3246D"/>
    <w:rsid w:val="00A35612"/>
    <w:rsid w:val="00A36FA7"/>
    <w:rsid w:val="00A44DDB"/>
    <w:rsid w:val="00A475B7"/>
    <w:rsid w:val="00A47AF7"/>
    <w:rsid w:val="00A47C3E"/>
    <w:rsid w:val="00A50226"/>
    <w:rsid w:val="00A53893"/>
    <w:rsid w:val="00A60BAD"/>
    <w:rsid w:val="00A7235A"/>
    <w:rsid w:val="00A77F87"/>
    <w:rsid w:val="00A80B5B"/>
    <w:rsid w:val="00A84E36"/>
    <w:rsid w:val="00A964D1"/>
    <w:rsid w:val="00A97676"/>
    <w:rsid w:val="00AA0ED0"/>
    <w:rsid w:val="00AA38B9"/>
    <w:rsid w:val="00AA5F2A"/>
    <w:rsid w:val="00AC1A9B"/>
    <w:rsid w:val="00AC2B40"/>
    <w:rsid w:val="00AC2BB2"/>
    <w:rsid w:val="00AC2C3C"/>
    <w:rsid w:val="00AC512D"/>
    <w:rsid w:val="00AD0083"/>
    <w:rsid w:val="00AD3935"/>
    <w:rsid w:val="00AD3BFD"/>
    <w:rsid w:val="00AD6C46"/>
    <w:rsid w:val="00AE65EB"/>
    <w:rsid w:val="00AE67A7"/>
    <w:rsid w:val="00AE7796"/>
    <w:rsid w:val="00AF1D94"/>
    <w:rsid w:val="00AF60C5"/>
    <w:rsid w:val="00B009C6"/>
    <w:rsid w:val="00B01548"/>
    <w:rsid w:val="00B13EBD"/>
    <w:rsid w:val="00B21D29"/>
    <w:rsid w:val="00B25034"/>
    <w:rsid w:val="00B33588"/>
    <w:rsid w:val="00B33863"/>
    <w:rsid w:val="00B37D17"/>
    <w:rsid w:val="00B4175E"/>
    <w:rsid w:val="00B41C85"/>
    <w:rsid w:val="00B41FBC"/>
    <w:rsid w:val="00B452CE"/>
    <w:rsid w:val="00B54C25"/>
    <w:rsid w:val="00B64EFC"/>
    <w:rsid w:val="00B7056C"/>
    <w:rsid w:val="00B7366A"/>
    <w:rsid w:val="00B76B91"/>
    <w:rsid w:val="00B77EB1"/>
    <w:rsid w:val="00B811C6"/>
    <w:rsid w:val="00B855B0"/>
    <w:rsid w:val="00B92E08"/>
    <w:rsid w:val="00B938F2"/>
    <w:rsid w:val="00B94414"/>
    <w:rsid w:val="00BA5B06"/>
    <w:rsid w:val="00BB24E0"/>
    <w:rsid w:val="00BC622A"/>
    <w:rsid w:val="00BC781C"/>
    <w:rsid w:val="00BE03D0"/>
    <w:rsid w:val="00BE0A78"/>
    <w:rsid w:val="00BE79F0"/>
    <w:rsid w:val="00BF046D"/>
    <w:rsid w:val="00BF1190"/>
    <w:rsid w:val="00BF3774"/>
    <w:rsid w:val="00BF5D04"/>
    <w:rsid w:val="00BF7FB1"/>
    <w:rsid w:val="00C009AA"/>
    <w:rsid w:val="00C1164D"/>
    <w:rsid w:val="00C11F01"/>
    <w:rsid w:val="00C16861"/>
    <w:rsid w:val="00C201CB"/>
    <w:rsid w:val="00C27E2E"/>
    <w:rsid w:val="00C301AE"/>
    <w:rsid w:val="00C30F46"/>
    <w:rsid w:val="00C346AB"/>
    <w:rsid w:val="00C404A6"/>
    <w:rsid w:val="00C40A36"/>
    <w:rsid w:val="00C41CF7"/>
    <w:rsid w:val="00C44345"/>
    <w:rsid w:val="00C44419"/>
    <w:rsid w:val="00C45E7B"/>
    <w:rsid w:val="00C471B1"/>
    <w:rsid w:val="00C50C28"/>
    <w:rsid w:val="00C52E24"/>
    <w:rsid w:val="00C550AF"/>
    <w:rsid w:val="00C554A3"/>
    <w:rsid w:val="00C6316B"/>
    <w:rsid w:val="00C634A9"/>
    <w:rsid w:val="00C64586"/>
    <w:rsid w:val="00C70D53"/>
    <w:rsid w:val="00C71D4B"/>
    <w:rsid w:val="00C73D0B"/>
    <w:rsid w:val="00C772FF"/>
    <w:rsid w:val="00C80137"/>
    <w:rsid w:val="00C801AF"/>
    <w:rsid w:val="00C80256"/>
    <w:rsid w:val="00C93AD2"/>
    <w:rsid w:val="00C94CD4"/>
    <w:rsid w:val="00C9747E"/>
    <w:rsid w:val="00CA3661"/>
    <w:rsid w:val="00CB6BC0"/>
    <w:rsid w:val="00CC1B7C"/>
    <w:rsid w:val="00CC727F"/>
    <w:rsid w:val="00CF15C3"/>
    <w:rsid w:val="00CF2B6F"/>
    <w:rsid w:val="00CF2F3E"/>
    <w:rsid w:val="00CF58B6"/>
    <w:rsid w:val="00CF6A6C"/>
    <w:rsid w:val="00D0062D"/>
    <w:rsid w:val="00D017ED"/>
    <w:rsid w:val="00D03967"/>
    <w:rsid w:val="00D040D3"/>
    <w:rsid w:val="00D04C65"/>
    <w:rsid w:val="00D153D8"/>
    <w:rsid w:val="00D201D2"/>
    <w:rsid w:val="00D224FE"/>
    <w:rsid w:val="00D23139"/>
    <w:rsid w:val="00D425BB"/>
    <w:rsid w:val="00D453FA"/>
    <w:rsid w:val="00D64004"/>
    <w:rsid w:val="00D6493E"/>
    <w:rsid w:val="00D7195D"/>
    <w:rsid w:val="00D7301E"/>
    <w:rsid w:val="00D83AE1"/>
    <w:rsid w:val="00D83BB0"/>
    <w:rsid w:val="00D855D4"/>
    <w:rsid w:val="00D902C9"/>
    <w:rsid w:val="00D93466"/>
    <w:rsid w:val="00D95344"/>
    <w:rsid w:val="00DA1124"/>
    <w:rsid w:val="00DB06B8"/>
    <w:rsid w:val="00DB5DBB"/>
    <w:rsid w:val="00DB6124"/>
    <w:rsid w:val="00DB750B"/>
    <w:rsid w:val="00DB75B7"/>
    <w:rsid w:val="00DC0A2F"/>
    <w:rsid w:val="00DC6E02"/>
    <w:rsid w:val="00DD28CD"/>
    <w:rsid w:val="00DD49C6"/>
    <w:rsid w:val="00DE02AE"/>
    <w:rsid w:val="00DE0848"/>
    <w:rsid w:val="00DE1377"/>
    <w:rsid w:val="00DE39D1"/>
    <w:rsid w:val="00DF1D7F"/>
    <w:rsid w:val="00DF461B"/>
    <w:rsid w:val="00DF4BE4"/>
    <w:rsid w:val="00DF6270"/>
    <w:rsid w:val="00E02382"/>
    <w:rsid w:val="00E02FB4"/>
    <w:rsid w:val="00E13FC7"/>
    <w:rsid w:val="00E20571"/>
    <w:rsid w:val="00E235F7"/>
    <w:rsid w:val="00E23659"/>
    <w:rsid w:val="00E239D4"/>
    <w:rsid w:val="00E26130"/>
    <w:rsid w:val="00E40B22"/>
    <w:rsid w:val="00E44ED1"/>
    <w:rsid w:val="00E45619"/>
    <w:rsid w:val="00E4588F"/>
    <w:rsid w:val="00E46DA3"/>
    <w:rsid w:val="00E51BB1"/>
    <w:rsid w:val="00E53FFD"/>
    <w:rsid w:val="00E55CB0"/>
    <w:rsid w:val="00E575FC"/>
    <w:rsid w:val="00E624A5"/>
    <w:rsid w:val="00E64BA4"/>
    <w:rsid w:val="00E7344E"/>
    <w:rsid w:val="00E754F4"/>
    <w:rsid w:val="00E82665"/>
    <w:rsid w:val="00E9134C"/>
    <w:rsid w:val="00E91387"/>
    <w:rsid w:val="00E91E20"/>
    <w:rsid w:val="00EA1B2A"/>
    <w:rsid w:val="00EB0798"/>
    <w:rsid w:val="00EB1177"/>
    <w:rsid w:val="00EB40AD"/>
    <w:rsid w:val="00EB586E"/>
    <w:rsid w:val="00EB5FC8"/>
    <w:rsid w:val="00EC13EB"/>
    <w:rsid w:val="00EC463D"/>
    <w:rsid w:val="00EC7A85"/>
    <w:rsid w:val="00ED2922"/>
    <w:rsid w:val="00ED3CAD"/>
    <w:rsid w:val="00ED5A41"/>
    <w:rsid w:val="00EE1DE8"/>
    <w:rsid w:val="00EE2501"/>
    <w:rsid w:val="00EE27C2"/>
    <w:rsid w:val="00EE7B7F"/>
    <w:rsid w:val="00EF4BAD"/>
    <w:rsid w:val="00EF5322"/>
    <w:rsid w:val="00EF59DC"/>
    <w:rsid w:val="00EF6299"/>
    <w:rsid w:val="00EF6A50"/>
    <w:rsid w:val="00EF7201"/>
    <w:rsid w:val="00F033EC"/>
    <w:rsid w:val="00F04F68"/>
    <w:rsid w:val="00F12670"/>
    <w:rsid w:val="00F1270A"/>
    <w:rsid w:val="00F14B27"/>
    <w:rsid w:val="00F14B34"/>
    <w:rsid w:val="00F15F50"/>
    <w:rsid w:val="00F16616"/>
    <w:rsid w:val="00F3148D"/>
    <w:rsid w:val="00F325C5"/>
    <w:rsid w:val="00F32FE0"/>
    <w:rsid w:val="00F35298"/>
    <w:rsid w:val="00F47333"/>
    <w:rsid w:val="00F47E37"/>
    <w:rsid w:val="00F53C07"/>
    <w:rsid w:val="00F54B65"/>
    <w:rsid w:val="00F640B6"/>
    <w:rsid w:val="00F640EC"/>
    <w:rsid w:val="00F6540F"/>
    <w:rsid w:val="00F66DF2"/>
    <w:rsid w:val="00F80E40"/>
    <w:rsid w:val="00F848D9"/>
    <w:rsid w:val="00F905F3"/>
    <w:rsid w:val="00F92D49"/>
    <w:rsid w:val="00FA5069"/>
    <w:rsid w:val="00FA5B82"/>
    <w:rsid w:val="00FA639E"/>
    <w:rsid w:val="00FC11A2"/>
    <w:rsid w:val="00FC1FCA"/>
    <w:rsid w:val="00FC25E4"/>
    <w:rsid w:val="00FC4EF7"/>
    <w:rsid w:val="00FD0824"/>
    <w:rsid w:val="00FD119B"/>
    <w:rsid w:val="00FD1EDC"/>
    <w:rsid w:val="00FD40F3"/>
    <w:rsid w:val="00FE1DEE"/>
    <w:rsid w:val="00FF2126"/>
    <w:rsid w:val="00FF5755"/>
    <w:rsid w:val="00FF69BE"/>
    <w:rsid w:val="00FF7B93"/>
    <w:rsid w:val="00FF7EB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37BD7D6"/>
  <w15:docId w15:val="{284F1355-C4D5-45DA-8D44-D8A243520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D49C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9870DC"/>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TableTitleChar">
    <w:name w:val="Table Title Char"/>
    <w:basedOn w:val="DefaultParagraphFont"/>
    <w:link w:val="TableTitle"/>
    <w:rsid w:val="00296F38"/>
    <w:rPr>
      <w:rFonts w:ascii="Cambria" w:eastAsia="Cambria" w:hAnsi="Cambria" w:cs="Times New Roman"/>
      <w:b/>
    </w:rPr>
  </w:style>
  <w:style w:type="paragraph" w:styleId="ListParagraph">
    <w:name w:val="List Paragraph"/>
    <w:basedOn w:val="Normal"/>
    <w:uiPriority w:val="34"/>
    <w:qFormat/>
    <w:rsid w:val="00C550AF"/>
    <w:pPr>
      <w:spacing w:after="180"/>
      <w:ind w:left="720"/>
      <w:contextualSpacing/>
    </w:pPr>
    <w:rPr>
      <w:rFonts w:cstheme="minorBidi"/>
    </w:rPr>
  </w:style>
  <w:style w:type="paragraph" w:customStyle="1" w:styleId="Standard">
    <w:name w:val="Standard"/>
    <w:basedOn w:val="Normal"/>
    <w:link w:val="StandardChar"/>
    <w:qFormat/>
    <w:rsid w:val="003F0C94"/>
    <w:pPr>
      <w:widowControl w:val="0"/>
      <w:spacing w:before="0" w:after="220" w:line="252" w:lineRule="auto"/>
    </w:pPr>
    <w:rPr>
      <w:rFonts w:eastAsia="Times New Roman"/>
      <w:kern w:val="16"/>
      <w:szCs w:val="24"/>
    </w:rPr>
  </w:style>
  <w:style w:type="character" w:customStyle="1" w:styleId="StandardChar">
    <w:name w:val="Standard Char"/>
    <w:basedOn w:val="DefaultParagraphFont"/>
    <w:link w:val="Standard"/>
    <w:rsid w:val="003F0C94"/>
    <w:rPr>
      <w:rFonts w:ascii="Cambria" w:eastAsia="Times New Roman" w:hAnsi="Cambria" w:cs="Times New Roman"/>
      <w:kern w:val="16"/>
      <w:szCs w:val="24"/>
    </w:rPr>
  </w:style>
  <w:style w:type="paragraph" w:customStyle="1" w:styleId="Bullet2">
    <w:name w:val="Bullet 2"/>
    <w:basedOn w:val="Normal"/>
    <w:rsid w:val="00A25B9F"/>
    <w:pPr>
      <w:numPr>
        <w:numId w:val="7"/>
      </w:numPr>
      <w:spacing w:after="0" w:line="240" w:lineRule="auto"/>
    </w:pPr>
    <w:rPr>
      <w:rFonts w:eastAsia="Times New Roman"/>
      <w:kern w:val="24"/>
      <w:szCs w:val="24"/>
      <w:lang w:eastAsia="en-AU"/>
    </w:rPr>
  </w:style>
  <w:style w:type="paragraph" w:customStyle="1" w:styleId="Bullet1">
    <w:name w:val="Bullet 1"/>
    <w:basedOn w:val="Normal"/>
    <w:rsid w:val="00A25B9F"/>
    <w:pPr>
      <w:numPr>
        <w:numId w:val="8"/>
      </w:numPr>
      <w:spacing w:after="0" w:line="240" w:lineRule="auto"/>
    </w:pPr>
    <w:rPr>
      <w:rFonts w:eastAsia="Times New Roman"/>
      <w:kern w:val="24"/>
      <w:lang w:eastAsia="en-AU"/>
    </w:rPr>
  </w:style>
  <w:style w:type="paragraph" w:customStyle="1" w:styleId="TableBullet">
    <w:name w:val="Table Bullet"/>
    <w:basedOn w:val="Normal"/>
    <w:rsid w:val="007757F1"/>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TableHeading">
    <w:name w:val="Table Heading"/>
    <w:basedOn w:val="Normal"/>
    <w:rsid w:val="007757F1"/>
    <w:rPr>
      <w:rFonts w:ascii="Calibri" w:eastAsia="Calibri" w:hAnsi="Calibri"/>
      <w:b/>
      <w:color w:val="FFFFFF"/>
      <w:sz w:val="20"/>
    </w:rPr>
  </w:style>
  <w:style w:type="paragraph" w:customStyle="1" w:styleId="Instructions1">
    <w:name w:val="Instructions 1"/>
    <w:basedOn w:val="Normal"/>
    <w:qFormat/>
    <w:rsid w:val="007757F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Comment1">
    <w:name w:val="Comment 1"/>
    <w:basedOn w:val="Normal"/>
    <w:next w:val="Normal"/>
    <w:qFormat/>
    <w:rsid w:val="007757F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7757F1"/>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7757F1"/>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7757F1"/>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7757F1"/>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7757F1"/>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7757F1"/>
    <w:pPr>
      <w:spacing w:before="0" w:after="100" w:line="276" w:lineRule="auto"/>
      <w:ind w:left="1760"/>
    </w:pPr>
    <w:rPr>
      <w:rFonts w:asciiTheme="minorHAnsi" w:eastAsiaTheme="minorEastAsia" w:hAnsiTheme="minorHAnsi" w:cstheme="minorBidi"/>
      <w:lang w:eastAsia="en-AU"/>
    </w:rPr>
  </w:style>
  <w:style w:type="paragraph" w:customStyle="1" w:styleId="SectionTitle">
    <w:name w:val="Section Title"/>
    <w:basedOn w:val="Normal"/>
    <w:next w:val="Normal"/>
    <w:rsid w:val="007757F1"/>
    <w:pPr>
      <w:pBdr>
        <w:bottom w:val="single" w:sz="6" w:space="1" w:color="808080"/>
      </w:pBdr>
      <w:spacing w:before="220" w:after="0" w:line="220" w:lineRule="atLeast"/>
    </w:pPr>
    <w:rPr>
      <w:rFonts w:ascii="Garamond" w:eastAsia="Times New Roman" w:hAnsi="Garamond"/>
      <w:caps/>
      <w:spacing w:val="15"/>
      <w:sz w:val="20"/>
      <w:szCs w:val="20"/>
    </w:rPr>
  </w:style>
  <w:style w:type="paragraph" w:customStyle="1" w:styleId="Achievement">
    <w:name w:val="Achievement"/>
    <w:basedOn w:val="BodyText"/>
    <w:rsid w:val="007757F1"/>
    <w:pPr>
      <w:spacing w:before="0" w:after="60"/>
      <w:ind w:left="240" w:hanging="240"/>
      <w:jc w:val="both"/>
    </w:pPr>
    <w:rPr>
      <w:rFonts w:ascii="Garamond" w:eastAsia="Times New Roman" w:hAnsi="Garamond"/>
      <w:szCs w:val="20"/>
      <w:lang w:val="en-US"/>
    </w:rPr>
  </w:style>
  <w:style w:type="paragraph" w:customStyle="1" w:styleId="NoTitle">
    <w:name w:val="No Title"/>
    <w:basedOn w:val="SectionTitle"/>
    <w:rsid w:val="007757F1"/>
    <w:pPr>
      <w:pBdr>
        <w:bottom w:val="none" w:sz="0" w:space="0" w:color="auto"/>
      </w:pBdr>
    </w:pPr>
  </w:style>
  <w:style w:type="paragraph" w:customStyle="1" w:styleId="PersonalInfo">
    <w:name w:val="Personal Info"/>
    <w:basedOn w:val="Achievement"/>
    <w:next w:val="Achievement"/>
    <w:rsid w:val="007757F1"/>
    <w:pPr>
      <w:spacing w:before="220"/>
      <w:ind w:left="245" w:hanging="245"/>
    </w:pPr>
  </w:style>
  <w:style w:type="paragraph" w:styleId="BodyText">
    <w:name w:val="Body Text"/>
    <w:basedOn w:val="Normal"/>
    <w:link w:val="BodyTextChar"/>
    <w:uiPriority w:val="99"/>
    <w:semiHidden/>
    <w:unhideWhenUsed/>
    <w:rsid w:val="007757F1"/>
  </w:style>
  <w:style w:type="character" w:customStyle="1" w:styleId="BodyTextChar">
    <w:name w:val="Body Text Char"/>
    <w:basedOn w:val="DefaultParagraphFont"/>
    <w:link w:val="BodyText"/>
    <w:uiPriority w:val="99"/>
    <w:semiHidden/>
    <w:rsid w:val="007757F1"/>
    <w:rPr>
      <w:rFonts w:ascii="Cambria" w:eastAsia="Cambria" w:hAnsi="Cambria" w:cs="Times New Roman"/>
    </w:rPr>
  </w:style>
  <w:style w:type="paragraph" w:customStyle="1" w:styleId="Bulletlist">
    <w:name w:val="Bullet list"/>
    <w:basedOn w:val="Standard"/>
    <w:link w:val="BulletlistChar"/>
    <w:qFormat/>
    <w:rsid w:val="00EF6A50"/>
    <w:pPr>
      <w:widowControl/>
      <w:numPr>
        <w:numId w:val="21"/>
      </w:numPr>
      <w:spacing w:after="180"/>
      <w:ind w:left="426" w:hanging="284"/>
    </w:pPr>
    <w:rPr>
      <w:snapToGrid w:val="0"/>
      <w:kern w:val="2"/>
      <w:sz w:val="23"/>
    </w:rPr>
  </w:style>
  <w:style w:type="character" w:customStyle="1" w:styleId="TabletextChar">
    <w:name w:val="Table text Char"/>
    <w:basedOn w:val="StandardChar"/>
    <w:link w:val="Tabletext"/>
    <w:rsid w:val="00EF6A50"/>
    <w:rPr>
      <w:rFonts w:ascii="Cambria" w:eastAsia="Cambria" w:hAnsi="Cambria" w:cs="Times New Roman"/>
      <w:kern w:val="16"/>
      <w:sz w:val="19"/>
      <w:szCs w:val="24"/>
    </w:rPr>
  </w:style>
  <w:style w:type="character" w:customStyle="1" w:styleId="BulletlistChar">
    <w:name w:val="Bullet list Char"/>
    <w:basedOn w:val="StandardChar"/>
    <w:link w:val="Bulletlist"/>
    <w:rsid w:val="00EF6A50"/>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EF6A50"/>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EF6A50"/>
    <w:rPr>
      <w:rFonts w:ascii="Cambria" w:eastAsia="Times New Roman" w:hAnsi="Cambria" w:cs="Times New Roman"/>
      <w:b/>
      <w:snapToGrid w:val="0"/>
      <w:kern w:val="16"/>
      <w:sz w:val="20"/>
      <w:szCs w:val="24"/>
    </w:rPr>
  </w:style>
  <w:style w:type="paragraph" w:customStyle="1" w:styleId="Default">
    <w:name w:val="Default"/>
    <w:rsid w:val="00EF6A5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tga.gov.au" TargetMode="Externa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hyperlink" Target="mailto:info@tga.gov.au" TargetMode="Externa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png"/><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yperlink" Target="https://www.tga.gov.au/product-information-pi" TargetMode="External"/><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header" Target="header5.xml"/><Relationship Id="rId35" Type="http://schemas.openxmlformats.org/officeDocument/2006/relationships/header" Target="header7.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911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58BA6-CF61-4C6B-82E8-0D8E6617D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13</TotalTime>
  <Pages>88</Pages>
  <Words>35003</Words>
  <Characters>199523</Characters>
  <Application>Microsoft Office Word</Application>
  <DocSecurity>0</DocSecurity>
  <Lines>1662</Lines>
  <Paragraphs>468</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234058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Tofacitinib (as citrate)</dc:title>
  <dc:subject>prescription medicines</dc:subject>
  <dc:creator>Therapeutic Goods Administration</dc:creator>
  <cp:keywords>AusPARs</cp:keywords>
  <cp:lastModifiedBy>LACK, Janet</cp:lastModifiedBy>
  <cp:revision>3</cp:revision>
  <cp:lastPrinted>2015-09-22T23:39:00Z</cp:lastPrinted>
  <dcterms:created xsi:type="dcterms:W3CDTF">2019-09-25T00:52:00Z</dcterms:created>
  <dcterms:modified xsi:type="dcterms:W3CDTF">2019-09-25T01:05:00Z</dcterms:modified>
  <cp:category/>
</cp:coreProperties>
</file>