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F7F" w:rsidRPr="00407F7F" w:rsidRDefault="008259FC" w:rsidP="00407F7F">
      <w:pPr>
        <w:pStyle w:val="CLDNormal"/>
        <w:rPr>
          <w:rFonts w:eastAsia="Calibri"/>
          <w:lang w:val="en-AU"/>
        </w:rPr>
      </w:pPr>
      <w:r>
        <w:pict>
          <v:shapetype id="_x0000_t202" coordsize="21600,21600" o:spt="202" path="m,l,21600r21600,l21600,xe">
            <v:stroke joinstyle="miter"/>
            <v:path gradientshapeok="t" o:connecttype="rect"/>
          </v:shapetype>
          <v:shape id="Text Box 4" o:spid="_x0000_s8829" type="#_x0000_t202" style="width:19.85pt;height:19.85pt;visibility:visible;mso-left-percent:-10001;mso-top-percent:-10001;mso-position-horizontal:absolute;mso-position-horizontal-relative:char;mso-position-vertical:absolute;mso-position-vertical-relative:line;mso-left-percent:-10001;mso-top-percent:-10001" stroked="f">
            <v:textbox style="mso-next-textbox:#Text Box 4" inset="0,0,0,0">
              <w:txbxContent>
                <w:p w:rsidR="000367FA" w:rsidRPr="00BE2A26" w:rsidRDefault="000367FA" w:rsidP="00407F7F">
                  <w:pPr>
                    <w:spacing w:after="0"/>
                    <w:rPr>
                      <w:rFonts w:ascii="Wingdings 3" w:hAnsi="Wingdings 3"/>
                    </w:rPr>
                  </w:pPr>
                  <w:r w:rsidRPr="00BE2A26">
                    <w:rPr>
                      <w:rFonts w:ascii="SimSun" w:eastAsia="SimSun" w:hAnsi="SimSun" w:cs="Arial" w:hint="eastAsia"/>
                      <w:sz w:val="40"/>
                    </w:rPr>
                    <w:t>▼</w:t>
                  </w:r>
                </w:p>
              </w:txbxContent>
            </v:textbox>
            <w10:wrap type="none"/>
            <w10:anchorlock/>
          </v:shape>
        </w:pict>
      </w:r>
      <w:r w:rsidR="00407F7F" w:rsidRPr="00421FBA">
        <w:rPr>
          <w:rFonts w:eastAsia="Calibri"/>
          <w:lang w:val="en-AU"/>
        </w:rPr>
        <w:t xml:space="preserve">This medicinal product is subject to additional monitoring in Australia. This will allow quick identification of new safety information. Healthcare professionals are asked to report any suspected adverse events at </w:t>
      </w:r>
      <w:r w:rsidR="00407F7F" w:rsidRPr="00421FBA">
        <w:rPr>
          <w:rFonts w:eastAsia="Calibri"/>
          <w:color w:val="0000FF"/>
          <w:u w:val="single"/>
          <w:lang w:val="en-AU"/>
        </w:rPr>
        <w:t>w</w:t>
      </w:r>
      <w:r w:rsidR="00407F7F">
        <w:rPr>
          <w:rFonts w:eastAsia="Calibri"/>
          <w:color w:val="0000FF"/>
          <w:u w:val="single"/>
          <w:lang w:val="en-AU"/>
        </w:rPr>
        <w:t>ww.tga.gov.au/reporting-problems</w:t>
      </w:r>
      <w:r w:rsidR="00407F7F" w:rsidRPr="00421FBA">
        <w:rPr>
          <w:rFonts w:eastAsia="Calibri"/>
          <w:lang w:val="en-AU"/>
        </w:rPr>
        <w:t>.</w:t>
      </w:r>
    </w:p>
    <w:p w:rsidR="006D74F4" w:rsidRDefault="003A4144" w:rsidP="006D74F4">
      <w:pPr>
        <w:pStyle w:val="PITITLE"/>
        <w:rPr>
          <w:sz w:val="28"/>
          <w:szCs w:val="28"/>
          <w:lang w:val="en-AU"/>
        </w:rPr>
      </w:pPr>
      <w:r w:rsidRPr="006D74F4">
        <w:rPr>
          <w:sz w:val="28"/>
          <w:szCs w:val="28"/>
          <w:lang w:val="en-AU"/>
        </w:rPr>
        <w:t xml:space="preserve">AUSTRALIAN </w:t>
      </w:r>
      <w:r w:rsidR="00AF1FB3" w:rsidRPr="006D74F4">
        <w:rPr>
          <w:sz w:val="28"/>
          <w:szCs w:val="28"/>
        </w:rPr>
        <w:t>PRODUCT INFORMATION</w:t>
      </w:r>
      <w:r w:rsidR="006D74F4">
        <w:rPr>
          <w:sz w:val="28"/>
          <w:szCs w:val="28"/>
          <w:lang w:val="en-AU"/>
        </w:rPr>
        <w:t xml:space="preserve"> </w:t>
      </w:r>
    </w:p>
    <w:p w:rsidR="008F307B" w:rsidRPr="006D74F4" w:rsidRDefault="00AD27DB" w:rsidP="006D74F4">
      <w:pPr>
        <w:pStyle w:val="PITITLE"/>
        <w:rPr>
          <w:rStyle w:val="MPINormal"/>
          <w:sz w:val="28"/>
          <w:szCs w:val="28"/>
        </w:rPr>
      </w:pPr>
      <w:r w:rsidRPr="006D74F4">
        <w:rPr>
          <w:iCs/>
          <w:sz w:val="28"/>
          <w:szCs w:val="28"/>
        </w:rPr>
        <w:t>XELJANZ</w:t>
      </w:r>
      <w:r w:rsidR="008F307B" w:rsidRPr="006D74F4">
        <w:rPr>
          <w:rStyle w:val="MPIRegisteredTrademarkSign"/>
          <w:b/>
          <w:sz w:val="28"/>
          <w:szCs w:val="28"/>
        </w:rPr>
        <w:sym w:font="Symbol" w:char="F0D2"/>
      </w:r>
      <w:r w:rsidR="008F307B" w:rsidRPr="006D74F4">
        <w:rPr>
          <w:rStyle w:val="MPIRegisteredTrademarkSign"/>
          <w:b/>
          <w:sz w:val="28"/>
          <w:szCs w:val="28"/>
          <w:vertAlign w:val="baseline"/>
        </w:rPr>
        <w:t xml:space="preserve"> </w:t>
      </w:r>
      <w:r w:rsidR="00465782" w:rsidRPr="006D74F4">
        <w:rPr>
          <w:sz w:val="28"/>
          <w:szCs w:val="28"/>
          <w:lang w:eastAsia="en-GB"/>
        </w:rPr>
        <w:t xml:space="preserve">tofacitinib </w:t>
      </w:r>
      <w:r w:rsidR="00CE7E9B" w:rsidRPr="006D74F4">
        <w:rPr>
          <w:sz w:val="28"/>
          <w:szCs w:val="28"/>
          <w:lang w:eastAsia="en-GB"/>
        </w:rPr>
        <w:t xml:space="preserve">(as </w:t>
      </w:r>
      <w:r w:rsidR="00465782" w:rsidRPr="006D74F4">
        <w:rPr>
          <w:sz w:val="28"/>
          <w:szCs w:val="28"/>
          <w:lang w:eastAsia="en-GB"/>
        </w:rPr>
        <w:t>citrate</w:t>
      </w:r>
      <w:r w:rsidR="008F307B" w:rsidRPr="006D74F4">
        <w:rPr>
          <w:rStyle w:val="MPINormal"/>
          <w:sz w:val="28"/>
          <w:szCs w:val="28"/>
        </w:rPr>
        <w:t>)</w:t>
      </w:r>
    </w:p>
    <w:p w:rsidR="003A4144" w:rsidRPr="00D118A8" w:rsidRDefault="003A4144" w:rsidP="003A4144">
      <w:pPr>
        <w:pStyle w:val="Heading1"/>
        <w:rPr>
          <w:rStyle w:val="PITradename"/>
          <w:b/>
          <w:sz w:val="28"/>
        </w:rPr>
      </w:pPr>
      <w:r w:rsidRPr="00D118A8">
        <w:rPr>
          <w:rStyle w:val="PITradename"/>
          <w:b/>
          <w:sz w:val="28"/>
        </w:rPr>
        <w:t>1</w:t>
      </w:r>
      <w:r w:rsidR="00D118A8" w:rsidRPr="00D118A8">
        <w:rPr>
          <w:rStyle w:val="PITradename"/>
          <w:b/>
          <w:sz w:val="28"/>
        </w:rPr>
        <w:tab/>
      </w:r>
      <w:r w:rsidRPr="00D118A8">
        <w:rPr>
          <w:rStyle w:val="PITradename"/>
          <w:b/>
          <w:sz w:val="28"/>
        </w:rPr>
        <w:t xml:space="preserve">NAME OF THE MEDICINE </w:t>
      </w:r>
      <w:r w:rsidRPr="00D118A8">
        <w:rPr>
          <w:rStyle w:val="PITradename"/>
          <w:b/>
          <w:sz w:val="28"/>
        </w:rPr>
        <w:tab/>
      </w:r>
    </w:p>
    <w:p w:rsidR="003A4144" w:rsidRPr="003A4144" w:rsidRDefault="006D74F4" w:rsidP="00013CC0">
      <w:pPr>
        <w:pStyle w:val="Heading1"/>
        <w:spacing w:before="0" w:line="240" w:lineRule="auto"/>
        <w:rPr>
          <w:b w:val="0"/>
          <w:caps w:val="0"/>
          <w:kern w:val="0"/>
          <w:sz w:val="24"/>
        </w:rPr>
      </w:pPr>
      <w:r>
        <w:rPr>
          <w:b w:val="0"/>
          <w:caps w:val="0"/>
          <w:kern w:val="0"/>
          <w:sz w:val="24"/>
        </w:rPr>
        <w:t xml:space="preserve">XELJANZ tofacitinib (as citrate) </w:t>
      </w:r>
    </w:p>
    <w:p w:rsidR="003A4144" w:rsidRPr="003A4144" w:rsidRDefault="003A4144" w:rsidP="003A4144">
      <w:pPr>
        <w:pStyle w:val="Heading1"/>
      </w:pPr>
      <w:r>
        <w:t>2</w:t>
      </w:r>
      <w:r w:rsidR="00D118A8">
        <w:tab/>
      </w:r>
      <w:r w:rsidRPr="003A4144">
        <w:t>QUALITATIVE AND QUANTITATIVE COMPOSITION</w:t>
      </w:r>
    </w:p>
    <w:p w:rsidR="00407F7F" w:rsidRPr="00407F7F" w:rsidRDefault="00407F7F" w:rsidP="00407F7F">
      <w:r w:rsidRPr="00C67EC6">
        <w:t xml:space="preserve">Tofacitinib citrate is a white to off-white powder with a </w:t>
      </w:r>
      <w:proofErr w:type="spellStart"/>
      <w:r w:rsidRPr="00C67EC6">
        <w:t>pKa</w:t>
      </w:r>
      <w:proofErr w:type="spellEnd"/>
      <w:r w:rsidRPr="00C67EC6">
        <w:t> of 5.07.  Tofacitinib citrate is freely soluble in N</w:t>
      </w:r>
      <w:proofErr w:type="gramStart"/>
      <w:r w:rsidRPr="00C67EC6">
        <w:t>,N</w:t>
      </w:r>
      <w:proofErr w:type="gramEnd"/>
      <w:r w:rsidRPr="00C67EC6">
        <w:t>-Dimethylacetamide, slightly soluble in water, and very slightly soluble in ethanol (99.5% ethanol).  The partition coefficient is 14.3 (Log P=1.15).</w:t>
      </w:r>
    </w:p>
    <w:p w:rsidR="00B16DF0" w:rsidRPr="00B16DF0" w:rsidRDefault="00B16DF0" w:rsidP="00B16DF0">
      <w:pPr>
        <w:pStyle w:val="Heading1"/>
        <w:spacing w:before="0" w:after="0" w:line="240" w:lineRule="auto"/>
        <w:rPr>
          <w:b w:val="0"/>
          <w:caps w:val="0"/>
          <w:kern w:val="0"/>
          <w:sz w:val="24"/>
          <w:u w:val="single"/>
        </w:rPr>
      </w:pPr>
      <w:r w:rsidRPr="00013CC0">
        <w:rPr>
          <w:b w:val="0"/>
          <w:caps w:val="0"/>
          <w:kern w:val="0"/>
          <w:sz w:val="24"/>
          <w:u w:val="single"/>
        </w:rPr>
        <w:t>XELJANZ 5 mg film</w:t>
      </w:r>
      <w:r w:rsidRPr="00013CC0">
        <w:rPr>
          <w:b w:val="0"/>
          <w:caps w:val="0"/>
          <w:kern w:val="0"/>
          <w:sz w:val="24"/>
          <w:u w:val="single"/>
        </w:rPr>
        <w:noBreakHyphen/>
        <w:t>coated tablet</w:t>
      </w:r>
    </w:p>
    <w:p w:rsidR="003A4144" w:rsidRDefault="00BB3C23" w:rsidP="00D1052E">
      <w:pPr>
        <w:pStyle w:val="Heading1"/>
        <w:spacing w:before="0" w:line="240" w:lineRule="auto"/>
        <w:rPr>
          <w:b w:val="0"/>
          <w:caps w:val="0"/>
          <w:kern w:val="0"/>
          <w:sz w:val="24"/>
        </w:rPr>
      </w:pPr>
      <w:r w:rsidRPr="00BB3C23">
        <w:rPr>
          <w:b w:val="0"/>
          <w:caps w:val="0"/>
          <w:kern w:val="0"/>
          <w:sz w:val="24"/>
        </w:rPr>
        <w:t>Each 5 mg tablet contains 8.078 mg of tofacitinib citrate equivalent to 5 mg of tofacitinib free base active pharmaceutical ingredient.</w:t>
      </w:r>
    </w:p>
    <w:p w:rsidR="00013CC0" w:rsidRPr="00945774" w:rsidRDefault="00D1052E" w:rsidP="00D1052E">
      <w:pPr>
        <w:pStyle w:val="Paragraph"/>
        <w:spacing w:after="0"/>
        <w:rPr>
          <w:i/>
          <w:sz w:val="22"/>
          <w:szCs w:val="22"/>
          <w:lang w:val="en-GB" w:eastAsia="en-GB"/>
        </w:rPr>
      </w:pPr>
      <w:r w:rsidRPr="00945774">
        <w:rPr>
          <w:i/>
          <w:sz w:val="22"/>
          <w:szCs w:val="22"/>
          <w:lang w:val="en-GB" w:eastAsia="en-GB"/>
        </w:rPr>
        <w:t>Excipient</w:t>
      </w:r>
      <w:r w:rsidR="00772FF2">
        <w:rPr>
          <w:i/>
          <w:sz w:val="22"/>
          <w:szCs w:val="22"/>
          <w:lang w:val="en-GB" w:eastAsia="en-GB"/>
        </w:rPr>
        <w:t>s</w:t>
      </w:r>
      <w:r w:rsidRPr="00945774">
        <w:rPr>
          <w:i/>
          <w:sz w:val="22"/>
          <w:szCs w:val="22"/>
          <w:lang w:val="en-GB" w:eastAsia="en-GB"/>
        </w:rPr>
        <w:t xml:space="preserve"> with known effect</w:t>
      </w:r>
    </w:p>
    <w:p w:rsidR="00013CC0" w:rsidRDefault="00C52DFC" w:rsidP="00D1052E">
      <w:pPr>
        <w:rPr>
          <w:sz w:val="22"/>
          <w:szCs w:val="22"/>
          <w:lang w:val="en-GB" w:eastAsia="en-GB"/>
        </w:rPr>
      </w:pPr>
      <w:r>
        <w:rPr>
          <w:sz w:val="22"/>
          <w:szCs w:val="22"/>
          <w:lang w:val="en-GB" w:eastAsia="en-GB"/>
        </w:rPr>
        <w:t>Contains sugars</w:t>
      </w:r>
      <w:r w:rsidR="00772FF2">
        <w:rPr>
          <w:sz w:val="22"/>
          <w:szCs w:val="22"/>
          <w:lang w:val="en-GB" w:eastAsia="en-GB"/>
        </w:rPr>
        <w:t xml:space="preserve"> </w:t>
      </w:r>
      <w:r>
        <w:rPr>
          <w:sz w:val="22"/>
          <w:szCs w:val="22"/>
          <w:lang w:val="en-GB" w:eastAsia="en-GB"/>
        </w:rPr>
        <w:t>(</w:t>
      </w:r>
      <w:r w:rsidR="00772FF2">
        <w:rPr>
          <w:sz w:val="22"/>
          <w:szCs w:val="22"/>
          <w:lang w:val="en-GB" w:eastAsia="en-GB"/>
        </w:rPr>
        <w:t>lactose monohydrate</w:t>
      </w:r>
      <w:r>
        <w:rPr>
          <w:sz w:val="22"/>
          <w:szCs w:val="22"/>
          <w:lang w:val="en-GB" w:eastAsia="en-GB"/>
        </w:rPr>
        <w:t>)</w:t>
      </w:r>
      <w:r w:rsidR="00D73F2E">
        <w:rPr>
          <w:sz w:val="22"/>
          <w:szCs w:val="22"/>
          <w:lang w:val="en-GB" w:eastAsia="en-GB"/>
        </w:rPr>
        <w:t>.</w:t>
      </w:r>
    </w:p>
    <w:p w:rsidR="00407F7F" w:rsidRPr="00590EF7" w:rsidRDefault="00407F7F" w:rsidP="00407F7F">
      <w:pPr>
        <w:pStyle w:val="PIHeading2"/>
        <w:rPr>
          <w:b w:val="0"/>
          <w:u w:val="single"/>
        </w:rPr>
      </w:pPr>
      <w:r w:rsidRPr="00590EF7">
        <w:rPr>
          <w:b w:val="0"/>
          <w:u w:val="single"/>
        </w:rPr>
        <w:t>XELJANZ 10 mg film</w:t>
      </w:r>
      <w:r w:rsidRPr="00590EF7">
        <w:rPr>
          <w:b w:val="0"/>
          <w:u w:val="single"/>
        </w:rPr>
        <w:noBreakHyphen/>
        <w:t>coated tablet</w:t>
      </w:r>
    </w:p>
    <w:p w:rsidR="00407F7F" w:rsidRDefault="00407F7F" w:rsidP="00407F7F">
      <w:pPr>
        <w:rPr>
          <w:sz w:val="22"/>
          <w:szCs w:val="22"/>
          <w:lang w:val="en-GB" w:eastAsia="en-GB"/>
        </w:rPr>
      </w:pPr>
      <w:r w:rsidRPr="005850A5">
        <w:rPr>
          <w:color w:val="000000"/>
          <w:sz w:val="23"/>
          <w:szCs w:val="23"/>
        </w:rPr>
        <w:t>Each 10 mg tablet contains 16.155 mg of tofacitinib citrate equivalent to 10 mg of tofacitinib free base active pharmaceutical ingredient.</w:t>
      </w:r>
    </w:p>
    <w:p w:rsidR="00407F7F" w:rsidRPr="00945774" w:rsidRDefault="00407F7F" w:rsidP="00407F7F">
      <w:pPr>
        <w:pStyle w:val="Paragraph"/>
        <w:spacing w:after="0"/>
        <w:rPr>
          <w:i/>
          <w:sz w:val="22"/>
          <w:szCs w:val="22"/>
          <w:lang w:val="en-GB" w:eastAsia="en-GB"/>
        </w:rPr>
      </w:pPr>
      <w:r w:rsidRPr="00945774">
        <w:rPr>
          <w:i/>
          <w:sz w:val="22"/>
          <w:szCs w:val="22"/>
          <w:lang w:val="en-GB" w:eastAsia="en-GB"/>
        </w:rPr>
        <w:t>Excipient</w:t>
      </w:r>
      <w:r>
        <w:rPr>
          <w:i/>
          <w:sz w:val="22"/>
          <w:szCs w:val="22"/>
          <w:lang w:val="en-GB" w:eastAsia="en-GB"/>
        </w:rPr>
        <w:t>s</w:t>
      </w:r>
      <w:r w:rsidRPr="00945774">
        <w:rPr>
          <w:i/>
          <w:sz w:val="22"/>
          <w:szCs w:val="22"/>
          <w:lang w:val="en-GB" w:eastAsia="en-GB"/>
        </w:rPr>
        <w:t xml:space="preserve"> with known effect</w:t>
      </w:r>
    </w:p>
    <w:p w:rsidR="00407F7F" w:rsidRDefault="00407F7F" w:rsidP="00D1052E">
      <w:pPr>
        <w:rPr>
          <w:sz w:val="22"/>
          <w:szCs w:val="22"/>
          <w:lang w:val="en-GB" w:eastAsia="en-GB"/>
        </w:rPr>
      </w:pPr>
      <w:r>
        <w:rPr>
          <w:sz w:val="22"/>
          <w:szCs w:val="22"/>
          <w:lang w:val="en-GB" w:eastAsia="en-GB"/>
        </w:rPr>
        <w:t>Contains sugars (lactose monohydrate).</w:t>
      </w:r>
    </w:p>
    <w:p w:rsidR="00013CC0" w:rsidRPr="00013CC0" w:rsidRDefault="00C52DFC" w:rsidP="00D1052E">
      <w:r w:rsidRPr="00405082">
        <w:rPr>
          <w:iCs/>
          <w:sz w:val="22"/>
          <w:szCs w:val="22"/>
          <w:lang w:val="en-GB"/>
        </w:rPr>
        <w:t>For th</w:t>
      </w:r>
      <w:r w:rsidR="000F0385">
        <w:rPr>
          <w:iCs/>
          <w:sz w:val="22"/>
          <w:szCs w:val="22"/>
          <w:lang w:val="en-GB"/>
        </w:rPr>
        <w:t>e full list of excipients, see S</w:t>
      </w:r>
      <w:r w:rsidRPr="00405082">
        <w:rPr>
          <w:iCs/>
          <w:sz w:val="22"/>
          <w:szCs w:val="22"/>
          <w:lang w:val="en-GB"/>
        </w:rPr>
        <w:t>ection 6.1</w:t>
      </w:r>
      <w:r>
        <w:rPr>
          <w:iCs/>
          <w:sz w:val="22"/>
          <w:szCs w:val="22"/>
          <w:lang w:val="en-GB"/>
        </w:rPr>
        <w:t xml:space="preserve"> List of excipients</w:t>
      </w:r>
      <w:r w:rsidRPr="00405082">
        <w:rPr>
          <w:iCs/>
          <w:sz w:val="22"/>
          <w:szCs w:val="22"/>
          <w:lang w:val="en-GB"/>
        </w:rPr>
        <w:t>.</w:t>
      </w:r>
    </w:p>
    <w:p w:rsidR="00013CC0" w:rsidRDefault="00D118A8" w:rsidP="00407F7F">
      <w:pPr>
        <w:pStyle w:val="Heading1"/>
        <w:keepNext w:val="0"/>
      </w:pPr>
      <w:r>
        <w:t>3</w:t>
      </w:r>
      <w:r>
        <w:tab/>
      </w:r>
      <w:r w:rsidR="00013CC0" w:rsidRPr="003A4144">
        <w:t>PHARMACEUTICAL FORM</w:t>
      </w:r>
    </w:p>
    <w:p w:rsidR="00D1052E" w:rsidRPr="00D1052E" w:rsidRDefault="00B948F5" w:rsidP="00407F7F">
      <w:pPr>
        <w:pStyle w:val="Heading1"/>
        <w:keepNext w:val="0"/>
        <w:spacing w:before="0" w:line="240" w:lineRule="auto"/>
        <w:rPr>
          <w:b w:val="0"/>
          <w:iCs/>
          <w:caps w:val="0"/>
          <w:kern w:val="0"/>
          <w:sz w:val="22"/>
          <w:szCs w:val="22"/>
          <w:lang w:val="en-GB"/>
        </w:rPr>
      </w:pPr>
      <w:r>
        <w:rPr>
          <w:b w:val="0"/>
          <w:iCs/>
          <w:caps w:val="0"/>
          <w:kern w:val="0"/>
          <w:sz w:val="22"/>
          <w:szCs w:val="22"/>
          <w:lang w:val="en-GB"/>
        </w:rPr>
        <w:t>Film-coated tablet.</w:t>
      </w:r>
    </w:p>
    <w:p w:rsidR="00D1052E" w:rsidRPr="00B948F5" w:rsidRDefault="00D1052E" w:rsidP="00407F7F">
      <w:pPr>
        <w:pStyle w:val="Heading1"/>
        <w:keepNext w:val="0"/>
        <w:spacing w:before="0" w:after="0" w:line="240" w:lineRule="auto"/>
        <w:rPr>
          <w:b w:val="0"/>
          <w:iCs/>
          <w:caps w:val="0"/>
          <w:kern w:val="0"/>
          <w:sz w:val="22"/>
          <w:szCs w:val="22"/>
          <w:u w:val="single"/>
          <w:lang w:val="en-GB"/>
        </w:rPr>
      </w:pPr>
      <w:r w:rsidRPr="00B948F5">
        <w:rPr>
          <w:b w:val="0"/>
          <w:iCs/>
          <w:caps w:val="0"/>
          <w:kern w:val="0"/>
          <w:sz w:val="22"/>
          <w:szCs w:val="22"/>
          <w:u w:val="single"/>
          <w:lang w:val="en-GB"/>
        </w:rPr>
        <w:t>XELJANZ</w:t>
      </w:r>
      <w:r w:rsidR="00B948F5" w:rsidRPr="00B948F5">
        <w:rPr>
          <w:b w:val="0"/>
          <w:iCs/>
          <w:caps w:val="0"/>
          <w:kern w:val="0"/>
          <w:sz w:val="22"/>
          <w:szCs w:val="22"/>
          <w:u w:val="single"/>
          <w:lang w:val="en-GB"/>
        </w:rPr>
        <w:t xml:space="preserve"> 5 mg</w:t>
      </w:r>
    </w:p>
    <w:p w:rsidR="00013CC0" w:rsidRDefault="00D1052E" w:rsidP="00407F7F">
      <w:pPr>
        <w:pStyle w:val="Heading1"/>
        <w:keepNext w:val="0"/>
        <w:spacing w:before="0" w:line="240" w:lineRule="auto"/>
        <w:rPr>
          <w:b w:val="0"/>
          <w:iCs/>
          <w:caps w:val="0"/>
          <w:kern w:val="0"/>
          <w:sz w:val="22"/>
          <w:szCs w:val="22"/>
          <w:lang w:val="en-GB"/>
        </w:rPr>
      </w:pPr>
      <w:r>
        <w:rPr>
          <w:b w:val="0"/>
          <w:iCs/>
          <w:caps w:val="0"/>
          <w:kern w:val="0"/>
          <w:sz w:val="22"/>
          <w:szCs w:val="22"/>
          <w:lang w:val="en-GB"/>
        </w:rPr>
        <w:t>W</w:t>
      </w:r>
      <w:r w:rsidRPr="00D1052E">
        <w:rPr>
          <w:b w:val="0"/>
          <w:iCs/>
          <w:caps w:val="0"/>
          <w:kern w:val="0"/>
          <w:sz w:val="22"/>
          <w:szCs w:val="22"/>
          <w:lang w:val="en-GB"/>
        </w:rPr>
        <w:t xml:space="preserve">hite, round, immediate release, </w:t>
      </w:r>
      <w:proofErr w:type="gramStart"/>
      <w:r w:rsidRPr="00D1052E">
        <w:rPr>
          <w:b w:val="0"/>
          <w:iCs/>
          <w:caps w:val="0"/>
          <w:kern w:val="0"/>
          <w:sz w:val="22"/>
          <w:szCs w:val="22"/>
          <w:lang w:val="en-GB"/>
        </w:rPr>
        <w:t>tablet</w:t>
      </w:r>
      <w:proofErr w:type="gramEnd"/>
      <w:r w:rsidRPr="00D1052E">
        <w:rPr>
          <w:b w:val="0"/>
          <w:iCs/>
          <w:caps w:val="0"/>
          <w:kern w:val="0"/>
          <w:sz w:val="22"/>
          <w:szCs w:val="22"/>
          <w:lang w:val="en-GB"/>
        </w:rPr>
        <w:t xml:space="preserve"> debossed with “Pfizer” on one side, and “JKI 5” on the other side.</w:t>
      </w:r>
    </w:p>
    <w:p w:rsidR="00407F7F" w:rsidRPr="00590EF7" w:rsidRDefault="00407F7F" w:rsidP="00407F7F">
      <w:pPr>
        <w:pStyle w:val="PIHeading2"/>
        <w:rPr>
          <w:b w:val="0"/>
          <w:u w:val="single"/>
          <w:lang w:val="en-GB"/>
        </w:rPr>
      </w:pPr>
      <w:r w:rsidRPr="00590EF7">
        <w:rPr>
          <w:b w:val="0"/>
          <w:u w:val="single"/>
          <w:lang w:val="en-GB"/>
        </w:rPr>
        <w:t>XELJANZ 10 mg</w:t>
      </w:r>
    </w:p>
    <w:p w:rsidR="00407F7F" w:rsidRPr="000B2876" w:rsidRDefault="00407F7F" w:rsidP="00407F7F">
      <w:pPr>
        <w:rPr>
          <w:iCs/>
          <w:sz w:val="22"/>
          <w:szCs w:val="22"/>
          <w:u w:val="single"/>
          <w:lang w:val="en-GB"/>
        </w:rPr>
      </w:pPr>
      <w:r>
        <w:rPr>
          <w:color w:val="000000"/>
          <w:sz w:val="23"/>
          <w:szCs w:val="23"/>
        </w:rPr>
        <w:t>B</w:t>
      </w:r>
      <w:r w:rsidRPr="005850A5">
        <w:rPr>
          <w:color w:val="000000"/>
          <w:sz w:val="23"/>
          <w:szCs w:val="23"/>
        </w:rPr>
        <w:t>lue, round, immediate release, tablet debossed with “Pfizer” on one side, and “JKI 10” on the other side.</w:t>
      </w:r>
    </w:p>
    <w:p w:rsidR="003A4144" w:rsidRDefault="003A4144" w:rsidP="00FD6F56">
      <w:pPr>
        <w:pStyle w:val="Heading1"/>
      </w:pPr>
      <w:r>
        <w:lastRenderedPageBreak/>
        <w:t>4</w:t>
      </w:r>
      <w:r w:rsidR="00D118A8">
        <w:tab/>
      </w:r>
      <w:r w:rsidRPr="003A4144">
        <w:t>CLINICAL PARTICULARS</w:t>
      </w:r>
    </w:p>
    <w:p w:rsidR="003A4144" w:rsidRPr="00F43C03" w:rsidRDefault="003A4144" w:rsidP="00F43C03">
      <w:pPr>
        <w:pStyle w:val="PIHeading2"/>
      </w:pPr>
      <w:r w:rsidRPr="00D118A8">
        <w:rPr>
          <w:rFonts w:ascii="Times New Roman Bold" w:hAnsi="Times New Roman Bold"/>
        </w:rPr>
        <w:t xml:space="preserve">4.1 </w:t>
      </w:r>
      <w:r w:rsidR="00F43C03" w:rsidRPr="00F43C03">
        <w:t>Therapeutic Indications</w:t>
      </w:r>
    </w:p>
    <w:p w:rsidR="00711B29" w:rsidRPr="00711B29" w:rsidRDefault="00711B29" w:rsidP="00711B29">
      <w:pPr>
        <w:pStyle w:val="PIHeading3"/>
      </w:pPr>
      <w:r w:rsidRPr="00FC4B20">
        <w:t>Rheumatoid Arthritis</w:t>
      </w:r>
    </w:p>
    <w:p w:rsidR="003A4144" w:rsidRDefault="00FD6F56" w:rsidP="00FD6F56">
      <w:pPr>
        <w:pStyle w:val="PINormal"/>
      </w:pPr>
      <w:r w:rsidRPr="0051061D">
        <w:rPr>
          <w:color w:val="000000"/>
          <w:szCs w:val="24"/>
        </w:rPr>
        <w:t>XELJANZ is indicated for the treatment of moderate to severe active rheumatoid</w:t>
      </w:r>
      <w:r w:rsidRPr="0051061D">
        <w:rPr>
          <w:color w:val="000000"/>
        </w:rPr>
        <w:t xml:space="preserve"> arthritis in adults who have had an inadequate response or are intolerant to methotrexate.  XELJANZ can be used alone or in combination with </w:t>
      </w:r>
      <w:r w:rsidR="00F93C38" w:rsidRPr="003C3F7E">
        <w:t>conventional syntheti</w:t>
      </w:r>
      <w:r w:rsidR="00F93C38">
        <w:t>c</w:t>
      </w:r>
      <w:r w:rsidR="00A2434C">
        <w:t xml:space="preserve"> disease-modifying antirheumatic drugs</w:t>
      </w:r>
      <w:r w:rsidRPr="0051061D">
        <w:rPr>
          <w:color w:val="000000"/>
        </w:rPr>
        <w:t xml:space="preserve"> </w:t>
      </w:r>
      <w:r w:rsidR="00A2434C">
        <w:rPr>
          <w:color w:val="000000"/>
        </w:rPr>
        <w:t>(</w:t>
      </w:r>
      <w:r w:rsidRPr="0051061D">
        <w:rPr>
          <w:color w:val="000000"/>
        </w:rPr>
        <w:t>DMARDs</w:t>
      </w:r>
      <w:r w:rsidR="00A2434C">
        <w:rPr>
          <w:color w:val="000000"/>
        </w:rPr>
        <w:t>)</w:t>
      </w:r>
      <w:r w:rsidRPr="0051061D">
        <w:rPr>
          <w:color w:val="000000"/>
        </w:rPr>
        <w:t xml:space="preserve">, including </w:t>
      </w:r>
      <w:r w:rsidRPr="00AC34DD">
        <w:t>methotrexate.</w:t>
      </w:r>
    </w:p>
    <w:p w:rsidR="00711B29" w:rsidRDefault="00711B29" w:rsidP="00711B29">
      <w:pPr>
        <w:pStyle w:val="PIHeading3"/>
      </w:pPr>
      <w:r>
        <w:t>Psoriatic Arthritis</w:t>
      </w:r>
    </w:p>
    <w:p w:rsidR="00711B29" w:rsidRDefault="00711B29" w:rsidP="000B2876">
      <w:pPr>
        <w:autoSpaceDE w:val="0"/>
        <w:autoSpaceDN w:val="0"/>
        <w:adjustRightInd w:val="0"/>
      </w:pPr>
      <w:r>
        <w:t>XELJANZ</w:t>
      </w:r>
      <w:r w:rsidRPr="00AB358B">
        <w:t xml:space="preserve"> </w:t>
      </w:r>
      <w:r w:rsidRPr="004050C1">
        <w:t xml:space="preserve">in combination with </w:t>
      </w:r>
      <w:r w:rsidR="00F93C38">
        <w:t xml:space="preserve">conventional synthetic </w:t>
      </w:r>
      <w:r w:rsidR="006423E7">
        <w:t xml:space="preserve">DMARDs </w:t>
      </w:r>
      <w:r w:rsidRPr="00AB358B">
        <w:t xml:space="preserve">is indicated for the treatment of active </w:t>
      </w:r>
      <w:r>
        <w:t xml:space="preserve">psoriatic arthritis in adult patients who have had </w:t>
      </w:r>
      <w:r w:rsidRPr="00AB358B">
        <w:t>an inadequate response to a prior DMARD therapy</w:t>
      </w:r>
      <w:r w:rsidRPr="00106A28">
        <w:t>.</w:t>
      </w:r>
    </w:p>
    <w:p w:rsidR="000B2876" w:rsidRDefault="000B2876" w:rsidP="000B2876">
      <w:pPr>
        <w:pStyle w:val="PIHeading3"/>
      </w:pPr>
      <w:r>
        <w:t>Ulcerative Colitis</w:t>
      </w:r>
    </w:p>
    <w:p w:rsidR="000B2876" w:rsidRPr="00711B29" w:rsidRDefault="000B2876" w:rsidP="000B2876">
      <w:pPr>
        <w:autoSpaceDE w:val="0"/>
        <w:autoSpaceDN w:val="0"/>
        <w:adjustRightInd w:val="0"/>
        <w:spacing w:after="0"/>
        <w:rPr>
          <w:vertAlign w:val="superscript"/>
        </w:rPr>
      </w:pPr>
      <w:r w:rsidRPr="00CB1118">
        <w:rPr>
          <w:color w:val="000000"/>
        </w:rPr>
        <w:t xml:space="preserve">XELJANZ is indicated for the treatment of adult patients with moderately to severely active ulcerative colitis (UC) who have had an inadequate response, lost response, or were intolerant to </w:t>
      </w:r>
      <w:r>
        <w:rPr>
          <w:color w:val="000000"/>
        </w:rPr>
        <w:t xml:space="preserve">either </w:t>
      </w:r>
      <w:r w:rsidRPr="00CB1118">
        <w:rPr>
          <w:color w:val="000000"/>
        </w:rPr>
        <w:t>conventional therapy</w:t>
      </w:r>
      <w:r>
        <w:rPr>
          <w:color w:val="000000"/>
        </w:rPr>
        <w:t xml:space="preserve"> or a biological therapy</w:t>
      </w:r>
      <w:r w:rsidRPr="00CB1118">
        <w:rPr>
          <w:color w:val="000000"/>
        </w:rPr>
        <w:t>.</w:t>
      </w:r>
    </w:p>
    <w:p w:rsidR="003A4144" w:rsidRDefault="003A4144" w:rsidP="00F43C03">
      <w:pPr>
        <w:pStyle w:val="PIHeading2"/>
      </w:pPr>
      <w:r w:rsidRPr="003A4144">
        <w:t xml:space="preserve">4.2 </w:t>
      </w:r>
      <w:r w:rsidR="00F43C03">
        <w:t>Dose and Method of Administration</w:t>
      </w:r>
    </w:p>
    <w:p w:rsidR="00055561" w:rsidRDefault="00055561" w:rsidP="00FD6F56">
      <w:pPr>
        <w:keepNext/>
        <w:rPr>
          <w:iCs/>
        </w:rPr>
      </w:pPr>
      <w:r w:rsidRPr="000601D5">
        <w:rPr>
          <w:iCs/>
        </w:rPr>
        <w:t>Therapy with XELJANZ should be initiated and monitored by a specialist physician with expertise in the management of conditions for which XELJANZ is indicated</w:t>
      </w:r>
      <w:r w:rsidR="009E1D99">
        <w:rPr>
          <w:iCs/>
        </w:rPr>
        <w:t xml:space="preserve"> (e.g. rheumatologist or gastroenterologist)</w:t>
      </w:r>
      <w:r>
        <w:rPr>
          <w:iCs/>
        </w:rPr>
        <w:t>.</w:t>
      </w:r>
    </w:p>
    <w:p w:rsidR="009E1D99" w:rsidRPr="002C0B8D" w:rsidRDefault="009E1D99" w:rsidP="002C0B8D">
      <w:pPr>
        <w:pStyle w:val="PIHeading3"/>
      </w:pPr>
      <w:r w:rsidRPr="002C0B8D">
        <w:t xml:space="preserve">Important Administration Instructions </w:t>
      </w:r>
    </w:p>
    <w:p w:rsidR="002C0B8D" w:rsidRDefault="009E1D99" w:rsidP="002C0B8D">
      <w:pPr>
        <w:numPr>
          <w:ilvl w:val="0"/>
          <w:numId w:val="25"/>
        </w:numPr>
        <w:autoSpaceDE w:val="0"/>
        <w:autoSpaceDN w:val="0"/>
        <w:adjustRightInd w:val="0"/>
        <w:spacing w:after="120"/>
        <w:jc w:val="left"/>
        <w:rPr>
          <w:iCs/>
        </w:rPr>
      </w:pPr>
      <w:r w:rsidRPr="002C0B8D">
        <w:rPr>
          <w:iCs/>
        </w:rPr>
        <w:t xml:space="preserve">Do not initiate XELJANZ in patients with an absolute lymphocyte count </w:t>
      </w:r>
      <w:r w:rsidR="001E0F57">
        <w:rPr>
          <w:iCs/>
        </w:rPr>
        <w:t xml:space="preserve">(ALC) </w:t>
      </w:r>
      <w:r w:rsidRPr="002C0B8D">
        <w:rPr>
          <w:iCs/>
        </w:rPr>
        <w:t>less than 0.75 x 10</w:t>
      </w:r>
      <w:r w:rsidRPr="002C0B8D">
        <w:rPr>
          <w:iCs/>
          <w:vertAlign w:val="superscript"/>
        </w:rPr>
        <w:t>9</w:t>
      </w:r>
      <w:r w:rsidRPr="002C0B8D">
        <w:rPr>
          <w:iCs/>
        </w:rPr>
        <w:t xml:space="preserve"> cells/L, an absolute neutrophil count (ANC) less than 1x 10</w:t>
      </w:r>
      <w:r w:rsidRPr="002C0B8D">
        <w:rPr>
          <w:iCs/>
          <w:vertAlign w:val="superscript"/>
        </w:rPr>
        <w:t>9</w:t>
      </w:r>
      <w:r w:rsidRPr="002C0B8D">
        <w:rPr>
          <w:iCs/>
        </w:rPr>
        <w:t xml:space="preserve"> cells/L or who have haemoglobin levels less than 90 g/L. </w:t>
      </w:r>
    </w:p>
    <w:p w:rsidR="002C0B8D" w:rsidRDefault="009E1D99" w:rsidP="002C0B8D">
      <w:pPr>
        <w:numPr>
          <w:ilvl w:val="0"/>
          <w:numId w:val="25"/>
        </w:numPr>
        <w:autoSpaceDE w:val="0"/>
        <w:autoSpaceDN w:val="0"/>
        <w:adjustRightInd w:val="0"/>
        <w:spacing w:after="120"/>
        <w:jc w:val="left"/>
        <w:rPr>
          <w:iCs/>
        </w:rPr>
      </w:pPr>
      <w:r w:rsidRPr="002C0B8D">
        <w:rPr>
          <w:iCs/>
        </w:rPr>
        <w:t>Dose</w:t>
      </w:r>
      <w:r w:rsidR="00433913">
        <w:rPr>
          <w:iCs/>
        </w:rPr>
        <w:t xml:space="preserve"> adjustment or</w:t>
      </w:r>
      <w:r w:rsidRPr="002C0B8D">
        <w:rPr>
          <w:iCs/>
        </w:rPr>
        <w:t xml:space="preserve"> interruption is recommended for management of lymphopenia, neutropenia, and an</w:t>
      </w:r>
      <w:r w:rsidR="002C0B8D" w:rsidRPr="002C0B8D">
        <w:rPr>
          <w:iCs/>
        </w:rPr>
        <w:t>a</w:t>
      </w:r>
      <w:r w:rsidR="002C0B8D">
        <w:rPr>
          <w:iCs/>
        </w:rPr>
        <w:t>emia (</w:t>
      </w:r>
      <w:r w:rsidRPr="002C0B8D">
        <w:rPr>
          <w:iCs/>
        </w:rPr>
        <w:t>see Section 4.4 Special Warnings and Precautions For Use)</w:t>
      </w:r>
    </w:p>
    <w:p w:rsidR="002C0B8D" w:rsidRDefault="009E1D99" w:rsidP="002C0B8D">
      <w:pPr>
        <w:numPr>
          <w:ilvl w:val="0"/>
          <w:numId w:val="25"/>
        </w:numPr>
        <w:autoSpaceDE w:val="0"/>
        <w:autoSpaceDN w:val="0"/>
        <w:adjustRightInd w:val="0"/>
        <w:spacing w:after="120"/>
        <w:jc w:val="left"/>
        <w:rPr>
          <w:iCs/>
        </w:rPr>
      </w:pPr>
      <w:r w:rsidRPr="002C0B8D">
        <w:rPr>
          <w:iCs/>
        </w:rPr>
        <w:t>Interrupt use of XELJANZ if a patient develops a serious infection until the infection is</w:t>
      </w:r>
      <w:r w:rsidR="002C0B8D">
        <w:rPr>
          <w:iCs/>
        </w:rPr>
        <w:t xml:space="preserve"> controlled.</w:t>
      </w:r>
    </w:p>
    <w:p w:rsidR="009E1D99" w:rsidRPr="002C0B8D" w:rsidRDefault="009E1D99" w:rsidP="002C0B8D">
      <w:pPr>
        <w:numPr>
          <w:ilvl w:val="0"/>
          <w:numId w:val="25"/>
        </w:numPr>
        <w:autoSpaceDE w:val="0"/>
        <w:autoSpaceDN w:val="0"/>
        <w:adjustRightInd w:val="0"/>
        <w:ind w:left="357" w:hanging="357"/>
        <w:jc w:val="left"/>
        <w:rPr>
          <w:iCs/>
        </w:rPr>
      </w:pPr>
      <w:r w:rsidRPr="002C0B8D">
        <w:rPr>
          <w:iCs/>
        </w:rPr>
        <w:t xml:space="preserve">Take XELJANZ with or without food. </w:t>
      </w:r>
    </w:p>
    <w:p w:rsidR="00433913" w:rsidRPr="00433913" w:rsidRDefault="00433913" w:rsidP="00433913">
      <w:pPr>
        <w:pStyle w:val="PIHeading3"/>
        <w:rPr>
          <w:rFonts w:eastAsia="Arial Unicode MS"/>
        </w:rPr>
      </w:pPr>
      <w:r w:rsidRPr="00832C9C">
        <w:t>Method of Administration</w:t>
      </w:r>
    </w:p>
    <w:p w:rsidR="00E846F6" w:rsidRPr="00670FB3" w:rsidRDefault="00E846F6" w:rsidP="00D53C38">
      <w:pPr>
        <w:keepNext/>
        <w:spacing w:before="120" w:after="120"/>
        <w:rPr>
          <w:i/>
          <w:iCs/>
          <w:u w:val="single"/>
        </w:rPr>
      </w:pPr>
      <w:r w:rsidRPr="00670FB3">
        <w:rPr>
          <w:i/>
          <w:iCs/>
          <w:u w:val="single"/>
        </w:rPr>
        <w:t>Recommended Dosage in Rheumatoid Arthritis and Psoriatic Arthritis</w:t>
      </w:r>
    </w:p>
    <w:p w:rsidR="00085A00" w:rsidRDefault="00E846F6" w:rsidP="00D53C38">
      <w:pPr>
        <w:autoSpaceDE w:val="0"/>
        <w:autoSpaceDN w:val="0"/>
        <w:adjustRightInd w:val="0"/>
        <w:jc w:val="left"/>
        <w:rPr>
          <w:rFonts w:eastAsia="Arial Unicode MS"/>
          <w:color w:val="000000"/>
          <w:szCs w:val="22"/>
        </w:rPr>
      </w:pPr>
      <w:r w:rsidRPr="00E846F6">
        <w:rPr>
          <w:rFonts w:eastAsia="Arial Unicode MS"/>
          <w:color w:val="000000"/>
          <w:szCs w:val="22"/>
        </w:rPr>
        <w:t xml:space="preserve">Table 1 displays the recommended adult daily dosage of XELJANZ </w:t>
      </w:r>
      <w:r w:rsidR="00FF3890">
        <w:rPr>
          <w:rFonts w:eastAsia="Arial Unicode MS"/>
          <w:color w:val="000000"/>
          <w:szCs w:val="22"/>
        </w:rPr>
        <w:t xml:space="preserve">for rheumatoid arthritis and psoriatic arthritis, </w:t>
      </w:r>
      <w:r>
        <w:rPr>
          <w:rFonts w:eastAsia="Arial Unicode MS"/>
          <w:color w:val="000000"/>
          <w:szCs w:val="22"/>
        </w:rPr>
        <w:t xml:space="preserve">and </w:t>
      </w:r>
      <w:r w:rsidRPr="00E846F6">
        <w:rPr>
          <w:rFonts w:eastAsia="Arial Unicode MS"/>
          <w:color w:val="000000"/>
          <w:szCs w:val="22"/>
        </w:rPr>
        <w:t>dosage adjustments for patients receiving CYP2C19 and/or CYP3</w:t>
      </w:r>
      <w:r w:rsidR="00085A00">
        <w:rPr>
          <w:rFonts w:eastAsia="Arial Unicode MS"/>
          <w:color w:val="000000"/>
          <w:szCs w:val="22"/>
        </w:rPr>
        <w:t xml:space="preserve">A4 inhibitors, in patients with </w:t>
      </w:r>
      <w:r w:rsidRPr="00E846F6">
        <w:rPr>
          <w:rFonts w:eastAsia="Arial Unicode MS"/>
          <w:color w:val="000000"/>
          <w:szCs w:val="22"/>
        </w:rPr>
        <w:t xml:space="preserve">renal </w:t>
      </w:r>
      <w:r w:rsidR="00BA4D12">
        <w:rPr>
          <w:rFonts w:eastAsia="Arial Unicode MS"/>
          <w:color w:val="000000"/>
          <w:szCs w:val="22"/>
        </w:rPr>
        <w:t>or</w:t>
      </w:r>
      <w:r w:rsidRPr="00E846F6">
        <w:rPr>
          <w:rFonts w:eastAsia="Arial Unicode MS"/>
          <w:color w:val="000000"/>
          <w:szCs w:val="22"/>
        </w:rPr>
        <w:t xml:space="preserve"> hepati</w:t>
      </w:r>
      <w:r w:rsidR="00085A00">
        <w:rPr>
          <w:rFonts w:eastAsia="Arial Unicode MS"/>
          <w:color w:val="000000"/>
          <w:szCs w:val="22"/>
        </w:rPr>
        <w:t xml:space="preserve">c impairment, with lymphopenia, </w:t>
      </w:r>
      <w:r w:rsidRPr="00085A00">
        <w:rPr>
          <w:rFonts w:eastAsia="Arial Unicode MS"/>
          <w:color w:val="000000"/>
          <w:szCs w:val="22"/>
        </w:rPr>
        <w:t>neutropenia, or an</w:t>
      </w:r>
      <w:r w:rsidR="00085A00">
        <w:rPr>
          <w:rFonts w:eastAsia="Arial Unicode MS"/>
          <w:color w:val="000000"/>
          <w:szCs w:val="22"/>
        </w:rPr>
        <w:t>a</w:t>
      </w:r>
      <w:r w:rsidRPr="00085A00">
        <w:rPr>
          <w:rFonts w:eastAsia="Arial Unicode MS"/>
          <w:color w:val="000000"/>
          <w:szCs w:val="22"/>
        </w:rPr>
        <w:t>emia.</w:t>
      </w:r>
    </w:p>
    <w:p w:rsidR="00085A00" w:rsidRDefault="00085A00" w:rsidP="00085A00">
      <w:pPr>
        <w:autoSpaceDE w:val="0"/>
        <w:autoSpaceDN w:val="0"/>
        <w:adjustRightInd w:val="0"/>
        <w:spacing w:after="0"/>
        <w:jc w:val="left"/>
        <w:rPr>
          <w:rFonts w:eastAsia="Arial Unicode MS"/>
          <w:color w:val="000000"/>
          <w:szCs w:val="22"/>
        </w:rPr>
      </w:pPr>
    </w:p>
    <w:p w:rsidR="00085A00" w:rsidRDefault="00085A00" w:rsidP="00085A00">
      <w:pPr>
        <w:autoSpaceDE w:val="0"/>
        <w:autoSpaceDN w:val="0"/>
        <w:adjustRightInd w:val="0"/>
        <w:spacing w:after="0"/>
        <w:jc w:val="left"/>
        <w:rPr>
          <w:rFonts w:eastAsia="Arial Unicode MS"/>
          <w:color w:val="000000"/>
          <w:szCs w:val="22"/>
        </w:rPr>
      </w:pPr>
    </w:p>
    <w:p w:rsidR="00670FB3" w:rsidRDefault="00670FB3" w:rsidP="00085A00">
      <w:pPr>
        <w:autoSpaceDE w:val="0"/>
        <w:autoSpaceDN w:val="0"/>
        <w:adjustRightInd w:val="0"/>
        <w:spacing w:after="0"/>
        <w:jc w:val="left"/>
        <w:rPr>
          <w:rFonts w:eastAsia="Arial Unicode MS"/>
          <w:color w:val="000000"/>
          <w:szCs w:val="22"/>
        </w:rPr>
      </w:pPr>
    </w:p>
    <w:p w:rsidR="00085A00" w:rsidRDefault="00085A00" w:rsidP="00085A00">
      <w:pPr>
        <w:autoSpaceDE w:val="0"/>
        <w:autoSpaceDN w:val="0"/>
        <w:adjustRightInd w:val="0"/>
        <w:spacing w:after="0"/>
        <w:jc w:val="left"/>
        <w:rPr>
          <w:rFonts w:eastAsia="Arial Unicode MS"/>
          <w:color w:val="000000"/>
          <w:szCs w:val="22"/>
        </w:rPr>
      </w:pPr>
    </w:p>
    <w:p w:rsidR="00085A00" w:rsidRDefault="00085A00" w:rsidP="00085A00">
      <w:pPr>
        <w:autoSpaceDE w:val="0"/>
        <w:autoSpaceDN w:val="0"/>
        <w:adjustRightInd w:val="0"/>
        <w:spacing w:after="0"/>
        <w:jc w:val="left"/>
        <w:rPr>
          <w:rFonts w:eastAsia="Arial Unicode MS"/>
          <w:color w:val="000000"/>
          <w:szCs w:val="22"/>
        </w:rPr>
      </w:pPr>
    </w:p>
    <w:p w:rsidR="00085A00" w:rsidRDefault="00085A00" w:rsidP="00085A00">
      <w:pPr>
        <w:autoSpaceDE w:val="0"/>
        <w:autoSpaceDN w:val="0"/>
        <w:adjustRightInd w:val="0"/>
        <w:spacing w:after="0"/>
        <w:jc w:val="left"/>
        <w:rPr>
          <w:rFonts w:eastAsia="Arial Unicode M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111"/>
      </w:tblGrid>
      <w:tr w:rsidR="00085A00" w:rsidRPr="00B93C1E" w:rsidTr="00A90D6A">
        <w:tc>
          <w:tcPr>
            <w:tcW w:w="8897" w:type="dxa"/>
            <w:gridSpan w:val="2"/>
            <w:shd w:val="clear" w:color="auto" w:fill="auto"/>
          </w:tcPr>
          <w:p w:rsidR="00085A00" w:rsidRPr="00B93C1E" w:rsidRDefault="00085A00" w:rsidP="00B93C1E">
            <w:pPr>
              <w:autoSpaceDE w:val="0"/>
              <w:autoSpaceDN w:val="0"/>
              <w:adjustRightInd w:val="0"/>
              <w:spacing w:after="0"/>
              <w:jc w:val="left"/>
              <w:rPr>
                <w:rFonts w:eastAsia="TimesNewRoman,Bold"/>
                <w:b/>
                <w:bCs/>
                <w:szCs w:val="24"/>
                <w:lang w:eastAsia="en-AU"/>
              </w:rPr>
            </w:pPr>
            <w:r w:rsidRPr="00B93C1E">
              <w:rPr>
                <w:rFonts w:eastAsia="TimesNewRoman,Bold"/>
                <w:b/>
                <w:bCs/>
                <w:szCs w:val="24"/>
                <w:lang w:eastAsia="en-AU"/>
              </w:rPr>
              <w:t>Table 1: Recommended Dosage of XELJANZ in Patients with Rheumatoid Arthritis</w:t>
            </w:r>
            <w:r w:rsidRPr="00B93C1E">
              <w:rPr>
                <w:rFonts w:eastAsia="TimesNewRoman,Bold"/>
                <w:b/>
                <w:bCs/>
                <w:szCs w:val="24"/>
                <w:vertAlign w:val="superscript"/>
                <w:lang w:eastAsia="en-AU"/>
              </w:rPr>
              <w:t>1</w:t>
            </w:r>
            <w:r w:rsidRPr="00B93C1E">
              <w:rPr>
                <w:rFonts w:eastAsia="TimesNewRoman,Bold"/>
                <w:b/>
                <w:bCs/>
                <w:szCs w:val="24"/>
                <w:lang w:eastAsia="en-AU"/>
              </w:rPr>
              <w:t xml:space="preserve"> and Psoriatic Arthritis</w:t>
            </w:r>
            <w:r w:rsidRPr="00B93C1E">
              <w:rPr>
                <w:rFonts w:eastAsia="TimesNewRoman,Bold"/>
                <w:b/>
                <w:bCs/>
                <w:szCs w:val="24"/>
                <w:vertAlign w:val="superscript"/>
                <w:lang w:eastAsia="en-AU"/>
              </w:rPr>
              <w:t>2</w:t>
            </w:r>
          </w:p>
        </w:tc>
      </w:tr>
      <w:tr w:rsidR="00796375" w:rsidRPr="00B93C1E" w:rsidTr="00A90D6A">
        <w:tc>
          <w:tcPr>
            <w:tcW w:w="4786" w:type="dxa"/>
            <w:shd w:val="clear" w:color="auto" w:fill="auto"/>
          </w:tcPr>
          <w:p w:rsidR="00796375" w:rsidRPr="00B93C1E" w:rsidRDefault="00796375" w:rsidP="00B93C1E">
            <w:pPr>
              <w:autoSpaceDE w:val="0"/>
              <w:autoSpaceDN w:val="0"/>
              <w:adjustRightInd w:val="0"/>
              <w:spacing w:after="0"/>
              <w:jc w:val="left"/>
              <w:rPr>
                <w:rFonts w:eastAsia="Arial Unicode MS"/>
                <w:color w:val="000000"/>
                <w:szCs w:val="22"/>
              </w:rPr>
            </w:pPr>
          </w:p>
        </w:tc>
        <w:tc>
          <w:tcPr>
            <w:tcW w:w="4111" w:type="dxa"/>
            <w:shd w:val="clear" w:color="auto" w:fill="auto"/>
          </w:tcPr>
          <w:p w:rsidR="00796375" w:rsidRPr="00B93C1E" w:rsidRDefault="00796375" w:rsidP="00B93C1E">
            <w:pPr>
              <w:autoSpaceDE w:val="0"/>
              <w:autoSpaceDN w:val="0"/>
              <w:adjustRightInd w:val="0"/>
              <w:spacing w:after="0"/>
              <w:jc w:val="center"/>
              <w:rPr>
                <w:rFonts w:eastAsia="Arial Unicode MS"/>
                <w:color w:val="000000"/>
                <w:szCs w:val="22"/>
              </w:rPr>
            </w:pPr>
            <w:r w:rsidRPr="00B93C1E">
              <w:rPr>
                <w:rFonts w:eastAsia="Arial Unicode MS"/>
                <w:b/>
                <w:color w:val="000000"/>
                <w:szCs w:val="22"/>
              </w:rPr>
              <w:t>XELJANZ</w:t>
            </w:r>
          </w:p>
        </w:tc>
      </w:tr>
      <w:tr w:rsidR="00796375" w:rsidRPr="00B93C1E" w:rsidTr="00A90D6A">
        <w:tc>
          <w:tcPr>
            <w:tcW w:w="4786" w:type="dxa"/>
            <w:shd w:val="clear" w:color="auto" w:fill="auto"/>
          </w:tcPr>
          <w:p w:rsidR="00796375" w:rsidRPr="00B93C1E" w:rsidRDefault="00796375" w:rsidP="00B93C1E">
            <w:pPr>
              <w:autoSpaceDE w:val="0"/>
              <w:autoSpaceDN w:val="0"/>
              <w:adjustRightInd w:val="0"/>
              <w:spacing w:after="0"/>
              <w:jc w:val="left"/>
              <w:rPr>
                <w:rFonts w:eastAsia="Arial Unicode MS"/>
                <w:color w:val="000000"/>
                <w:szCs w:val="22"/>
              </w:rPr>
            </w:pPr>
            <w:r w:rsidRPr="00B93C1E">
              <w:rPr>
                <w:rFonts w:eastAsia="Arial Unicode MS"/>
                <w:color w:val="000000"/>
                <w:szCs w:val="22"/>
              </w:rPr>
              <w:t>Adult patients</w:t>
            </w:r>
          </w:p>
        </w:tc>
        <w:tc>
          <w:tcPr>
            <w:tcW w:w="4111" w:type="dxa"/>
            <w:shd w:val="clear" w:color="auto" w:fill="auto"/>
          </w:tcPr>
          <w:p w:rsidR="00796375" w:rsidRPr="00B93C1E" w:rsidRDefault="00796375" w:rsidP="00B93C1E">
            <w:pPr>
              <w:autoSpaceDE w:val="0"/>
              <w:autoSpaceDN w:val="0"/>
              <w:adjustRightInd w:val="0"/>
              <w:spacing w:after="0"/>
              <w:jc w:val="center"/>
              <w:rPr>
                <w:rFonts w:eastAsia="Arial Unicode MS"/>
                <w:color w:val="000000"/>
                <w:szCs w:val="22"/>
              </w:rPr>
            </w:pPr>
            <w:r w:rsidRPr="00B93C1E">
              <w:rPr>
                <w:rFonts w:eastAsia="Arial Unicode MS"/>
                <w:color w:val="000000"/>
                <w:szCs w:val="22"/>
              </w:rPr>
              <w:t>5 mg twice daily</w:t>
            </w:r>
          </w:p>
        </w:tc>
      </w:tr>
      <w:tr w:rsidR="00961773" w:rsidRPr="00A0775E" w:rsidTr="00A90D6A">
        <w:tc>
          <w:tcPr>
            <w:tcW w:w="8897" w:type="dxa"/>
            <w:gridSpan w:val="2"/>
            <w:shd w:val="clear" w:color="auto" w:fill="auto"/>
          </w:tcPr>
          <w:p w:rsidR="00961773" w:rsidRPr="00A0775E" w:rsidRDefault="00961773" w:rsidP="00B93C1E">
            <w:pPr>
              <w:autoSpaceDE w:val="0"/>
              <w:autoSpaceDN w:val="0"/>
              <w:adjustRightInd w:val="0"/>
              <w:spacing w:after="0"/>
              <w:jc w:val="center"/>
              <w:rPr>
                <w:b/>
                <w:i/>
                <w:iCs/>
              </w:rPr>
            </w:pPr>
            <w:r w:rsidRPr="00A0775E">
              <w:rPr>
                <w:b/>
                <w:i/>
                <w:iCs/>
              </w:rPr>
              <w:t>Interactions with Other Medicines</w:t>
            </w:r>
            <w:r w:rsidR="00FD321E" w:rsidRPr="00A0775E">
              <w:rPr>
                <w:b/>
                <w:i/>
                <w:iCs/>
                <w:vertAlign w:val="superscript"/>
              </w:rPr>
              <w:t>3</w:t>
            </w:r>
          </w:p>
        </w:tc>
      </w:tr>
      <w:tr w:rsidR="00796375" w:rsidRPr="00B93C1E" w:rsidTr="00A90D6A">
        <w:tc>
          <w:tcPr>
            <w:tcW w:w="4786" w:type="dxa"/>
            <w:shd w:val="clear" w:color="auto" w:fill="auto"/>
          </w:tcPr>
          <w:p w:rsidR="00796375" w:rsidRPr="00B93C1E" w:rsidRDefault="00796375" w:rsidP="00B93C1E">
            <w:pPr>
              <w:autoSpaceDE w:val="0"/>
              <w:autoSpaceDN w:val="0"/>
              <w:adjustRightInd w:val="0"/>
              <w:spacing w:after="0"/>
              <w:jc w:val="left"/>
              <w:rPr>
                <w:rFonts w:eastAsia="Arial Unicode MS"/>
                <w:color w:val="000000"/>
                <w:szCs w:val="22"/>
              </w:rPr>
            </w:pPr>
            <w:r w:rsidRPr="00B93C1E">
              <w:rPr>
                <w:rFonts w:eastAsia="Arial Unicode MS"/>
                <w:color w:val="000000"/>
                <w:szCs w:val="22"/>
              </w:rPr>
              <w:t>Patients receiving:</w:t>
            </w:r>
          </w:p>
          <w:p w:rsidR="00796375" w:rsidRPr="00B93C1E" w:rsidRDefault="000A084A" w:rsidP="00B93C1E">
            <w:pPr>
              <w:numPr>
                <w:ilvl w:val="0"/>
                <w:numId w:val="27"/>
              </w:numPr>
              <w:autoSpaceDE w:val="0"/>
              <w:autoSpaceDN w:val="0"/>
              <w:adjustRightInd w:val="0"/>
              <w:spacing w:after="0"/>
              <w:jc w:val="left"/>
              <w:rPr>
                <w:rFonts w:eastAsia="Arial Unicode MS"/>
                <w:color w:val="000000"/>
                <w:szCs w:val="22"/>
              </w:rPr>
            </w:pPr>
            <w:r>
              <w:rPr>
                <w:rFonts w:eastAsia="Arial Unicode MS"/>
                <w:color w:val="000000"/>
                <w:szCs w:val="22"/>
              </w:rPr>
              <w:t>Potent</w:t>
            </w:r>
            <w:r w:rsidR="00796375" w:rsidRPr="00B93C1E">
              <w:rPr>
                <w:rFonts w:eastAsia="Arial Unicode MS"/>
                <w:color w:val="000000"/>
                <w:szCs w:val="22"/>
              </w:rPr>
              <w:t xml:space="preserve"> CYP3A4 inhibitors (e.g.,</w:t>
            </w:r>
          </w:p>
          <w:p w:rsidR="00796375" w:rsidRPr="00B93C1E" w:rsidRDefault="00796375" w:rsidP="00B93C1E">
            <w:pPr>
              <w:autoSpaceDE w:val="0"/>
              <w:autoSpaceDN w:val="0"/>
              <w:adjustRightInd w:val="0"/>
              <w:spacing w:after="0"/>
              <w:ind w:left="360"/>
              <w:jc w:val="left"/>
              <w:rPr>
                <w:rFonts w:eastAsia="Arial Unicode MS"/>
                <w:color w:val="000000"/>
                <w:szCs w:val="22"/>
              </w:rPr>
            </w:pPr>
            <w:r w:rsidRPr="00B93C1E">
              <w:rPr>
                <w:rFonts w:eastAsia="Arial Unicode MS"/>
                <w:color w:val="000000"/>
                <w:szCs w:val="22"/>
              </w:rPr>
              <w:t>ketoconazole), or</w:t>
            </w:r>
          </w:p>
          <w:p w:rsidR="000A084A" w:rsidRDefault="00796375" w:rsidP="000A084A">
            <w:pPr>
              <w:numPr>
                <w:ilvl w:val="0"/>
                <w:numId w:val="27"/>
              </w:numPr>
              <w:autoSpaceDE w:val="0"/>
              <w:autoSpaceDN w:val="0"/>
              <w:adjustRightInd w:val="0"/>
              <w:spacing w:after="0"/>
              <w:jc w:val="left"/>
              <w:rPr>
                <w:rFonts w:eastAsia="Arial Unicode MS"/>
                <w:color w:val="000000"/>
                <w:szCs w:val="22"/>
              </w:rPr>
            </w:pPr>
            <w:r w:rsidRPr="00B93C1E">
              <w:rPr>
                <w:rFonts w:eastAsia="Arial Unicode MS"/>
                <w:color w:val="000000"/>
                <w:szCs w:val="22"/>
              </w:rPr>
              <w:t xml:space="preserve">a moderate CYP3A4 inhibitor(s) with a </w:t>
            </w:r>
            <w:r w:rsidR="000A084A">
              <w:rPr>
                <w:rFonts w:eastAsia="Arial Unicode MS"/>
                <w:color w:val="000000"/>
                <w:szCs w:val="22"/>
              </w:rPr>
              <w:t>potent</w:t>
            </w:r>
            <w:r w:rsidRPr="00B93C1E">
              <w:rPr>
                <w:rFonts w:eastAsia="Arial Unicode MS"/>
                <w:color w:val="000000"/>
                <w:szCs w:val="22"/>
              </w:rPr>
              <w:t xml:space="preserve"> CYP2C19</w:t>
            </w:r>
            <w:r w:rsidR="00382997" w:rsidRPr="00B93C1E">
              <w:rPr>
                <w:rFonts w:eastAsia="Arial Unicode MS"/>
                <w:color w:val="000000"/>
                <w:szCs w:val="22"/>
              </w:rPr>
              <w:t xml:space="preserve"> </w:t>
            </w:r>
            <w:r w:rsidRPr="00B93C1E">
              <w:rPr>
                <w:rFonts w:eastAsia="Arial Unicode MS"/>
                <w:color w:val="000000"/>
                <w:szCs w:val="22"/>
              </w:rPr>
              <w:t>inhibitor(s) (e.g., fluconazole)</w:t>
            </w:r>
          </w:p>
          <w:p w:rsidR="000A084A" w:rsidRPr="000A084A" w:rsidRDefault="000A084A" w:rsidP="00453591">
            <w:pPr>
              <w:autoSpaceDE w:val="0"/>
              <w:autoSpaceDN w:val="0"/>
              <w:adjustRightInd w:val="0"/>
              <w:spacing w:after="0"/>
              <w:jc w:val="left"/>
              <w:rPr>
                <w:rFonts w:eastAsia="Arial Unicode MS"/>
                <w:color w:val="000000"/>
                <w:szCs w:val="22"/>
              </w:rPr>
            </w:pPr>
            <w:r w:rsidRPr="0051061D">
              <w:rPr>
                <w:szCs w:val="22"/>
              </w:rPr>
              <w:t>(</w:t>
            </w:r>
            <w:proofErr w:type="gramStart"/>
            <w:r w:rsidR="00453591">
              <w:rPr>
                <w:szCs w:val="22"/>
              </w:rPr>
              <w:t>s</w:t>
            </w:r>
            <w:r w:rsidRPr="0051061D">
              <w:rPr>
                <w:szCs w:val="22"/>
              </w:rPr>
              <w:t>ee</w:t>
            </w:r>
            <w:proofErr w:type="gramEnd"/>
            <w:r w:rsidRPr="0051061D">
              <w:rPr>
                <w:szCs w:val="22"/>
              </w:rPr>
              <w:t xml:space="preserve"> </w:t>
            </w:r>
            <w:r>
              <w:rPr>
                <w:szCs w:val="22"/>
              </w:rPr>
              <w:t xml:space="preserve">Section 4.5 </w:t>
            </w:r>
            <w:r>
              <w:t>Interactions With Other Medicines and Other Forms of Interactions</w:t>
            </w:r>
            <w:r w:rsidRPr="0051061D">
              <w:rPr>
                <w:szCs w:val="22"/>
              </w:rPr>
              <w:t>)</w:t>
            </w:r>
            <w:r w:rsidR="00453591">
              <w:rPr>
                <w:szCs w:val="22"/>
              </w:rPr>
              <w:t>.</w:t>
            </w:r>
          </w:p>
        </w:tc>
        <w:tc>
          <w:tcPr>
            <w:tcW w:w="4111" w:type="dxa"/>
            <w:shd w:val="clear" w:color="auto" w:fill="auto"/>
          </w:tcPr>
          <w:p w:rsidR="00796375" w:rsidRPr="00B93C1E" w:rsidRDefault="00796375" w:rsidP="00B93C1E">
            <w:pPr>
              <w:autoSpaceDE w:val="0"/>
              <w:autoSpaceDN w:val="0"/>
              <w:adjustRightInd w:val="0"/>
              <w:spacing w:after="0"/>
              <w:jc w:val="center"/>
              <w:rPr>
                <w:rFonts w:eastAsia="Arial Unicode MS"/>
                <w:color w:val="000000"/>
                <w:szCs w:val="22"/>
              </w:rPr>
            </w:pPr>
          </w:p>
          <w:p w:rsidR="00382997" w:rsidRPr="00B93C1E" w:rsidRDefault="00382997" w:rsidP="00B93C1E">
            <w:pPr>
              <w:autoSpaceDE w:val="0"/>
              <w:autoSpaceDN w:val="0"/>
              <w:adjustRightInd w:val="0"/>
              <w:spacing w:after="0"/>
              <w:jc w:val="center"/>
              <w:rPr>
                <w:rFonts w:eastAsia="Arial Unicode MS"/>
                <w:color w:val="000000"/>
                <w:szCs w:val="22"/>
              </w:rPr>
            </w:pPr>
          </w:p>
          <w:p w:rsidR="00382997" w:rsidRPr="00B93C1E" w:rsidRDefault="00382997" w:rsidP="00B93C1E">
            <w:pPr>
              <w:autoSpaceDE w:val="0"/>
              <w:autoSpaceDN w:val="0"/>
              <w:adjustRightInd w:val="0"/>
              <w:spacing w:after="0"/>
              <w:jc w:val="center"/>
              <w:rPr>
                <w:rFonts w:eastAsia="Arial Unicode MS"/>
                <w:color w:val="000000"/>
                <w:szCs w:val="22"/>
              </w:rPr>
            </w:pPr>
          </w:p>
          <w:p w:rsidR="00382997" w:rsidRPr="00B93C1E" w:rsidRDefault="00382997" w:rsidP="00B93C1E">
            <w:pPr>
              <w:autoSpaceDE w:val="0"/>
              <w:autoSpaceDN w:val="0"/>
              <w:adjustRightInd w:val="0"/>
              <w:spacing w:after="0"/>
              <w:jc w:val="center"/>
              <w:rPr>
                <w:rFonts w:eastAsia="Arial Unicode MS"/>
                <w:color w:val="000000"/>
                <w:szCs w:val="22"/>
              </w:rPr>
            </w:pPr>
            <w:r w:rsidRPr="00B93C1E">
              <w:rPr>
                <w:rFonts w:eastAsia="Arial Unicode MS"/>
                <w:color w:val="000000"/>
                <w:szCs w:val="22"/>
              </w:rPr>
              <w:t>5 mg once daily</w:t>
            </w:r>
          </w:p>
        </w:tc>
      </w:tr>
      <w:tr w:rsidR="00961773" w:rsidRPr="00B93C1E" w:rsidTr="00A90D6A">
        <w:tc>
          <w:tcPr>
            <w:tcW w:w="8897" w:type="dxa"/>
            <w:gridSpan w:val="2"/>
            <w:shd w:val="clear" w:color="auto" w:fill="auto"/>
          </w:tcPr>
          <w:p w:rsidR="00961773" w:rsidRPr="00961773" w:rsidRDefault="00961773" w:rsidP="00A0775E">
            <w:pPr>
              <w:autoSpaceDE w:val="0"/>
              <w:autoSpaceDN w:val="0"/>
              <w:adjustRightInd w:val="0"/>
              <w:spacing w:after="0"/>
              <w:jc w:val="center"/>
              <w:rPr>
                <w:b/>
                <w:i/>
                <w:iCs/>
              </w:rPr>
            </w:pPr>
            <w:r w:rsidRPr="00961773">
              <w:rPr>
                <w:b/>
                <w:i/>
                <w:iCs/>
              </w:rPr>
              <w:t>Renal Impairment</w:t>
            </w:r>
            <w:r w:rsidR="00453591" w:rsidRPr="00453591">
              <w:rPr>
                <w:b/>
                <w:i/>
                <w:iCs/>
                <w:vertAlign w:val="superscript"/>
              </w:rPr>
              <w:t>4</w:t>
            </w:r>
          </w:p>
        </w:tc>
      </w:tr>
      <w:tr w:rsidR="00986FD0" w:rsidRPr="00B93C1E" w:rsidTr="00A90D6A">
        <w:tc>
          <w:tcPr>
            <w:tcW w:w="4786" w:type="dxa"/>
            <w:shd w:val="clear" w:color="auto" w:fill="auto"/>
          </w:tcPr>
          <w:p w:rsidR="00986FD0" w:rsidRDefault="00986FD0" w:rsidP="00B93C1E">
            <w:pPr>
              <w:autoSpaceDE w:val="0"/>
              <w:autoSpaceDN w:val="0"/>
              <w:adjustRightInd w:val="0"/>
              <w:spacing w:after="0"/>
              <w:jc w:val="left"/>
              <w:rPr>
                <w:szCs w:val="22"/>
              </w:rPr>
            </w:pPr>
            <w:r>
              <w:rPr>
                <w:szCs w:val="22"/>
              </w:rPr>
              <w:t>P</w:t>
            </w:r>
            <w:r w:rsidRPr="00FF0832">
              <w:rPr>
                <w:szCs w:val="22"/>
              </w:rPr>
              <w:t>atients with es</w:t>
            </w:r>
            <w:r>
              <w:rPr>
                <w:szCs w:val="22"/>
              </w:rPr>
              <w:t>timated GFR less than or equal to 50 mL/min</w:t>
            </w:r>
            <w:r w:rsidRPr="00FF0832">
              <w:rPr>
                <w:szCs w:val="22"/>
              </w:rPr>
              <w:t xml:space="preserve"> (including but not limited to those with severe renal impairment who are undergoing haemodialysis)</w:t>
            </w:r>
            <w:r>
              <w:rPr>
                <w:szCs w:val="22"/>
              </w:rPr>
              <w:t xml:space="preserve"> </w:t>
            </w:r>
          </w:p>
          <w:p w:rsidR="00986FD0" w:rsidRPr="00B93C1E" w:rsidRDefault="00453591" w:rsidP="00B93C1E">
            <w:pPr>
              <w:autoSpaceDE w:val="0"/>
              <w:autoSpaceDN w:val="0"/>
              <w:adjustRightInd w:val="0"/>
              <w:spacing w:after="0"/>
              <w:jc w:val="left"/>
              <w:rPr>
                <w:rFonts w:eastAsia="Arial Unicode MS"/>
                <w:color w:val="000000"/>
                <w:szCs w:val="22"/>
              </w:rPr>
            </w:pPr>
            <w:r>
              <w:rPr>
                <w:szCs w:val="22"/>
              </w:rPr>
              <w:t>(</w:t>
            </w:r>
            <w:proofErr w:type="gramStart"/>
            <w:r>
              <w:rPr>
                <w:szCs w:val="22"/>
              </w:rPr>
              <w:t>s</w:t>
            </w:r>
            <w:r w:rsidR="00986FD0" w:rsidRPr="0051061D">
              <w:rPr>
                <w:szCs w:val="22"/>
              </w:rPr>
              <w:t>ee</w:t>
            </w:r>
            <w:proofErr w:type="gramEnd"/>
            <w:r w:rsidR="00986FD0" w:rsidRPr="0051061D">
              <w:rPr>
                <w:szCs w:val="22"/>
              </w:rPr>
              <w:t xml:space="preserve"> </w:t>
            </w:r>
            <w:r w:rsidR="00986FD0">
              <w:rPr>
                <w:szCs w:val="22"/>
              </w:rPr>
              <w:t xml:space="preserve">Section 4.4 </w:t>
            </w:r>
            <w:r>
              <w:t xml:space="preserve">Special Warnings and </w:t>
            </w:r>
            <w:r w:rsidR="00986FD0">
              <w:t>Precautions For Use</w:t>
            </w:r>
            <w:r w:rsidR="00986FD0" w:rsidRPr="0051061D">
              <w:rPr>
                <w:szCs w:val="22"/>
              </w:rPr>
              <w:t xml:space="preserve"> and </w:t>
            </w:r>
            <w:r w:rsidR="00986FD0">
              <w:rPr>
                <w:szCs w:val="22"/>
              </w:rPr>
              <w:t>Section 5.2</w:t>
            </w:r>
            <w:r>
              <w:t xml:space="preserve"> </w:t>
            </w:r>
            <w:r w:rsidR="00986FD0">
              <w:t>Pharmacokinetic Properties</w:t>
            </w:r>
            <w:r w:rsidR="00986FD0" w:rsidRPr="0051061D">
              <w:rPr>
                <w:szCs w:val="22"/>
              </w:rPr>
              <w:t>)</w:t>
            </w:r>
            <w:r>
              <w:rPr>
                <w:szCs w:val="22"/>
              </w:rPr>
              <w:t>.</w:t>
            </w:r>
          </w:p>
        </w:tc>
        <w:tc>
          <w:tcPr>
            <w:tcW w:w="4111" w:type="dxa"/>
            <w:shd w:val="clear" w:color="auto" w:fill="auto"/>
          </w:tcPr>
          <w:p w:rsidR="00986FD0" w:rsidRDefault="00986FD0" w:rsidP="00B93C1E">
            <w:pPr>
              <w:autoSpaceDE w:val="0"/>
              <w:autoSpaceDN w:val="0"/>
              <w:adjustRightInd w:val="0"/>
              <w:spacing w:after="0"/>
              <w:jc w:val="center"/>
              <w:rPr>
                <w:rFonts w:eastAsia="Arial Unicode MS"/>
                <w:color w:val="000000"/>
                <w:szCs w:val="22"/>
              </w:rPr>
            </w:pPr>
          </w:p>
          <w:p w:rsidR="00986FD0" w:rsidRDefault="00986FD0" w:rsidP="00B93C1E">
            <w:pPr>
              <w:autoSpaceDE w:val="0"/>
              <w:autoSpaceDN w:val="0"/>
              <w:adjustRightInd w:val="0"/>
              <w:spacing w:after="0"/>
              <w:jc w:val="center"/>
              <w:rPr>
                <w:rFonts w:eastAsia="Arial Unicode MS"/>
                <w:color w:val="000000"/>
                <w:szCs w:val="22"/>
              </w:rPr>
            </w:pPr>
          </w:p>
          <w:p w:rsidR="00986FD0" w:rsidRDefault="00986FD0" w:rsidP="00B93C1E">
            <w:pPr>
              <w:autoSpaceDE w:val="0"/>
              <w:autoSpaceDN w:val="0"/>
              <w:adjustRightInd w:val="0"/>
              <w:spacing w:after="0"/>
              <w:jc w:val="center"/>
              <w:rPr>
                <w:rFonts w:eastAsia="Arial Unicode MS"/>
                <w:color w:val="000000"/>
                <w:szCs w:val="22"/>
              </w:rPr>
            </w:pPr>
          </w:p>
          <w:p w:rsidR="00986FD0" w:rsidRPr="00B93C1E" w:rsidRDefault="00986FD0" w:rsidP="00B93C1E">
            <w:pPr>
              <w:autoSpaceDE w:val="0"/>
              <w:autoSpaceDN w:val="0"/>
              <w:adjustRightInd w:val="0"/>
              <w:spacing w:after="0"/>
              <w:jc w:val="center"/>
              <w:rPr>
                <w:rFonts w:eastAsia="Arial Unicode MS"/>
                <w:color w:val="000000"/>
                <w:szCs w:val="22"/>
              </w:rPr>
            </w:pPr>
            <w:r>
              <w:rPr>
                <w:rFonts w:eastAsia="Arial Unicode MS"/>
                <w:color w:val="000000"/>
                <w:szCs w:val="22"/>
              </w:rPr>
              <w:t>5 mg once daily</w:t>
            </w:r>
          </w:p>
        </w:tc>
      </w:tr>
      <w:tr w:rsidR="00961773" w:rsidRPr="00B93C1E" w:rsidTr="00A90D6A">
        <w:tc>
          <w:tcPr>
            <w:tcW w:w="8897" w:type="dxa"/>
            <w:gridSpan w:val="2"/>
            <w:shd w:val="clear" w:color="auto" w:fill="auto"/>
          </w:tcPr>
          <w:p w:rsidR="00961773" w:rsidRPr="00961773" w:rsidRDefault="00961773" w:rsidP="00A0775E">
            <w:pPr>
              <w:pStyle w:val="PIHeading3"/>
              <w:spacing w:before="0" w:after="0"/>
              <w:jc w:val="center"/>
            </w:pPr>
            <w:r>
              <w:t>Hepatic Impairment</w:t>
            </w:r>
            <w:r w:rsidR="00453591">
              <w:rPr>
                <w:vertAlign w:val="superscript"/>
              </w:rPr>
              <w:t>5</w:t>
            </w:r>
          </w:p>
        </w:tc>
      </w:tr>
      <w:tr w:rsidR="005C5E5A" w:rsidRPr="00B93C1E" w:rsidTr="00A90D6A">
        <w:tc>
          <w:tcPr>
            <w:tcW w:w="4786" w:type="dxa"/>
            <w:shd w:val="clear" w:color="auto" w:fill="auto"/>
          </w:tcPr>
          <w:p w:rsidR="005C5E5A" w:rsidRDefault="005C5E5A" w:rsidP="00986FD0">
            <w:pPr>
              <w:autoSpaceDE w:val="0"/>
              <w:autoSpaceDN w:val="0"/>
              <w:adjustRightInd w:val="0"/>
              <w:spacing w:after="0"/>
              <w:jc w:val="left"/>
              <w:rPr>
                <w:rFonts w:eastAsia="Arial Unicode MS"/>
                <w:color w:val="000000"/>
                <w:szCs w:val="22"/>
              </w:rPr>
            </w:pPr>
            <w:r w:rsidRPr="00B93C1E">
              <w:rPr>
                <w:rFonts w:eastAsia="Arial Unicode MS"/>
                <w:color w:val="000000"/>
                <w:szCs w:val="22"/>
              </w:rPr>
              <w:t>Patients with moderate hepatic impairment</w:t>
            </w:r>
          </w:p>
          <w:p w:rsidR="005C5E5A" w:rsidRPr="00B93C1E" w:rsidRDefault="005C5E5A" w:rsidP="00986FD0">
            <w:pPr>
              <w:autoSpaceDE w:val="0"/>
              <w:autoSpaceDN w:val="0"/>
              <w:adjustRightInd w:val="0"/>
              <w:spacing w:after="0"/>
              <w:jc w:val="left"/>
              <w:rPr>
                <w:rFonts w:eastAsia="Arial Unicode MS"/>
                <w:color w:val="000000"/>
                <w:szCs w:val="22"/>
              </w:rPr>
            </w:pPr>
            <w:r w:rsidRPr="0051061D">
              <w:rPr>
                <w:szCs w:val="22"/>
              </w:rPr>
              <w:t>(</w:t>
            </w:r>
            <w:proofErr w:type="gramStart"/>
            <w:r w:rsidRPr="0051061D">
              <w:rPr>
                <w:szCs w:val="22"/>
              </w:rPr>
              <w:t>see</w:t>
            </w:r>
            <w:proofErr w:type="gramEnd"/>
            <w:r w:rsidRPr="0051061D">
              <w:rPr>
                <w:szCs w:val="22"/>
              </w:rPr>
              <w:t xml:space="preserve"> </w:t>
            </w:r>
            <w:r>
              <w:rPr>
                <w:szCs w:val="22"/>
              </w:rPr>
              <w:t xml:space="preserve">Section 4.4 </w:t>
            </w:r>
            <w:r>
              <w:t>Special Warnings and Precautions For Use</w:t>
            </w:r>
            <w:r w:rsidRPr="0051061D">
              <w:rPr>
                <w:szCs w:val="22"/>
              </w:rPr>
              <w:t xml:space="preserve"> and </w:t>
            </w:r>
            <w:r>
              <w:rPr>
                <w:szCs w:val="22"/>
              </w:rPr>
              <w:t xml:space="preserve">Section 5.2 </w:t>
            </w:r>
            <w:r>
              <w:t>Pharmacokinetic Properties</w:t>
            </w:r>
            <w:r w:rsidRPr="0051061D">
              <w:rPr>
                <w:szCs w:val="22"/>
              </w:rPr>
              <w:t>)</w:t>
            </w:r>
            <w:r w:rsidR="00453591">
              <w:rPr>
                <w:szCs w:val="22"/>
              </w:rPr>
              <w:t>.</w:t>
            </w:r>
          </w:p>
        </w:tc>
        <w:tc>
          <w:tcPr>
            <w:tcW w:w="4111" w:type="dxa"/>
            <w:shd w:val="clear" w:color="auto" w:fill="auto"/>
          </w:tcPr>
          <w:p w:rsidR="005C5E5A" w:rsidRPr="00B93C1E" w:rsidRDefault="005C5E5A" w:rsidP="00B93C1E">
            <w:pPr>
              <w:autoSpaceDE w:val="0"/>
              <w:autoSpaceDN w:val="0"/>
              <w:adjustRightInd w:val="0"/>
              <w:spacing w:after="0"/>
              <w:jc w:val="center"/>
              <w:rPr>
                <w:rFonts w:eastAsia="Arial Unicode MS"/>
                <w:color w:val="000000"/>
                <w:szCs w:val="22"/>
              </w:rPr>
            </w:pPr>
            <w:r w:rsidRPr="00B93C1E">
              <w:rPr>
                <w:rFonts w:eastAsia="Arial Unicode MS"/>
                <w:color w:val="000000"/>
                <w:szCs w:val="22"/>
              </w:rPr>
              <w:t>5 mg once daily</w:t>
            </w:r>
          </w:p>
        </w:tc>
      </w:tr>
      <w:tr w:rsidR="00A90D6A" w:rsidRPr="00B93C1E" w:rsidTr="00133E14">
        <w:tc>
          <w:tcPr>
            <w:tcW w:w="8897" w:type="dxa"/>
            <w:gridSpan w:val="2"/>
            <w:shd w:val="clear" w:color="auto" w:fill="auto"/>
          </w:tcPr>
          <w:p w:rsidR="00A90D6A" w:rsidRPr="00B93C1E" w:rsidRDefault="00A90D6A" w:rsidP="00B93C1E">
            <w:pPr>
              <w:autoSpaceDE w:val="0"/>
              <w:autoSpaceDN w:val="0"/>
              <w:adjustRightInd w:val="0"/>
              <w:spacing w:after="0"/>
              <w:jc w:val="center"/>
              <w:rPr>
                <w:rFonts w:eastAsia="Arial Unicode MS"/>
                <w:color w:val="000000"/>
                <w:szCs w:val="22"/>
              </w:rPr>
            </w:pPr>
            <w:r w:rsidRPr="00A90D6A">
              <w:rPr>
                <w:b/>
                <w:i/>
                <w:iCs/>
              </w:rPr>
              <w:t>Lymphopenia</w:t>
            </w:r>
          </w:p>
        </w:tc>
      </w:tr>
      <w:tr w:rsidR="005C5E5A" w:rsidRPr="00B93C1E" w:rsidTr="00A90D6A">
        <w:tc>
          <w:tcPr>
            <w:tcW w:w="4786" w:type="dxa"/>
            <w:shd w:val="clear" w:color="auto" w:fill="auto"/>
          </w:tcPr>
          <w:p w:rsidR="005C5E5A" w:rsidRPr="00B93C1E" w:rsidRDefault="005C5E5A" w:rsidP="00B93C1E">
            <w:pPr>
              <w:autoSpaceDE w:val="0"/>
              <w:autoSpaceDN w:val="0"/>
              <w:adjustRightInd w:val="0"/>
              <w:spacing w:after="0"/>
              <w:jc w:val="left"/>
              <w:rPr>
                <w:rFonts w:eastAsia="TimesNewRoman"/>
                <w:szCs w:val="24"/>
                <w:lang w:eastAsia="en-AU"/>
              </w:rPr>
            </w:pPr>
            <w:r w:rsidRPr="00B93C1E">
              <w:rPr>
                <w:rFonts w:eastAsia="TimesNewRoman"/>
                <w:szCs w:val="24"/>
                <w:lang w:eastAsia="en-AU"/>
              </w:rPr>
              <w:t xml:space="preserve">Patients with ALC </w:t>
            </w:r>
            <w:r w:rsidRPr="00B93C1E">
              <w:rPr>
                <w:rFonts w:cs="Arial"/>
                <w:szCs w:val="24"/>
                <w:lang w:val="en-US"/>
              </w:rPr>
              <w:t>≥0.75 x 10</w:t>
            </w:r>
            <w:r w:rsidRPr="00B93C1E">
              <w:rPr>
                <w:rFonts w:cs="Arial"/>
                <w:szCs w:val="24"/>
                <w:vertAlign w:val="superscript"/>
                <w:lang w:val="en-US"/>
              </w:rPr>
              <w:t>9</w:t>
            </w:r>
            <w:r w:rsidRPr="00B93C1E">
              <w:rPr>
                <w:rFonts w:cs="Arial"/>
                <w:szCs w:val="24"/>
                <w:lang w:val="en-US"/>
              </w:rPr>
              <w:t xml:space="preserve"> cells/L</w:t>
            </w:r>
            <w:r w:rsidR="00453591">
              <w:rPr>
                <w:rFonts w:cs="Arial"/>
                <w:szCs w:val="24"/>
                <w:lang w:val="en-US"/>
              </w:rPr>
              <w:t>.</w:t>
            </w:r>
          </w:p>
        </w:tc>
        <w:tc>
          <w:tcPr>
            <w:tcW w:w="4111" w:type="dxa"/>
            <w:shd w:val="clear" w:color="auto" w:fill="auto"/>
          </w:tcPr>
          <w:p w:rsidR="005C5E5A" w:rsidRPr="00B93C1E" w:rsidRDefault="005C5E5A" w:rsidP="00B93C1E">
            <w:pPr>
              <w:autoSpaceDE w:val="0"/>
              <w:autoSpaceDN w:val="0"/>
              <w:adjustRightInd w:val="0"/>
              <w:spacing w:after="0"/>
              <w:jc w:val="center"/>
              <w:rPr>
                <w:rFonts w:eastAsia="Arial Unicode MS"/>
                <w:color w:val="000000"/>
                <w:szCs w:val="22"/>
              </w:rPr>
            </w:pPr>
            <w:r w:rsidRPr="00B93C1E">
              <w:rPr>
                <w:rFonts w:eastAsia="Arial Unicode MS"/>
                <w:color w:val="000000"/>
                <w:szCs w:val="22"/>
              </w:rPr>
              <w:t>Maintain dose</w:t>
            </w:r>
          </w:p>
          <w:p w:rsidR="005C5E5A" w:rsidRPr="00B93C1E" w:rsidRDefault="005C5E5A" w:rsidP="00B93C1E">
            <w:pPr>
              <w:autoSpaceDE w:val="0"/>
              <w:autoSpaceDN w:val="0"/>
              <w:adjustRightInd w:val="0"/>
              <w:spacing w:after="0"/>
              <w:jc w:val="center"/>
              <w:rPr>
                <w:rFonts w:eastAsia="Arial Unicode MS"/>
                <w:color w:val="000000"/>
                <w:szCs w:val="22"/>
              </w:rPr>
            </w:pPr>
          </w:p>
        </w:tc>
      </w:tr>
      <w:tr w:rsidR="005C5E5A" w:rsidRPr="00B93C1E" w:rsidTr="00A90D6A">
        <w:tc>
          <w:tcPr>
            <w:tcW w:w="4786" w:type="dxa"/>
            <w:shd w:val="clear" w:color="auto" w:fill="auto"/>
          </w:tcPr>
          <w:p w:rsidR="005C5E5A" w:rsidRPr="00B93C1E" w:rsidRDefault="005C5E5A" w:rsidP="00A90D6A">
            <w:pPr>
              <w:autoSpaceDE w:val="0"/>
              <w:autoSpaceDN w:val="0"/>
              <w:adjustRightInd w:val="0"/>
              <w:spacing w:after="0"/>
              <w:jc w:val="left"/>
              <w:rPr>
                <w:rFonts w:cs="Arial"/>
                <w:szCs w:val="24"/>
                <w:lang w:val="en-US"/>
              </w:rPr>
            </w:pPr>
            <w:r w:rsidRPr="00B93C1E">
              <w:rPr>
                <w:rFonts w:eastAsia="TimesNewRoman"/>
                <w:szCs w:val="24"/>
                <w:lang w:eastAsia="en-AU"/>
              </w:rPr>
              <w:t xml:space="preserve">Patients with persistent </w:t>
            </w:r>
            <w:r w:rsidR="00B40B08">
              <w:rPr>
                <w:rFonts w:eastAsia="TimesNewRoman"/>
                <w:szCs w:val="24"/>
                <w:lang w:eastAsia="en-AU"/>
              </w:rPr>
              <w:t xml:space="preserve">decrease </w:t>
            </w:r>
            <w:r w:rsidRPr="00B93C1E">
              <w:rPr>
                <w:rFonts w:eastAsia="TimesNewRoman"/>
                <w:szCs w:val="24"/>
                <w:lang w:eastAsia="en-AU"/>
              </w:rPr>
              <w:t>(2 sequential values on routine testing) in ALC</w:t>
            </w:r>
            <w:r w:rsidR="00B40B08">
              <w:rPr>
                <w:rFonts w:eastAsia="TimesNewRoman"/>
                <w:szCs w:val="24"/>
                <w:lang w:eastAsia="en-AU"/>
              </w:rPr>
              <w:t xml:space="preserve"> in the</w:t>
            </w:r>
            <w:r w:rsidRPr="00B93C1E">
              <w:rPr>
                <w:rFonts w:eastAsia="TimesNewRoman"/>
                <w:szCs w:val="24"/>
                <w:lang w:eastAsia="en-AU"/>
              </w:rPr>
              <w:t xml:space="preserve"> range of </w:t>
            </w:r>
            <w:r>
              <w:t xml:space="preserve">0.5 – &lt;0.75 </w:t>
            </w:r>
            <w:r w:rsidRPr="00B93C1E">
              <w:rPr>
                <w:rFonts w:cs="Arial"/>
                <w:szCs w:val="24"/>
                <w:lang w:val="en-US"/>
              </w:rPr>
              <w:t>x 10</w:t>
            </w:r>
            <w:r w:rsidRPr="00B93C1E">
              <w:rPr>
                <w:rFonts w:cs="Arial"/>
                <w:szCs w:val="24"/>
                <w:vertAlign w:val="superscript"/>
                <w:lang w:val="en-US"/>
              </w:rPr>
              <w:t>9</w:t>
            </w:r>
            <w:r w:rsidRPr="00B93C1E">
              <w:rPr>
                <w:rFonts w:cs="Arial"/>
                <w:szCs w:val="24"/>
                <w:lang w:val="en-US"/>
              </w:rPr>
              <w:t xml:space="preserve"> cells/L</w:t>
            </w:r>
            <w:r w:rsidR="00453591">
              <w:rPr>
                <w:rFonts w:cs="Arial"/>
                <w:szCs w:val="24"/>
                <w:lang w:val="en-US"/>
              </w:rPr>
              <w:t>.</w:t>
            </w:r>
          </w:p>
        </w:tc>
        <w:tc>
          <w:tcPr>
            <w:tcW w:w="4111" w:type="dxa"/>
            <w:shd w:val="clear" w:color="auto" w:fill="auto"/>
          </w:tcPr>
          <w:p w:rsidR="005C5E5A" w:rsidRPr="00B93C1E" w:rsidRDefault="005C5E5A" w:rsidP="00B93C1E">
            <w:pPr>
              <w:autoSpaceDE w:val="0"/>
              <w:autoSpaceDN w:val="0"/>
              <w:adjustRightInd w:val="0"/>
              <w:spacing w:after="0"/>
              <w:jc w:val="center"/>
              <w:rPr>
                <w:rFonts w:eastAsia="Arial Unicode MS"/>
                <w:color w:val="000000"/>
                <w:szCs w:val="22"/>
              </w:rPr>
            </w:pPr>
            <w:r w:rsidRPr="00B93C1E">
              <w:rPr>
                <w:rFonts w:eastAsia="Arial Unicode MS"/>
                <w:color w:val="000000"/>
                <w:szCs w:val="22"/>
              </w:rPr>
              <w:t xml:space="preserve">Interrupt dosing. </w:t>
            </w:r>
          </w:p>
          <w:p w:rsidR="005C5E5A" w:rsidRPr="00B93C1E" w:rsidRDefault="005C5E5A" w:rsidP="00B93C1E">
            <w:pPr>
              <w:autoSpaceDE w:val="0"/>
              <w:autoSpaceDN w:val="0"/>
              <w:adjustRightInd w:val="0"/>
              <w:spacing w:after="0"/>
              <w:jc w:val="center"/>
              <w:rPr>
                <w:rFonts w:eastAsia="Arial Unicode MS"/>
                <w:color w:val="000000"/>
                <w:szCs w:val="22"/>
              </w:rPr>
            </w:pPr>
            <w:r w:rsidRPr="00B93C1E">
              <w:rPr>
                <w:rFonts w:eastAsia="Arial Unicode MS"/>
                <w:color w:val="000000"/>
                <w:szCs w:val="22"/>
              </w:rPr>
              <w:t xml:space="preserve">When ALC is </w:t>
            </w:r>
            <w:r w:rsidRPr="00B93C1E">
              <w:rPr>
                <w:szCs w:val="24"/>
              </w:rPr>
              <w:t>≥</w:t>
            </w:r>
            <w:r w:rsidRPr="00B93C1E">
              <w:rPr>
                <w:rFonts w:eastAsia="Arial Unicode MS"/>
                <w:color w:val="000000"/>
                <w:szCs w:val="22"/>
              </w:rPr>
              <w:t xml:space="preserve">0.75 </w:t>
            </w:r>
            <w:r w:rsidRPr="00B93C1E">
              <w:rPr>
                <w:rFonts w:cs="Arial"/>
                <w:szCs w:val="24"/>
                <w:lang w:val="en-US"/>
              </w:rPr>
              <w:t>x 10</w:t>
            </w:r>
            <w:r w:rsidRPr="00B93C1E">
              <w:rPr>
                <w:rFonts w:cs="Arial"/>
                <w:szCs w:val="24"/>
                <w:vertAlign w:val="superscript"/>
                <w:lang w:val="en-US"/>
              </w:rPr>
              <w:t>9</w:t>
            </w:r>
            <w:r w:rsidRPr="00B93C1E">
              <w:rPr>
                <w:rFonts w:cs="Arial"/>
                <w:szCs w:val="24"/>
                <w:lang w:val="en-US"/>
              </w:rPr>
              <w:t xml:space="preserve"> cells/L, resume 5 mg twice daily.</w:t>
            </w:r>
            <w:r w:rsidRPr="00B93C1E">
              <w:rPr>
                <w:rFonts w:eastAsia="Arial Unicode MS"/>
                <w:color w:val="000000"/>
                <w:szCs w:val="22"/>
              </w:rPr>
              <w:t xml:space="preserve"> </w:t>
            </w:r>
          </w:p>
        </w:tc>
      </w:tr>
      <w:tr w:rsidR="005C5E5A" w:rsidRPr="00B93C1E" w:rsidTr="00A90D6A">
        <w:tc>
          <w:tcPr>
            <w:tcW w:w="4786" w:type="dxa"/>
            <w:shd w:val="clear" w:color="auto" w:fill="auto"/>
          </w:tcPr>
          <w:p w:rsidR="005C5E5A" w:rsidRPr="00B93C1E" w:rsidRDefault="005C5E5A" w:rsidP="00B93C1E">
            <w:pPr>
              <w:autoSpaceDE w:val="0"/>
              <w:autoSpaceDN w:val="0"/>
              <w:adjustRightInd w:val="0"/>
              <w:spacing w:after="0"/>
              <w:jc w:val="left"/>
              <w:rPr>
                <w:rFonts w:cs="Arial"/>
                <w:szCs w:val="24"/>
                <w:lang w:val="en-US"/>
              </w:rPr>
            </w:pPr>
            <w:r w:rsidRPr="00B93C1E">
              <w:rPr>
                <w:rFonts w:eastAsia="TimesNewRoman"/>
                <w:szCs w:val="24"/>
                <w:lang w:eastAsia="en-AU"/>
              </w:rPr>
              <w:t>Patients with ALC &lt;0.5</w:t>
            </w:r>
            <w:r w:rsidRPr="00B93C1E">
              <w:rPr>
                <w:rFonts w:cs="Arial"/>
                <w:szCs w:val="24"/>
                <w:lang w:val="en-US"/>
              </w:rPr>
              <w:t xml:space="preserve"> x 10</w:t>
            </w:r>
            <w:r w:rsidRPr="00B93C1E">
              <w:rPr>
                <w:rFonts w:cs="Arial"/>
                <w:szCs w:val="24"/>
                <w:vertAlign w:val="superscript"/>
                <w:lang w:val="en-US"/>
              </w:rPr>
              <w:t>9</w:t>
            </w:r>
            <w:r w:rsidRPr="00B93C1E">
              <w:rPr>
                <w:rFonts w:cs="Arial"/>
                <w:szCs w:val="24"/>
                <w:lang w:val="en-US"/>
              </w:rPr>
              <w:t xml:space="preserve"> cells/L </w:t>
            </w:r>
          </w:p>
          <w:p w:rsidR="005C5E5A" w:rsidRPr="00B93C1E" w:rsidRDefault="005C5E5A" w:rsidP="00B93C1E">
            <w:pPr>
              <w:autoSpaceDE w:val="0"/>
              <w:autoSpaceDN w:val="0"/>
              <w:adjustRightInd w:val="0"/>
              <w:spacing w:after="0"/>
              <w:jc w:val="left"/>
              <w:rPr>
                <w:rFonts w:eastAsia="TimesNewRoman"/>
                <w:szCs w:val="24"/>
                <w:lang w:eastAsia="en-AU"/>
              </w:rPr>
            </w:pPr>
            <w:r w:rsidRPr="00B93C1E">
              <w:rPr>
                <w:rFonts w:cs="Arial"/>
                <w:szCs w:val="24"/>
                <w:lang w:val="en-US"/>
              </w:rPr>
              <w:t>(</w:t>
            </w:r>
            <w:proofErr w:type="gramStart"/>
            <w:r>
              <w:t>lab</w:t>
            </w:r>
            <w:proofErr w:type="gramEnd"/>
            <w:r>
              <w:t xml:space="preserve"> value confirmed by repeat testing within 7 days</w:t>
            </w:r>
            <w:r w:rsidRPr="00B93C1E">
              <w:rPr>
                <w:rFonts w:cs="Arial"/>
                <w:szCs w:val="24"/>
                <w:lang w:val="en-US"/>
              </w:rPr>
              <w:t>)</w:t>
            </w:r>
            <w:r w:rsidR="00453591">
              <w:rPr>
                <w:rFonts w:cs="Arial"/>
                <w:szCs w:val="24"/>
                <w:lang w:val="en-US"/>
              </w:rPr>
              <w:t>.</w:t>
            </w:r>
          </w:p>
        </w:tc>
        <w:tc>
          <w:tcPr>
            <w:tcW w:w="4111" w:type="dxa"/>
            <w:shd w:val="clear" w:color="auto" w:fill="auto"/>
          </w:tcPr>
          <w:p w:rsidR="005C5E5A" w:rsidRPr="00B93C1E" w:rsidRDefault="005C5E5A" w:rsidP="00B93C1E">
            <w:pPr>
              <w:autoSpaceDE w:val="0"/>
              <w:autoSpaceDN w:val="0"/>
              <w:adjustRightInd w:val="0"/>
              <w:spacing w:after="0"/>
              <w:jc w:val="center"/>
              <w:rPr>
                <w:rFonts w:eastAsia="Arial Unicode MS"/>
                <w:color w:val="000000"/>
                <w:szCs w:val="22"/>
              </w:rPr>
            </w:pPr>
          </w:p>
          <w:p w:rsidR="005C5E5A" w:rsidRPr="00B93C1E" w:rsidRDefault="005C5E5A" w:rsidP="00B93C1E">
            <w:pPr>
              <w:autoSpaceDE w:val="0"/>
              <w:autoSpaceDN w:val="0"/>
              <w:adjustRightInd w:val="0"/>
              <w:spacing w:after="0"/>
              <w:jc w:val="center"/>
              <w:rPr>
                <w:rFonts w:eastAsia="Arial Unicode MS"/>
                <w:color w:val="000000"/>
                <w:szCs w:val="22"/>
              </w:rPr>
            </w:pPr>
            <w:r w:rsidRPr="00B93C1E">
              <w:rPr>
                <w:rFonts w:eastAsia="Arial Unicode MS"/>
                <w:color w:val="000000"/>
                <w:szCs w:val="22"/>
              </w:rPr>
              <w:t>Discontinue dosing</w:t>
            </w:r>
          </w:p>
        </w:tc>
      </w:tr>
      <w:tr w:rsidR="00B40B08" w:rsidRPr="00B93C1E" w:rsidTr="00A90D6A">
        <w:tc>
          <w:tcPr>
            <w:tcW w:w="8897" w:type="dxa"/>
            <w:gridSpan w:val="2"/>
            <w:shd w:val="clear" w:color="auto" w:fill="auto"/>
          </w:tcPr>
          <w:p w:rsidR="00B40B08" w:rsidRPr="00B93C1E" w:rsidRDefault="00B40B08" w:rsidP="00B93C1E">
            <w:pPr>
              <w:autoSpaceDE w:val="0"/>
              <w:autoSpaceDN w:val="0"/>
              <w:adjustRightInd w:val="0"/>
              <w:spacing w:after="0"/>
              <w:jc w:val="center"/>
              <w:rPr>
                <w:rFonts w:eastAsia="Arial Unicode MS"/>
                <w:color w:val="000000"/>
                <w:szCs w:val="22"/>
              </w:rPr>
            </w:pPr>
            <w:r w:rsidRPr="00A90D6A">
              <w:rPr>
                <w:b/>
                <w:i/>
                <w:iCs/>
              </w:rPr>
              <w:t>Neutropenia</w:t>
            </w:r>
          </w:p>
        </w:tc>
      </w:tr>
      <w:tr w:rsidR="00B40B08" w:rsidRPr="00B93C1E" w:rsidTr="00A90D6A">
        <w:tc>
          <w:tcPr>
            <w:tcW w:w="4786" w:type="dxa"/>
            <w:shd w:val="clear" w:color="auto" w:fill="auto"/>
          </w:tcPr>
          <w:p w:rsidR="00B40B08" w:rsidRPr="00B93C1E" w:rsidRDefault="00B40B08" w:rsidP="00B93C1E">
            <w:pPr>
              <w:autoSpaceDE w:val="0"/>
              <w:autoSpaceDN w:val="0"/>
              <w:adjustRightInd w:val="0"/>
              <w:spacing w:after="0"/>
              <w:jc w:val="left"/>
              <w:rPr>
                <w:rFonts w:eastAsia="TimesNewRoman"/>
                <w:szCs w:val="24"/>
                <w:lang w:eastAsia="en-AU"/>
              </w:rPr>
            </w:pPr>
            <w:r>
              <w:rPr>
                <w:rFonts w:eastAsia="TimesNewRoman"/>
                <w:szCs w:val="24"/>
                <w:lang w:eastAsia="en-AU"/>
              </w:rPr>
              <w:t xml:space="preserve">Patients with ANC &gt;1.0 </w:t>
            </w:r>
            <w:r w:rsidRPr="00B93C1E">
              <w:rPr>
                <w:rFonts w:cs="Arial"/>
                <w:szCs w:val="24"/>
                <w:lang w:val="en-US"/>
              </w:rPr>
              <w:t>x 10</w:t>
            </w:r>
            <w:r w:rsidRPr="00B93C1E">
              <w:rPr>
                <w:rFonts w:cs="Arial"/>
                <w:szCs w:val="24"/>
                <w:vertAlign w:val="superscript"/>
                <w:lang w:val="en-US"/>
              </w:rPr>
              <w:t>9</w:t>
            </w:r>
            <w:r w:rsidRPr="00B93C1E">
              <w:rPr>
                <w:rFonts w:cs="Arial"/>
                <w:szCs w:val="24"/>
                <w:lang w:val="en-US"/>
              </w:rPr>
              <w:t xml:space="preserve"> cells/L</w:t>
            </w:r>
            <w:r w:rsidR="00453591">
              <w:rPr>
                <w:rFonts w:cs="Arial"/>
                <w:szCs w:val="24"/>
                <w:lang w:val="en-US"/>
              </w:rPr>
              <w:t>.</w:t>
            </w:r>
          </w:p>
        </w:tc>
        <w:tc>
          <w:tcPr>
            <w:tcW w:w="4111" w:type="dxa"/>
            <w:shd w:val="clear" w:color="auto" w:fill="auto"/>
          </w:tcPr>
          <w:p w:rsidR="00B40B08" w:rsidRPr="00B93C1E" w:rsidRDefault="00B40B08" w:rsidP="00B93C1E">
            <w:pPr>
              <w:autoSpaceDE w:val="0"/>
              <w:autoSpaceDN w:val="0"/>
              <w:adjustRightInd w:val="0"/>
              <w:spacing w:after="0"/>
              <w:jc w:val="center"/>
              <w:rPr>
                <w:rFonts w:eastAsia="Arial Unicode MS"/>
                <w:color w:val="000000"/>
                <w:szCs w:val="22"/>
              </w:rPr>
            </w:pPr>
            <w:r>
              <w:rPr>
                <w:rFonts w:eastAsia="Arial Unicode MS"/>
                <w:color w:val="000000"/>
                <w:szCs w:val="22"/>
              </w:rPr>
              <w:t>Maintain dose</w:t>
            </w:r>
          </w:p>
        </w:tc>
      </w:tr>
      <w:tr w:rsidR="005C5E5A" w:rsidRPr="00B93C1E" w:rsidTr="00A90D6A">
        <w:tc>
          <w:tcPr>
            <w:tcW w:w="4786" w:type="dxa"/>
            <w:shd w:val="clear" w:color="auto" w:fill="auto"/>
          </w:tcPr>
          <w:p w:rsidR="005C5E5A" w:rsidRPr="00A90D6A" w:rsidRDefault="005C5E5A" w:rsidP="00A90D6A">
            <w:pPr>
              <w:autoSpaceDE w:val="0"/>
              <w:autoSpaceDN w:val="0"/>
              <w:adjustRightInd w:val="0"/>
              <w:spacing w:after="0"/>
              <w:jc w:val="left"/>
              <w:rPr>
                <w:rFonts w:eastAsia="TimesNewRoman"/>
                <w:szCs w:val="24"/>
                <w:lang w:eastAsia="en-AU"/>
              </w:rPr>
            </w:pPr>
            <w:r w:rsidRPr="00B93C1E">
              <w:rPr>
                <w:rFonts w:eastAsia="TimesNewRoman"/>
                <w:szCs w:val="24"/>
                <w:lang w:eastAsia="en-AU"/>
              </w:rPr>
              <w:t>Patients with</w:t>
            </w:r>
            <w:r w:rsidR="00B40B08">
              <w:rPr>
                <w:rFonts w:eastAsia="TimesNewRoman"/>
                <w:szCs w:val="24"/>
                <w:lang w:eastAsia="en-AU"/>
              </w:rPr>
              <w:t xml:space="preserve"> persistent decrease (2 sequential values on routine testing) in</w:t>
            </w:r>
            <w:r w:rsidRPr="00B93C1E">
              <w:rPr>
                <w:rFonts w:eastAsia="TimesNewRoman"/>
                <w:szCs w:val="24"/>
                <w:lang w:eastAsia="en-AU"/>
              </w:rPr>
              <w:t xml:space="preserve"> ANC</w:t>
            </w:r>
            <w:r w:rsidR="00B40B08">
              <w:rPr>
                <w:rFonts w:eastAsia="TimesNewRoman"/>
                <w:szCs w:val="24"/>
                <w:lang w:eastAsia="en-AU"/>
              </w:rPr>
              <w:t xml:space="preserve"> in the range of</w:t>
            </w:r>
            <w:r w:rsidRPr="00B93C1E">
              <w:rPr>
                <w:rFonts w:eastAsia="TimesNewRoman"/>
                <w:szCs w:val="24"/>
                <w:lang w:eastAsia="en-AU"/>
              </w:rPr>
              <w:t xml:space="preserve"> </w:t>
            </w:r>
            <w:r w:rsidR="00B40B08">
              <w:rPr>
                <w:rFonts w:eastAsia="TimesNewRoman"/>
                <w:szCs w:val="24"/>
                <w:lang w:eastAsia="en-AU"/>
              </w:rPr>
              <w:t xml:space="preserve">0.5 – 1.0 </w:t>
            </w:r>
            <w:r w:rsidR="00B40B08" w:rsidRPr="00B93C1E">
              <w:rPr>
                <w:rFonts w:cs="Arial"/>
                <w:szCs w:val="24"/>
                <w:lang w:val="en-US"/>
              </w:rPr>
              <w:t>x 10</w:t>
            </w:r>
            <w:r w:rsidR="00B40B08" w:rsidRPr="00B93C1E">
              <w:rPr>
                <w:rFonts w:cs="Arial"/>
                <w:szCs w:val="24"/>
                <w:vertAlign w:val="superscript"/>
                <w:lang w:val="en-US"/>
              </w:rPr>
              <w:t>9</w:t>
            </w:r>
            <w:r w:rsidR="00B40B08" w:rsidRPr="00B93C1E">
              <w:rPr>
                <w:rFonts w:cs="Arial"/>
                <w:szCs w:val="24"/>
                <w:lang w:val="en-US"/>
              </w:rPr>
              <w:t xml:space="preserve"> cells/L</w:t>
            </w:r>
            <w:r w:rsidR="00453591">
              <w:rPr>
                <w:rFonts w:cs="Arial"/>
                <w:szCs w:val="24"/>
                <w:lang w:val="en-US"/>
              </w:rPr>
              <w:t>.</w:t>
            </w:r>
          </w:p>
        </w:tc>
        <w:tc>
          <w:tcPr>
            <w:tcW w:w="4111" w:type="dxa"/>
            <w:shd w:val="clear" w:color="auto" w:fill="auto"/>
          </w:tcPr>
          <w:p w:rsidR="005C5E5A" w:rsidRDefault="00B40B08" w:rsidP="00B93C1E">
            <w:pPr>
              <w:autoSpaceDE w:val="0"/>
              <w:autoSpaceDN w:val="0"/>
              <w:adjustRightInd w:val="0"/>
              <w:spacing w:after="0"/>
              <w:jc w:val="center"/>
              <w:rPr>
                <w:rFonts w:eastAsia="Arial Unicode MS"/>
                <w:color w:val="000000"/>
                <w:szCs w:val="22"/>
              </w:rPr>
            </w:pPr>
            <w:r>
              <w:rPr>
                <w:rFonts w:eastAsia="Arial Unicode MS"/>
                <w:color w:val="000000"/>
                <w:szCs w:val="22"/>
              </w:rPr>
              <w:t>Interrupt dosing.</w:t>
            </w:r>
          </w:p>
          <w:p w:rsidR="00B40B08" w:rsidRPr="00B93C1E" w:rsidRDefault="00B40B08" w:rsidP="00B93C1E">
            <w:pPr>
              <w:autoSpaceDE w:val="0"/>
              <w:autoSpaceDN w:val="0"/>
              <w:adjustRightInd w:val="0"/>
              <w:spacing w:after="0"/>
              <w:jc w:val="center"/>
              <w:rPr>
                <w:rFonts w:eastAsia="Arial Unicode MS"/>
                <w:color w:val="000000"/>
                <w:szCs w:val="22"/>
              </w:rPr>
            </w:pPr>
            <w:r>
              <w:rPr>
                <w:rFonts w:eastAsia="Arial Unicode MS"/>
                <w:color w:val="000000"/>
                <w:szCs w:val="22"/>
              </w:rPr>
              <w:t>When ANC is &gt;1.0</w:t>
            </w:r>
            <w:r w:rsidRPr="00B93C1E">
              <w:rPr>
                <w:rFonts w:cs="Arial"/>
                <w:szCs w:val="24"/>
                <w:lang w:val="en-US"/>
              </w:rPr>
              <w:t xml:space="preserve"> x 10</w:t>
            </w:r>
            <w:r w:rsidRPr="00B93C1E">
              <w:rPr>
                <w:rFonts w:cs="Arial"/>
                <w:szCs w:val="24"/>
                <w:vertAlign w:val="superscript"/>
                <w:lang w:val="en-US"/>
              </w:rPr>
              <w:t>9</w:t>
            </w:r>
            <w:r w:rsidRPr="00B93C1E">
              <w:rPr>
                <w:rFonts w:cs="Arial"/>
                <w:szCs w:val="24"/>
                <w:lang w:val="en-US"/>
              </w:rPr>
              <w:t xml:space="preserve"> cells/L</w:t>
            </w:r>
            <w:r>
              <w:rPr>
                <w:rFonts w:eastAsia="Arial Unicode MS"/>
                <w:color w:val="000000"/>
                <w:szCs w:val="22"/>
              </w:rPr>
              <w:t>, resume 5 mg twice daily</w:t>
            </w:r>
          </w:p>
        </w:tc>
      </w:tr>
      <w:tr w:rsidR="005C5E5A" w:rsidRPr="00B93C1E" w:rsidTr="00A90D6A">
        <w:tc>
          <w:tcPr>
            <w:tcW w:w="4786" w:type="dxa"/>
            <w:shd w:val="clear" w:color="auto" w:fill="auto"/>
          </w:tcPr>
          <w:p w:rsidR="005C5E5A" w:rsidRPr="00B93C1E" w:rsidRDefault="005C5E5A" w:rsidP="00A90D6A">
            <w:pPr>
              <w:autoSpaceDE w:val="0"/>
              <w:autoSpaceDN w:val="0"/>
              <w:adjustRightInd w:val="0"/>
              <w:spacing w:after="0"/>
              <w:jc w:val="left"/>
              <w:rPr>
                <w:rFonts w:eastAsia="Arial Unicode MS"/>
                <w:color w:val="000000"/>
                <w:szCs w:val="24"/>
              </w:rPr>
            </w:pPr>
            <w:r w:rsidRPr="00B93C1E">
              <w:rPr>
                <w:rFonts w:eastAsia="TimesNewRoman"/>
                <w:szCs w:val="24"/>
                <w:lang w:eastAsia="en-AU"/>
              </w:rPr>
              <w:t>Patients with ANC</w:t>
            </w:r>
            <w:r w:rsidR="00A90D6A">
              <w:rPr>
                <w:rFonts w:eastAsia="TimesNewRoman"/>
                <w:szCs w:val="24"/>
                <w:lang w:eastAsia="en-AU"/>
              </w:rPr>
              <w:t xml:space="preserve"> &lt;0.5 </w:t>
            </w:r>
            <w:r w:rsidR="00A90D6A" w:rsidRPr="00B93C1E">
              <w:rPr>
                <w:rFonts w:cs="Arial"/>
                <w:szCs w:val="24"/>
                <w:lang w:val="en-US"/>
              </w:rPr>
              <w:t>x 10</w:t>
            </w:r>
            <w:r w:rsidR="00A90D6A" w:rsidRPr="00B93C1E">
              <w:rPr>
                <w:rFonts w:cs="Arial"/>
                <w:szCs w:val="24"/>
                <w:vertAlign w:val="superscript"/>
                <w:lang w:val="en-US"/>
              </w:rPr>
              <w:t>9</w:t>
            </w:r>
            <w:r w:rsidR="00A90D6A" w:rsidRPr="00B93C1E">
              <w:rPr>
                <w:rFonts w:cs="Arial"/>
                <w:szCs w:val="24"/>
                <w:lang w:val="en-US"/>
              </w:rPr>
              <w:t xml:space="preserve"> cells/L</w:t>
            </w:r>
            <w:r w:rsidR="00A90D6A">
              <w:rPr>
                <w:rFonts w:cs="Arial"/>
                <w:szCs w:val="24"/>
                <w:lang w:val="en-US"/>
              </w:rPr>
              <w:t xml:space="preserve"> (confirmed by repeat testing)</w:t>
            </w:r>
            <w:r w:rsidR="00453591">
              <w:rPr>
                <w:rFonts w:cs="Arial"/>
                <w:szCs w:val="24"/>
                <w:lang w:val="en-US"/>
              </w:rPr>
              <w:t>.</w:t>
            </w:r>
          </w:p>
        </w:tc>
        <w:tc>
          <w:tcPr>
            <w:tcW w:w="4111" w:type="dxa"/>
            <w:shd w:val="clear" w:color="auto" w:fill="auto"/>
          </w:tcPr>
          <w:p w:rsidR="005C5E5A" w:rsidRPr="00B93C1E" w:rsidRDefault="00A90D6A" w:rsidP="00B93C1E">
            <w:pPr>
              <w:autoSpaceDE w:val="0"/>
              <w:autoSpaceDN w:val="0"/>
              <w:adjustRightInd w:val="0"/>
              <w:spacing w:after="0"/>
              <w:jc w:val="center"/>
              <w:rPr>
                <w:rFonts w:eastAsia="Arial Unicode MS"/>
                <w:color w:val="000000"/>
                <w:szCs w:val="22"/>
              </w:rPr>
            </w:pPr>
            <w:r>
              <w:rPr>
                <w:rFonts w:eastAsia="Arial Unicode MS"/>
                <w:color w:val="000000"/>
                <w:szCs w:val="22"/>
              </w:rPr>
              <w:t>Discontinue dosing</w:t>
            </w:r>
          </w:p>
        </w:tc>
      </w:tr>
      <w:tr w:rsidR="00B40B08" w:rsidRPr="00B93C1E" w:rsidTr="00A90D6A">
        <w:tc>
          <w:tcPr>
            <w:tcW w:w="8897" w:type="dxa"/>
            <w:gridSpan w:val="2"/>
            <w:shd w:val="clear" w:color="auto" w:fill="auto"/>
          </w:tcPr>
          <w:p w:rsidR="00B40B08" w:rsidRPr="00B93C1E" w:rsidRDefault="00B40B08" w:rsidP="00B93C1E">
            <w:pPr>
              <w:autoSpaceDE w:val="0"/>
              <w:autoSpaceDN w:val="0"/>
              <w:adjustRightInd w:val="0"/>
              <w:spacing w:after="0"/>
              <w:jc w:val="center"/>
              <w:rPr>
                <w:rFonts w:eastAsia="Arial Unicode MS"/>
                <w:color w:val="000000"/>
                <w:szCs w:val="22"/>
              </w:rPr>
            </w:pPr>
            <w:r w:rsidRPr="00A90D6A">
              <w:rPr>
                <w:b/>
                <w:i/>
                <w:iCs/>
              </w:rPr>
              <w:lastRenderedPageBreak/>
              <w:t>Anaemia</w:t>
            </w:r>
          </w:p>
        </w:tc>
      </w:tr>
      <w:tr w:rsidR="005C5E5A" w:rsidRPr="00B93C1E" w:rsidTr="00A90D6A">
        <w:tc>
          <w:tcPr>
            <w:tcW w:w="4786" w:type="dxa"/>
            <w:shd w:val="clear" w:color="auto" w:fill="auto"/>
          </w:tcPr>
          <w:p w:rsidR="005C5E5A" w:rsidRPr="00A90D6A" w:rsidRDefault="005C5E5A" w:rsidP="00A90D6A">
            <w:pPr>
              <w:keepNext/>
              <w:spacing w:after="0"/>
              <w:jc w:val="left"/>
            </w:pPr>
            <w:r w:rsidRPr="00B93C1E">
              <w:rPr>
                <w:rFonts w:eastAsia="TimesNewRoman"/>
                <w:szCs w:val="24"/>
                <w:lang w:eastAsia="en-AU"/>
              </w:rPr>
              <w:t>Patients with h</w:t>
            </w:r>
            <w:r w:rsidR="00A90D6A">
              <w:rPr>
                <w:rFonts w:eastAsia="TimesNewRoman"/>
                <w:szCs w:val="24"/>
                <w:lang w:eastAsia="en-AU"/>
              </w:rPr>
              <w:t>a</w:t>
            </w:r>
            <w:r w:rsidRPr="00B93C1E">
              <w:rPr>
                <w:rFonts w:eastAsia="TimesNewRoman"/>
                <w:szCs w:val="24"/>
                <w:lang w:eastAsia="en-AU"/>
              </w:rPr>
              <w:t xml:space="preserve">emoglobin </w:t>
            </w:r>
            <w:r w:rsidR="00A90D6A">
              <w:t xml:space="preserve">≤20 g/L decrease and </w:t>
            </w:r>
            <w:r w:rsidR="00A90D6A" w:rsidRPr="0051061D">
              <w:t>≥90 g/L</w:t>
            </w:r>
            <w:r w:rsidR="00453591">
              <w:t>.</w:t>
            </w:r>
          </w:p>
        </w:tc>
        <w:tc>
          <w:tcPr>
            <w:tcW w:w="4111" w:type="dxa"/>
            <w:shd w:val="clear" w:color="auto" w:fill="auto"/>
          </w:tcPr>
          <w:p w:rsidR="005C5E5A" w:rsidRPr="00B93C1E" w:rsidRDefault="00A90D6A" w:rsidP="00B93C1E">
            <w:pPr>
              <w:autoSpaceDE w:val="0"/>
              <w:autoSpaceDN w:val="0"/>
              <w:adjustRightInd w:val="0"/>
              <w:spacing w:after="0"/>
              <w:jc w:val="center"/>
              <w:rPr>
                <w:rFonts w:eastAsia="Arial Unicode MS"/>
                <w:color w:val="000000"/>
                <w:szCs w:val="22"/>
              </w:rPr>
            </w:pPr>
            <w:r>
              <w:rPr>
                <w:rFonts w:eastAsia="Arial Unicode MS"/>
                <w:color w:val="000000"/>
                <w:szCs w:val="22"/>
              </w:rPr>
              <w:t>Maintain dose</w:t>
            </w:r>
          </w:p>
        </w:tc>
      </w:tr>
      <w:tr w:rsidR="00A90D6A" w:rsidRPr="00B93C1E" w:rsidTr="00A90D6A">
        <w:tc>
          <w:tcPr>
            <w:tcW w:w="4786" w:type="dxa"/>
            <w:shd w:val="clear" w:color="auto" w:fill="auto"/>
          </w:tcPr>
          <w:p w:rsidR="00A90D6A" w:rsidRPr="00A90D6A" w:rsidRDefault="00A90D6A" w:rsidP="00A90D6A">
            <w:pPr>
              <w:keepNext/>
              <w:spacing w:after="0"/>
              <w:jc w:val="left"/>
            </w:pPr>
            <w:r w:rsidRPr="00B93C1E">
              <w:rPr>
                <w:rFonts w:eastAsia="TimesNewRoman"/>
                <w:szCs w:val="24"/>
                <w:lang w:eastAsia="en-AU"/>
              </w:rPr>
              <w:t>Patients with h</w:t>
            </w:r>
            <w:r>
              <w:rPr>
                <w:rFonts w:eastAsia="TimesNewRoman"/>
                <w:szCs w:val="24"/>
                <w:lang w:eastAsia="en-AU"/>
              </w:rPr>
              <w:t>a</w:t>
            </w:r>
            <w:r w:rsidRPr="00B93C1E">
              <w:rPr>
                <w:rFonts w:eastAsia="TimesNewRoman"/>
                <w:szCs w:val="24"/>
                <w:lang w:eastAsia="en-AU"/>
              </w:rPr>
              <w:t>emoglobin</w:t>
            </w:r>
            <w:r>
              <w:rPr>
                <w:rFonts w:eastAsia="TimesNewRoman"/>
                <w:szCs w:val="24"/>
                <w:lang w:eastAsia="en-AU"/>
              </w:rPr>
              <w:t xml:space="preserve"> </w:t>
            </w:r>
            <w:r>
              <w:t>&gt;20 g/L decrease or &lt;80 g/L (c</w:t>
            </w:r>
            <w:r w:rsidRPr="0051061D">
              <w:t>onfirmed by repeat testing)</w:t>
            </w:r>
            <w:r w:rsidR="00453591">
              <w:t>.</w:t>
            </w:r>
          </w:p>
        </w:tc>
        <w:tc>
          <w:tcPr>
            <w:tcW w:w="4111" w:type="dxa"/>
            <w:shd w:val="clear" w:color="auto" w:fill="auto"/>
          </w:tcPr>
          <w:p w:rsidR="00A90D6A" w:rsidRPr="00B93C1E" w:rsidRDefault="00A90D6A" w:rsidP="00B93C1E">
            <w:pPr>
              <w:autoSpaceDE w:val="0"/>
              <w:autoSpaceDN w:val="0"/>
              <w:adjustRightInd w:val="0"/>
              <w:spacing w:after="0"/>
              <w:jc w:val="center"/>
              <w:rPr>
                <w:rFonts w:eastAsia="Arial Unicode MS"/>
                <w:color w:val="000000"/>
                <w:szCs w:val="22"/>
              </w:rPr>
            </w:pPr>
            <w:r>
              <w:rPr>
                <w:rFonts w:eastAsia="Arial Unicode MS"/>
                <w:color w:val="000000"/>
                <w:szCs w:val="22"/>
              </w:rPr>
              <w:t xml:space="preserve">Interrupt dosing until </w:t>
            </w:r>
            <w:proofErr w:type="spellStart"/>
            <w:r>
              <w:rPr>
                <w:rFonts w:eastAsia="Arial Unicode MS"/>
                <w:color w:val="000000"/>
                <w:szCs w:val="22"/>
              </w:rPr>
              <w:t>haemoglobain</w:t>
            </w:r>
            <w:proofErr w:type="spellEnd"/>
            <w:r>
              <w:rPr>
                <w:rFonts w:eastAsia="Arial Unicode MS"/>
                <w:color w:val="000000"/>
                <w:szCs w:val="22"/>
              </w:rPr>
              <w:t xml:space="preserve"> values have normalised.</w:t>
            </w:r>
          </w:p>
        </w:tc>
      </w:tr>
    </w:tbl>
    <w:p w:rsidR="00F414BE" w:rsidRDefault="00F414BE" w:rsidP="00A90D6A">
      <w:pPr>
        <w:autoSpaceDE w:val="0"/>
        <w:autoSpaceDN w:val="0"/>
        <w:adjustRightInd w:val="0"/>
        <w:spacing w:before="120" w:after="0"/>
        <w:jc w:val="left"/>
      </w:pPr>
      <w:r w:rsidRPr="00F414BE">
        <w:rPr>
          <w:rFonts w:eastAsia="Arial Unicode MS"/>
          <w:color w:val="000000"/>
          <w:szCs w:val="22"/>
          <w:vertAlign w:val="superscript"/>
        </w:rPr>
        <w:t>1</w:t>
      </w:r>
      <w:r>
        <w:rPr>
          <w:rFonts w:eastAsia="Arial Unicode MS"/>
          <w:color w:val="000000"/>
          <w:szCs w:val="22"/>
        </w:rPr>
        <w:t xml:space="preserve"> </w:t>
      </w:r>
      <w:r w:rsidRPr="0051061D">
        <w:t xml:space="preserve">XELJANZ may be used as monotherapy or in combination with methotrexate or other </w:t>
      </w:r>
      <w:r w:rsidRPr="003C3F7E">
        <w:t>conventional syntheti</w:t>
      </w:r>
      <w:r>
        <w:t>c</w:t>
      </w:r>
      <w:r w:rsidRPr="0051061D">
        <w:t xml:space="preserve"> DMARDs</w:t>
      </w:r>
      <w:r>
        <w:t xml:space="preserve"> (</w:t>
      </w:r>
      <w:proofErr w:type="spellStart"/>
      <w:r>
        <w:t>csDMARDs</w:t>
      </w:r>
      <w:proofErr w:type="spellEnd"/>
      <w:r>
        <w:t>) in rheumatoid arthritis</w:t>
      </w:r>
      <w:r w:rsidRPr="0051061D">
        <w:t>.</w:t>
      </w:r>
    </w:p>
    <w:p w:rsidR="00085A00" w:rsidRDefault="00F414BE" w:rsidP="00085A00">
      <w:pPr>
        <w:autoSpaceDE w:val="0"/>
        <w:autoSpaceDN w:val="0"/>
        <w:adjustRightInd w:val="0"/>
        <w:spacing w:after="0"/>
        <w:jc w:val="left"/>
      </w:pPr>
      <w:r w:rsidRPr="00F414BE">
        <w:rPr>
          <w:vertAlign w:val="superscript"/>
        </w:rPr>
        <w:t>2</w:t>
      </w:r>
      <w:r>
        <w:t xml:space="preserve"> XELJANZ is used in combination with </w:t>
      </w:r>
      <w:proofErr w:type="spellStart"/>
      <w:r>
        <w:t>csDMARDs</w:t>
      </w:r>
      <w:proofErr w:type="spellEnd"/>
      <w:r>
        <w:t xml:space="preserve"> in psoriatic arthritis. </w:t>
      </w:r>
      <w:r>
        <w:rPr>
          <w:szCs w:val="24"/>
        </w:rPr>
        <w:t>The efficacy of XELJANZ as monotherapy has not been studied in patients with psoriatic arthritis.</w:t>
      </w:r>
      <w:r w:rsidRPr="0051061D">
        <w:t xml:space="preserve"> </w:t>
      </w:r>
    </w:p>
    <w:p w:rsidR="00FD321E" w:rsidRDefault="00FD321E" w:rsidP="00085A00">
      <w:pPr>
        <w:autoSpaceDE w:val="0"/>
        <w:autoSpaceDN w:val="0"/>
        <w:adjustRightInd w:val="0"/>
        <w:spacing w:after="0"/>
        <w:jc w:val="left"/>
        <w:rPr>
          <w:szCs w:val="22"/>
          <w:lang w:val="en-US"/>
        </w:rPr>
      </w:pPr>
      <w:r w:rsidRPr="008E46D0">
        <w:rPr>
          <w:vertAlign w:val="superscript"/>
        </w:rPr>
        <w:t>3</w:t>
      </w:r>
      <w:r>
        <w:t xml:space="preserve"> </w:t>
      </w:r>
      <w:proofErr w:type="spellStart"/>
      <w:r w:rsidRPr="0051061D">
        <w:t>Coadministration</w:t>
      </w:r>
      <w:proofErr w:type="spellEnd"/>
      <w:r w:rsidRPr="0051061D">
        <w:t xml:space="preserve"> of XELJANZ with potent CYP inducers (e.g., rifampicin) may result in loss of or reduced clinical response </w:t>
      </w:r>
      <w:r w:rsidRPr="0051061D">
        <w:rPr>
          <w:szCs w:val="22"/>
        </w:rPr>
        <w:t xml:space="preserve">(see </w:t>
      </w:r>
      <w:r>
        <w:rPr>
          <w:szCs w:val="22"/>
        </w:rPr>
        <w:t xml:space="preserve">Section 4.5 </w:t>
      </w:r>
      <w:r>
        <w:t xml:space="preserve">Interactions </w:t>
      </w:r>
      <w:proofErr w:type="gramStart"/>
      <w:r>
        <w:t>With</w:t>
      </w:r>
      <w:proofErr w:type="gramEnd"/>
      <w:r>
        <w:t xml:space="preserve"> Other Medicines and Other Forms of Interactions</w:t>
      </w:r>
      <w:r w:rsidRPr="0051061D">
        <w:rPr>
          <w:szCs w:val="22"/>
        </w:rPr>
        <w:t xml:space="preserve">).  </w:t>
      </w:r>
      <w:proofErr w:type="spellStart"/>
      <w:r w:rsidRPr="0051061D">
        <w:rPr>
          <w:szCs w:val="22"/>
          <w:lang w:val="en-US"/>
        </w:rPr>
        <w:t>Coadministration</w:t>
      </w:r>
      <w:proofErr w:type="spellEnd"/>
      <w:r w:rsidRPr="0051061D">
        <w:rPr>
          <w:szCs w:val="22"/>
          <w:lang w:val="en-US"/>
        </w:rPr>
        <w:t xml:space="preserve"> of potent inducers of CYP3A4 with XELJANZ is not recommended.</w:t>
      </w:r>
    </w:p>
    <w:p w:rsidR="00453591" w:rsidRPr="00453591" w:rsidRDefault="00453591" w:rsidP="00085A00">
      <w:pPr>
        <w:autoSpaceDE w:val="0"/>
        <w:autoSpaceDN w:val="0"/>
        <w:adjustRightInd w:val="0"/>
        <w:spacing w:after="0"/>
        <w:jc w:val="left"/>
        <w:rPr>
          <w:szCs w:val="22"/>
          <w:vertAlign w:val="superscript"/>
          <w:lang w:val="en-US"/>
        </w:rPr>
      </w:pPr>
      <w:r w:rsidRPr="00453591">
        <w:rPr>
          <w:szCs w:val="22"/>
          <w:vertAlign w:val="superscript"/>
          <w:lang w:val="en-US"/>
        </w:rPr>
        <w:t xml:space="preserve">4 </w:t>
      </w:r>
      <w:r>
        <w:rPr>
          <w:rFonts w:eastAsia="Arial Unicode MS"/>
          <w:color w:val="000000"/>
          <w:szCs w:val="22"/>
        </w:rPr>
        <w:t xml:space="preserve">No dose adjustment is required in </w:t>
      </w:r>
      <w:r>
        <w:rPr>
          <w:szCs w:val="22"/>
        </w:rPr>
        <w:t>p</w:t>
      </w:r>
      <w:r w:rsidRPr="00FF0832">
        <w:rPr>
          <w:szCs w:val="22"/>
        </w:rPr>
        <w:t>atients with estimated GFR more than 50 mL/min</w:t>
      </w:r>
      <w:r>
        <w:rPr>
          <w:szCs w:val="22"/>
        </w:rPr>
        <w:t>.</w:t>
      </w:r>
    </w:p>
    <w:p w:rsidR="00670FB3" w:rsidRPr="00D53C38" w:rsidRDefault="00453591" w:rsidP="000363FF">
      <w:pPr>
        <w:autoSpaceDE w:val="0"/>
        <w:autoSpaceDN w:val="0"/>
        <w:adjustRightInd w:val="0"/>
        <w:jc w:val="left"/>
        <w:rPr>
          <w:szCs w:val="22"/>
        </w:rPr>
      </w:pPr>
      <w:r>
        <w:rPr>
          <w:vertAlign w:val="superscript"/>
        </w:rPr>
        <w:t>5</w:t>
      </w:r>
      <w:r w:rsidR="00FD321E">
        <w:t xml:space="preserve"> </w:t>
      </w:r>
      <w:r>
        <w:rPr>
          <w:rFonts w:eastAsia="Arial Unicode MS"/>
          <w:color w:val="000000"/>
          <w:szCs w:val="22"/>
        </w:rPr>
        <w:t>No dose adjustment required</w:t>
      </w:r>
      <w:r w:rsidRPr="0051061D">
        <w:rPr>
          <w:rFonts w:hint="eastAsia"/>
          <w:szCs w:val="22"/>
        </w:rPr>
        <w:t xml:space="preserve"> </w:t>
      </w:r>
      <w:r>
        <w:rPr>
          <w:szCs w:val="22"/>
        </w:rPr>
        <w:t xml:space="preserve">in patients with </w:t>
      </w:r>
      <w:r w:rsidRPr="00B93C1E">
        <w:rPr>
          <w:rFonts w:eastAsia="Arial Unicode MS"/>
          <w:color w:val="000000"/>
          <w:szCs w:val="22"/>
        </w:rPr>
        <w:t>m</w:t>
      </w:r>
      <w:r>
        <w:rPr>
          <w:rFonts w:eastAsia="Arial Unicode MS"/>
          <w:color w:val="000000"/>
          <w:szCs w:val="22"/>
        </w:rPr>
        <w:t>ild</w:t>
      </w:r>
      <w:r w:rsidRPr="00B93C1E">
        <w:rPr>
          <w:rFonts w:eastAsia="Arial Unicode MS"/>
          <w:color w:val="000000"/>
          <w:szCs w:val="22"/>
        </w:rPr>
        <w:t xml:space="preserve"> hepatic impairment</w:t>
      </w:r>
      <w:r>
        <w:rPr>
          <w:rFonts w:eastAsia="Arial Unicode MS"/>
          <w:color w:val="000000"/>
          <w:szCs w:val="22"/>
        </w:rPr>
        <w:t>.</w:t>
      </w:r>
      <w:r>
        <w:rPr>
          <w:szCs w:val="22"/>
        </w:rPr>
        <w:t xml:space="preserve"> </w:t>
      </w:r>
      <w:r w:rsidR="00FD321E" w:rsidRPr="0051061D">
        <w:rPr>
          <w:rFonts w:hint="eastAsia"/>
          <w:szCs w:val="22"/>
        </w:rPr>
        <w:t>XELJANZ should not be used in patients with severe hepatic impairment</w:t>
      </w:r>
      <w:r w:rsidR="00FD321E" w:rsidRPr="0051061D">
        <w:rPr>
          <w:szCs w:val="22"/>
        </w:rPr>
        <w:t xml:space="preserve"> </w:t>
      </w:r>
      <w:r w:rsidR="00FD321E" w:rsidRPr="0051061D">
        <w:t xml:space="preserve">(see </w:t>
      </w:r>
      <w:r w:rsidR="00FD321E">
        <w:t>Section 4.3 Contraindications</w:t>
      </w:r>
      <w:r w:rsidR="00FD321E" w:rsidRPr="0051061D">
        <w:t xml:space="preserve"> and </w:t>
      </w:r>
      <w:r w:rsidR="00FD321E">
        <w:t>Section 5.2</w:t>
      </w:r>
      <w:r w:rsidR="00FD321E" w:rsidRPr="00E57F12">
        <w:t xml:space="preserve"> </w:t>
      </w:r>
      <w:r w:rsidR="00FD321E">
        <w:t>Pharmacokinetic Properties</w:t>
      </w:r>
      <w:r w:rsidR="00FD321E" w:rsidRPr="0051061D">
        <w:t>)</w:t>
      </w:r>
      <w:r w:rsidR="00FD321E" w:rsidRPr="0051061D">
        <w:rPr>
          <w:rFonts w:hint="eastAsia"/>
          <w:szCs w:val="22"/>
        </w:rPr>
        <w:t>.</w:t>
      </w:r>
    </w:p>
    <w:p w:rsidR="00453591" w:rsidRPr="00670FB3" w:rsidRDefault="00453591" w:rsidP="00D53C38">
      <w:pPr>
        <w:keepNext/>
        <w:spacing w:before="120" w:after="120"/>
        <w:rPr>
          <w:i/>
          <w:iCs/>
          <w:u w:val="single"/>
        </w:rPr>
      </w:pPr>
      <w:r w:rsidRPr="00670FB3">
        <w:rPr>
          <w:i/>
          <w:iCs/>
          <w:u w:val="single"/>
        </w:rPr>
        <w:t>Recommended Dosage in Ulcerative Colitis</w:t>
      </w:r>
    </w:p>
    <w:p w:rsidR="00453591" w:rsidRDefault="00453591" w:rsidP="00D53C38">
      <w:pPr>
        <w:autoSpaceDE w:val="0"/>
        <w:autoSpaceDN w:val="0"/>
        <w:adjustRightInd w:val="0"/>
        <w:jc w:val="left"/>
        <w:rPr>
          <w:rFonts w:eastAsia="Arial Unicode MS"/>
          <w:color w:val="000000"/>
          <w:szCs w:val="22"/>
        </w:rPr>
      </w:pPr>
      <w:r>
        <w:rPr>
          <w:rFonts w:eastAsia="Arial Unicode MS"/>
          <w:color w:val="000000"/>
          <w:szCs w:val="22"/>
        </w:rPr>
        <w:t>Table 2</w:t>
      </w:r>
      <w:r w:rsidRPr="00E846F6">
        <w:rPr>
          <w:rFonts w:eastAsia="Arial Unicode MS"/>
          <w:color w:val="000000"/>
          <w:szCs w:val="22"/>
        </w:rPr>
        <w:t xml:space="preserve"> displays the recommended adult daily dosage of XELJANZ </w:t>
      </w:r>
      <w:r w:rsidR="00FF3890">
        <w:rPr>
          <w:rFonts w:eastAsia="Arial Unicode MS"/>
          <w:color w:val="000000"/>
          <w:szCs w:val="22"/>
        </w:rPr>
        <w:t xml:space="preserve">for ulcerative colitis, </w:t>
      </w:r>
      <w:r>
        <w:rPr>
          <w:rFonts w:eastAsia="Arial Unicode MS"/>
          <w:color w:val="000000"/>
          <w:szCs w:val="22"/>
        </w:rPr>
        <w:t xml:space="preserve">and </w:t>
      </w:r>
      <w:r w:rsidRPr="00E846F6">
        <w:rPr>
          <w:rFonts w:eastAsia="Arial Unicode MS"/>
          <w:color w:val="000000"/>
          <w:szCs w:val="22"/>
        </w:rPr>
        <w:t>dosage adjustments for patients receiving CYP2C19 and/or CYP3</w:t>
      </w:r>
      <w:r>
        <w:rPr>
          <w:rFonts w:eastAsia="Arial Unicode MS"/>
          <w:color w:val="000000"/>
          <w:szCs w:val="22"/>
        </w:rPr>
        <w:t xml:space="preserve">A4 inhibitors, in patients with </w:t>
      </w:r>
      <w:r w:rsidRPr="00E846F6">
        <w:rPr>
          <w:rFonts w:eastAsia="Arial Unicode MS"/>
          <w:color w:val="000000"/>
          <w:szCs w:val="22"/>
        </w:rPr>
        <w:t>renal or hepati</w:t>
      </w:r>
      <w:r>
        <w:rPr>
          <w:rFonts w:eastAsia="Arial Unicode MS"/>
          <w:color w:val="000000"/>
          <w:szCs w:val="22"/>
        </w:rPr>
        <w:t xml:space="preserve">c impairment, with lymphopenia, </w:t>
      </w:r>
      <w:r w:rsidRPr="00085A00">
        <w:rPr>
          <w:rFonts w:eastAsia="Arial Unicode MS"/>
          <w:color w:val="000000"/>
          <w:szCs w:val="22"/>
        </w:rPr>
        <w:t>neutropenia, or an</w:t>
      </w:r>
      <w:r>
        <w:rPr>
          <w:rFonts w:eastAsia="Arial Unicode MS"/>
          <w:color w:val="000000"/>
          <w:szCs w:val="22"/>
        </w:rPr>
        <w:t>a</w:t>
      </w:r>
      <w:r w:rsidRPr="00085A00">
        <w:rPr>
          <w:rFonts w:eastAsia="Arial Unicode MS"/>
          <w:color w:val="000000"/>
          <w:szCs w:val="22"/>
        </w:rPr>
        <w:t>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961"/>
      </w:tblGrid>
      <w:tr w:rsidR="00453591" w:rsidRPr="00B93C1E" w:rsidTr="00133E14">
        <w:tc>
          <w:tcPr>
            <w:tcW w:w="8897" w:type="dxa"/>
            <w:gridSpan w:val="2"/>
            <w:shd w:val="clear" w:color="auto" w:fill="auto"/>
          </w:tcPr>
          <w:p w:rsidR="00453591" w:rsidRPr="00B93C1E" w:rsidRDefault="00453591" w:rsidP="00453591">
            <w:pPr>
              <w:autoSpaceDE w:val="0"/>
              <w:autoSpaceDN w:val="0"/>
              <w:adjustRightInd w:val="0"/>
              <w:spacing w:after="0"/>
              <w:jc w:val="left"/>
              <w:rPr>
                <w:rFonts w:eastAsia="TimesNewRoman,Bold"/>
                <w:b/>
                <w:bCs/>
                <w:szCs w:val="24"/>
                <w:lang w:eastAsia="en-AU"/>
              </w:rPr>
            </w:pPr>
            <w:r>
              <w:rPr>
                <w:rFonts w:eastAsia="TimesNewRoman,Bold"/>
                <w:b/>
                <w:bCs/>
                <w:szCs w:val="24"/>
                <w:lang w:eastAsia="en-AU"/>
              </w:rPr>
              <w:t>Table 2</w:t>
            </w:r>
            <w:r w:rsidRPr="00B93C1E">
              <w:rPr>
                <w:rFonts w:eastAsia="TimesNewRoman,Bold"/>
                <w:b/>
                <w:bCs/>
                <w:szCs w:val="24"/>
                <w:lang w:eastAsia="en-AU"/>
              </w:rPr>
              <w:t xml:space="preserve">: Recommended Dosage of XELJANZ in Patients with </w:t>
            </w:r>
            <w:r>
              <w:rPr>
                <w:rFonts w:eastAsia="TimesNewRoman,Bold"/>
                <w:b/>
                <w:bCs/>
                <w:szCs w:val="24"/>
                <w:lang w:eastAsia="en-AU"/>
              </w:rPr>
              <w:t>Ulcerative Colitis</w:t>
            </w:r>
          </w:p>
        </w:tc>
      </w:tr>
      <w:tr w:rsidR="00453591" w:rsidRPr="00B93C1E" w:rsidTr="00E95D85">
        <w:tc>
          <w:tcPr>
            <w:tcW w:w="3936" w:type="dxa"/>
            <w:shd w:val="clear" w:color="auto" w:fill="auto"/>
          </w:tcPr>
          <w:p w:rsidR="00453591" w:rsidRPr="00B93C1E" w:rsidRDefault="00453591" w:rsidP="00133E14">
            <w:pPr>
              <w:autoSpaceDE w:val="0"/>
              <w:autoSpaceDN w:val="0"/>
              <w:adjustRightInd w:val="0"/>
              <w:spacing w:after="0"/>
              <w:jc w:val="left"/>
              <w:rPr>
                <w:rFonts w:eastAsia="Arial Unicode MS"/>
                <w:color w:val="000000"/>
                <w:szCs w:val="22"/>
              </w:rPr>
            </w:pPr>
          </w:p>
        </w:tc>
        <w:tc>
          <w:tcPr>
            <w:tcW w:w="4961" w:type="dxa"/>
            <w:shd w:val="clear" w:color="auto" w:fill="auto"/>
          </w:tcPr>
          <w:p w:rsidR="00453591" w:rsidRPr="00B93C1E" w:rsidRDefault="00453591" w:rsidP="00133E14">
            <w:pPr>
              <w:autoSpaceDE w:val="0"/>
              <w:autoSpaceDN w:val="0"/>
              <w:adjustRightInd w:val="0"/>
              <w:spacing w:after="0"/>
              <w:jc w:val="center"/>
              <w:rPr>
                <w:rFonts w:eastAsia="Arial Unicode MS"/>
                <w:color w:val="000000"/>
                <w:szCs w:val="22"/>
              </w:rPr>
            </w:pPr>
            <w:r w:rsidRPr="00B93C1E">
              <w:rPr>
                <w:rFonts w:eastAsia="Arial Unicode MS"/>
                <w:b/>
                <w:color w:val="000000"/>
                <w:szCs w:val="22"/>
              </w:rPr>
              <w:t>XELJANZ</w:t>
            </w:r>
          </w:p>
        </w:tc>
      </w:tr>
      <w:tr w:rsidR="00453591" w:rsidRPr="00B93C1E" w:rsidTr="00E95D85">
        <w:tc>
          <w:tcPr>
            <w:tcW w:w="3936" w:type="dxa"/>
            <w:shd w:val="clear" w:color="auto" w:fill="auto"/>
          </w:tcPr>
          <w:p w:rsidR="00453591" w:rsidRPr="00B93C1E" w:rsidRDefault="00453591" w:rsidP="00133E14">
            <w:pPr>
              <w:autoSpaceDE w:val="0"/>
              <w:autoSpaceDN w:val="0"/>
              <w:adjustRightInd w:val="0"/>
              <w:spacing w:after="0"/>
              <w:jc w:val="left"/>
              <w:rPr>
                <w:rFonts w:eastAsia="Arial Unicode MS"/>
                <w:color w:val="000000"/>
                <w:szCs w:val="22"/>
              </w:rPr>
            </w:pPr>
            <w:r w:rsidRPr="00B93C1E">
              <w:rPr>
                <w:rFonts w:eastAsia="Arial Unicode MS"/>
                <w:color w:val="000000"/>
                <w:szCs w:val="22"/>
              </w:rPr>
              <w:t>Adult patients</w:t>
            </w:r>
          </w:p>
        </w:tc>
        <w:tc>
          <w:tcPr>
            <w:tcW w:w="4961" w:type="dxa"/>
            <w:shd w:val="clear" w:color="auto" w:fill="auto"/>
          </w:tcPr>
          <w:p w:rsidR="00E95D85" w:rsidRPr="00A44BEC" w:rsidRDefault="006A3B45" w:rsidP="00D2487A">
            <w:pPr>
              <w:autoSpaceDE w:val="0"/>
              <w:autoSpaceDN w:val="0"/>
              <w:adjustRightInd w:val="0"/>
              <w:spacing w:after="0"/>
              <w:jc w:val="left"/>
              <w:rPr>
                <w:rFonts w:eastAsia="Arial Unicode MS"/>
                <w:szCs w:val="24"/>
              </w:rPr>
            </w:pPr>
            <w:r w:rsidRPr="00A44BEC">
              <w:rPr>
                <w:rFonts w:eastAsia="Arial Unicode MS"/>
                <w:szCs w:val="24"/>
              </w:rPr>
              <w:t>The recommended dose for adult patients with moderate</w:t>
            </w:r>
            <w:r w:rsidRPr="007E6EE3">
              <w:rPr>
                <w:rFonts w:eastAsia="Arial Unicode MS"/>
                <w:szCs w:val="24"/>
              </w:rPr>
              <w:t>ly</w:t>
            </w:r>
            <w:r w:rsidRPr="00FC2A5B">
              <w:rPr>
                <w:rFonts w:eastAsia="Arial Unicode MS"/>
                <w:szCs w:val="24"/>
              </w:rPr>
              <w:t xml:space="preserve"> to severe</w:t>
            </w:r>
            <w:r w:rsidRPr="009B03BD">
              <w:rPr>
                <w:rFonts w:eastAsia="Arial Unicode MS"/>
                <w:szCs w:val="24"/>
              </w:rPr>
              <w:t>ly active</w:t>
            </w:r>
            <w:r w:rsidRPr="00CE22DF">
              <w:rPr>
                <w:rFonts w:eastAsia="Arial Unicode MS"/>
                <w:szCs w:val="24"/>
              </w:rPr>
              <w:t xml:space="preserve"> ulcerative colitis is </w:t>
            </w:r>
            <w:r w:rsidR="00E95D85" w:rsidRPr="003B3D05">
              <w:rPr>
                <w:rFonts w:eastAsia="Arial Unicode MS"/>
                <w:szCs w:val="24"/>
              </w:rPr>
              <w:t>10 m</w:t>
            </w:r>
            <w:r w:rsidR="00861529" w:rsidRPr="003B3D05">
              <w:rPr>
                <w:rFonts w:eastAsia="Arial Unicode MS"/>
                <w:szCs w:val="24"/>
              </w:rPr>
              <w:t>g twice daily for induction for</w:t>
            </w:r>
            <w:r w:rsidR="00E95D85" w:rsidRPr="00A44BEC">
              <w:rPr>
                <w:rFonts w:eastAsia="Arial Unicode MS"/>
                <w:szCs w:val="24"/>
              </w:rPr>
              <w:t xml:space="preserve"> 8 weeks and 5 mg twice daily for maintenance.</w:t>
            </w:r>
          </w:p>
          <w:p w:rsidR="00D2487A" w:rsidRPr="007E6EE3" w:rsidRDefault="00D2487A" w:rsidP="00D2487A">
            <w:pPr>
              <w:autoSpaceDE w:val="0"/>
              <w:autoSpaceDN w:val="0"/>
              <w:adjustRightInd w:val="0"/>
              <w:spacing w:after="0"/>
              <w:jc w:val="left"/>
              <w:rPr>
                <w:rFonts w:eastAsia="Arial Unicode MS"/>
                <w:szCs w:val="24"/>
              </w:rPr>
            </w:pPr>
          </w:p>
          <w:p w:rsidR="00E95D85" w:rsidRPr="00A44BEC" w:rsidRDefault="00E95D85" w:rsidP="00D2487A">
            <w:pPr>
              <w:autoSpaceDE w:val="0"/>
              <w:autoSpaceDN w:val="0"/>
              <w:adjustRightInd w:val="0"/>
              <w:spacing w:after="0"/>
              <w:jc w:val="left"/>
              <w:rPr>
                <w:rFonts w:eastAsia="Arial Unicode MS"/>
                <w:szCs w:val="24"/>
              </w:rPr>
            </w:pPr>
            <w:r w:rsidRPr="009B03BD">
              <w:rPr>
                <w:rFonts w:eastAsia="Arial Unicode MS"/>
                <w:szCs w:val="24"/>
              </w:rPr>
              <w:t>For patients who do not achieve adequate therapeutic benefit by week 8 (e.g. those with the greatest disease activity o</w:t>
            </w:r>
            <w:r w:rsidRPr="00CE22DF">
              <w:rPr>
                <w:rFonts w:eastAsia="Arial Unicode MS"/>
                <w:szCs w:val="24"/>
              </w:rPr>
              <w:t xml:space="preserve">r those refractory to tumour necrosis factor (TNF)-inhibitors), the induction dose of 10 mg twice daily can be extended for an additional 8 weeks (16 weeks total), followed by 5 mg twice daily for maintenance. </w:t>
            </w:r>
            <w:r w:rsidRPr="00AC7E79">
              <w:rPr>
                <w:rFonts w:eastAsia="Arial Unicode MS"/>
                <w:szCs w:val="24"/>
              </w:rPr>
              <w:t>Continued treatment is not recommended for patients who have not shown a clinical response by Week 16 (see Section 5.1 Clinical Trials, Ulcerative Colitis</w:t>
            </w:r>
            <w:r w:rsidRPr="001E0F17">
              <w:rPr>
                <w:rFonts w:eastAsia="Arial Unicode MS"/>
                <w:szCs w:val="24"/>
              </w:rPr>
              <w:t>)</w:t>
            </w:r>
            <w:r w:rsidR="00F11769" w:rsidRPr="002333DA">
              <w:rPr>
                <w:rFonts w:eastAsia="Arial Unicode MS"/>
                <w:szCs w:val="24"/>
              </w:rPr>
              <w:t>.</w:t>
            </w:r>
          </w:p>
          <w:p w:rsidR="00D2487A" w:rsidRPr="007E6EE3" w:rsidRDefault="00D2487A" w:rsidP="00D2487A">
            <w:pPr>
              <w:autoSpaceDE w:val="0"/>
              <w:autoSpaceDN w:val="0"/>
              <w:adjustRightInd w:val="0"/>
              <w:spacing w:after="0"/>
              <w:jc w:val="left"/>
              <w:rPr>
                <w:rFonts w:eastAsia="Arial Unicode MS"/>
                <w:szCs w:val="24"/>
              </w:rPr>
            </w:pPr>
          </w:p>
          <w:p w:rsidR="00E95D85" w:rsidRPr="00A44BEC" w:rsidRDefault="00F11769" w:rsidP="00D2487A">
            <w:pPr>
              <w:autoSpaceDE w:val="0"/>
              <w:autoSpaceDN w:val="0"/>
              <w:adjustRightInd w:val="0"/>
              <w:spacing w:after="0"/>
              <w:jc w:val="left"/>
              <w:rPr>
                <w:rFonts w:eastAsia="Arial Unicode MS"/>
                <w:szCs w:val="24"/>
              </w:rPr>
            </w:pPr>
            <w:r w:rsidRPr="009B03BD">
              <w:rPr>
                <w:rFonts w:eastAsia="Arial Unicode MS"/>
                <w:szCs w:val="24"/>
              </w:rPr>
              <w:t>Use the lowest effectiv</w:t>
            </w:r>
            <w:r w:rsidRPr="00CE22DF">
              <w:rPr>
                <w:rFonts w:eastAsia="Arial Unicode MS"/>
                <w:szCs w:val="24"/>
              </w:rPr>
              <w:t>e dose to maintain response.</w:t>
            </w:r>
            <w:r w:rsidR="008119B0" w:rsidRPr="00371BE1">
              <w:rPr>
                <w:rFonts w:eastAsia="Arial Unicode MS"/>
                <w:szCs w:val="24"/>
              </w:rPr>
              <w:t xml:space="preserve"> </w:t>
            </w:r>
            <w:r w:rsidR="008119B0" w:rsidRPr="00433913">
              <w:rPr>
                <w:szCs w:val="24"/>
              </w:rPr>
              <w:t>Following end of induction therapy, the choice of maintenance therapy should</w:t>
            </w:r>
            <w:r w:rsidR="008119B0" w:rsidRPr="00D53C38">
              <w:rPr>
                <w:szCs w:val="24"/>
              </w:rPr>
              <w:t xml:space="preserve"> be based on individual consideration of the patient’s </w:t>
            </w:r>
            <w:r w:rsidR="008119B0" w:rsidRPr="00D53C38">
              <w:rPr>
                <w:szCs w:val="24"/>
              </w:rPr>
              <w:lastRenderedPageBreak/>
              <w:t>clinical response and treatment history</w:t>
            </w:r>
            <w:r w:rsidR="008119B0" w:rsidRPr="00AC7E79">
              <w:rPr>
                <w:szCs w:val="24"/>
              </w:rPr>
              <w:t xml:space="preserve">. </w:t>
            </w:r>
            <w:r w:rsidR="008119B0" w:rsidRPr="00AC7E79">
              <w:rPr>
                <w:rFonts w:eastAsia="Arial Unicode MS"/>
                <w:szCs w:val="24"/>
              </w:rPr>
              <w:t xml:space="preserve">For refractory patients, such as those who have failed </w:t>
            </w:r>
            <w:r w:rsidR="008119B0" w:rsidRPr="001E0F17">
              <w:rPr>
                <w:rFonts w:eastAsia="Arial Unicode MS"/>
                <w:szCs w:val="24"/>
              </w:rPr>
              <w:t>prior TNF inhibitor therapy</w:t>
            </w:r>
            <w:r w:rsidR="008119B0" w:rsidRPr="00A44BEC">
              <w:rPr>
                <w:rFonts w:eastAsia="Arial Unicode MS"/>
                <w:szCs w:val="24"/>
              </w:rPr>
              <w:t>,</w:t>
            </w:r>
            <w:r w:rsidR="008119B0" w:rsidRPr="00A44BEC" w:rsidDel="007E5B48">
              <w:rPr>
                <w:rFonts w:eastAsia="Arial Unicode MS"/>
                <w:szCs w:val="24"/>
              </w:rPr>
              <w:t xml:space="preserve"> </w:t>
            </w:r>
            <w:r w:rsidR="008119B0" w:rsidRPr="00A44BEC">
              <w:rPr>
                <w:rFonts w:eastAsia="Arial Unicode MS"/>
                <w:szCs w:val="24"/>
              </w:rPr>
              <w:t>consideration may be given to continuation of the 10 mg twice daily dose</w:t>
            </w:r>
            <w:r w:rsidR="008119B0" w:rsidRPr="007E6EE3">
              <w:rPr>
                <w:rFonts w:eastAsia="Arial Unicode MS"/>
                <w:szCs w:val="24"/>
              </w:rPr>
              <w:t xml:space="preserve"> for maintenance in order to maintain therapeutic benefit</w:t>
            </w:r>
            <w:r w:rsidR="008119B0" w:rsidRPr="00A44BEC">
              <w:rPr>
                <w:rFonts w:eastAsia="Arial Unicode MS"/>
                <w:szCs w:val="24"/>
              </w:rPr>
              <w:t>.</w:t>
            </w:r>
          </w:p>
          <w:p w:rsidR="00D2487A" w:rsidRPr="007E6EE3" w:rsidRDefault="00D2487A" w:rsidP="00D2487A">
            <w:pPr>
              <w:autoSpaceDE w:val="0"/>
              <w:autoSpaceDN w:val="0"/>
              <w:adjustRightInd w:val="0"/>
              <w:spacing w:after="0"/>
              <w:jc w:val="left"/>
              <w:rPr>
                <w:rFonts w:eastAsia="Arial Unicode MS"/>
                <w:szCs w:val="24"/>
              </w:rPr>
            </w:pPr>
          </w:p>
          <w:p w:rsidR="006A3B45" w:rsidRPr="00433913" w:rsidRDefault="006A3B45" w:rsidP="006A3B45">
            <w:pPr>
              <w:pStyle w:val="PINormal"/>
              <w:spacing w:after="0"/>
              <w:jc w:val="left"/>
              <w:rPr>
                <w:rFonts w:eastAsia="Arial Unicode MS"/>
                <w:szCs w:val="24"/>
              </w:rPr>
            </w:pPr>
            <w:r w:rsidRPr="009B03BD">
              <w:rPr>
                <w:rFonts w:eastAsia="Arial Unicode MS"/>
                <w:szCs w:val="24"/>
              </w:rPr>
              <w:t>Patients who fail to maintain therapeutic benefit on XELJANZ 5</w:t>
            </w:r>
            <w:r w:rsidRPr="00CE22DF">
              <w:rPr>
                <w:rFonts w:eastAsia="Arial Unicode MS"/>
                <w:szCs w:val="24"/>
              </w:rPr>
              <w:t> mg twice daily may benefit from an increase to XELJANZ 10</w:t>
            </w:r>
            <w:r w:rsidRPr="00371BE1">
              <w:rPr>
                <w:rFonts w:eastAsia="Arial Unicode MS"/>
                <w:szCs w:val="24"/>
              </w:rPr>
              <w:t> mg administered twice daily</w:t>
            </w:r>
            <w:r w:rsidRPr="00433913">
              <w:rPr>
                <w:rFonts w:eastAsia="Arial Unicode MS"/>
                <w:szCs w:val="24"/>
              </w:rPr>
              <w:t xml:space="preserve"> for maintenance.</w:t>
            </w:r>
          </w:p>
          <w:p w:rsidR="006A3B45" w:rsidRPr="00D53C38" w:rsidRDefault="006A3B45" w:rsidP="006A3B45">
            <w:pPr>
              <w:pStyle w:val="PINormal"/>
              <w:spacing w:after="0"/>
              <w:jc w:val="left"/>
              <w:rPr>
                <w:szCs w:val="24"/>
              </w:rPr>
            </w:pPr>
          </w:p>
          <w:p w:rsidR="006A3B45" w:rsidRPr="00AC7E79" w:rsidRDefault="006A3B45" w:rsidP="006A3B45">
            <w:pPr>
              <w:pStyle w:val="PINormal"/>
              <w:spacing w:after="0"/>
              <w:jc w:val="left"/>
              <w:rPr>
                <w:szCs w:val="24"/>
              </w:rPr>
            </w:pPr>
            <w:r w:rsidRPr="00AC7E79">
              <w:rPr>
                <w:szCs w:val="24"/>
              </w:rPr>
              <w:t>In patients who have responded to treatment with XEJLANZ, corticosteroids may be reduced and/or discontinued in accordance with standard of care.</w:t>
            </w:r>
          </w:p>
          <w:p w:rsidR="006A3B45" w:rsidRPr="001E0F17" w:rsidRDefault="006A3B45" w:rsidP="006A3B45">
            <w:pPr>
              <w:pStyle w:val="PINormal"/>
              <w:spacing w:after="0"/>
              <w:jc w:val="left"/>
              <w:rPr>
                <w:szCs w:val="24"/>
              </w:rPr>
            </w:pPr>
          </w:p>
          <w:p w:rsidR="006A3B45" w:rsidRPr="00621EF7" w:rsidRDefault="006A3B45" w:rsidP="006A3B45">
            <w:pPr>
              <w:pStyle w:val="PINormal"/>
              <w:spacing w:after="0"/>
              <w:jc w:val="left"/>
              <w:rPr>
                <w:i/>
                <w:szCs w:val="24"/>
              </w:rPr>
            </w:pPr>
            <w:r w:rsidRPr="00621EF7">
              <w:rPr>
                <w:i/>
                <w:szCs w:val="24"/>
              </w:rPr>
              <w:t>Retreatment in UC</w:t>
            </w:r>
          </w:p>
          <w:p w:rsidR="006A3B45" w:rsidRPr="00A44BEC" w:rsidRDefault="006A3B45" w:rsidP="006A3B45">
            <w:pPr>
              <w:autoSpaceDE w:val="0"/>
              <w:autoSpaceDN w:val="0"/>
              <w:adjustRightInd w:val="0"/>
              <w:spacing w:after="0"/>
              <w:jc w:val="left"/>
              <w:rPr>
                <w:rFonts w:eastAsia="Arial Unicode MS"/>
                <w:szCs w:val="24"/>
              </w:rPr>
            </w:pPr>
            <w:r w:rsidRPr="007E6EE3">
              <w:rPr>
                <w:szCs w:val="24"/>
                <w:lang w:val="en-GB"/>
              </w:rPr>
              <w:t>If therapy is</w:t>
            </w:r>
            <w:r w:rsidRPr="00FC2A5B">
              <w:rPr>
                <w:szCs w:val="24"/>
                <w:lang w:val="en-GB"/>
              </w:rPr>
              <w:t xml:space="preserve"> interrupted, restarting treatment with XELJANZ can be considered. If there has been a loss of </w:t>
            </w:r>
            <w:r w:rsidRPr="009B03BD">
              <w:rPr>
                <w:szCs w:val="24"/>
              </w:rPr>
              <w:t>response, reinduction with XELJANZ 10</w:t>
            </w:r>
            <w:r w:rsidRPr="00CE22DF">
              <w:rPr>
                <w:szCs w:val="24"/>
                <w:lang w:val="en-US"/>
              </w:rPr>
              <w:t> </w:t>
            </w:r>
            <w:r w:rsidRPr="00CE22DF">
              <w:rPr>
                <w:szCs w:val="24"/>
              </w:rPr>
              <w:t xml:space="preserve">mg twice daily may be considered. The treatment interruption period in clinical </w:t>
            </w:r>
            <w:proofErr w:type="spellStart"/>
            <w:r w:rsidRPr="00371BE1">
              <w:rPr>
                <w:szCs w:val="24"/>
                <w:lang w:val="en-US"/>
              </w:rPr>
              <w:t>studie</w:t>
            </w:r>
            <w:proofErr w:type="spellEnd"/>
            <w:r w:rsidRPr="00371BE1">
              <w:rPr>
                <w:szCs w:val="24"/>
              </w:rPr>
              <w:t xml:space="preserve">s extended up to </w:t>
            </w:r>
            <w:r w:rsidRPr="00433913">
              <w:rPr>
                <w:szCs w:val="24"/>
                <w:lang w:val="en-US"/>
              </w:rPr>
              <w:t>1</w:t>
            </w:r>
            <w:r w:rsidRPr="00433913">
              <w:rPr>
                <w:szCs w:val="24"/>
              </w:rPr>
              <w:t xml:space="preserve"> year. Efficacy may be</w:t>
            </w:r>
            <w:r w:rsidRPr="00A44BEC">
              <w:rPr>
                <w:szCs w:val="24"/>
              </w:rPr>
              <w:t xml:space="preserve"> regained by 8 weeks of 10</w:t>
            </w:r>
            <w:r w:rsidRPr="00A44BEC">
              <w:rPr>
                <w:szCs w:val="24"/>
                <w:lang w:val="en-US"/>
              </w:rPr>
              <w:t> </w:t>
            </w:r>
            <w:r w:rsidRPr="00A44BEC">
              <w:rPr>
                <w:szCs w:val="24"/>
              </w:rPr>
              <w:t xml:space="preserve">mg twice daily therapy (see </w:t>
            </w:r>
            <w:r w:rsidRPr="007E6EE3">
              <w:rPr>
                <w:szCs w:val="24"/>
              </w:rPr>
              <w:t>Section 5.1 Pharmacodynamic Properties, Clinical trials</w:t>
            </w:r>
            <w:r w:rsidRPr="00A44BEC">
              <w:rPr>
                <w:szCs w:val="24"/>
              </w:rPr>
              <w:t>).</w:t>
            </w:r>
          </w:p>
          <w:p w:rsidR="006A3B45" w:rsidRPr="007E6EE3" w:rsidRDefault="006A3B45" w:rsidP="00D2487A">
            <w:pPr>
              <w:autoSpaceDE w:val="0"/>
              <w:autoSpaceDN w:val="0"/>
              <w:adjustRightInd w:val="0"/>
              <w:spacing w:after="0"/>
              <w:jc w:val="left"/>
              <w:rPr>
                <w:rFonts w:eastAsia="Arial Unicode MS"/>
                <w:szCs w:val="24"/>
              </w:rPr>
            </w:pPr>
          </w:p>
        </w:tc>
      </w:tr>
      <w:tr w:rsidR="00621EF7" w:rsidRPr="00A0775E" w:rsidTr="006C028D">
        <w:tc>
          <w:tcPr>
            <w:tcW w:w="8897" w:type="dxa"/>
            <w:gridSpan w:val="2"/>
            <w:shd w:val="clear" w:color="auto" w:fill="auto"/>
          </w:tcPr>
          <w:p w:rsidR="00621EF7" w:rsidRPr="00A0775E" w:rsidRDefault="00621EF7" w:rsidP="006C028D">
            <w:pPr>
              <w:autoSpaceDE w:val="0"/>
              <w:autoSpaceDN w:val="0"/>
              <w:adjustRightInd w:val="0"/>
              <w:spacing w:after="0"/>
              <w:jc w:val="center"/>
              <w:rPr>
                <w:b/>
                <w:i/>
                <w:iCs/>
              </w:rPr>
            </w:pPr>
            <w:r w:rsidRPr="00A0775E">
              <w:rPr>
                <w:b/>
                <w:i/>
                <w:iCs/>
              </w:rPr>
              <w:lastRenderedPageBreak/>
              <w:t>Interactions with Other Medicines</w:t>
            </w:r>
            <w:r w:rsidR="00A43750">
              <w:rPr>
                <w:b/>
                <w:i/>
                <w:iCs/>
                <w:vertAlign w:val="superscript"/>
              </w:rPr>
              <w:t>1</w:t>
            </w:r>
          </w:p>
        </w:tc>
      </w:tr>
      <w:tr w:rsidR="00621EF7" w:rsidRPr="00B93C1E" w:rsidTr="00621EF7">
        <w:tc>
          <w:tcPr>
            <w:tcW w:w="3936" w:type="dxa"/>
            <w:shd w:val="clear" w:color="auto" w:fill="auto"/>
          </w:tcPr>
          <w:p w:rsidR="00621EF7" w:rsidRPr="00B93C1E" w:rsidRDefault="00621EF7" w:rsidP="006C028D">
            <w:pPr>
              <w:autoSpaceDE w:val="0"/>
              <w:autoSpaceDN w:val="0"/>
              <w:adjustRightInd w:val="0"/>
              <w:spacing w:after="0"/>
              <w:jc w:val="left"/>
              <w:rPr>
                <w:rFonts w:eastAsia="Arial Unicode MS"/>
                <w:color w:val="000000"/>
                <w:szCs w:val="22"/>
              </w:rPr>
            </w:pPr>
            <w:r w:rsidRPr="00B93C1E">
              <w:rPr>
                <w:rFonts w:eastAsia="Arial Unicode MS"/>
                <w:color w:val="000000"/>
                <w:szCs w:val="22"/>
              </w:rPr>
              <w:t>Patients receiving:</w:t>
            </w:r>
          </w:p>
          <w:p w:rsidR="00621EF7" w:rsidRPr="00B93C1E" w:rsidRDefault="00621EF7" w:rsidP="006C028D">
            <w:pPr>
              <w:numPr>
                <w:ilvl w:val="0"/>
                <w:numId w:val="27"/>
              </w:numPr>
              <w:autoSpaceDE w:val="0"/>
              <w:autoSpaceDN w:val="0"/>
              <w:adjustRightInd w:val="0"/>
              <w:spacing w:after="0"/>
              <w:jc w:val="left"/>
              <w:rPr>
                <w:rFonts w:eastAsia="Arial Unicode MS"/>
                <w:color w:val="000000"/>
                <w:szCs w:val="22"/>
              </w:rPr>
            </w:pPr>
            <w:r>
              <w:rPr>
                <w:rFonts w:eastAsia="Arial Unicode MS"/>
                <w:color w:val="000000"/>
                <w:szCs w:val="22"/>
              </w:rPr>
              <w:t>Potent</w:t>
            </w:r>
            <w:r w:rsidRPr="00B93C1E">
              <w:rPr>
                <w:rFonts w:eastAsia="Arial Unicode MS"/>
                <w:color w:val="000000"/>
                <w:szCs w:val="22"/>
              </w:rPr>
              <w:t xml:space="preserve"> CYP3A4 inhibitors (e.g.,</w:t>
            </w:r>
          </w:p>
          <w:p w:rsidR="00621EF7" w:rsidRPr="00B93C1E" w:rsidRDefault="00621EF7" w:rsidP="006C028D">
            <w:pPr>
              <w:autoSpaceDE w:val="0"/>
              <w:autoSpaceDN w:val="0"/>
              <w:adjustRightInd w:val="0"/>
              <w:spacing w:after="0"/>
              <w:ind w:left="360"/>
              <w:jc w:val="left"/>
              <w:rPr>
                <w:rFonts w:eastAsia="Arial Unicode MS"/>
                <w:color w:val="000000"/>
                <w:szCs w:val="22"/>
              </w:rPr>
            </w:pPr>
            <w:r w:rsidRPr="00B93C1E">
              <w:rPr>
                <w:rFonts w:eastAsia="Arial Unicode MS"/>
                <w:color w:val="000000"/>
                <w:szCs w:val="22"/>
              </w:rPr>
              <w:t>ketoconazole), or</w:t>
            </w:r>
          </w:p>
          <w:p w:rsidR="00621EF7" w:rsidRDefault="00621EF7" w:rsidP="006C028D">
            <w:pPr>
              <w:numPr>
                <w:ilvl w:val="0"/>
                <w:numId w:val="27"/>
              </w:numPr>
              <w:autoSpaceDE w:val="0"/>
              <w:autoSpaceDN w:val="0"/>
              <w:adjustRightInd w:val="0"/>
              <w:spacing w:after="0"/>
              <w:jc w:val="left"/>
              <w:rPr>
                <w:rFonts w:eastAsia="Arial Unicode MS"/>
                <w:color w:val="000000"/>
                <w:szCs w:val="22"/>
              </w:rPr>
            </w:pPr>
            <w:r w:rsidRPr="00B93C1E">
              <w:rPr>
                <w:rFonts w:eastAsia="Arial Unicode MS"/>
                <w:color w:val="000000"/>
                <w:szCs w:val="22"/>
              </w:rPr>
              <w:t xml:space="preserve">a moderate CYP3A4 inhibitor(s) with a </w:t>
            </w:r>
            <w:r>
              <w:rPr>
                <w:rFonts w:eastAsia="Arial Unicode MS"/>
                <w:color w:val="000000"/>
                <w:szCs w:val="22"/>
              </w:rPr>
              <w:t>potent</w:t>
            </w:r>
            <w:r w:rsidRPr="00B93C1E">
              <w:rPr>
                <w:rFonts w:eastAsia="Arial Unicode MS"/>
                <w:color w:val="000000"/>
                <w:szCs w:val="22"/>
              </w:rPr>
              <w:t xml:space="preserve"> CYP2C19 inhibitor(s) (e.g., fluconazole)</w:t>
            </w:r>
          </w:p>
          <w:p w:rsidR="00621EF7" w:rsidRPr="000A084A" w:rsidRDefault="00621EF7" w:rsidP="006C028D">
            <w:pPr>
              <w:autoSpaceDE w:val="0"/>
              <w:autoSpaceDN w:val="0"/>
              <w:adjustRightInd w:val="0"/>
              <w:spacing w:after="0"/>
              <w:jc w:val="left"/>
              <w:rPr>
                <w:rFonts w:eastAsia="Arial Unicode MS"/>
                <w:color w:val="000000"/>
                <w:szCs w:val="22"/>
              </w:rPr>
            </w:pPr>
            <w:r w:rsidRPr="0051061D">
              <w:rPr>
                <w:szCs w:val="22"/>
              </w:rPr>
              <w:t>(</w:t>
            </w:r>
            <w:proofErr w:type="gramStart"/>
            <w:r>
              <w:rPr>
                <w:szCs w:val="22"/>
              </w:rPr>
              <w:t>s</w:t>
            </w:r>
            <w:r w:rsidRPr="0051061D">
              <w:rPr>
                <w:szCs w:val="22"/>
              </w:rPr>
              <w:t>ee</w:t>
            </w:r>
            <w:proofErr w:type="gramEnd"/>
            <w:r w:rsidRPr="0051061D">
              <w:rPr>
                <w:szCs w:val="22"/>
              </w:rPr>
              <w:t xml:space="preserve"> </w:t>
            </w:r>
            <w:r>
              <w:rPr>
                <w:szCs w:val="22"/>
              </w:rPr>
              <w:t xml:space="preserve">Section 4.5 </w:t>
            </w:r>
            <w:r>
              <w:t>Interactions With Other Medicines and Other Forms of Interactions</w:t>
            </w:r>
            <w:r w:rsidRPr="0051061D">
              <w:rPr>
                <w:szCs w:val="22"/>
              </w:rPr>
              <w:t>)</w:t>
            </w:r>
            <w:r>
              <w:rPr>
                <w:szCs w:val="22"/>
              </w:rPr>
              <w:t>.</w:t>
            </w:r>
          </w:p>
        </w:tc>
        <w:tc>
          <w:tcPr>
            <w:tcW w:w="4961" w:type="dxa"/>
            <w:shd w:val="clear" w:color="auto" w:fill="auto"/>
          </w:tcPr>
          <w:p w:rsidR="00621EF7" w:rsidRPr="00B93C1E" w:rsidRDefault="00621EF7" w:rsidP="003B3D05">
            <w:pPr>
              <w:autoSpaceDE w:val="0"/>
              <w:autoSpaceDN w:val="0"/>
              <w:adjustRightInd w:val="0"/>
              <w:spacing w:after="0"/>
              <w:jc w:val="center"/>
              <w:rPr>
                <w:rFonts w:eastAsia="Arial Unicode MS"/>
                <w:color w:val="000000"/>
                <w:szCs w:val="22"/>
              </w:rPr>
            </w:pPr>
          </w:p>
          <w:p w:rsidR="00621EF7" w:rsidRPr="00B93C1E" w:rsidRDefault="00FC2A5B" w:rsidP="003B3D05">
            <w:pPr>
              <w:autoSpaceDE w:val="0"/>
              <w:autoSpaceDN w:val="0"/>
              <w:adjustRightInd w:val="0"/>
              <w:spacing w:after="0"/>
              <w:jc w:val="center"/>
              <w:rPr>
                <w:rFonts w:eastAsia="Arial Unicode MS"/>
                <w:color w:val="000000"/>
                <w:szCs w:val="22"/>
              </w:rPr>
            </w:pPr>
            <w:r>
              <w:rPr>
                <w:rFonts w:eastAsia="Arial Unicode MS"/>
                <w:color w:val="000000"/>
                <w:szCs w:val="22"/>
              </w:rPr>
              <w:t>If taking 10 mg twice daily, reduce to 5 mg twice daily</w:t>
            </w:r>
          </w:p>
          <w:p w:rsidR="00FC2A5B" w:rsidRDefault="00FC2A5B" w:rsidP="003B3D05">
            <w:pPr>
              <w:autoSpaceDE w:val="0"/>
              <w:autoSpaceDN w:val="0"/>
              <w:adjustRightInd w:val="0"/>
              <w:spacing w:after="0"/>
              <w:jc w:val="center"/>
              <w:rPr>
                <w:rFonts w:eastAsia="Arial Unicode MS"/>
                <w:color w:val="000000"/>
                <w:szCs w:val="22"/>
              </w:rPr>
            </w:pPr>
          </w:p>
          <w:p w:rsidR="00621EF7" w:rsidRPr="00B93C1E" w:rsidRDefault="00FC2A5B" w:rsidP="003B3D05">
            <w:pPr>
              <w:autoSpaceDE w:val="0"/>
              <w:autoSpaceDN w:val="0"/>
              <w:adjustRightInd w:val="0"/>
              <w:spacing w:after="0"/>
              <w:jc w:val="center"/>
              <w:rPr>
                <w:rFonts w:eastAsia="Arial Unicode MS"/>
                <w:color w:val="000000"/>
                <w:szCs w:val="22"/>
              </w:rPr>
            </w:pPr>
            <w:r>
              <w:rPr>
                <w:rFonts w:eastAsia="Arial Unicode MS"/>
                <w:color w:val="000000"/>
                <w:szCs w:val="22"/>
              </w:rPr>
              <w:t xml:space="preserve">If taking 5 mg twice daily, reduce to </w:t>
            </w:r>
            <w:r w:rsidR="00621EF7" w:rsidRPr="00B93C1E">
              <w:rPr>
                <w:rFonts w:eastAsia="Arial Unicode MS"/>
                <w:color w:val="000000"/>
                <w:szCs w:val="22"/>
              </w:rPr>
              <w:t>5 mg once daily</w:t>
            </w:r>
          </w:p>
        </w:tc>
      </w:tr>
      <w:tr w:rsidR="00621EF7" w:rsidRPr="00B93C1E" w:rsidTr="006C028D">
        <w:tc>
          <w:tcPr>
            <w:tcW w:w="8897" w:type="dxa"/>
            <w:gridSpan w:val="2"/>
            <w:shd w:val="clear" w:color="auto" w:fill="auto"/>
          </w:tcPr>
          <w:p w:rsidR="00621EF7" w:rsidRPr="00961773" w:rsidRDefault="00621EF7" w:rsidP="006C028D">
            <w:pPr>
              <w:autoSpaceDE w:val="0"/>
              <w:autoSpaceDN w:val="0"/>
              <w:adjustRightInd w:val="0"/>
              <w:spacing w:after="0"/>
              <w:jc w:val="center"/>
              <w:rPr>
                <w:b/>
                <w:i/>
                <w:iCs/>
              </w:rPr>
            </w:pPr>
            <w:r w:rsidRPr="00961773">
              <w:rPr>
                <w:b/>
                <w:i/>
                <w:iCs/>
              </w:rPr>
              <w:t>Renal Impairment</w:t>
            </w:r>
            <w:r w:rsidR="00A43750">
              <w:rPr>
                <w:b/>
                <w:i/>
                <w:iCs/>
                <w:vertAlign w:val="superscript"/>
              </w:rPr>
              <w:t>2</w:t>
            </w:r>
          </w:p>
        </w:tc>
      </w:tr>
      <w:tr w:rsidR="00621EF7" w:rsidRPr="00B93C1E" w:rsidTr="00621EF7">
        <w:tc>
          <w:tcPr>
            <w:tcW w:w="3936" w:type="dxa"/>
            <w:shd w:val="clear" w:color="auto" w:fill="auto"/>
          </w:tcPr>
          <w:p w:rsidR="00621EF7" w:rsidRPr="003B3D05" w:rsidRDefault="00621EF7" w:rsidP="006C028D">
            <w:pPr>
              <w:autoSpaceDE w:val="0"/>
              <w:autoSpaceDN w:val="0"/>
              <w:adjustRightInd w:val="0"/>
              <w:spacing w:after="0"/>
              <w:jc w:val="left"/>
              <w:rPr>
                <w:szCs w:val="22"/>
              </w:rPr>
            </w:pPr>
            <w:r>
              <w:rPr>
                <w:szCs w:val="22"/>
              </w:rPr>
              <w:t>P</w:t>
            </w:r>
            <w:r w:rsidRPr="00FF0832">
              <w:rPr>
                <w:szCs w:val="22"/>
              </w:rPr>
              <w:t>atients with es</w:t>
            </w:r>
            <w:r>
              <w:rPr>
                <w:szCs w:val="22"/>
              </w:rPr>
              <w:t>timated GFR less than or equal to 50 mL/min</w:t>
            </w:r>
            <w:r w:rsidRPr="00FF0832">
              <w:rPr>
                <w:szCs w:val="22"/>
              </w:rPr>
              <w:t xml:space="preserve"> (including but not limited to those with severe renal impairment who are undergoing haemodialysis)</w:t>
            </w:r>
            <w:r w:rsidR="00FC2A5B">
              <w:rPr>
                <w:szCs w:val="22"/>
              </w:rPr>
              <w:t xml:space="preserve">, the recommended dose is half the total daily dose indicated for patients with normal renal function </w:t>
            </w:r>
            <w:r>
              <w:rPr>
                <w:szCs w:val="22"/>
              </w:rPr>
              <w:t>(s</w:t>
            </w:r>
            <w:r w:rsidRPr="0051061D">
              <w:rPr>
                <w:szCs w:val="22"/>
              </w:rPr>
              <w:t xml:space="preserve">ee </w:t>
            </w:r>
            <w:r>
              <w:rPr>
                <w:szCs w:val="22"/>
              </w:rPr>
              <w:t xml:space="preserve">Section 4.4 </w:t>
            </w:r>
            <w:r>
              <w:t xml:space="preserve">Special </w:t>
            </w:r>
            <w:r>
              <w:lastRenderedPageBreak/>
              <w:t>Warnings and Precautions For Use</w:t>
            </w:r>
            <w:r w:rsidRPr="0051061D">
              <w:rPr>
                <w:szCs w:val="22"/>
              </w:rPr>
              <w:t xml:space="preserve"> and </w:t>
            </w:r>
            <w:r>
              <w:rPr>
                <w:szCs w:val="22"/>
              </w:rPr>
              <w:t>Section 5.2</w:t>
            </w:r>
            <w:r>
              <w:t xml:space="preserve"> Pharmacokinetic Properties</w:t>
            </w:r>
            <w:r w:rsidRPr="0051061D">
              <w:rPr>
                <w:szCs w:val="22"/>
              </w:rPr>
              <w:t>)</w:t>
            </w:r>
            <w:r>
              <w:rPr>
                <w:szCs w:val="22"/>
              </w:rPr>
              <w:t>.</w:t>
            </w:r>
          </w:p>
        </w:tc>
        <w:tc>
          <w:tcPr>
            <w:tcW w:w="4961" w:type="dxa"/>
            <w:shd w:val="clear" w:color="auto" w:fill="auto"/>
          </w:tcPr>
          <w:p w:rsidR="00621EF7" w:rsidRDefault="00621EF7" w:rsidP="003B3D05">
            <w:pPr>
              <w:autoSpaceDE w:val="0"/>
              <w:autoSpaceDN w:val="0"/>
              <w:adjustRightInd w:val="0"/>
              <w:spacing w:after="0"/>
              <w:jc w:val="center"/>
              <w:rPr>
                <w:rFonts w:eastAsia="Arial Unicode MS"/>
                <w:color w:val="000000"/>
                <w:szCs w:val="22"/>
              </w:rPr>
            </w:pPr>
          </w:p>
          <w:p w:rsidR="00FC2A5B" w:rsidRPr="00B93C1E" w:rsidRDefault="00FC2A5B" w:rsidP="003B3D05">
            <w:pPr>
              <w:autoSpaceDE w:val="0"/>
              <w:autoSpaceDN w:val="0"/>
              <w:adjustRightInd w:val="0"/>
              <w:spacing w:after="0"/>
              <w:jc w:val="center"/>
              <w:rPr>
                <w:rFonts w:eastAsia="Arial Unicode MS"/>
                <w:color w:val="000000"/>
                <w:szCs w:val="22"/>
              </w:rPr>
            </w:pPr>
            <w:r>
              <w:rPr>
                <w:rFonts w:eastAsia="Arial Unicode MS"/>
                <w:color w:val="000000"/>
                <w:szCs w:val="22"/>
              </w:rPr>
              <w:t>If taking 10 mg twice daily, reduce to 5 mg twice daily</w:t>
            </w:r>
          </w:p>
          <w:p w:rsidR="00FC2A5B" w:rsidRDefault="00FC2A5B" w:rsidP="003B3D05">
            <w:pPr>
              <w:autoSpaceDE w:val="0"/>
              <w:autoSpaceDN w:val="0"/>
              <w:adjustRightInd w:val="0"/>
              <w:spacing w:after="0"/>
              <w:jc w:val="center"/>
              <w:rPr>
                <w:rFonts w:eastAsia="Arial Unicode MS"/>
                <w:color w:val="000000"/>
                <w:szCs w:val="22"/>
              </w:rPr>
            </w:pPr>
          </w:p>
          <w:p w:rsidR="00621EF7" w:rsidRPr="00B93C1E" w:rsidRDefault="00FC2A5B" w:rsidP="003B3D05">
            <w:pPr>
              <w:autoSpaceDE w:val="0"/>
              <w:autoSpaceDN w:val="0"/>
              <w:adjustRightInd w:val="0"/>
              <w:spacing w:after="0"/>
              <w:jc w:val="center"/>
              <w:rPr>
                <w:rFonts w:eastAsia="Arial Unicode MS"/>
                <w:color w:val="000000"/>
                <w:szCs w:val="22"/>
              </w:rPr>
            </w:pPr>
            <w:r>
              <w:rPr>
                <w:rFonts w:eastAsia="Arial Unicode MS"/>
                <w:color w:val="000000"/>
                <w:szCs w:val="22"/>
              </w:rPr>
              <w:t xml:space="preserve">If taking 5 mg twice daily, reduce to </w:t>
            </w:r>
            <w:r w:rsidRPr="00B93C1E">
              <w:rPr>
                <w:rFonts w:eastAsia="Arial Unicode MS"/>
                <w:color w:val="000000"/>
                <w:szCs w:val="22"/>
              </w:rPr>
              <w:t>5 mg once daily</w:t>
            </w:r>
          </w:p>
        </w:tc>
      </w:tr>
      <w:tr w:rsidR="00621EF7" w:rsidRPr="00B93C1E" w:rsidTr="006C028D">
        <w:tc>
          <w:tcPr>
            <w:tcW w:w="8897" w:type="dxa"/>
            <w:gridSpan w:val="2"/>
            <w:shd w:val="clear" w:color="auto" w:fill="auto"/>
          </w:tcPr>
          <w:p w:rsidR="00621EF7" w:rsidRPr="00961773" w:rsidRDefault="00621EF7" w:rsidP="006C028D">
            <w:pPr>
              <w:pStyle w:val="PIHeading3"/>
              <w:spacing w:before="0" w:after="0"/>
              <w:jc w:val="center"/>
            </w:pPr>
            <w:r>
              <w:t>Hepatic Impairment</w:t>
            </w:r>
            <w:r w:rsidR="00A43750">
              <w:rPr>
                <w:vertAlign w:val="superscript"/>
              </w:rPr>
              <w:t>3</w:t>
            </w:r>
          </w:p>
        </w:tc>
      </w:tr>
      <w:tr w:rsidR="00621EF7" w:rsidRPr="00B93C1E" w:rsidTr="00621EF7">
        <w:tc>
          <w:tcPr>
            <w:tcW w:w="3936" w:type="dxa"/>
            <w:shd w:val="clear" w:color="auto" w:fill="auto"/>
          </w:tcPr>
          <w:p w:rsidR="00621EF7" w:rsidRDefault="00621EF7" w:rsidP="006C028D">
            <w:pPr>
              <w:autoSpaceDE w:val="0"/>
              <w:autoSpaceDN w:val="0"/>
              <w:adjustRightInd w:val="0"/>
              <w:spacing w:after="0"/>
              <w:jc w:val="left"/>
              <w:rPr>
                <w:rFonts w:eastAsia="Arial Unicode MS"/>
                <w:color w:val="000000"/>
                <w:szCs w:val="22"/>
              </w:rPr>
            </w:pPr>
            <w:r w:rsidRPr="00B93C1E">
              <w:rPr>
                <w:rFonts w:eastAsia="Arial Unicode MS"/>
                <w:color w:val="000000"/>
                <w:szCs w:val="22"/>
              </w:rPr>
              <w:t>Patients with moderate hepatic impairment</w:t>
            </w:r>
            <w:r w:rsidR="00A43750">
              <w:rPr>
                <w:rFonts w:eastAsia="Arial Unicode MS"/>
                <w:color w:val="000000"/>
                <w:szCs w:val="22"/>
              </w:rPr>
              <w:t xml:space="preserve">, </w:t>
            </w:r>
            <w:r w:rsidR="00A43750">
              <w:rPr>
                <w:szCs w:val="22"/>
              </w:rPr>
              <w:t>the recommended dose is half the total daily dose indicated for patients with normal hepatic function</w:t>
            </w:r>
          </w:p>
          <w:p w:rsidR="00621EF7" w:rsidRPr="00B93C1E" w:rsidRDefault="00621EF7" w:rsidP="006C028D">
            <w:pPr>
              <w:autoSpaceDE w:val="0"/>
              <w:autoSpaceDN w:val="0"/>
              <w:adjustRightInd w:val="0"/>
              <w:spacing w:after="0"/>
              <w:jc w:val="left"/>
              <w:rPr>
                <w:rFonts w:eastAsia="Arial Unicode MS"/>
                <w:color w:val="000000"/>
                <w:szCs w:val="22"/>
              </w:rPr>
            </w:pPr>
            <w:r w:rsidRPr="0051061D">
              <w:rPr>
                <w:szCs w:val="22"/>
              </w:rPr>
              <w:t>(</w:t>
            </w:r>
            <w:proofErr w:type="gramStart"/>
            <w:r w:rsidRPr="0051061D">
              <w:rPr>
                <w:szCs w:val="22"/>
              </w:rPr>
              <w:t>see</w:t>
            </w:r>
            <w:proofErr w:type="gramEnd"/>
            <w:r w:rsidRPr="0051061D">
              <w:rPr>
                <w:szCs w:val="22"/>
              </w:rPr>
              <w:t xml:space="preserve"> </w:t>
            </w:r>
            <w:r>
              <w:rPr>
                <w:szCs w:val="22"/>
              </w:rPr>
              <w:t xml:space="preserve">Section 4.4 </w:t>
            </w:r>
            <w:r>
              <w:t>Special Warnings and Precautions For Use</w:t>
            </w:r>
            <w:r w:rsidRPr="0051061D">
              <w:rPr>
                <w:szCs w:val="22"/>
              </w:rPr>
              <w:t xml:space="preserve"> and </w:t>
            </w:r>
            <w:r>
              <w:rPr>
                <w:szCs w:val="22"/>
              </w:rPr>
              <w:t xml:space="preserve">Section 5.2 </w:t>
            </w:r>
            <w:r>
              <w:t>Pharmacokinetic Properties</w:t>
            </w:r>
            <w:r w:rsidRPr="0051061D">
              <w:rPr>
                <w:szCs w:val="22"/>
              </w:rPr>
              <w:t>)</w:t>
            </w:r>
            <w:r>
              <w:rPr>
                <w:szCs w:val="22"/>
              </w:rPr>
              <w:t>.</w:t>
            </w:r>
          </w:p>
        </w:tc>
        <w:tc>
          <w:tcPr>
            <w:tcW w:w="4961" w:type="dxa"/>
            <w:shd w:val="clear" w:color="auto" w:fill="auto"/>
          </w:tcPr>
          <w:p w:rsidR="00A43750" w:rsidRDefault="00A43750" w:rsidP="003B3D05">
            <w:pPr>
              <w:autoSpaceDE w:val="0"/>
              <w:autoSpaceDN w:val="0"/>
              <w:adjustRightInd w:val="0"/>
              <w:spacing w:after="0"/>
              <w:jc w:val="center"/>
              <w:rPr>
                <w:rFonts w:eastAsia="Arial Unicode MS"/>
                <w:color w:val="000000"/>
                <w:szCs w:val="22"/>
              </w:rPr>
            </w:pPr>
          </w:p>
          <w:p w:rsidR="00FC2A5B" w:rsidRPr="00B93C1E" w:rsidRDefault="00FC2A5B" w:rsidP="003B3D05">
            <w:pPr>
              <w:autoSpaceDE w:val="0"/>
              <w:autoSpaceDN w:val="0"/>
              <w:adjustRightInd w:val="0"/>
              <w:spacing w:after="0"/>
              <w:jc w:val="center"/>
              <w:rPr>
                <w:rFonts w:eastAsia="Arial Unicode MS"/>
                <w:color w:val="000000"/>
                <w:szCs w:val="22"/>
              </w:rPr>
            </w:pPr>
            <w:r>
              <w:rPr>
                <w:rFonts w:eastAsia="Arial Unicode MS"/>
                <w:color w:val="000000"/>
                <w:szCs w:val="22"/>
              </w:rPr>
              <w:t>If taking 10 mg twice daily, reduce to 5 mg twice daily</w:t>
            </w:r>
          </w:p>
          <w:p w:rsidR="00FC2A5B" w:rsidRDefault="00FC2A5B" w:rsidP="003B3D05">
            <w:pPr>
              <w:autoSpaceDE w:val="0"/>
              <w:autoSpaceDN w:val="0"/>
              <w:adjustRightInd w:val="0"/>
              <w:spacing w:after="0"/>
              <w:jc w:val="center"/>
              <w:rPr>
                <w:rFonts w:eastAsia="Arial Unicode MS"/>
                <w:color w:val="000000"/>
                <w:szCs w:val="22"/>
              </w:rPr>
            </w:pPr>
          </w:p>
          <w:p w:rsidR="00621EF7" w:rsidRPr="00B93C1E" w:rsidRDefault="00FC2A5B" w:rsidP="003B3D05">
            <w:pPr>
              <w:autoSpaceDE w:val="0"/>
              <w:autoSpaceDN w:val="0"/>
              <w:adjustRightInd w:val="0"/>
              <w:spacing w:after="0"/>
              <w:jc w:val="center"/>
              <w:rPr>
                <w:rFonts w:eastAsia="Arial Unicode MS"/>
                <w:color w:val="000000"/>
                <w:szCs w:val="22"/>
              </w:rPr>
            </w:pPr>
            <w:r>
              <w:rPr>
                <w:rFonts w:eastAsia="Arial Unicode MS"/>
                <w:color w:val="000000"/>
                <w:szCs w:val="22"/>
              </w:rPr>
              <w:t xml:space="preserve">If taking 5 mg twice daily, reduce to </w:t>
            </w:r>
            <w:r w:rsidRPr="00B93C1E">
              <w:rPr>
                <w:rFonts w:eastAsia="Arial Unicode MS"/>
                <w:color w:val="000000"/>
                <w:szCs w:val="22"/>
              </w:rPr>
              <w:t>5 mg once daily</w:t>
            </w:r>
          </w:p>
        </w:tc>
      </w:tr>
      <w:tr w:rsidR="00621EF7" w:rsidRPr="00B93C1E" w:rsidTr="006C028D">
        <w:tc>
          <w:tcPr>
            <w:tcW w:w="8897" w:type="dxa"/>
            <w:gridSpan w:val="2"/>
            <w:shd w:val="clear" w:color="auto" w:fill="auto"/>
          </w:tcPr>
          <w:p w:rsidR="00621EF7" w:rsidRPr="00B93C1E" w:rsidRDefault="00621EF7" w:rsidP="006C028D">
            <w:pPr>
              <w:autoSpaceDE w:val="0"/>
              <w:autoSpaceDN w:val="0"/>
              <w:adjustRightInd w:val="0"/>
              <w:spacing w:after="0"/>
              <w:jc w:val="center"/>
              <w:rPr>
                <w:rFonts w:eastAsia="Arial Unicode MS"/>
                <w:color w:val="000000"/>
                <w:szCs w:val="22"/>
              </w:rPr>
            </w:pPr>
            <w:r w:rsidRPr="00A90D6A">
              <w:rPr>
                <w:b/>
                <w:i/>
                <w:iCs/>
              </w:rPr>
              <w:t>Lymphopenia</w:t>
            </w:r>
          </w:p>
        </w:tc>
      </w:tr>
      <w:tr w:rsidR="00621EF7" w:rsidRPr="00B93C1E" w:rsidTr="00621EF7">
        <w:tc>
          <w:tcPr>
            <w:tcW w:w="3936" w:type="dxa"/>
            <w:shd w:val="clear" w:color="auto" w:fill="auto"/>
          </w:tcPr>
          <w:p w:rsidR="00621EF7" w:rsidRPr="00B93C1E" w:rsidRDefault="00621EF7" w:rsidP="006C028D">
            <w:pPr>
              <w:autoSpaceDE w:val="0"/>
              <w:autoSpaceDN w:val="0"/>
              <w:adjustRightInd w:val="0"/>
              <w:spacing w:after="0"/>
              <w:jc w:val="left"/>
              <w:rPr>
                <w:rFonts w:eastAsia="TimesNewRoman"/>
                <w:szCs w:val="24"/>
                <w:lang w:eastAsia="en-AU"/>
              </w:rPr>
            </w:pPr>
            <w:r w:rsidRPr="00B93C1E">
              <w:rPr>
                <w:rFonts w:eastAsia="TimesNewRoman"/>
                <w:szCs w:val="24"/>
                <w:lang w:eastAsia="en-AU"/>
              </w:rPr>
              <w:t xml:space="preserve">Patients with ALC </w:t>
            </w:r>
            <w:r w:rsidRPr="00B93C1E">
              <w:rPr>
                <w:rFonts w:cs="Arial"/>
                <w:szCs w:val="24"/>
                <w:lang w:val="en-US"/>
              </w:rPr>
              <w:t>≥0.75 x 10</w:t>
            </w:r>
            <w:r w:rsidRPr="00B93C1E">
              <w:rPr>
                <w:rFonts w:cs="Arial"/>
                <w:szCs w:val="24"/>
                <w:vertAlign w:val="superscript"/>
                <w:lang w:val="en-US"/>
              </w:rPr>
              <w:t>9</w:t>
            </w:r>
            <w:r w:rsidRPr="00B93C1E">
              <w:rPr>
                <w:rFonts w:cs="Arial"/>
                <w:szCs w:val="24"/>
                <w:lang w:val="en-US"/>
              </w:rPr>
              <w:t xml:space="preserve"> cells/L</w:t>
            </w:r>
            <w:r>
              <w:rPr>
                <w:rFonts w:cs="Arial"/>
                <w:szCs w:val="24"/>
                <w:lang w:val="en-US"/>
              </w:rPr>
              <w:t>.</w:t>
            </w:r>
          </w:p>
        </w:tc>
        <w:tc>
          <w:tcPr>
            <w:tcW w:w="4961" w:type="dxa"/>
            <w:shd w:val="clear" w:color="auto" w:fill="auto"/>
          </w:tcPr>
          <w:p w:rsidR="00621EF7" w:rsidRPr="00B93C1E" w:rsidRDefault="00621EF7" w:rsidP="006C028D">
            <w:pPr>
              <w:autoSpaceDE w:val="0"/>
              <w:autoSpaceDN w:val="0"/>
              <w:adjustRightInd w:val="0"/>
              <w:spacing w:after="0"/>
              <w:jc w:val="center"/>
              <w:rPr>
                <w:rFonts w:eastAsia="Arial Unicode MS"/>
                <w:color w:val="000000"/>
                <w:szCs w:val="22"/>
              </w:rPr>
            </w:pPr>
            <w:r w:rsidRPr="00B93C1E">
              <w:rPr>
                <w:rFonts w:eastAsia="Arial Unicode MS"/>
                <w:color w:val="000000"/>
                <w:szCs w:val="22"/>
              </w:rPr>
              <w:t>Maintain dose</w:t>
            </w:r>
          </w:p>
          <w:p w:rsidR="00621EF7" w:rsidRPr="00B93C1E" w:rsidRDefault="00621EF7" w:rsidP="006C028D">
            <w:pPr>
              <w:autoSpaceDE w:val="0"/>
              <w:autoSpaceDN w:val="0"/>
              <w:adjustRightInd w:val="0"/>
              <w:spacing w:after="0"/>
              <w:jc w:val="center"/>
              <w:rPr>
                <w:rFonts w:eastAsia="Arial Unicode MS"/>
                <w:color w:val="000000"/>
                <w:szCs w:val="22"/>
              </w:rPr>
            </w:pPr>
          </w:p>
        </w:tc>
      </w:tr>
      <w:tr w:rsidR="00621EF7" w:rsidRPr="00B93C1E" w:rsidTr="00621EF7">
        <w:tc>
          <w:tcPr>
            <w:tcW w:w="3936" w:type="dxa"/>
            <w:shd w:val="clear" w:color="auto" w:fill="auto"/>
          </w:tcPr>
          <w:p w:rsidR="00621EF7" w:rsidRPr="00B93C1E" w:rsidRDefault="00621EF7" w:rsidP="006C028D">
            <w:pPr>
              <w:autoSpaceDE w:val="0"/>
              <w:autoSpaceDN w:val="0"/>
              <w:adjustRightInd w:val="0"/>
              <w:spacing w:after="0"/>
              <w:jc w:val="left"/>
              <w:rPr>
                <w:rFonts w:cs="Arial"/>
                <w:szCs w:val="24"/>
                <w:lang w:val="en-US"/>
              </w:rPr>
            </w:pPr>
            <w:r w:rsidRPr="00B93C1E">
              <w:rPr>
                <w:rFonts w:eastAsia="TimesNewRoman"/>
                <w:szCs w:val="24"/>
                <w:lang w:eastAsia="en-AU"/>
              </w:rPr>
              <w:t xml:space="preserve">Patients with persistent </w:t>
            </w:r>
            <w:r>
              <w:rPr>
                <w:rFonts w:eastAsia="TimesNewRoman"/>
                <w:szCs w:val="24"/>
                <w:lang w:eastAsia="en-AU"/>
              </w:rPr>
              <w:t xml:space="preserve">decrease </w:t>
            </w:r>
            <w:r w:rsidRPr="00B93C1E">
              <w:rPr>
                <w:rFonts w:eastAsia="TimesNewRoman"/>
                <w:szCs w:val="24"/>
                <w:lang w:eastAsia="en-AU"/>
              </w:rPr>
              <w:t>(2 sequential values on routine testing) in ALC</w:t>
            </w:r>
            <w:r>
              <w:rPr>
                <w:rFonts w:eastAsia="TimesNewRoman"/>
                <w:szCs w:val="24"/>
                <w:lang w:eastAsia="en-AU"/>
              </w:rPr>
              <w:t xml:space="preserve"> in the</w:t>
            </w:r>
            <w:r w:rsidRPr="00B93C1E">
              <w:rPr>
                <w:rFonts w:eastAsia="TimesNewRoman"/>
                <w:szCs w:val="24"/>
                <w:lang w:eastAsia="en-AU"/>
              </w:rPr>
              <w:t xml:space="preserve"> range of </w:t>
            </w:r>
            <w:r>
              <w:t xml:space="preserve">0.5 – &lt;0.75 </w:t>
            </w:r>
            <w:r w:rsidRPr="00B93C1E">
              <w:rPr>
                <w:rFonts w:cs="Arial"/>
                <w:szCs w:val="24"/>
                <w:lang w:val="en-US"/>
              </w:rPr>
              <w:t>x 10</w:t>
            </w:r>
            <w:r w:rsidRPr="00B93C1E">
              <w:rPr>
                <w:rFonts w:cs="Arial"/>
                <w:szCs w:val="24"/>
                <w:vertAlign w:val="superscript"/>
                <w:lang w:val="en-US"/>
              </w:rPr>
              <w:t>9</w:t>
            </w:r>
            <w:r w:rsidRPr="00B93C1E">
              <w:rPr>
                <w:rFonts w:cs="Arial"/>
                <w:szCs w:val="24"/>
                <w:lang w:val="en-US"/>
              </w:rPr>
              <w:t xml:space="preserve"> cells/L</w:t>
            </w:r>
            <w:r>
              <w:rPr>
                <w:rFonts w:cs="Arial"/>
                <w:szCs w:val="24"/>
                <w:lang w:val="en-US"/>
              </w:rPr>
              <w:t>.</w:t>
            </w:r>
          </w:p>
        </w:tc>
        <w:tc>
          <w:tcPr>
            <w:tcW w:w="4961" w:type="dxa"/>
            <w:shd w:val="clear" w:color="auto" w:fill="auto"/>
          </w:tcPr>
          <w:p w:rsidR="00621EF7" w:rsidRDefault="00CE22DF" w:rsidP="003B3D05">
            <w:pPr>
              <w:autoSpaceDE w:val="0"/>
              <w:autoSpaceDN w:val="0"/>
              <w:adjustRightInd w:val="0"/>
              <w:spacing w:after="0"/>
              <w:jc w:val="center"/>
              <w:rPr>
                <w:rFonts w:eastAsia="Arial Unicode MS"/>
                <w:color w:val="000000"/>
                <w:szCs w:val="22"/>
              </w:rPr>
            </w:pPr>
            <w:r>
              <w:rPr>
                <w:rFonts w:eastAsia="Arial Unicode MS"/>
                <w:color w:val="000000"/>
                <w:szCs w:val="22"/>
              </w:rPr>
              <w:t>Reduce or i</w:t>
            </w:r>
            <w:r w:rsidR="00621EF7" w:rsidRPr="00B93C1E">
              <w:rPr>
                <w:rFonts w:eastAsia="Arial Unicode MS"/>
                <w:color w:val="000000"/>
                <w:szCs w:val="22"/>
              </w:rPr>
              <w:t>nterrupt dosing.</w:t>
            </w:r>
          </w:p>
          <w:p w:rsidR="00CE22DF" w:rsidRDefault="00CE22DF" w:rsidP="003B3D05">
            <w:pPr>
              <w:autoSpaceDE w:val="0"/>
              <w:autoSpaceDN w:val="0"/>
              <w:adjustRightInd w:val="0"/>
              <w:spacing w:after="0"/>
              <w:jc w:val="center"/>
              <w:rPr>
                <w:rFonts w:eastAsia="Arial Unicode MS"/>
                <w:color w:val="000000"/>
                <w:szCs w:val="22"/>
              </w:rPr>
            </w:pPr>
          </w:p>
          <w:p w:rsidR="00CE22DF" w:rsidRDefault="00CE22DF" w:rsidP="003B3D05">
            <w:pPr>
              <w:autoSpaceDE w:val="0"/>
              <w:autoSpaceDN w:val="0"/>
              <w:adjustRightInd w:val="0"/>
              <w:spacing w:after="0"/>
              <w:jc w:val="center"/>
              <w:rPr>
                <w:rFonts w:eastAsia="Arial Unicode MS"/>
                <w:color w:val="000000"/>
                <w:szCs w:val="22"/>
              </w:rPr>
            </w:pPr>
            <w:r>
              <w:rPr>
                <w:rFonts w:eastAsia="Arial Unicode MS"/>
                <w:color w:val="000000"/>
                <w:szCs w:val="22"/>
              </w:rPr>
              <w:t>If taki</w:t>
            </w:r>
            <w:r w:rsidR="003B3D05">
              <w:rPr>
                <w:rFonts w:eastAsia="Arial Unicode MS"/>
                <w:color w:val="000000"/>
                <w:szCs w:val="22"/>
              </w:rPr>
              <w:t>ng 10 mg twice daily, reduce to 5 mg twice daily.</w:t>
            </w:r>
          </w:p>
          <w:p w:rsidR="003B3D05" w:rsidRDefault="003B3D05" w:rsidP="003B3D05">
            <w:pPr>
              <w:autoSpaceDE w:val="0"/>
              <w:autoSpaceDN w:val="0"/>
              <w:adjustRightInd w:val="0"/>
              <w:spacing w:after="0"/>
              <w:jc w:val="center"/>
              <w:rPr>
                <w:rFonts w:eastAsia="Arial Unicode MS"/>
                <w:color w:val="000000"/>
                <w:szCs w:val="22"/>
              </w:rPr>
            </w:pPr>
          </w:p>
          <w:p w:rsidR="003B3D05" w:rsidRDefault="003B3D05" w:rsidP="003B3D05">
            <w:pPr>
              <w:autoSpaceDE w:val="0"/>
              <w:autoSpaceDN w:val="0"/>
              <w:adjustRightInd w:val="0"/>
              <w:spacing w:after="0"/>
              <w:jc w:val="center"/>
              <w:rPr>
                <w:rFonts w:eastAsia="Arial Unicode MS"/>
                <w:color w:val="000000"/>
                <w:szCs w:val="22"/>
              </w:rPr>
            </w:pPr>
            <w:r>
              <w:rPr>
                <w:rFonts w:eastAsia="Arial Unicode MS"/>
                <w:color w:val="000000"/>
                <w:szCs w:val="22"/>
              </w:rPr>
              <w:t>If taking 5 mg twice daily, interrupt dosing.</w:t>
            </w:r>
          </w:p>
          <w:p w:rsidR="003B3D05" w:rsidRPr="00B93C1E" w:rsidRDefault="003B3D05" w:rsidP="003B3D05">
            <w:pPr>
              <w:autoSpaceDE w:val="0"/>
              <w:autoSpaceDN w:val="0"/>
              <w:adjustRightInd w:val="0"/>
              <w:spacing w:after="0"/>
              <w:jc w:val="center"/>
              <w:rPr>
                <w:rFonts w:eastAsia="Arial Unicode MS"/>
                <w:color w:val="000000"/>
                <w:szCs w:val="22"/>
              </w:rPr>
            </w:pPr>
          </w:p>
          <w:p w:rsidR="00621EF7" w:rsidRPr="00B93C1E" w:rsidRDefault="00621EF7" w:rsidP="003B3D05">
            <w:pPr>
              <w:autoSpaceDE w:val="0"/>
              <w:autoSpaceDN w:val="0"/>
              <w:adjustRightInd w:val="0"/>
              <w:spacing w:after="0"/>
              <w:jc w:val="center"/>
              <w:rPr>
                <w:rFonts w:eastAsia="Arial Unicode MS"/>
                <w:color w:val="000000"/>
                <w:szCs w:val="22"/>
              </w:rPr>
            </w:pPr>
            <w:r w:rsidRPr="00B93C1E">
              <w:rPr>
                <w:rFonts w:eastAsia="Arial Unicode MS"/>
                <w:color w:val="000000"/>
                <w:szCs w:val="22"/>
              </w:rPr>
              <w:t xml:space="preserve">When ALC is </w:t>
            </w:r>
            <w:r w:rsidRPr="00B93C1E">
              <w:rPr>
                <w:szCs w:val="24"/>
              </w:rPr>
              <w:t>≥</w:t>
            </w:r>
            <w:r w:rsidRPr="00B93C1E">
              <w:rPr>
                <w:rFonts w:eastAsia="Arial Unicode MS"/>
                <w:color w:val="000000"/>
                <w:szCs w:val="22"/>
              </w:rPr>
              <w:t xml:space="preserve">0.75 </w:t>
            </w:r>
            <w:r w:rsidRPr="00B93C1E">
              <w:rPr>
                <w:rFonts w:cs="Arial"/>
                <w:szCs w:val="24"/>
                <w:lang w:val="en-US"/>
              </w:rPr>
              <w:t>x 10</w:t>
            </w:r>
            <w:r w:rsidRPr="00B93C1E">
              <w:rPr>
                <w:rFonts w:cs="Arial"/>
                <w:szCs w:val="24"/>
                <w:vertAlign w:val="superscript"/>
                <w:lang w:val="en-US"/>
              </w:rPr>
              <w:t>9</w:t>
            </w:r>
            <w:r w:rsidRPr="00B93C1E">
              <w:rPr>
                <w:rFonts w:cs="Arial"/>
                <w:szCs w:val="24"/>
                <w:lang w:val="en-US"/>
              </w:rPr>
              <w:t xml:space="preserve"> cells/L</w:t>
            </w:r>
            <w:r w:rsidR="003B3D05">
              <w:rPr>
                <w:rFonts w:cs="Arial"/>
                <w:szCs w:val="24"/>
                <w:lang w:val="en-US"/>
              </w:rPr>
              <w:t>, resume XELJANZ treatment as clinically appropriate</w:t>
            </w:r>
            <w:r w:rsidRPr="00B93C1E">
              <w:rPr>
                <w:rFonts w:cs="Arial"/>
                <w:szCs w:val="24"/>
                <w:lang w:val="en-US"/>
              </w:rPr>
              <w:t>.</w:t>
            </w:r>
          </w:p>
        </w:tc>
      </w:tr>
      <w:tr w:rsidR="00621EF7" w:rsidRPr="00B93C1E" w:rsidTr="00621EF7">
        <w:tc>
          <w:tcPr>
            <w:tcW w:w="3936" w:type="dxa"/>
            <w:shd w:val="clear" w:color="auto" w:fill="auto"/>
          </w:tcPr>
          <w:p w:rsidR="00621EF7" w:rsidRPr="00B93C1E" w:rsidRDefault="00621EF7" w:rsidP="006C028D">
            <w:pPr>
              <w:autoSpaceDE w:val="0"/>
              <w:autoSpaceDN w:val="0"/>
              <w:adjustRightInd w:val="0"/>
              <w:spacing w:after="0"/>
              <w:jc w:val="left"/>
              <w:rPr>
                <w:rFonts w:cs="Arial"/>
                <w:szCs w:val="24"/>
                <w:lang w:val="en-US"/>
              </w:rPr>
            </w:pPr>
            <w:r w:rsidRPr="00B93C1E">
              <w:rPr>
                <w:rFonts w:eastAsia="TimesNewRoman"/>
                <w:szCs w:val="24"/>
                <w:lang w:eastAsia="en-AU"/>
              </w:rPr>
              <w:t>Patients with ALC &lt;0.5</w:t>
            </w:r>
            <w:r w:rsidRPr="00B93C1E">
              <w:rPr>
                <w:rFonts w:cs="Arial"/>
                <w:szCs w:val="24"/>
                <w:lang w:val="en-US"/>
              </w:rPr>
              <w:t xml:space="preserve"> x 10</w:t>
            </w:r>
            <w:r w:rsidRPr="00B93C1E">
              <w:rPr>
                <w:rFonts w:cs="Arial"/>
                <w:szCs w:val="24"/>
                <w:vertAlign w:val="superscript"/>
                <w:lang w:val="en-US"/>
              </w:rPr>
              <w:t>9</w:t>
            </w:r>
            <w:r w:rsidRPr="00B93C1E">
              <w:rPr>
                <w:rFonts w:cs="Arial"/>
                <w:szCs w:val="24"/>
                <w:lang w:val="en-US"/>
              </w:rPr>
              <w:t xml:space="preserve"> cells/L </w:t>
            </w:r>
          </w:p>
          <w:p w:rsidR="00621EF7" w:rsidRPr="00B93C1E" w:rsidRDefault="00621EF7" w:rsidP="006C028D">
            <w:pPr>
              <w:autoSpaceDE w:val="0"/>
              <w:autoSpaceDN w:val="0"/>
              <w:adjustRightInd w:val="0"/>
              <w:spacing w:after="0"/>
              <w:jc w:val="left"/>
              <w:rPr>
                <w:rFonts w:eastAsia="TimesNewRoman"/>
                <w:szCs w:val="24"/>
                <w:lang w:eastAsia="en-AU"/>
              </w:rPr>
            </w:pPr>
            <w:r w:rsidRPr="00B93C1E">
              <w:rPr>
                <w:rFonts w:cs="Arial"/>
                <w:szCs w:val="24"/>
                <w:lang w:val="en-US"/>
              </w:rPr>
              <w:t>(</w:t>
            </w:r>
            <w:proofErr w:type="gramStart"/>
            <w:r>
              <w:t>lab</w:t>
            </w:r>
            <w:proofErr w:type="gramEnd"/>
            <w:r>
              <w:t xml:space="preserve"> value confirmed by repeat testing within 7 days</w:t>
            </w:r>
            <w:r w:rsidRPr="00B93C1E">
              <w:rPr>
                <w:rFonts w:cs="Arial"/>
                <w:szCs w:val="24"/>
                <w:lang w:val="en-US"/>
              </w:rPr>
              <w:t>)</w:t>
            </w:r>
            <w:r>
              <w:rPr>
                <w:rFonts w:cs="Arial"/>
                <w:szCs w:val="24"/>
                <w:lang w:val="en-US"/>
              </w:rPr>
              <w:t>.</w:t>
            </w:r>
          </w:p>
        </w:tc>
        <w:tc>
          <w:tcPr>
            <w:tcW w:w="4961" w:type="dxa"/>
            <w:shd w:val="clear" w:color="auto" w:fill="auto"/>
          </w:tcPr>
          <w:p w:rsidR="00621EF7" w:rsidRPr="00B93C1E" w:rsidRDefault="00621EF7" w:rsidP="006C028D">
            <w:pPr>
              <w:autoSpaceDE w:val="0"/>
              <w:autoSpaceDN w:val="0"/>
              <w:adjustRightInd w:val="0"/>
              <w:spacing w:after="0"/>
              <w:jc w:val="center"/>
              <w:rPr>
                <w:rFonts w:eastAsia="Arial Unicode MS"/>
                <w:color w:val="000000"/>
                <w:szCs w:val="22"/>
              </w:rPr>
            </w:pPr>
          </w:p>
          <w:p w:rsidR="00621EF7" w:rsidRPr="00B93C1E" w:rsidRDefault="00621EF7" w:rsidP="006C028D">
            <w:pPr>
              <w:autoSpaceDE w:val="0"/>
              <w:autoSpaceDN w:val="0"/>
              <w:adjustRightInd w:val="0"/>
              <w:spacing w:after="0"/>
              <w:jc w:val="center"/>
              <w:rPr>
                <w:rFonts w:eastAsia="Arial Unicode MS"/>
                <w:color w:val="000000"/>
                <w:szCs w:val="22"/>
              </w:rPr>
            </w:pPr>
            <w:r w:rsidRPr="00B93C1E">
              <w:rPr>
                <w:rFonts w:eastAsia="Arial Unicode MS"/>
                <w:color w:val="000000"/>
                <w:szCs w:val="22"/>
              </w:rPr>
              <w:t>Discontinue dosing</w:t>
            </w:r>
          </w:p>
        </w:tc>
      </w:tr>
      <w:tr w:rsidR="00621EF7" w:rsidRPr="00B93C1E" w:rsidTr="006C028D">
        <w:tc>
          <w:tcPr>
            <w:tcW w:w="8897" w:type="dxa"/>
            <w:gridSpan w:val="2"/>
            <w:shd w:val="clear" w:color="auto" w:fill="auto"/>
          </w:tcPr>
          <w:p w:rsidR="00621EF7" w:rsidRPr="00B93C1E" w:rsidRDefault="00621EF7" w:rsidP="006C028D">
            <w:pPr>
              <w:autoSpaceDE w:val="0"/>
              <w:autoSpaceDN w:val="0"/>
              <w:adjustRightInd w:val="0"/>
              <w:spacing w:after="0"/>
              <w:jc w:val="center"/>
              <w:rPr>
                <w:rFonts w:eastAsia="Arial Unicode MS"/>
                <w:color w:val="000000"/>
                <w:szCs w:val="22"/>
              </w:rPr>
            </w:pPr>
            <w:r w:rsidRPr="00A90D6A">
              <w:rPr>
                <w:b/>
                <w:i/>
                <w:iCs/>
              </w:rPr>
              <w:t>Neutropenia</w:t>
            </w:r>
          </w:p>
        </w:tc>
      </w:tr>
      <w:tr w:rsidR="00621EF7" w:rsidRPr="00B93C1E" w:rsidTr="00621EF7">
        <w:tc>
          <w:tcPr>
            <w:tcW w:w="3936" w:type="dxa"/>
            <w:shd w:val="clear" w:color="auto" w:fill="auto"/>
          </w:tcPr>
          <w:p w:rsidR="00621EF7" w:rsidRPr="00B93C1E" w:rsidRDefault="00621EF7" w:rsidP="006C028D">
            <w:pPr>
              <w:autoSpaceDE w:val="0"/>
              <w:autoSpaceDN w:val="0"/>
              <w:adjustRightInd w:val="0"/>
              <w:spacing w:after="0"/>
              <w:jc w:val="left"/>
              <w:rPr>
                <w:rFonts w:eastAsia="TimesNewRoman"/>
                <w:szCs w:val="24"/>
                <w:lang w:eastAsia="en-AU"/>
              </w:rPr>
            </w:pPr>
            <w:r>
              <w:rPr>
                <w:rFonts w:eastAsia="TimesNewRoman"/>
                <w:szCs w:val="24"/>
                <w:lang w:eastAsia="en-AU"/>
              </w:rPr>
              <w:t xml:space="preserve">Patients with ANC &gt;1.0 </w:t>
            </w:r>
            <w:r w:rsidRPr="00B93C1E">
              <w:rPr>
                <w:rFonts w:cs="Arial"/>
                <w:szCs w:val="24"/>
                <w:lang w:val="en-US"/>
              </w:rPr>
              <w:t>x 10</w:t>
            </w:r>
            <w:r w:rsidRPr="00B93C1E">
              <w:rPr>
                <w:rFonts w:cs="Arial"/>
                <w:szCs w:val="24"/>
                <w:vertAlign w:val="superscript"/>
                <w:lang w:val="en-US"/>
              </w:rPr>
              <w:t>9</w:t>
            </w:r>
            <w:r w:rsidRPr="00B93C1E">
              <w:rPr>
                <w:rFonts w:cs="Arial"/>
                <w:szCs w:val="24"/>
                <w:lang w:val="en-US"/>
              </w:rPr>
              <w:t xml:space="preserve"> cells/L</w:t>
            </w:r>
            <w:r>
              <w:rPr>
                <w:rFonts w:cs="Arial"/>
                <w:szCs w:val="24"/>
                <w:lang w:val="en-US"/>
              </w:rPr>
              <w:t>.</w:t>
            </w:r>
          </w:p>
        </w:tc>
        <w:tc>
          <w:tcPr>
            <w:tcW w:w="4961" w:type="dxa"/>
            <w:shd w:val="clear" w:color="auto" w:fill="auto"/>
          </w:tcPr>
          <w:p w:rsidR="00621EF7" w:rsidRPr="00B93C1E" w:rsidRDefault="00621EF7" w:rsidP="006C028D">
            <w:pPr>
              <w:autoSpaceDE w:val="0"/>
              <w:autoSpaceDN w:val="0"/>
              <w:adjustRightInd w:val="0"/>
              <w:spacing w:after="0"/>
              <w:jc w:val="center"/>
              <w:rPr>
                <w:rFonts w:eastAsia="Arial Unicode MS"/>
                <w:color w:val="000000"/>
                <w:szCs w:val="22"/>
              </w:rPr>
            </w:pPr>
            <w:r>
              <w:rPr>
                <w:rFonts w:eastAsia="Arial Unicode MS"/>
                <w:color w:val="000000"/>
                <w:szCs w:val="22"/>
              </w:rPr>
              <w:t>Maintain dose</w:t>
            </w:r>
          </w:p>
        </w:tc>
      </w:tr>
      <w:tr w:rsidR="00621EF7" w:rsidRPr="00B93C1E" w:rsidTr="00621EF7">
        <w:tc>
          <w:tcPr>
            <w:tcW w:w="3936" w:type="dxa"/>
            <w:shd w:val="clear" w:color="auto" w:fill="auto"/>
          </w:tcPr>
          <w:p w:rsidR="00621EF7" w:rsidRPr="00A90D6A" w:rsidRDefault="00621EF7" w:rsidP="006C028D">
            <w:pPr>
              <w:autoSpaceDE w:val="0"/>
              <w:autoSpaceDN w:val="0"/>
              <w:adjustRightInd w:val="0"/>
              <w:spacing w:after="0"/>
              <w:jc w:val="left"/>
              <w:rPr>
                <w:rFonts w:eastAsia="TimesNewRoman"/>
                <w:szCs w:val="24"/>
                <w:lang w:eastAsia="en-AU"/>
              </w:rPr>
            </w:pPr>
            <w:r w:rsidRPr="00B93C1E">
              <w:rPr>
                <w:rFonts w:eastAsia="TimesNewRoman"/>
                <w:szCs w:val="24"/>
                <w:lang w:eastAsia="en-AU"/>
              </w:rPr>
              <w:t>Patients with</w:t>
            </w:r>
            <w:r>
              <w:rPr>
                <w:rFonts w:eastAsia="TimesNewRoman"/>
                <w:szCs w:val="24"/>
                <w:lang w:eastAsia="en-AU"/>
              </w:rPr>
              <w:t xml:space="preserve"> persistent decrease (2 sequential values on routine testing) in</w:t>
            </w:r>
            <w:r w:rsidRPr="00B93C1E">
              <w:rPr>
                <w:rFonts w:eastAsia="TimesNewRoman"/>
                <w:szCs w:val="24"/>
                <w:lang w:eastAsia="en-AU"/>
              </w:rPr>
              <w:t xml:space="preserve"> ANC</w:t>
            </w:r>
            <w:r>
              <w:rPr>
                <w:rFonts w:eastAsia="TimesNewRoman"/>
                <w:szCs w:val="24"/>
                <w:lang w:eastAsia="en-AU"/>
              </w:rPr>
              <w:t xml:space="preserve"> in the range of</w:t>
            </w:r>
            <w:r w:rsidRPr="00B93C1E">
              <w:rPr>
                <w:rFonts w:eastAsia="TimesNewRoman"/>
                <w:szCs w:val="24"/>
                <w:lang w:eastAsia="en-AU"/>
              </w:rPr>
              <w:t xml:space="preserve"> </w:t>
            </w:r>
            <w:r>
              <w:rPr>
                <w:rFonts w:eastAsia="TimesNewRoman"/>
                <w:szCs w:val="24"/>
                <w:lang w:eastAsia="en-AU"/>
              </w:rPr>
              <w:t xml:space="preserve">0.5 – 1.0 </w:t>
            </w:r>
            <w:r w:rsidRPr="00B93C1E">
              <w:rPr>
                <w:rFonts w:cs="Arial"/>
                <w:szCs w:val="24"/>
                <w:lang w:val="en-US"/>
              </w:rPr>
              <w:t>x 10</w:t>
            </w:r>
            <w:r w:rsidRPr="00B93C1E">
              <w:rPr>
                <w:rFonts w:cs="Arial"/>
                <w:szCs w:val="24"/>
                <w:vertAlign w:val="superscript"/>
                <w:lang w:val="en-US"/>
              </w:rPr>
              <w:t>9</w:t>
            </w:r>
            <w:r w:rsidRPr="00B93C1E">
              <w:rPr>
                <w:rFonts w:cs="Arial"/>
                <w:szCs w:val="24"/>
                <w:lang w:val="en-US"/>
              </w:rPr>
              <w:t xml:space="preserve"> cells/L</w:t>
            </w:r>
            <w:r>
              <w:rPr>
                <w:rFonts w:cs="Arial"/>
                <w:szCs w:val="24"/>
                <w:lang w:val="en-US"/>
              </w:rPr>
              <w:t>.</w:t>
            </w:r>
          </w:p>
        </w:tc>
        <w:tc>
          <w:tcPr>
            <w:tcW w:w="4961" w:type="dxa"/>
            <w:shd w:val="clear" w:color="auto" w:fill="auto"/>
          </w:tcPr>
          <w:p w:rsidR="00621EF7" w:rsidRDefault="003715D5" w:rsidP="006C028D">
            <w:pPr>
              <w:autoSpaceDE w:val="0"/>
              <w:autoSpaceDN w:val="0"/>
              <w:adjustRightInd w:val="0"/>
              <w:spacing w:after="0"/>
              <w:jc w:val="center"/>
              <w:rPr>
                <w:rFonts w:eastAsia="Arial Unicode MS"/>
                <w:color w:val="000000"/>
                <w:szCs w:val="22"/>
              </w:rPr>
            </w:pPr>
            <w:r>
              <w:rPr>
                <w:rFonts w:eastAsia="Arial Unicode MS"/>
                <w:color w:val="000000"/>
                <w:szCs w:val="22"/>
              </w:rPr>
              <w:t>Reduce or i</w:t>
            </w:r>
            <w:r w:rsidR="00621EF7">
              <w:rPr>
                <w:rFonts w:eastAsia="Arial Unicode MS"/>
                <w:color w:val="000000"/>
                <w:szCs w:val="22"/>
              </w:rPr>
              <w:t>nterrupt dosing</w:t>
            </w:r>
            <w:r>
              <w:rPr>
                <w:rFonts w:eastAsia="Arial Unicode MS"/>
                <w:color w:val="000000"/>
                <w:szCs w:val="22"/>
              </w:rPr>
              <w:t xml:space="preserve"> until ANC &gt;</w:t>
            </w:r>
            <w:r>
              <w:rPr>
                <w:rFonts w:eastAsia="TimesNewRoman"/>
                <w:szCs w:val="24"/>
                <w:lang w:eastAsia="en-AU"/>
              </w:rPr>
              <w:t xml:space="preserve">1.0 </w:t>
            </w:r>
            <w:r w:rsidRPr="00B93C1E">
              <w:rPr>
                <w:rFonts w:cs="Arial"/>
                <w:szCs w:val="24"/>
                <w:lang w:val="en-US"/>
              </w:rPr>
              <w:t>x 10</w:t>
            </w:r>
            <w:r w:rsidRPr="00B93C1E">
              <w:rPr>
                <w:rFonts w:cs="Arial"/>
                <w:szCs w:val="24"/>
                <w:vertAlign w:val="superscript"/>
                <w:lang w:val="en-US"/>
              </w:rPr>
              <w:t>9</w:t>
            </w:r>
            <w:r w:rsidRPr="00B93C1E">
              <w:rPr>
                <w:rFonts w:cs="Arial"/>
                <w:szCs w:val="24"/>
                <w:lang w:val="en-US"/>
              </w:rPr>
              <w:t xml:space="preserve"> cells/L</w:t>
            </w:r>
            <w:r w:rsidR="00621EF7">
              <w:rPr>
                <w:rFonts w:eastAsia="Arial Unicode MS"/>
                <w:color w:val="000000"/>
                <w:szCs w:val="22"/>
              </w:rPr>
              <w:t>.</w:t>
            </w:r>
          </w:p>
          <w:p w:rsidR="003715D5" w:rsidRDefault="003715D5" w:rsidP="006C028D">
            <w:pPr>
              <w:autoSpaceDE w:val="0"/>
              <w:autoSpaceDN w:val="0"/>
              <w:adjustRightInd w:val="0"/>
              <w:spacing w:after="0"/>
              <w:jc w:val="center"/>
              <w:rPr>
                <w:rFonts w:eastAsia="Arial Unicode MS"/>
                <w:color w:val="000000"/>
                <w:szCs w:val="22"/>
              </w:rPr>
            </w:pPr>
          </w:p>
          <w:p w:rsidR="003715D5" w:rsidRDefault="003715D5" w:rsidP="003715D5">
            <w:pPr>
              <w:autoSpaceDE w:val="0"/>
              <w:autoSpaceDN w:val="0"/>
              <w:adjustRightInd w:val="0"/>
              <w:spacing w:after="0"/>
              <w:jc w:val="center"/>
              <w:rPr>
                <w:rFonts w:eastAsia="Arial Unicode MS"/>
                <w:color w:val="000000"/>
                <w:szCs w:val="22"/>
              </w:rPr>
            </w:pPr>
            <w:r>
              <w:rPr>
                <w:rFonts w:eastAsia="Arial Unicode MS"/>
                <w:color w:val="000000"/>
                <w:szCs w:val="22"/>
              </w:rPr>
              <w:t>If taking 10 mg twice daily, reduce to 5 mg twice daily.</w:t>
            </w:r>
          </w:p>
          <w:p w:rsidR="003715D5" w:rsidRDefault="003715D5" w:rsidP="003715D5">
            <w:pPr>
              <w:autoSpaceDE w:val="0"/>
              <w:autoSpaceDN w:val="0"/>
              <w:adjustRightInd w:val="0"/>
              <w:spacing w:after="0"/>
              <w:jc w:val="center"/>
              <w:rPr>
                <w:rFonts w:eastAsia="Arial Unicode MS"/>
                <w:color w:val="000000"/>
                <w:szCs w:val="22"/>
              </w:rPr>
            </w:pPr>
          </w:p>
          <w:p w:rsidR="003715D5" w:rsidRDefault="003715D5" w:rsidP="003715D5">
            <w:pPr>
              <w:autoSpaceDE w:val="0"/>
              <w:autoSpaceDN w:val="0"/>
              <w:adjustRightInd w:val="0"/>
              <w:spacing w:after="0"/>
              <w:jc w:val="center"/>
              <w:rPr>
                <w:rFonts w:eastAsia="Arial Unicode MS"/>
                <w:color w:val="000000"/>
                <w:szCs w:val="22"/>
              </w:rPr>
            </w:pPr>
            <w:r>
              <w:rPr>
                <w:rFonts w:eastAsia="Arial Unicode MS"/>
                <w:color w:val="000000"/>
                <w:szCs w:val="22"/>
              </w:rPr>
              <w:t>If taking 5 mg twice daily, interrupt dosing.</w:t>
            </w:r>
          </w:p>
          <w:p w:rsidR="003715D5" w:rsidRDefault="003715D5" w:rsidP="006C028D">
            <w:pPr>
              <w:autoSpaceDE w:val="0"/>
              <w:autoSpaceDN w:val="0"/>
              <w:adjustRightInd w:val="0"/>
              <w:spacing w:after="0"/>
              <w:jc w:val="center"/>
              <w:rPr>
                <w:rFonts w:eastAsia="Arial Unicode MS"/>
                <w:color w:val="000000"/>
                <w:szCs w:val="22"/>
              </w:rPr>
            </w:pPr>
          </w:p>
          <w:p w:rsidR="00621EF7" w:rsidRPr="00B93C1E" w:rsidRDefault="00621EF7" w:rsidP="006C028D">
            <w:pPr>
              <w:autoSpaceDE w:val="0"/>
              <w:autoSpaceDN w:val="0"/>
              <w:adjustRightInd w:val="0"/>
              <w:spacing w:after="0"/>
              <w:jc w:val="center"/>
              <w:rPr>
                <w:rFonts w:eastAsia="Arial Unicode MS"/>
                <w:color w:val="000000"/>
                <w:szCs w:val="22"/>
              </w:rPr>
            </w:pPr>
            <w:r>
              <w:rPr>
                <w:rFonts w:eastAsia="Arial Unicode MS"/>
                <w:color w:val="000000"/>
                <w:szCs w:val="22"/>
              </w:rPr>
              <w:t>When ANC is &gt;1.0</w:t>
            </w:r>
            <w:r w:rsidRPr="00B93C1E">
              <w:rPr>
                <w:rFonts w:cs="Arial"/>
                <w:szCs w:val="24"/>
                <w:lang w:val="en-US"/>
              </w:rPr>
              <w:t xml:space="preserve"> x 10</w:t>
            </w:r>
            <w:r w:rsidRPr="00B93C1E">
              <w:rPr>
                <w:rFonts w:cs="Arial"/>
                <w:szCs w:val="24"/>
                <w:vertAlign w:val="superscript"/>
                <w:lang w:val="en-US"/>
              </w:rPr>
              <w:t>9</w:t>
            </w:r>
            <w:r w:rsidRPr="00B93C1E">
              <w:rPr>
                <w:rFonts w:cs="Arial"/>
                <w:szCs w:val="24"/>
                <w:lang w:val="en-US"/>
              </w:rPr>
              <w:t xml:space="preserve"> cells/L</w:t>
            </w:r>
            <w:r>
              <w:rPr>
                <w:rFonts w:eastAsia="Arial Unicode MS"/>
                <w:color w:val="000000"/>
                <w:szCs w:val="22"/>
              </w:rPr>
              <w:t xml:space="preserve">, resume </w:t>
            </w:r>
            <w:r w:rsidR="003715D5">
              <w:rPr>
                <w:rFonts w:cs="Arial"/>
                <w:szCs w:val="24"/>
                <w:lang w:val="en-US"/>
              </w:rPr>
              <w:t>XELJANZ treatment as clinically appropriate.</w:t>
            </w:r>
          </w:p>
        </w:tc>
      </w:tr>
      <w:tr w:rsidR="00621EF7" w:rsidRPr="00B93C1E" w:rsidTr="00621EF7">
        <w:tc>
          <w:tcPr>
            <w:tcW w:w="3936" w:type="dxa"/>
            <w:shd w:val="clear" w:color="auto" w:fill="auto"/>
          </w:tcPr>
          <w:p w:rsidR="00621EF7" w:rsidRPr="00B93C1E" w:rsidRDefault="00621EF7" w:rsidP="006C028D">
            <w:pPr>
              <w:autoSpaceDE w:val="0"/>
              <w:autoSpaceDN w:val="0"/>
              <w:adjustRightInd w:val="0"/>
              <w:spacing w:after="0"/>
              <w:jc w:val="left"/>
              <w:rPr>
                <w:rFonts w:eastAsia="Arial Unicode MS"/>
                <w:color w:val="000000"/>
                <w:szCs w:val="24"/>
              </w:rPr>
            </w:pPr>
            <w:r w:rsidRPr="00B93C1E">
              <w:rPr>
                <w:rFonts w:eastAsia="TimesNewRoman"/>
                <w:szCs w:val="24"/>
                <w:lang w:eastAsia="en-AU"/>
              </w:rPr>
              <w:t>Patients with ANC</w:t>
            </w:r>
            <w:r>
              <w:rPr>
                <w:rFonts w:eastAsia="TimesNewRoman"/>
                <w:szCs w:val="24"/>
                <w:lang w:eastAsia="en-AU"/>
              </w:rPr>
              <w:t xml:space="preserve"> &lt;0.5 </w:t>
            </w:r>
            <w:r w:rsidRPr="00B93C1E">
              <w:rPr>
                <w:rFonts w:cs="Arial"/>
                <w:szCs w:val="24"/>
                <w:lang w:val="en-US"/>
              </w:rPr>
              <w:t>x 10</w:t>
            </w:r>
            <w:r w:rsidRPr="00B93C1E">
              <w:rPr>
                <w:rFonts w:cs="Arial"/>
                <w:szCs w:val="24"/>
                <w:vertAlign w:val="superscript"/>
                <w:lang w:val="en-US"/>
              </w:rPr>
              <w:t>9</w:t>
            </w:r>
            <w:r w:rsidRPr="00B93C1E">
              <w:rPr>
                <w:rFonts w:cs="Arial"/>
                <w:szCs w:val="24"/>
                <w:lang w:val="en-US"/>
              </w:rPr>
              <w:t xml:space="preserve"> cells/L</w:t>
            </w:r>
            <w:r>
              <w:rPr>
                <w:rFonts w:cs="Arial"/>
                <w:szCs w:val="24"/>
                <w:lang w:val="en-US"/>
              </w:rPr>
              <w:t xml:space="preserve"> (confirmed by repeat testing).</w:t>
            </w:r>
          </w:p>
        </w:tc>
        <w:tc>
          <w:tcPr>
            <w:tcW w:w="4961" w:type="dxa"/>
            <w:shd w:val="clear" w:color="auto" w:fill="auto"/>
          </w:tcPr>
          <w:p w:rsidR="00621EF7" w:rsidRPr="00B93C1E" w:rsidRDefault="00621EF7" w:rsidP="006C028D">
            <w:pPr>
              <w:autoSpaceDE w:val="0"/>
              <w:autoSpaceDN w:val="0"/>
              <w:adjustRightInd w:val="0"/>
              <w:spacing w:after="0"/>
              <w:jc w:val="center"/>
              <w:rPr>
                <w:rFonts w:eastAsia="Arial Unicode MS"/>
                <w:color w:val="000000"/>
                <w:szCs w:val="22"/>
              </w:rPr>
            </w:pPr>
            <w:r>
              <w:rPr>
                <w:rFonts w:eastAsia="Arial Unicode MS"/>
                <w:color w:val="000000"/>
                <w:szCs w:val="22"/>
              </w:rPr>
              <w:t>Discontinue dosing</w:t>
            </w:r>
          </w:p>
        </w:tc>
      </w:tr>
      <w:tr w:rsidR="00621EF7" w:rsidRPr="00B93C1E" w:rsidTr="006C028D">
        <w:tc>
          <w:tcPr>
            <w:tcW w:w="8897" w:type="dxa"/>
            <w:gridSpan w:val="2"/>
            <w:shd w:val="clear" w:color="auto" w:fill="auto"/>
          </w:tcPr>
          <w:p w:rsidR="00621EF7" w:rsidRPr="00B93C1E" w:rsidRDefault="00621EF7" w:rsidP="006C028D">
            <w:pPr>
              <w:autoSpaceDE w:val="0"/>
              <w:autoSpaceDN w:val="0"/>
              <w:adjustRightInd w:val="0"/>
              <w:spacing w:after="0"/>
              <w:jc w:val="center"/>
              <w:rPr>
                <w:rFonts w:eastAsia="Arial Unicode MS"/>
                <w:color w:val="000000"/>
                <w:szCs w:val="22"/>
              </w:rPr>
            </w:pPr>
            <w:r w:rsidRPr="00A90D6A">
              <w:rPr>
                <w:b/>
                <w:i/>
                <w:iCs/>
              </w:rPr>
              <w:t>Anaemia</w:t>
            </w:r>
          </w:p>
        </w:tc>
      </w:tr>
      <w:tr w:rsidR="00621EF7" w:rsidRPr="00B93C1E" w:rsidTr="00621EF7">
        <w:tc>
          <w:tcPr>
            <w:tcW w:w="3936" w:type="dxa"/>
            <w:shd w:val="clear" w:color="auto" w:fill="auto"/>
          </w:tcPr>
          <w:p w:rsidR="00621EF7" w:rsidRPr="00A90D6A" w:rsidRDefault="00621EF7" w:rsidP="006C028D">
            <w:pPr>
              <w:keepNext/>
              <w:spacing w:after="0"/>
              <w:jc w:val="left"/>
            </w:pPr>
            <w:r w:rsidRPr="00B93C1E">
              <w:rPr>
                <w:rFonts w:eastAsia="TimesNewRoman"/>
                <w:szCs w:val="24"/>
                <w:lang w:eastAsia="en-AU"/>
              </w:rPr>
              <w:t>Patients with h</w:t>
            </w:r>
            <w:r>
              <w:rPr>
                <w:rFonts w:eastAsia="TimesNewRoman"/>
                <w:szCs w:val="24"/>
                <w:lang w:eastAsia="en-AU"/>
              </w:rPr>
              <w:t>a</w:t>
            </w:r>
            <w:r w:rsidRPr="00B93C1E">
              <w:rPr>
                <w:rFonts w:eastAsia="TimesNewRoman"/>
                <w:szCs w:val="24"/>
                <w:lang w:eastAsia="en-AU"/>
              </w:rPr>
              <w:t xml:space="preserve">emoglobin </w:t>
            </w:r>
            <w:r>
              <w:t xml:space="preserve">≤20 g/L decrease and </w:t>
            </w:r>
            <w:r w:rsidRPr="0051061D">
              <w:t>≥90 g/L</w:t>
            </w:r>
            <w:r>
              <w:t>.</w:t>
            </w:r>
          </w:p>
        </w:tc>
        <w:tc>
          <w:tcPr>
            <w:tcW w:w="4961" w:type="dxa"/>
            <w:shd w:val="clear" w:color="auto" w:fill="auto"/>
          </w:tcPr>
          <w:p w:rsidR="00621EF7" w:rsidRPr="00B93C1E" w:rsidRDefault="00621EF7" w:rsidP="006C028D">
            <w:pPr>
              <w:autoSpaceDE w:val="0"/>
              <w:autoSpaceDN w:val="0"/>
              <w:adjustRightInd w:val="0"/>
              <w:spacing w:after="0"/>
              <w:jc w:val="center"/>
              <w:rPr>
                <w:rFonts w:eastAsia="Arial Unicode MS"/>
                <w:color w:val="000000"/>
                <w:szCs w:val="22"/>
              </w:rPr>
            </w:pPr>
            <w:r>
              <w:rPr>
                <w:rFonts w:eastAsia="Arial Unicode MS"/>
                <w:color w:val="000000"/>
                <w:szCs w:val="22"/>
              </w:rPr>
              <w:t>Maintain dose</w:t>
            </w:r>
          </w:p>
        </w:tc>
      </w:tr>
      <w:tr w:rsidR="00621EF7" w:rsidRPr="00B93C1E" w:rsidTr="00621EF7">
        <w:tc>
          <w:tcPr>
            <w:tcW w:w="3936" w:type="dxa"/>
            <w:shd w:val="clear" w:color="auto" w:fill="auto"/>
          </w:tcPr>
          <w:p w:rsidR="00621EF7" w:rsidRPr="00A90D6A" w:rsidRDefault="00621EF7" w:rsidP="006C028D">
            <w:pPr>
              <w:keepNext/>
              <w:spacing w:after="0"/>
              <w:jc w:val="left"/>
            </w:pPr>
            <w:r w:rsidRPr="00B93C1E">
              <w:rPr>
                <w:rFonts w:eastAsia="TimesNewRoman"/>
                <w:szCs w:val="24"/>
                <w:lang w:eastAsia="en-AU"/>
              </w:rPr>
              <w:t>Patients with h</w:t>
            </w:r>
            <w:r>
              <w:rPr>
                <w:rFonts w:eastAsia="TimesNewRoman"/>
                <w:szCs w:val="24"/>
                <w:lang w:eastAsia="en-AU"/>
              </w:rPr>
              <w:t>a</w:t>
            </w:r>
            <w:r w:rsidRPr="00B93C1E">
              <w:rPr>
                <w:rFonts w:eastAsia="TimesNewRoman"/>
                <w:szCs w:val="24"/>
                <w:lang w:eastAsia="en-AU"/>
              </w:rPr>
              <w:t>emoglobin</w:t>
            </w:r>
            <w:r>
              <w:rPr>
                <w:rFonts w:eastAsia="TimesNewRoman"/>
                <w:szCs w:val="24"/>
                <w:lang w:eastAsia="en-AU"/>
              </w:rPr>
              <w:t xml:space="preserve"> </w:t>
            </w:r>
            <w:r>
              <w:t>&gt;20 g/L decrease or &lt;80 g/L (c</w:t>
            </w:r>
            <w:r w:rsidRPr="0051061D">
              <w:t>onfirmed by repeat testing)</w:t>
            </w:r>
            <w:r>
              <w:t>.</w:t>
            </w:r>
          </w:p>
        </w:tc>
        <w:tc>
          <w:tcPr>
            <w:tcW w:w="4961" w:type="dxa"/>
            <w:shd w:val="clear" w:color="auto" w:fill="auto"/>
          </w:tcPr>
          <w:p w:rsidR="00621EF7" w:rsidRPr="00B93C1E" w:rsidRDefault="00621EF7" w:rsidP="006C028D">
            <w:pPr>
              <w:autoSpaceDE w:val="0"/>
              <w:autoSpaceDN w:val="0"/>
              <w:adjustRightInd w:val="0"/>
              <w:spacing w:after="0"/>
              <w:jc w:val="center"/>
              <w:rPr>
                <w:rFonts w:eastAsia="Arial Unicode MS"/>
                <w:color w:val="000000"/>
                <w:szCs w:val="22"/>
              </w:rPr>
            </w:pPr>
            <w:r>
              <w:rPr>
                <w:rFonts w:eastAsia="Arial Unicode MS"/>
                <w:color w:val="000000"/>
                <w:szCs w:val="22"/>
              </w:rPr>
              <w:t xml:space="preserve">Interrupt dosing until </w:t>
            </w:r>
            <w:proofErr w:type="spellStart"/>
            <w:r>
              <w:rPr>
                <w:rFonts w:eastAsia="Arial Unicode MS"/>
                <w:color w:val="000000"/>
                <w:szCs w:val="22"/>
              </w:rPr>
              <w:t>haemoglobain</w:t>
            </w:r>
            <w:proofErr w:type="spellEnd"/>
            <w:r>
              <w:rPr>
                <w:rFonts w:eastAsia="Arial Unicode MS"/>
                <w:color w:val="000000"/>
                <w:szCs w:val="22"/>
              </w:rPr>
              <w:t xml:space="preserve"> values have normalised.</w:t>
            </w:r>
          </w:p>
        </w:tc>
      </w:tr>
    </w:tbl>
    <w:p w:rsidR="00621EF7" w:rsidRDefault="00A43750" w:rsidP="00621EF7">
      <w:pPr>
        <w:autoSpaceDE w:val="0"/>
        <w:autoSpaceDN w:val="0"/>
        <w:adjustRightInd w:val="0"/>
        <w:spacing w:after="0"/>
        <w:jc w:val="left"/>
        <w:rPr>
          <w:szCs w:val="22"/>
          <w:lang w:val="en-US"/>
        </w:rPr>
      </w:pPr>
      <w:r>
        <w:rPr>
          <w:vertAlign w:val="superscript"/>
        </w:rPr>
        <w:lastRenderedPageBreak/>
        <w:t>1</w:t>
      </w:r>
      <w:r w:rsidR="00621EF7">
        <w:t xml:space="preserve"> </w:t>
      </w:r>
      <w:proofErr w:type="spellStart"/>
      <w:r w:rsidR="00621EF7" w:rsidRPr="0051061D">
        <w:t>Coadministration</w:t>
      </w:r>
      <w:proofErr w:type="spellEnd"/>
      <w:r w:rsidR="00621EF7" w:rsidRPr="0051061D">
        <w:t xml:space="preserve"> of XELJANZ with potent CYP inducers (e.g., rifampicin) may result in loss of or reduced clinical response </w:t>
      </w:r>
      <w:r w:rsidR="00621EF7" w:rsidRPr="0051061D">
        <w:rPr>
          <w:szCs w:val="22"/>
        </w:rPr>
        <w:t xml:space="preserve">(see </w:t>
      </w:r>
      <w:r w:rsidR="00621EF7">
        <w:rPr>
          <w:szCs w:val="22"/>
        </w:rPr>
        <w:t xml:space="preserve">Section 4.5 </w:t>
      </w:r>
      <w:r w:rsidR="00621EF7">
        <w:t xml:space="preserve">Interactions </w:t>
      </w:r>
      <w:proofErr w:type="gramStart"/>
      <w:r w:rsidR="00621EF7">
        <w:t>With</w:t>
      </w:r>
      <w:proofErr w:type="gramEnd"/>
      <w:r w:rsidR="00621EF7">
        <w:t xml:space="preserve"> Other Medicines and Other Forms of Interactions</w:t>
      </w:r>
      <w:r w:rsidR="00621EF7" w:rsidRPr="0051061D">
        <w:rPr>
          <w:szCs w:val="22"/>
        </w:rPr>
        <w:t xml:space="preserve">).  </w:t>
      </w:r>
      <w:proofErr w:type="spellStart"/>
      <w:r w:rsidR="00621EF7" w:rsidRPr="0051061D">
        <w:rPr>
          <w:szCs w:val="22"/>
          <w:lang w:val="en-US"/>
        </w:rPr>
        <w:t>Coadministration</w:t>
      </w:r>
      <w:proofErr w:type="spellEnd"/>
      <w:r w:rsidR="00621EF7" w:rsidRPr="0051061D">
        <w:rPr>
          <w:szCs w:val="22"/>
          <w:lang w:val="en-US"/>
        </w:rPr>
        <w:t xml:space="preserve"> of potent inducers of CYP3A4 with XELJANZ is not recommended.</w:t>
      </w:r>
    </w:p>
    <w:p w:rsidR="00621EF7" w:rsidRPr="00453591" w:rsidRDefault="00A43750" w:rsidP="00621EF7">
      <w:pPr>
        <w:autoSpaceDE w:val="0"/>
        <w:autoSpaceDN w:val="0"/>
        <w:adjustRightInd w:val="0"/>
        <w:spacing w:after="0"/>
        <w:jc w:val="left"/>
        <w:rPr>
          <w:szCs w:val="22"/>
          <w:vertAlign w:val="superscript"/>
          <w:lang w:val="en-US"/>
        </w:rPr>
      </w:pPr>
      <w:r>
        <w:rPr>
          <w:szCs w:val="22"/>
          <w:vertAlign w:val="superscript"/>
          <w:lang w:val="en-US"/>
        </w:rPr>
        <w:t>2</w:t>
      </w:r>
      <w:r w:rsidR="00621EF7" w:rsidRPr="00453591">
        <w:rPr>
          <w:szCs w:val="22"/>
          <w:vertAlign w:val="superscript"/>
          <w:lang w:val="en-US"/>
        </w:rPr>
        <w:t xml:space="preserve"> </w:t>
      </w:r>
      <w:r w:rsidR="00621EF7">
        <w:rPr>
          <w:rFonts w:eastAsia="Arial Unicode MS"/>
          <w:color w:val="000000"/>
          <w:szCs w:val="22"/>
        </w:rPr>
        <w:t xml:space="preserve">No dose adjustment is required in </w:t>
      </w:r>
      <w:r w:rsidR="00621EF7">
        <w:rPr>
          <w:szCs w:val="22"/>
        </w:rPr>
        <w:t>p</w:t>
      </w:r>
      <w:r w:rsidR="00621EF7" w:rsidRPr="00FF0832">
        <w:rPr>
          <w:szCs w:val="22"/>
        </w:rPr>
        <w:t>atients with estimated GFR more than 50 mL/min</w:t>
      </w:r>
      <w:r w:rsidR="00621EF7">
        <w:rPr>
          <w:szCs w:val="22"/>
        </w:rPr>
        <w:t>.</w:t>
      </w:r>
    </w:p>
    <w:p w:rsidR="00453591" w:rsidRPr="00541DFE" w:rsidRDefault="00A43750" w:rsidP="000363FF">
      <w:pPr>
        <w:autoSpaceDE w:val="0"/>
        <w:autoSpaceDN w:val="0"/>
        <w:adjustRightInd w:val="0"/>
        <w:jc w:val="left"/>
        <w:rPr>
          <w:szCs w:val="22"/>
        </w:rPr>
      </w:pPr>
      <w:r>
        <w:rPr>
          <w:vertAlign w:val="superscript"/>
        </w:rPr>
        <w:t>3</w:t>
      </w:r>
      <w:r w:rsidR="00621EF7">
        <w:t xml:space="preserve"> </w:t>
      </w:r>
      <w:r w:rsidR="00621EF7">
        <w:rPr>
          <w:rFonts w:eastAsia="Arial Unicode MS"/>
          <w:color w:val="000000"/>
          <w:szCs w:val="22"/>
        </w:rPr>
        <w:t>No dose adjustment required</w:t>
      </w:r>
      <w:r w:rsidR="00621EF7" w:rsidRPr="0051061D">
        <w:rPr>
          <w:rFonts w:hint="eastAsia"/>
          <w:szCs w:val="22"/>
        </w:rPr>
        <w:t xml:space="preserve"> </w:t>
      </w:r>
      <w:r w:rsidR="00621EF7">
        <w:rPr>
          <w:szCs w:val="22"/>
        </w:rPr>
        <w:t xml:space="preserve">in patients with </w:t>
      </w:r>
      <w:r w:rsidR="00621EF7" w:rsidRPr="00B93C1E">
        <w:rPr>
          <w:rFonts w:eastAsia="Arial Unicode MS"/>
          <w:color w:val="000000"/>
          <w:szCs w:val="22"/>
        </w:rPr>
        <w:t>m</w:t>
      </w:r>
      <w:r w:rsidR="00621EF7">
        <w:rPr>
          <w:rFonts w:eastAsia="Arial Unicode MS"/>
          <w:color w:val="000000"/>
          <w:szCs w:val="22"/>
        </w:rPr>
        <w:t>ild</w:t>
      </w:r>
      <w:r w:rsidR="00621EF7" w:rsidRPr="00B93C1E">
        <w:rPr>
          <w:rFonts w:eastAsia="Arial Unicode MS"/>
          <w:color w:val="000000"/>
          <w:szCs w:val="22"/>
        </w:rPr>
        <w:t xml:space="preserve"> hepatic impairment</w:t>
      </w:r>
      <w:r w:rsidR="00621EF7">
        <w:rPr>
          <w:rFonts w:eastAsia="Arial Unicode MS"/>
          <w:color w:val="000000"/>
          <w:szCs w:val="22"/>
        </w:rPr>
        <w:t>.</w:t>
      </w:r>
      <w:r w:rsidR="00621EF7">
        <w:rPr>
          <w:szCs w:val="22"/>
        </w:rPr>
        <w:t xml:space="preserve"> </w:t>
      </w:r>
      <w:r w:rsidR="00621EF7" w:rsidRPr="0051061D">
        <w:rPr>
          <w:rFonts w:hint="eastAsia"/>
          <w:szCs w:val="22"/>
        </w:rPr>
        <w:t>XELJANZ should not be used in patients with severe hepatic impairment</w:t>
      </w:r>
      <w:r w:rsidR="00621EF7" w:rsidRPr="0051061D">
        <w:rPr>
          <w:szCs w:val="22"/>
        </w:rPr>
        <w:t xml:space="preserve"> </w:t>
      </w:r>
      <w:r w:rsidR="00621EF7" w:rsidRPr="0051061D">
        <w:t xml:space="preserve">(see </w:t>
      </w:r>
      <w:r w:rsidR="00621EF7">
        <w:t>Section 4.3 Contraindications</w:t>
      </w:r>
      <w:r w:rsidR="00621EF7" w:rsidRPr="0051061D">
        <w:t xml:space="preserve"> and </w:t>
      </w:r>
      <w:r w:rsidR="00621EF7">
        <w:t>Section 5.2</w:t>
      </w:r>
      <w:r w:rsidR="00621EF7" w:rsidRPr="00E57F12">
        <w:t xml:space="preserve"> </w:t>
      </w:r>
      <w:r w:rsidR="00621EF7">
        <w:t>Pharmacokinetic Properties</w:t>
      </w:r>
      <w:r w:rsidR="00621EF7" w:rsidRPr="0051061D">
        <w:t>)</w:t>
      </w:r>
      <w:r w:rsidR="00621EF7" w:rsidRPr="0051061D">
        <w:rPr>
          <w:rFonts w:hint="eastAsia"/>
          <w:szCs w:val="22"/>
        </w:rPr>
        <w:t>.</w:t>
      </w:r>
    </w:p>
    <w:p w:rsidR="00FD6F56" w:rsidRPr="0051061D" w:rsidRDefault="00FD6F56" w:rsidP="00785FEB">
      <w:pPr>
        <w:pStyle w:val="PIHeading3"/>
      </w:pPr>
      <w:r w:rsidRPr="0051061D">
        <w:t xml:space="preserve">Dosage Adjustment in the Elderly </w:t>
      </w:r>
    </w:p>
    <w:p w:rsidR="00FD6F56" w:rsidRPr="0051061D" w:rsidRDefault="00FD6F56" w:rsidP="00FD6F56">
      <w:pPr>
        <w:rPr>
          <w:szCs w:val="22"/>
        </w:rPr>
      </w:pPr>
      <w:r w:rsidRPr="0051061D">
        <w:rPr>
          <w:szCs w:val="22"/>
        </w:rPr>
        <w:t>No dosage adjustment is required in patients aged 65 years and older.</w:t>
      </w:r>
    </w:p>
    <w:p w:rsidR="00FD6F56" w:rsidRPr="0051061D" w:rsidRDefault="00FD6F56" w:rsidP="00785FEB">
      <w:pPr>
        <w:pStyle w:val="PIHeading3"/>
      </w:pPr>
      <w:r w:rsidRPr="0051061D">
        <w:t>Children and Adolescents</w:t>
      </w:r>
    </w:p>
    <w:p w:rsidR="00FD6F56" w:rsidRPr="00FD6F56" w:rsidRDefault="00FD6F56" w:rsidP="003A4144">
      <w:pPr>
        <w:rPr>
          <w:szCs w:val="22"/>
        </w:rPr>
      </w:pPr>
      <w:r w:rsidRPr="0051061D">
        <w:rPr>
          <w:szCs w:val="22"/>
        </w:rPr>
        <w:t>The safety and efficacy of XELJANZ in children aged from neonates to &lt;18 years of age has not yet been established.</w:t>
      </w:r>
    </w:p>
    <w:p w:rsidR="003A4144" w:rsidRDefault="003A4144" w:rsidP="00F43C03">
      <w:pPr>
        <w:pStyle w:val="PIHeading2"/>
      </w:pPr>
      <w:r w:rsidRPr="003A4144">
        <w:t xml:space="preserve">4.3 </w:t>
      </w:r>
      <w:r w:rsidR="00F43C03">
        <w:t>Contraindications</w:t>
      </w:r>
    </w:p>
    <w:p w:rsidR="00FD6F56" w:rsidRPr="0051061D" w:rsidRDefault="00FD6F56" w:rsidP="00FD6F56">
      <w:pPr>
        <w:pStyle w:val="PINormal"/>
        <w:rPr>
          <w:noProof/>
        </w:rPr>
      </w:pPr>
      <w:r w:rsidRPr="0051061D">
        <w:rPr>
          <w:noProof/>
        </w:rPr>
        <w:t>Hypersensitivity to tofacitinib citrate or to any of the excipients.</w:t>
      </w:r>
    </w:p>
    <w:p w:rsidR="009D0184" w:rsidRDefault="00FD6F56" w:rsidP="00FD6F56">
      <w:pPr>
        <w:pStyle w:val="PINormal"/>
        <w:rPr>
          <w:noProof/>
        </w:rPr>
      </w:pPr>
      <w:r w:rsidRPr="0051061D">
        <w:rPr>
          <w:noProof/>
        </w:rPr>
        <w:t xml:space="preserve">XELJANZ must not be used in combination with biological </w:t>
      </w:r>
      <w:r w:rsidR="002B2D5C">
        <w:rPr>
          <w:noProof/>
        </w:rPr>
        <w:t xml:space="preserve">agents </w:t>
      </w:r>
      <w:r w:rsidRPr="0051061D">
        <w:rPr>
          <w:noProof/>
        </w:rPr>
        <w:t xml:space="preserve">or other potent immunosuppressive agents </w:t>
      </w:r>
      <w:r w:rsidR="002B2D5C" w:rsidRPr="009D0184">
        <w:rPr>
          <w:noProof/>
        </w:rPr>
        <w:t xml:space="preserve">(see Section 4.5 </w:t>
      </w:r>
      <w:r w:rsidR="002B2D5C" w:rsidRPr="009D0184">
        <w:t xml:space="preserve">Interactions </w:t>
      </w:r>
      <w:proofErr w:type="gramStart"/>
      <w:r w:rsidR="002B2D5C" w:rsidRPr="009D0184">
        <w:t>With</w:t>
      </w:r>
      <w:proofErr w:type="gramEnd"/>
      <w:r w:rsidR="002B2D5C" w:rsidRPr="009D0184">
        <w:t xml:space="preserve"> Other Medicines and Other Forms of Interactions</w:t>
      </w:r>
      <w:r w:rsidR="002B2D5C" w:rsidRPr="009D0184">
        <w:rPr>
          <w:noProof/>
        </w:rPr>
        <w:t>)</w:t>
      </w:r>
      <w:r w:rsidRPr="0051061D">
        <w:rPr>
          <w:noProof/>
        </w:rPr>
        <w:t>.</w:t>
      </w:r>
    </w:p>
    <w:p w:rsidR="003A4144" w:rsidRDefault="00FD6F56" w:rsidP="00FD6F56">
      <w:pPr>
        <w:pStyle w:val="PINormal"/>
      </w:pPr>
      <w:r w:rsidRPr="0051061D">
        <w:rPr>
          <w:noProof/>
        </w:rPr>
        <w:t>XELJANZ should not be used in patients with severe hepatic impairment.</w:t>
      </w:r>
    </w:p>
    <w:p w:rsidR="003A4144" w:rsidRDefault="003A4144" w:rsidP="00F43C03">
      <w:pPr>
        <w:pStyle w:val="PIHeading2"/>
      </w:pPr>
      <w:r w:rsidRPr="003A4144">
        <w:t xml:space="preserve">4.4 </w:t>
      </w:r>
      <w:r w:rsidR="00F43C03">
        <w:t xml:space="preserve">Special Warnings and Precautions </w:t>
      </w:r>
      <w:proofErr w:type="gramStart"/>
      <w:r w:rsidR="00F43C03">
        <w:t>For</w:t>
      </w:r>
      <w:proofErr w:type="gramEnd"/>
      <w:r w:rsidR="00F43C03">
        <w:t xml:space="preserve"> Use</w:t>
      </w:r>
    </w:p>
    <w:p w:rsidR="002B2CFC" w:rsidRDefault="00096EA3" w:rsidP="00FF5703">
      <w:pPr>
        <w:rPr>
          <w:rStyle w:val="Instructions"/>
          <w:b/>
        </w:rPr>
      </w:pPr>
      <w:r>
        <w:rPr>
          <w:b/>
        </w:rPr>
        <w:t>Do</w:t>
      </w:r>
      <w:r w:rsidR="002B2CFC" w:rsidRPr="008C5E73">
        <w:rPr>
          <w:b/>
        </w:rPr>
        <w:t xml:space="preserve">se-dependent </w:t>
      </w:r>
      <w:r>
        <w:rPr>
          <w:b/>
        </w:rPr>
        <w:t xml:space="preserve">adverse reactions seen </w:t>
      </w:r>
      <w:r w:rsidR="002B2CFC" w:rsidRPr="008C5E73">
        <w:rPr>
          <w:b/>
        </w:rPr>
        <w:t>in patients</w:t>
      </w:r>
      <w:r>
        <w:rPr>
          <w:b/>
        </w:rPr>
        <w:t xml:space="preserve"> treated with XELJANZ 10 mg twice daily, in comparison to 5 mg twice daily include the following: herpes zoster infections, serious infections, an</w:t>
      </w:r>
      <w:r w:rsidRPr="009D0184">
        <w:rPr>
          <w:b/>
        </w:rPr>
        <w:t xml:space="preserve">d </w:t>
      </w:r>
      <w:r w:rsidR="009D0184" w:rsidRPr="009D0184">
        <w:rPr>
          <w:b/>
        </w:rPr>
        <w:t>non-melanoma skin cancer (</w:t>
      </w:r>
      <w:r>
        <w:rPr>
          <w:b/>
        </w:rPr>
        <w:t>NMSC</w:t>
      </w:r>
      <w:r w:rsidR="009D0184">
        <w:rPr>
          <w:b/>
        </w:rPr>
        <w:t>)</w:t>
      </w:r>
      <w:r w:rsidR="002B2CFC" w:rsidRPr="008C5E73">
        <w:rPr>
          <w:b/>
        </w:rPr>
        <w:t>.</w:t>
      </w:r>
    </w:p>
    <w:p w:rsidR="00FF5703" w:rsidRDefault="00FF5703" w:rsidP="00FF5703">
      <w:pPr>
        <w:rPr>
          <w:rStyle w:val="Instructions"/>
          <w:b/>
        </w:rPr>
      </w:pPr>
      <w:r w:rsidRPr="007B4C6F">
        <w:rPr>
          <w:rStyle w:val="Instructions"/>
          <w:b/>
        </w:rPr>
        <w:t xml:space="preserve">Therapy with XELJANZ should be initiated and monitored by a specialist physician with expertise in the management of </w:t>
      </w:r>
      <w:r w:rsidR="00DF61D8">
        <w:rPr>
          <w:rStyle w:val="Instructions"/>
          <w:b/>
        </w:rPr>
        <w:t>conditions for which XELJANZ is indicated</w:t>
      </w:r>
      <w:r w:rsidR="009E1D99">
        <w:rPr>
          <w:rStyle w:val="Instructions"/>
          <w:b/>
        </w:rPr>
        <w:t xml:space="preserve"> (e.g. rheumatologist or gastroenterologist)</w:t>
      </w:r>
      <w:r w:rsidRPr="007B4C6F">
        <w:rPr>
          <w:rStyle w:val="Instructions"/>
          <w:b/>
        </w:rPr>
        <w:t>.</w:t>
      </w:r>
    </w:p>
    <w:p w:rsidR="00D83094" w:rsidRPr="00D83094" w:rsidRDefault="00136900" w:rsidP="00FF5703">
      <w:pPr>
        <w:rPr>
          <w:rStyle w:val="Instructions"/>
        </w:rPr>
      </w:pPr>
      <w:r>
        <w:rPr>
          <w:szCs w:val="24"/>
        </w:rPr>
        <w:t xml:space="preserve">The efficacy of </w:t>
      </w:r>
      <w:r w:rsidR="00D83094">
        <w:rPr>
          <w:szCs w:val="24"/>
        </w:rPr>
        <w:t>X</w:t>
      </w:r>
      <w:r>
        <w:rPr>
          <w:szCs w:val="24"/>
        </w:rPr>
        <w:t>ELJANZ</w:t>
      </w:r>
      <w:r w:rsidR="00D83094">
        <w:rPr>
          <w:szCs w:val="24"/>
        </w:rPr>
        <w:t xml:space="preserve"> </w:t>
      </w:r>
      <w:r>
        <w:rPr>
          <w:szCs w:val="24"/>
        </w:rPr>
        <w:t xml:space="preserve">as monotherapy </w:t>
      </w:r>
      <w:r w:rsidR="00D83094">
        <w:rPr>
          <w:szCs w:val="24"/>
        </w:rPr>
        <w:t xml:space="preserve">has not been studied in patients with </w:t>
      </w:r>
      <w:r>
        <w:rPr>
          <w:szCs w:val="24"/>
        </w:rPr>
        <w:t>psoriatic arthritis (</w:t>
      </w:r>
      <w:proofErr w:type="spellStart"/>
      <w:r w:rsidR="00D83094">
        <w:rPr>
          <w:szCs w:val="24"/>
        </w:rPr>
        <w:t>PsA</w:t>
      </w:r>
      <w:proofErr w:type="spellEnd"/>
      <w:r>
        <w:rPr>
          <w:szCs w:val="24"/>
        </w:rPr>
        <w:t>).</w:t>
      </w:r>
    </w:p>
    <w:p w:rsidR="00FF5703" w:rsidRPr="0051061D" w:rsidRDefault="00FF5703" w:rsidP="006E28B9">
      <w:pPr>
        <w:pStyle w:val="PIHeading3"/>
      </w:pPr>
      <w:r w:rsidRPr="0051061D">
        <w:t>Serious Infections</w:t>
      </w:r>
    </w:p>
    <w:p w:rsidR="00FF5703" w:rsidRPr="0051061D" w:rsidRDefault="00FF5703" w:rsidP="00FF5703">
      <w:pPr>
        <w:rPr>
          <w:rStyle w:val="Instructions"/>
        </w:rPr>
      </w:pPr>
      <w:r w:rsidRPr="0051061D">
        <w:rPr>
          <w:rStyle w:val="Instructions"/>
        </w:rPr>
        <w:t>Patients treated with XELJANZ are at increased risk for developing serious infections that may lead to hospitalisation or death, especially in those taking concomitant immunosuppressants.</w:t>
      </w:r>
    </w:p>
    <w:p w:rsidR="00FF5703" w:rsidRDefault="00FF5703" w:rsidP="00FF5703">
      <w:pPr>
        <w:rPr>
          <w:rStyle w:val="Instructions"/>
        </w:rPr>
      </w:pPr>
      <w:r w:rsidRPr="0051061D">
        <w:rPr>
          <w:rStyle w:val="Instructions"/>
        </w:rPr>
        <w:t xml:space="preserve">Serious and sometimes fatal infections due to bacterial, mycobacterial, invasive fungal, viral or other opportunistic pathogens have been reported in </w:t>
      </w:r>
      <w:r w:rsidR="00DF61D8" w:rsidRPr="00242A28">
        <w:rPr>
          <w:rStyle w:val="Instructions"/>
        </w:rPr>
        <w:t>rheumatoid arthritis (</w:t>
      </w:r>
      <w:r w:rsidR="00BA23CF" w:rsidRPr="00242A28">
        <w:rPr>
          <w:rStyle w:val="Instructions"/>
        </w:rPr>
        <w:t>RA</w:t>
      </w:r>
      <w:r w:rsidR="00DF61D8" w:rsidRPr="00242A28">
        <w:rPr>
          <w:rStyle w:val="Instructions"/>
        </w:rPr>
        <w:t>)</w:t>
      </w:r>
      <w:r w:rsidRPr="0051061D">
        <w:rPr>
          <w:rStyle w:val="Instructions"/>
        </w:rPr>
        <w:t xml:space="preserve"> patients receiving immunomodulatory agents (these include biological DMARDs as well as XELJANZ).  The most common serious infections reported with XELJANZ included </w:t>
      </w:r>
      <w:r w:rsidRPr="0051061D">
        <w:rPr>
          <w:rStyle w:val="Instructions"/>
        </w:rPr>
        <w:lastRenderedPageBreak/>
        <w:t>pneumonia, cellulitis, herpes zoster, urinary tract infection</w:t>
      </w:r>
      <w:r>
        <w:rPr>
          <w:rStyle w:val="Instructions"/>
        </w:rPr>
        <w:t xml:space="preserve">, </w:t>
      </w:r>
      <w:r w:rsidRPr="0051061D">
        <w:rPr>
          <w:iCs/>
          <w:lang w:val="en-US"/>
        </w:rPr>
        <w:t>diverticulitis</w:t>
      </w:r>
      <w:r>
        <w:rPr>
          <w:iCs/>
          <w:lang w:val="en-US"/>
        </w:rPr>
        <w:t xml:space="preserve"> and appendicitis</w:t>
      </w:r>
      <w:r w:rsidRPr="0051061D">
        <w:rPr>
          <w:rStyle w:val="Instructions"/>
        </w:rPr>
        <w:t xml:space="preserve">.  Among opportunistic infections, tuberculosis and other mycobacterial infections, </w:t>
      </w:r>
      <w:proofErr w:type="spellStart"/>
      <w:r w:rsidRPr="0051061D">
        <w:rPr>
          <w:rStyle w:val="Instructions"/>
        </w:rPr>
        <w:t>cryptococcus</w:t>
      </w:r>
      <w:proofErr w:type="spellEnd"/>
      <w:r w:rsidRPr="0051061D">
        <w:rPr>
          <w:rStyle w:val="Instructions"/>
        </w:rPr>
        <w:t xml:space="preserve">, </w:t>
      </w:r>
      <w:r w:rsidRPr="006E21DA">
        <w:rPr>
          <w:rStyle w:val="Instructions"/>
        </w:rPr>
        <w:t>histoplasmosis,</w:t>
      </w:r>
      <w:r>
        <w:rPr>
          <w:rStyle w:val="Instructions"/>
        </w:rPr>
        <w:t xml:space="preserve"> </w:t>
      </w:r>
      <w:r w:rsidRPr="0051061D">
        <w:rPr>
          <w:rStyle w:val="Instructions"/>
        </w:rPr>
        <w:t xml:space="preserve">oesophageal candidiasis, </w:t>
      </w:r>
      <w:proofErr w:type="spellStart"/>
      <w:r w:rsidRPr="0051061D">
        <w:rPr>
          <w:lang w:eastAsia="it-IT"/>
        </w:rPr>
        <w:t>pneumocystosis</w:t>
      </w:r>
      <w:proofErr w:type="spellEnd"/>
      <w:r w:rsidRPr="0051061D">
        <w:rPr>
          <w:lang w:eastAsia="it-IT"/>
        </w:rPr>
        <w:t xml:space="preserve">, </w:t>
      </w:r>
      <w:proofErr w:type="spellStart"/>
      <w:r w:rsidRPr="0051061D">
        <w:rPr>
          <w:rStyle w:val="Instructions"/>
        </w:rPr>
        <w:t>multidermatomal</w:t>
      </w:r>
      <w:proofErr w:type="spellEnd"/>
      <w:r w:rsidRPr="0051061D">
        <w:rPr>
          <w:rStyle w:val="Instructions"/>
        </w:rPr>
        <w:t xml:space="preserve"> herpes zoster, </w:t>
      </w:r>
      <w:r w:rsidRPr="0051061D">
        <w:t>cytomegalovirus infection</w:t>
      </w:r>
      <w:r>
        <w:t>,</w:t>
      </w:r>
      <w:r w:rsidRPr="0051061D">
        <w:t xml:space="preserve"> </w:t>
      </w:r>
      <w:r w:rsidRPr="0051061D">
        <w:rPr>
          <w:rStyle w:val="Instructions"/>
        </w:rPr>
        <w:t xml:space="preserve">BK virus infections </w:t>
      </w:r>
      <w:r>
        <w:rPr>
          <w:rStyle w:val="Instructions"/>
        </w:rPr>
        <w:t xml:space="preserve">and listeriosis </w:t>
      </w:r>
      <w:r w:rsidRPr="0051061D">
        <w:rPr>
          <w:rStyle w:val="Instructions"/>
        </w:rPr>
        <w:t>were reported with XELJANZ.  Some patients have presented with disseminated rather than localised disease, and were often taking concomitant immunomodulating agents such as methotrexate</w:t>
      </w:r>
      <w:r w:rsidR="00940CEB">
        <w:rPr>
          <w:rStyle w:val="Instructions"/>
        </w:rPr>
        <w:t xml:space="preserve"> (MTX)</w:t>
      </w:r>
      <w:r w:rsidRPr="0051061D">
        <w:rPr>
          <w:rStyle w:val="Instructions"/>
        </w:rPr>
        <w:t xml:space="preserve"> or corticosteroids which, in addition to </w:t>
      </w:r>
      <w:r w:rsidR="00BA23CF">
        <w:rPr>
          <w:rStyle w:val="Instructions"/>
        </w:rPr>
        <w:t>RA</w:t>
      </w:r>
      <w:r w:rsidRPr="0051061D">
        <w:rPr>
          <w:rStyle w:val="Instructions"/>
        </w:rPr>
        <w:t xml:space="preserve"> may predispose them to infections.  Other serious infections, that were not reported in clinical studies, may also occur (e.g.</w:t>
      </w:r>
      <w:proofErr w:type="gramStart"/>
      <w:r w:rsidRPr="0051061D">
        <w:rPr>
          <w:rStyle w:val="Instructions"/>
        </w:rPr>
        <w:t>,  coccidioidomycosis</w:t>
      </w:r>
      <w:proofErr w:type="gramEnd"/>
      <w:r w:rsidRPr="0051061D">
        <w:rPr>
          <w:rStyle w:val="Instructions"/>
        </w:rPr>
        <w:t>).</w:t>
      </w:r>
    </w:p>
    <w:p w:rsidR="00E1267F" w:rsidRPr="0051061D" w:rsidRDefault="00AD6925" w:rsidP="00FF5703">
      <w:pPr>
        <w:rPr>
          <w:rStyle w:val="Instructions"/>
        </w:rPr>
      </w:pPr>
      <w:r>
        <w:rPr>
          <w:rStyle w:val="Instructions"/>
        </w:rPr>
        <w:t xml:space="preserve">In patients with ulcerative colitis, </w:t>
      </w:r>
      <w:r w:rsidR="00E1267F" w:rsidRPr="00AA4E22">
        <w:rPr>
          <w:rStyle w:val="Instructions"/>
        </w:rPr>
        <w:t>XELJANZ treatment with 10 mg twice daily was associated with greater risk of serious infections</w:t>
      </w:r>
      <w:r w:rsidR="00E1267F">
        <w:rPr>
          <w:rStyle w:val="Instructions"/>
        </w:rPr>
        <w:t xml:space="preserve"> </w:t>
      </w:r>
      <w:r w:rsidR="00E1267F" w:rsidRPr="00AA4E22">
        <w:rPr>
          <w:rStyle w:val="Instructions"/>
        </w:rPr>
        <w:t>compared to 5 mg twice daily.</w:t>
      </w:r>
      <w:r>
        <w:rPr>
          <w:rStyle w:val="Instructions"/>
        </w:rPr>
        <w:t xml:space="preserve">  Additionally, opportunistic herpes zoster infections (including meningoencephalitis, ophthalmologic, and disseminated cutaneous)</w:t>
      </w:r>
      <w:r w:rsidR="00E1782D">
        <w:rPr>
          <w:rStyle w:val="Instructions"/>
        </w:rPr>
        <w:t xml:space="preserve"> were seen in patients who were treated with XELJANZ 10 mg twice daily.</w:t>
      </w:r>
    </w:p>
    <w:p w:rsidR="00FF5703" w:rsidRPr="0051061D" w:rsidRDefault="00FF5703" w:rsidP="00FF5703">
      <w:pPr>
        <w:rPr>
          <w:rStyle w:val="Instructions"/>
          <w:iCs w:val="0"/>
          <w:szCs w:val="22"/>
        </w:rPr>
      </w:pPr>
      <w:r w:rsidRPr="0051061D">
        <w:rPr>
          <w:szCs w:val="22"/>
        </w:rPr>
        <w:t>XELJANZ should not be administered in patients with an active infection, including localised infections.  The risks and benefits of treatment should be considered prior to initiating XELJANZ in patients with chronic or recurrent infections, or those who have been exposed to tuberculosis, or with a history of a serious or an opportunistic infection, or have resided or travelled in areas of endemic tuberculosis or endemic mycoses; or have underlying conditions that may predispose them to infection.</w:t>
      </w:r>
    </w:p>
    <w:p w:rsidR="00FF5703" w:rsidRPr="0051061D" w:rsidRDefault="00FF5703" w:rsidP="00FF5703">
      <w:pPr>
        <w:rPr>
          <w:rStyle w:val="Instructions"/>
        </w:rPr>
      </w:pPr>
      <w:r w:rsidRPr="0051061D">
        <w:rPr>
          <w:rStyle w:val="Instructions"/>
        </w:rPr>
        <w:t>Patients should be closely monitored for the development of signs and symptoms of infection during and after treatment with XELJANZ.  XELJANZ should be interrupted if a patient develops a serious infection, an opportunistic infection, or sepsis (see</w:t>
      </w:r>
      <w:r w:rsidR="00836BBA">
        <w:rPr>
          <w:rStyle w:val="Instructions"/>
        </w:rPr>
        <w:t xml:space="preserve"> Section 4.2</w:t>
      </w:r>
      <w:r w:rsidR="00AE4BA3">
        <w:rPr>
          <w:rStyle w:val="Instructions"/>
        </w:rPr>
        <w:t xml:space="preserve"> </w:t>
      </w:r>
      <w:r w:rsidR="00AE4BA3">
        <w:t>Dose and Method of Administration</w:t>
      </w:r>
      <w:r w:rsidRPr="0051061D">
        <w:rPr>
          <w:rStyle w:val="Instructions"/>
        </w:rPr>
        <w:t>).  A patient who develops a new infection during treatment with XELJANZ should undergo prompt and complete diagnostic testing appropriate for an immunocompromised patient, appropriate antimicrobial therapy should be initiated, and the patient should be closely monitored.</w:t>
      </w:r>
    </w:p>
    <w:p w:rsidR="00FF5703" w:rsidRDefault="00FF5703" w:rsidP="00FF5703">
      <w:pPr>
        <w:rPr>
          <w:rStyle w:val="Instructions"/>
        </w:rPr>
      </w:pPr>
      <w:r w:rsidRPr="0051061D">
        <w:rPr>
          <w:rStyle w:val="Instructions"/>
        </w:rPr>
        <w:t xml:space="preserve">As there is a higher incidence of infections in the elderly </w:t>
      </w:r>
      <w:r w:rsidRPr="0051061D">
        <w:rPr>
          <w:iCs/>
          <w:lang w:val="en-US"/>
        </w:rPr>
        <w:t xml:space="preserve">and in the diabetic </w:t>
      </w:r>
      <w:r w:rsidRPr="0051061D">
        <w:rPr>
          <w:rStyle w:val="Instructions"/>
        </w:rPr>
        <w:t xml:space="preserve">populations in general, caution should be used when treating the elderly </w:t>
      </w:r>
      <w:r w:rsidRPr="0051061D">
        <w:rPr>
          <w:iCs/>
          <w:lang w:val="en-US"/>
        </w:rPr>
        <w:t xml:space="preserve">and patients with diabetes </w:t>
      </w:r>
      <w:r w:rsidRPr="0051061D">
        <w:rPr>
          <w:rStyle w:val="Instructions"/>
        </w:rPr>
        <w:t xml:space="preserve">(see </w:t>
      </w:r>
      <w:r w:rsidR="00836BBA">
        <w:rPr>
          <w:rStyle w:val="Instructions"/>
        </w:rPr>
        <w:t>Section 4.8</w:t>
      </w:r>
      <w:r w:rsidR="00BC2E8E">
        <w:rPr>
          <w:rStyle w:val="Instructions"/>
        </w:rPr>
        <w:t xml:space="preserve"> </w:t>
      </w:r>
      <w:r w:rsidR="00BC2E8E">
        <w:t>Adverse Effects (Undesirable Effects)</w:t>
      </w:r>
      <w:r w:rsidRPr="0051061D">
        <w:rPr>
          <w:rStyle w:val="Instructions"/>
        </w:rPr>
        <w:t>).</w:t>
      </w:r>
      <w:r>
        <w:rPr>
          <w:rStyle w:val="Instructions"/>
        </w:rPr>
        <w:t xml:space="preserve">  </w:t>
      </w:r>
    </w:p>
    <w:p w:rsidR="00FF5703" w:rsidRDefault="00FF5703" w:rsidP="00FF5703">
      <w:pPr>
        <w:rPr>
          <w:rStyle w:val="Instructions"/>
          <w:iCs w:val="0"/>
        </w:rPr>
      </w:pPr>
      <w:r w:rsidRPr="00F44DB4">
        <w:rPr>
          <w:rStyle w:val="Instructions"/>
          <w:iCs w:val="0"/>
        </w:rPr>
        <w:t xml:space="preserve">Caution is also recommended in patients with a history of </w:t>
      </w:r>
      <w:r>
        <w:rPr>
          <w:rStyle w:val="Instructions"/>
          <w:iCs w:val="0"/>
        </w:rPr>
        <w:t xml:space="preserve">chronic </w:t>
      </w:r>
      <w:r w:rsidRPr="00F44DB4">
        <w:rPr>
          <w:rStyle w:val="Instructions"/>
          <w:iCs w:val="0"/>
        </w:rPr>
        <w:t>lung disease as they may be more prone to infections</w:t>
      </w:r>
      <w:r>
        <w:rPr>
          <w:rStyle w:val="Instructions"/>
          <w:iCs w:val="0"/>
        </w:rPr>
        <w:t xml:space="preserve"> (see </w:t>
      </w:r>
      <w:r w:rsidR="00284A99">
        <w:rPr>
          <w:rStyle w:val="Instructions"/>
          <w:iCs w:val="0"/>
        </w:rPr>
        <w:t>Section 4.4</w:t>
      </w:r>
      <w:r w:rsidR="00E57F12">
        <w:rPr>
          <w:rStyle w:val="Instructions"/>
          <w:iCs w:val="0"/>
        </w:rPr>
        <w:t xml:space="preserve"> </w:t>
      </w:r>
      <w:r w:rsidR="00E57F12">
        <w:t xml:space="preserve">Special Warnings and Precautions </w:t>
      </w:r>
      <w:proofErr w:type="gramStart"/>
      <w:r w:rsidR="00E57F12">
        <w:t>For</w:t>
      </w:r>
      <w:proofErr w:type="gramEnd"/>
      <w:r w:rsidR="00E57F12">
        <w:t xml:space="preserve"> Use</w:t>
      </w:r>
      <w:r>
        <w:rPr>
          <w:rStyle w:val="Instructions"/>
          <w:iCs w:val="0"/>
        </w:rPr>
        <w:t>, Interstitial Lung Disease).</w:t>
      </w:r>
    </w:p>
    <w:p w:rsidR="00FF5703" w:rsidRPr="00056C2E" w:rsidRDefault="00FF5703" w:rsidP="00FF5703">
      <w:pPr>
        <w:rPr>
          <w:rStyle w:val="Instructions"/>
          <w:iCs w:val="0"/>
        </w:rPr>
      </w:pPr>
      <w:r>
        <w:rPr>
          <w:rStyle w:val="Instructions"/>
        </w:rPr>
        <w:t xml:space="preserve">Risk of infection may be higher with increasing degrees of lymphopenia and </w:t>
      </w:r>
      <w:r w:rsidRPr="00056C2E">
        <w:rPr>
          <w:rStyle w:val="Instructions"/>
        </w:rPr>
        <w:t>consideration should be given to lymphocyte counts when assessing individual patient risk of infection.</w:t>
      </w:r>
      <w:r>
        <w:rPr>
          <w:rStyle w:val="Instructions"/>
        </w:rPr>
        <w:t xml:space="preserve"> </w:t>
      </w:r>
      <w:r w:rsidRPr="00056C2E">
        <w:rPr>
          <w:rStyle w:val="Instructions"/>
        </w:rPr>
        <w:t xml:space="preserve"> </w:t>
      </w:r>
      <w:r>
        <w:rPr>
          <w:rStyle w:val="Instructions"/>
        </w:rPr>
        <w:t xml:space="preserve">Discontinuation and monitoring criteria for lymphopenia are discussed in </w:t>
      </w:r>
      <w:r w:rsidR="004C3AA3">
        <w:rPr>
          <w:rStyle w:val="Instructions"/>
        </w:rPr>
        <w:t>Section 4.2</w:t>
      </w:r>
      <w:r w:rsidR="00AE4BA3">
        <w:rPr>
          <w:rStyle w:val="Instructions"/>
        </w:rPr>
        <w:t xml:space="preserve"> </w:t>
      </w:r>
      <w:r w:rsidR="00AE4BA3">
        <w:t>Dose and Method of Administration</w:t>
      </w:r>
      <w:r>
        <w:rPr>
          <w:rStyle w:val="Instructions"/>
        </w:rPr>
        <w:t>.</w:t>
      </w:r>
    </w:p>
    <w:p w:rsidR="00FF5703" w:rsidRPr="0051061D" w:rsidRDefault="00FF5703" w:rsidP="006E28B9">
      <w:pPr>
        <w:pStyle w:val="PIHeading3"/>
      </w:pPr>
      <w:r w:rsidRPr="0051061D">
        <w:t>Tuberculosis</w:t>
      </w:r>
    </w:p>
    <w:p w:rsidR="00FF5703" w:rsidRPr="0051061D" w:rsidRDefault="00FF5703" w:rsidP="00FF5703">
      <w:pPr>
        <w:rPr>
          <w:rStyle w:val="Instructions"/>
        </w:rPr>
      </w:pPr>
      <w:r w:rsidRPr="0051061D">
        <w:rPr>
          <w:rStyle w:val="Instructions"/>
        </w:rPr>
        <w:t>Patients should be evaluated and tested for latent or active infection prior to administration of XELJANZ</w:t>
      </w:r>
      <w:r>
        <w:rPr>
          <w:rStyle w:val="Instructions"/>
        </w:rPr>
        <w:t xml:space="preserve"> </w:t>
      </w:r>
      <w:r w:rsidRPr="006E21DA">
        <w:rPr>
          <w:rStyle w:val="Instructions"/>
        </w:rPr>
        <w:t>and continue to be evaluated while on treatment</w:t>
      </w:r>
      <w:r w:rsidRPr="0051061D">
        <w:rPr>
          <w:rStyle w:val="Instructions"/>
        </w:rPr>
        <w:t>.</w:t>
      </w:r>
    </w:p>
    <w:p w:rsidR="00FF5703" w:rsidRPr="0051061D" w:rsidRDefault="00FF5703" w:rsidP="00FF5703">
      <w:pPr>
        <w:rPr>
          <w:szCs w:val="22"/>
        </w:rPr>
      </w:pPr>
      <w:r w:rsidRPr="0051061D">
        <w:rPr>
          <w:szCs w:val="22"/>
        </w:rPr>
        <w:lastRenderedPageBreak/>
        <w:t>Patients with latent tuberculosis should be treated with standard antimycobacterial therapy before administering XELJANZ.</w:t>
      </w:r>
    </w:p>
    <w:p w:rsidR="00FF5703" w:rsidRPr="0051061D" w:rsidRDefault="00FF5703" w:rsidP="00FF5703">
      <w:pPr>
        <w:rPr>
          <w:szCs w:val="22"/>
        </w:rPr>
      </w:pPr>
      <w:proofErr w:type="spellStart"/>
      <w:r w:rsidRPr="0051061D">
        <w:rPr>
          <w:szCs w:val="22"/>
        </w:rPr>
        <w:t>Antituberculosis</w:t>
      </w:r>
      <w:proofErr w:type="spellEnd"/>
      <w:r w:rsidRPr="0051061D">
        <w:rPr>
          <w:szCs w:val="22"/>
        </w:rPr>
        <w:t xml:space="preserve"> therapy should be considered prior to administration of XELJANZ in patients with a past history of latent or active tuberculosis in whom an adequate course of treatment cannot be </w:t>
      </w:r>
      <w:r w:rsidRPr="0051061D">
        <w:rPr>
          <w:rStyle w:val="Instructions"/>
        </w:rPr>
        <w:t>confirmed,</w:t>
      </w:r>
      <w:r w:rsidRPr="0051061D">
        <w:rPr>
          <w:szCs w:val="22"/>
        </w:rPr>
        <w:t xml:space="preserve"> and for patients with a negative test for latent tuberculosis but who have risk factors for tuberculosis infection.  Consultation with a health care professional with expertise in the treatment of tuberculosis is recommended to aid in the decision about whether initiating </w:t>
      </w:r>
      <w:proofErr w:type="spellStart"/>
      <w:r w:rsidRPr="0051061D">
        <w:rPr>
          <w:szCs w:val="22"/>
        </w:rPr>
        <w:t>antituberculosis</w:t>
      </w:r>
      <w:proofErr w:type="spellEnd"/>
      <w:r w:rsidRPr="0051061D">
        <w:rPr>
          <w:szCs w:val="22"/>
        </w:rPr>
        <w:t xml:space="preserve"> therapy is appropriate for an individual patient.</w:t>
      </w:r>
    </w:p>
    <w:p w:rsidR="00FF5703" w:rsidRPr="0051061D" w:rsidRDefault="00FF5703" w:rsidP="00FF5703">
      <w:pPr>
        <w:rPr>
          <w:iCs/>
        </w:rPr>
      </w:pPr>
      <w:r w:rsidRPr="0051061D">
        <w:rPr>
          <w:rStyle w:val="Instructions"/>
        </w:rPr>
        <w:t>Patients should be closely monitored for the development of signs and symptoms of tuberculosis, including patients who tested negative for latent tuberculosis infection prior to initiating therapy.</w:t>
      </w:r>
      <w:r>
        <w:rPr>
          <w:rStyle w:val="Instructions"/>
        </w:rPr>
        <w:t xml:space="preserve"> </w:t>
      </w:r>
      <w:r w:rsidRPr="00DA746B">
        <w:rPr>
          <w:rStyle w:val="Instructions"/>
          <w:iCs w:val="0"/>
        </w:rPr>
        <w:t>The need for repeat testing should be considered during therapy if symptoms develop or if re-exposure occurs.</w:t>
      </w:r>
    </w:p>
    <w:p w:rsidR="00FF5703" w:rsidRPr="0051061D" w:rsidRDefault="00FF5703" w:rsidP="006E28B9">
      <w:pPr>
        <w:pStyle w:val="PIHeading3"/>
      </w:pPr>
      <w:r w:rsidRPr="0051061D">
        <w:t>Viral Reactivation</w:t>
      </w:r>
    </w:p>
    <w:p w:rsidR="00B54AA2" w:rsidRDefault="00FF5703" w:rsidP="00D85EF5">
      <w:pPr>
        <w:autoSpaceDE w:val="0"/>
        <w:autoSpaceDN w:val="0"/>
        <w:adjustRightInd w:val="0"/>
        <w:spacing w:after="0"/>
        <w:jc w:val="left"/>
        <w:rPr>
          <w:iCs/>
          <w:lang w:val="en-US"/>
        </w:rPr>
      </w:pPr>
      <w:r w:rsidRPr="0051061D">
        <w:t>Viral reactivation</w:t>
      </w:r>
      <w:r>
        <w:t>,</w:t>
      </w:r>
      <w:r w:rsidRPr="0051061D">
        <w:t xml:space="preserve"> </w:t>
      </w:r>
      <w:r>
        <w:t>including</w:t>
      </w:r>
      <w:r w:rsidRPr="0051061D">
        <w:t xml:space="preserve"> cases of herpes virus reactivation (e.g., herpes zoster) were observed in clinical studies with XELJANZ.  </w:t>
      </w:r>
      <w:r w:rsidR="008245A9">
        <w:t>Post</w:t>
      </w:r>
      <w:r w:rsidR="008245A9">
        <w:noBreakHyphen/>
        <w:t xml:space="preserve">marketing cases of hepatitis B reactivation have been reported in patients treated with XELJANZ.  </w:t>
      </w:r>
      <w:r w:rsidR="00B54AA2" w:rsidRPr="00B54AA2">
        <w:rPr>
          <w:iCs/>
          <w:lang w:val="en-US"/>
        </w:rPr>
        <w:t xml:space="preserve">In patients treated with </w:t>
      </w:r>
      <w:r w:rsidR="00D85EF5">
        <w:rPr>
          <w:iCs/>
          <w:lang w:val="en-US"/>
        </w:rPr>
        <w:t>XELJANZ</w:t>
      </w:r>
      <w:r w:rsidR="00B54AA2" w:rsidRPr="00B54AA2">
        <w:rPr>
          <w:iCs/>
          <w:lang w:val="en-US"/>
        </w:rPr>
        <w:t>, the incidence</w:t>
      </w:r>
      <w:r w:rsidR="00B54AA2">
        <w:rPr>
          <w:iCs/>
          <w:lang w:val="en-US"/>
        </w:rPr>
        <w:t xml:space="preserve"> of herpes zoster appears to be </w:t>
      </w:r>
      <w:r w:rsidR="00B54AA2" w:rsidRPr="00B54AA2">
        <w:rPr>
          <w:iCs/>
          <w:lang w:val="en-US"/>
        </w:rPr>
        <w:t>increased in:</w:t>
      </w:r>
    </w:p>
    <w:p w:rsidR="00FF5703" w:rsidRDefault="00B54AA2" w:rsidP="00D85EF5">
      <w:pPr>
        <w:numPr>
          <w:ilvl w:val="0"/>
          <w:numId w:val="24"/>
        </w:numPr>
        <w:autoSpaceDE w:val="0"/>
        <w:autoSpaceDN w:val="0"/>
        <w:adjustRightInd w:val="0"/>
        <w:spacing w:after="0"/>
        <w:jc w:val="left"/>
        <w:rPr>
          <w:iCs/>
          <w:lang w:val="en-US"/>
        </w:rPr>
      </w:pPr>
      <w:r>
        <w:rPr>
          <w:iCs/>
          <w:lang w:val="en-US"/>
        </w:rPr>
        <w:t>Japanese or Korean patients.</w:t>
      </w:r>
    </w:p>
    <w:p w:rsidR="00B54AA2" w:rsidRPr="00D85EF5" w:rsidRDefault="00B54AA2" w:rsidP="00D85EF5">
      <w:pPr>
        <w:numPr>
          <w:ilvl w:val="0"/>
          <w:numId w:val="24"/>
        </w:numPr>
        <w:autoSpaceDE w:val="0"/>
        <w:autoSpaceDN w:val="0"/>
        <w:adjustRightInd w:val="0"/>
        <w:spacing w:after="0"/>
        <w:jc w:val="left"/>
        <w:rPr>
          <w:iCs/>
          <w:lang w:val="en-US"/>
        </w:rPr>
      </w:pPr>
      <w:r>
        <w:rPr>
          <w:iCs/>
          <w:lang w:val="en-US"/>
        </w:rPr>
        <w:t xml:space="preserve">Patients with an ALC less than </w:t>
      </w:r>
      <w:r w:rsidRPr="0051061D">
        <w:t>1.0 x 10</w:t>
      </w:r>
      <w:r w:rsidRPr="0051061D">
        <w:rPr>
          <w:vertAlign w:val="superscript"/>
        </w:rPr>
        <w:t>9</w:t>
      </w:r>
      <w:r w:rsidRPr="0051061D">
        <w:t> cells/L</w:t>
      </w:r>
      <w:r>
        <w:t xml:space="preserve"> (see Section 4.2</w:t>
      </w:r>
      <w:r>
        <w:rPr>
          <w:rStyle w:val="Instructions"/>
        </w:rPr>
        <w:t xml:space="preserve"> </w:t>
      </w:r>
      <w:r>
        <w:t>Dose and Method of Administration).</w:t>
      </w:r>
    </w:p>
    <w:p w:rsidR="00B54AA2" w:rsidRDefault="00B54AA2" w:rsidP="00E1267F">
      <w:pPr>
        <w:numPr>
          <w:ilvl w:val="0"/>
          <w:numId w:val="24"/>
        </w:numPr>
        <w:autoSpaceDE w:val="0"/>
        <w:autoSpaceDN w:val="0"/>
        <w:adjustRightInd w:val="0"/>
        <w:spacing w:after="0"/>
        <w:ind w:left="771" w:hanging="357"/>
        <w:jc w:val="left"/>
        <w:rPr>
          <w:iCs/>
          <w:lang w:val="en-US"/>
        </w:rPr>
      </w:pPr>
      <w:r>
        <w:rPr>
          <w:iCs/>
          <w:lang w:val="en-US"/>
        </w:rPr>
        <w:t>Patients with long standing RA who have previously received two or more biological DMARDs.</w:t>
      </w:r>
    </w:p>
    <w:p w:rsidR="00E1267F" w:rsidRPr="00B54AA2" w:rsidRDefault="00E1267F" w:rsidP="00D85EF5">
      <w:pPr>
        <w:numPr>
          <w:ilvl w:val="0"/>
          <w:numId w:val="24"/>
        </w:numPr>
        <w:autoSpaceDE w:val="0"/>
        <w:autoSpaceDN w:val="0"/>
        <w:adjustRightInd w:val="0"/>
        <w:jc w:val="left"/>
        <w:rPr>
          <w:iCs/>
          <w:lang w:val="en-US"/>
        </w:rPr>
      </w:pPr>
      <w:r>
        <w:rPr>
          <w:iCs/>
          <w:lang w:val="en-US"/>
        </w:rPr>
        <w:t>Patients treated with 10 mg twice daily.</w:t>
      </w:r>
    </w:p>
    <w:p w:rsidR="00FF5703" w:rsidRPr="0051061D" w:rsidRDefault="00FF5703" w:rsidP="00FF5703">
      <w:pPr>
        <w:rPr>
          <w:iCs/>
        </w:rPr>
      </w:pPr>
      <w:r w:rsidRPr="0051061D">
        <w:t>The impact of XELJANZ on chronic viral hepatitis reactivation is unknown.  Patients who screened positive for hepatitis B or C were excluded from clinical trials.  Screening for viral hepatitis should be performed in accordance with clinical guidelines before starting therapy with XELJANZ</w:t>
      </w:r>
      <w:r w:rsidRPr="0051061D">
        <w:rPr>
          <w:iCs/>
        </w:rPr>
        <w:t>.</w:t>
      </w:r>
    </w:p>
    <w:p w:rsidR="00FF5703" w:rsidRPr="0051061D" w:rsidRDefault="00FF5703" w:rsidP="009130CF">
      <w:pPr>
        <w:pStyle w:val="PIHeading3"/>
        <w:keepNext w:val="0"/>
      </w:pPr>
      <w:r w:rsidRPr="0051061D">
        <w:t>Malignancy and Lymphoproliferative Disorder (excluding Nonmelanoma Skin Cancer [NMSC])</w:t>
      </w:r>
    </w:p>
    <w:p w:rsidR="00FF5703" w:rsidRDefault="00FF5703" w:rsidP="009130CF">
      <w:pPr>
        <w:rPr>
          <w:szCs w:val="22"/>
        </w:rPr>
      </w:pPr>
      <w:r>
        <w:t xml:space="preserve">Consider the risks and benefits of XELJANZ treatment prior to initiating therapy in patients with current or a history of malignancy other than a successfully treated NMSC or when considering continuing XELJANZ in patients who develop a malignancy.  </w:t>
      </w:r>
    </w:p>
    <w:p w:rsidR="00FF5703" w:rsidRPr="0051061D" w:rsidRDefault="00FF5703" w:rsidP="009130CF">
      <w:pPr>
        <w:rPr>
          <w:rStyle w:val="Instructions"/>
          <w:iCs w:val="0"/>
          <w:szCs w:val="22"/>
        </w:rPr>
      </w:pPr>
      <w:r w:rsidRPr="0051061D">
        <w:rPr>
          <w:szCs w:val="22"/>
        </w:rPr>
        <w:t xml:space="preserve">The possibility exists for XELJANZ to affect host </w:t>
      </w:r>
      <w:proofErr w:type="spellStart"/>
      <w:r w:rsidRPr="0051061D">
        <w:rPr>
          <w:szCs w:val="22"/>
        </w:rPr>
        <w:t>defenses</w:t>
      </w:r>
      <w:proofErr w:type="spellEnd"/>
      <w:r w:rsidRPr="0051061D">
        <w:rPr>
          <w:szCs w:val="22"/>
        </w:rPr>
        <w:t xml:space="preserve"> against malignancies.</w:t>
      </w:r>
    </w:p>
    <w:p w:rsidR="00FF5703" w:rsidRPr="0051061D" w:rsidRDefault="00FF5703" w:rsidP="00FF5703">
      <w:pPr>
        <w:rPr>
          <w:rFonts w:eastAsia="Arial Unicode MS"/>
          <w:kern w:val="36"/>
        </w:rPr>
      </w:pPr>
      <w:r w:rsidRPr="0051061D">
        <w:rPr>
          <w:rFonts w:eastAsia="Arial Unicode MS"/>
          <w:iCs/>
          <w:kern w:val="36"/>
        </w:rPr>
        <w:t xml:space="preserve">Lymphomas have been observed in patients treated with XELJANZ.  </w:t>
      </w:r>
      <w:r>
        <w:rPr>
          <w:rFonts w:eastAsia="Arial Unicode MS"/>
          <w:iCs/>
          <w:kern w:val="36"/>
        </w:rPr>
        <w:t>P</w:t>
      </w:r>
      <w:r w:rsidRPr="0051061D">
        <w:rPr>
          <w:rFonts w:eastAsia="Arial Unicode MS"/>
          <w:iCs/>
          <w:kern w:val="36"/>
        </w:rPr>
        <w:t xml:space="preserve">atients with </w:t>
      </w:r>
      <w:r w:rsidR="00BA23CF">
        <w:rPr>
          <w:rFonts w:eastAsia="Arial Unicode MS"/>
          <w:iCs/>
          <w:kern w:val="36"/>
        </w:rPr>
        <w:t>RA</w:t>
      </w:r>
      <w:r w:rsidRPr="0051061D">
        <w:rPr>
          <w:rFonts w:eastAsia="Arial Unicode MS"/>
          <w:iCs/>
          <w:kern w:val="36"/>
        </w:rPr>
        <w:t>, particularly those with highly active disease, are at a higher risk (up to several-fold) than the general population for the development of lymphoma</w:t>
      </w:r>
      <w:r w:rsidR="009130CF">
        <w:rPr>
          <w:rFonts w:eastAsia="Arial Unicode MS"/>
          <w:iCs/>
          <w:kern w:val="36"/>
        </w:rPr>
        <w:t xml:space="preserve">. </w:t>
      </w:r>
      <w:r w:rsidRPr="0051061D">
        <w:rPr>
          <w:rFonts w:eastAsia="Arial Unicode MS"/>
          <w:iCs/>
          <w:kern w:val="36"/>
        </w:rPr>
        <w:t xml:space="preserve"> </w:t>
      </w:r>
      <w:r>
        <w:rPr>
          <w:rFonts w:eastAsia="Arial Unicode MS"/>
          <w:iCs/>
          <w:kern w:val="36"/>
        </w:rPr>
        <w:t>T</w:t>
      </w:r>
      <w:r w:rsidRPr="0051061D">
        <w:rPr>
          <w:rFonts w:eastAsia="Arial Unicode MS"/>
          <w:iCs/>
          <w:kern w:val="36"/>
        </w:rPr>
        <w:t xml:space="preserve">he role of </w:t>
      </w:r>
      <w:r>
        <w:rPr>
          <w:rFonts w:eastAsia="Arial Unicode MS"/>
          <w:iCs/>
          <w:kern w:val="36"/>
        </w:rPr>
        <w:t xml:space="preserve">XELJANZ, a </w:t>
      </w:r>
      <w:r w:rsidR="000838DF">
        <w:rPr>
          <w:rFonts w:eastAsia="Arial Unicode MS"/>
          <w:iCs/>
          <w:kern w:val="36"/>
        </w:rPr>
        <w:t>Janus kinase (</w:t>
      </w:r>
      <w:r w:rsidRPr="0051061D">
        <w:rPr>
          <w:rFonts w:eastAsia="Arial Unicode MS"/>
          <w:kern w:val="36"/>
        </w:rPr>
        <w:t>JAK</w:t>
      </w:r>
      <w:r w:rsidR="000838DF">
        <w:rPr>
          <w:rFonts w:eastAsia="Arial Unicode MS"/>
          <w:kern w:val="36"/>
        </w:rPr>
        <w:t>)</w:t>
      </w:r>
      <w:r w:rsidRPr="0051061D">
        <w:rPr>
          <w:rFonts w:eastAsia="Arial Unicode MS"/>
          <w:iCs/>
          <w:kern w:val="36"/>
        </w:rPr>
        <w:t xml:space="preserve"> inhibit</w:t>
      </w:r>
      <w:r>
        <w:rPr>
          <w:rFonts w:eastAsia="Arial Unicode MS"/>
          <w:iCs/>
          <w:kern w:val="36"/>
        </w:rPr>
        <w:t>or,</w:t>
      </w:r>
      <w:r w:rsidRPr="0051061D">
        <w:rPr>
          <w:rFonts w:eastAsia="Arial Unicode MS"/>
          <w:iCs/>
          <w:kern w:val="36"/>
        </w:rPr>
        <w:t xml:space="preserve"> in the development of lymphoma is </w:t>
      </w:r>
      <w:r>
        <w:rPr>
          <w:rFonts w:eastAsia="Arial Unicode MS"/>
          <w:iCs/>
          <w:kern w:val="36"/>
        </w:rPr>
        <w:t>uncertain</w:t>
      </w:r>
      <w:r w:rsidRPr="0051061D">
        <w:rPr>
          <w:rFonts w:eastAsia="Arial Unicode MS"/>
          <w:iCs/>
          <w:kern w:val="36"/>
        </w:rPr>
        <w:t>.</w:t>
      </w:r>
    </w:p>
    <w:p w:rsidR="00FF5703" w:rsidRPr="0051061D" w:rsidRDefault="00FF5703" w:rsidP="00FF5703">
      <w:pPr>
        <w:rPr>
          <w:rFonts w:eastAsia="Arial Unicode MS"/>
          <w:kern w:val="36"/>
        </w:rPr>
      </w:pPr>
      <w:r w:rsidRPr="0048678A">
        <w:rPr>
          <w:rStyle w:val="Instructions"/>
        </w:rPr>
        <w:lastRenderedPageBreak/>
        <w:t>Other malignancies were observed in clinical studies and the post</w:t>
      </w:r>
      <w:r w:rsidR="009E2308">
        <w:rPr>
          <w:rStyle w:val="Instructions"/>
        </w:rPr>
        <w:t>-</w:t>
      </w:r>
      <w:r w:rsidRPr="0048678A">
        <w:rPr>
          <w:rStyle w:val="Instructions"/>
        </w:rPr>
        <w:t>marketing setting</w:t>
      </w:r>
      <w:r>
        <w:rPr>
          <w:rStyle w:val="Instructions"/>
        </w:rPr>
        <w:t>, including, but not limited to</w:t>
      </w:r>
      <w:r w:rsidRPr="0048678A">
        <w:rPr>
          <w:rStyle w:val="Instructions"/>
        </w:rPr>
        <w:t>, lung cancer</w:t>
      </w:r>
      <w:r>
        <w:rPr>
          <w:rStyle w:val="Instructions"/>
        </w:rPr>
        <w:t xml:space="preserve">, breast cancer, melanoma, prostate cancer, </w:t>
      </w:r>
      <w:r w:rsidRPr="0048678A">
        <w:rPr>
          <w:rStyle w:val="Instructions"/>
        </w:rPr>
        <w:t>and pancreatic cancer</w:t>
      </w:r>
      <w:r>
        <w:rPr>
          <w:rStyle w:val="Instructions"/>
        </w:rPr>
        <w:t>.</w:t>
      </w:r>
    </w:p>
    <w:p w:rsidR="00FF5703" w:rsidRDefault="00FF5703" w:rsidP="00FF5703">
      <w:pPr>
        <w:rPr>
          <w:szCs w:val="22"/>
        </w:rPr>
      </w:pPr>
      <w:r w:rsidRPr="0051061D">
        <w:rPr>
          <w:szCs w:val="22"/>
        </w:rPr>
        <w:t xml:space="preserve">The </w:t>
      </w:r>
      <w:r>
        <w:rPr>
          <w:szCs w:val="22"/>
        </w:rPr>
        <w:t xml:space="preserve">role </w:t>
      </w:r>
      <w:r w:rsidRPr="0051061D">
        <w:rPr>
          <w:szCs w:val="22"/>
        </w:rPr>
        <w:t>of treatment with XELJANZ on the development and course of malignancies is not known</w:t>
      </w:r>
      <w:r>
        <w:rPr>
          <w:szCs w:val="22"/>
        </w:rPr>
        <w:t>.</w:t>
      </w:r>
    </w:p>
    <w:p w:rsidR="009130CF" w:rsidRPr="006069E9" w:rsidRDefault="009130CF" w:rsidP="009130CF">
      <w:pPr>
        <w:pStyle w:val="PINormal"/>
      </w:pPr>
      <w:r w:rsidRPr="0051061D">
        <w:t>Epstein Barr Virus-associated post-transplant lymphoproliferative disorder has been observed at an increased rate in renal transplant patients treated with XELJANZ and concomitant immunosuppressive medications (see</w:t>
      </w:r>
      <w:r>
        <w:t xml:space="preserve"> </w:t>
      </w:r>
      <w:r w:rsidRPr="00A51746">
        <w:rPr>
          <w:rFonts w:eastAsia="Arial Unicode MS"/>
        </w:rPr>
        <w:t>Section 4.4</w:t>
      </w:r>
      <w:r>
        <w:rPr>
          <w:rFonts w:eastAsia="Arial Unicode MS"/>
        </w:rPr>
        <w:t xml:space="preserve"> </w:t>
      </w:r>
      <w:r>
        <w:t xml:space="preserve">Special Warnings and Precautions </w:t>
      </w:r>
      <w:proofErr w:type="gramStart"/>
      <w:r>
        <w:t>For</w:t>
      </w:r>
      <w:proofErr w:type="gramEnd"/>
      <w:r>
        <w:t xml:space="preserve"> Use</w:t>
      </w:r>
      <w:r w:rsidRPr="00A51746">
        <w:rPr>
          <w:rFonts w:eastAsia="Arial Unicode MS"/>
        </w:rPr>
        <w:t>, Renal Transplant</w:t>
      </w:r>
      <w:r w:rsidRPr="0051061D">
        <w:t>).</w:t>
      </w:r>
    </w:p>
    <w:p w:rsidR="009130CF" w:rsidRPr="00BB6C7F" w:rsidRDefault="009130CF" w:rsidP="00BB6C7F">
      <w:pPr>
        <w:pStyle w:val="PIHeading4"/>
        <w:rPr>
          <w:rFonts w:eastAsia="Arial Unicode MS"/>
          <w:u w:val="single"/>
        </w:rPr>
      </w:pPr>
      <w:r w:rsidRPr="00BB6C7F">
        <w:rPr>
          <w:rFonts w:eastAsia="Arial Unicode MS"/>
          <w:u w:val="single"/>
        </w:rPr>
        <w:t>Rheumatoid Arthritis</w:t>
      </w:r>
    </w:p>
    <w:p w:rsidR="00FF5703" w:rsidRPr="0051061D" w:rsidRDefault="00FF5703" w:rsidP="00FF5703">
      <w:pPr>
        <w:rPr>
          <w:rFonts w:eastAsia="Arial Unicode MS"/>
          <w:kern w:val="36"/>
        </w:rPr>
      </w:pPr>
      <w:r w:rsidRPr="0051061D">
        <w:rPr>
          <w:rFonts w:eastAsia="Arial Unicode MS"/>
          <w:kern w:val="36"/>
        </w:rPr>
        <w:t xml:space="preserve">In the controlled </w:t>
      </w:r>
      <w:r>
        <w:rPr>
          <w:rFonts w:eastAsia="Arial Unicode MS"/>
          <w:kern w:val="36"/>
        </w:rPr>
        <w:t xml:space="preserve">phase 3 </w:t>
      </w:r>
      <w:r w:rsidRPr="0051061D">
        <w:rPr>
          <w:rFonts w:eastAsia="Arial Unicode MS"/>
          <w:kern w:val="36"/>
        </w:rPr>
        <w:t xml:space="preserve">clinical studies in </w:t>
      </w:r>
      <w:r w:rsidR="00BA23CF">
        <w:rPr>
          <w:rFonts w:eastAsia="Arial Unicode MS"/>
          <w:kern w:val="36"/>
        </w:rPr>
        <w:t>RA</w:t>
      </w:r>
      <w:r w:rsidRPr="0051061D">
        <w:rPr>
          <w:rFonts w:eastAsia="Arial Unicode MS"/>
          <w:kern w:val="36"/>
        </w:rPr>
        <w:t xml:space="preserve"> patients, </w:t>
      </w:r>
      <w:r>
        <w:rPr>
          <w:rFonts w:eastAsia="Arial Unicode MS"/>
          <w:kern w:val="36"/>
        </w:rPr>
        <w:t>26</w:t>
      </w:r>
      <w:r w:rsidRPr="0051061D">
        <w:rPr>
          <w:rFonts w:eastAsia="Arial Unicode MS"/>
          <w:kern w:val="36"/>
        </w:rPr>
        <w:t xml:space="preserve"> malignancies (excluding NMSC) </w:t>
      </w:r>
      <w:r>
        <w:rPr>
          <w:rFonts w:eastAsia="Arial Unicode MS"/>
          <w:kern w:val="36"/>
        </w:rPr>
        <w:t xml:space="preserve">including 5 lymphomas, </w:t>
      </w:r>
      <w:r w:rsidRPr="0051061D">
        <w:rPr>
          <w:rFonts w:eastAsia="Arial Unicode MS"/>
          <w:kern w:val="36"/>
        </w:rPr>
        <w:t xml:space="preserve">were diagnosed in </w:t>
      </w:r>
      <w:r>
        <w:rPr>
          <w:rFonts w:eastAsia="Arial Unicode MS"/>
          <w:kern w:val="36"/>
        </w:rPr>
        <w:t xml:space="preserve">26 </w:t>
      </w:r>
      <w:r w:rsidRPr="0051061D">
        <w:rPr>
          <w:rFonts w:eastAsia="Arial Unicode MS"/>
          <w:kern w:val="36"/>
        </w:rPr>
        <w:t>patients receiving XELJANZ</w:t>
      </w:r>
      <w:r>
        <w:rPr>
          <w:rFonts w:eastAsia="Arial Unicode MS"/>
          <w:kern w:val="36"/>
        </w:rPr>
        <w:t>/</w:t>
      </w:r>
      <w:r w:rsidRPr="0051061D">
        <w:rPr>
          <w:rFonts w:eastAsia="Arial Unicode MS"/>
          <w:kern w:val="36"/>
        </w:rPr>
        <w:t>XELJANZ</w:t>
      </w:r>
      <w:r>
        <w:rPr>
          <w:rFonts w:eastAsia="Arial Unicode MS"/>
          <w:kern w:val="36"/>
        </w:rPr>
        <w:t xml:space="preserve"> plus DMARD</w:t>
      </w:r>
      <w:r w:rsidRPr="0051061D">
        <w:rPr>
          <w:rFonts w:eastAsia="Arial Unicode MS"/>
          <w:kern w:val="36"/>
        </w:rPr>
        <w:t>, compared to 0 malignancies (excluding NMSC) in patients in the placebo/placebo plus DMARD group</w:t>
      </w:r>
      <w:r>
        <w:rPr>
          <w:rFonts w:eastAsia="Arial Unicode MS"/>
          <w:kern w:val="36"/>
        </w:rPr>
        <w:t xml:space="preserve">, 2 malignancies in 2 patients in the adalimumab group and 1 in the </w:t>
      </w:r>
      <w:r w:rsidR="00317C7B">
        <w:rPr>
          <w:rFonts w:eastAsia="Arial Unicode MS"/>
          <w:kern w:val="36"/>
        </w:rPr>
        <w:t>MTX</w:t>
      </w:r>
      <w:r>
        <w:rPr>
          <w:rFonts w:eastAsia="Arial Unicode MS"/>
          <w:kern w:val="36"/>
        </w:rPr>
        <w:t xml:space="preserve"> group</w:t>
      </w:r>
      <w:r w:rsidRPr="0051061D">
        <w:rPr>
          <w:rFonts w:eastAsia="Arial Unicode MS"/>
          <w:kern w:val="36"/>
        </w:rPr>
        <w:t xml:space="preserve">.  </w:t>
      </w:r>
      <w:r>
        <w:rPr>
          <w:rFonts w:eastAsia="Arial Unicode MS"/>
          <w:kern w:val="36"/>
        </w:rPr>
        <w:t>Three thousand eight hundred (</w:t>
      </w:r>
      <w:r w:rsidRPr="0051061D">
        <w:rPr>
          <w:rFonts w:eastAsia="Arial Unicode MS"/>
          <w:kern w:val="36"/>
        </w:rPr>
        <w:t>3</w:t>
      </w:r>
      <w:r>
        <w:rPr>
          <w:rFonts w:eastAsia="Arial Unicode MS"/>
          <w:kern w:val="36"/>
        </w:rPr>
        <w:t>8</w:t>
      </w:r>
      <w:r w:rsidRPr="0051061D">
        <w:rPr>
          <w:rFonts w:eastAsia="Arial Unicode MS"/>
          <w:kern w:val="36"/>
        </w:rPr>
        <w:t>00</w:t>
      </w:r>
      <w:r>
        <w:rPr>
          <w:rFonts w:eastAsia="Arial Unicode MS"/>
          <w:kern w:val="36"/>
        </w:rPr>
        <w:t>)</w:t>
      </w:r>
      <w:r w:rsidRPr="0051061D">
        <w:rPr>
          <w:rFonts w:eastAsia="Arial Unicode MS"/>
          <w:kern w:val="36"/>
        </w:rPr>
        <w:t> patients (</w:t>
      </w:r>
      <w:r>
        <w:rPr>
          <w:rFonts w:eastAsia="Arial Unicode MS"/>
          <w:kern w:val="36"/>
        </w:rPr>
        <w:t>3942</w:t>
      </w:r>
      <w:r w:rsidRPr="0051061D">
        <w:rPr>
          <w:rFonts w:eastAsia="Arial Unicode MS"/>
          <w:kern w:val="36"/>
        </w:rPr>
        <w:t xml:space="preserve"> patient-years of observation) were treated with XELJANZ for durations up to </w:t>
      </w:r>
      <w:r>
        <w:rPr>
          <w:rFonts w:eastAsia="Arial Unicode MS"/>
          <w:kern w:val="36"/>
        </w:rPr>
        <w:t>2</w:t>
      </w:r>
      <w:r w:rsidRPr="0051061D">
        <w:rPr>
          <w:rFonts w:eastAsia="Arial Unicode MS"/>
          <w:kern w:val="36"/>
        </w:rPr>
        <w:t> year</w:t>
      </w:r>
      <w:r>
        <w:rPr>
          <w:rFonts w:eastAsia="Arial Unicode MS"/>
          <w:kern w:val="36"/>
        </w:rPr>
        <w:t>s</w:t>
      </w:r>
      <w:r w:rsidRPr="0051061D">
        <w:rPr>
          <w:rFonts w:eastAsia="Arial Unicode MS"/>
          <w:kern w:val="36"/>
        </w:rPr>
        <w:t xml:space="preserve"> while 68</w:t>
      </w:r>
      <w:r>
        <w:rPr>
          <w:rFonts w:eastAsia="Arial Unicode MS"/>
          <w:kern w:val="36"/>
        </w:rPr>
        <w:t>1</w:t>
      </w:r>
      <w:r w:rsidRPr="0051061D">
        <w:rPr>
          <w:rFonts w:eastAsia="Arial Unicode MS"/>
          <w:kern w:val="36"/>
        </w:rPr>
        <w:t> patients (203 patient-years of observation) were treated with placebo for a maximum of 6 months</w:t>
      </w:r>
      <w:r>
        <w:rPr>
          <w:rFonts w:eastAsia="Arial Unicode MS"/>
          <w:kern w:val="36"/>
        </w:rPr>
        <w:t xml:space="preserve"> and 204 patients (179 </w:t>
      </w:r>
      <w:r w:rsidRPr="0075194D">
        <w:rPr>
          <w:rFonts w:eastAsia="Arial Unicode MS"/>
          <w:kern w:val="36"/>
        </w:rPr>
        <w:t>patient-years of observation) were treated with adalimumab for 12</w:t>
      </w:r>
      <w:r>
        <w:rPr>
          <w:rFonts w:eastAsia="Arial Unicode MS"/>
          <w:kern w:val="36"/>
        </w:rPr>
        <w:t> </w:t>
      </w:r>
      <w:r w:rsidRPr="0075194D">
        <w:rPr>
          <w:rFonts w:eastAsia="Arial Unicode MS"/>
          <w:kern w:val="36"/>
        </w:rPr>
        <w:t>months</w:t>
      </w:r>
      <w:r w:rsidRPr="0051061D">
        <w:rPr>
          <w:rFonts w:eastAsia="Arial Unicode MS"/>
          <w:kern w:val="36"/>
        </w:rPr>
        <w:t xml:space="preserve">.  The exposure-adjusted incidence rate for malignancies </w:t>
      </w:r>
      <w:r>
        <w:rPr>
          <w:rFonts w:eastAsia="Arial Unicode MS"/>
          <w:kern w:val="36"/>
        </w:rPr>
        <w:t xml:space="preserve">and lymphoma </w:t>
      </w:r>
      <w:r w:rsidRPr="0051061D">
        <w:rPr>
          <w:rFonts w:eastAsia="Arial Unicode MS"/>
          <w:kern w:val="36"/>
        </w:rPr>
        <w:t>was 0.6</w:t>
      </w:r>
      <w:r>
        <w:rPr>
          <w:rFonts w:eastAsia="Arial Unicode MS"/>
          <w:kern w:val="36"/>
        </w:rPr>
        <w:t>6 and 0.13</w:t>
      </w:r>
      <w:r w:rsidRPr="0051061D">
        <w:rPr>
          <w:rFonts w:eastAsia="Arial Unicode MS"/>
          <w:kern w:val="36"/>
        </w:rPr>
        <w:t> events per 100 patient-years</w:t>
      </w:r>
      <w:r>
        <w:rPr>
          <w:rFonts w:eastAsia="Arial Unicode MS"/>
          <w:kern w:val="36"/>
        </w:rPr>
        <w:t>, respectively,</w:t>
      </w:r>
      <w:r w:rsidRPr="0051061D">
        <w:rPr>
          <w:rFonts w:eastAsia="Arial Unicode MS"/>
          <w:kern w:val="36"/>
        </w:rPr>
        <w:t xml:space="preserve"> in the XELJANZ groups.</w:t>
      </w:r>
    </w:p>
    <w:p w:rsidR="00FF5703" w:rsidRDefault="00FF5703" w:rsidP="00A51746">
      <w:pPr>
        <w:rPr>
          <w:rFonts w:eastAsia="Arial Unicode MS"/>
        </w:rPr>
      </w:pPr>
      <w:r w:rsidRPr="0051061D">
        <w:rPr>
          <w:rFonts w:eastAsia="Arial Unicode MS"/>
        </w:rPr>
        <w:t>In the long-term safety population</w:t>
      </w:r>
      <w:r>
        <w:rPr>
          <w:rFonts w:eastAsia="Arial Unicode MS"/>
        </w:rPr>
        <w:t xml:space="preserve"> (4867 patients)</w:t>
      </w:r>
      <w:r w:rsidRPr="0051061D">
        <w:rPr>
          <w:rFonts w:eastAsia="Arial Unicode MS"/>
        </w:rPr>
        <w:t xml:space="preserve">, </w:t>
      </w:r>
      <w:r w:rsidR="009130CF">
        <w:rPr>
          <w:rFonts w:eastAsia="Arial Unicode MS"/>
        </w:rPr>
        <w:t xml:space="preserve">in RA studies, </w:t>
      </w:r>
      <w:r w:rsidRPr="0051061D">
        <w:rPr>
          <w:rFonts w:eastAsia="Arial Unicode MS"/>
        </w:rPr>
        <w:t>the rate</w:t>
      </w:r>
      <w:r>
        <w:rPr>
          <w:rFonts w:eastAsia="Arial Unicode MS"/>
        </w:rPr>
        <w:t>s</w:t>
      </w:r>
      <w:r w:rsidRPr="0051061D">
        <w:rPr>
          <w:rFonts w:eastAsia="Arial Unicode MS"/>
        </w:rPr>
        <w:t xml:space="preserve"> of malignancies (excluding NMSC) </w:t>
      </w:r>
      <w:r>
        <w:rPr>
          <w:rFonts w:eastAsia="Arial Unicode MS"/>
        </w:rPr>
        <w:t>and lymphoma were</w:t>
      </w:r>
      <w:r w:rsidRPr="0051061D">
        <w:rPr>
          <w:rFonts w:eastAsia="Arial Unicode MS"/>
        </w:rPr>
        <w:t xml:space="preserve"> </w:t>
      </w:r>
      <w:r>
        <w:rPr>
          <w:rFonts w:eastAsia="Arial Unicode MS"/>
        </w:rPr>
        <w:t>0.97 and 0.09</w:t>
      </w:r>
      <w:r w:rsidRPr="0051061D">
        <w:rPr>
          <w:rFonts w:eastAsia="Arial Unicode MS"/>
        </w:rPr>
        <w:t xml:space="preserve"> events per 100 patient-years, </w:t>
      </w:r>
      <w:r>
        <w:rPr>
          <w:rFonts w:eastAsia="Arial Unicode MS"/>
        </w:rPr>
        <w:t>respectively,</w:t>
      </w:r>
      <w:r w:rsidRPr="0051061D">
        <w:rPr>
          <w:rFonts w:eastAsia="Arial Unicode MS"/>
        </w:rPr>
        <w:t xml:space="preserve"> consistent with the rate observed in the controlled period.</w:t>
      </w:r>
    </w:p>
    <w:p w:rsidR="009130CF" w:rsidRPr="00BB6C7F" w:rsidRDefault="009130CF" w:rsidP="00BB6C7F">
      <w:pPr>
        <w:pStyle w:val="PIHeading4"/>
        <w:rPr>
          <w:rFonts w:eastAsia="Arial Unicode MS"/>
          <w:u w:val="single"/>
        </w:rPr>
      </w:pPr>
      <w:r w:rsidRPr="00BB6C7F">
        <w:rPr>
          <w:rFonts w:eastAsia="Arial Unicode MS"/>
          <w:u w:val="single"/>
        </w:rPr>
        <w:t>Psoriatic Arthritis</w:t>
      </w:r>
    </w:p>
    <w:p w:rsidR="009130CF" w:rsidRPr="00F178C3" w:rsidRDefault="009130CF" w:rsidP="009130CF">
      <w:pPr>
        <w:rPr>
          <w:rStyle w:val="Instructions"/>
          <w:iCs w:val="0"/>
        </w:rPr>
      </w:pPr>
      <w:r w:rsidRPr="005D293F">
        <w:rPr>
          <w:rStyle w:val="Instructions"/>
        </w:rPr>
        <w:t>In 2 controlled</w:t>
      </w:r>
      <w:r w:rsidRPr="00065D40">
        <w:rPr>
          <w:rStyle w:val="Instructions"/>
        </w:rPr>
        <w:t xml:space="preserve"> </w:t>
      </w:r>
      <w:r>
        <w:rPr>
          <w:rStyle w:val="Instructions"/>
        </w:rPr>
        <w:t>P</w:t>
      </w:r>
      <w:r w:rsidRPr="00065D40">
        <w:rPr>
          <w:rStyle w:val="Instructions"/>
        </w:rPr>
        <w:t xml:space="preserve">hase 3 clinical </w:t>
      </w:r>
      <w:r>
        <w:rPr>
          <w:rStyle w:val="Instructions"/>
        </w:rPr>
        <w:t>trials</w:t>
      </w:r>
      <w:r w:rsidRPr="00065D40">
        <w:rPr>
          <w:rStyle w:val="Instructions"/>
        </w:rPr>
        <w:t xml:space="preserve"> in </w:t>
      </w:r>
      <w:r w:rsidRPr="00D153DE">
        <w:rPr>
          <w:rStyle w:val="Instructions"/>
        </w:rPr>
        <w:t>patients</w:t>
      </w:r>
      <w:r w:rsidR="00D83094">
        <w:rPr>
          <w:rStyle w:val="Instructions"/>
        </w:rPr>
        <w:t xml:space="preserve"> with active </w:t>
      </w:r>
      <w:proofErr w:type="spellStart"/>
      <w:r w:rsidR="00D1695A">
        <w:rPr>
          <w:rStyle w:val="Instructions"/>
        </w:rPr>
        <w:t>PsA</w:t>
      </w:r>
      <w:proofErr w:type="spellEnd"/>
      <w:r w:rsidRPr="00065D40">
        <w:rPr>
          <w:rStyle w:val="Instructions"/>
        </w:rPr>
        <w:t xml:space="preserve">, there were 3 malignancies (excluding NMSC) in </w:t>
      </w:r>
      <w:r>
        <w:rPr>
          <w:rStyle w:val="Instructions"/>
        </w:rPr>
        <w:t xml:space="preserve">474 </w:t>
      </w:r>
      <w:r w:rsidRPr="00065D40">
        <w:rPr>
          <w:rStyle w:val="Instructions"/>
        </w:rPr>
        <w:t>patients</w:t>
      </w:r>
      <w:r>
        <w:rPr>
          <w:rStyle w:val="Instructions"/>
        </w:rPr>
        <w:t xml:space="preserve"> (298 patient-years of observation)</w:t>
      </w:r>
      <w:r w:rsidRPr="00065D40">
        <w:rPr>
          <w:rStyle w:val="Instructions"/>
        </w:rPr>
        <w:t xml:space="preserve"> receiving XELJANZ plus </w:t>
      </w:r>
      <w:proofErr w:type="spellStart"/>
      <w:r w:rsidRPr="00065D40">
        <w:rPr>
          <w:rStyle w:val="Instructions"/>
        </w:rPr>
        <w:t>csDMARD</w:t>
      </w:r>
      <w:proofErr w:type="spellEnd"/>
      <w:r w:rsidRPr="00065D40">
        <w:rPr>
          <w:rStyle w:val="Instructions"/>
        </w:rPr>
        <w:t xml:space="preserve"> </w:t>
      </w:r>
      <w:r>
        <w:rPr>
          <w:rStyle w:val="Instructions"/>
        </w:rPr>
        <w:t xml:space="preserve">(6 to 12 months exposure) </w:t>
      </w:r>
      <w:r w:rsidRPr="00065D40">
        <w:rPr>
          <w:rStyle w:val="Instructions"/>
        </w:rPr>
        <w:t>compared with 0</w:t>
      </w:r>
      <w:r>
        <w:rPr>
          <w:rStyle w:val="Instructions"/>
        </w:rPr>
        <w:t> </w:t>
      </w:r>
      <w:r w:rsidRPr="00065D40">
        <w:rPr>
          <w:rStyle w:val="Instructions"/>
        </w:rPr>
        <w:t xml:space="preserve">malignancies in </w:t>
      </w:r>
      <w:r>
        <w:rPr>
          <w:rStyle w:val="Instructions"/>
        </w:rPr>
        <w:t xml:space="preserve">236 </w:t>
      </w:r>
      <w:r w:rsidRPr="00065D40">
        <w:rPr>
          <w:rStyle w:val="Instructions"/>
        </w:rPr>
        <w:t>patients</w:t>
      </w:r>
      <w:r>
        <w:rPr>
          <w:rStyle w:val="Instructions"/>
        </w:rPr>
        <w:t xml:space="preserve"> (52.3 patient-years)</w:t>
      </w:r>
      <w:r w:rsidRPr="00065D40">
        <w:rPr>
          <w:rStyle w:val="Instructions"/>
        </w:rPr>
        <w:t xml:space="preserve"> in the placebo plus </w:t>
      </w:r>
      <w:proofErr w:type="spellStart"/>
      <w:r w:rsidRPr="00065D40">
        <w:rPr>
          <w:rStyle w:val="Instructions"/>
        </w:rPr>
        <w:t>csDMARD</w:t>
      </w:r>
      <w:proofErr w:type="spellEnd"/>
      <w:r w:rsidRPr="00065D40">
        <w:rPr>
          <w:rStyle w:val="Instructions"/>
        </w:rPr>
        <w:t xml:space="preserve"> group</w:t>
      </w:r>
      <w:r>
        <w:rPr>
          <w:rStyle w:val="Instructions"/>
        </w:rPr>
        <w:t xml:space="preserve"> (</w:t>
      </w:r>
      <w:r w:rsidRPr="00101EC1">
        <w:rPr>
          <w:rStyle w:val="Instructions"/>
        </w:rPr>
        <w:t>3</w:t>
      </w:r>
      <w:r>
        <w:rPr>
          <w:rStyle w:val="Instructions"/>
        </w:rPr>
        <w:t> </w:t>
      </w:r>
      <w:r w:rsidRPr="00101EC1">
        <w:rPr>
          <w:rStyle w:val="Instructions"/>
        </w:rPr>
        <w:t>months exposure</w:t>
      </w:r>
      <w:r>
        <w:rPr>
          <w:rStyle w:val="Instructions"/>
        </w:rPr>
        <w:t>)</w:t>
      </w:r>
      <w:r w:rsidRPr="00065D40">
        <w:rPr>
          <w:rStyle w:val="Instructions"/>
        </w:rPr>
        <w:t xml:space="preserve"> and 0 malignancies in </w:t>
      </w:r>
      <w:r>
        <w:rPr>
          <w:rStyle w:val="Instructions"/>
        </w:rPr>
        <w:t xml:space="preserve">106 patients (91 patient-years) in </w:t>
      </w:r>
      <w:r w:rsidRPr="00065D40">
        <w:rPr>
          <w:rStyle w:val="Instructions"/>
        </w:rPr>
        <w:t xml:space="preserve">the </w:t>
      </w:r>
      <w:proofErr w:type="spellStart"/>
      <w:r w:rsidRPr="00065D40">
        <w:rPr>
          <w:rStyle w:val="Instructions"/>
        </w:rPr>
        <w:t>adalimumab</w:t>
      </w:r>
      <w:proofErr w:type="spellEnd"/>
      <w:r w:rsidRPr="00065D40">
        <w:rPr>
          <w:rStyle w:val="Instructions"/>
        </w:rPr>
        <w:t xml:space="preserve"> plus </w:t>
      </w:r>
      <w:proofErr w:type="spellStart"/>
      <w:r w:rsidRPr="00065D40">
        <w:rPr>
          <w:rStyle w:val="Instructions"/>
        </w:rPr>
        <w:t>csDMARD</w:t>
      </w:r>
      <w:proofErr w:type="spellEnd"/>
      <w:r w:rsidRPr="00065D40">
        <w:rPr>
          <w:rStyle w:val="Instructions"/>
        </w:rPr>
        <w:t xml:space="preserve"> group</w:t>
      </w:r>
      <w:r>
        <w:rPr>
          <w:rStyle w:val="Instructions"/>
        </w:rPr>
        <w:t xml:space="preserve"> (12 months exposure)</w:t>
      </w:r>
      <w:r w:rsidRPr="00C768F2">
        <w:rPr>
          <w:rStyle w:val="Instructions"/>
        </w:rPr>
        <w:t>.</w:t>
      </w:r>
      <w:r w:rsidRPr="00065D40">
        <w:rPr>
          <w:rStyle w:val="Instructions"/>
        </w:rPr>
        <w:t xml:space="preserve"> No lymphomas were reported. The exposure-adjusted incidence rate for malignancies </w:t>
      </w:r>
      <w:r>
        <w:rPr>
          <w:rStyle w:val="Instructions"/>
        </w:rPr>
        <w:t xml:space="preserve">(excluding NMSC) </w:t>
      </w:r>
      <w:r w:rsidRPr="00065D40">
        <w:rPr>
          <w:rStyle w:val="Instructions"/>
        </w:rPr>
        <w:t>was 1.95 patients with events and 0 patient</w:t>
      </w:r>
      <w:r>
        <w:rPr>
          <w:rStyle w:val="Instructions"/>
        </w:rPr>
        <w:t>s</w:t>
      </w:r>
      <w:r w:rsidRPr="00065D40">
        <w:rPr>
          <w:rStyle w:val="Instructions"/>
        </w:rPr>
        <w:t xml:space="preserve"> with events per 100 patient-years in the XELJANZ groups that received 5 mg twice daily and 10</w:t>
      </w:r>
      <w:r>
        <w:rPr>
          <w:rStyle w:val="Instructions"/>
        </w:rPr>
        <w:t> </w:t>
      </w:r>
      <w:r w:rsidRPr="00065D40">
        <w:rPr>
          <w:rStyle w:val="Instructions"/>
        </w:rPr>
        <w:t>mg twice daily, respectively.</w:t>
      </w:r>
    </w:p>
    <w:p w:rsidR="009130CF" w:rsidRDefault="009130CF" w:rsidP="00A51746">
      <w:pPr>
        <w:rPr>
          <w:rStyle w:val="Instructions"/>
        </w:rPr>
      </w:pPr>
      <w:r w:rsidRPr="00065D40">
        <w:rPr>
          <w:rStyle w:val="Instructions"/>
        </w:rPr>
        <w:t xml:space="preserve">In the safety population comprised of the </w:t>
      </w:r>
      <w:r w:rsidRPr="005D293F">
        <w:rPr>
          <w:rStyle w:val="Instructions"/>
        </w:rPr>
        <w:t>2</w:t>
      </w:r>
      <w:r w:rsidRPr="00065D40">
        <w:rPr>
          <w:rStyle w:val="Instructions"/>
        </w:rPr>
        <w:t xml:space="preserve"> controlled </w:t>
      </w:r>
      <w:r>
        <w:rPr>
          <w:rStyle w:val="Instructions"/>
        </w:rPr>
        <w:t>P</w:t>
      </w:r>
      <w:r w:rsidRPr="00065D40">
        <w:rPr>
          <w:rStyle w:val="Instructions"/>
        </w:rPr>
        <w:t xml:space="preserve">hase 3 clinical </w:t>
      </w:r>
      <w:r>
        <w:rPr>
          <w:rStyle w:val="Instructions"/>
        </w:rPr>
        <w:t xml:space="preserve">trials </w:t>
      </w:r>
      <w:r w:rsidRPr="00065D40">
        <w:rPr>
          <w:rStyle w:val="Instructions"/>
        </w:rPr>
        <w:t>and the long</w:t>
      </w:r>
      <w:r w:rsidRPr="00065D40">
        <w:rPr>
          <w:rStyle w:val="Instructions"/>
        </w:rPr>
        <w:noBreakHyphen/>
        <w:t xml:space="preserve">term extension </w:t>
      </w:r>
      <w:r>
        <w:rPr>
          <w:rStyle w:val="Instructions"/>
        </w:rPr>
        <w:t xml:space="preserve">trial </w:t>
      </w:r>
      <w:r w:rsidRPr="00065D40">
        <w:rPr>
          <w:rStyle w:val="Instructions"/>
        </w:rPr>
        <w:t>(783 patients) the rate of malignancies (excluding NMSC) was 0.</w:t>
      </w:r>
      <w:r>
        <w:rPr>
          <w:rStyle w:val="Instructions"/>
        </w:rPr>
        <w:t>72</w:t>
      </w:r>
      <w:r w:rsidRPr="00065D40">
        <w:rPr>
          <w:rStyle w:val="Instructions"/>
        </w:rPr>
        <w:t xml:space="preserve"> patients with events per 100 patient-years.</w:t>
      </w:r>
    </w:p>
    <w:p w:rsidR="00E1267F" w:rsidRPr="005A1B23" w:rsidRDefault="00E1267F" w:rsidP="00E1267F">
      <w:pPr>
        <w:pStyle w:val="PIHeading4"/>
        <w:rPr>
          <w:rFonts w:eastAsia="Arial Unicode MS"/>
        </w:rPr>
      </w:pPr>
      <w:r w:rsidRPr="005A1B23">
        <w:rPr>
          <w:rFonts w:eastAsia="Arial Unicode MS"/>
        </w:rPr>
        <w:t>Ulcerative Colitis</w:t>
      </w:r>
    </w:p>
    <w:p w:rsidR="00E1267F" w:rsidRPr="00821F5C" w:rsidRDefault="00821F5C" w:rsidP="00E1267F">
      <w:pPr>
        <w:rPr>
          <w:rStyle w:val="Instructions"/>
        </w:rPr>
      </w:pPr>
      <w:r w:rsidRPr="00821F5C">
        <w:rPr>
          <w:rStyle w:val="Instructions"/>
          <w:iCs w:val="0"/>
        </w:rPr>
        <w:t xml:space="preserve">No malignancies other than NMSC were reported in the 8-week induction and 52-week maintenance study. </w:t>
      </w:r>
      <w:r>
        <w:rPr>
          <w:rStyle w:val="Instructions"/>
          <w:iCs w:val="0"/>
        </w:rPr>
        <w:t xml:space="preserve"> </w:t>
      </w:r>
      <w:r w:rsidRPr="00821F5C">
        <w:rPr>
          <w:rStyle w:val="Instructions"/>
          <w:iCs w:val="0"/>
        </w:rPr>
        <w:t>In the long-term extension study</w:t>
      </w:r>
      <w:r w:rsidR="00346729">
        <w:rPr>
          <w:rStyle w:val="Instructions"/>
          <w:iCs w:val="0"/>
        </w:rPr>
        <w:t>,</w:t>
      </w:r>
      <w:r w:rsidRPr="00821F5C">
        <w:rPr>
          <w:rStyle w:val="Instructions"/>
          <w:iCs w:val="0"/>
        </w:rPr>
        <w:t xml:space="preserve"> malignancies </w:t>
      </w:r>
      <w:r w:rsidR="00346729">
        <w:rPr>
          <w:rStyle w:val="Instructions"/>
          <w:iCs w:val="0"/>
        </w:rPr>
        <w:t>(</w:t>
      </w:r>
      <w:r w:rsidRPr="00821F5C">
        <w:rPr>
          <w:rStyle w:val="Instructions"/>
          <w:iCs w:val="0"/>
        </w:rPr>
        <w:t xml:space="preserve">including solid cancers </w:t>
      </w:r>
      <w:r w:rsidRPr="00821F5C">
        <w:rPr>
          <w:rStyle w:val="Instructions"/>
          <w:iCs w:val="0"/>
        </w:rPr>
        <w:lastRenderedPageBreak/>
        <w:t>and lymphomas</w:t>
      </w:r>
      <w:r w:rsidR="00346729">
        <w:rPr>
          <w:rStyle w:val="Instructions"/>
          <w:iCs w:val="0"/>
        </w:rPr>
        <w:t>)</w:t>
      </w:r>
      <w:r w:rsidRPr="00821F5C">
        <w:rPr>
          <w:rStyle w:val="Instructions"/>
          <w:iCs w:val="0"/>
        </w:rPr>
        <w:t xml:space="preserve"> were observed more often in patients treated with XELJANZ 10 mg twice daily compared with patients treated with XELJANZ 5 mg twice daily</w:t>
      </w:r>
      <w:r>
        <w:rPr>
          <w:rStyle w:val="Instructions"/>
          <w:iCs w:val="0"/>
        </w:rPr>
        <w:t>.</w:t>
      </w:r>
    </w:p>
    <w:p w:rsidR="00FF5703" w:rsidRPr="0051061D" w:rsidRDefault="00FF5703" w:rsidP="006E28B9">
      <w:pPr>
        <w:pStyle w:val="PIHeading3"/>
      </w:pPr>
      <w:r w:rsidRPr="0051061D">
        <w:t>Skin Cancer</w:t>
      </w:r>
    </w:p>
    <w:p w:rsidR="00FF5703" w:rsidRPr="0051061D" w:rsidRDefault="00FF5703" w:rsidP="00FF5703">
      <w:pPr>
        <w:pStyle w:val="Paragraph"/>
        <w:jc w:val="both"/>
        <w:rPr>
          <w:rStyle w:val="Instructions"/>
        </w:rPr>
      </w:pPr>
      <w:r w:rsidRPr="0051061D">
        <w:rPr>
          <w:rStyle w:val="Instructions"/>
        </w:rPr>
        <w:t xml:space="preserve">Melanoma and NMSCs have been reported in patients treated with XELJANZ.  </w:t>
      </w:r>
      <w:r w:rsidR="00E1267F" w:rsidRPr="008D27AD">
        <w:t>The risk of NMSC may be higher in patients treated with XELJANZ 10 mg twice daily than in patients treated with 5 mg twice daily</w:t>
      </w:r>
      <w:r w:rsidR="00E1267F">
        <w:rPr>
          <w:rStyle w:val="Instructions"/>
        </w:rPr>
        <w:t xml:space="preserve">.  </w:t>
      </w:r>
      <w:r w:rsidRPr="0051061D">
        <w:rPr>
          <w:rStyle w:val="Instructions"/>
        </w:rPr>
        <w:t>Regular skin examinations are recommended, particularly for patients with an increased risk for, or a prior history of, skin cancer.</w:t>
      </w:r>
    </w:p>
    <w:p w:rsidR="00FF5703" w:rsidRPr="0051061D" w:rsidRDefault="00FF5703" w:rsidP="006E28B9">
      <w:pPr>
        <w:pStyle w:val="PIHeading3"/>
      </w:pPr>
      <w:r w:rsidRPr="0051061D">
        <w:t>Renal Transplant</w:t>
      </w:r>
    </w:p>
    <w:p w:rsidR="00FF5703" w:rsidRPr="0051061D" w:rsidRDefault="00FF5703" w:rsidP="00FF5703">
      <w:pPr>
        <w:rPr>
          <w:color w:val="000000"/>
        </w:rPr>
      </w:pPr>
      <w:r w:rsidRPr="0051061D">
        <w:rPr>
          <w:iCs/>
          <w:color w:val="000000"/>
        </w:rPr>
        <w:t xml:space="preserve">In studies in renal transplant patients treated with XELJANZ (15 mg twice daily for 3 to 6 months then reduced) and concomitant immunosuppressive agents (induction therapy with </w:t>
      </w:r>
      <w:proofErr w:type="spellStart"/>
      <w:r w:rsidRPr="0051061D">
        <w:rPr>
          <w:iCs/>
          <w:color w:val="000000"/>
        </w:rPr>
        <w:t>basiliximab</w:t>
      </w:r>
      <w:proofErr w:type="spellEnd"/>
      <w:r w:rsidRPr="0051061D">
        <w:rPr>
          <w:iCs/>
          <w:color w:val="000000"/>
        </w:rPr>
        <w:t>, high dose corticosteroids, mycophenolic acid products) for prophylaxis of organ rejection,</w:t>
      </w:r>
      <w:r w:rsidRPr="0051061D">
        <w:rPr>
          <w:color w:val="000000"/>
        </w:rPr>
        <w:t xml:space="preserve"> </w:t>
      </w:r>
      <w:r w:rsidRPr="0051061D">
        <w:rPr>
          <w:iCs/>
          <w:color w:val="000000"/>
        </w:rPr>
        <w:t>serious infections and Epstein Barr Virus-associated post-transplant lymphoproliferative disorder were observed at an increased rate compared to patients treated with cyclosporine and concomitant immunosuppressive agents.</w:t>
      </w:r>
    </w:p>
    <w:p w:rsidR="00FF5703" w:rsidRPr="0051061D" w:rsidRDefault="00FF5703" w:rsidP="00FF5703">
      <w:pPr>
        <w:pStyle w:val="PINormal"/>
        <w:rPr>
          <w:color w:val="000000"/>
        </w:rPr>
      </w:pPr>
      <w:r w:rsidRPr="0051061D">
        <w:rPr>
          <w:iCs/>
          <w:color w:val="000000"/>
        </w:rPr>
        <w:t>XELJANZ should not be used in combination with potent immunosuppressants because of the possibility of an increased risk of serious infection and post-transplant lymphoproliferative disorder.</w:t>
      </w:r>
    </w:p>
    <w:p w:rsidR="00FF5703" w:rsidRPr="0051061D" w:rsidRDefault="00FF5703" w:rsidP="006E28B9">
      <w:pPr>
        <w:pStyle w:val="PIHeading3"/>
      </w:pPr>
      <w:r w:rsidRPr="0051061D">
        <w:t>Cardiovascular</w:t>
      </w:r>
    </w:p>
    <w:p w:rsidR="00FF5703" w:rsidRPr="00856DB8" w:rsidRDefault="00FF5703" w:rsidP="00FF5703">
      <w:pPr>
        <w:pStyle w:val="PINormal"/>
        <w:rPr>
          <w:iCs/>
          <w:color w:val="000000"/>
        </w:rPr>
      </w:pPr>
      <w:r w:rsidRPr="00856DB8">
        <w:rPr>
          <w:iCs/>
          <w:color w:val="000000"/>
        </w:rPr>
        <w:t>XELJANZ causes a decrease in heart rate and a prolongation of the PR interval.  Caution should be observed in patients with a low heart rate at baseline (&lt;60 beats per minute), a history of syncope or arrhythmia, sick sinus syndrome, sinoatrial block, atrioventricular (AV) block, isch</w:t>
      </w:r>
      <w:r>
        <w:rPr>
          <w:iCs/>
          <w:color w:val="000000"/>
        </w:rPr>
        <w:t>a</w:t>
      </w:r>
      <w:r w:rsidRPr="00856DB8">
        <w:rPr>
          <w:iCs/>
          <w:color w:val="000000"/>
        </w:rPr>
        <w:t xml:space="preserve">emic heart disease, or congestive heart failure.  Concomitant medications that result in a decrease in heart rate and/or PR interval prolongation should be avoided to the extent possible during treatment with XELJANZ (see </w:t>
      </w:r>
      <w:r w:rsidR="00836BBA">
        <w:rPr>
          <w:iCs/>
          <w:color w:val="000000"/>
        </w:rPr>
        <w:t>Section 4.5</w:t>
      </w:r>
      <w:r w:rsidR="00BC2E8E" w:rsidRPr="00BC2E8E">
        <w:t xml:space="preserve"> </w:t>
      </w:r>
      <w:r w:rsidR="00BC2E8E">
        <w:t xml:space="preserve">Interactions </w:t>
      </w:r>
      <w:proofErr w:type="gramStart"/>
      <w:r w:rsidR="00BC2E8E">
        <w:t>With</w:t>
      </w:r>
      <w:proofErr w:type="gramEnd"/>
      <w:r w:rsidR="00BC2E8E">
        <w:t xml:space="preserve"> Other Medicines and Other Forms of Interactions</w:t>
      </w:r>
      <w:r w:rsidRPr="00856DB8">
        <w:rPr>
          <w:iCs/>
          <w:color w:val="000000"/>
        </w:rPr>
        <w:t>).</w:t>
      </w:r>
      <w:r w:rsidRPr="00856DB8" w:rsidDel="00B5281A">
        <w:rPr>
          <w:iCs/>
          <w:color w:val="000000"/>
        </w:rPr>
        <w:t xml:space="preserve"> </w:t>
      </w:r>
    </w:p>
    <w:p w:rsidR="00FF5703" w:rsidRPr="0051061D" w:rsidRDefault="00FF5703" w:rsidP="006E28B9">
      <w:pPr>
        <w:pStyle w:val="PIHeading3"/>
      </w:pPr>
      <w:r w:rsidRPr="0051061D">
        <w:t>Gastrointestinal Perforations</w:t>
      </w:r>
    </w:p>
    <w:p w:rsidR="00FF5703" w:rsidRDefault="00FF5703" w:rsidP="00FF5703">
      <w:r w:rsidRPr="0051061D">
        <w:rPr>
          <w:szCs w:val="22"/>
        </w:rPr>
        <w:t xml:space="preserve">Events of gastrointestinal perforation have been reported in clinical trials in </w:t>
      </w:r>
      <w:r w:rsidR="00BA23CF">
        <w:rPr>
          <w:rFonts w:eastAsia="Arial Unicode MS"/>
          <w:bCs/>
          <w:color w:val="000000"/>
        </w:rPr>
        <w:t>RA</w:t>
      </w:r>
      <w:r w:rsidRPr="0051061D">
        <w:rPr>
          <w:rFonts w:eastAsia="Arial Unicode MS"/>
          <w:bCs/>
          <w:color w:val="000000"/>
        </w:rPr>
        <w:t xml:space="preserve"> patients,</w:t>
      </w:r>
      <w:r w:rsidRPr="0051061D">
        <w:rPr>
          <w:szCs w:val="22"/>
        </w:rPr>
        <w:t xml:space="preserve"> although </w:t>
      </w:r>
      <w:r w:rsidRPr="0051061D">
        <w:rPr>
          <w:rStyle w:val="Instructions"/>
        </w:rPr>
        <w:t>the role of JAK inhibition in these events is not known</w:t>
      </w:r>
      <w:r w:rsidRPr="0051061D">
        <w:rPr>
          <w:szCs w:val="22"/>
        </w:rPr>
        <w:t xml:space="preserve">.  Events were primarily reported as diverticular perforation, peritonitis, abdominal abscess and appendicitis.  </w:t>
      </w:r>
      <w:r w:rsidR="0025152C">
        <w:rPr>
          <w:szCs w:val="22"/>
        </w:rPr>
        <w:t xml:space="preserve">In the RA clinical trials, </w:t>
      </w:r>
      <w:r w:rsidR="0025152C">
        <w:t>t</w:t>
      </w:r>
      <w:r w:rsidRPr="0051061D">
        <w:t>he incidence rate of gastrointestinal perforation across all studies (</w:t>
      </w:r>
      <w:r>
        <w:t xml:space="preserve">phase 1, </w:t>
      </w:r>
      <w:r w:rsidRPr="0051061D">
        <w:t xml:space="preserve">phase 2, phase 3 and long-term extension) </w:t>
      </w:r>
      <w:r>
        <w:t>for all treatment groups all doses was 0.11</w:t>
      </w:r>
      <w:r w:rsidRPr="0051061D">
        <w:t xml:space="preserve"> events per 100 patient-years with XELJANZ therapy.  </w:t>
      </w:r>
      <w:r w:rsidR="0025152C">
        <w:t>RA</w:t>
      </w:r>
      <w:r w:rsidRPr="0051061D">
        <w:t xml:space="preserve"> patients who developed gastrointestinal perforations were taking concomitant nonsteroidal anti-inflammatory drugs (NSAIDs) and/or corticosteroids.  The relative contribution of these concomitant medications vs. XELJANZ to the development of gastrointestinal perforations is not known.</w:t>
      </w:r>
      <w:r w:rsidR="0025152C">
        <w:t xml:space="preserve">  </w:t>
      </w:r>
      <w:r w:rsidR="0025152C" w:rsidRPr="003C3F7E">
        <w:t xml:space="preserve">The incidence rate in the </w:t>
      </w:r>
      <w:proofErr w:type="spellStart"/>
      <w:r w:rsidR="00D1695A">
        <w:t>PsA</w:t>
      </w:r>
      <w:proofErr w:type="spellEnd"/>
      <w:r w:rsidR="0025152C" w:rsidRPr="003C3F7E">
        <w:t xml:space="preserve"> clinical trials (</w:t>
      </w:r>
      <w:r w:rsidR="0025152C">
        <w:t>P</w:t>
      </w:r>
      <w:r w:rsidR="0025152C" w:rsidRPr="003C3F7E">
        <w:t>hase 3 and long-term extension) was 0.</w:t>
      </w:r>
      <w:r w:rsidR="0025152C">
        <w:t>08</w:t>
      </w:r>
      <w:r w:rsidR="0025152C" w:rsidRPr="00D153DE">
        <w:t xml:space="preserve"> patients with events</w:t>
      </w:r>
      <w:r w:rsidR="0025152C" w:rsidRPr="003C3F7E">
        <w:t xml:space="preserve"> per 100 patient-years with XELJANZ therapy.</w:t>
      </w:r>
    </w:p>
    <w:p w:rsidR="00346729" w:rsidRPr="0051061D" w:rsidRDefault="00346729" w:rsidP="00FF5703">
      <w:pPr>
        <w:rPr>
          <w:szCs w:val="22"/>
        </w:rPr>
      </w:pPr>
      <w:r w:rsidRPr="004F73EA">
        <w:rPr>
          <w:rFonts w:eastAsia="TimesNewRoman"/>
        </w:rPr>
        <w:t xml:space="preserve">In placebo-controlled induction studies for </w:t>
      </w:r>
      <w:r>
        <w:rPr>
          <w:rFonts w:eastAsia="TimesNewRoman"/>
        </w:rPr>
        <w:t>UC</w:t>
      </w:r>
      <w:r w:rsidRPr="004F73EA">
        <w:rPr>
          <w:rFonts w:eastAsia="TimesNewRoman"/>
        </w:rPr>
        <w:t xml:space="preserve">, </w:t>
      </w:r>
      <w:r w:rsidRPr="004F73EA">
        <w:rPr>
          <w:szCs w:val="22"/>
        </w:rPr>
        <w:t>gastrointestinal perforation</w:t>
      </w:r>
      <w:r w:rsidRPr="004F73EA">
        <w:rPr>
          <w:rFonts w:eastAsia="TimesNewRoman"/>
        </w:rPr>
        <w:t xml:space="preserve"> occurred in 2 (0.2%) patients treated with XELJANZ</w:t>
      </w:r>
      <w:r w:rsidRPr="004F73EA">
        <w:t xml:space="preserve"> </w:t>
      </w:r>
      <w:r w:rsidRPr="004F73EA">
        <w:rPr>
          <w:rFonts w:eastAsia="TimesNewRoman"/>
        </w:rPr>
        <w:t>10 mg twice daily and in 2 (0.9%) patients receiving placebo</w:t>
      </w:r>
      <w:r w:rsidRPr="0015327F">
        <w:rPr>
          <w:rFonts w:eastAsia="TimesNewRoman"/>
          <w:szCs w:val="18"/>
        </w:rPr>
        <w:t>.</w:t>
      </w:r>
      <w:r w:rsidRPr="004F73EA">
        <w:rPr>
          <w:color w:val="0000FF"/>
        </w:rPr>
        <w:t xml:space="preserve"> </w:t>
      </w:r>
      <w:r w:rsidRPr="004F73EA">
        <w:rPr>
          <w:rFonts w:eastAsia="TimesNewRoman"/>
        </w:rPr>
        <w:t xml:space="preserve">In the Phase 3 maintenance study for </w:t>
      </w:r>
      <w:r>
        <w:rPr>
          <w:rFonts w:eastAsia="TimesNewRoman"/>
        </w:rPr>
        <w:t>UC</w:t>
      </w:r>
      <w:r w:rsidRPr="004F73EA">
        <w:rPr>
          <w:rFonts w:eastAsia="TimesNewRoman"/>
        </w:rPr>
        <w:t xml:space="preserve">, </w:t>
      </w:r>
      <w:r w:rsidRPr="004F73EA">
        <w:rPr>
          <w:szCs w:val="22"/>
        </w:rPr>
        <w:t>gastrointestinal perforation</w:t>
      </w:r>
      <w:r w:rsidRPr="004F73EA">
        <w:rPr>
          <w:rFonts w:eastAsia="TimesNewRoman"/>
        </w:rPr>
        <w:t xml:space="preserve"> was not </w:t>
      </w:r>
      <w:r w:rsidRPr="004F73EA">
        <w:rPr>
          <w:rFonts w:eastAsia="TimesNewRoman"/>
        </w:rPr>
        <w:lastRenderedPageBreak/>
        <w:t xml:space="preserve">reported in patients treated with </w:t>
      </w:r>
      <w:r w:rsidRPr="004F73EA">
        <w:t xml:space="preserve">XELJANZ and </w:t>
      </w:r>
      <w:r w:rsidRPr="004F73EA">
        <w:rPr>
          <w:rFonts w:eastAsia="TimesNewRoman"/>
        </w:rPr>
        <w:t>was reported in 1 patient treated with placebo.</w:t>
      </w:r>
    </w:p>
    <w:p w:rsidR="00FF5703" w:rsidRDefault="00FF5703" w:rsidP="00FF5703">
      <w:pPr>
        <w:rPr>
          <w:szCs w:val="22"/>
        </w:rPr>
      </w:pPr>
      <w:r w:rsidRPr="0051061D">
        <w:rPr>
          <w:szCs w:val="22"/>
        </w:rPr>
        <w:t>XELJANZ should be used with caution in patients who may be at increased risk for gastrointestinal perforation (</w:t>
      </w:r>
      <w:r w:rsidRPr="0051061D">
        <w:rPr>
          <w:rFonts w:eastAsia="Arial Unicode MS"/>
          <w:bCs/>
          <w:color w:val="000000"/>
        </w:rPr>
        <w:t>e.g., patients with a history of diverticulitis)</w:t>
      </w:r>
      <w:r w:rsidRPr="0051061D">
        <w:rPr>
          <w:szCs w:val="22"/>
        </w:rPr>
        <w:t>.  Patients presenting with new onset abdominal symptoms should be evaluated promptly for early identification of gastrointestinal perforation.</w:t>
      </w:r>
    </w:p>
    <w:p w:rsidR="009E2308" w:rsidRPr="009E2308" w:rsidRDefault="009E2308" w:rsidP="009E2308">
      <w:pPr>
        <w:pStyle w:val="PIHeading3"/>
      </w:pPr>
      <w:r w:rsidRPr="009E2308">
        <w:t>Hypersensitivity</w:t>
      </w:r>
    </w:p>
    <w:p w:rsidR="009E2308" w:rsidRPr="0051061D" w:rsidRDefault="009E2308" w:rsidP="009E2308">
      <w:pPr>
        <w:rPr>
          <w:szCs w:val="22"/>
        </w:rPr>
      </w:pPr>
      <w:r>
        <w:rPr>
          <w:szCs w:val="22"/>
        </w:rPr>
        <w:t>Reactions such as angioedema and urticaria that may reflect drug hypersensitivity have been observed in patients receiving XELJANZ.  Some events were serious.  Many of these events occurred in patients that have a history of multiple allergies.  If a serious hypersensitivity reaction occurs, promptly discontinue tofacitinib while evaluating the potential cause or causes of the reaction.</w:t>
      </w:r>
    </w:p>
    <w:p w:rsidR="00FF5703" w:rsidRPr="0051061D" w:rsidRDefault="00FF5703" w:rsidP="006E28B9">
      <w:pPr>
        <w:pStyle w:val="PIHeading3"/>
      </w:pPr>
      <w:r w:rsidRPr="0051061D">
        <w:t>Vaccinations</w:t>
      </w:r>
    </w:p>
    <w:p w:rsidR="00C16E53" w:rsidRPr="00C16E53" w:rsidRDefault="00FF5703" w:rsidP="00C16E53">
      <w:pPr>
        <w:pStyle w:val="PINormal"/>
        <w:rPr>
          <w:rFonts w:eastAsia="TimesNewRoman"/>
        </w:rPr>
      </w:pPr>
      <w:r w:rsidRPr="0051061D">
        <w:rPr>
          <w:rStyle w:val="Instructions"/>
        </w:rPr>
        <w:t xml:space="preserve">No data are available on the secondary transmission of infection by live vaccines to patients receiving XELJANZ.  Live vaccines should not be given concurrently with XELJANZ.  It is recommended that all patients be brought up to date with all immunisations in agreement with current immunisation guidelines prior to initiating XELJANZ </w:t>
      </w:r>
      <w:r w:rsidRPr="00C16E53">
        <w:rPr>
          <w:rStyle w:val="Instructions"/>
          <w:szCs w:val="24"/>
        </w:rPr>
        <w:t xml:space="preserve">therapy.  </w:t>
      </w:r>
      <w:r w:rsidR="00C16E53" w:rsidRPr="00C16E53">
        <w:rPr>
          <w:rFonts w:eastAsia="TimesNewRoman"/>
        </w:rPr>
        <w:t xml:space="preserve">The decision to use live vaccines prior to XELJANZ treatment should take into account the pre-existing immunosuppression in a given patient.  </w:t>
      </w:r>
    </w:p>
    <w:p w:rsidR="00FF5703" w:rsidRDefault="00C16E53" w:rsidP="00C16E53">
      <w:pPr>
        <w:pStyle w:val="PINormal"/>
        <w:rPr>
          <w:rStyle w:val="Instructions"/>
        </w:rPr>
      </w:pPr>
      <w:r w:rsidRPr="00C16E53">
        <w:rPr>
          <w:rFonts w:eastAsia="TimesNewRoman"/>
        </w:rPr>
        <w:t xml:space="preserve">Prophylactic zoster vaccination should be considered in accordance with vaccination guidelines. Particular consideration should be given to patients with longstanding RA who have previously received two or more biological DMARDs.  </w:t>
      </w:r>
      <w:r w:rsidR="00FF5703" w:rsidRPr="00C16E53">
        <w:rPr>
          <w:rStyle w:val="Instructions"/>
          <w:szCs w:val="24"/>
        </w:rPr>
        <w:t>The interval between live vaccinations and initiation</w:t>
      </w:r>
      <w:r w:rsidR="00FF5703" w:rsidRPr="000B005C">
        <w:rPr>
          <w:rStyle w:val="Instructions"/>
        </w:rPr>
        <w:t xml:space="preserve"> of </w:t>
      </w:r>
      <w:r w:rsidR="00FF5703">
        <w:rPr>
          <w:rStyle w:val="Instructions"/>
        </w:rPr>
        <w:t>XELJANZ</w:t>
      </w:r>
      <w:r w:rsidR="00FF5703" w:rsidRPr="000B005C">
        <w:rPr>
          <w:rStyle w:val="Instructions"/>
        </w:rPr>
        <w:t xml:space="preserve"> therapy should be in accordance with current vaccination guidelines regarding </w:t>
      </w:r>
      <w:r w:rsidR="00FF5703">
        <w:rPr>
          <w:rStyle w:val="Instructions"/>
        </w:rPr>
        <w:t>immunomodulatory</w:t>
      </w:r>
      <w:r w:rsidR="00FF5703" w:rsidRPr="000B005C">
        <w:rPr>
          <w:rStyle w:val="Instructions"/>
        </w:rPr>
        <w:t xml:space="preserve"> agents.</w:t>
      </w:r>
    </w:p>
    <w:p w:rsidR="00FF5703" w:rsidRPr="0051061D" w:rsidRDefault="00FF5703" w:rsidP="00FF5703">
      <w:r w:rsidRPr="0051061D">
        <w:t xml:space="preserve">In a controlled clinical trial, the humoral response to concurrent vaccination with influenza and pneumococcal polysaccharide vaccines in patients with </w:t>
      </w:r>
      <w:r w:rsidR="00BA23CF">
        <w:t>RA</w:t>
      </w:r>
      <w:r w:rsidRPr="0051061D">
        <w:t xml:space="preserve"> initiating tofacitinib 10 mg twice daily or placebo was evaluated.  A similar percentage of patients achieved a satisfactory humoral response to influenza vaccine (≥4</w:t>
      </w:r>
      <w:r w:rsidRPr="0051061D">
        <w:noBreakHyphen/>
        <w:t>fold increase in ≥2 of 3 antigens) in the tofacitinib (57%) and placebo (62%) treatment groups.  A modest reduction in the percentage of patients who achieved a satisfactory humoral response to pneumococcal polysaccharide vaccine (≥2</w:t>
      </w:r>
      <w:r w:rsidRPr="0051061D">
        <w:noBreakHyphen/>
        <w:t xml:space="preserve">fold increase in ≥6 of 12 serotypes) was observed in patients treated with tofacitinib monotherapy (62%) and MTX monotherapy (62%) as compared with placebo (77%), with a greater reduction in the response rate of patients receiving both tofacitinib and </w:t>
      </w:r>
      <w:r w:rsidR="00317C7B">
        <w:t>MTX</w:t>
      </w:r>
      <w:r w:rsidRPr="0051061D">
        <w:t xml:space="preserve"> (32%).  The clinical significance of this is unknown.</w:t>
      </w:r>
    </w:p>
    <w:p w:rsidR="00FF5703" w:rsidRDefault="00FF5703" w:rsidP="00FF5703">
      <w:r w:rsidRPr="0051061D">
        <w:t>A separate vaccine study evaluated the humoral response to concurrent vaccination with influenza and pneumococcal polysaccharide vaccines in patients receiving tofacitinib 10 mg twice daily for a median of approximately 22 months.  Greater than 60% of patients treated with tofacitinib (with or without MTX) had satisfactory responses to influenza and pneumococcal vaccines.  Consistent with the controlled trial, patients receiving both tofacitinib and MTX had a lower response rate to pneumococcal polysaccharide vaccine as compared with tofacitinib monotherapy (66% vs. 89%).</w:t>
      </w:r>
    </w:p>
    <w:p w:rsidR="00FF5703" w:rsidRDefault="00FF5703" w:rsidP="00FF5703">
      <w:pPr>
        <w:rPr>
          <w:szCs w:val="22"/>
        </w:rPr>
      </w:pPr>
      <w:r w:rsidRPr="00834FED">
        <w:rPr>
          <w:szCs w:val="22"/>
        </w:rPr>
        <w:lastRenderedPageBreak/>
        <w:t xml:space="preserve">A controlled study in patients with </w:t>
      </w:r>
      <w:r w:rsidR="00BA23CF">
        <w:rPr>
          <w:szCs w:val="22"/>
        </w:rPr>
        <w:t>RA</w:t>
      </w:r>
      <w:r w:rsidRPr="00834FED">
        <w:rPr>
          <w:szCs w:val="22"/>
        </w:rPr>
        <w:t xml:space="preserve"> on background MTX evaluated the humoral and cell mediated responses to immunisation with a live attenuated virus vaccine indicated for prevention of herpes zoster. </w:t>
      </w:r>
      <w:r>
        <w:rPr>
          <w:szCs w:val="22"/>
        </w:rPr>
        <w:t xml:space="preserve"> </w:t>
      </w:r>
      <w:r w:rsidRPr="00834FED">
        <w:rPr>
          <w:szCs w:val="22"/>
        </w:rPr>
        <w:t xml:space="preserve">The immunisation occurred 2 to 3 weeks before initiating a 12-week treatment with tofacitinib 5 mg twice daily or placebo. </w:t>
      </w:r>
      <w:r>
        <w:rPr>
          <w:szCs w:val="22"/>
        </w:rPr>
        <w:t xml:space="preserve"> </w:t>
      </w:r>
      <w:r w:rsidRPr="00834FED">
        <w:rPr>
          <w:szCs w:val="22"/>
        </w:rPr>
        <w:t>Six weeks after immunisation with the zoster vaccine, tofacitinib and placebo recipients exhibited similar humoral and cell mediated responses (mean fold change of varicella zoster virus [VZV] Immunoglobulin G [IgG] antibodies 2.11 in tofacitinib 5 mg twice daily and 1.74 in placebo twice daily; VZV IgG fold-rise ≥ 1.5 in 57% of tofacitinib recipients and in 43% of placebo recipients; mean fold change of VZV T</w:t>
      </w:r>
      <w:r w:rsidRPr="00834FED">
        <w:rPr>
          <w:szCs w:val="22"/>
        </w:rPr>
        <w:noBreakHyphen/>
        <w:t xml:space="preserve">cell ELISPOT Spot Forming Cells 1.5 in tofacitinib 5 mg twice daily and 1.29 in placebo twice daily). </w:t>
      </w:r>
      <w:r>
        <w:rPr>
          <w:szCs w:val="22"/>
        </w:rPr>
        <w:t xml:space="preserve"> </w:t>
      </w:r>
      <w:r w:rsidRPr="00834FED">
        <w:rPr>
          <w:szCs w:val="22"/>
        </w:rPr>
        <w:t xml:space="preserve">These responses were similar to those observed in healthy volunteers aged 50 years and older. </w:t>
      </w:r>
      <w:r>
        <w:rPr>
          <w:szCs w:val="22"/>
        </w:rPr>
        <w:t xml:space="preserve"> </w:t>
      </w:r>
    </w:p>
    <w:p w:rsidR="00FF5703" w:rsidRDefault="00FF5703" w:rsidP="00FF5703">
      <w:pPr>
        <w:rPr>
          <w:szCs w:val="22"/>
        </w:rPr>
      </w:pPr>
      <w:r w:rsidRPr="00834FED">
        <w:rPr>
          <w:szCs w:val="22"/>
        </w:rPr>
        <w:t>In this study, one patient experienced dissemination of the vaccine strain of VZV, 16 days after vaccination</w:t>
      </w:r>
      <w:r>
        <w:rPr>
          <w:szCs w:val="22"/>
        </w:rPr>
        <w:t xml:space="preserve"> and 2 days after initiation of tofacitinib</w:t>
      </w:r>
      <w:r w:rsidRPr="00834FED">
        <w:rPr>
          <w:szCs w:val="22"/>
        </w:rPr>
        <w:t>.</w:t>
      </w:r>
      <w:r>
        <w:rPr>
          <w:szCs w:val="22"/>
        </w:rPr>
        <w:t xml:space="preserve"> </w:t>
      </w:r>
      <w:r w:rsidRPr="00834FED">
        <w:rPr>
          <w:szCs w:val="22"/>
        </w:rPr>
        <w:t xml:space="preserve"> The patient was varicella virus naïve, as evidenced by no previous history of varicella infection and no anti-varicella antibodies at baseline.</w:t>
      </w:r>
      <w:r>
        <w:rPr>
          <w:szCs w:val="22"/>
        </w:rPr>
        <w:t xml:space="preserve"> </w:t>
      </w:r>
      <w:r w:rsidRPr="00834FED">
        <w:rPr>
          <w:szCs w:val="22"/>
        </w:rPr>
        <w:t xml:space="preserve"> Tofacitinib was discontinued and the subject recovered after treatment with standard doses of antiviral medication. </w:t>
      </w:r>
      <w:r>
        <w:rPr>
          <w:szCs w:val="22"/>
        </w:rPr>
        <w:t xml:space="preserve"> </w:t>
      </w:r>
      <w:r w:rsidRPr="00834FED">
        <w:rPr>
          <w:szCs w:val="22"/>
        </w:rPr>
        <w:t>Subsequent testing showed that this patient made robust anti-varicella T</w:t>
      </w:r>
      <w:r w:rsidRPr="00834FED">
        <w:rPr>
          <w:szCs w:val="22"/>
        </w:rPr>
        <w:noBreakHyphen/>
        <w:t>cell and antibody responses to the vaccine approximately 6 weeks post-vaccination, but not at 2 weeks post-vaccination, as expected for a primary infection.</w:t>
      </w:r>
    </w:p>
    <w:p w:rsidR="00FF5703" w:rsidRPr="00834FED" w:rsidRDefault="00FF5703" w:rsidP="00FF5703">
      <w:pPr>
        <w:rPr>
          <w:szCs w:val="22"/>
        </w:rPr>
      </w:pPr>
      <w:r>
        <w:rPr>
          <w:szCs w:val="22"/>
        </w:rPr>
        <w:t>Retention of immunis</w:t>
      </w:r>
      <w:r w:rsidRPr="007C7B6B">
        <w:rPr>
          <w:szCs w:val="22"/>
        </w:rPr>
        <w:t>ation protection with tofacitinib has not been evaluated</w:t>
      </w:r>
      <w:r>
        <w:rPr>
          <w:szCs w:val="22"/>
        </w:rPr>
        <w:t>.</w:t>
      </w:r>
    </w:p>
    <w:p w:rsidR="00FF5703" w:rsidRPr="0051061D" w:rsidRDefault="00FF5703" w:rsidP="006E28B9">
      <w:pPr>
        <w:pStyle w:val="PIHeading3"/>
      </w:pPr>
      <w:r w:rsidRPr="0051061D">
        <w:t>Interstitial Lung Disease</w:t>
      </w:r>
    </w:p>
    <w:p w:rsidR="00FF5703" w:rsidRPr="0051061D" w:rsidRDefault="00FF5703" w:rsidP="00FF5703">
      <w:pPr>
        <w:rPr>
          <w:szCs w:val="22"/>
        </w:rPr>
      </w:pPr>
      <w:r w:rsidRPr="0051061D">
        <w:rPr>
          <w:szCs w:val="22"/>
        </w:rPr>
        <w:t>Events of interstitial lung disease (ILD)</w:t>
      </w:r>
      <w:r>
        <w:rPr>
          <w:szCs w:val="22"/>
        </w:rPr>
        <w:t>, some of which had a fatal outcome,</w:t>
      </w:r>
      <w:r w:rsidRPr="0051061D">
        <w:rPr>
          <w:szCs w:val="22"/>
        </w:rPr>
        <w:t xml:space="preserve"> have been reported in clinical trials with XELJANZ in </w:t>
      </w:r>
      <w:r w:rsidR="00BA23CF">
        <w:rPr>
          <w:szCs w:val="22"/>
        </w:rPr>
        <w:t>RA</w:t>
      </w:r>
      <w:r w:rsidRPr="0051061D">
        <w:rPr>
          <w:szCs w:val="22"/>
        </w:rPr>
        <w:t xml:space="preserve"> patients, </w:t>
      </w:r>
      <w:r>
        <w:rPr>
          <w:szCs w:val="22"/>
        </w:rPr>
        <w:t xml:space="preserve">and in the post-marketing setting, </w:t>
      </w:r>
      <w:r w:rsidRPr="0051061D">
        <w:rPr>
          <w:szCs w:val="22"/>
        </w:rPr>
        <w:t xml:space="preserve">although the role of JAK inhibition in these events is not known.  All patients who developed ILD </w:t>
      </w:r>
      <w:r>
        <w:rPr>
          <w:szCs w:val="22"/>
        </w:rPr>
        <w:t xml:space="preserve">in clinical trials </w:t>
      </w:r>
      <w:r w:rsidRPr="0051061D">
        <w:rPr>
          <w:szCs w:val="22"/>
        </w:rPr>
        <w:t xml:space="preserve">were taking concomitant </w:t>
      </w:r>
      <w:r w:rsidR="00317C7B">
        <w:rPr>
          <w:szCs w:val="22"/>
        </w:rPr>
        <w:t>MTX</w:t>
      </w:r>
      <w:r w:rsidRPr="0051061D">
        <w:rPr>
          <w:szCs w:val="22"/>
        </w:rPr>
        <w:t xml:space="preserve">, corticosteroids and/or sulfasalazine, which have been associated with ILD.  Asian patients had an increased risk of ILD (see </w:t>
      </w:r>
      <w:r w:rsidR="00284A99">
        <w:rPr>
          <w:szCs w:val="22"/>
        </w:rPr>
        <w:t>Section 4.4</w:t>
      </w:r>
      <w:r w:rsidR="00E57F12">
        <w:rPr>
          <w:szCs w:val="22"/>
        </w:rPr>
        <w:t xml:space="preserve"> </w:t>
      </w:r>
      <w:r w:rsidR="00E57F12">
        <w:t xml:space="preserve">Special Warnings and Precautions </w:t>
      </w:r>
      <w:proofErr w:type="gramStart"/>
      <w:r w:rsidR="00E57F12">
        <w:t>For</w:t>
      </w:r>
      <w:proofErr w:type="gramEnd"/>
      <w:r w:rsidR="00E57F12">
        <w:t xml:space="preserve"> Use</w:t>
      </w:r>
      <w:r w:rsidRPr="0051061D">
        <w:rPr>
          <w:szCs w:val="22"/>
        </w:rPr>
        <w:t>, Asian Patients).</w:t>
      </w:r>
    </w:p>
    <w:p w:rsidR="00FF5703" w:rsidRPr="0051061D" w:rsidRDefault="00FF5703" w:rsidP="00FF5703">
      <w:pPr>
        <w:rPr>
          <w:rStyle w:val="Instructions"/>
        </w:rPr>
      </w:pPr>
      <w:r w:rsidRPr="0051061D">
        <w:rPr>
          <w:szCs w:val="22"/>
        </w:rPr>
        <w:t>XELJANZ should be used with caution in patients with a risk or history of ILD.</w:t>
      </w:r>
    </w:p>
    <w:p w:rsidR="00FF5703" w:rsidRPr="0051061D" w:rsidRDefault="00FF5703" w:rsidP="00572DEB">
      <w:pPr>
        <w:pStyle w:val="PIHeading3"/>
        <w:keepNext w:val="0"/>
      </w:pPr>
      <w:r w:rsidRPr="0051061D">
        <w:t>Asian Patients</w:t>
      </w:r>
    </w:p>
    <w:p w:rsidR="003A4144" w:rsidRDefault="00FF5703" w:rsidP="00572DEB">
      <w:r w:rsidRPr="0051061D">
        <w:t>Asian patients had higher rates of herpes zoster, opportunistic infections, interstitial lung disease, elevated transaminases (</w:t>
      </w:r>
      <w:r w:rsidR="00B01D48" w:rsidRPr="004B1915">
        <w:t>alanine aminotransferase</w:t>
      </w:r>
      <w:r w:rsidR="00B01D48">
        <w:t xml:space="preserve"> (</w:t>
      </w:r>
      <w:r w:rsidRPr="0051061D">
        <w:t>ALT</w:t>
      </w:r>
      <w:r w:rsidR="00B01D48">
        <w:t>)</w:t>
      </w:r>
      <w:r w:rsidRPr="0051061D">
        <w:t xml:space="preserve">, </w:t>
      </w:r>
      <w:r w:rsidR="00B01D48" w:rsidRPr="004B1915">
        <w:t>aspartate aminotransferase</w:t>
      </w:r>
      <w:r w:rsidR="00B01D48" w:rsidRPr="0051061D">
        <w:t xml:space="preserve"> </w:t>
      </w:r>
      <w:r w:rsidR="00B01D48">
        <w:t>(</w:t>
      </w:r>
      <w:r w:rsidRPr="0051061D">
        <w:t>AST</w:t>
      </w:r>
      <w:r w:rsidR="00B01D48">
        <w:t>)</w:t>
      </w:r>
      <w:r w:rsidRPr="0051061D">
        <w:t xml:space="preserve">) and decreased white blood cell counts (WBCs).  Therefore, XELJANZ should be used </w:t>
      </w:r>
      <w:r w:rsidR="0097291D">
        <w:t>with caution in Asian patients.</w:t>
      </w:r>
    </w:p>
    <w:p w:rsidR="003A4144" w:rsidRPr="0042478B" w:rsidRDefault="003A4144" w:rsidP="006E28B9">
      <w:pPr>
        <w:pStyle w:val="PIHeading3"/>
      </w:pPr>
      <w:r w:rsidRPr="0042478B">
        <w:t>Use in hepatic impairment</w:t>
      </w:r>
    </w:p>
    <w:p w:rsidR="003A4144" w:rsidRPr="0097291D" w:rsidRDefault="0097291D" w:rsidP="003A4144">
      <w:pPr>
        <w:rPr>
          <w:szCs w:val="22"/>
          <w:lang w:val="en-GB"/>
        </w:rPr>
      </w:pPr>
      <w:r w:rsidRPr="0051061D">
        <w:rPr>
          <w:szCs w:val="22"/>
          <w:lang w:val="en-GB"/>
        </w:rPr>
        <w:t xml:space="preserve">Subjects with moderate hepatic impairment had 65% higher AUC compared with healthy subjects (see </w:t>
      </w:r>
      <w:r w:rsidR="00AA431A">
        <w:rPr>
          <w:szCs w:val="22"/>
          <w:lang w:val="en-GB"/>
        </w:rPr>
        <w:t>Section 5.2</w:t>
      </w:r>
      <w:r w:rsidR="00BC2E8E">
        <w:rPr>
          <w:szCs w:val="22"/>
          <w:lang w:val="en-GB"/>
        </w:rPr>
        <w:t xml:space="preserve"> </w:t>
      </w:r>
      <w:r w:rsidR="00BC2E8E">
        <w:t>Pharmacokinetic Properties</w:t>
      </w:r>
      <w:r w:rsidRPr="0051061D">
        <w:rPr>
          <w:szCs w:val="22"/>
          <w:lang w:val="en-GB"/>
        </w:rPr>
        <w:t xml:space="preserve">).  </w:t>
      </w:r>
      <w:r w:rsidRPr="0051061D">
        <w:rPr>
          <w:rFonts w:hint="eastAsia"/>
          <w:szCs w:val="22"/>
          <w:lang w:val="en-GB"/>
        </w:rPr>
        <w:t xml:space="preserve">XELJANZ </w:t>
      </w:r>
      <w:r w:rsidRPr="0051061D">
        <w:rPr>
          <w:szCs w:val="22"/>
        </w:rPr>
        <w:t xml:space="preserve">has not been studied </w:t>
      </w:r>
      <w:r w:rsidRPr="0051061D">
        <w:rPr>
          <w:rFonts w:hint="eastAsia"/>
          <w:szCs w:val="22"/>
          <w:lang w:val="en-GB"/>
        </w:rPr>
        <w:t xml:space="preserve">in patients with severe hepatic impairment, or in patients with positive </w:t>
      </w:r>
      <w:r w:rsidRPr="0051061D">
        <w:rPr>
          <w:szCs w:val="22"/>
          <w:lang w:val="en-GB"/>
        </w:rPr>
        <w:t>hepatitis B virus</w:t>
      </w:r>
      <w:r w:rsidRPr="0051061D">
        <w:rPr>
          <w:rFonts w:hint="eastAsia"/>
          <w:szCs w:val="22"/>
          <w:lang w:val="en-GB"/>
        </w:rPr>
        <w:t xml:space="preserve"> </w:t>
      </w:r>
      <w:r w:rsidRPr="0051061D">
        <w:rPr>
          <w:szCs w:val="22"/>
          <w:lang w:val="en-GB"/>
        </w:rPr>
        <w:t>or</w:t>
      </w:r>
      <w:r w:rsidRPr="0051061D">
        <w:rPr>
          <w:rFonts w:hint="eastAsia"/>
          <w:szCs w:val="22"/>
          <w:lang w:val="en-GB"/>
        </w:rPr>
        <w:t xml:space="preserve"> </w:t>
      </w:r>
      <w:r w:rsidRPr="0051061D">
        <w:rPr>
          <w:szCs w:val="22"/>
          <w:lang w:val="en-GB"/>
        </w:rPr>
        <w:t xml:space="preserve">hepatitis </w:t>
      </w:r>
      <w:r w:rsidRPr="0051061D">
        <w:rPr>
          <w:rFonts w:hint="eastAsia"/>
          <w:szCs w:val="22"/>
          <w:lang w:val="en-GB"/>
        </w:rPr>
        <w:t>C</w:t>
      </w:r>
      <w:r w:rsidRPr="0051061D">
        <w:rPr>
          <w:szCs w:val="22"/>
          <w:lang w:val="en-GB"/>
        </w:rPr>
        <w:t xml:space="preserve"> virus</w:t>
      </w:r>
      <w:r w:rsidRPr="0051061D">
        <w:rPr>
          <w:rFonts w:hint="eastAsia"/>
          <w:szCs w:val="22"/>
          <w:lang w:val="en-GB"/>
        </w:rPr>
        <w:t xml:space="preserve"> serology.</w:t>
      </w:r>
      <w:r w:rsidRPr="0051061D">
        <w:rPr>
          <w:szCs w:val="22"/>
          <w:lang w:val="en-GB"/>
        </w:rPr>
        <w:t xml:space="preserve">  </w:t>
      </w:r>
      <w:r w:rsidRPr="0051061D">
        <w:rPr>
          <w:rFonts w:hint="eastAsia"/>
          <w:szCs w:val="22"/>
          <w:lang w:val="en-GB"/>
        </w:rPr>
        <w:t xml:space="preserve">No dose adjustment is required in patients with mild hepatic impairment. </w:t>
      </w:r>
      <w:r w:rsidRPr="0051061D">
        <w:rPr>
          <w:szCs w:val="22"/>
          <w:lang w:val="en-GB"/>
        </w:rPr>
        <w:t xml:space="preserve"> </w:t>
      </w:r>
      <w:r w:rsidR="00346729">
        <w:rPr>
          <w:szCs w:val="22"/>
          <w:lang w:val="en-GB"/>
        </w:rPr>
        <w:t xml:space="preserve">In </w:t>
      </w:r>
      <w:r w:rsidRPr="0051061D">
        <w:rPr>
          <w:rFonts w:hint="eastAsia"/>
          <w:szCs w:val="22"/>
          <w:lang w:val="en-GB"/>
        </w:rPr>
        <w:t>patients with moderate hepatic impairment</w:t>
      </w:r>
      <w:r w:rsidR="00346729">
        <w:rPr>
          <w:szCs w:val="22"/>
          <w:lang w:val="en-GB"/>
        </w:rPr>
        <w:t>, the recommended dose is half the total daily dose indicated for patients with normal hepatic function</w:t>
      </w:r>
      <w:r w:rsidRPr="0051061D">
        <w:rPr>
          <w:szCs w:val="22"/>
          <w:lang w:val="en-GB"/>
        </w:rPr>
        <w:t xml:space="preserve"> </w:t>
      </w:r>
      <w:r w:rsidRPr="0051061D">
        <w:rPr>
          <w:rStyle w:val="Instructions"/>
        </w:rPr>
        <w:t xml:space="preserve">(see </w:t>
      </w:r>
      <w:r w:rsidR="00AA431A">
        <w:rPr>
          <w:rStyle w:val="Instructions"/>
        </w:rPr>
        <w:t>Section 4.2</w:t>
      </w:r>
      <w:r w:rsidR="00AE4BA3">
        <w:rPr>
          <w:rStyle w:val="Instructions"/>
        </w:rPr>
        <w:t xml:space="preserve"> </w:t>
      </w:r>
      <w:r w:rsidR="00AE4BA3">
        <w:t xml:space="preserve">Dose and </w:t>
      </w:r>
      <w:r w:rsidR="00AE4BA3">
        <w:lastRenderedPageBreak/>
        <w:t>Method of Administration</w:t>
      </w:r>
      <w:r w:rsidRPr="0051061D">
        <w:rPr>
          <w:rStyle w:val="Instructions"/>
        </w:rPr>
        <w:t>)</w:t>
      </w:r>
      <w:r w:rsidRPr="0051061D">
        <w:rPr>
          <w:rFonts w:hint="eastAsia"/>
          <w:szCs w:val="22"/>
          <w:lang w:val="en-GB"/>
        </w:rPr>
        <w:t xml:space="preserve">. </w:t>
      </w:r>
      <w:r w:rsidRPr="0051061D">
        <w:rPr>
          <w:szCs w:val="22"/>
          <w:lang w:val="en-GB"/>
        </w:rPr>
        <w:t xml:space="preserve"> </w:t>
      </w:r>
      <w:r w:rsidRPr="0051061D">
        <w:rPr>
          <w:rFonts w:hint="eastAsia"/>
          <w:szCs w:val="22"/>
          <w:lang w:val="en-GB"/>
        </w:rPr>
        <w:t>XELJANZ</w:t>
      </w:r>
      <w:r w:rsidRPr="0051061D">
        <w:rPr>
          <w:szCs w:val="22"/>
          <w:lang w:val="en-GB"/>
        </w:rPr>
        <w:t xml:space="preserve"> should not be used</w:t>
      </w:r>
      <w:r w:rsidRPr="0051061D">
        <w:rPr>
          <w:rFonts w:hint="eastAsia"/>
          <w:szCs w:val="22"/>
          <w:lang w:val="en-GB"/>
        </w:rPr>
        <w:t xml:space="preserve"> in patients with severe hepatic </w:t>
      </w:r>
      <w:r w:rsidRPr="0051061D">
        <w:rPr>
          <w:szCs w:val="22"/>
          <w:lang w:val="en-GB"/>
        </w:rPr>
        <w:t xml:space="preserve">impairment (see </w:t>
      </w:r>
      <w:r w:rsidR="00AA431A">
        <w:rPr>
          <w:szCs w:val="22"/>
          <w:lang w:val="en-GB"/>
        </w:rPr>
        <w:t>Section 4.3</w:t>
      </w:r>
      <w:r w:rsidR="00BC2E8E">
        <w:rPr>
          <w:szCs w:val="22"/>
          <w:lang w:val="en-GB"/>
        </w:rPr>
        <w:t xml:space="preserve"> Contraindications</w:t>
      </w:r>
      <w:r w:rsidRPr="0051061D">
        <w:rPr>
          <w:szCs w:val="22"/>
          <w:lang w:val="en-GB"/>
        </w:rPr>
        <w:t>).</w:t>
      </w:r>
    </w:p>
    <w:p w:rsidR="003A4144" w:rsidRPr="0042478B" w:rsidRDefault="003A4144" w:rsidP="006E28B9">
      <w:pPr>
        <w:pStyle w:val="PIHeading3"/>
      </w:pPr>
      <w:r w:rsidRPr="0042478B">
        <w:t>Use in renal impairment</w:t>
      </w:r>
    </w:p>
    <w:p w:rsidR="0097291D" w:rsidRPr="0051061D" w:rsidRDefault="00292858" w:rsidP="0097291D">
      <w:pPr>
        <w:keepNext/>
        <w:rPr>
          <w:rStyle w:val="Instructions"/>
        </w:rPr>
      </w:pPr>
      <w:r w:rsidRPr="00FF0832">
        <w:rPr>
          <w:szCs w:val="22"/>
        </w:rPr>
        <w:t xml:space="preserve">No dose adjustment is required in patients with estimated GFR more than 50 mL/min. </w:t>
      </w:r>
      <w:r>
        <w:rPr>
          <w:szCs w:val="22"/>
        </w:rPr>
        <w:t xml:space="preserve"> </w:t>
      </w:r>
      <w:r w:rsidR="00283A10">
        <w:rPr>
          <w:szCs w:val="22"/>
        </w:rPr>
        <w:t>I</w:t>
      </w:r>
      <w:r w:rsidRPr="00FF0832">
        <w:rPr>
          <w:szCs w:val="22"/>
        </w:rPr>
        <w:t>n patients with es</w:t>
      </w:r>
      <w:r>
        <w:rPr>
          <w:szCs w:val="22"/>
        </w:rPr>
        <w:t>timated GFR less than</w:t>
      </w:r>
      <w:r w:rsidR="006869E7">
        <w:rPr>
          <w:szCs w:val="22"/>
        </w:rPr>
        <w:t xml:space="preserve"> or equal to</w:t>
      </w:r>
      <w:r>
        <w:rPr>
          <w:szCs w:val="22"/>
        </w:rPr>
        <w:t xml:space="preserve"> 50 mL/min</w:t>
      </w:r>
      <w:r w:rsidRPr="00FF0832">
        <w:rPr>
          <w:szCs w:val="22"/>
        </w:rPr>
        <w:t xml:space="preserve"> (including but not limited to those with severe renal impairment who are undergoing haemodialysis)</w:t>
      </w:r>
      <w:r w:rsidR="00283A10">
        <w:rPr>
          <w:szCs w:val="22"/>
        </w:rPr>
        <w:t>, the recommended dose is half the total daily dose indicated for patients with normal renal function</w:t>
      </w:r>
      <w:r>
        <w:rPr>
          <w:szCs w:val="22"/>
        </w:rPr>
        <w:t xml:space="preserve"> </w:t>
      </w:r>
      <w:r w:rsidRPr="0051061D">
        <w:rPr>
          <w:rStyle w:val="Instructions"/>
        </w:rPr>
        <w:t xml:space="preserve">(see </w:t>
      </w:r>
      <w:r>
        <w:rPr>
          <w:rStyle w:val="Instructions"/>
        </w:rPr>
        <w:t xml:space="preserve">Section 4.2 </w:t>
      </w:r>
      <w:r>
        <w:t>Dose and Method of Administration</w:t>
      </w:r>
      <w:r w:rsidRPr="0051061D">
        <w:rPr>
          <w:rStyle w:val="Instructions"/>
        </w:rPr>
        <w:t xml:space="preserve"> and </w:t>
      </w:r>
      <w:r>
        <w:rPr>
          <w:szCs w:val="22"/>
        </w:rPr>
        <w:t xml:space="preserve">Section 5.2 </w:t>
      </w:r>
      <w:r>
        <w:t>Pharmacokinetic Properties).</w:t>
      </w:r>
    </w:p>
    <w:p w:rsidR="00DA63E8" w:rsidRPr="0097291D" w:rsidRDefault="0097291D" w:rsidP="0097291D">
      <w:pPr>
        <w:keepNext/>
        <w:rPr>
          <w:iCs/>
        </w:rPr>
      </w:pPr>
      <w:r w:rsidRPr="0051061D">
        <w:rPr>
          <w:rStyle w:val="Instructions"/>
          <w:rFonts w:hint="eastAsia"/>
        </w:rPr>
        <w:t>In clinical trials, XELJANZ was not evaluated in</w:t>
      </w:r>
      <w:r w:rsidRPr="0051061D">
        <w:rPr>
          <w:rStyle w:val="Instructions"/>
        </w:rPr>
        <w:t xml:space="preserve"> </w:t>
      </w:r>
      <w:r w:rsidRPr="0051061D">
        <w:rPr>
          <w:rStyle w:val="Instructions"/>
          <w:rFonts w:hint="eastAsia"/>
        </w:rPr>
        <w:t xml:space="preserve">patients with baseline creatinine clearance values (estimated by </w:t>
      </w:r>
      <w:proofErr w:type="spellStart"/>
      <w:r w:rsidRPr="0051061D">
        <w:rPr>
          <w:rStyle w:val="Instructions"/>
          <w:rFonts w:hint="eastAsia"/>
        </w:rPr>
        <w:t>Cockroft</w:t>
      </w:r>
      <w:proofErr w:type="spellEnd"/>
      <w:r w:rsidRPr="0051061D">
        <w:rPr>
          <w:rStyle w:val="Instructions"/>
          <w:rFonts w:hint="eastAsia"/>
        </w:rPr>
        <w:t xml:space="preserve">-Gault equation) </w:t>
      </w:r>
      <w:r w:rsidRPr="0051061D">
        <w:rPr>
          <w:rStyle w:val="Instructions"/>
        </w:rPr>
        <w:t>&lt;</w:t>
      </w:r>
      <w:r w:rsidRPr="0051061D">
        <w:rPr>
          <w:rStyle w:val="Instructions"/>
          <w:rFonts w:hint="eastAsia"/>
        </w:rPr>
        <w:t>40</w:t>
      </w:r>
      <w:r w:rsidRPr="0051061D">
        <w:rPr>
          <w:rStyle w:val="Instructions"/>
        </w:rPr>
        <w:t> </w:t>
      </w:r>
      <w:r w:rsidRPr="0051061D">
        <w:rPr>
          <w:rStyle w:val="Instructions"/>
          <w:rFonts w:hint="eastAsia"/>
        </w:rPr>
        <w:t>mL/min.</w:t>
      </w:r>
    </w:p>
    <w:p w:rsidR="003A4144" w:rsidRPr="0042478B" w:rsidRDefault="003A4144" w:rsidP="006E28B9">
      <w:pPr>
        <w:pStyle w:val="PIHeading3"/>
      </w:pPr>
      <w:r w:rsidRPr="0042478B">
        <w:t>Use in the elderly</w:t>
      </w:r>
    </w:p>
    <w:p w:rsidR="003A4144" w:rsidRDefault="0097291D" w:rsidP="0097291D">
      <w:pPr>
        <w:pStyle w:val="PINormal"/>
      </w:pPr>
      <w:r w:rsidRPr="0051061D">
        <w:rPr>
          <w:rStyle w:val="Instructions"/>
        </w:rPr>
        <w:t xml:space="preserve">As there is a higher incidence of infections in the elderly population in general, caution should be used when treating the elderly (see </w:t>
      </w:r>
      <w:r w:rsidR="00AA431A">
        <w:rPr>
          <w:rStyle w:val="Instructions"/>
        </w:rPr>
        <w:t>Section 4.8</w:t>
      </w:r>
      <w:r w:rsidR="00BC2E8E">
        <w:rPr>
          <w:rStyle w:val="Instructions"/>
        </w:rPr>
        <w:t xml:space="preserve"> </w:t>
      </w:r>
      <w:r w:rsidR="00BC2E8E">
        <w:t>Adverse Effects (Undesirable Effects)</w:t>
      </w:r>
      <w:r w:rsidRPr="0051061D">
        <w:rPr>
          <w:rStyle w:val="Instructions"/>
        </w:rPr>
        <w:t>)</w:t>
      </w:r>
      <w:r>
        <w:rPr>
          <w:rStyle w:val="Instructions"/>
        </w:rPr>
        <w:t>.</w:t>
      </w:r>
    </w:p>
    <w:p w:rsidR="003A4144" w:rsidRPr="0042478B" w:rsidRDefault="003A4144" w:rsidP="006E28B9">
      <w:pPr>
        <w:pStyle w:val="PIHeading3"/>
      </w:pPr>
      <w:r w:rsidRPr="0042478B">
        <w:t>Paediatric use</w:t>
      </w:r>
    </w:p>
    <w:p w:rsidR="003A4144" w:rsidRDefault="0097291D" w:rsidP="0097291D">
      <w:pPr>
        <w:pStyle w:val="PINormal"/>
      </w:pPr>
      <w:r w:rsidRPr="0051061D">
        <w:rPr>
          <w:szCs w:val="22"/>
        </w:rPr>
        <w:t>The safety and efficacy of XELJANZ in children aged from neonates to &lt;18 years of age has not yet been established.</w:t>
      </w:r>
    </w:p>
    <w:p w:rsidR="003A4144" w:rsidRPr="0042478B" w:rsidRDefault="003A4144" w:rsidP="006E28B9">
      <w:pPr>
        <w:pStyle w:val="PIHeading3"/>
      </w:pPr>
      <w:r w:rsidRPr="0042478B">
        <w:t>Effects on laboratory tests</w:t>
      </w:r>
    </w:p>
    <w:p w:rsidR="0097291D" w:rsidRPr="00E55357" w:rsidRDefault="0097291D" w:rsidP="00E55357">
      <w:pPr>
        <w:pStyle w:val="PIHeading4"/>
      </w:pPr>
      <w:r w:rsidRPr="00E55357">
        <w:t>Lymphocytes</w:t>
      </w:r>
    </w:p>
    <w:p w:rsidR="0097291D" w:rsidRPr="0051061D" w:rsidRDefault="0097291D" w:rsidP="0097291D">
      <w:pPr>
        <w:autoSpaceDE w:val="0"/>
        <w:autoSpaceDN w:val="0"/>
        <w:adjustRightInd w:val="0"/>
      </w:pPr>
      <w:r w:rsidRPr="0051061D">
        <w:t xml:space="preserve">Treatment with XELJANZ was associated with initial lymphocytosis at one month of exposure followed by a gradual decrease in mean lymphocyte counts below the baseline of approximately 10% during 12 months of therapy (see </w:t>
      </w:r>
      <w:r w:rsidR="00AA431A">
        <w:t>Section 5.1</w:t>
      </w:r>
      <w:r w:rsidR="004F2ECD">
        <w:t xml:space="preserve"> Pharmacodynamic Properties</w:t>
      </w:r>
      <w:r w:rsidRPr="0051061D">
        <w:t>).</w:t>
      </w:r>
    </w:p>
    <w:p w:rsidR="00D26B54" w:rsidRPr="0051061D" w:rsidRDefault="0097291D" w:rsidP="00E55357">
      <w:pPr>
        <w:pStyle w:val="PINormal"/>
      </w:pPr>
      <w:r w:rsidRPr="0051061D">
        <w:t xml:space="preserve">Lymphocyte counts </w:t>
      </w:r>
      <w:r w:rsidR="00D26B54">
        <w:t>less than 0.75</w:t>
      </w:r>
      <w:r w:rsidRPr="0051061D">
        <w:t> </w:t>
      </w:r>
      <w:r w:rsidRPr="0051061D">
        <w:rPr>
          <w:rStyle w:val="CommentReference"/>
          <w:sz w:val="24"/>
          <w:szCs w:val="24"/>
        </w:rPr>
        <w:t>x</w:t>
      </w:r>
      <w:r w:rsidRPr="0051061D">
        <w:rPr>
          <w:rStyle w:val="CommentReference"/>
          <w:sz w:val="22"/>
          <w:szCs w:val="24"/>
        </w:rPr>
        <w:t> </w:t>
      </w:r>
      <w:r w:rsidRPr="0051061D">
        <w:rPr>
          <w:rStyle w:val="CommentReference"/>
          <w:sz w:val="24"/>
          <w:szCs w:val="24"/>
        </w:rPr>
        <w:t>10</w:t>
      </w:r>
      <w:r w:rsidRPr="0051061D">
        <w:rPr>
          <w:rStyle w:val="CommentReference"/>
          <w:sz w:val="24"/>
          <w:szCs w:val="24"/>
          <w:vertAlign w:val="superscript"/>
        </w:rPr>
        <w:t>9</w:t>
      </w:r>
      <w:r w:rsidRPr="0051061D">
        <w:rPr>
          <w:rStyle w:val="CommentReference"/>
          <w:sz w:val="24"/>
          <w:szCs w:val="24"/>
        </w:rPr>
        <w:t> cells/L</w:t>
      </w:r>
      <w:r w:rsidRPr="0051061D">
        <w:t xml:space="preserve"> were associated with an increased incidence of serious infections.  </w:t>
      </w:r>
      <w:r w:rsidR="00D26B54">
        <w:t xml:space="preserve">It is not recommended to initiate or continue XELJANZ treatment in patients with a confirmed lymphocyte count less than 0.75 </w:t>
      </w:r>
      <w:r w:rsidR="00D26B54" w:rsidRPr="0051061D">
        <w:rPr>
          <w:rStyle w:val="CommentReference"/>
          <w:sz w:val="24"/>
          <w:szCs w:val="24"/>
        </w:rPr>
        <w:t>x</w:t>
      </w:r>
      <w:r w:rsidR="00D26B54" w:rsidRPr="0051061D">
        <w:rPr>
          <w:rStyle w:val="CommentReference"/>
          <w:sz w:val="22"/>
          <w:szCs w:val="24"/>
        </w:rPr>
        <w:t> </w:t>
      </w:r>
      <w:r w:rsidR="00D26B54" w:rsidRPr="0051061D">
        <w:rPr>
          <w:rStyle w:val="CommentReference"/>
          <w:sz w:val="24"/>
          <w:szCs w:val="24"/>
        </w:rPr>
        <w:t>10</w:t>
      </w:r>
      <w:r w:rsidR="00D26B54" w:rsidRPr="0051061D">
        <w:rPr>
          <w:rStyle w:val="CommentReference"/>
          <w:sz w:val="24"/>
          <w:szCs w:val="24"/>
          <w:vertAlign w:val="superscript"/>
        </w:rPr>
        <w:t>9</w:t>
      </w:r>
      <w:r w:rsidR="00D26B54" w:rsidRPr="0051061D">
        <w:rPr>
          <w:rStyle w:val="CommentReference"/>
          <w:sz w:val="24"/>
          <w:szCs w:val="24"/>
        </w:rPr>
        <w:t> cells/L</w:t>
      </w:r>
      <w:r w:rsidR="00D26B54">
        <w:rPr>
          <w:rStyle w:val="CommentReference"/>
          <w:sz w:val="24"/>
          <w:szCs w:val="24"/>
        </w:rPr>
        <w:t>.</w:t>
      </w:r>
      <w:r w:rsidRPr="0051061D">
        <w:rPr>
          <w:szCs w:val="22"/>
        </w:rPr>
        <w:t xml:space="preserve">  </w:t>
      </w:r>
      <w:r w:rsidRPr="0051061D">
        <w:t>Lymphocytes should be monitored at baseline and every 3 months thereafter.  For recommended modifications based on lymphocyte counts</w:t>
      </w:r>
      <w:r w:rsidR="00D26B54">
        <w:t>,</w:t>
      </w:r>
      <w:r w:rsidRPr="0051061D">
        <w:t xml:space="preserve"> see </w:t>
      </w:r>
      <w:r w:rsidR="00AA431A">
        <w:t>Section 4.2</w:t>
      </w:r>
      <w:r w:rsidR="00AE4BA3">
        <w:rPr>
          <w:rStyle w:val="Instructions"/>
        </w:rPr>
        <w:t xml:space="preserve"> </w:t>
      </w:r>
      <w:r w:rsidR="00AE4BA3">
        <w:t>Dose and Method of Administration</w:t>
      </w:r>
      <w:r w:rsidRPr="0051061D">
        <w:rPr>
          <w:rStyle w:val="Instructions"/>
        </w:rPr>
        <w:t>.</w:t>
      </w:r>
    </w:p>
    <w:p w:rsidR="0097291D" w:rsidRPr="0051061D" w:rsidRDefault="0097291D" w:rsidP="006E28B9">
      <w:pPr>
        <w:pStyle w:val="PIHeading4"/>
      </w:pPr>
      <w:r w:rsidRPr="0051061D">
        <w:t>Neutrophils</w:t>
      </w:r>
    </w:p>
    <w:p w:rsidR="0097291D" w:rsidRPr="0051061D" w:rsidRDefault="0097291D" w:rsidP="0097291D">
      <w:pPr>
        <w:pStyle w:val="PINormal"/>
        <w:rPr>
          <w:szCs w:val="22"/>
        </w:rPr>
      </w:pPr>
      <w:r w:rsidRPr="0051061D">
        <w:rPr>
          <w:szCs w:val="22"/>
        </w:rPr>
        <w:t xml:space="preserve">Treatment with XELJANZ was associated with an increased incidence of neutropenia </w:t>
      </w:r>
      <w:r w:rsidRPr="0051061D">
        <w:t>(&lt;2.0 x 10</w:t>
      </w:r>
      <w:r w:rsidRPr="0051061D">
        <w:rPr>
          <w:vertAlign w:val="superscript"/>
        </w:rPr>
        <w:t>9</w:t>
      </w:r>
      <w:r w:rsidRPr="0051061D">
        <w:t> cells/L)</w:t>
      </w:r>
      <w:r w:rsidRPr="0051061D">
        <w:rPr>
          <w:szCs w:val="22"/>
        </w:rPr>
        <w:t xml:space="preserve"> compared to placebo.</w:t>
      </w:r>
    </w:p>
    <w:p w:rsidR="0097291D" w:rsidRPr="0051061D" w:rsidRDefault="0097291D" w:rsidP="0097291D">
      <w:pPr>
        <w:pStyle w:val="PINormal"/>
      </w:pPr>
      <w:r w:rsidRPr="0051061D">
        <w:rPr>
          <w:szCs w:val="22"/>
        </w:rPr>
        <w:t xml:space="preserve">Avoid initiation of XELJANZ treatment in patients with a low neutrophil count (i.e., </w:t>
      </w:r>
      <w:r w:rsidRPr="0051061D">
        <w:t>&lt;1.0 x 10</w:t>
      </w:r>
      <w:r w:rsidRPr="0051061D">
        <w:rPr>
          <w:vertAlign w:val="superscript"/>
        </w:rPr>
        <w:t>9</w:t>
      </w:r>
      <w:r w:rsidRPr="0051061D">
        <w:t> cells/L</w:t>
      </w:r>
      <w:r w:rsidRPr="0051061D">
        <w:rPr>
          <w:szCs w:val="22"/>
        </w:rPr>
        <w:t xml:space="preserve">).  For patients who develop a persistent absolute neutrophil count (ANC) of </w:t>
      </w:r>
      <w:r w:rsidRPr="0051061D">
        <w:t>0.5-1.0 x 10</w:t>
      </w:r>
      <w:r w:rsidRPr="0051061D">
        <w:rPr>
          <w:vertAlign w:val="superscript"/>
        </w:rPr>
        <w:t>9</w:t>
      </w:r>
      <w:r w:rsidRPr="0051061D">
        <w:t> cells/L</w:t>
      </w:r>
      <w:r w:rsidRPr="0051061D">
        <w:rPr>
          <w:szCs w:val="22"/>
        </w:rPr>
        <w:t xml:space="preserve">, </w:t>
      </w:r>
      <w:r w:rsidR="00D9287A">
        <w:rPr>
          <w:szCs w:val="22"/>
        </w:rPr>
        <w:t xml:space="preserve">reduce XELJANZ dose or </w:t>
      </w:r>
      <w:r w:rsidRPr="0051061D">
        <w:rPr>
          <w:szCs w:val="22"/>
        </w:rPr>
        <w:t>interrupt XELJANZ dosing until ANC is &gt;</w:t>
      </w:r>
      <w:r w:rsidRPr="0051061D">
        <w:t>1.0 x 10</w:t>
      </w:r>
      <w:r w:rsidRPr="0051061D">
        <w:rPr>
          <w:vertAlign w:val="superscript"/>
        </w:rPr>
        <w:t>9</w:t>
      </w:r>
      <w:r w:rsidRPr="0051061D">
        <w:t> cells/L</w:t>
      </w:r>
      <w:r w:rsidRPr="0051061D">
        <w:rPr>
          <w:szCs w:val="22"/>
        </w:rPr>
        <w:t xml:space="preserve">.  In patients who develop a confirmed ANC </w:t>
      </w:r>
      <w:r w:rsidRPr="0051061D">
        <w:t>&lt;0.5 x 10</w:t>
      </w:r>
      <w:r w:rsidRPr="0051061D">
        <w:rPr>
          <w:vertAlign w:val="superscript"/>
        </w:rPr>
        <w:t>9</w:t>
      </w:r>
      <w:r w:rsidRPr="0051061D">
        <w:t> cells/L</w:t>
      </w:r>
      <w:r w:rsidRPr="0051061D">
        <w:rPr>
          <w:szCs w:val="22"/>
        </w:rPr>
        <w:t xml:space="preserve"> treatment with XELJANZ is not recommended.  Neutrophils should be monitored at baseline and after </w:t>
      </w:r>
      <w:r w:rsidRPr="0051061D">
        <w:rPr>
          <w:szCs w:val="22"/>
        </w:rPr>
        <w:lastRenderedPageBreak/>
        <w:t xml:space="preserve">4 to 8 weeks of treatment and every 3 months thereafter </w:t>
      </w:r>
      <w:r w:rsidRPr="0051061D">
        <w:rPr>
          <w:rStyle w:val="Instructions"/>
        </w:rPr>
        <w:t xml:space="preserve">(see </w:t>
      </w:r>
      <w:r w:rsidR="00AA431A">
        <w:rPr>
          <w:rStyle w:val="Instructions"/>
        </w:rPr>
        <w:t>Section 4.2</w:t>
      </w:r>
      <w:r w:rsidR="00AE4BA3">
        <w:rPr>
          <w:rStyle w:val="Instructions"/>
        </w:rPr>
        <w:t xml:space="preserve"> </w:t>
      </w:r>
      <w:r w:rsidR="00AE4BA3">
        <w:t>Dose and Method of Administration</w:t>
      </w:r>
      <w:r w:rsidRPr="0051061D">
        <w:rPr>
          <w:rStyle w:val="Instructions"/>
        </w:rPr>
        <w:t xml:space="preserve"> and </w:t>
      </w:r>
      <w:r w:rsidR="00AA431A">
        <w:rPr>
          <w:rStyle w:val="Instructions"/>
        </w:rPr>
        <w:t>Section 4.8</w:t>
      </w:r>
      <w:r w:rsidR="00BC2E8E" w:rsidRPr="00BC2E8E">
        <w:t xml:space="preserve"> </w:t>
      </w:r>
      <w:r w:rsidR="00BC2E8E">
        <w:t>Adverse Effects (Undesirable Effects)</w:t>
      </w:r>
      <w:r w:rsidRPr="0051061D">
        <w:rPr>
          <w:rStyle w:val="Instructions"/>
        </w:rPr>
        <w:t>)</w:t>
      </w:r>
      <w:r w:rsidRPr="0051061D">
        <w:rPr>
          <w:szCs w:val="22"/>
        </w:rPr>
        <w:t>.</w:t>
      </w:r>
    </w:p>
    <w:p w:rsidR="0097291D" w:rsidRPr="0051061D" w:rsidRDefault="0097291D" w:rsidP="006E28B9">
      <w:pPr>
        <w:pStyle w:val="PIHeading4"/>
      </w:pPr>
      <w:r w:rsidRPr="0051061D">
        <w:t>Haemoglobin</w:t>
      </w:r>
    </w:p>
    <w:p w:rsidR="0097291D" w:rsidRPr="0051061D" w:rsidRDefault="0097291D" w:rsidP="0097291D">
      <w:pPr>
        <w:rPr>
          <w:rStyle w:val="Instructions"/>
        </w:rPr>
      </w:pPr>
      <w:r w:rsidRPr="0051061D">
        <w:rPr>
          <w:rStyle w:val="Instructions"/>
        </w:rPr>
        <w:t xml:space="preserve">Avoid initiation of XELJANZ treatment in patients with low haemoglobin values (i.e., &lt;90 g/L).  </w:t>
      </w:r>
      <w:r w:rsidRPr="0051061D">
        <w:t>Treatment with XELJANZ should be interrupted in patients who develop haemoglobin levels </w:t>
      </w:r>
      <w:r w:rsidRPr="0051061D">
        <w:rPr>
          <w:rStyle w:val="Instructions"/>
        </w:rPr>
        <w:t>&lt;</w:t>
      </w:r>
      <w:r w:rsidRPr="0051061D">
        <w:t xml:space="preserve">80 g/L or whose haemoglobin level drops &gt;20 g/L on treatment.  </w:t>
      </w:r>
      <w:r w:rsidRPr="0051061D">
        <w:rPr>
          <w:rStyle w:val="Instructions"/>
        </w:rPr>
        <w:t xml:space="preserve">Haemoglobin should be monitored at baseline and after 4 to 8 weeks of treatment and every 3 months thereafter (see </w:t>
      </w:r>
      <w:r w:rsidR="00AA431A">
        <w:rPr>
          <w:rStyle w:val="Instructions"/>
        </w:rPr>
        <w:t>Section 4.2</w:t>
      </w:r>
      <w:r w:rsidR="00AE4BA3">
        <w:rPr>
          <w:rStyle w:val="Instructions"/>
        </w:rPr>
        <w:t xml:space="preserve"> </w:t>
      </w:r>
      <w:r w:rsidR="00AE4BA3">
        <w:t>Dose and Method of Administration</w:t>
      </w:r>
      <w:r w:rsidRPr="0051061D">
        <w:rPr>
          <w:rStyle w:val="Instructions"/>
        </w:rPr>
        <w:t>).</w:t>
      </w:r>
    </w:p>
    <w:p w:rsidR="0097291D" w:rsidRPr="0051061D" w:rsidRDefault="0097291D" w:rsidP="006E28B9">
      <w:pPr>
        <w:pStyle w:val="PIHeading4"/>
      </w:pPr>
      <w:r w:rsidRPr="0051061D">
        <w:t>Lipids</w:t>
      </w:r>
    </w:p>
    <w:p w:rsidR="0097291D" w:rsidRPr="0051061D" w:rsidRDefault="0097291D" w:rsidP="0097291D">
      <w:pPr>
        <w:pStyle w:val="PINormal"/>
      </w:pPr>
      <w:r w:rsidRPr="0051061D">
        <w:t xml:space="preserve">Treatment with XELJANZ was associated with </w:t>
      </w:r>
      <w:r w:rsidR="00D9287A">
        <w:t xml:space="preserve">dose-dependent </w:t>
      </w:r>
      <w:r w:rsidRPr="0051061D">
        <w:t xml:space="preserve">increases in lipid parameters such as total cholesterol, low-density lipoprotein (LDL) cholesterol, and high-density lipoprotein (HDL) cholesterol </w:t>
      </w:r>
      <w:r w:rsidRPr="0051061D">
        <w:rPr>
          <w:rStyle w:val="Instructions"/>
        </w:rPr>
        <w:t xml:space="preserve">(see </w:t>
      </w:r>
      <w:r w:rsidR="00AA431A">
        <w:rPr>
          <w:rStyle w:val="Instructions"/>
        </w:rPr>
        <w:t>Section 4.8</w:t>
      </w:r>
      <w:r w:rsidR="00BC2E8E" w:rsidRPr="00BC2E8E">
        <w:t xml:space="preserve"> </w:t>
      </w:r>
      <w:r w:rsidR="00BC2E8E">
        <w:t>Adverse Effects (Undesirable Effects)</w:t>
      </w:r>
      <w:r w:rsidRPr="0051061D">
        <w:rPr>
          <w:rStyle w:val="Instructions"/>
        </w:rPr>
        <w:t>)</w:t>
      </w:r>
      <w:r w:rsidRPr="0051061D">
        <w:t xml:space="preserve">.  Maximum effects were generally observed within 6 weeks.  </w:t>
      </w:r>
      <w:r w:rsidR="00D9287A" w:rsidRPr="00902AC4">
        <w:t xml:space="preserve">There were no clinically relevant changes in LDL/HDL cholesterol ratios.  </w:t>
      </w:r>
      <w:r w:rsidRPr="0051061D">
        <w:rPr>
          <w:color w:val="000000"/>
          <w:sz w:val="23"/>
          <w:szCs w:val="23"/>
          <w:lang w:eastAsia="en-AU"/>
        </w:rPr>
        <w:t xml:space="preserve">The effect of these lipid parameter elevations on cardiovascular morbidity and mortality has not been established.  </w:t>
      </w:r>
      <w:r w:rsidRPr="0051061D">
        <w:rPr>
          <w:szCs w:val="22"/>
        </w:rPr>
        <w:t xml:space="preserve">Assessment of lipid parameters should be performed approximately 4 to 8 weeks following initiation of XELJANZ therapy.  </w:t>
      </w:r>
      <w:r w:rsidRPr="0051061D">
        <w:t xml:space="preserve">Patients should be managed according to clinical guidelines for the management of hyperlipidaemia.  Increases in total and LDL cholesterol associated with XELJANZ may be decreased to </w:t>
      </w:r>
      <w:proofErr w:type="spellStart"/>
      <w:r w:rsidRPr="0051061D">
        <w:t>pretreatment</w:t>
      </w:r>
      <w:proofErr w:type="spellEnd"/>
      <w:r w:rsidRPr="0051061D">
        <w:t xml:space="preserve"> levels with statin therapy.</w:t>
      </w:r>
    </w:p>
    <w:p w:rsidR="0097291D" w:rsidRPr="0051061D" w:rsidRDefault="0097291D" w:rsidP="006E28B9">
      <w:pPr>
        <w:pStyle w:val="PIHeading4"/>
      </w:pPr>
      <w:r w:rsidRPr="0051061D">
        <w:t>Liver Enzyme Elevations</w:t>
      </w:r>
    </w:p>
    <w:p w:rsidR="0097291D" w:rsidRPr="0051061D" w:rsidRDefault="0097291D" w:rsidP="0097291D">
      <w:pPr>
        <w:pStyle w:val="Paragraph"/>
        <w:jc w:val="both"/>
        <w:rPr>
          <w:rStyle w:val="Instructions"/>
        </w:rPr>
      </w:pPr>
      <w:r w:rsidRPr="0051061D">
        <w:rPr>
          <w:rStyle w:val="Instructions"/>
        </w:rPr>
        <w:t xml:space="preserve">Treatment with XELJANZ was associated with an increased incidence of liver enzyme elevation compared to placebo (see </w:t>
      </w:r>
      <w:r w:rsidR="00AA431A">
        <w:rPr>
          <w:rStyle w:val="Instructions"/>
        </w:rPr>
        <w:t>Section 4.8</w:t>
      </w:r>
      <w:r w:rsidR="00BC2E8E" w:rsidRPr="00BC2E8E">
        <w:t xml:space="preserve"> </w:t>
      </w:r>
      <w:r w:rsidR="00BC2E8E">
        <w:t>Adverse Effects (Undesirable Effects)</w:t>
      </w:r>
      <w:r w:rsidRPr="0051061D">
        <w:rPr>
          <w:rStyle w:val="Instructions"/>
        </w:rPr>
        <w:t xml:space="preserve">).  Most of these abnormalities occurred in studies with background DMARD (primarily </w:t>
      </w:r>
      <w:r w:rsidR="00317C7B">
        <w:rPr>
          <w:rStyle w:val="Instructions"/>
        </w:rPr>
        <w:t>MTX</w:t>
      </w:r>
      <w:r w:rsidRPr="0051061D">
        <w:rPr>
          <w:rStyle w:val="Instructions"/>
        </w:rPr>
        <w:t>) therapy.</w:t>
      </w:r>
    </w:p>
    <w:p w:rsidR="003A4144" w:rsidRPr="0097291D" w:rsidRDefault="0097291D" w:rsidP="0097291D">
      <w:pPr>
        <w:pStyle w:val="Paragraph"/>
        <w:jc w:val="both"/>
        <w:rPr>
          <w:iCs/>
        </w:rPr>
      </w:pPr>
      <w:r w:rsidRPr="0051061D">
        <w:rPr>
          <w:rStyle w:val="Instructions"/>
        </w:rPr>
        <w:t>Routine monitoring of liver tests and prompt investigation of the causes of liver enzyme elevations is recommended to identify potential cases of drug-induced liver injury.  If drug-induced liver injury is suspected, XELJANZ administration should be interrupted until this diagnosis has been excluded.</w:t>
      </w:r>
    </w:p>
    <w:p w:rsidR="003A4144" w:rsidRDefault="003A4144" w:rsidP="00F43C03">
      <w:pPr>
        <w:pStyle w:val="PIHeading2"/>
      </w:pPr>
      <w:r w:rsidRPr="00645CC7">
        <w:t xml:space="preserve">4.5 </w:t>
      </w:r>
      <w:r w:rsidR="00F43C03">
        <w:t xml:space="preserve">Interactions </w:t>
      </w:r>
      <w:proofErr w:type="gramStart"/>
      <w:r w:rsidR="00F43C03">
        <w:t>With</w:t>
      </w:r>
      <w:proofErr w:type="gramEnd"/>
      <w:r w:rsidR="00F43C03">
        <w:t xml:space="preserve"> Other Medicines and Other Forms of Interactions</w:t>
      </w:r>
    </w:p>
    <w:p w:rsidR="0097291D" w:rsidRPr="0051061D" w:rsidRDefault="0097291D" w:rsidP="0097291D">
      <w:pPr>
        <w:rPr>
          <w:rFonts w:eastAsia="Arial Unicode MS"/>
          <w:color w:val="000000"/>
        </w:rPr>
      </w:pPr>
      <w:r w:rsidRPr="0051061D">
        <w:t xml:space="preserve">The metabolism of tofacitinib is primarily mediated by CYP3A4 with minor contribution from CYP2C19.  </w:t>
      </w:r>
    </w:p>
    <w:p w:rsidR="0097291D" w:rsidRPr="0051061D" w:rsidRDefault="0097291D" w:rsidP="006E28B9">
      <w:pPr>
        <w:pStyle w:val="PIHeading3"/>
      </w:pPr>
      <w:r w:rsidRPr="0051061D">
        <w:t>Potential for Other Medicines to Influence the Pharmacokinetics of Tofacitinib</w:t>
      </w:r>
    </w:p>
    <w:p w:rsidR="0097291D" w:rsidRPr="0051061D" w:rsidRDefault="00DC6305" w:rsidP="0097291D">
      <w:pPr>
        <w:rPr>
          <w:rFonts w:eastAsia="Arial Unicode MS"/>
          <w:color w:val="000000"/>
        </w:rPr>
      </w:pPr>
      <w:r w:rsidRPr="00DC6305">
        <w:t xml:space="preserve">Since tofacitinib is metabolised by CYP3A4, interaction with medicinal products that inhibit or induce CYP3A4 is likely.  </w:t>
      </w:r>
      <w:r w:rsidR="0097291D" w:rsidRPr="0051061D">
        <w:t xml:space="preserve">Tofacitinib exposure is increased when </w:t>
      </w:r>
      <w:proofErr w:type="spellStart"/>
      <w:r w:rsidR="0097291D" w:rsidRPr="0051061D">
        <w:t>coadministered</w:t>
      </w:r>
      <w:proofErr w:type="spellEnd"/>
      <w:r w:rsidR="0097291D" w:rsidRPr="0051061D">
        <w:t xml:space="preserve"> with potent inhibitors of CYP3A4 (e.g., ketoconazole) or when administration of one or more concomitant medications results in both moderate inhibition of CYP3A4 and potent inhibition of CYP2C19 (e.g., fluconazole).</w:t>
      </w:r>
      <w:r w:rsidR="0097291D" w:rsidRPr="0051061D">
        <w:rPr>
          <w:rFonts w:eastAsia="Arial Unicode MS"/>
          <w:color w:val="000000"/>
        </w:rPr>
        <w:t xml:space="preserve">  Tofacitinib exposure is decreased when co-administered with potent CYP3A4 inducers (e.g. rifampicin).  Inhibitors of CYP2C19 alone or P-glycoprotein are unlikely to significantly alter the pharmacokinetics (PK) of tofacitinib.</w:t>
      </w:r>
    </w:p>
    <w:p w:rsidR="006E28B9" w:rsidRDefault="0097291D" w:rsidP="006E28B9">
      <w:pPr>
        <w:pStyle w:val="PIHeading4"/>
      </w:pPr>
      <w:r w:rsidRPr="0051061D">
        <w:lastRenderedPageBreak/>
        <w:t>Methotrexate</w:t>
      </w:r>
    </w:p>
    <w:p w:rsidR="0097291D" w:rsidRPr="0051061D" w:rsidRDefault="0097291D" w:rsidP="0097291D">
      <w:r w:rsidRPr="0051061D">
        <w:rPr>
          <w:bCs/>
        </w:rPr>
        <w:t xml:space="preserve">Concomitant administration </w:t>
      </w:r>
      <w:r w:rsidRPr="0051061D">
        <w:t xml:space="preserve">with </w:t>
      </w:r>
      <w:r w:rsidR="00317C7B">
        <w:t>MTX</w:t>
      </w:r>
      <w:r w:rsidRPr="0051061D">
        <w:t xml:space="preserve"> (15-25 mg MTX once weekly) had no effect on the PK of tofacitinib.</w:t>
      </w:r>
    </w:p>
    <w:p w:rsidR="006E28B9" w:rsidRDefault="006E28B9" w:rsidP="006E28B9">
      <w:pPr>
        <w:pStyle w:val="PIHeading4"/>
      </w:pPr>
      <w:r>
        <w:t>Ketoconazole</w:t>
      </w:r>
    </w:p>
    <w:p w:rsidR="0097291D" w:rsidRPr="0051061D" w:rsidRDefault="0097291D" w:rsidP="0097291D">
      <w:r w:rsidRPr="0051061D">
        <w:t>Co-administration of ketoconazole, a strong CYP3A4 inhibitor, with a single dose of tofacitinib increased the AUC and C</w:t>
      </w:r>
      <w:r w:rsidRPr="0051061D">
        <w:rPr>
          <w:vertAlign w:val="subscript"/>
        </w:rPr>
        <w:t>max</w:t>
      </w:r>
      <w:r w:rsidRPr="0051061D">
        <w:t xml:space="preserve"> of tofacitinib by 103% and 16%, respectively </w:t>
      </w:r>
      <w:r w:rsidRPr="0051061D">
        <w:rPr>
          <w:rStyle w:val="Instructions"/>
        </w:rPr>
        <w:t xml:space="preserve">(see </w:t>
      </w:r>
      <w:r w:rsidR="00AA431A">
        <w:rPr>
          <w:rStyle w:val="Instructions"/>
        </w:rPr>
        <w:t>Section 4.2</w:t>
      </w:r>
      <w:r w:rsidR="00AE4BA3">
        <w:rPr>
          <w:rStyle w:val="Instructions"/>
        </w:rPr>
        <w:t xml:space="preserve"> </w:t>
      </w:r>
      <w:r w:rsidR="00AE4BA3">
        <w:t>Dose and Method of Administration</w:t>
      </w:r>
      <w:r w:rsidRPr="0051061D">
        <w:rPr>
          <w:rStyle w:val="Instructions"/>
        </w:rPr>
        <w:t>)</w:t>
      </w:r>
      <w:r w:rsidRPr="0051061D">
        <w:t>.</w:t>
      </w:r>
    </w:p>
    <w:p w:rsidR="006E28B9" w:rsidRDefault="006E28B9" w:rsidP="006E28B9">
      <w:pPr>
        <w:pStyle w:val="PIHeading4"/>
      </w:pPr>
      <w:r>
        <w:t>Fluconazole</w:t>
      </w:r>
    </w:p>
    <w:p w:rsidR="0097291D" w:rsidRPr="0051061D" w:rsidRDefault="0097291D" w:rsidP="0097291D">
      <w:r w:rsidRPr="0051061D">
        <w:t>Co-administration of fluconazole, a moderate inhibitor of CYP3A4 and a strong inhibitor of CYP2C19, increased the AUC and C</w:t>
      </w:r>
      <w:r w:rsidRPr="0051061D">
        <w:rPr>
          <w:vertAlign w:val="subscript"/>
        </w:rPr>
        <w:t>max</w:t>
      </w:r>
      <w:r w:rsidRPr="0051061D">
        <w:t xml:space="preserve"> of tofacitinib by 79% and 27%, respectively </w:t>
      </w:r>
      <w:r w:rsidRPr="0051061D">
        <w:rPr>
          <w:rStyle w:val="Instructions"/>
        </w:rPr>
        <w:t xml:space="preserve">(see </w:t>
      </w:r>
      <w:r w:rsidR="00AA431A">
        <w:rPr>
          <w:rStyle w:val="Instructions"/>
        </w:rPr>
        <w:t>Section 4.2</w:t>
      </w:r>
      <w:r w:rsidR="00AE4BA3">
        <w:rPr>
          <w:rStyle w:val="Instructions"/>
        </w:rPr>
        <w:t xml:space="preserve"> </w:t>
      </w:r>
      <w:r w:rsidR="00AE4BA3">
        <w:t>Dose and Method of Administration</w:t>
      </w:r>
      <w:r w:rsidRPr="0051061D">
        <w:rPr>
          <w:rStyle w:val="Instructions"/>
        </w:rPr>
        <w:t>)</w:t>
      </w:r>
      <w:r w:rsidRPr="0051061D">
        <w:t>.</w:t>
      </w:r>
    </w:p>
    <w:p w:rsidR="006E28B9" w:rsidRDefault="006E28B9" w:rsidP="006E28B9">
      <w:pPr>
        <w:pStyle w:val="PIHeading4"/>
      </w:pPr>
      <w:proofErr w:type="spellStart"/>
      <w:r>
        <w:t>Cyclosporin</w:t>
      </w:r>
      <w:proofErr w:type="spellEnd"/>
    </w:p>
    <w:p w:rsidR="0097291D" w:rsidRPr="0051061D" w:rsidRDefault="0097291D" w:rsidP="0097291D">
      <w:r w:rsidRPr="0051061D">
        <w:t xml:space="preserve">Co-administration of </w:t>
      </w:r>
      <w:proofErr w:type="spellStart"/>
      <w:r w:rsidRPr="0051061D">
        <w:t>cyclosporin</w:t>
      </w:r>
      <w:proofErr w:type="spellEnd"/>
      <w:r w:rsidRPr="0051061D">
        <w:t>, a moderate inhibitor of CYP3A4, increased the AUC of tofacitinib by 73% and decreased C</w:t>
      </w:r>
      <w:r w:rsidRPr="0051061D">
        <w:rPr>
          <w:vertAlign w:val="subscript"/>
        </w:rPr>
        <w:t>max</w:t>
      </w:r>
      <w:r w:rsidRPr="0051061D">
        <w:t xml:space="preserve"> of tofacitinib by 17%.  The combined use of multiple-dose tofacitinib with this potent immunosuppressive has not been studied in patients with </w:t>
      </w:r>
      <w:r w:rsidR="00BA23CF">
        <w:t>RA</w:t>
      </w:r>
      <w:r w:rsidR="00D9287A">
        <w:t xml:space="preserve">, </w:t>
      </w:r>
      <w:proofErr w:type="spellStart"/>
      <w:r w:rsidR="005A690E">
        <w:t>PsA</w:t>
      </w:r>
      <w:proofErr w:type="spellEnd"/>
      <w:r w:rsidR="00D9287A">
        <w:t xml:space="preserve"> or UC</w:t>
      </w:r>
      <w:r w:rsidRPr="0051061D">
        <w:t xml:space="preserve"> and is contraindicated.</w:t>
      </w:r>
    </w:p>
    <w:p w:rsidR="006E28B9" w:rsidRDefault="006E28B9" w:rsidP="006E28B9">
      <w:pPr>
        <w:pStyle w:val="PIHeading4"/>
      </w:pPr>
      <w:r>
        <w:t>Tacrolimus</w:t>
      </w:r>
    </w:p>
    <w:p w:rsidR="0097291D" w:rsidRPr="0051061D" w:rsidRDefault="0097291D" w:rsidP="0097291D">
      <w:r w:rsidRPr="0051061D">
        <w:t>Co-administration of tacrolimus, a mild inhibitor of CYP3A4, increased the AUC of tofacitinib by 21% and decreased the C</w:t>
      </w:r>
      <w:r w:rsidRPr="0051061D">
        <w:rPr>
          <w:vertAlign w:val="subscript"/>
        </w:rPr>
        <w:t>max</w:t>
      </w:r>
      <w:r w:rsidRPr="0051061D">
        <w:t xml:space="preserve"> of tofacitinib by 9%.  The combined use of multiple-dose tofacitinib with this potent immunosuppressive has not been studied in patients with </w:t>
      </w:r>
      <w:r w:rsidR="00BA23CF">
        <w:t>RA</w:t>
      </w:r>
      <w:r w:rsidR="00D9287A">
        <w:t>,</w:t>
      </w:r>
      <w:r w:rsidR="005A690E">
        <w:t xml:space="preserve"> </w:t>
      </w:r>
      <w:proofErr w:type="spellStart"/>
      <w:r w:rsidR="005A690E">
        <w:t>PsA</w:t>
      </w:r>
      <w:proofErr w:type="spellEnd"/>
      <w:r w:rsidR="00D9287A">
        <w:t xml:space="preserve"> or UC</w:t>
      </w:r>
      <w:r w:rsidRPr="0051061D">
        <w:t xml:space="preserve"> and is not recommended.</w:t>
      </w:r>
    </w:p>
    <w:p w:rsidR="006E28B9" w:rsidRDefault="006E28B9" w:rsidP="006E28B9">
      <w:pPr>
        <w:pStyle w:val="PIHeading4"/>
      </w:pPr>
      <w:r>
        <w:t>Rifampicin</w:t>
      </w:r>
    </w:p>
    <w:p w:rsidR="00054752" w:rsidRDefault="0097291D" w:rsidP="0097291D">
      <w:proofErr w:type="spellStart"/>
      <w:r w:rsidRPr="0051061D">
        <w:t>Coadministration</w:t>
      </w:r>
      <w:proofErr w:type="spellEnd"/>
      <w:r w:rsidRPr="0051061D">
        <w:t xml:space="preserve"> of rifampicin, a strong CYP3A4 inducer, decreased the AUC and C</w:t>
      </w:r>
      <w:r w:rsidRPr="0051061D">
        <w:rPr>
          <w:vertAlign w:val="subscript"/>
        </w:rPr>
        <w:t>max</w:t>
      </w:r>
      <w:r w:rsidRPr="0051061D">
        <w:t xml:space="preserve"> of tofacitinib by 84% and 74%, respectively </w:t>
      </w:r>
      <w:r w:rsidRPr="0051061D">
        <w:rPr>
          <w:rStyle w:val="Instructions"/>
        </w:rPr>
        <w:t xml:space="preserve">(see </w:t>
      </w:r>
      <w:r w:rsidR="00AA431A">
        <w:rPr>
          <w:rStyle w:val="Instructions"/>
        </w:rPr>
        <w:t>Section 4.2</w:t>
      </w:r>
      <w:r w:rsidR="00AE4BA3">
        <w:rPr>
          <w:rStyle w:val="Instructions"/>
        </w:rPr>
        <w:t xml:space="preserve"> </w:t>
      </w:r>
      <w:r w:rsidR="00AE4BA3">
        <w:t>Dose and Method of Administration</w:t>
      </w:r>
      <w:r w:rsidRPr="0051061D">
        <w:rPr>
          <w:rStyle w:val="Instructions"/>
        </w:rPr>
        <w:t>)</w:t>
      </w:r>
      <w:r w:rsidRPr="0051061D">
        <w:t>.</w:t>
      </w:r>
    </w:p>
    <w:p w:rsidR="002505ED" w:rsidRDefault="00054752" w:rsidP="0097291D">
      <w:pPr>
        <w:rPr>
          <w:szCs w:val="22"/>
        </w:rPr>
      </w:pPr>
      <w:r>
        <w:br w:type="page"/>
      </w:r>
      <w:r>
        <w:rPr>
          <w:b/>
        </w:rPr>
        <w:lastRenderedPageBreak/>
        <w:t>Figure 1</w:t>
      </w:r>
      <w:r w:rsidRPr="009A13DB">
        <w:rPr>
          <w:b/>
        </w:rPr>
        <w:t>. Impact of Other Medicines on the Pharmacokinetics of Tofacitinib</w:t>
      </w:r>
      <w:r w:rsidR="008259FC">
        <w:rPr>
          <w:noProof/>
          <w:szCs w:val="22"/>
          <w:lang w:eastAsia="en-AU"/>
        </w:rPr>
        <w:pict>
          <v:group id="Canvas 630" o:spid="_x0000_s7798" editas="canvas" style="position:absolute;left:0;text-align:left;margin-left:-24.75pt;margin-top:22.95pt;width:471.5pt;height:297.55pt;z-index:-251659776;mso-position-horizontal-relative:text;mso-position-vertical-relative:text" coordorigin="945,7533" coordsize="9430,5951" wrapcoords="6319 2829 6319 17411 7555 17628 10783 17628 6765 17846 6765 18390 13564 18390 13633 17900 13358 17846 10748 17628 9718 16758 11882 15887 11950 15561 9615 15017 9615 14146 9753 14146 10371 13439 10439 13276 9924 11752 9924 11535 9718 10664 9615 7182 10714 7073 10714 6692 9615 6311 12088 6257 12088 5876 9650 5441 10371 4570 10748 4570 12672 3863 12740 3482 9615 2829 6319 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799" type="#_x0000_t75" style="position:absolute;left:945;top:7533;width:9430;height:5951;visibility:visible">
              <v:fill o:detectmouseclick="t"/>
              <v:path o:connecttype="none"/>
            </v:shape>
            <v:group id="Group 205" o:spid="_x0000_s7800" style="position:absolute;left:945;top:8331;width:7350;height:4849" coordorigin="-125,750" coordsize="7350,4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rect id="Rectangle 206" o:spid="_x0000_s7801" style="position:absolute;left:5213;top:917;width:28;height:1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P6cYA&#10;AADcAAAADwAAAGRycy9kb3ducmV2LnhtbESPQWvCQBSE70L/w/IKvelGsaJpVqlCwUtBbQ/19pJ9&#10;TYLZt3F31bS/3hUEj8PMfMNki8404kzO15YVDAcJCOLC6ppLBd9fH/0pCB+QNTaWScEfeVjMn3oZ&#10;ptpeeEvnXShFhLBPUUEVQptK6YuKDPqBbYmj92udwRClK6V2eIlw08hRkkykwZrjQoUtrSoqDruT&#10;UbCcTZfHzZg//7f5nvY/+eF15BKlXp679zcQgbrwCN/ba61gPJzB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DP6cYAAADcAAAADwAAAAAAAAAAAAAAAACYAgAAZHJz&#10;L2Rvd25yZXYueG1sUEsFBgAAAAAEAAQA9QAAAIsDAAAAAA==&#10;" fillcolor="black" stroked="f"/>
              <v:rect id="Rectangle 207" o:spid="_x0000_s7802" style="position:absolute;left:5213;top:917;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asycMA&#10;AADcAAAADwAAAGRycy9kb3ducmV2LnhtbERPz2vCMBS+C/sfwhO8aWpRcdUocyB4EdTtMG/P5tkW&#10;m5cuidrtrzcHwePH93u+bE0tbuR8ZVnBcJCAIM6trrhQ8P217k9B+ICssbZMCv7Iw3Lx1pljpu2d&#10;93Q7hELEEPYZKihDaDIpfV6SQT+wDXHkztYZDBG6QmqH9xhuapkmyUQarDg2lNjQZ0n55XA1Clbv&#10;09XvbsTb//3pSMef02WcukSpXrf9mIEI1IaX+OneaAWjNM6P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asycMAAADcAAAADwAAAAAAAAAAAAAAAACYAgAAZHJzL2Rv&#10;d25yZXYueG1sUEsFBgAAAAAEAAQA9QAAAIgDAAAAAA==&#10;" fillcolor="black" stroked="f"/>
              <v:rect id="Rectangle 208" o:spid="_x0000_s7803" style="position:absolute;left:5213;top:1015;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JUsYA&#10;AADcAAAADwAAAGRycy9kb3ducmV2LnhtbESPQWsCMRSE74L/IbxCb5p10aKrUbRQ8CKo9aC35+Z1&#10;d3Hzsk2ibvvrG0HocZiZb5jZojW1uJHzlWUFg34Cgji3uuJCweHzozcG4QOyxtoyKfghD4t5tzPD&#10;TNs77+i2D4WIEPYZKihDaDIpfV6SQd+3DXH0vqwzGKJ0hdQO7xFuapkmyZs0WHFcKLGh95Lyy/5q&#10;FKwm49X3dsib3935RKfj+TJKXaLU60u7nIII1Ib/8LO91gqG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oJUsYAAADcAAAADwAAAAAAAAAAAAAAAACYAgAAZHJz&#10;L2Rvd25yZXYueG1sUEsFBgAAAAAEAAQA9QAAAIsDAAAAAA==&#10;" fillcolor="black" stroked="f"/>
              <v:rect id="Rectangle 209" o:spid="_x0000_s7804" style="position:absolute;left:5185;top:931;width:84;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iXJcYA&#10;AADcAAAADwAAAGRycy9kb3ducmV2LnhtbESPQWvCQBSE74X+h+UVvNVNgxWNbqQWBC+FanvQ2zP7&#10;TEKyb9PdVdP+ercgeBxm5htmvuhNK87kfG1ZwcswAUFcWF1zqeD7a/U8AeEDssbWMin4JQ+L/PFh&#10;jpm2F97QeRtKESHsM1RQhdBlUvqiIoN+aDvi6B2tMxiidKXUDi8RblqZJslYGqw5LlTY0XtFRbM9&#10;GQXL6WT58znij7/NYU/73aF5TV2i1OCpf5uBCNSHe/jWXmsFozS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iXJcYAAADcAAAADwAAAAAAAAAAAAAAAACYAgAAZHJz&#10;L2Rvd25yZXYueG1sUEsFBgAAAAAEAAQA9QAAAIsDAAAAAA==&#10;" fillcolor="black" stroked="f"/>
              <v:rect id="Rectangle 210" o:spid="_x0000_s7805" style="position:absolute;left:5185;top:987;width:84;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QyvscA&#10;AADcAAAADwAAAGRycy9kb3ducmV2LnhtbESPT2sCMRTE7wW/Q3iCt5p1taKrUbRQ6KVQ/xz09tw8&#10;dxc3L9sk1W0/fSMUPA4z8xtmvmxNLa7kfGVZwaCfgCDOra64ULDfvT1PQPiArLG2TAp+yMNy0Xma&#10;Y6btjTd03YZCRAj7DBWUITSZlD4vyaDv24Y4emfrDIYoXSG1w1uEm1qmSTKWBiuOCyU29FpSftl+&#10;GwXr6WT99Tnij9/N6UjHw+nykrpEqV63Xc1ABGrDI/zfftcKRukQ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kMr7HAAAA3AAAAA8AAAAAAAAAAAAAAAAAmAIAAGRy&#10;cy9kb3ducmV2LnhtbFBLBQYAAAAABAAEAPUAAACMAwAAAAA=&#10;" fillcolor="black" stroked="f"/>
              <v:rect id="Rectangle 211" o:spid="_x0000_s7806" style="position:absolute;left:5171;top:959;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2qysYA&#10;AADcAAAADwAAAGRycy9kb3ducmV2LnhtbESPQWvCQBSE74X+h+UVvDWbhlhsdJVaEHoR1PZQb8/s&#10;Mwlm36a7W43++q4geBxm5htmMutNK47kfGNZwUuSgiAurW64UvD9tXgegfABWWNrmRScycNs+vgw&#10;wULbE6/puAmViBD2BSqoQ+gKKX1Zk0Gf2I44envrDIYoXSW1w1OEm1ZmafoqDTYcF2rs6KOm8rD5&#10;Mwrmb6P57yrn5WW929L2Z3cYZi5VavDUv49BBOrDPXxrf2oFeZbD9Uw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2qysYAAADcAAAADwAAAAAAAAAAAAAAAACYAgAAZHJz&#10;L2Rvd25yZXYueG1sUEsFBgAAAAAEAAQA9QAAAIsDAAAAAA==&#10;" fillcolor="black" stroked="f"/>
              <v:rect id="Rectangle 212" o:spid="_x0000_s7807" style="position:absolute;left:5171;top:973;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EPUcYA&#10;AADcAAAADwAAAGRycy9kb3ducmV2LnhtbESPT2sCMRTE74V+h/AKvdWsi4quRlFB6KXgnx7q7bl5&#10;7i5uXtYk1W0/vREEj8PM/IaZzFpTiws5X1lW0O0kIIhzqysuFHzvVh9DED4ga6wtk4I/8jCbvr5M&#10;MNP2yhu6bEMhIoR9hgrKEJpMSp+XZNB3bEMcvaN1BkOUrpDa4TXCTS3TJBlIgxXHhRIbWpaUn7a/&#10;RsFiNFyc1z3++t8c9rT/OZz6qUuUen9r52MQgdrwDD/an1pBL+3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EPUcYAAADcAAAADwAAAAAAAAAAAAAAAACYAgAAZHJz&#10;L2Rvd25yZXYueG1sUEsFBgAAAAAEAAQA9QAAAIsDAAAAAA==&#10;" fillcolor="black" stroked="f"/>
              <v:rect id="Rectangle 213" o:spid="_x0000_s7808" style="position:absolute;left:5171;top:973;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ORJsYA&#10;AADcAAAADwAAAGRycy9kb3ducmV2LnhtbESPQWsCMRSE74X+h/AKvdWsi4quRlFB6KVQtYd6e26e&#10;u4ublzVJdfXXN4LgcZiZb5jJrDW1OJPzlWUF3U4Cgji3uuJCwc929TEE4QOyxtoyKbiSh9n09WWC&#10;mbYXXtN5EwoRIewzVFCG0GRS+rwkg75jG+LoHawzGKJ0hdQOLxFuapkmyUAarDgulNjQsqT8uPkz&#10;Chaj4eL03eOv23q/o93v/thPXaLU+1s7H4MI1IZn+NH+1Ap66QD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ORJsYAAADcAAAADwAAAAAAAAAAAAAAAACYAgAAZHJz&#10;L2Rvd25yZXYueG1sUEsFBgAAAAAEAAQA9QAAAIsDAAAAAA==&#10;" fillcolor="black" stroked="f"/>
              <v:rect id="Rectangle 214" o:spid="_x0000_s7809" style="position:absolute;left:5171;top:959;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0vccA&#10;AADcAAAADwAAAGRycy9kb3ducmV2LnhtbESPQWvCQBSE74L/YXmF3symQVtNXUWFQi8FtT3o7Zl9&#10;TYLZt3F3q7G/3hUKPQ4z8w0znXemEWdyvras4ClJQRAXVtdcKvj6fBuMQfiArLGxTAqu5GE+6/em&#10;mGt74Q2dt6EUEcI+RwVVCG0upS8qMugT2xJH79s6gyFKV0rt8BLhppFZmj5LgzXHhQpbWlVUHLc/&#10;RsFyMl6e1kP++N0c9rTfHY6jzKVKPT50i1cQgbrwH/5rv2sFw+w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fNL3HAAAA3AAAAA8AAAAAAAAAAAAAAAAAmAIAAGRy&#10;cy9kb3ducmV2LnhtbFBLBQYAAAAABAAEAPUAAACMAwAAAAA=&#10;" fillcolor="black" stroked="f"/>
              <v:oval id="Oval 215" o:spid="_x0000_s7810" style="position:absolute;left:5171;top:917;width:98;height: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gvBr8A&#10;AADcAAAADwAAAGRycy9kb3ducmV2LnhtbERPy4rCMBTdD/gP4QruxlQRkWoUEWQGBMEXbq/Ntak2&#10;N6VJtf69WQguD+c9W7S2FA+qfeFYwaCfgCDOnC44V3A8rH8nIHxA1lg6JgUv8rCYd35mmGr35B09&#10;9iEXMYR9igpMCFUqpc8MWfR9VxFH7upqiyHCOpe6xmcMt6UcJslYWiw4NhisaGUou+8bq8Bud6Y5&#10;XeytaLbtJpxvbvR3cEr1uu1yCiJQG77ij/tfKxgN49p4Jh4B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C8GvwAAANwAAAAPAAAAAAAAAAAAAAAAAJgCAABkcnMvZG93bnJl&#10;di54bWxQSwUGAAAAAAQABAD1AAAAhAMAAAAA&#10;" filled="f" strokeweight=".7pt">
                <v:stroke endcap="round"/>
              </v:oval>
              <v:rect id="Rectangle 216" o:spid="_x0000_s7811" style="position:absolute;left:4209;top:1140;width:28;height:1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FVMYA&#10;AADcAAAADwAAAGRycy9kb3ducmV2LnhtbESPQWvCQBSE7wX/w/IKvdVNQyoaXcUIhV4KVXuot2f2&#10;mQSzb+PuVtP+ercgeBxm5htmtuhNK87kfGNZwcswAUFcWt1wpeBr+/Y8BuEDssbWMin4JQ+L+eBh&#10;hrm2F17TeRMqESHsc1RQh9DlUvqyJoN+aDvi6B2sMxiidJXUDi8RblqZJslIGmw4LtTY0aqm8rj5&#10;MQqKybg4fWb88bfe72j3vT++pi5R6umxX05BBOrDPXxrv2sFWTq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0wFVMYAAADcAAAADwAAAAAAAAAAAAAAAACYAgAAZHJz&#10;L2Rvd25yZXYueG1sUEsFBgAAAAAEAAQA9QAAAIsDAAAAAA==&#10;" fillcolor="black" stroked="f"/>
              <v:rect id="Rectangle 217" o:spid="_x0000_s7812" style="position:absolute;left:4209;top:1140;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86FMMA&#10;AADcAAAADwAAAGRycy9kb3ducmV2LnhtbERPy2oCMRTdF/yHcAV3NaO1oqNRtFDoplAfC91dJ9eZ&#10;wcnNmESd+vVmIbg8nPd03phKXMn50rKCXjcBQZxZXXKuYLv5fh+B8AFZY2WZFPyTh/ms9TbFVNsb&#10;r+i6DrmIIexTVFCEUKdS+qwgg75ra+LIHa0zGCJ0udQObzHcVLKfJENpsOTYUGBNXwVlp/XFKFiO&#10;R8vz34B/76vDnva7w+mz7xKlOu1mMQERqAkv8dP9oxUMPuL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86FMMAAADcAAAADwAAAAAAAAAAAAAAAACYAgAAZHJzL2Rv&#10;d25yZXYueG1sUEsFBgAAAAAEAAQA9QAAAIgDAAAAAA==&#10;" fillcolor="black" stroked="f"/>
              <v:rect id="Rectangle 218" o:spid="_x0000_s7813" style="position:absolute;left:4209;top:1238;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Ofj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8fM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jn4/HAAAA3AAAAA8AAAAAAAAAAAAAAAAAmAIAAGRy&#10;cy9kb3ducmV2LnhtbFBLBQYAAAAABAAEAPUAAACMAwAAAAA=&#10;" fillcolor="black" stroked="f"/>
              <v:rect id="Rectangle 219" o:spid="_x0000_s7814" style="position:absolute;left:4181;top:1154;width:84;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B+McA&#10;AADcAAAADwAAAGRycy9kb3ducmV2LnhtbESPT2sCMRTE7wW/Q3iCt5p1taKrUbRQ6KVQ/xz09tw8&#10;dxc3L9sk1W0/fSMUPA4z8xtmvmxNLa7kfGVZwaCfgCDOra64ULDfvT1PQPiArLG2TAp+yMNy0Xma&#10;Y6btjTd03YZCRAj7DBWUITSZlD4vyaDv24Y4emfrDIYoXSG1w1uEm1qmSTKWBiuOCyU29FpSftl+&#10;GwXr6WT99Tnij9/N6UjHw+nykrpEqV63Xc1ABGrDI/zfftcKRs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xAfjHAAAA3AAAAA8AAAAAAAAAAAAAAAAAmAIAAGRy&#10;cy9kb3ducmV2LnhtbFBLBQYAAAAABAAEAPUAAACMAwAAAAA=&#10;" fillcolor="black" stroked="f"/>
              <v:rect id="Rectangle 220" o:spid="_x0000_s7815" style="position:absolute;left:4181;top:1210;width:84;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2kY8YA&#10;AADcAAAADwAAAGRycy9kb3ducmV2LnhtbESPT2sCMRTE70K/Q3gFb5qtf4quRqmC0ItQrQe9PTev&#10;u4ubl20SdeunbwTB4zAzv2Gm88ZU4kLOl5YVvHUTEMSZ1SXnCnbfq84IhA/IGivLpOCPPMxnL60p&#10;ptpeeUOXbchFhLBPUUERQp1K6bOCDPqurYmj92OdwRCly6V2eI1wU8lekrxLgyXHhQJrWhaUnbZn&#10;o2AxHi1+vwa8vm2OBzrsj6dhzyVKtV+bjwmIQE14hh/tT61g0O/D/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2kY8YAAADcAAAADwAAAAAAAAAAAAAAAACYAgAAZHJz&#10;L2Rvd25yZXYueG1sUEsFBgAAAAAEAAQA9QAAAIsDAAAAAA==&#10;" fillcolor="black" stroked="f"/>
              <v:rect id="Rectangle 221" o:spid="_x0000_s7816" style="position:absolute;left:4168;top:1182;width:111;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8F8cA&#10;AADcAAAADwAAAGRycy9kb3ducmV2LnhtbESPT2sCMRTE7wW/Q3iCt5pVt6KrUbRQ6KVQ/xz09tw8&#10;dxc3L9sk1W0/fSMUPA4z8xtmvmxNLa7kfGVZwaCfgCDOra64ULDfvT1PQPiArLG2TAp+yMNy0Xma&#10;Y6btjTd03YZCRAj7DBWUITSZlD4vyaDv24Y4emfrDIYoXSG1w1uEm1oOk2QsDVYcF0ps6LWk/LL9&#10;NgrW08n66zPlj9/N6UjHw+nyMnSJUr1uu5qBCNSGR/i//a4VpK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UPBfHAAAA3AAAAA8AAAAAAAAAAAAAAAAAmAIAAGRy&#10;cy9kb3ducmV2LnhtbFBLBQYAAAAABAAEAPUAAACMAwAAAAA=&#10;" fillcolor="black" stroked="f"/>
              <v:rect id="Rectangle 222" o:spid="_x0000_s7817" style="position:absolute;left:4168;top:1196;width:111;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iZjMYA&#10;AADcAAAADwAAAGRycy9kb3ducmV2LnhtbESPT2sCMRTE70K/Q3gFb5qtf4rdGkUFwUtBbQ/19ty8&#10;7i5uXtYk6tZPbwTB4zAzv2HG08ZU4kzOl5YVvHUTEMSZ1SXnCn6+l50RCB+QNVaWScE/eZhOXlpj&#10;TLW98IbO25CLCGGfooIihDqV0mcFGfRdWxNH7886gyFKl0vt8BLhppK9JHmXBkuOCwXWtCgoO2xP&#10;RsH8YzQ/rgf8dd3sd7T73R+GPZco1X5tZp8gAjXhGX60V1rBoD+E+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9iZjMYAAADcAAAADwAAAAAAAAAAAAAAAACYAgAAZHJz&#10;L2Rvd25yZXYueG1sUEsFBgAAAAAEAAQA9QAAAIsDAAAAAA==&#10;" fillcolor="black" stroked="f"/>
              <v:rect id="Rectangle 223" o:spid="_x0000_s7818" style="position:absolute;left:4168;top:1196;width:111;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oH+8YA&#10;AADcAAAADwAAAGRycy9kb3ducmV2LnhtbESPT2sCMRTE70K/Q3gFb5qt/7Bbo6ggeCmo7aHenpvX&#10;3cXNy5pE3frpjSD0OMzMb5jJrDGVuJDzpWUFb90EBHFmdcm5gu+vVWcMwgdkjZVlUvBHHmbTl9YE&#10;U22vvKXLLuQiQtinqKAIoU6l9FlBBn3X1sTR+7XOYIjS5VI7vEa4qWQvSUbSYMlxocCalgVlx93Z&#10;KFi8jxenzYA/b9vDnvY/h+Ow5xKl2q/N/ANEoCb8h5/ttVYw6I/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oH+8YAAADcAAAADwAAAAAAAAAAAAAAAACYAgAAZHJz&#10;L2Rvd25yZXYueG1sUEsFBgAAAAAEAAQA9QAAAIsDAAAAAA==&#10;" fillcolor="black" stroked="f"/>
              <v:rect id="Rectangle 224" o:spid="_x0000_s7819" style="position:absolute;left:4168;top:1182;width:111;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iYMcA&#10;AADcAAAADwAAAGRycy9kb3ducmV2LnhtbESPT2sCMRTE7wW/Q3hCbzVbq9VujaKC0ItQ/xz09ty8&#10;7i5uXtYk6tZPb4RCj8PM/IYZTRpTiQs5X1pW8NpJQBBnVpecK9huFi9DED4ga6wsk4Jf8jAZt55G&#10;mGp75RVd1iEXEcI+RQVFCHUqpc8KMug7tiaO3o91BkOULpfa4TXCTSW7SfIuDZYcFwqsaV5Qdlyf&#10;jYLZx3B2+u7x8rY67Gm/Oxz7XZco9dxupp8gAjXhP/zX/tIKem8D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GomDHAAAA3AAAAA8AAAAAAAAAAAAAAAAAmAIAAGRy&#10;cy9kb3ducmV2LnhtbFBLBQYAAAAABAAEAPUAAACMAwAAAAA=&#10;" fillcolor="black" stroked="f"/>
              <v:oval id="Oval 225" o:spid="_x0000_s7820" style="position:absolute;left:4168;top:1140;width:97;height: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G528IA&#10;AADcAAAADwAAAGRycy9kb3ducmV2LnhtbERPW2vCMBR+H/gfwhF8m6mzDOmMIsJQGAj1wl7PmrOm&#10;2pyUJNXu3y8Pgz1+fPflerCtuJMPjWMFs2kGgrhyuuFawfn0/rwAESKyxtYxKfihAOvV6GmJhXYP&#10;Lul+jLVIIRwKVGBi7AopQ2XIYpi6jjhx385bjAn6WmqPjxRuW/mSZa/SYsOpwWBHW0PV7dhbBfZQ&#10;mv7yZa9Nfxg+4ufV5buTU2oyHjZvICIN8V/8595rBfk8rU1n0h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IbnbwgAAANwAAAAPAAAAAAAAAAAAAAAAAJgCAABkcnMvZG93&#10;bnJldi54bWxQSwUGAAAAAAQABAD1AAAAhwMAAAAA&#10;" filled="f" strokeweight=".7pt">
                <v:stroke endcap="round"/>
              </v:oval>
              <v:rect id="Rectangle 226" o:spid="_x0000_s7821" style="position:absolute;left:4934;top:1573;width:28;height: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TiccA&#10;AADcAAAADwAAAGRycy9kb3ducmV2LnhtbESPQWvCQBSE74X+h+UVequbWls0ZpUqCF4Kaj3o7SX7&#10;TILZt3F31dhf7xYKPQ4z8w2TTTvTiAs5X1tW8NpLQBAXVtdcKth+L16GIHxA1thYJgU38jCdPD5k&#10;mGp75TVdNqEUEcI+RQVVCG0qpS8qMuh7tiWO3sE6gyFKV0rt8BrhppH9JPmQBmuOCxW2NK+oOG7O&#10;RsFsNJydVgP++lnne9rv8uN73yVKPT91n2MQgbrwH/5rL7WCwds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Vk4nHAAAA3AAAAA8AAAAAAAAAAAAAAAAAmAIAAGRy&#10;cy9kb3ducmV2LnhtbFBLBQYAAAAABAAEAPUAAACMAwAAAAA=&#10;" fillcolor="black" stroked="f"/>
              <v:rect id="Rectangle 227" o:spid="_x0000_s7822" style="position:absolute;left:4934;top:1573;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lJacMA&#10;AADcAAAADwAAAGRycy9kb3ducmV2LnhtbERPz2vCMBS+C/sfwhO8aapUcdUocyB4EdTtMG/P5tkW&#10;m5cuidrtrzcHwePH93u+bE0tbuR8ZVnBcJCAIM6trrhQ8P217k9B+ICssbZMCv7Iw3Lx1pljpu2d&#10;93Q7hELEEPYZKihDaDIpfV6SQT+wDXHkztYZDBG6QmqH9xhuajlKkok0WHFsKLGhz5Lyy+FqFKze&#10;p6vfXcrb//3pSMef02U8colSvW77MQMRqA0v8dO90QrSNM6P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lJacMAAADcAAAADwAAAAAAAAAAAAAAAACYAgAAZHJzL2Rv&#10;d25yZXYueG1sUEsFBgAAAAAEAAQA9QAAAIgDAAAAAA==&#10;" fillcolor="black" stroked="f"/>
              <v:rect id="Rectangle 228" o:spid="_x0000_s7823" style="position:absolute;left:4934;top:1670;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Xs8sYA&#10;AADcAAAADwAAAGRycy9kb3ducmV2LnhtbESPQWsCMRSE74L/IbxCb5pV1qKrUbRQ8CKo9aC35+Z1&#10;d3Hzsk2ibvvrG0HocZiZb5jZojW1uJHzlWUFg34Cgji3uuJCweHzozcG4QOyxtoyKfghD4t5tzPD&#10;TNs77+i2D4WIEPYZKihDaDIpfV6SQd+3DXH0vqwzGKJ0hdQO7xFuajlMkjdpsOK4UGJD7yXll/3V&#10;KFhNxqvvbcqb3935RKfj+TIaukSp15d2OQURqA3/4Wd7rRWk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Xs8sYAAADcAAAADwAAAAAAAAAAAAAAAACYAgAAZHJz&#10;L2Rvd25yZXYueG1sUEsFBgAAAAAEAAQA9QAAAIsDAAAAAA==&#10;" fillcolor="black" stroked="f"/>
              <v:rect id="Rectangle 229" o:spid="_x0000_s7824" style="position:absolute;left:4906;top:1587;width:84;height: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dyhcYA&#10;AADcAAAADwAAAGRycy9kb3ducmV2LnhtbESPQWvCQBSE74X+h+UVvDWbhlhsdJVaEHoR1PZQb8/s&#10;Mwlm36a7W43++q4geBxm5htmMutNK47kfGNZwUuSgiAurW64UvD9tXgegfABWWNrmRScycNs+vgw&#10;wULbE6/puAmViBD2BSqoQ+gKKX1Zk0Gf2I44envrDIYoXSW1w1OEm1ZmafoqDTYcF2rs6KOm8rD5&#10;Mwrmb6P57yrn5WW929L2Z3cYZi5VavDUv49BBOrDPXxrf2oFeZ7B9Uw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dyhcYAAADcAAAADwAAAAAAAAAAAAAAAACYAgAAZHJz&#10;L2Rvd25yZXYueG1sUEsFBgAAAAAEAAQA9QAAAIsDAAAAAA==&#10;" fillcolor="black" stroked="f"/>
              <v:rect id="Rectangle 230" o:spid="_x0000_s7825" style="position:absolute;left:4906;top:1642;width:84;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vXHscA&#10;AADcAAAADwAAAGRycy9kb3ducmV2LnhtbESPT2sCMRTE7wW/Q3iCt5pVt6KrUbRQ6KVQ/xz09tw8&#10;dxc3L9sk1W0/fSMUPA4z8xtmvmxNLa7kfGVZwaCfgCDOra64ULDfvT1PQPiArLG2TAp+yMNy0Xma&#10;Y6btjTd03YZCRAj7DBWUITSZlD4vyaDv24Y4emfrDIYoXSG1w1uEm1oOk2QsDVYcF0ps6LWk/LL9&#10;NgrW08n66zPlj9/N6UjHw+nyMnSJUr1uu5qBCNSGR/i//a4VpOk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71x7HAAAA3AAAAA8AAAAAAAAAAAAAAAAAmAIAAGRy&#10;cy9kb3ducmV2LnhtbFBLBQYAAAAABAAEAPUAAACMAwAAAAA=&#10;" fillcolor="black" stroked="f"/>
              <v:rect id="Rectangle 231" o:spid="_x0000_s7826" style="position:absolute;left:4892;top:1614;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JPasYA&#10;AADcAAAADwAAAGRycy9kb3ducmV2LnhtbESPQWvCQBSE70L/w/IK3nRTiWJTN1ILgheh2h7q7Zl9&#10;TUKyb9PdVdP+ercgeBxm5htmsexNK87kfG1ZwdM4AUFcWF1zqeDzYz2ag/ABWWNrmRT8kodl/jBY&#10;YKbthXd03odSRAj7DBVUIXSZlL6oyKAf2444et/WGQxRulJqh5cIN62cJMlMGqw5LlTY0VtFRbM/&#10;GQWr5/nq5z3l7d/ueKDD17GZTlyi1PCxf30BEagP9/CtvdEK0jS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JPasYAAADcAAAADwAAAAAAAAAAAAAAAACYAgAAZHJz&#10;L2Rvd25yZXYueG1sUEsFBgAAAAAEAAQA9QAAAIsDAAAAAA==&#10;" fillcolor="black" stroked="f"/>
              <v:rect id="Rectangle 232" o:spid="_x0000_s7827" style="position:absolute;left:4892;top:1628;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7q8cYA&#10;AADcAAAADwAAAGRycy9kb3ducmV2LnhtbESPT2sCMRTE74V+h/AK3mpWWUVXo2ih0EvBPz3U23Pz&#10;3F3cvKxJ1G0/vREEj8PM/IaZzltTiws5X1lW0OsmIIhzqysuFPxsP99HIHxA1lhbJgV/5GE+e32Z&#10;Yqbtldd02YRCRAj7DBWUITSZlD4vyaDv2oY4egfrDIYoXSG1w2uEm1r2k2QoDVYcF0ps6KOk/Lg5&#10;GwXL8Wh5WqX8/b/e72j3uz8O+i5RqvPWLiYgArXhGX60v7SCNB3A/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7q8cYAAADcAAAADwAAAAAAAAAAAAAAAACYAgAAZHJz&#10;L2Rvd25yZXYueG1sUEsFBgAAAAAEAAQA9QAAAIsDAAAAAA==&#10;" fillcolor="black" stroked="f"/>
              <v:rect id="Rectangle 233" o:spid="_x0000_s7828" style="position:absolute;left:4892;top:1628;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0hsYA&#10;AADcAAAADwAAAGRycy9kb3ducmV2LnhtbESPQWsCMRSE74X+h/AK3mpWWUVXo2ih0Euhag/19tw8&#10;dxc3L2sSdfXXN4LgcZiZb5jpvDW1OJPzlWUFvW4Cgji3uuJCwe/m830EwgdkjbVlUnAlD/PZ68sU&#10;M20vvKLzOhQiQthnqKAMocmk9HlJBn3XNsTR21tnMETpCqkdXiLc1LKfJENpsOK4UGJDHyXlh/XJ&#10;KFiOR8vjT8rft9VuS9u/3WHQd4lSnbd2MQERqA3P8KP9pRWk6RD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x0hsYAAADcAAAADwAAAAAAAAAAAAAAAACYAgAAZHJz&#10;L2Rvd25yZXYueG1sUEsFBgAAAAAEAAQA9QAAAIsDAAAAAA==&#10;" fillcolor="black" stroked="f"/>
              <v:rect id="Rectangle 234" o:spid="_x0000_s7829" style="position:absolute;left:4892;top:1614;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DRHccA&#10;AADcAAAADwAAAGRycy9kb3ducmV2LnhtbESPT2sCMRTE74V+h/AEbzWrbKuuRqkFwUuh/jno7bl5&#10;7i5uXrZJ1G0/fSMUPA4z8xtmOm9NLa7kfGVZQb+XgCDOra64ULDbLl9GIHxA1lhbJgU/5GE+e36a&#10;Yqbtjdd03YRCRAj7DBWUITSZlD4vyaDv2YY4eifrDIYoXSG1w1uEm1oOkuRNGqw4LpTY0EdJ+Xlz&#10;MQoW49Hi+yvlz9/18UCH/fH8OnCJUt1O+z4BEagNj/B/e6UVpOkQ7m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A0R3HAAAA3AAAAA8AAAAAAAAAAAAAAAAAmAIAAGRy&#10;cy9kb3ducmV2LnhtbFBLBQYAAAAABAAEAPUAAACMAwAAAAA=&#10;" fillcolor="black" stroked="f"/>
              <v:oval id="Oval 235" o:spid="_x0000_s7830" style="position:absolute;left:4892;top:1573;width:98;height: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KpsIA&#10;AADcAAAADwAAAGRycy9kb3ducmV2LnhtbERPXWvCMBR9F/wP4Qp7s+lGkdEZZQzEwUBoq+z1rrlr&#10;6pqb0qS2+/fLg7DHw/ne7mfbiRsNvnWs4DFJQRDXTrfcKDhXh/UzCB+QNXaOScEvedjvlost5tpN&#10;XNCtDI2IIexzVGBC6HMpfW3Iok9cTxy5bzdYDBEOjdQDTjHcdvIpTTfSYsuxwWBPb4bqn3K0Cuyp&#10;MOPly17b8TR/hM+ry46VU+phNb++gAg0h3/x3f2uFWRZXBvPxCM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J8qmwgAAANwAAAAPAAAAAAAAAAAAAAAAAJgCAABkcnMvZG93&#10;bnJldi54bWxQSwUGAAAAAAQABAD1AAAAhwMAAAAA&#10;" filled="f" strokeweight=".7pt">
                <v:stroke endcap="round"/>
              </v:oval>
              <v:rect id="Rectangle 236" o:spid="_x0000_s7831" style="position:absolute;left:4335;top:1796;width:28;height: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g9MYA&#10;AADcAAAADwAAAGRycy9kb3ducmV2LnhtbESPQWvCQBSE7wX/w/IKvdVNQyoaXcUIhV4KVXuot2f2&#10;mQSzb+PuVtP+ercgeBxm5htmtuhNK87kfGNZwcswAUFcWt1wpeBr+/Y8BuEDssbWMin4JQ+L+eBh&#10;hrm2F17TeRMqESHsc1RQh9DlUvqyJoN+aDvi6B2sMxiidJXUDi8RblqZJslIGmw4LtTY0aqm8rj5&#10;MQqKybg4fWb88bfe72j3vT++pi5R6umxX05BBOrDPXxrv2sFWTa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Pg9MYAAADcAAAADwAAAAAAAAAAAAAAAACYAgAAZHJz&#10;L2Rvd25yZXYueG1sUEsFBgAAAAAEAAQA9QAAAIsDAAAAAA==&#10;" fillcolor="black" stroked="f"/>
              <v:rect id="Rectangle 237" o:spid="_x0000_s7832" style="position:absolute;left:4335;top:1796;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DftMQA&#10;AADcAAAADwAAAGRycy9kb3ducmV2LnhtbERPz2vCMBS+C/4P4Qm7aTpph1aj6GCwy2A6D3p7Nm9t&#10;sXmpSdZ2++uXw2DHj+/3ejuYRnTkfG1ZweMsAUFcWF1zqeD08TJdgPABWWNjmRR8k4ftZjxaY65t&#10;zwfqjqEUMYR9jgqqENpcSl9UZNDPbEscuU/rDIYIXSm1wz6Gm0bOk+RJGqw5NlTY0nNFxe34ZRTs&#10;l4v9/T3lt5/D9UKX8/WWzV2i1MNk2K1ABBrCv/jP/aoVpFmcH8/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w37TEAAAA3AAAAA8AAAAAAAAAAAAAAAAAmAIAAGRycy9k&#10;b3ducmV2LnhtbFBLBQYAAAAABAAEAPUAAACJAwAAAAA=&#10;" fillcolor="black" stroked="f"/>
              <v:rect id="Rectangle 238" o:spid="_x0000_s7833" style="position:absolute;left:4335;top:1893;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6L8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hj2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x6L8YAAADcAAAADwAAAAAAAAAAAAAAAACYAgAAZHJz&#10;L2Rvd25yZXYueG1sUEsFBgAAAAAEAAQA9QAAAIsDAAAAAA==&#10;" fillcolor="black" stroked="f"/>
              <v:rect id="Rectangle 239" o:spid="_x0000_s7834" style="position:absolute;left:4307;top:1810;width:84;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7kWMYA&#10;AADcAAAADwAAAGRycy9kb3ducmV2LnhtbESPT2sCMRTE74V+h/AKvdWsi4quRlFB6KXgnx7q7bl5&#10;7i5uXtYk1W0/vREEj8PM/IaZzFpTiws5X1lW0O0kIIhzqysuFHzvVh9DED4ga6wtk4I/8jCbvr5M&#10;MNP2yhu6bEMhIoR9hgrKEJpMSp+XZNB3bEMcvaN1BkOUrpDa4TXCTS3TJBlIgxXHhRIbWpaUn7a/&#10;RsFiNFyc1z3++t8c9rT/OZz6qUuUen9r52MQgdrwDD/an1pBr5/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7kWMYAAADcAAAADwAAAAAAAAAAAAAAAACYAgAAZHJz&#10;L2Rvd25yZXYueG1sUEsFBgAAAAAEAAQA9QAAAIsDAAAAAA==&#10;" fillcolor="black" stroked="f"/>
              <v:rect id="Rectangle 240" o:spid="_x0000_s7835" style="position:absolute;left:4307;top:1865;width:84;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JBw8YA&#10;AADcAAAADwAAAGRycy9kb3ducmV2LnhtbESPT2sCMRTE70K/Q3gFb5qtf4rdGkUFwUtBbQ/19ty8&#10;7i5uXtYk6tZPbwTB4zAzv2HG08ZU4kzOl5YVvHUTEMSZ1SXnCn6+l50RCB+QNVaWScE/eZhOXlpj&#10;TLW98IbO25CLCGGfooIihDqV0mcFGfRdWxNH7886gyFKl0vt8BLhppK9JHmXBkuOCwXWtCgoO2xP&#10;RsH8YzQ/rgf8dd3sd7T73R+GPZco1X5tZp8gAjXhGX60V1rBYNiH+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JBw8YAAADcAAAADwAAAAAAAAAAAAAAAACYAgAAZHJz&#10;L2Rvd25yZXYueG1sUEsFBgAAAAAEAAQA9QAAAIsDAAAAAA==&#10;" fillcolor="black" stroked="f"/>
              <v:rect id="Rectangle 241" o:spid="_x0000_s7836" style="position:absolute;left:4293;top:1838;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vZt8YA&#10;AADcAAAADwAAAGRycy9kb3ducmV2LnhtbESPT2sCMRTE74V+h/AK3mpWWUVXo2ih0EvBPz3U23Pz&#10;3F3cvKxJ1G0/vREEj8PM/IaZzltTiws5X1lW0OsmIIhzqysuFPxsP99HIHxA1lhbJgV/5GE+e32Z&#10;Yqbtldd02YRCRAj7DBWUITSZlD4vyaDv2oY4egfrDIYoXSG1w2uEm1r2k2QoDVYcF0ps6KOk/Lg5&#10;GwXL8Wh5WqX8/b/e72j3uz8O+i5RqvPWLiYgArXhGX60v7SCdJDC/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vZt8YAAADcAAAADwAAAAAAAAAAAAAAAACYAgAAZHJz&#10;L2Rvd25yZXYueG1sUEsFBgAAAAAEAAQA9QAAAIsDAAAAAA==&#10;" fillcolor="black" stroked="f"/>
              <v:rect id="Rectangle 242" o:spid="_x0000_s7837" style="position:absolute;left:4293;top:1852;width:112;height: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d8LMYA&#10;AADcAAAADwAAAGRycy9kb3ducmV2LnhtbESPQWsCMRSE7wX/Q3iCt5pV3KKrUVQQeimo7aHenpvn&#10;7uLmZU2ibvvrG0HocZiZb5jZojW1uJHzlWUFg34Cgji3uuJCwdfn5nUMwgdkjbVlUvBDHhbzzssM&#10;M23vvKPbPhQiQthnqKAMocmk9HlJBn3fNsTRO1lnMETpCqkd3iPc1HKYJG/SYMVxocSG1iXl5/3V&#10;KFhNxqvLdsQfv7vjgQ7fx3M6dIlSvW67nIII1Ib/8LP9rhWM0hQ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d8LMYAAADcAAAADwAAAAAAAAAAAAAAAACYAgAAZHJz&#10;L2Rvd25yZXYueG1sUEsFBgAAAAAEAAQA9QAAAIsDAAAAAA==&#10;" fillcolor="black" stroked="f"/>
              <v:rect id="Rectangle 243" o:spid="_x0000_s7838" style="position:absolute;left:4293;top:1852;width:112;height: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XiW8cA&#10;AADcAAAADwAAAGRycy9kb3ducmV2LnhtbESPQWvCQBSE7wX/w/IK3ppNRcWm2YgKQi9CtT3U2zP7&#10;mgSzb+PuVmN/fbcgeBxm5hsmn/emFWdyvrGs4DlJQRCXVjdcKfj8WD/NQPiArLG1TAqu5GFeDB5y&#10;zLS98JbOu1CJCGGfoYI6hC6T0pc1GfSJ7Yij922dwRClq6R2eIlw08pRmk6lwYbjQo0drWoqj7sf&#10;o2D5Mlue3se8+d0e9rT/OhwnI5cqNXzsF68gAvXhHr6137SC8WQK/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V4lvHAAAA3AAAAA8AAAAAAAAAAAAAAAAAmAIAAGRy&#10;cy9kb3ducmV2LnhtbFBLBQYAAAAABAAEAPUAAACMAwAAAAA=&#10;" fillcolor="black" stroked="f"/>
              <v:rect id="Rectangle 244" o:spid="_x0000_s7839" style="position:absolute;left:4293;top:1838;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lHwMYA&#10;AADcAAAADwAAAGRycy9kb3ducmV2LnhtbESPQWsCMRSE70L/Q3gFb5qtqNXVKFUQehGq9aC35+Z1&#10;d3Hzsk2ibv31jSB4HGbmG2Y6b0wlLuR8aVnBWzcBQZxZXXKuYPe96oxA+ICssbJMCv7Iw3z20ppi&#10;qu2VN3TZhlxECPsUFRQh1KmUPivIoO/amjh6P9YZDFG6XGqH1wg3lewlyVAaLDkuFFjTsqDstD0b&#10;BYvxaPH71ef1bXM80GF/PA16LlGq/dp8TEAEasIz/Gh/agX9wTvcz8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lHwMYAAADcAAAADwAAAAAAAAAAAAAAAACYAgAAZHJz&#10;L2Rvd25yZXYueG1sUEsFBgAAAAAEAAQA9QAAAIsDAAAAAA==&#10;" fillcolor="black" stroked="f"/>
              <v:oval id="Oval 245" o:spid="_x0000_s7840" style="position:absolute;left:4293;top:1796;width:98;height: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5ce8AA&#10;AADcAAAADwAAAGRycy9kb3ducmV2LnhtbERPy4rCMBTdC/5DuII7TR1UpGMUEQYFQfDFbO80d5pq&#10;c1OaVOvfm4Xg8nDe82VrS3Gn2heOFYyGCQjizOmCcwXn089gBsIHZI2lY1LwJA/LRbczx1S7Bx/o&#10;fgy5iCHsU1RgQqhSKX1myKIfuoo4cv+uthgirHOpa3zEcFvKrySZSosFxwaDFa0NZbdjYxXY/cE0&#10;lz97LZp9uwu/VzfenJxS/V67+gYRqA0f8du91QrGk7g2nolHQC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5ce8AAAADcAAAADwAAAAAAAAAAAAAAAACYAgAAZHJzL2Rvd25y&#10;ZXYueG1sUEsFBgAAAAAEAAQA9QAAAIUDAAAAAA==&#10;" filled="f" strokeweight=".7pt">
                <v:stroke endcap="round"/>
              </v:oval>
              <v:rect id="Rectangle 246" o:spid="_x0000_s7841" style="position:absolute;left:3052;top:2242;width:28;height:1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p2KcYA&#10;AADcAAAADwAAAGRycy9kb3ducmV2LnhtbESPQWsCMRSE74L/ITyhNzerqOjWKFUQeimo7aHenpvn&#10;7uLmZZukuu2vN4LgcZiZb5j5sjW1uJDzlWUFgyQFQZxbXXGh4Otz05+C8AFZY22ZFPyRh+Wi25lj&#10;pu2Vd3TZh0JECPsMFZQhNJmUPi/JoE9sQxy9k3UGQ5SukNrhNcJNLYdpOpEGK44LJTa0Lik/73+N&#10;gtVsuvrZjvjjf3c80OH7eB4PXarUS699ewURqA3P8KP9rhWMxj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p2KcYAAADcAAAADwAAAAAAAAAAAAAAAACYAgAAZHJz&#10;L2Rvd25yZXYueG1sUEsFBgAAAAAEAAQA9QAAAIsDAAAAAA==&#10;" fillcolor="black" stroked="f"/>
              <v:rect id="Rectangle 247" o:spid="_x0000_s7842" style="position:absolute;left:3052;top:2242;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wVCcIA&#10;AADcAAAADwAAAGRycy9kb3ducmV2LnhtbERPy4rCMBTdD/gP4QqzG1NFRatRVBDcCD5mMe6uzbUt&#10;Njc1yWj16yeLAZeH857OG1OJOzlfWlbQ7SQgiDOrS84VfB/XXyMQPiBrrCyTgid5mM9aH1NMtX3w&#10;nu6HkIsYwj5FBUUIdSqlzwoy6Du2Jo7cxTqDIUKXS+3wEcNNJXtJMpQGS44NBda0Kii7Hn6NguV4&#10;tLzt+rx97c8nOv2cr4OeS5T6bDeLCYhATXiL/90braA/jPPj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BUJwgAAANwAAAAPAAAAAAAAAAAAAAAAAJgCAABkcnMvZG93&#10;bnJldi54bWxQSwUGAAAAAAQABAD1AAAAhwMAAAAA&#10;" fillcolor="black" stroked="f"/>
              <v:rect id="Rectangle 248" o:spid="_x0000_s7843" style="position:absolute;left:3052;top:2340;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CwksYA&#10;AADcAAAADwAAAGRycy9kb3ducmV2LnhtbESPQWvCQBSE70L/w/IK3nSjqNg0G6mC4EVQ20O9PbOv&#10;STD7Nt1dNfbXu4VCj8PMfMNki8404krO15YVjIYJCOLC6ppLBR/v68EchA/IGhvLpOBOHhb5Uy/D&#10;VNsb7+l6CKWIEPYpKqhCaFMpfVGRQT+0LXH0vqwzGKJ0pdQObxFuGjlOkpk0WHNcqLClVUXF+XAx&#10;CpYv8+X3bsLbn/3pSMfP03k6dolS/efu7RVEoC78h//aG61gMhvB75l4BG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CwksYAAADcAAAADwAAAAAAAAAAAAAAAACYAgAAZHJz&#10;L2Rvd25yZXYueG1sUEsFBgAAAAAEAAQA9QAAAIsDAAAAAA==&#10;" fillcolor="black" stroked="f"/>
              <v:rect id="Rectangle 249" o:spid="_x0000_s7844" style="position:absolute;left:3025;top:2256;width:83;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Iu5cYA&#10;AADcAAAADwAAAGRycy9kb3ducmV2LnhtbESPQWsCMRSE74X+h/AKvdWsi4quRlFB6KVQtYd6e26e&#10;u4ublzVJdfXXN4LgcZiZb5jJrDW1OJPzlWUF3U4Cgji3uuJCwc929TEE4QOyxtoyKbiSh9n09WWC&#10;mbYXXtN5EwoRIewzVFCG0GRS+rwkg75jG+LoHawzGKJ0hdQOLxFuapkmyUAarDgulNjQsqT8uPkz&#10;Chaj4eL03eOv23q/o93v/thPXaLU+1s7H4MI1IZn+NH+1Ap6gxT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Iu5cYAAADcAAAADwAAAAAAAAAAAAAAAACYAgAAZHJz&#10;L2Rvd25yZXYueG1sUEsFBgAAAAAEAAQA9QAAAIsDAAAAAA==&#10;" fillcolor="black" stroked="f"/>
              <v:rect id="Rectangle 250" o:spid="_x0000_s7845" style="position:absolute;left:3025;top:2312;width:83;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6LfsYA&#10;AADcAAAADwAAAGRycy9kb3ducmV2LnhtbESPT2sCMRTE70K/Q3gFb5qt/7Bbo6ggeCmo7aHenpvX&#10;3cXNy5pE3frpjSD0OMzMb5jJrDGVuJDzpWUFb90EBHFmdcm5gu+vVWcMwgdkjZVlUvBHHmbTl9YE&#10;U22vvKXLLuQiQtinqKAIoU6l9FlBBn3X1sTR+7XOYIjS5VI7vEa4qWQvSUbSYMlxocCalgVlx93Z&#10;KFi8jxenzYA/b9vDnvY/h+Ow5xKl2q/N/ANEoCb8h5/ttVYwGPXh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6LfsYAAADcAAAADwAAAAAAAAAAAAAAAACYAgAAZHJz&#10;L2Rvd25yZXYueG1sUEsFBgAAAAAEAAQA9QAAAIsDAAAAAA==&#10;" fillcolor="black" stroked="f"/>
              <v:rect id="Rectangle 251" o:spid="_x0000_s7846" style="position:absolute;left:3011;top:2284;width:111;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cTCsYA&#10;AADcAAAADwAAAGRycy9kb3ducmV2LnhtbESPQWsCMRSE74X+h/AK3mpWWUVXo2ih0Euhag/19tw8&#10;dxc3L2sSdfXXN4LgcZiZb5jpvDW1OJPzlWUFvW4Cgji3uuJCwe/m830EwgdkjbVlUnAlD/PZ68sU&#10;M20vvKLzOhQiQthnqKAMocmk9HlJBn3XNsTR21tnMETpCqkdXiLc1LKfJENpsOK4UGJDHyXlh/XJ&#10;KFiOR8vjT8rft9VuS9u/3WHQd4lSnbd2MQERqA3P8KP9pRWkwxT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cTCsYAAADcAAAADwAAAAAAAAAAAAAAAACYAgAAZHJz&#10;L2Rvd25yZXYueG1sUEsFBgAAAAAEAAQA9QAAAIsDAAAAAA==&#10;" fillcolor="black" stroked="f"/>
              <v:rect id="Rectangle 252" o:spid="_x0000_s7847" style="position:absolute;left:3011;top:2298;width:111;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u2kccA&#10;AADcAAAADwAAAGRycy9kb3ducmV2LnhtbESPQWvCQBSE7wX/w/IK3ppNRcWm2YgKQi9CtT3U2zP7&#10;mgSzb+PuVmN/fbcgeBxm5hsmn/emFWdyvrGs4DlJQRCXVjdcKfj8WD/NQPiArLG1TAqu5GFeDB5y&#10;zLS98JbOu1CJCGGfoYI6hC6T0pc1GfSJ7Yij922dwRClq6R2eIlw08pRmk6lwYbjQo0drWoqj7sf&#10;o2D5Mlue3se8+d0e9rT/OhwnI5cqNXzsF68gAvXhHr6137SC8XQC/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rtpHHAAAA3AAAAA8AAAAAAAAAAAAAAAAAmAIAAGRy&#10;cy9kb3ducmV2LnhtbFBLBQYAAAAABAAEAPUAAACMAwAAAAA=&#10;" fillcolor="black" stroked="f"/>
              <v:rect id="Rectangle 253" o:spid="_x0000_s7848" style="position:absolute;left:3011;top:2298;width:111;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ko5sYA&#10;AADcAAAADwAAAGRycy9kb3ducmV2LnhtbESPQWsCMRSE74X+h/AKvdWsoouuRlFB6KVQtYd6e26e&#10;u4ublzVJdfXXN4LgcZiZb5jJrDW1OJPzlWUF3U4Cgji3uuJCwc929TEE4QOyxtoyKbiSh9n09WWC&#10;mbYXXtN5EwoRIewzVFCG0GRS+rwkg75jG+LoHawzGKJ0hdQOLxFuatlLklQarDgulNjQsqT8uPkz&#10;Chaj4eL03eev23q/o93v/jjouUSp97d2PgYRqA3P8KP9qRX00xT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ko5sYAAADcAAAADwAAAAAAAAAAAAAAAACYAgAAZHJz&#10;L2Rvd25yZXYueG1sUEsFBgAAAAAEAAQA9QAAAIsDAAAAAA==&#10;" fillcolor="black" stroked="f"/>
              <v:rect id="Rectangle 254" o:spid="_x0000_s7849" style="position:absolute;left:3011;top:2284;width:111;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fccA&#10;AADcAAAADwAAAGRycy9kb3ducmV2LnhtbESPzWsCMRTE7wX/h/AEbzWrWD9Wo1RB6KVQPw56e26e&#10;u4ubl20SdetfbwqFHoeZ+Q0zWzSmEjdyvrSsoNdNQBBnVpecK9jv1q9jED4ga6wsk4If8rCYt15m&#10;mGp75w3dtiEXEcI+RQVFCHUqpc8KMui7tiaO3tk6gyFKl0vt8B7hppL9JBlKgyXHhQJrWhWUXbZX&#10;o2A5GS+/vwb8+dicjnQ8nC5vfZco1Wk371MQgZrwH/5rf2gFg+EI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jX3HAAAA3AAAAA8AAAAAAAAAAAAAAAAAmAIAAGRy&#10;cy9kb3ducmV2LnhtbFBLBQYAAAAABAAEAPUAAACMAwAAAAA=&#10;" fillcolor="black" stroked="f"/>
              <v:oval id="Oval 255" o:spid="_x0000_s7850" style="position:absolute;left:3011;top:2242;width:97;height: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KWxsEA&#10;AADcAAAADwAAAGRycy9kb3ducmV2LnhtbERPW2vCMBR+H/gfwhF8m6lDinRGEUE2GBS84etZc9a0&#10;a05Kk9r675eHgY8f3329HW0j7tT5yrGCxTwBQVw4XXGp4HI+vK5A+ICssXFMCh7kYbuZvKwx027g&#10;I91PoRQxhH2GCkwIbSalLwxZ9HPXEkfux3UWQ4RdKXWHQwy3jXxLklRarDg2GGxpb6j4PfVWgc2P&#10;pr9+27rq8/Er3Gq3/Dg7pWbTcfcOItAYnuJ/96dWsEzj2ng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SlsbBAAAA3AAAAA8AAAAAAAAAAAAAAAAAmAIAAGRycy9kb3du&#10;cmV2LnhtbFBLBQYAAAAABAAEAPUAAACGAwAAAAA=&#10;" filled="f" strokeweight=".7pt">
                <v:stroke endcap="round"/>
              </v:oval>
              <v:rect id="Rectangle 256" o:spid="_x0000_s7851" style="position:absolute;left:3164;top:2465;width:28;height:1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a8lMYA&#10;AADcAAAADwAAAGRycy9kb3ducmV2LnhtbESPQWsCMRSE74L/ITyhNzerqOjWKFUQeilU20O9PTfP&#10;3cXNyzZJdfXXN4LgcZiZb5j5sjW1OJPzlWUFgyQFQZxbXXGh4Ptr05+C8AFZY22ZFFzJw3LR7cwx&#10;0/bCWzrvQiEihH2GCsoQmkxKn5dk0Ce2IY7e0TqDIUpXSO3wEuGmlsM0nUiDFceFEhtal5Sfdn9G&#10;wWo2Xf1+jvjjtj3saf9zOI2HLlXqpde+vYII1IZn+NF+1wpGkx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a8lMYAAADcAAAADwAAAAAAAAAAAAAAAACYAgAAZHJz&#10;L2Rvd25yZXYueG1sUEsFBgAAAAAEAAQA9QAAAIsDAAAAAA==&#10;" fillcolor="black" stroked="f"/>
              <v:rect id="Rectangle 257" o:spid="_x0000_s7852" style="position:absolute;left:3164;top:2465;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1MQA&#10;AADcAAAADwAAAGRycy9kb3ducmV2LnhtbERPz2vCMBS+C/4P4Qm7aaqo09ooOhh4GajbYd5em2db&#10;bF5qkmm3v345DHb8+H5nm8404k7O15YVjEcJCOLC6ppLBR/vr8MFCB+QNTaWScE3edis+70MU20f&#10;fKT7KZQihrBPUUEVQptK6YuKDPqRbYkjd7HOYIjQlVI7fMRw08hJksylwZpjQ4UtvVRUXE9fRsFu&#10;udjdDlN++znmZzp/5tfZxCVKPQ267QpEoC78i//ce61g+hznx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Fg9TEAAAA3AAAAA8AAAAAAAAAAAAAAAAAmAIAAGRycy9k&#10;b3ducmV2LnhtbFBLBQYAAAAABAAEAPUAAACJAwAAAAA=&#10;" fillcolor="black" stroked="f"/>
              <v:rect id="Rectangle 258" o:spid="_x0000_s7853" style="position:absolute;left:3164;top:2563;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mT8YA&#10;AADcAAAADwAAAGRycy9kb3ducmV2LnhtbESPT2sCMRTE7wW/Q3iCt5pVtOpqFC0IXgr1z0Fvz81z&#10;d3Hzsk2irv30TaHQ4zAzv2Fmi8ZU4k7Ol5YV9LoJCOLM6pJzBYf9+nUMwgdkjZVlUvAkD4t562WG&#10;qbYP3tJ9F3IRIexTVFCEUKdS+qwgg75ra+LoXawzGKJ0udQOHxFuKtlPkjdpsOS4UGBN7wVl193N&#10;KFhNxquvzwF/fG/PJzodz9dh3yVKddrNcgoiUBP+w3/tjVYwGPXg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kmT8YAAADcAAAADwAAAAAAAAAAAAAAAACYAgAAZHJz&#10;L2Rvd25yZXYueG1sUEsFBgAAAAAEAAQA9QAAAIsDAAAAAA==&#10;" fillcolor="black" stroked="f"/>
              <v:rect id="Rectangle 259" o:spid="_x0000_s7854" style="position:absolute;left:3136;top:2479;width:84;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4OMcA&#10;AADcAAAADwAAAGRycy9kb3ducmV2LnhtbESPQWvCQBSE74L/YXmF3symQVtNXUWFQi8FtT3o7Zl9&#10;TYLZt3F3q7G/3hUKPQ4z8w0znXemEWdyvras4ClJQRAXVtdcKvj6fBuMQfiArLGxTAqu5GE+6/em&#10;mGt74Q2dt6EUEcI+RwVVCG0upS8qMugT2xJH79s6gyFKV0rt8BLhppFZmj5LgzXHhQpbWlVUHLc/&#10;RsFyMl6e1kP++N0c9rTfHY6jzKVKPT50i1cQgbrwH/5rv2sFw5c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buDjHAAAA3AAAAA8AAAAAAAAAAAAAAAAAmAIAAGRy&#10;cy9kb3ducmV2LnhtbFBLBQYAAAAABAAEAPUAAACMAwAAAAA=&#10;" fillcolor="black" stroked="f"/>
              <v:rect id="Rectangle 260" o:spid="_x0000_s7855" style="position:absolute;left:3136;top:2535;width:84;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do8cA&#10;AADcAAAADwAAAGRycy9kb3ducmV2LnhtbESPT2sCMRTE7wW/Q3hCbzVbq9VujaKC0ItQ/xz09ty8&#10;7i5uXtYk6tZPb4RCj8PM/IYZTRpTiQs5X1pW8NpJQBBnVpecK9huFi9DED4ga6wsk4Jf8jAZt55G&#10;mGp75RVd1iEXEcI+RQVFCHUqpc8KMug7tiaO3o91BkOULpfa4TXCTSW7SfIuDZYcFwqsaV5Qdlyf&#10;jYLZx3B2+u7x8rY67Gm/Oxz7XZco9dxupp8gAjXhP/zX/tIKeoM3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XHaPHAAAA3AAAAA8AAAAAAAAAAAAAAAAAmAIAAGRy&#10;cy9kb3ducmV2LnhtbFBLBQYAAAAABAAEAPUAAACMAwAAAAA=&#10;" fillcolor="black" stroked="f"/>
              <v:rect id="Rectangle 261" o:spid="_x0000_s7856" style="position:absolute;left:3122;top:2507;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6F18cA&#10;AADcAAAADwAAAGRycy9kb3ducmV2LnhtbESPT2sCMRTE74V+h/AEbzWrbKuuRqkFwUuh/jno7bl5&#10;7i5uXrZJ1G0/fSMUPA4z8xtmOm9NLa7kfGVZQb+XgCDOra64ULDbLl9GIHxA1lhbJgU/5GE+e36a&#10;Yqbtjdd03YRCRAj7DBWUITSZlD4vyaDv2YY4eifrDIYoXSG1w1uEm1oOkuRNGqw4LpTY0EdJ+Xlz&#10;MQoW49Hi+yvlz9/18UCH/fH8OnCJUt1O+z4BEagNj/B/e6UVpMMU7m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hdfHAAAA3AAAAA8AAAAAAAAAAAAAAAAAmAIAAGRy&#10;cy9kb3ducmV2LnhtbFBLBQYAAAAABAAEAPUAAACMAwAAAAA=&#10;" fillcolor="black" stroked="f"/>
              <v:rect id="Rectangle 262" o:spid="_x0000_s7857" style="position:absolute;left:3122;top:2521;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gTMYA&#10;AADcAAAADwAAAGRycy9kb3ducmV2LnhtbESPQWsCMRSE70L/Q3gFb5qtqNXVKFUQehGq9aC35+Z1&#10;d3Hzsk2ibv31jSB4HGbmG2Y6b0wlLuR8aVnBWzcBQZxZXXKuYPe96oxA+ICssbJMCv7Iw3z20ppi&#10;qu2VN3TZhlxECPsUFRQh1KmUPivIoO/amjh6P9YZDFG6XGqH1wg3lewlyVAaLDkuFFjTsqDstD0b&#10;BYvxaPH71ef1bXM80GF/PA16LlGq/dp8TEAEasIz/Gh/agX99wHcz8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IgTMYAAADcAAAADwAAAAAAAAAAAAAAAACYAgAAZHJz&#10;L2Rvd25yZXYueG1sUEsFBgAAAAAEAAQA9QAAAIsDAAAAAA==&#10;" fillcolor="black" stroked="f"/>
              <v:rect id="Rectangle 263" o:spid="_x0000_s7858" style="position:absolute;left:3122;top:2521;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O8cA&#10;AADcAAAADwAAAGRycy9kb3ducmV2LnhtbESPzWsCMRTE7wX/h/AEbzWrWD9Wo1RB6KVQPw56e26e&#10;u4ubl20SdetfbwqFHoeZ+Q0zWzSmEjdyvrSsoNdNQBBnVpecK9jv1q9jED4ga6wsk4If8rCYt15m&#10;mGp75w3dtiEXEcI+RQVFCHUqpc8KMui7tiaO3tk6gyFKl0vt8B7hppL9JBlKgyXHhQJrWhWUXbZX&#10;o2A5GS+/vwb8+dicjnQ8nC5vfZco1Wk371MQgZrwH/5rf2gFg9EQ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gvjvHAAAA3AAAAA8AAAAAAAAAAAAAAAAAmAIAAGRy&#10;cy9kb3ducmV2LnhtbFBLBQYAAAAABAAEAPUAAACMAwAAAAA=&#10;" fillcolor="black" stroked="f"/>
              <v:rect id="Rectangle 264" o:spid="_x0000_s7859" style="position:absolute;left:3122;top:2507;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wboMcA&#10;AADcAAAADwAAAGRycy9kb3ducmV2LnhtbESPQWvCQBSE70L/w/IK3nRTsWrTrKKC0Iugtod6e2Zf&#10;k5Ds27i7auyv7xYKPQ4z8w2TLTrTiCs5X1lW8DRMQBDnVldcKPh43wxmIHxA1thYJgV38rCYP/Qy&#10;TLW98Z6uh1CICGGfooIyhDaV0uclGfRD2xJH78s6gyFKV0jt8BbhppGjJJlIgxXHhRJbWpeU14eL&#10;UbB6ma3OuzFvv/enIx0/T/XzyCVK9R+75SuIQF34D/+137SC8XQK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sG6DHAAAA3AAAAA8AAAAAAAAAAAAAAAAAmAIAAGRy&#10;cy9kb3ducmV2LnhtbFBLBQYAAAAABAAEAPUAAACMAwAAAAA=&#10;" fillcolor="black" stroked="f"/>
              <v:oval id="Oval 265" o:spid="_x0000_s7860" style="position:absolute;left:3122;top:2465;width:98;height: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sAG8AA&#10;AADcAAAADwAAAGRycy9kb3ducmV2LnhtbERPy4rCMBTdC/5DuII7TR1EpWMUEQYFQfDFbO80d5pq&#10;c1OaVOvfm4Xg8nDe82VrS3Gn2heOFYyGCQjizOmCcwXn089gBsIHZI2lY1LwJA/LRbczx1S7Bx/o&#10;fgy5iCHsU1RgQqhSKX1myKIfuoo4cv+uthgirHOpa3zEcFvKrySZSIsFxwaDFa0NZbdjYxXY/cE0&#10;lz97LZp9uwu/VzfenJxS/V67+gYRqA0f8du91QrG07g2nolHQC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sAG8AAAADcAAAADwAAAAAAAAAAAAAAAACYAgAAZHJzL2Rvd25y&#10;ZXYueG1sUEsFBgAAAAAEAAQA9QAAAIUDAAAAAA==&#10;" filled="f" strokeweight=".7pt">
                <v:stroke endcap="round"/>
              </v:oval>
              <v:rect id="Rectangle 266" o:spid="_x0000_s7861" style="position:absolute;left:4056;top:2897;width:28;height:1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8qSccA&#10;AADcAAAADwAAAGRycy9kb3ducmV2LnhtbESPT2vCQBTE7wW/w/KE3upG0appVlGh0EvBPz3U20v2&#10;NQlm38bdrcZ+erdQ6HGYmd8w2bIzjbiQ87VlBcNBAoK4sLrmUsHH4fVpBsIHZI2NZVJwIw/LRe8h&#10;w1TbK+/osg+liBD2KSqoQmhTKX1RkUE/sC1x9L6sMxiidKXUDq8Rbho5SpJnabDmuFBhS5uKitP+&#10;2yhYz2fr83bM7z+7/EjHz/w0GblEqcd+t3oBEagL/+G/9ptWMJ7O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KknHAAAA3AAAAA8AAAAAAAAAAAAAAAAAmAIAAGRy&#10;cy9kb3ducmV2LnhtbFBLBQYAAAAABAAEAPUAAACMAwAAAAA=&#10;" fillcolor="black" stroked="f"/>
              <v:rect id="Rectangle 267" o:spid="_x0000_s7862" style="position:absolute;left:4056;top:2897;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Dz88MA&#10;AADcAAAADwAAAGRycy9kb3ducmV2LnhtbERPy4rCMBTdC/5DuAOz03REpXaMogMDsxF8LXR3be60&#10;xeamk2S0+vVmIbg8nPd03ppaXMj5yrKCj34Cgji3uuJCwX733UtB+ICssbZMCm7kYT7rdqaYaXvl&#10;DV22oRAxhH2GCsoQmkxKn5dk0PdtQxy5X+sMhghdIbXDaww3tRwkyVgarDg2lNjQV0n5eftvFCwn&#10;6fJvPeTVfXM60vFwOo8GLlHq/a1dfIII1IaX+On+0QqGaZwf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Dz88MAAADcAAAADwAAAAAAAAAAAAAAAACYAgAAZHJzL2Rv&#10;d25yZXYueG1sUEsFBgAAAAAEAAQA9QAAAIgDAAAAAA==&#10;" fillcolor="black" stroked="f"/>
              <v:rect id="Rectangle 268" o:spid="_x0000_s7863" style="position:absolute;left:4056;top:2995;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xWaMYA&#10;AADcAAAADwAAAGRycy9kb3ducmV2LnhtbESPQWsCMRSE74L/IbxCb5pVtKyrUbRQ8CKo9aC35+Z1&#10;d3Hzsk2ibvvrG0HocZiZb5jZojW1uJHzlWUFg34Cgji3uuJCweHzo5eC8AFZY22ZFPyQh8W825lh&#10;pu2dd3Tbh0JECPsMFZQhNJmUPi/JoO/bhjh6X9YZDFG6QmqH9wg3tRwmyZs0WHFcKLGh95Lyy/5q&#10;FKwm6ep7O+LN7+58otPxfBkPXaLU60u7nIII1Ib/8LO91gpG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xWaMYAAADcAAAADwAAAAAAAAAAAAAAAACYAgAAZHJz&#10;L2Rvd25yZXYueG1sUEsFBgAAAAAEAAQA9QAAAIsDAAAAAA==&#10;" fillcolor="black" stroked="f"/>
              <v:rect id="Rectangle 269" o:spid="_x0000_s7864" style="position:absolute;left:4028;top:2911;width:84;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7IH8YA&#10;AADcAAAADwAAAGRycy9kb3ducmV2LnhtbESPQWvCQBSE74X+h+UVvDWbBlvS6CpVEHopqO2h3p7Z&#10;ZxLMvo27W43++q4geBxm5htmPO1NK47kfGNZwUuSgiAurW64UvDzvXjOQfiArLG1TArO5GE6eXwY&#10;Y6HtiVd0XIdKRAj7AhXUIXSFlL6syaBPbEccvZ11BkOUrpLa4SnCTSuzNH2TBhuOCzV2NK+p3K//&#10;jILZez47LIf8dVltN7T53e5fM5cqNXjqP0YgAvXhHr61P7WCYZ7B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47IH8YAAADcAAAADwAAAAAAAAAAAAAAAACYAgAAZHJz&#10;L2Rvd25yZXYueG1sUEsFBgAAAAAEAAQA9QAAAIsDAAAAAA==&#10;" fillcolor="black" stroked="f"/>
              <v:rect id="Rectangle 270" o:spid="_x0000_s7865" style="position:absolute;left:4028;top:2967;width:84;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thMcA&#10;AADcAAAADwAAAGRycy9kb3ducmV2LnhtbESPQWvCQBSE7wX/w/KE3pqN1paYuooKQi9CtT3o7Zl9&#10;TYLZt3F31dRf3xUKPQ4z8w0zmXWmERdyvrasYJCkIIgLq2suFXx9rp4yED4ga2wsk4If8jCb9h4m&#10;mGt75Q1dtqEUEcI+RwVVCG0upS8qMugT2xJH79s6gyFKV0rt8BrhppHDNH2VBmuOCxW2tKyoOG7P&#10;RsFinC1OHyNe3zaHPe13h+PL0KVKPfa7+RuIQF34D/+137WCUfYM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CbYTHAAAA3AAAAA8AAAAAAAAAAAAAAAAAmAIAAGRy&#10;cy9kb3ducmV2LnhtbFBLBQYAAAAABAAEAPUAAACMAwAAAAA=&#10;" fillcolor="black" stroked="f"/>
              <v:rect id="Rectangle 271" o:spid="_x0000_s7866" style="position:absolute;left:4014;top:2939;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v18MYA&#10;AADcAAAADwAAAGRycy9kb3ducmV2LnhtbESPQWvCQBSE74X+h+UVvDWbSlrS6CpVEHopqO2h3p7Z&#10;ZxLMvo27W43++q4geBxm5htmPO1NK47kfGNZwUuSgiAurW64UvDzvXjOQfiArLG1TArO5GE6eXwY&#10;Y6HtiVd0XIdKRAj7AhXUIXSFlL6syaBPbEccvZ11BkOUrpLa4SnCTSuHafomDTYcF2rsaF5TuV//&#10;GQWz93x2WGb8dVltN7T53e5fhy5VavDUf4xABOrDPXxrf2oFWZ7B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v18MYAAADcAAAADwAAAAAAAAAAAAAAAACYAgAAZHJz&#10;L2Rvd25yZXYueG1sUEsFBgAAAAAEAAQA9QAAAIsDAAAAAA==&#10;" fillcolor="black" stroked="f"/>
              <v:rect id="Rectangle 272" o:spid="_x0000_s7867" style="position:absolute;left:4014;top:2953;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dQa8YA&#10;AADcAAAADwAAAGRycy9kb3ducmV2LnhtbESPT2sCMRTE70K/Q3iF3jSrqKyrUbRQ6KXgnx7q7bl5&#10;7i5uXtYk1W0/vREEj8PM/IaZLVpTiws5X1lW0O8lIIhzqysuFHzvPropCB+QNdaWScEfeVjMXzoz&#10;zLS98oYu21CICGGfoYIyhCaT0uclGfQ92xBH72idwRClK6R2eI1wU8tBkoylwYrjQokNvZeUn7a/&#10;RsFqkq7O6yF//W8Oe9r/HE6jgUuUenttl1MQgdrwDD/an1rBMB3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dQa8YAAADcAAAADwAAAAAAAAAAAAAAAACYAgAAZHJz&#10;L2Rvd25yZXYueG1sUEsFBgAAAAAEAAQA9QAAAIsDAAAAAA==&#10;" fillcolor="black" stroked="f"/>
              <v:rect id="Rectangle 273" o:spid="_x0000_s7868" style="position:absolute;left:4014;top:2953;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OHMYA&#10;AADcAAAADwAAAGRycy9kb3ducmV2LnhtbESPQWsCMRSE70L/Q3iF3jSrqKyrUbRQ6KVQtYd6e26e&#10;u4ublzVJdfXXN4LgcZiZb5jZojW1OJPzlWUF/V4Cgji3uuJCwc/2o5uC8AFZY22ZFFzJw2L+0plh&#10;pu2F13TehEJECPsMFZQhNJmUPi/JoO/Zhjh6B+sMhihdIbXDS4SbWg6SZCwNVhwXSmzovaT8uPkz&#10;ClaTdHX6HvLXbb3f0e53fxwNXKLU22u7nIII1IZn+NH+1AqG6Rj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XOHMYAAADcAAAADwAAAAAAAAAAAAAAAACYAgAAZHJz&#10;L2Rvd25yZXYueG1sUEsFBgAAAAAEAAQA9QAAAIsDAAAAAA==&#10;" fillcolor="black" stroked="f"/>
              <v:rect id="Rectangle 274" o:spid="_x0000_s7869" style="position:absolute;left:4014;top:2939;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rh8cA&#10;AADcAAAADwAAAGRycy9kb3ducmV2LnhtbESPQWvCQBSE74L/YXmF3symom1MXUWFQi8FtT3o7Zl9&#10;TYLZt3F3q7G/3hUKPQ4z8w0znXemEWdyvras4ClJQRAXVtdcKvj6fBtkIHxA1thYJgVX8jCf9XtT&#10;zLW98IbO21CKCGGfo4IqhDaX0hcVGfSJbYmj922dwRClK6V2eIlw08hhmj5LgzXHhQpbWlVUHLc/&#10;RsFyki1P6xF//G4Oe9rvDsfx0KVKPT50i1cQgbrwH/5rv2sFo+w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a4fHAAAA3AAAAA8AAAAAAAAAAAAAAAAAmAIAAGRy&#10;cy9kb3ducmV2LnhtbFBLBQYAAAAABAAEAPUAAACMAwAAAAA=&#10;" fillcolor="black" stroked="f"/>
              <v:oval id="Oval 275" o:spid="_x0000_s7870" style="position:absolute;left:4014;top:2897;width:98;height: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5wPL8A&#10;AADcAAAADwAAAGRycy9kb3ducmV2LnhtbERPy4rCMBTdC/5DuII7TRUZpBpFBHFgQPCF22tzbarN&#10;TWlSrX8/WQguD+c9X7a2FE+qfeFYwWiYgCDOnC44V3A6bgZTED4gaywdk4I3eVguup05ptq9eE/P&#10;Q8hFDGGfogITQpVK6TNDFv3QVcSRu7naYoiwzqWu8RXDbSnHSfIjLRYcGwxWtDaUPQ6NVWB3e9Oc&#10;r/ZeNLv2L1zubrI9OqX6vXY1AxGoDV/xx/2rFUymcW08E4+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nnA8vwAAANwAAAAPAAAAAAAAAAAAAAAAAJgCAABkcnMvZG93bnJl&#10;di54bWxQSwUGAAAAAAQABAD1AAAAhAMAAAAA&#10;" filled="f" strokeweight=".7pt">
                <v:stroke endcap="round"/>
              </v:oval>
              <v:rect id="Rectangle 276" o:spid="_x0000_s7871" style="position:absolute;left:4056;top:3121;width:28;height: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absYA&#10;AADcAAAADwAAAGRycy9kb3ducmV2LnhtbESPT2sCMRTE7wW/Q3iCt5pVbFlXo2hB6KVQ/xz09tw8&#10;dxc3L9sk1dVP3xQEj8PM/IaZzltTiws5X1lWMOgnIIhzqysuFOy2q9cUhA/IGmvLpOBGHuazzssU&#10;M22vvKbLJhQiQthnqKAMocmk9HlJBn3fNsTRO1lnMETpCqkdXiPc1HKYJO/SYMVxocSGPkrKz5tf&#10;o2A5Tpc/3yP+uq+PBzrsj+e3oUuU6nXbxQREoDY8w4/2p1YwSsfwfy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pabsYAAADcAAAADwAAAAAAAAAAAAAAAACYAgAAZHJz&#10;L2Rvd25yZXYueG1sUEsFBgAAAAAEAAQA9QAAAIsDAAAAAA==&#10;" fillcolor="black" stroked="f"/>
              <v:rect id="Rectangle 277" o:spid="_x0000_s7872" style="position:absolute;left:4056;top:3121;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llLsQA&#10;AADcAAAADwAAAGRycy9kb3ducmV2LnhtbERPz2vCMBS+D/wfwht4m+mKG7Yaiw4EL4Ppdlhvz+bZ&#10;FpuXLola/euXw2DHj+/3ohhMJy7kfGtZwfMkAUFcWd1yreDrc/M0A+EDssbOMim4kYdiOXpYYK7t&#10;lXd02YdaxBD2OSpoQuhzKX3VkEE/sT1x5I7WGQwRulpqh9cYbjqZJsmrNNhybGiwp7eGqtP+bBSs&#10;s9n652PK7/fdoaTy+3B6SV2i1PhxWM1BBBrCv/jPvdUKplmcH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JZS7EAAAA3AAAAA8AAAAAAAAAAAAAAAAAmAIAAGRycy9k&#10;b3ducmV2LnhtbFBLBQYAAAAABAAEAPUAAACJAwAAAAA=&#10;" fillcolor="black" stroked="f"/>
              <v:rect id="Rectangle 278" o:spid="_x0000_s7873" style="position:absolute;left:4056;top:3218;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AtcYA&#10;AADcAAAADwAAAGRycy9kb3ducmV2LnhtbESPQWvCQBSE70L/w/IKvelGsaJpVqlCwUtBbQ/19pJ9&#10;TYLZt3F31bS/3hUEj8PMfMNki8404kzO15YVDAcJCOLC6ppLBd9fH/0pCB+QNTaWScEfeVjMn3oZ&#10;ptpeeEvnXShFhLBPUUEVQptK6YuKDPqBbYmj92udwRClK6V2eIlw08hRkkykwZrjQoUtrSoqDruT&#10;UbCcTZfHzZg//7f5nvY/+eF15BKlXp679zcQgbrwCN/ba61gPBv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XAtcYAAADcAAAADwAAAAAAAAAAAAAAAACYAgAAZHJz&#10;L2Rvd25yZXYueG1sUEsFBgAAAAAEAAQA9QAAAIsDAAAAAA==&#10;" fillcolor="black" stroked="f"/>
              <v:rect id="Rectangle 279" o:spid="_x0000_s7874" style="position:absolute;left:4028;top:3135;width:84;height: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ewsYA&#10;AADcAAAADwAAAGRycy9kb3ducmV2LnhtbESPQWvCQBSE7wX/w/IKvdVNQyoaXcUIhV4KVXuot2f2&#10;mQSzb+PuVtP+ercgeBxm5htmtuhNK87kfGNZwcswAUFcWt1wpeBr+/Y8BuEDssbWMin4JQ+L+eBh&#10;hrm2F17TeRMqESHsc1RQh9DlUvqyJoN+aDvi6B2sMxiidJXUDi8RblqZJslIGmw4LtTY0aqm8rj5&#10;MQqKybg4fWb88bfe72j3vT++pi5R6umxX05BBOrDPXxrv2sF2SSF/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dewsYAAADcAAAADwAAAAAAAAAAAAAAAACYAgAAZHJz&#10;L2Rvd25yZXYueG1sUEsFBgAAAAAEAAQA9QAAAIsDAAAAAA==&#10;" fillcolor="black" stroked="f"/>
              <v:rect id="Rectangle 280" o:spid="_x0000_s7875" style="position:absolute;left:4028;top:3190;width:84;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7WccA&#10;AADcAAAADwAAAGRycy9kb3ducmV2LnhtbESPQWvCQBSE74X+h+UVequbWls0ZpUqCF4Kaj3o7SX7&#10;TILZt3F31dhf7xYKPQ4z8w2TTTvTiAs5X1tW8NpLQBAXVtdcKth+L16GIHxA1thYJgU38jCdPD5k&#10;mGp75TVdNqEUEcI+RQVVCG0qpS8qMuh7tiWO3sE6gyFKV0rt8BrhppH9JPmQBmuOCxW2NK+oOG7O&#10;RsFsNJydVgP++lnne9rv8uN73yVKPT91n2MQgbrwH/5rL7WCwegN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b+1nHAAAA3AAAAA8AAAAAAAAAAAAAAAAAmAIAAGRy&#10;cy9kb3ducmV2LnhtbFBLBQYAAAAABAAEAPUAAACMAwAAAAA=&#10;" fillcolor="black" stroked="f"/>
              <v:rect id="Rectangle 281" o:spid="_x0000_s7876" style="position:absolute;left:4014;top:3162;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jLcYA&#10;AADcAAAADwAAAGRycy9kb3ducmV2LnhtbESPQWvCQBSE7wX/w/IKvdVNQyoaXcUIhV4KVXuot2f2&#10;mQSzb+PuVtP+ercgeBxm5htmtuhNK87kfGNZwcswAUFcWt1wpeBr+/Y8BuEDssbWMin4JQ+L+eBh&#10;hrm2F17TeRMqESHsc1RQh9DlUvqyJoN+aDvi6B2sMxiidJXUDi8RblqZJslIGmw4LtTY0aqm8rj5&#10;MQqKybg4fWb88bfe72j3vT++pi5R6umxX05BBOrDPXxrv2sF2SSD/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JjLcYAAADcAAAADwAAAAAAAAAAAAAAAACYAgAAZHJz&#10;L2Rvd25yZXYueG1sUEsFBgAAAAAEAAQA9QAAAIsDAAAAAA==&#10;" fillcolor="black" stroked="f"/>
              <v:rect id="Rectangle 282" o:spid="_x0000_s7877" style="position:absolute;left:4014;top:3176;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7GtsYA&#10;AADcAAAADwAAAGRycy9kb3ducmV2LnhtbESPQWsCMRSE74L/ITyhNzerqOjWKFUQeimo7aHenpvn&#10;7uLmZZukuu2vN4LgcZiZb5j5sjW1uJDzlWUFgyQFQZxbXXGh4Otz05+C8AFZY22ZFPyRh+Wi25lj&#10;pu2Vd3TZh0JECPsMFZQhNJmUPi/JoE9sQxy9k3UGQ5SukNrhNcJNLYdpOpEGK44LJTa0Lik/73+N&#10;gtVsuvrZjvjjf3c80OH7eB4PXarUS699ewURqA3P8KP9rhWMZm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7GtsYAAADcAAAADwAAAAAAAAAAAAAAAACYAgAAZHJz&#10;L2Rvd25yZXYueG1sUEsFBgAAAAAEAAQA9QAAAIsDAAAAAA==&#10;" fillcolor="black" stroked="f"/>
              <v:rect id="Rectangle 283" o:spid="_x0000_s7878" style="position:absolute;left:4014;top:3176;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xYwcYA&#10;AADcAAAADwAAAGRycy9kb3ducmV2LnhtbESPQWsCMRSE74L/ITyhNzerqOjWKFUQeilU20O9PTfP&#10;3cXNyzZJdfXXN4LgcZiZb5j5sjW1OJPzlWUFgyQFQZxbXXGh4Ptr05+C8AFZY22ZFFzJw3LR7cwx&#10;0/bCWzrvQiEihH2GCsoQmkxKn5dk0Ce2IY7e0TqDIUpXSO3wEuGmlsM0nUiDFceFEhtal5Sfdn9G&#10;wWo2Xf1+jvjjtj3saf9zOI2HLlXqpde+vYII1IZn+NF+1wpGsw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xYwcYAAADcAAAADwAAAAAAAAAAAAAAAACYAgAAZHJz&#10;L2Rvd25yZXYueG1sUEsFBgAAAAAEAAQA9QAAAIsDAAAAAA==&#10;" fillcolor="black" stroked="f"/>
              <v:rect id="Rectangle 284" o:spid="_x0000_s7879" style="position:absolute;left:4014;top:3162;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D9WscA&#10;AADcAAAADwAAAGRycy9kb3ducmV2LnhtbESPT2vCQBTE7wW/w/KE3upG0appVlGh0EvBPz3U20v2&#10;NQlm38bdrcZ+erdQ6HGYmd8w2bIzjbiQ87VlBcNBAoK4sLrmUsHH4fVpBsIHZI2NZVJwIw/LRe8h&#10;w1TbK+/osg+liBD2KSqoQmhTKX1RkUE/sC1x9L6sMxiidKXUDq8Rbho5SpJnabDmuFBhS5uKitP+&#10;2yhYz2fr83bM7z+7/EjHz/w0GblEqcd+t3oBEagL/+G/9ptWMJ5P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g/VrHAAAA3AAAAA8AAAAAAAAAAAAAAAAAmAIAAGRy&#10;cy9kb3ducmV2LnhtbFBLBQYAAAAABAAEAPUAAACMAwAAAAA=&#10;" fillcolor="black" stroked="f"/>
              <v:oval id="Oval 285" o:spid="_x0000_s7880" style="position:absolute;left:4014;top:3121;width:98;height: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fm4cAA&#10;AADcAAAADwAAAGRycy9kb3ducmV2LnhtbERPy4rCMBTdC/5DuII7TR1EtGMUEQYFQfDFbO80d5pq&#10;c1OaVOvfm4Xg8nDe82VrS3Gn2heOFYyGCQjizOmCcwXn089gCsIHZI2lY1LwJA/LRbczx1S7Bx/o&#10;fgy5iCHsU1RgQqhSKX1myKIfuoo4cv+uthgirHOpa3zEcFvKrySZSIsFxwaDFa0NZbdjYxXY/cE0&#10;lz97LZp9uwu/VzfenJxS/V67+gYRqA0f8du91QrGs7g2nolHQC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Ufm4cAAAADcAAAADwAAAAAAAAAAAAAAAACYAgAAZHJzL2Rvd25y&#10;ZXYueG1sUEsFBgAAAAAEAAQA9QAAAIUDAAAAAA==&#10;" filled="f" strokeweight=".7pt">
                <v:stroke endcap="round"/>
              </v:oval>
              <v:rect id="Rectangle 286" o:spid="_x0000_s7881" style="position:absolute;left:4265;top:3567;width:28;height: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PMs8YA&#10;AADcAAAADwAAAGRycy9kb3ducmV2LnhtbESPT2sCMRTE74LfIbxCb5qtaHFXo2ih4EXwTw/19tw8&#10;dxc3L9sk6rafvhEEj8PM/IaZzltTiys5X1lW8NZPQBDnVldcKPjaf/bGIHxA1lhbJgW/5GE+63am&#10;mGl74y1dd6EQEcI+QwVlCE0mpc9LMuj7tiGO3sk6gyFKV0jt8BbhppaDJHmXBiuOCyU29FFSft5d&#10;jIJlOl7+bIa8/tseD3T4Pp5HA5co9frSLiYgArXhGX60V1rBME3hfiYe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PMs8YAAADcAAAADwAAAAAAAAAAAAAAAACYAgAAZHJz&#10;L2Rvd25yZXYueG1sUEsFBgAAAAAEAAQA9QAAAIsDAAAAAA==&#10;" fillcolor="black" stroked="f"/>
              <v:rect id="Rectangle 287" o:spid="_x0000_s7882" style="position:absolute;left:4265;top:3567;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NMIA&#10;AADcAAAADwAAAGRycy9kb3ducmV2LnhtbERPy2oCMRTdF/yHcIXuaqLUoqNRtFDopuBrobvr5Doz&#10;OLmZJqmOfr1ZFFwezns6b20tLuRD5VhDv6dAEOfOVFxo2G2/3kYgQkQ2WDsmDTcKMJ91XqaYGXfl&#10;NV02sRAphEOGGsoYm0zKkJdkMfRcQ5y4k/MWY4K+kMbjNYXbWg6U+pAWK04NJTb0WVJ+3vxZDcvx&#10;aPm7euef+/p4oMP+eB4OvNL6tdsuJiAitfEp/nd/Gw1DleanM+k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v80wgAAANwAAAAPAAAAAAAAAAAAAAAAAJgCAABkcnMvZG93&#10;bnJldi54bWxQSwUGAAAAAAQABAD1AAAAhwMAAAAA&#10;" fillcolor="black" stroked="f"/>
              <v:rect id="Rectangle 288" o:spid="_x0000_s7883" style="position:absolute;left:4265;top:3664;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5ar8YA&#10;AADcAAAADwAAAGRycy9kb3ducmV2LnhtbESPQWsCMRSE74L/IbxCb26iVLFbo6hQ6KVQbQ/19ty8&#10;7i5uXtYk1dVfbwpCj8PMfMPMFp1txIl8qB1rGGYKBHHhTM2lhq/P18EURIjIBhvHpOFCARbzfm+G&#10;uXFn3tBpG0uRIBxy1FDF2OZShqIiiyFzLXHyfpy3GJP0pTQezwluGzlSaiIt1pwWKmxpXVFx2P5a&#10;Davn6er48cTv181+R7vv/WE88krrx4du+QIiUhf/w/f2m9EwVkP4O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5ar8YAAADcAAAADwAAAAAAAAAAAAAAAACYAgAAZHJz&#10;L2Rvd25yZXYueG1sUEsFBgAAAAAEAAQA9QAAAIsDAAAAAA==&#10;" fillcolor="black" stroked="f"/>
              <v:rect id="Rectangle 289" o:spid="_x0000_s7884" style="position:absolute;left:4237;top:3581;width:84;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zE2MYA&#10;AADcAAAADwAAAGRycy9kb3ducmV2LnhtbESPT2sCMRTE74LfIbxCb5p0qUVXo6hQ6KVQ/xz09tw8&#10;dxc3L2uS6rafvikUehxm5jfMbNHZRtzIh9qxhqehAkFcOFNzqWG/ex2MQYSIbLBxTBq+KMBi3u/N&#10;MDfuzhu6bWMpEoRDjhqqGNtcylBUZDEMXUucvLPzFmOSvpTG4z3BbSMzpV6kxZrTQoUtrSsqLttP&#10;q2E1Ga+uH8/8/r05Hel4OF1GmVdaPz50yymISF38D/+134yGkcr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zE2MYAAADcAAAADwAAAAAAAAAAAAAAAACYAgAAZHJz&#10;L2Rvd25yZXYueG1sUEsFBgAAAAAEAAQA9QAAAIsDAAAAAA==&#10;" fillcolor="black" stroked="f"/>
              <v:rect id="Rectangle 290" o:spid="_x0000_s7885" style="position:absolute;left:4237;top:3637;width:84;height: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Q8YA&#10;AADcAAAADwAAAGRycy9kb3ducmV2LnhtbESPQWsCMRSE70L/Q3hCb5poa7Fbo9SC0Iugtod6e25e&#10;dxc3L9sk6uqvN4LQ4zAz3zCTWWtrcSQfKscaBn0Fgjh3puJCw/fXojcGESKywdoxaThTgNn0oTPB&#10;zLgTr+m4iYVIEA4ZaihjbDIpQ16SxdB3DXHyfp23GJP0hTQeTwluazlU6kVarDgtlNjQR0n5fnOw&#10;Guav4/nf6pmXl/VuS9uf3X409Errx277/gYiUhv/w/f2p9EwUk9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hQ8YAAADcAAAADwAAAAAAAAAAAAAAAACYAgAAZHJz&#10;L2Rvd25yZXYueG1sUEsFBgAAAAAEAAQA9QAAAIsDAAAAAA==&#10;" fillcolor="black" stroked="f"/>
              <v:rect id="Rectangle 291" o:spid="_x0000_s7886" style="position:absolute;left:4223;top:3609;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n5N8UA&#10;AADcAAAADwAAAGRycy9kb3ducmV2LnhtbESPQWsCMRSE70L/Q3gFb5pUtNitUaogeBGq9lBvz83r&#10;7uLmZZtEXf31TUHwOMzMN8xk1tpanMmHyrGGl74CQZw7U3Gh4Wu37I1BhIhssHZMGq4UYDZ96kww&#10;M+7CGzpvYyEShEOGGsoYm0zKkJdkMfRdQ5y8H+ctxiR9IY3HS4LbWg6UepUWK04LJTa0KCk/bk9W&#10;w/xtPP/9HPL6tjnsaf99OI4GXmndfW4/3kFEauMjfG+vjIaRGsL/mXQE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Gfk3xQAAANwAAAAPAAAAAAAAAAAAAAAAAJgCAABkcnMv&#10;ZG93bnJldi54bWxQSwUGAAAAAAQABAD1AAAAigMAAAAA&#10;" fillcolor="black" stroked="f"/>
              <v:rect id="Rectangle 292" o:spid="_x0000_s7887" style="position:absolute;left:4223;top:3623;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VcrMYA&#10;AADcAAAADwAAAGRycy9kb3ducmV2LnhtbESPT2sCMRTE74LfIbxCb5pUusVujaJCwYtQ/xzq7bl5&#10;3V3cvKxJqqufvikUehxm5jfMZNbZRlzIh9qxhqehAkFcOFNzqWG/ex+MQYSIbLBxTBpuFGA27fcm&#10;mBt35Q1dtrEUCcIhRw1VjG0uZSgqshiGriVO3pfzFmOSvpTG4zXBbSNHSr1IizWnhQpbWlZUnLbf&#10;VsPidbw4fzzz+r45HujweTxlI6+0fnzo5m8gInXxP/zXXhkNmcrg90w6An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VcrMYAAADcAAAADwAAAAAAAAAAAAAAAACYAgAAZHJz&#10;L2Rvd25yZXYueG1sUEsFBgAAAAAEAAQA9QAAAIsDAAAAAA==&#10;" fillcolor="black" stroked="f"/>
              <v:rect id="Rectangle 293" o:spid="_x0000_s7888" style="position:absolute;left:4223;top:3623;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fC28YA&#10;AADcAAAADwAAAGRycy9kb3ducmV2LnhtbESPT2sCMRTE70K/Q3gFb25SUbFbo1RB6KVQ/xz09ty8&#10;7i5uXrZJqtt++qYgeBxm5jfMbNHZRlzIh9qxhqdMgSAunKm51LDfrQdTECEiG2wck4YfCrCYP/Rm&#10;mBt35Q1dtrEUCcIhRw1VjG0uZSgqshgy1xIn79N5izFJX0rj8ZrgtpFDpSbSYs1pocKWVhUV5+23&#10;1bB8ni6/Pkb8/rs5Hel4OJ3HQ6+07j92ry8gInXxHr6134yGsZrA/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fC28YAAADcAAAADwAAAAAAAAAAAAAAAACYAgAAZHJz&#10;L2Rvd25yZXYueG1sUEsFBgAAAAAEAAQA9QAAAIsDAAAAAA==&#10;" fillcolor="black" stroked="f"/>
              <v:rect id="Rectangle 294" o:spid="_x0000_s7889" style="position:absolute;left:4223;top:3609;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tnQMYA&#10;AADcAAAADwAAAGRycy9kb3ducmV2LnhtbESPT2sCMRTE70K/Q3hCb5ooterWKLVQ6EWofw56e25e&#10;dxc3L9sk1a2fvhEKHoeZ+Q0zW7S2FmfyoXKsYdBXIIhzZyouNOy2770JiBCRDdaOScMvBVjMHzoz&#10;zIy78JrOm1iIBOGQoYYyxiaTMuQlWQx91xAn78t5izFJX0jj8ZLgtpZDpZ6lxYrTQokNvZWUnzY/&#10;VsNyOll+fz7x6ro+HuiwP55GQ6+0fuy2ry8gIrXxHv5vfxgNIzWG2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tnQMYAAADcAAAADwAAAAAAAAAAAAAAAACYAgAAZHJz&#10;L2Rvd25yZXYueG1sUEsFBgAAAAAEAAQA9QAAAIsDAAAAAA==&#10;" fillcolor="black" stroked="f"/>
              <v:oval id="Oval 295" o:spid="_x0000_s7890" style="position:absolute;left:4223;top:3567;width:98;height: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x8+8IA&#10;AADcAAAADwAAAGRycy9kb3ducmV2LnhtbERPXWvCMBR9H+w/hDvY25puTJHaKGMwNhgItoqv1+ba&#10;VJub0qS1/vvlYeDj4Xzn68m2YqTeN44VvCYpCOLK6YZrBbvy62UBwgdkja1jUnAjD+vV40OOmXZX&#10;3tJYhFrEEPYZKjAhdJmUvjJk0SeuI47cyfUWQ4R9LXWP1xhuW/mWpnNpseHYYLCjT0PVpRisArvZ&#10;mmF/tOdm2Ey/4XB279+lU+r5afpYggg0hbv43/2jFczSuDaeiU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rHz7wgAAANwAAAAPAAAAAAAAAAAAAAAAAJgCAABkcnMvZG93&#10;bnJldi54bWxQSwUGAAAAAAQABAD1AAAAhwMAAAAA&#10;" filled="f" strokeweight=".7pt">
                <v:stroke endcap="round"/>
              </v:oval>
              <v:rect id="Rectangle 296" o:spid="_x0000_s7891" style="position:absolute;left:3917;top:3790;width:28;height:1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hWqcYA&#10;AADcAAAADwAAAGRycy9kb3ducmV2LnhtbESPQWsCMRSE74L/IbxCb25SqaJbo6hQ6KVQtYd6e25e&#10;dxc3L2uS6ra/3hQEj8PMfMPMFp1txJl8qB1reMoUCOLCmZpLDZ+718EERIjIBhvHpOGXAizm/d4M&#10;c+MuvKHzNpYiQTjkqKGKsc2lDEVFFkPmWuLkfTtvMSbpS2k8XhLcNnKo1FharDktVNjSuqLiuP2x&#10;GlbTyer08czvf5vDnvZfh+No6JXWjw/d8gVEpC7ew7f2m9EwUlP4P5OO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hWqcYAAADcAAAADwAAAAAAAAAAAAAAAACYAgAAZHJz&#10;L2Rvd25yZXYueG1sUEsFBgAAAAAEAAQA9QAAAIsDAAAAAA==&#10;" fillcolor="black" stroked="f"/>
              <v:rect id="Rectangle 297" o:spid="_x0000_s7892" style="position:absolute;left:3917;top:3790;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tp6cIA&#10;AADcAAAADwAAAGRycy9kb3ducmV2LnhtbERPy4rCMBTdC/MP4QruNFVG0WqUURhwI/iYxbi7Nte2&#10;2NzUJGpnvt4sBJeH854tGlOJOzlfWlbQ7yUgiDOrS84V/By+u2MQPiBrrCyTgj/ysJh/tGaYavvg&#10;Hd33IRcxhH2KCooQ6lRKnxVk0PdsTRy5s3UGQ4Qul9rhI4abSg6SZCQNlhwbCqxpVVB22d+MguVk&#10;vLxuP3nzvzsd6fh7ugwHLlGq026+piACNeEtfrnXWsGwH+fH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2npwgAAANwAAAAPAAAAAAAAAAAAAAAAAJgCAABkcnMvZG93&#10;bnJldi54bWxQSwUGAAAAAAQABAD1AAAAhwMAAAAA&#10;" fillcolor="black" stroked="f"/>
              <v:rect id="Rectangle 298" o:spid="_x0000_s7893" style="position:absolute;left:3917;top:3888;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fMcsYA&#10;AADcAAAADwAAAGRycy9kb3ducmV2LnhtbESPT2sCMRTE74LfITyhN82u1KKrUbRQ8CL4p4d6e26e&#10;u4ubl22S6rafvhEEj8PM/IaZLVpTiys5X1lWkA4SEMS51RUXCj4PH/0xCB+QNdaWScEveVjMu50Z&#10;ZtreeEfXfShEhLDPUEEZQpNJ6fOSDPqBbYijd7bOYIjSFVI7vEW4qeUwSd6kwYrjQokNvZeUX/Y/&#10;RsFqMl59b19587c7Hen4dbqMhi5R6qXXLqcgArXhGX6011rBKE3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fMcsYAAADcAAAADwAAAAAAAAAAAAAAAACYAgAAZHJz&#10;L2Rvd25yZXYueG1sUEsFBgAAAAAEAAQA9QAAAIsDAAAAAA==&#10;" fillcolor="black" stroked="f"/>
              <v:rect id="Rectangle 299" o:spid="_x0000_s7894" style="position:absolute;left:3889;top:3804;width:83;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VSBcYA&#10;AADcAAAADwAAAGRycy9kb3ducmV2LnhtbESPT2sCMRTE74LfITyhN8261KKrUbRQ8CL4p4d6e26e&#10;u4ubl22S6rafvhEEj8PM/IaZLVpTiys5X1lWMBwkIIhzqysuFHwePvpjED4ga6wtk4Jf8rCYdzsz&#10;zLS98Y6u+1CICGGfoYIyhCaT0uclGfQD2xBH72ydwRClK6R2eItwU8s0Sd6kwYrjQokNvZeUX/Y/&#10;RsFqMl59b19587c7Hen4dbqMUpco9dJrl1MQgdrwDD/aa61gNEz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VSBcYAAADcAAAADwAAAAAAAAAAAAAAAACYAgAAZHJz&#10;L2Rvd25yZXYueG1sUEsFBgAAAAAEAAQA9QAAAIsDAAAAAA==&#10;" fillcolor="black" stroked="f"/>
              <v:rect id="Rectangle 300" o:spid="_x0000_s7895" style="position:absolute;left:3889;top:3860;width:83;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3nscA&#10;AADcAAAADwAAAGRycy9kb3ducmV2LnhtbESPT2vCQBTE70K/w/IK3nTjv2LTrFIFwYtQbQ/19sy+&#10;JiHZt3F31dhP3y0Uehxm5jdMtuxMI67kfGVZwWiYgCDOra64UPDxvhnMQfiArLGxTAru5GG5eOhl&#10;mGp74z1dD6EQEcI+RQVlCG0qpc9LMuiHtiWO3pd1BkOUrpDa4S3CTSPHSfIkDVYcF0psaV1SXh8u&#10;RsHqeb46v015970/Hen4eapnY5co1X/sXl9ABOrCf/ivvdUKZqMJ/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p957HAAAA3AAAAA8AAAAAAAAAAAAAAAAAmAIAAGRy&#10;cy9kb3ducmV2LnhtbFBLBQYAAAAABAAEAPUAAACMAwAAAAA=&#10;" fillcolor="black" stroked="f"/>
              <v:rect id="Rectangle 301" o:spid="_x0000_s7896" style="position:absolute;left:3875;top:3832;width:111;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v6s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ewO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Bv6sYAAADcAAAADwAAAAAAAAAAAAAAAACYAgAAZHJz&#10;L2Rvd25yZXYueG1sUEsFBgAAAAAEAAQA9QAAAIsDAAAAAA==&#10;" fillcolor="black" stroked="f"/>
              <v:rect id="Rectangle 302" o:spid="_x0000_s7897" style="position:absolute;left:3875;top:3846;width:111;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zKccYA&#10;AADcAAAADwAAAGRycy9kb3ducmV2LnhtbESPQWsCMRSE70L/Q3gFb5pV3KKrUWpB8CJU7aHenpvX&#10;3cXNyzaJuvrrm4LgcZiZb5jZojW1uJDzlWUFg34Cgji3uuJCwdd+1RuD8AFZY22ZFNzIw2L+0plh&#10;pu2Vt3TZhUJECPsMFZQhNJmUPi/JoO/bhjh6P9YZDFG6QmqH1wg3tRwmyZs0WHFcKLGhj5Ly0+5s&#10;FCwn4+Xv54g39+3xQIfv4ykdukSp7mv7PgURqA3P8KO91grSQQr/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zKccYAAADcAAAADwAAAAAAAAAAAAAAAACYAgAAZHJz&#10;L2Rvd25yZXYueG1sUEsFBgAAAAAEAAQA9QAAAIsDAAAAAA==&#10;" fillcolor="black" stroked="f"/>
              <v:rect id="Rectangle 303" o:spid="_x0000_s7898" style="position:absolute;left:3875;top:3846;width:111;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5UBsYA&#10;AADcAAAADwAAAGRycy9kb3ducmV2LnhtbESPT2vCQBTE74V+h+UVeqsbpYqN2YgKQi8F/x3q7Zl9&#10;JsHs27i71dRP7wqFHoeZ+Q2TTTvTiAs5X1tW0O8lIIgLq2suFey2y7cxCB+QNTaWScEveZjmz08Z&#10;ptpeeU2XTShFhLBPUUEVQptK6YuKDPqebYmjd7TOYIjSlVI7vEa4aeQgSUbSYM1xocKWFhUVp82P&#10;UTD/GM/Pq3f+uq0Pe9p/H07DgUuUen3pZhMQgbrwH/5rf2oFw/4IHmfiE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5UBsYAAADcAAAADwAAAAAAAAAAAAAAAACYAgAAZHJz&#10;L2Rvd25yZXYueG1sUEsFBgAAAAAEAAQA9QAAAIsDAAAAAA==&#10;" fillcolor="black" stroked="f"/>
              <v:rect id="Rectangle 304" o:spid="_x0000_s7899" style="position:absolute;left:3875;top:3832;width:111;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LxnccA&#10;AADcAAAADwAAAGRycy9kb3ducmV2LnhtbESPQWvCQBSE70L/w/IKvelGqdamWaUWBC9CtT3U2zP7&#10;moRk36a7q0Z/fVcQPA4z8w2TzTvTiCM5X1lWMBwkIIhzqysuFHx/LftTED4ga2wsk4IzeZjPHnoZ&#10;ptqeeEPHbShEhLBPUUEZQptK6fOSDPqBbYmj92udwRClK6R2eIpw08hRkkykwYrjQoktfZSU19uD&#10;UbB4nS7+Pp95fdnsd7T72dfjkUuUenrs3t9ABOrCPXxrr7SC8fAF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S8Z3HAAAA3AAAAA8AAAAAAAAAAAAAAAAAmAIAAGRy&#10;cy9kb3ducmV2LnhtbFBLBQYAAAAABAAEAPUAAACMAwAAAAA=&#10;" fillcolor="black" stroked="f"/>
              <v:oval id="Oval 305" o:spid="_x0000_s7900" style="position:absolute;left:3875;top:3790;width:97;height: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XqJsIA&#10;AADcAAAADwAAAGRycy9kb3ducmV2LnhtbERPW2vCMBR+H+w/hDPY20wr25BqLEMQB4OCN3w9Nsem&#10;rjkpTWq7f28ehD1+fPdFPtpG3KjztWMF6SQBQVw6XXOl4LBfv81A+ICssXFMCv7IQ758flpgpt3A&#10;W7rtQiViCPsMFZgQ2kxKXxqy6CeuJY7cxXUWQ4RdJXWHQwy3jZwmyae0WHNsMNjSylD5u+utAlts&#10;TX8822vdF+NPOF3d+2bvlHp9Gb/mIAKN4V/8cH9rBR9pXBvPxCM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deomwgAAANwAAAAPAAAAAAAAAAAAAAAAAJgCAABkcnMvZG93&#10;bnJldi54bWxQSwUGAAAAAAQABAD1AAAAhwMAAAAA&#10;" filled="f" strokeweight=".7pt">
                <v:stroke endcap="round"/>
              </v:oval>
              <v:rect id="Rectangle 306" o:spid="_x0000_s7901" style="position:absolute;left:4864;top:4236;width:28;height:1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HAdMYA&#10;AADcAAAADwAAAGRycy9kb3ducmV2LnhtbESPT2sCMRTE7wW/Q3hCbzWrVNHVKCoUein476C35+a5&#10;u7h5WZNUVz+9EQo9DjPzG2Yya0wlruR8aVlBt5OAIM6sLjlXsNt+fQxB+ICssbJMCu7kYTZtvU0w&#10;1fbGa7puQi4ihH2KCooQ6lRKnxVk0HdsTRy9k3UGQ5Qul9rhLcJNJXtJMpAGS44LBda0LCg7b36N&#10;gsVouLisPvnnsT4e6LA/nvs9lyj13m7mYxCBmvAf/mt/awX97gheZ+IR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HAdMYAAADcAAAADwAAAAAAAAAAAAAAAACYAgAAZHJz&#10;L2Rvd25yZXYueG1sUEsFBgAAAAAEAAQA9QAAAIsDAAAAAA==&#10;" fillcolor="black" stroked="f"/>
              <v:rect id="Rectangle 307" o:spid="_x0000_s7902" style="position:absolute;left:4864;top:4236;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jVMMA&#10;AADcAAAADwAAAGRycy9kb3ducmV2LnhtbERPz2vCMBS+C/sfwhO8aWpRcdUocyB4EabbYd6ezbMt&#10;Ni9dErX61y8HwePH93u+bE0truR8ZVnBcJCAIM6trrhQ8PO97k9B+ICssbZMCu7kYbl468wx0/bG&#10;O7ruQyFiCPsMFZQhNJmUPi/JoB/YhjhyJ+sMhghdIbXDWww3tUyTZCINVhwbSmzos6T8vL8YBav3&#10;6erva8Tbx+54oMPv8TxOXaJUr9t+zEAEasNL/HRvtIJxGufH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ejVMMAAADcAAAADwAAAAAAAAAAAAAAAACYAgAAZHJzL2Rv&#10;d25yZXYueG1sUEsFBgAAAAAEAAQA9QAAAIgDAAAAAA==&#10;" fillcolor="black" stroked="f"/>
              <v:rect id="Rectangle 308" o:spid="_x0000_s7903" style="position:absolute;left:4864;top:4334;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sGz8YA&#10;AADcAAAADwAAAGRycy9kb3ducmV2LnhtbESPT2sCMRTE74LfITyhN8261KKrUbRQ8CL4p4d6e26e&#10;u4ubl22S6rafvhEEj8PM/IaZLVpTiys5X1lWMBwkIIhzqysuFHwePvpjED4ga6wtk4Jf8rCYdzsz&#10;zLS98Y6u+1CICGGfoYIyhCaT0uclGfQD2xBH72ydwRClK6R2eItwU8s0Sd6kwYrjQokNvZeUX/Y/&#10;RsFqMl59b19587c7Hen4dbqMUpco9dJrl1MQgdrwDD/aa61glA7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sGz8YAAADcAAAADwAAAAAAAAAAAAAAAACYAgAAZHJz&#10;L2Rvd25yZXYueG1sUEsFBgAAAAAEAAQA9QAAAIsDAAAAAA==&#10;" fillcolor="black" stroked="f"/>
              <v:rect id="Rectangle 309" o:spid="_x0000_s7904" style="position:absolute;left:4837;top:4250;width:83;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mYuMcA&#10;AADcAAAADwAAAGRycy9kb3ducmV2LnhtbESPT2vCQBTE7wW/w/IK3uqmQYtN3YgWBC9C/XOot2f2&#10;NQnJvk13V41++m6h0OMwM79hZvPetOJCzteWFTyPEhDEhdU1lwoO+9XTFIQPyBpby6TgRh7m+eBh&#10;hpm2V97SZRdKESHsM1RQhdBlUvqiIoN+ZDvi6H1ZZzBE6UqpHV4j3LQyTZIXabDmuFBhR+8VFc3u&#10;bBQsX6fL748xb+7b05GOn6dmkrpEqeFjv3gDEagP/+G/9lormKQp/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JmLjHAAAA3AAAAA8AAAAAAAAAAAAAAAAAmAIAAGRy&#10;cy9kb3ducmV2LnhtbFBLBQYAAAAABAAEAPUAAACMAwAAAAA=&#10;" fillcolor="black" stroked="f"/>
              <v:rect id="Rectangle 310" o:spid="_x0000_s7905" style="position:absolute;left:4837;top:4306;width:83;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U9I8cA&#10;AADcAAAADwAAAGRycy9kb3ducmV2LnhtbESPT2sCMRTE74V+h/AEbzXrWkVXo9SC0Euh/jno7bl5&#10;7i5uXrZJ1G0/fSMUPA4z8xtmtmhNLa7kfGVZQb+XgCDOra64ULDbrl7GIHxA1lhbJgU/5GExf36a&#10;Yabtjdd03YRCRAj7DBWUITSZlD4vyaDv2YY4eifrDIYoXSG1w1uEm1qmSTKSBiuOCyU29F5Sft5c&#10;jILlZLz8/nrlz9/18UCH/fE8TF2iVLfTvk1BBGrDI/zf/tAKhukA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FPSPHAAAA3AAAAA8AAAAAAAAAAAAAAAAAmAIAAGRy&#10;cy9kb3ducmV2LnhtbFBLBQYAAAAABAAEAPUAAACMAwAAAAA=&#10;" fillcolor="black" stroked="f"/>
              <v:rect id="Rectangle 311" o:spid="_x0000_s7906" style="position:absolute;left:4823;top:4278;width:111;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lV8YA&#10;AADcAAAADwAAAGRycy9kb3ducmV2LnhtbESPT2sCMRTE74V+h/AKvdWsi4quRlFB6KXgnx7q7bl5&#10;7i5uXtYk1W0/vREEj8PM/IaZzFpTiws5X1lW0O0kIIhzqysuFHzvVh9DED4ga6wtk4I/8jCbvr5M&#10;MNP2yhu6bEMhIoR9hgrKEJpMSp+XZNB3bEMcvaN1BkOUrpDa4TXCTS3TJBlIgxXHhRIbWpaUn7a/&#10;RsFiNFyc1z3++t8c9rT/OZz6qUuUen9r52MQgdrwDD/an1pBP+3B/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ylV8YAAADcAAAADwAAAAAAAAAAAAAAAACYAgAAZHJz&#10;L2Rvd25yZXYueG1sUEsFBgAAAAAEAAQA9QAAAIsDAAAAAA==&#10;" fillcolor="black" stroked="f"/>
              <v:rect id="Rectangle 312" o:spid="_x0000_s7907" style="position:absolute;left:4823;top:4292;width:111;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AAzMYA&#10;AADcAAAADwAAAGRycy9kb3ducmV2LnhtbESPQWvCQBSE74L/YXmF3nTTYMRGV1FB6KVQbQ/19sw+&#10;k2D2bdzdavTXu4VCj8PMfMPMFp1pxIWcry0reBkmIIgLq2suFXx9bgYTED4ga2wsk4IbeVjM+70Z&#10;5tpeeUuXXShFhLDPUUEVQptL6YuKDPqhbYmjd7TOYIjSlVI7vEa4aWSaJGNpsOa4UGFL64qK0+7H&#10;KFi9TlbnjxG/37eHPe2/D6csdYlSz0/dcgoiUBf+w3/tN60gSzP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AAzMYAAADcAAAADwAAAAAAAAAAAAAAAACYAgAAZHJz&#10;L2Rvd25yZXYueG1sUEsFBgAAAAAEAAQA9QAAAIsDAAAAAA==&#10;" fillcolor="black" stroked="f"/>
              <v:rect id="Rectangle 313" o:spid="_x0000_s7908" style="position:absolute;left:4823;top:4292;width:111;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Keu8YA&#10;AADcAAAADwAAAGRycy9kb3ducmV2LnhtbESPT2sCMRTE74V+h/AK3mq2i4quRtFCoRfBPz3U23Pz&#10;uru4eVmTVFc/vREEj8PM/IaZzFpTixM5X1lW8NFNQBDnVldcKPjZfr0PQfiArLG2TAou5GE2fX2Z&#10;YKbtmdd02oRCRAj7DBWUITSZlD4vyaDv2oY4en/WGQxRukJqh+cIN7VMk2QgDVYcF0ps6LOk/LD5&#10;NwoWo+HiuOrx8rre72j3uz/0U5co1Xlr52MQgdrwDD/a31pBPx3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Keu8YAAADcAAAADwAAAAAAAAAAAAAAAACYAgAAZHJz&#10;L2Rvd25yZXYueG1sUEsFBgAAAAAEAAQA9QAAAIsDAAAAAA==&#10;" fillcolor="black" stroked="f"/>
              <v:rect id="Rectangle 314" o:spid="_x0000_s7909" style="position:absolute;left:4823;top:4278;width:111;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47IMcA&#10;AADcAAAADwAAAGRycy9kb3ducmV2LnhtbESPT2sCMRTE7wW/Q3iCt5p10aqrUbRQ6KVQ/xz09tw8&#10;dxc3L9sk1W0/fSMUPA4z8xtmvmxNLa7kfGVZwaCfgCDOra64ULDfvT1PQPiArLG2TAp+yMNy0Xma&#10;Y6btjTd03YZCRAj7DBWUITSZlD4vyaDv24Y4emfrDIYoXSG1w1uEm1qmSfIiDVYcF0ps6LWk/LL9&#10;NgrW08n663PIH7+b05GOh9NllLpEqV63Xc1ABGrDI/zfftcKRukY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OyDHAAAA3AAAAA8AAAAAAAAAAAAAAAAAmAIAAGRy&#10;cy9kb3ducmV2LnhtbFBLBQYAAAAABAAEAPUAAACMAwAAAAA=&#10;" fillcolor="black" stroked="f"/>
              <v:oval id="Oval 315" o:spid="_x0000_s7910" style="position:absolute;left:4823;top:4236;width:97;height: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gm8AA&#10;AADcAAAADwAAAGRycy9kb3ducmV2LnhtbERPTYvCMBC9C/6HMAveNF1ZF6lGWQRxQRC0itexGZu6&#10;zaQ0qdZ/bw7CHh/ve77sbCXu1PjSsYLPUQKCOHe65ELBMVsPpyB8QNZYOSYFT/KwXPR7c0y1e/Ce&#10;7odQiBjCPkUFJoQ6ldLnhiz6kauJI3d1jcUQYVNI3eAjhttKjpPkW1osOTYYrGllKP87tFaB3e1N&#10;e7rYW9nuum0439zXJnNKDT66nxmIQF34F7/dv1rBZBzXxjPxCM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kgm8AAAADcAAAADwAAAAAAAAAAAAAAAACYAgAAZHJzL2Rvd25y&#10;ZXYueG1sUEsFBgAAAAAEAAQA9QAAAIUDAAAAAA==&#10;" filled="f" strokeweight=".7pt">
                <v:stroke endcap="round"/>
              </v:oval>
              <v:rect id="Rectangle 316" o:spid="_x0000_s7911" style="position:absolute;left:3833;top:4445;width:28;height:1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0KycYA&#10;AADcAAAADwAAAGRycy9kb3ducmV2LnhtbESPT2sCMRTE70K/Q3iF3jTbpRZdjVILBS+C/w56e26e&#10;u4ubl22S6uqnbwTB4zAzv2HG09bU4kzOV5YVvPcSEMS51RUXCrabn+4AhA/IGmvLpOBKHqaTl84Y&#10;M20vvKLzOhQiQthnqKAMocmk9HlJBn3PNsTRO1pnMETpCqkdXiLc1DJNkk9psOK4UGJD3yXlp/Wf&#10;UTAbDma/yw9e3FaHPe13h1M/dYlSb6/t1whEoDY8w4/2XCvop0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0KycYAAADcAAAADwAAAAAAAAAAAAAAAACYAgAAZHJz&#10;L2Rvd25yZXYueG1sUEsFBgAAAAAEAAQA9QAAAIsDAAAAAA==&#10;" fillcolor="black" stroked="f"/>
              <v:rect id="Rectangle 317" o:spid="_x0000_s7912" style="position:absolute;left:3833;top:4445;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41icQA&#10;AADcAAAADwAAAGRycy9kb3ducmV2LnhtbERPz2vCMBS+D/wfwhN2W1OdDq2NooPBLoPpdpi31+bZ&#10;FpuXmmRa99cvB8Hjx/c7X/WmFWdyvrGsYJSkIIhLqxuuFHx/vT3NQPiArLG1TAqu5GG1HDzkmGl7&#10;4S2dd6ESMYR9hgrqELpMSl/WZNAntiOO3ME6gyFCV0nt8BLDTSvHafoiDTYcG2rs6LWm8rj7NQo2&#10;89nm9Dnhj79tsaf9T3Gcjl2q1OOwXy9ABOrDXXxzv2sF0+c4P5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ONYnEAAAA3AAAAA8AAAAAAAAAAAAAAAAAmAIAAGRycy9k&#10;b3ducmV2LnhtbFBLBQYAAAAABAAEAPUAAACJAwAAAAA=&#10;" fillcolor="black" stroked="f"/>
              <v:rect id="Rectangle 318" o:spid="_x0000_s7913" style="position:absolute;left:3833;top:4543;width:28;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KQEscA&#10;AADcAAAADwAAAGRycy9kb3ducmV2LnhtbESPT2vCQBTE70K/w/IK3nTjv2LTrFIFwYtQbQ/19sy+&#10;JiHZt3F31dhP3y0Uehxm5jdMtuxMI67kfGVZwWiYgCDOra64UPDxvhnMQfiArLGxTAru5GG5eOhl&#10;mGp74z1dD6EQEcI+RQVlCG0qpc9LMuiHtiWO3pd1BkOUrpDa4S3CTSPHSfIkDVYcF0psaV1SXh8u&#10;RsHqeb46v015970/Hen4eapnY5co1X/sXl9ABOrCf/ivvdUKZpMR/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CkBLHAAAA3AAAAA8AAAAAAAAAAAAAAAAAmAIAAGRy&#10;cy9kb3ducmV2LnhtbFBLBQYAAAAABAAEAPUAAACMAwAAAAA=&#10;" fillcolor="black" stroked="f"/>
              <v:rect id="Rectangle 319" o:spid="_x0000_s7914" style="position:absolute;left:3805;top:4459;width:84;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OZccA&#10;AADcAAAADwAAAGRycy9kb3ducmV2LnhtbESPT2sCMRTE74V+h/AEbzXrWkVXo9SC0Euh/jno7bl5&#10;7i5uXrZJ1G0/fSMUPA4z8xtmtmhNLa7kfGVZQb+XgCDOra64ULDbrl7GIHxA1lhbJgU/5GExf36a&#10;Yabtjdd03YRCRAj7DBWUITSZlD4vyaDv2YY4eifrDIYoXSG1w1uEm1qmSTKSBiuOCyU29F5Sft5c&#10;jILlZLz8/nrlz9/18UCH/fE8TF2iVLfTvk1BBGrDI/zf/tAKho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QDmXHAAAA3AAAAA8AAAAAAAAAAAAAAAAAmAIAAGRy&#10;cy9kb3ducmV2LnhtbFBLBQYAAAAABAAEAPUAAACMAwAAAAA=&#10;" fillcolor="black" stroked="f"/>
              <v:rect id="Rectangle 320" o:spid="_x0000_s7915" style="position:absolute;left:3805;top:4515;width:84;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yr/sYA&#10;AADcAAAADwAAAGRycy9kb3ducmV2LnhtbESPT2sCMRTE7wW/Q3iCt5pVq+hqlCoIvRTqn4Penpvn&#10;7uLmZZtE3frpTaHQ4zAzv2Fmi8ZU4kbOl5YV9LoJCOLM6pJzBfvd+nUMwgdkjZVlUvBDHhbz1ssM&#10;U23vvKHbNuQiQtinqKAIoU6l9FlBBn3X1sTRO1tnMETpcqkd3iPcVLKfJCNpsOS4UGBNq4Kyy/Zq&#10;FCwn4+X31xt/PjanIx0Pp8uw7xKlOu3mfQoiUBP+w3/tD61gOBjA75l4BO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yr/sYAAADcAAAADwAAAAAAAAAAAAAAAACYAgAAZHJz&#10;L2Rvd25yZXYueG1sUEsFBgAAAAAEAAQA9QAAAIsDAAAAAA==&#10;" fillcolor="black" stroked="f"/>
              <v:rect id="Rectangle 321" o:spid="_x0000_s7916" style="position:absolute;left:3791;top:4487;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zisYA&#10;AADcAAAADwAAAGRycy9kb3ducmV2LnhtbESPT2sCMRTE70K/Q3gFb5qtf4rdGkUFwUtBbQ/19ty8&#10;7i5uXtYk6tZPbwTB4zAzv2HG08ZU4kzOl5YVvHUTEMSZ1SXnCn6+l50RCB+QNVaWScE/eZhOXlpj&#10;TLW98IbO25CLCGGfooIihDqV0mcFGfRdWxNH7886gyFKl0vt8BLhppK9JHmXBkuOCwXWtCgoO2xP&#10;RsH8YzQ/rgf8dd3sd7T73R+GPZco1X5tZp8gAjXhGX60V1rBsD+A+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zisYAAADcAAAADwAAAAAAAAAAAAAAAACYAgAAZHJz&#10;L2Rvd25yZXYueG1sUEsFBgAAAAAEAAQA9QAAAIsDAAAAAA==&#10;" fillcolor="black" stroked="f"/>
              <v:rect id="Rectangle 322" o:spid="_x0000_s7917" style="position:absolute;left:3791;top:4501;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mWEccA&#10;AADcAAAADwAAAGRycy9kb3ducmV2LnhtbESPT2sCMRTE74V+h/AEbzWrdkVXo9SC0Euh/jno7bl5&#10;7i5uXrZJ1G0/fSMUPA4z8xtmtmhNLa7kfGVZQb+XgCDOra64ULDbrl7GIHxA1lhbJgU/5GExf36a&#10;Yabtjdd03YRCRAj7DBWUITSZlD4vyaDv2YY4eifrDIYoXSG1w1uEm1oOkmQkDVYcF0ps6L2k/Ly5&#10;GAXLyXj5/fXKn7/r44EO++M5HbhEqW6nfZuCCNSGR/i//aEVpM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5lhHHAAAA3AAAAA8AAAAAAAAAAAAAAAAAmAIAAGRy&#10;cy9kb3ducmV2LnhtbFBLBQYAAAAABAAEAPUAAACMAwAAAAA=&#10;" fillcolor="black" stroked="f"/>
              <v:rect id="Rectangle 323" o:spid="_x0000_s7918" style="position:absolute;left:3791;top:4501;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sIZsYA&#10;AADcAAAADwAAAGRycy9kb3ducmV2LnhtbESPQWsCMRSE70L/Q3gFb5qtVrFbo6ggeBHU9lBvz83r&#10;7uLmZU2ibv31RhB6HGbmG2Y8bUwlLuR8aVnBWzcBQZxZXXKu4Ptr2RmB8AFZY2WZFPyRh+nkpTXG&#10;VNsrb+myC7mIEPYpKihCqFMpfVaQQd+1NXH0fq0zGKJ0udQOrxFuKtlLkqE0WHJcKLCmRUHZcXc2&#10;CuYfo/lp887r2/awp/3P4TjouUSp9msz+wQRqAn/4Wd7pRUM+k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sIZsYAAADcAAAADwAAAAAAAAAAAAAAAACYAgAAZHJz&#10;L2Rvd25yZXYueG1sUEsFBgAAAAAEAAQA9QAAAIsDAAAAAA==&#10;" fillcolor="black" stroked="f"/>
              <v:rect id="Rectangle 324" o:spid="_x0000_s7919" style="position:absolute;left:3791;top:4487;width:11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et/ccA&#10;AADcAAAADwAAAGRycy9kb3ducmV2LnhtbESPS2/CMBCE75X6H6ytxK1xyqPQFIMKEhKXSrwOcFvi&#10;bRIRr1PbQNpfjysh9TiamW8042lranEh5yvLCl6SFARxbnXFhYLddvE8AuEDssbaMin4IQ/TyePD&#10;GDNtr7ymyyYUIkLYZ6igDKHJpPR5SQZ9Yhvi6H1ZZzBE6QqpHV4j3NSym6av0mDFcaHEhuYl5afN&#10;2SiYvY1m36s+f/6ujwc67I+nQdelSnWe2o93EIHa8B++t5dawaA3hL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nrf3HAAAA3AAAAA8AAAAAAAAAAAAAAAAAmAIAAGRy&#10;cy9kb3ducmV2LnhtbFBLBQYAAAAABAAEAPUAAACMAwAAAAA=&#10;" fillcolor="black" stroked="f"/>
              <v:oval id="Oval 325" o:spid="_x0000_s7920" style="position:absolute;left:3791;top:4445;width:98;height: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C2RsEA&#10;AADcAAAADwAAAGRycy9kb3ducmV2LnhtbERPy4rCMBTdC/5DuII7TcdRGapRhgEZQRB8DG6vzbWp&#10;09yUJtX692YhuDyc93zZ2lLcqPaFYwUfwwQEceZ0wbmC42E1+ALhA7LG0jEpeJCH5aLbmWOq3Z13&#10;dNuHXMQQ9ikqMCFUqZQ+M2TRD11FHLmLqy2GCOtc6hrvMdyWcpQkU2mx4NhgsKIfQ9n/vrEK7HZn&#10;mr+zvRbNtt2E09WNfw9OqX6v/Z6BCNSGt/jlXmsFk8+4Np6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AtkbBAAAA3AAAAA8AAAAAAAAAAAAAAAAAmAIAAGRycy9kb3du&#10;cmV2LnhtbFBLBQYAAAAABAAEAPUAAACGAwAAAAA=&#10;" filled="f" strokeweight=".7pt">
                <v:stroke endcap="round"/>
              </v:oval>
              <v:line id="Line 326" o:spid="_x0000_s7921" style="position:absolute;visibility:visible" from="5087,973" to="5380,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cwz8UAAADcAAAADwAAAGRycy9kb3ducmV2LnhtbESPQWsCMRSE74X+h/AKXopmt6VFV6MU&#10;oVLoqdaLt2fy3Cy7eVk2qRv/vSkUehxm5htmtUmuExcaQuNZQTkrQBBrbxquFRy+36dzECEiG+w8&#10;k4IrBdis7+9WWBk/8hdd9rEWGcKhQgU2xr6SMmhLDsPM98TZO/vBYcxyqKUZcMxw18mnoniVDhvO&#10;CxZ72lrS7f7HKTil+dG1ZVuM9tGX28VOfyajlZo8pLcliEgp/of/2h9GwcvzAn7P5CM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cwz8UAAADcAAAADwAAAAAAAAAA&#10;AAAAAAChAgAAZHJzL2Rvd25yZXYueG1sUEsFBgAAAAAEAAQA+QAAAJMDAAAAAA==&#10;" strokeweight="1.4pt">
                <v:stroke endcap="round"/>
              </v:line>
              <v:line id="Line 327" o:spid="_x0000_s7922" style="position:absolute;visibility:visible" from="4098,1196" to="4377,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vqL8IAAADcAAAADwAAAGRycy9kb3ducmV2LnhtbERPz2vCMBS+D/wfwhO8jJlW3HDVKCI4&#10;BjvNefH2lrw1pc1LaaLN/vvlIOz48f3e7JLrxI2G0HhWUM4LEMTam4ZrBeev49MKRIjIBjvPpOCX&#10;Auy2k4cNVsaP/Em3U6xFDuFQoQIbY19JGbQlh2Hue+LM/fjBYcxwqKUZcMzhrpOLoniRDhvODRZ7&#10;OljS7enqFHyn1cW1ZVuM9tGXh9c3/ZGMVmo2Tfs1iEgp/ovv7nej4HmZ5+cz+Qj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vqL8IAAADcAAAADwAAAAAAAAAAAAAA&#10;AAChAgAAZHJzL2Rvd25yZXYueG1sUEsFBgAAAAAEAAQA+QAAAJADAAAAAA==&#10;" strokeweight="1.4pt">
                <v:stroke endcap="round"/>
              </v:line>
              <v:line id="Line 328" o:spid="_x0000_s7923" style="position:absolute;visibility:visible" from="4781,1628" to="5143,1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dPtMUAAADcAAAADwAAAGRycy9kb3ducmV2LnhtbESPQWsCMRSE74X+h/AKvRTNbmmLrkYp&#10;QkvBU7UXb8/kuVl287JsUjf9940geBxm5htmuU6uE2caQuNZQTktQBBrbxquFfzsPyYzECEiG+w8&#10;k4I/CrBe3d8tsTJ+5G8672ItMoRDhQpsjH0lZdCWHIap74mzd/KDw5jlUEsz4JjhrpPPRfEmHTac&#10;Fyz2tLGk292vU3BMs4Nry7YY7ZMvN/NPvU1GK/X4kN4XICKleAtf219GwetLCZcz+Qj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zdPtMUAAADcAAAADwAAAAAAAAAA&#10;AAAAAAChAgAAZHJzL2Rvd25yZXYueG1sUEsFBgAAAAAEAAQA+QAAAJMDAAAAAA==&#10;" strokeweight="1.4pt">
                <v:stroke endcap="round"/>
              </v:line>
              <v:line id="Line 329" o:spid="_x0000_s7924" style="position:absolute;visibility:visible" from="4181,1852" to="4544,1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Rw8UAAADcAAAADwAAAGRycy9kb3ducmV2LnhtbESPQWsCMRSE74X+h/CEXopmV1rR1ShF&#10;aCn0VO2lt2fy3Cy7eVk2qRv/vSkUehxm5htms0uuExcaQuNZQTkrQBBrbxquFXwdX6dLECEiG+w8&#10;k4IrBdht7+82WBk/8iddDrEWGcKhQgU2xr6SMmhLDsPM98TZO/vBYcxyqKUZcMxw18l5USykw4bz&#10;gsWe9pZ0e/hxCk5p+e3asi1G++jL/epNfySjlXqYpJc1iEgp/of/2u9GwfPTHH7P5CMgt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XRw8UAAADcAAAADwAAAAAAAAAA&#10;AAAAAAChAgAAZHJzL2Rvd25yZXYueG1sUEsFBgAAAAAEAAQA+QAAAJMDAAAAAA==&#10;" strokeweight="1.4pt">
                <v:stroke endcap="round"/>
              </v:line>
              <v:line id="Line 330" o:spid="_x0000_s7925" style="position:absolute;visibility:visible" from="3039,2298" to="3080,2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l0WMUAAADcAAAADwAAAGRycy9kb3ducmV2LnhtbESPQUsDMRSE74L/ITyhF2mzW7XUtWmR&#10;QovQk9WLt2fy3Cy7eVk2aTf990YoeBxm5htmtUmuE2caQuNZQTkrQBBrbxquFXx+7KZLECEiG+w8&#10;k4ILBdisb29WWBk/8judj7EWGcKhQgU2xr6SMmhLDsPM98TZ+/GDw5jlUEsz4JjhrpPzolhIhw3n&#10;BYs9bS3p9nhyCr7T8su1ZVuM9t6X2+e9PiSjlZrcpdcXEJFS/A9f229GwdPjA/ydy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l0WMUAAADcAAAADwAAAAAAAAAA&#10;AAAAAAChAgAAZHJzL2Rvd25yZXYueG1sUEsFBgAAAAAEAAQA+QAAAJMDAAAAAA==&#10;" strokeweight="1.4pt">
                <v:stroke endcap="round"/>
              </v:line>
              <v:line id="Line 331" o:spid="_x0000_s7926" style="position:absolute;visibility:visible" from="3150,2521" to="3234,2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DsLMUAAADcAAAADwAAAGRycy9kb3ducmV2LnhtbESPQWsCMRSE74X+h/CEXopmt9iiq1GK&#10;0CL0VNtLb8/kuVl287JsUjf996YgeBxm5htmvU2uE2caQuNZQTkrQBBrbxquFXx/vU0XIEJENth5&#10;JgV/FGC7ub9bY2X8yJ90PsRaZAiHChXYGPtKyqAtOQwz3xNn7+QHhzHLoZZmwDHDXSefiuJFOmw4&#10;L1jsaWdJt4dfp+CYFj+uLdtitI++3C3f9UcyWqmHSXpdgYiU4i18be+Nguf5HP7P5CMgN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0DsLMUAAADcAAAADwAAAAAAAAAA&#10;AAAAAAChAgAAZHJzL2Rvd25yZXYueG1sUEsFBgAAAAAEAAQA+QAAAJMDAAAAAA==&#10;" strokeweight="1.4pt">
                <v:stroke endcap="round"/>
              </v:line>
              <v:line id="Line 332" o:spid="_x0000_s7927" style="position:absolute;visibility:visible" from="4028,2953" to="4112,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xJt8UAAADcAAAADwAAAGRycy9kb3ducmV2LnhtbESPQWsCMRSE74X+h/AKvRTNblGxW6MU&#10;oUXoSe2lt2fyull287JsUjf990YoeBxm5htmtUmuE2caQuNZQTktQBBrbxquFXwd3ydLECEiG+w8&#10;k4I/CrBZ39+tsDJ+5D2dD7EWGcKhQgU2xr6SMmhLDsPU98TZ+/GDw5jlUEsz4JjhrpPPRbGQDhvO&#10;CxZ72lrS7eHXKTil5bdry7YY7ZMvty8f+jMZrdTjQ3p7BREpxVv4v70zCuazOVzP5CMg1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xJt8UAAADcAAAADwAAAAAAAAAA&#10;AAAAAAChAgAAZHJzL2Rvd25yZXYueG1sUEsFBgAAAAAEAAQA+QAAAJMDAAAAAA==&#10;" strokeweight="1.4pt">
                <v:stroke endcap="round"/>
              </v:line>
              <v:line id="Line 333" o:spid="_x0000_s7928" style="position:absolute;visibility:visible" from="3972,3176" to="4181,3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7XwMUAAADcAAAADwAAAGRycy9kb3ducmV2LnhtbESPQWsCMRSE74X+h/AKXopmt7Siq1GK&#10;UCn0VNuLt2fy3Cy7eVk2qRv/vSkUehxm5htmvU2uExcaQuNZQTkrQBBrbxquFXx/vU0XIEJENth5&#10;JgVXCrDd3N+tsTJ+5E+6HGItMoRDhQpsjH0lZdCWHIaZ74mzd/aDw5jlUEsz4JjhrpNPRTGXDhvO&#10;CxZ72lnS7eHHKTilxdG1ZVuM9tGXu+VefySjlZo8pNcViEgp/of/2u9GwcvzHH7P5CMgN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7XwMUAAADcAAAADwAAAAAAAAAA&#10;AAAAAAChAgAAZHJzL2Rvd25yZXYueG1sUEsFBgAAAAAEAAQA+QAAAJMDAAAAAA==&#10;" strokeweight="1.4pt">
                <v:stroke endcap="round"/>
              </v:line>
              <v:line id="Line 334" o:spid="_x0000_s7929" style="position:absolute;visibility:visible" from="4195,3623" to="4377,3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JyW8UAAADcAAAADwAAAGRycy9kb3ducmV2LnhtbESPQUsDMRSE74L/ITyhF2mzW9TWtWmR&#10;QovQk9WLt2fy3Cy7eVk2aTf990YoeBxm5htmtUmuE2caQuNZQTkrQBBrbxquFXx+7KZLECEiG+w8&#10;k4ILBdisb29WWBk/8judj7EWGcKhQgU2xr6SMmhLDsPM98TZ+/GDw5jlUEsz4JjhrpPzoniSDhvO&#10;CxZ72lrS7fHkFHyn5Zdry7YY7b0vt897fUhGKzW5S68vICKl+B++tt+MgseHBfydy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5JyW8UAAADcAAAADwAAAAAAAAAA&#10;AAAAAAChAgAAZHJzL2Rvd25yZXYueG1sUEsFBgAAAAAEAAQA+QAAAJMDAAAAAA==&#10;" strokeweight="1.4pt">
                <v:stroke endcap="round"/>
              </v:line>
              <v:line id="Line 335" o:spid="_x0000_s7930" style="position:absolute;visibility:visible" from="3847,3846" to="4028,3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3mKcIAAADcAAAADwAAAGRycy9kb3ducmV2LnhtbERPz2vCMBS+D/wfwhO8jJlW3HDVKCI4&#10;BjvNefH2lrw1pc1LaaLN/vvlIOz48f3e7JLrxI2G0HhWUM4LEMTam4ZrBeev49MKRIjIBjvPpOCX&#10;Auy2k4cNVsaP/Em3U6xFDuFQoQIbY19JGbQlh2Hue+LM/fjBYcxwqKUZcMzhrpOLoniRDhvODRZ7&#10;OljS7enqFHyn1cW1ZVuM9tGXh9c3/ZGMVmo2Tfs1iEgp/ovv7nej4HmZ1+Yz+Qj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g3mKcIAAADcAAAADwAAAAAAAAAAAAAA&#10;AAChAgAAZHJzL2Rvd25yZXYueG1sUEsFBgAAAAAEAAQA+QAAAJADAAAAAA==&#10;" strokeweight="1.4pt">
                <v:stroke endcap="round"/>
              </v:line>
              <v:line id="Line 336" o:spid="_x0000_s7931" style="position:absolute;visibility:visible" from="4753,4292" to="5032,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FDssUAAADcAAAADwAAAGRycy9kb3ducmV2LnhtbESPQWsCMRSE74X+h/AKXopmt7RFV6MU&#10;oVLoqdaLt2fy3Cy7eVk2qRv/vSkUehxm5htmtUmuExcaQuNZQTkrQBBrbxquFRy+36dzECEiG+w8&#10;k4IrBdis7+9WWBk/8hdd9rEWGcKhQgU2xr6SMmhLDsPM98TZO/vBYcxyqKUZcMxw18mnoniVDhvO&#10;CxZ72lrS7f7HKTil+dG1ZVuM9tGX28VOfyajlZo8pLcliEgp/of/2h9GwcvzAn7P5CM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FDssUAAADcAAAADwAAAAAAAAAA&#10;AAAAAAChAgAAZHJzL2Rvd25yZXYueG1sUEsFBgAAAAAEAAQA+QAAAJMDAAAAAA==&#10;" strokeweight="1.4pt">
                <v:stroke endcap="round"/>
              </v:line>
              <v:line id="Line 337" o:spid="_x0000_s7932" style="position:absolute;visibility:visible" from="3708,4501" to="4000,4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88sEAAADcAAAADwAAAGRycy9kb3ducmV2LnhtbERPz2vCMBS+C/sfwhvsIjPtwNF1RhFh&#10;Q/A09bLbW/LWlDYvpYk2/vfmMNjx4/u92iTXiyuNofWsoFwUIIi1Ny03Cs6nj+cKRIjIBnvPpOBG&#10;ATbrh9kKa+Mn/qLrMTYih3CoUYGNcailDNqSw7DwA3Hmfv3oMGY4NtKMOOVw18uXoniVDlvODRYH&#10;2lnS3fHiFPyk6tt1ZVdMdu7L3dunPiSjlXp6TNt3EJFS/Bf/ufdGwXKZ5+cz+QjI9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onzywQAAANwAAAAPAAAAAAAAAAAAAAAA&#10;AKECAABkcnMvZG93bnJldi54bWxQSwUGAAAAAAQABAD5AAAAjwMAAAAA&#10;" strokeweight="1.4pt">
                <v:stroke endcap="round"/>
              </v:line>
              <v:line id="Line 338" o:spid="_x0000_s7933" style="position:absolute;flip:y;visibility:visible" from="5087,931" to="5087,1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leCsQAAADcAAAADwAAAGRycy9kb3ducmV2LnhtbESP0YrCMBRE3wX/IVxh3zRVUKRrFNlW&#10;cBFl1f2AS3Nt6zY3pYm1/r0RhH0cZuYMs1h1phItNa60rGA8ikAQZ1aXnCv4PW+GcxDOI2usLJOC&#10;BzlYLfu9Bcba3vlI7cnnIkDYxaig8L6OpXRZQQbdyNbEwbvYxqAPssmlbvAe4KaSkyiaSYMlh4UC&#10;a/oqKPs73YyCbeI3h/0+n1+P37N0nabJT7I7K/Ux6NafIDx1/j/8bm+1gul0DK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GV4KxAAAANwAAAAPAAAAAAAAAAAA&#10;AAAAAKECAABkcnMvZG93bnJldi54bWxQSwUGAAAAAAQABAD5AAAAkgMAAAAA&#10;" strokeweight="1.4pt">
                <v:stroke endcap="round"/>
              </v:line>
              <v:line id="Line 339" o:spid="_x0000_s7934" style="position:absolute;flip:y;visibility:visible" from="4098,1154" to="4098,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vAfcUAAADcAAAADwAAAGRycy9kb3ducmV2LnhtbESP3YrCMBSE74V9h3AWvNN0BUWqUWRb&#10;QREX/x7g0Bzbus1JabK1vr0RFrwcZuYbZr7sTCVaalxpWcHXMAJBnFldcq7gcl4PpiCcR9ZYWSYF&#10;D3KwXHz05hhre+cjtSefiwBhF6OCwvs6ltJlBRl0Q1sTB+9qG4M+yCaXusF7gJtKjqJoIg2WHBYK&#10;rOm7oOz39GcUbBK//tnv8+ntuJ2kqzRNDsnurFT/s1vNQHjq/Dv8395oBePxCF5nwhGQi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vAfcUAAADcAAAADwAAAAAAAAAA&#10;AAAAAAChAgAAZHJzL2Rvd25yZXYueG1sUEsFBgAAAAAEAAQA+QAAAJMDAAAAAA==&#10;" strokeweight="1.4pt">
                <v:stroke endcap="round"/>
              </v:line>
              <v:line id="Line 340" o:spid="_x0000_s7935" style="position:absolute;flip:y;visibility:visible" from="4781,1600" to="4781,1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l5sYAAADcAAAADwAAAGRycy9kb3ducmV2LnhtbESP0WrCQBRE34X+w3ILfdNNFUNIXUWa&#10;CJESqdoPuGRvk7TZuyG71fj33ULBx2FmzjCrzWg6caHBtZYVPM8iEMSV1S3XCj7Ou2kCwnlkjZ1l&#10;UnAjB5v1w2SFqbZXPtLl5GsRIOxSVNB436dSuqohg25me+LgfdrBoA9yqKUe8BrgppPzKIqlwZbD&#10;QoM9vTZUfZ9+jIIi87tDWdbJ13Ef59s8z96zt7NST4/j9gWEp9Hfw//tQitYLh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ZebGAAAA3AAAAA8AAAAAAAAA&#10;AAAAAAAAoQIAAGRycy9kb3ducmV2LnhtbFBLBQYAAAAABAAEAPkAAACUAwAAAAA=&#10;" strokeweight="1.4pt">
                <v:stroke endcap="round"/>
              </v:line>
              <v:line id="Line 341" o:spid="_x0000_s7936" style="position:absolute;flip:y;visibility:visible" from="4181,1824" to="4181,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79ksYAAADcAAAADwAAAGRycy9kb3ducmV2LnhtbESP0WrCQBRE34X+w3ILfdNNRUNIXUWa&#10;CJESqdoPuGRvk7TZuyG71fj33ULBx2FmzjCrzWg6caHBtZYVPM8iEMSV1S3XCj7Ou2kCwnlkjZ1l&#10;UnAjB5v1w2SFqbZXPtLl5GsRIOxSVNB436dSuqohg25me+LgfdrBoA9yqKUe8BrgppPzKIqlwZbD&#10;QoM9vTZUfZ9+jIIi87tDWdbJ13Ef59s8z96zt7NST4/j9gWEp9Hfw//tQitYLh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u/ZLGAAAA3AAAAA8AAAAAAAAA&#10;AAAAAAAAoQIAAGRycy9kb3ducmV2LnhtbFBLBQYAAAAABAAEAPkAAACUAwAAAAA=&#10;" strokeweight="1.4pt">
                <v:stroke endcap="round"/>
              </v:line>
              <v:line id="Line 342" o:spid="_x0000_s7937" style="position:absolute;flip:y;visibility:visible" from="3039,2270" to="3039,2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JYCcQAAADcAAAADwAAAGRycy9kb3ducmV2LnhtbESP3YrCMBSE74V9h3AWvNPUhYpUo4it&#10;oCyKfw9waI5ttTkpTVa7b79ZELwcZuYbZrboTC0e1LrKsoLRMAJBnFtdcaHgcl4PJiCcR9ZYWyYF&#10;v+RgMf/ozTDR9slHepx8IQKEXYIKSu+bREqXl2TQDW1DHLyrbQ36INtC6hafAW5q+RVFY2mw4rBQ&#10;YkOrkvL76cco2KR+vd/tisntuB1nyyxLD+n3Wan+Z7ecgvDU+Xf41d5oBXEcw/+ZcAT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IlgJxAAAANwAAAAPAAAAAAAAAAAA&#10;AAAAAKECAABkcnMvZG93bnJldi54bWxQSwUGAAAAAAQABAD5AAAAkgMAAAAA&#10;" strokeweight="1.4pt">
                <v:stroke endcap="round"/>
              </v:line>
              <v:line id="Line 343" o:spid="_x0000_s7938" style="position:absolute;flip:y;visibility:visible" from="3150,2479" to="3150,2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GfsUAAADcAAAADwAAAGRycy9kb3ducmV2LnhtbESP3YrCMBSE7xd8h3AE79Z0BYt0jSLb&#10;Coq4rD8PcGiObbU5KU3U+vZGWPBymJlvmOm8M7W4Uesqywq+hhEI4tzqigsFx8PycwLCeWSNtWVS&#10;8CAH81nvY4qJtnfe0W3vCxEg7BJUUHrfJFK6vCSDbmgb4uCdbGvQB9kWUrd4D3BTy1EUxdJgxWGh&#10;xIZ+Ssov+6tRsEr98ne7LSbn3TrOFlmW/qWbg1KDfrf4BuGp8+/wf3ulFYzHMbzOhCMgZ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DGfsUAAADcAAAADwAAAAAAAAAA&#10;AAAAAAChAgAAZHJzL2Rvd25yZXYueG1sUEsFBgAAAAAEAAQA+QAAAJMDAAAAAA==&#10;" strokeweight="1.4pt">
                <v:stroke endcap="round"/>
              </v:line>
              <v:line id="Line 344" o:spid="_x0000_s7939" style="position:absolute;flip:y;visibility:visible" from="4028,2925" to="4028,2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xj5cUAAADcAAAADwAAAGRycy9kb3ducmV2LnhtbESP3YrCMBSE74V9h3AWvNN0BX+oRpFt&#10;BWVR/HuAQ3Nsu9uclCZqfXuzIHg5zMw3zGzRmkrcqHGlZQVf/QgEcWZ1ybmC82nVm4BwHlljZZkU&#10;PMjBYv7RmWGs7Z0PdDv6XAQIuxgVFN7XsZQuK8ig69uaOHgX2xj0QTa51A3eA9xUchBFI2mw5LBQ&#10;YE3fBWV/x6tRsE78arfd5pPfw2aULtM02Sc/J6W6n+1yCsJT69/hV3utFQyHY/g/E46AnD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xj5cUAAADcAAAADwAAAAAAAAAA&#10;AAAAAAChAgAAZHJzL2Rvd25yZXYueG1sUEsFBgAAAAAEAAQA+QAAAJMDAAAAAA==&#10;" strokeweight="1.4pt">
                <v:stroke endcap="round"/>
              </v:line>
              <v:line id="Line 345" o:spid="_x0000_s7940" style="position:absolute;flip:y;visibility:visible" from="3972,3148" to="3972,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P3l8MAAADcAAAADwAAAGRycy9kb3ducmV2LnhtbERP3WqDMBS+H+wdwhn0bo0bVIo1ljIV&#10;WkZHf/YAB3OmtuZETKbu7ZeLwS4/vv90O5tOjDS41rKCl2UEgriyuuVawee1fF6DcB5ZY2eZFPyQ&#10;g232+JBiou3EZxovvhYhhF2CChrv+0RKVzVk0C1tTxy4LzsY9AEOtdQDTiHcdPI1imJpsOXQ0GBP&#10;bw1V98u3UbDPfflxPNbr2/kQF7uiyE/5+1WpxdO824DwNPt/8Z97rxWsVmFtOBOO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j95fDAAAA3AAAAA8AAAAAAAAAAAAA&#10;AAAAoQIAAGRycy9kb3ducmV2LnhtbFBLBQYAAAAABAAEAPkAAACRAwAAAAA=&#10;" strokeweight="1.4pt">
                <v:stroke endcap="round"/>
              </v:line>
              <v:line id="Line 346" o:spid="_x0000_s7941" style="position:absolute;flip:y;visibility:visible" from="4195,3595" to="4195,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9SDMUAAADcAAAADwAAAGRycy9kb3ducmV2LnhtbESP3YrCMBSE7wXfIRxh79bUBUWrUcRW&#10;UMRl/XmAQ3Nsq81JaaJ2334jLHg5zMw3zGzRmko8qHGlZQWDfgSCOLO65FzB+bT+HINwHlljZZkU&#10;/JKDxbzbmWGs7ZMP9Dj6XAQIuxgVFN7XsZQuK8ig69uaOHgX2xj0QTa51A0+A9xU8iuKRtJgyWGh&#10;wJpWBWW3490o2CR+/b3f5+PrYTtKl2ma/CS7k1IfvXY5BeGp9e/wf3ujFQyHE3idC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9SDMUAAADcAAAADwAAAAAAAAAA&#10;AAAAAAChAgAAZHJzL2Rvd25yZXYueG1sUEsFBgAAAAAEAAQA+QAAAJMDAAAAAA==&#10;" strokeweight="1.4pt">
                <v:stroke endcap="round"/>
              </v:line>
              <v:line id="Line 347" o:spid="_x0000_s7942" style="position:absolute;flip:y;visibility:visible" from="3847,3804" to="3847,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kxLMEAAADcAAAADwAAAGRycy9kb3ducmV2LnhtbERPy4rCMBTdD/gP4QruxlRhilSjiK2g&#10;iIOvD7g017ba3JQmo/XvzUKY5eG8Z4vO1OJBrassKxgNIxDEudUVFwou5/X3BITzyBpry6TgRQ4W&#10;897XDBNtn3ykx8kXIoSwS1BB6X2TSOnykgy6oW2IA3e1rUEfYFtI3eIzhJtajqMolgYrDg0lNrQq&#10;Kb+f/oyCTerXv/t9Mbkdt3G2zLL0kO7OSg363XIKwlPn/8Uf90Yr+InD/HAmHAE5f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OTEswQAAANwAAAAPAAAAAAAAAAAAAAAA&#10;AKECAABkcnMvZG93bnJldi54bWxQSwUGAAAAAAQABAD5AAAAjwMAAAAA&#10;" strokeweight="1.4pt">
                <v:stroke endcap="round"/>
              </v:line>
              <v:line id="Line 348" o:spid="_x0000_s7943" style="position:absolute;flip:y;visibility:visible" from="4753,4250" to="4753,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WUt8QAAADcAAAADwAAAGRycy9kb3ducmV2LnhtbESP3YrCMBSE7xd8h3AE79ZUYYtUo4it&#10;oCwu/j3AoTm21eakNFntvr0RFrwcZuYbZrboTC3u1LrKsoLRMAJBnFtdcaHgfFp/TkA4j6yxtkwK&#10;/sjBYt77mGGi7YMPdD/6QgQIuwQVlN43iZQuL8mgG9qGOHgX2xr0QbaF1C0+AtzUchxFsTRYcVgo&#10;saFVSfnt+GsUbFK//tntisn1sI2zZZal+/T7pNSg3y2nIDx1/h3+b2+0gq94BK8z4QjI+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dZS3xAAAANwAAAAPAAAAAAAAAAAA&#10;AAAAAKECAABkcnMvZG93bnJldi54bWxQSwUGAAAAAAQABAD5AAAAkgMAAAAA&#10;" strokeweight="1.4pt">
                <v:stroke endcap="round"/>
              </v:line>
              <v:line id="Line 349" o:spid="_x0000_s7944" style="position:absolute;flip:y;visibility:visible" from="3708,4473" to="3708,4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cKwMQAAADcAAAADwAAAGRycy9kb3ducmV2LnhtbESP0YrCMBRE3wX/IVzBN00VtkjXKGIr&#10;KKKsuh9wae621eamNFmtf79ZEHwcZuYMM192phZ3al1lWcFkHIEgzq2uuFDwfdmMZiCcR9ZYWyYF&#10;T3KwXPR7c0y0ffCJ7mdfiABhl6CC0vsmkdLlJRl0Y9sQB+/HtgZ9kG0hdYuPADe1nEZRLA1WHBZK&#10;bGhdUn47/xoF29RvjodDMbuednG2yrL0K91flBoOutUnCE+df4df7a1W8BFP4f9MOAJ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pwrAxAAAANwAAAAPAAAAAAAAAAAA&#10;AAAAAKECAABkcnMvZG93bnJldi54bWxQSwUGAAAAAAQABAD5AAAAkgMAAAAA&#10;" strokeweight="1.4pt">
                <v:stroke endcap="round"/>
              </v:line>
              <v:line id="Line 350" o:spid="_x0000_s7945" style="position:absolute;flip:y;visibility:visible" from="5380,931" to="5380,1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uvW8YAAADcAAAADwAAAGRycy9kb3ducmV2LnhtbESP3WrCQBSE7wu+w3IE7+qmFUNIXUWa&#10;CJai+NMHOGSPSWz2bMhuNb59VxC8HGbmG2a26E0jLtS52rKCt3EEgriwuuZSwc9x9ZqAcB5ZY2OZ&#10;FNzIwWI+eJlhqu2V93Q5+FIECLsUFVTet6mUrqjIoBvbljh4J9sZ9EF2pdQdXgPcNPI9imJpsOaw&#10;UGFLnxUVv4c/o2Cd+dV2symT8/4rzpd5nu2y76NSo2G//ADhqffP8KO91gqm8QTuZ8IRkP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rr1vGAAAA3AAAAA8AAAAAAAAA&#10;AAAAAAAAoQIAAGRycy9kb3ducmV2LnhtbFBLBQYAAAAABAAEAPkAAACUAwAAAAA=&#10;" strokeweight="1.4pt">
                <v:stroke endcap="round"/>
              </v:line>
              <v:line id="Line 351" o:spid="_x0000_s7946" style="position:absolute;flip:y;visibility:visible" from="4377,1154" to="4377,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I3L8YAAADcAAAADwAAAGRycy9kb3ducmV2LnhtbESP3WrCQBSE7wu+w3IE7+qmRUNIXUWa&#10;CJai+NMHOGSPSWz2bMhuNb59VxC8HGbmG2a26E0jLtS52rKCt3EEgriwuuZSwc9x9ZqAcB5ZY2OZ&#10;FNzIwWI+eJlhqu2V93Q5+FIECLsUFVTet6mUrqjIoBvbljh4J9sZ9EF2pdQdXgPcNPI9imJpsOaw&#10;UGFLnxUVv4c/o2Cd+dV2symT8/4rzpd5nu2y76NSo2G//ADhqffP8KO91gqm8QTuZ8IRkP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CNy/GAAAA3AAAAA8AAAAAAAAA&#10;AAAAAAAAoQIAAGRycy9kb3ducmV2LnhtbFBLBQYAAAAABAAEAPkAAACUAwAAAAA=&#10;" strokeweight="1.4pt">
                <v:stroke endcap="round"/>
              </v:line>
              <v:line id="Line 352" o:spid="_x0000_s7947" style="position:absolute;flip:y;visibility:visible" from="5143,1600" to="5143,1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6StMUAAADcAAAADwAAAGRycy9kb3ducmV2LnhtbESP3YrCMBSE7xd8h3AE79Z0BYt0jSLb&#10;Coq4rD8PcGiObbU5KU3U+vZGWPBymJlvmOm8M7W4Uesqywq+hhEI4tzqigsFx8PycwLCeWSNtWVS&#10;8CAH81nvY4qJtnfe0W3vCxEg7BJUUHrfJFK6vCSDbmgb4uCdbGvQB9kWUrd4D3BTy1EUxdJgxWGh&#10;xIZ+Ssov+6tRsEr98ne7LSbn3TrOFlmW/qWbg1KDfrf4BuGp8+/wf3ulFYzjMbzOhCMgZ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U6StMUAAADcAAAADwAAAAAAAAAA&#10;AAAAAAChAgAAZHJzL2Rvd25yZXYueG1sUEsFBgAAAAAEAAQA+QAAAJMDAAAAAA==&#10;" strokeweight="1.4pt">
                <v:stroke endcap="round"/>
              </v:line>
              <v:line id="Line 353" o:spid="_x0000_s7948" style="position:absolute;flip:y;visibility:visible" from="4544,1824" to="4544,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wMw8UAAADcAAAADwAAAGRycy9kb3ducmV2LnhtbESP3YrCMBSE7xd8h3AE79ZUYYtUo4it&#10;oIjL+vMAh+bYVpuT0mS1vr0RFvZymJlvmNmiM7W4U+sqywpGwwgEcW51xYWC82n9OQHhPLLG2jIp&#10;eJKDxbz3McNE2wcf6H70hQgQdgkqKL1vEildXpJBN7QNcfAutjXog2wLqVt8BLip5TiKYmmw4rBQ&#10;YkOrkvLb8dco2KR+/b3fF5PrYRtnyyxLf9LdSalBv1tOQXjq/H/4r73RCr7iGN5nwhGQ8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ZwMw8UAAADcAAAADwAAAAAAAAAA&#10;AAAAAAChAgAAZHJzL2Rvd25yZXYueG1sUEsFBgAAAAAEAAQA+QAAAJMDAAAAAA==&#10;" strokeweight="1.4pt">
                <v:stroke endcap="round"/>
              </v:line>
              <v:line id="Line 354" o:spid="_x0000_s7949" style="position:absolute;flip:y;visibility:visible" from="3080,2270" to="3080,2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CpWMYAAADcAAAADwAAAGRycy9kb3ducmV2LnhtbESP3WrCQBSE7wu+w3IE7+qmBWNIXUWa&#10;CJai+NMHOGSPSWz2bMhuNb69WxC8HGbmG2a26E0jLtS52rKCt3EEgriwuuZSwc9x9ZqAcB5ZY2OZ&#10;FNzIwWI+eJlhqu2V93Q5+FIECLsUFVTet6mUrqjIoBvbljh4J9sZ9EF2pdQdXgPcNPI9imJpsOaw&#10;UGFLnxUVv4c/o2Cd+dV2symT8/4rzpd5nu2y76NSo2G//ADhqffP8KO91gom8RT+z4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7QqVjGAAAA3AAAAA8AAAAAAAAA&#10;AAAAAAAAoQIAAGRycy9kb3ducmV2LnhtbFBLBQYAAAAABAAEAPkAAACUAwAAAAA=&#10;" strokeweight="1.4pt">
                <v:stroke endcap="round"/>
              </v:line>
              <v:line id="Line 355" o:spid="_x0000_s7950" style="position:absolute;flip:y;visibility:visible" from="3234,2479" to="3234,2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89KsEAAADcAAAADwAAAGRycy9kb3ducmV2LnhtbERPy4rCMBTdD/gP4QruxlRhilSjiK2g&#10;iIOvD7g017ba3JQmo/XvzUKY5eG8Z4vO1OJBrassKxgNIxDEudUVFwou5/X3BITzyBpry6TgRQ4W&#10;897XDBNtn3ykx8kXIoSwS1BB6X2TSOnykgy6oW2IA3e1rUEfYFtI3eIzhJtajqMolgYrDg0lNrQq&#10;Kb+f/oyCTerXv/t9Mbkdt3G2zLL0kO7OSg363XIKwlPn/8Uf90Yr+InD2nAmHAE5f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z0qwQAAANwAAAAPAAAAAAAAAAAAAAAA&#10;AKECAABkcnMvZG93bnJldi54bWxQSwUGAAAAAAQABAD5AAAAjwMAAAAA&#10;" strokeweight="1.4pt">
                <v:stroke endcap="round"/>
              </v:line>
              <v:line id="Line 356" o:spid="_x0000_s7951" style="position:absolute;flip:y;visibility:visible" from="4112,2925" to="4112,2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OYscYAAADcAAAADwAAAGRycy9kb3ducmV2LnhtbESP3WrCQBSE7wu+w3IE78ymBYOmriJN&#10;BEtR/OkDHLLHJDZ7NmS3Gt/eLQi9HGbmG2a+7E0jrtS52rKC1ygGQVxYXXOp4Pu0Hk9BOI+ssbFM&#10;Cu7kYLkYvMwx1fbGB7oefSkChF2KCirv21RKV1Rk0EW2JQ7e2XYGfZBdKXWHtwA3jXyL40QarDks&#10;VNjSR0XFz/HXKNhkfr3bbsvp5fCZ5Ks8z/bZ10mp0bBfvYPw1Pv/8LO90QomyQz+zoQjIB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DmLHGAAAA3AAAAA8AAAAAAAAA&#10;AAAAAAAAoQIAAGRycy9kb3ducmV2LnhtbFBLBQYAAAAABAAEAPkAAACUAwAAAAA=&#10;" strokeweight="1.4pt">
                <v:stroke endcap="round"/>
              </v:line>
              <v:line id="Line 357" o:spid="_x0000_s7952" style="position:absolute;flip:y;visibility:visible" from="4181,3148" to="418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Cn8cEAAADcAAAADwAAAGRycy9kb3ducmV2LnhtbERPy4rCMBTdC/5DuII7TR0YlWoUsRUc&#10;xMHXB1yaa1ttbkoTtfP3ZiHM8nDe82VrKvGkxpWWFYyGEQjizOqScwWX82YwBeE8ssbKMin4IwfL&#10;Rbczx1jbFx/pefK5CCHsYlRQeF/HUrqsIINuaGviwF1tY9AH2ORSN/gK4aaSX1E0lgZLDg0F1rQu&#10;KLufHkbBNvGb3/0+n96OP+N0labJIdmdler32tUMhKfW/4s/7q1W8D0J88OZcATk4g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4KfxwQAAANwAAAAPAAAAAAAAAAAAAAAA&#10;AKECAABkcnMvZG93bnJldi54bWxQSwUGAAAAAAQABAD5AAAAjwMAAAAA&#10;" strokeweight="1.4pt">
                <v:stroke endcap="round"/>
              </v:line>
              <v:line id="Line 358" o:spid="_x0000_s7953" style="position:absolute;flip:y;visibility:visible" from="4377,3595" to="4377,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wCasUAAADcAAAADwAAAGRycy9kb3ducmV2LnhtbESP3YrCMBSE74V9h3AWvNPUBX+oRpFt&#10;BWVR/HuAQ3Nsu9uclCZqfXuzIHg5zMw3zGzRmkrcqHGlZQWDfgSCOLO65FzB+bTqTUA4j6yxskwK&#10;HuRgMf/ozDDW9s4Huh19LgKEXYwKCu/rWEqXFWTQ9W1NHLyLbQz6IJtc6gbvAW4q+RVFI2mw5LBQ&#10;YE3fBWV/x6tRsE78arfd5pPfw2aULtM02Sc/J6W6n+1yCsJT69/hV3utFQzHA/g/E46AnD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6wCasUAAADcAAAADwAAAAAAAAAA&#10;AAAAAAChAgAAZHJzL2Rvd25yZXYueG1sUEsFBgAAAAAEAAQA+QAAAJMDAAAAAA==&#10;" strokeweight="1.4pt">
                <v:stroke endcap="round"/>
              </v:line>
              <v:line id="Line 359" o:spid="_x0000_s7954" style="position:absolute;flip:y;visibility:visible" from="4028,3804" to="4028,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6cHcUAAADcAAAADwAAAGRycy9kb3ducmV2LnhtbESP3YrCMBSE74V9h3AWvNN0BX+oRpFt&#10;BWVR/HuAQ3Nsu9uclCZqfXuzIHg5zMw3zGzRmkrcqHGlZQVf/QgEcWZ1ybmC82nVm4BwHlljZZkU&#10;PMjBYv7RmWGs7Z0PdDv6XAQIuxgVFN7XsZQuK8ig69uaOHgX2xj0QTa51A3eA9xUchBFI2mw5LBQ&#10;YE3fBWV/x6tRsE78arfd5pPfw2aULtM02Sc/J6W6n+1yCsJT69/hV3utFQzHA/g/E46AnD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36cHcUAAADcAAAADwAAAAAAAAAA&#10;AAAAAAChAgAAZHJzL2Rvd25yZXYueG1sUEsFBgAAAAAEAAQA+QAAAJMDAAAAAA==&#10;" strokeweight="1.4pt">
                <v:stroke endcap="round"/>
              </v:line>
              <v:line id="Line 360" o:spid="_x0000_s7955" style="position:absolute;flip:y;visibility:visible" from="5032,4250" to="5032,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I5hsYAAADcAAAADwAAAGRycy9kb3ducmV2LnhtbESP3WrCQBSE7wt9h+UUeqebWrQhuoqY&#10;CIoo9ecBDtljEps9G7KrxrfvFoReDjPzDTOZdaYWN2pdZVnBRz8CQZxbXXGh4HRc9mIQziNrrC2T&#10;ggc5mE1fXyaYaHvnPd0OvhABwi5BBaX3TSKly0sy6Pq2IQ7e2bYGfZBtIXWL9wA3tRxE0UgarDgs&#10;lNjQoqT853A1ClapX+622yK+7NejbJ5l6Xe6OSr1/tbNxyA8df4//GyvtILh1yf8nQlH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QyOYbGAAAA3AAAAA8AAAAAAAAA&#10;AAAAAAAAoQIAAGRycy9kb3ducmV2LnhtbFBLBQYAAAAABAAEAPkAAACUAwAAAAA=&#10;" strokeweight="1.4pt">
                <v:stroke endcap="round"/>
              </v:line>
              <v:line id="Line 361" o:spid="_x0000_s7956" style="position:absolute;flip:y;visibility:visible" from="4000,4473" to="4000,4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uh8sYAAADcAAAADwAAAGRycy9kb3ducmV2LnhtbESP3WrCQBSE7wt9h+UUeqebSrUhuoqY&#10;CIoo9ecBDtljEps9G7KrxrfvFoReDjPzDTOZdaYWN2pdZVnBRz8CQZxbXXGh4HRc9mIQziNrrC2T&#10;ggc5mE1fXyaYaHvnPd0OvhABwi5BBaX3TSKly0sy6Pq2IQ7e2bYGfZBtIXWL9wA3tRxE0UgarDgs&#10;lNjQoqT853A1ClapX+622yK+7NejbJ5l6Xe6OSr1/tbNxyA8df4//GyvtILh1yf8nQlH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bofLGAAAA3AAAAA8AAAAAAAAA&#10;AAAAAAAAoQIAAGRycy9kb3ducmV2LnhtbFBLBQYAAAAABAAEAPkAAACUAwAAAAA=&#10;" strokeweight="1.4pt">
                <v:stroke endcap="round"/>
              </v:line>
              <v:line id="Line 362" o:spid="_x0000_s7957" style="position:absolute;visibility:visible" from="2871,4892" to="5770,4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7FUMUAAADcAAAADwAAAGRycy9kb3ducmV2LnhtbESPX0vDQBDE3wW/w7GCb/ZioVpir8UW&#10;CvVJmkrxccmtSdrcXprb/NFP3xMEH4eZ+Q2zWI2uVj21ofJs4HGSgCLOva24MPBx2D7MQQVBtlh7&#10;JgPfFGC1vL1ZYGr9wHvqMylUhHBI0UAp0qRah7wkh2HiG+LoffnWoUTZFtq2OES4q/U0SZ60w4rj&#10;QokNbUrKz1nnDJyarpB1JZme/3x23dtwvPTvR2Pu78bXF1BCo/yH/9o7a2D2PIPfM/EI6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77FUMUAAADcAAAADwAAAAAAAAAA&#10;AAAAAAChAgAAZHJzL2Rvd25yZXYueG1sUEsFBgAAAAAEAAQA+QAAAJMDAAAAAA==&#10;" strokeweight=".7pt">
                <v:stroke endcap="round"/>
              </v:line>
              <v:line id="Line 363" o:spid="_x0000_s7958" style="position:absolute;visibility:visible" from="2871,4892" to="2871,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xbJ8UAAADcAAAADwAAAGRycy9kb3ducmV2LnhtbESPX0vDQBDE3wW/w7GCb+3FgrXEXost&#10;FOqTmErxccmtSdrcXprb/NFP7wkFH4eZ+Q2zXI+uVj21ofJs4GGagCLOva24MPBx2E0WoIIgW6w9&#10;k4FvCrBe3d4sMbV+4HfqMylUhHBI0UAp0qRah7wkh2HqG+LoffnWoUTZFtq2OES4q/UsSebaYcVx&#10;ocSGtiXl56xzBk5NV8imkkwvfj677nU4Xvq3ozH3d+PLMyihUf7D1/beGnh8msPfmXgE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2xbJ8UAAADcAAAADwAAAAAAAAAA&#10;AAAAAAChAgAAZHJzL2Rvd25yZXYueG1sUEsFBgAAAAAEAAQA+QAAAJMDAAAAAA==&#10;" strokeweight=".7pt">
                <v:stroke endcap="round"/>
              </v:line>
              <v:line id="Line 364" o:spid="_x0000_s7959" style="position:absolute;visibility:visible" from="3164,4892" to="3164,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D+vMUAAADcAAAADwAAAGRycy9kb3ducmV2LnhtbESPX0vDQBDE3wt+h2MF3+zFgrbEXost&#10;FOqTmErxccmtSdrcXprb/NFP7wlCH4eZ+Q2zXI+uVj21ofJs4GGagCLOva24MPBx2N0vQAVBtlh7&#10;JgPfFGC9upksMbV+4HfqMylUhHBI0UAp0qRah7wkh2HqG+LoffnWoUTZFtq2OES4q/UsSZ60w4rj&#10;QokNbUvKz1nnDJyarpBNJZle/Hx23etwvPRvR2PubseXZ1BCo1zD/+29NfA4n8PfmXgE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D+vMUAAADcAAAADwAAAAAAAAAA&#10;AAAAAAChAgAAZHJzL2Rvd25yZXYueG1sUEsFBgAAAAAEAAQA+QAAAJMDAAAAAA==&#10;" strokeweight=".7pt">
                <v:stroke endcap="round"/>
              </v:line>
              <v:line id="Line 365" o:spid="_x0000_s7960" style="position:absolute;visibility:visible" from="3457,4892" to="3457,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9qzsIAAADcAAAADwAAAGRycy9kb3ducmV2LnhtbERPS2vCQBC+F/wPywje6saCraSuogXB&#10;nkqjiMchO03SZmdjdvJof333UOjx43uvt6OrVU9tqDwbWMwTUMS5txUXBs6nw/0KVBBki7VnMvBN&#10;Ababyd0aU+sHfqc+k0LFEA4pGihFmlTrkJfkMMx9Qxy5D986lAjbQtsWhxjuav2QJI/aYcWxocSG&#10;XkrKv7LOGfhsukL2lWR69XPtutfhcuvfLsbMpuPuGZTQKP/iP/fRGlg+xbXxTDwCe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9qzsIAAADcAAAADwAAAAAAAAAAAAAA&#10;AAChAgAAZHJzL2Rvd25yZXYueG1sUEsFBgAAAAAEAAQA+QAAAJADAAAAAA==&#10;" strokeweight=".7pt">
                <v:stroke endcap="round"/>
              </v:line>
              <v:line id="Line 366" o:spid="_x0000_s7961" style="position:absolute;visibility:visible" from="3749,4892" to="3749,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PPVcUAAADcAAAADwAAAGRycy9kb3ducmV2LnhtbESPX0vDQBDE3wW/w7GCb+aiYFvTXosK&#10;gj5Jo5Q+Lrk1ieb2Ym7zp376XqHg4zAzv2FWm8k1aqAu1J4N3CYpKOLC25pLA58fLzcLUEGQLTae&#10;ycCBAmzWlxcrzKwfeUtDLqWKEA4ZGqhE2kzrUFTkMCS+JY7el+8cSpRdqW2HY4S7Rt+l6Uw7rDku&#10;VNjSc0XFT947A99tX8pTLble/O37/m3c/Q7vO2Our6bHJSihSf7D5/arNXA/f4DTmXgE9PoI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PPVcUAAADcAAAADwAAAAAAAAAA&#10;AAAAAAChAgAAZHJzL2Rvd25yZXYueG1sUEsFBgAAAAAEAAQA+QAAAJMDAAAAAA==&#10;" strokeweight=".7pt">
                <v:stroke endcap="round"/>
              </v:line>
              <v:line id="Line 367" o:spid="_x0000_s7962" style="position:absolute;visibility:visible" from="4042,4892" to="4042,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wW78IAAADcAAAADwAAAGRycy9kb3ducmV2LnhtbERPS0vDQBC+C/0PyxS82U0LlRC7LW1B&#10;aE9iLKXHITsm0exszE4e+uvdg+Dx43tvdpNr1EBdqD0bWC4SUMSFtzWXBi5vzw8pqCDIFhvPZOCb&#10;Auy2s7sNZtaP/EpDLqWKIRwyNFCJtJnWoajIYVj4ljhy775zKBF2pbYdjjHcNXqVJI/aYc2xocKW&#10;jhUVn3nvDHy0fSmHWnKd/tz6/jxev4aXqzH382n/BEpokn/xn/tkDazTOD+eiUdAb3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hwW78IAAADcAAAADwAAAAAAAAAAAAAA&#10;AAChAgAAZHJzL2Rvd25yZXYueG1sUEsFBgAAAAAEAAQA+QAAAJADAAAAAA==&#10;" strokeweight=".7pt">
                <v:stroke endcap="round"/>
              </v:line>
              <v:line id="Line 368" o:spid="_x0000_s7963" style="position:absolute;visibility:visible" from="4321,4892" to="4321,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CzdMUAAADcAAAADwAAAGRycy9kb3ducmV2LnhtbESPX0vDQBDE3wW/w7FC3+ylghLSXksV&#10;BH0qRil9XHLbJG1uL+Y2f9pP7wmCj8PM/IZZbSbXqIG6UHs2sJgnoIgLb2suDXx9vt6noIIgW2w8&#10;k4ELBdisb29WmFk/8gcNuZQqQjhkaKASaTOtQ1GRwzD3LXH0jr5zKFF2pbYdjhHuGv2QJE/aYc1x&#10;ocKWXioqznnvDJzavpTnWnKdXg99/z7uv4fd3pjZ3bRdghKa5D/8136zBh7TBfyeiUdAr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VCzdMUAAADcAAAADwAAAAAAAAAA&#10;AAAAAAChAgAAZHJzL2Rvd25yZXYueG1sUEsFBgAAAAAEAAQA+QAAAJMDAAAAAA==&#10;" strokeweight=".7pt">
                <v:stroke endcap="round"/>
              </v:line>
              <v:line id="Line 369" o:spid="_x0000_s7964" style="position:absolute;visibility:visible" from="4614,4892" to="4614,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ItA8UAAADcAAAADwAAAGRycy9kb3ducmV2LnhtbESPX0vDQBDE3wW/w7FC3+zFghLSXksV&#10;BH0qRil9XHLbJG1uL+Y2f9pP7wmCj8PM/IZZbSbXqIG6UHs28DBPQBEX3tZcGvj6fL1PQQVBtth4&#10;JgMXCrBZ396sMLN+5A8acilVhHDI0EAl0mZah6Iih2HuW+LoHX3nUKLsSm07HCPcNXqRJE/aYc1x&#10;ocKWXioqznnvDJzavpTnWnKdXg99/z7uv4fd3pjZ3bRdghKa5D/8136zBh7TBfyeiUdAr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ItA8UAAADcAAAADwAAAAAAAAAA&#10;AAAAAAChAgAAZHJzL2Rvd25yZXYueG1sUEsFBgAAAAAEAAQA+QAAAJMDAAAAAA==&#10;" strokeweight=".7pt">
                <v:stroke endcap="round"/>
              </v:line>
              <v:line id="Line 370" o:spid="_x0000_s7965" style="position:absolute;visibility:visible" from="4906,4892" to="4906,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6ImMUAAADcAAAADwAAAGRycy9kb3ducmV2LnhtbESPX0vDQBDE3wt+h2MF39qLSkuIvRYV&#10;BH0SoxQfl9w2Sc3txdzmj/30XqHQx2FmfsOst5Nr1EBdqD0buF0koIgLb2suDXx9vsxTUEGQLTae&#10;ycAfBdhurmZrzKwf+YOGXEoVIRwyNFCJtJnWoajIYVj4ljh6e985lCi7UtsOxwh3jb5LkpV2WHNc&#10;qLCl54qKn7x3Bg5tX8pTLblOj999/zbufof3nTE319PjAyihSS7hc/vVGlim93A6E4+A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6ImMUAAADcAAAADwAAAAAAAAAA&#10;AAAAAAChAgAAZHJzL2Rvd25yZXYueG1sUEsFBgAAAAAEAAQA+QAAAJMDAAAAAA==&#10;" strokeweight=".7pt">
                <v:stroke endcap="round"/>
              </v:line>
              <v:line id="Line 371" o:spid="_x0000_s7966" style="position:absolute;visibility:visible" from="5199,4892" to="5199,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Q7MUAAADcAAAADwAAAGRycy9kb3ducmV2LnhtbESPX0vDQBDE3wt+h2MF39qLYkuIvRYV&#10;BH0SoxQfl9w2Sc3txdzmj/30XqHQx2FmfsOst5Nr1EBdqD0buF0koIgLb2suDXx9vsxTUEGQLTae&#10;ycAfBdhurmZrzKwf+YOGXEoVIRwyNFCJtJnWoajIYVj4ljh6e985lCi7UtsOxwh3jb5LkpV2WHNc&#10;qLCl54qKn7x3Bg5tX8pTLblOj999/zbufof3nTE319PjAyihSS7hc/vVGlim93A6E4+A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Q7MUAAADcAAAADwAAAAAAAAAA&#10;AAAAAAChAgAAZHJzL2Rvd25yZXYueG1sUEsFBgAAAAAEAAQA+QAAAJMDAAAAAA==&#10;" strokeweight=".7pt">
                <v:stroke endcap="round"/>
              </v:line>
              <v:line id="Line 372" o:spid="_x0000_s7967" style="position:absolute;visibility:visible" from="5492,4892" to="5492,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u1d8UAAADcAAAADwAAAGRycy9kb3ducmV2LnhtbESPX0vDQBDE3wW/w7GCb/ZioRLSXksV&#10;CvokplL6uOS2SdrcXsxt/uin94SCj8PM/IZZbSbXqIG6UHs28DhLQBEX3tZcGvjc7x5SUEGQLTae&#10;ycA3Bdisb29WmFk/8gcNuZQqQjhkaKASaTOtQ1GRwzDzLXH0Tr5zKFF2pbYdjhHuGj1PkiftsOa4&#10;UGFLLxUVl7x3Bs5tX8pzLblOf459/zYevob3gzH3d9N2CUpokv/wtf1qDSzSBfydiUd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u1d8UAAADcAAAADwAAAAAAAAAA&#10;AAAAAAChAgAAZHJzL2Rvd25yZXYueG1sUEsFBgAAAAAEAAQA+QAAAJMDAAAAAA==&#10;" strokeweight=".7pt">
                <v:stroke endcap="round"/>
              </v:line>
              <v:line id="Line 373" o:spid="_x0000_s7968" style="position:absolute;visibility:visible" from="5770,4892" to="5770,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krAMUAAADcAAAADwAAAGRycy9kb3ducmV2LnhtbESPX0vDQBDE3wW/w7GCb/ZiwRLSXksV&#10;CvokRil9XHLbJG1uL+Y2f/TT9wqCj8PM/IZZbSbXqIG6UHs28DhLQBEX3tZcGvj63D2koIIgW2w8&#10;k4EfCrBZ396sMLN+5A8acilVhHDI0EAl0mZah6Iih2HmW+LoHX3nUKLsSm07HCPcNXqeJAvtsOa4&#10;UGFLLxUV57x3Bk5tX8pzLblOfw99/zbuv4f3vTH3d9N2CUpokv/wX/vVGnhKF3A9E4+AX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krAMUAAADcAAAADwAAAAAAAAAA&#10;AAAAAAChAgAAZHJzL2Rvd25yZXYueG1sUEsFBgAAAAAEAAQA+QAAAJMDAAAAAA==&#10;" strokeweight=".7pt">
                <v:stroke endcap="round"/>
              </v:line>
              <v:rect id="Rectangle 374" o:spid="_x0000_s7969" style="position:absolute;left:2753;top:5129;width:112;height: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6I2cIA&#10;AADcAAAADwAAAGRycy9kb3ducmV2LnhtbESP3WoCMRSE74W+QzgF7zRbQ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ojZwgAAANwAAAAPAAAAAAAAAAAAAAAAAJgCAABkcnMvZG93&#10;bnJldi54bWxQSwUGAAAAAAQABAD1AAAAhwMAAAAA&#10;" filled="f" stroked="f">
                <v:textbox style="mso-next-textbox:#Rectangle 374" inset="0,0,0,0">
                  <w:txbxContent>
                    <w:p w:rsidR="000367FA" w:rsidRDefault="000367FA" w:rsidP="002505ED">
                      <w:r>
                        <w:rPr>
                          <w:rFonts w:ascii="Arial" w:hAnsi="Arial" w:cs="Arial"/>
                          <w:b/>
                          <w:bCs/>
                          <w:color w:val="000000"/>
                          <w:sz w:val="20"/>
                        </w:rPr>
                        <w:t>0</w:t>
                      </w:r>
                    </w:p>
                  </w:txbxContent>
                </v:textbox>
              </v:rect>
              <v:rect id="Rectangle 375" o:spid="_x0000_s7970" style="position:absolute;left:3248;top:5129;width:279;height: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Ecq74A&#10;AADcAAAADwAAAGRycy9kb3ducmV2LnhtbERPy4rCMBTdD/gP4QruxlTB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xHKu+AAAA3AAAAA8AAAAAAAAAAAAAAAAAmAIAAGRycy9kb3ducmV2&#10;LnhtbFBLBQYAAAAABAAEAPUAAACDAwAAAAA=&#10;" filled="f" stroked="f">
                <v:textbox style="mso-next-textbox:#Rectangle 375" inset="0,0,0,0">
                  <w:txbxContent>
                    <w:p w:rsidR="000367FA" w:rsidRDefault="000367FA" w:rsidP="002505ED">
                      <w:r>
                        <w:rPr>
                          <w:rFonts w:ascii="Arial" w:hAnsi="Arial" w:cs="Arial"/>
                          <w:b/>
                          <w:bCs/>
                          <w:color w:val="000000"/>
                          <w:sz w:val="20"/>
                        </w:rPr>
                        <w:t>0.5</w:t>
                      </w:r>
                    </w:p>
                  </w:txbxContent>
                </v:textbox>
              </v:rect>
              <v:rect id="Rectangle 376" o:spid="_x0000_s7971" style="position:absolute;left:3924;top:5129;width:112;height: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25MMIA&#10;AADcAAAADwAAAGRycy9kb3ducmV2LnhtbESP3WoCMRSE7wXfIRzBO80qtKyrUYog2OKNqw9w2Jz9&#10;ocnJkqTu9u1NQejlMDPfMLvDaI14kA+dYwWrZQaCuHK640bB/XZa5CBCRNZoHJOCXwpw2E8nOyy0&#10;G/hKjzI2IkE4FKigjbEvpAxVSxbD0vXEyaudtxiT9I3UHocEt0aus+xdWuw4LbTY07Gl6rv8sQrk&#10;rTwNeWl85r7W9cV8nq81OaXms/FjCyLSGP/Dr/ZZK3jLN/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fbkwwgAAANwAAAAPAAAAAAAAAAAAAAAAAJgCAABkcnMvZG93&#10;bnJldi54bWxQSwUGAAAAAAQABAD1AAAAhwMAAAAA&#10;" filled="f" stroked="f">
                <v:textbox style="mso-next-textbox:#Rectangle 376" inset="0,0,0,0">
                  <w:txbxContent>
                    <w:p w:rsidR="000367FA" w:rsidRDefault="000367FA" w:rsidP="002505ED">
                      <w:r>
                        <w:rPr>
                          <w:rFonts w:ascii="Arial" w:hAnsi="Arial" w:cs="Arial"/>
                          <w:b/>
                          <w:bCs/>
                          <w:color w:val="000000"/>
                          <w:sz w:val="20"/>
                        </w:rPr>
                        <w:t>1</w:t>
                      </w:r>
                    </w:p>
                  </w:txbxContent>
                </v:textbox>
              </v:rect>
              <v:rect id="Rectangle 377" o:spid="_x0000_s7972" style="position:absolute;left:4405;top:5129;width:279;height: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6GcL4A&#10;AADcAAAADwAAAGRycy9kb3ducmV2LnhtbERPy4rCMBTdC/5DuII7TUdQ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uehnC+AAAA3AAAAA8AAAAAAAAAAAAAAAAAmAIAAGRycy9kb3ducmV2&#10;LnhtbFBLBQYAAAAABAAEAPUAAACDAwAAAAA=&#10;" filled="f" stroked="f">
                <v:textbox style="mso-next-textbox:#Rectangle 377" inset="0,0,0,0">
                  <w:txbxContent>
                    <w:p w:rsidR="000367FA" w:rsidRDefault="000367FA" w:rsidP="002505ED">
                      <w:r>
                        <w:rPr>
                          <w:rFonts w:ascii="Arial" w:hAnsi="Arial" w:cs="Arial"/>
                          <w:b/>
                          <w:bCs/>
                          <w:color w:val="000000"/>
                          <w:sz w:val="20"/>
                        </w:rPr>
                        <w:t>1.5</w:t>
                      </w:r>
                    </w:p>
                  </w:txbxContent>
                </v:textbox>
              </v:rect>
              <v:rect id="Rectangle 378" o:spid="_x0000_s7973" style="position:absolute;left:5081;top:5129;width:112;height: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Ij68IA&#10;AADcAAAADwAAAGRycy9kb3ducmV2LnhtbESPzYoCMRCE74LvEFrwphkFF3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0iPrwgAAANwAAAAPAAAAAAAAAAAAAAAAAJgCAABkcnMvZG93&#10;bnJldi54bWxQSwUGAAAAAAQABAD1AAAAhwMAAAAA&#10;" filled="f" stroked="f">
                <v:textbox style="mso-next-textbox:#Rectangle 378" inset="0,0,0,0">
                  <w:txbxContent>
                    <w:p w:rsidR="000367FA" w:rsidRDefault="000367FA" w:rsidP="002505ED">
                      <w:r>
                        <w:rPr>
                          <w:rFonts w:ascii="Arial" w:hAnsi="Arial" w:cs="Arial"/>
                          <w:b/>
                          <w:bCs/>
                          <w:color w:val="000000"/>
                          <w:sz w:val="20"/>
                        </w:rPr>
                        <w:t>2</w:t>
                      </w:r>
                    </w:p>
                  </w:txbxContent>
                </v:textbox>
              </v:rect>
              <v:rect id="Rectangle 379" o:spid="_x0000_s7974" style="position:absolute;left:5561;top:5129;width:279;height: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9nMIA&#10;AADcAAAADwAAAGRycy9kb3ducmV2LnhtbESP3WoCMRSE7wu+QziCdzXrg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L2cwgAAANwAAAAPAAAAAAAAAAAAAAAAAJgCAABkcnMvZG93&#10;bnJldi54bWxQSwUGAAAAAAQABAD1AAAAhwMAAAAA&#10;" filled="f" stroked="f">
                <v:textbox style="mso-next-textbox:#Rectangle 379" inset="0,0,0,0">
                  <w:txbxContent>
                    <w:p w:rsidR="000367FA" w:rsidRDefault="000367FA" w:rsidP="002505ED">
                      <w:r>
                        <w:rPr>
                          <w:rFonts w:ascii="Arial" w:hAnsi="Arial" w:cs="Arial"/>
                          <w:b/>
                          <w:bCs/>
                          <w:color w:val="000000"/>
                          <w:sz w:val="20"/>
                        </w:rPr>
                        <w:t>2.5</w:t>
                      </w:r>
                    </w:p>
                  </w:txbxContent>
                </v:textbox>
              </v:rect>
              <v:line id="Line 380" o:spid="_x0000_s7975" style="position:absolute;flip:y;visibility:visible" from="2676,750" to="2676,4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ERW74AAADcAAAADwAAAGRycy9kb3ducmV2LnhtbESPSQvCMBCF74L/IYzgTVMVRatRxAW8&#10;uoDXoZku2ExKE7X6640geHy85eMtVo0pxYNqV1hWMOhHIIgTqwvOFFzO+94UhPPIGkvLpOBFDlbL&#10;dmuBsbZPPtLj5DMRRtjFqCD3voqldElOBl3fVsTBS21t0AdZZ1LX+AzjppTDKJpIgwUHQo4VbXJK&#10;bqe7CdxRdpPRWL5n2/V1d6R3ynaTKtXtNOs5CE+N/4d/7YNWMJ6N4HsmHAG5/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TcRFbvgAAANwAAAAPAAAAAAAAAAAAAAAAAKEC&#10;AABkcnMvZG93bnJldi54bWxQSwUGAAAAAAQABAD5AAAAjAMAAAAA&#10;" strokeweight=".7pt">
                <v:stroke endcap="round"/>
              </v:line>
              <v:rect id="Rectangle 381" o:spid="_x0000_s7976" style="position:absolute;left:2077;top:4446;width:436;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Ac8IA&#10;AADcAAAADwAAAGRycy9kb3ducmV2LnhtbESP3WoCMRSE7wu+QziCdzWrWNHVKFIQbPHG1Qc4bM7+&#10;YHKyJKm7ffumIHg5zMw3zHY/WCMe5EPrWMFsmoEgLp1uuVZwux7fVyBCRNZoHJOCXwqw343etphr&#10;1/OFHkWsRYJwyFFBE2OXSxnKhiyGqeuIk1c5bzEm6WupPfYJbo2cZ9lSWmw5LTTY0WdD5b34sQrk&#10;tTj2q8L4zH3Pq7P5Ol0qckpNxsNhAyLSEF/hZ/ukFXy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YBzwgAAANwAAAAPAAAAAAAAAAAAAAAAAJgCAABkcnMvZG93&#10;bnJldi54bWxQSwUGAAAAAAQABAD1AAAAhwMAAAAA&#10;" filled="f" stroked="f">
                <v:textbox style="mso-next-textbox:#Rectangle 381" inset="0,0,0,0">
                  <w:txbxContent>
                    <w:p w:rsidR="000367FA" w:rsidRDefault="000367FA" w:rsidP="002505ED">
                      <w:r>
                        <w:rPr>
                          <w:rFonts w:ascii="Arial" w:hAnsi="Arial" w:cs="Arial"/>
                          <w:b/>
                          <w:bCs/>
                          <w:color w:val="000000"/>
                          <w:sz w:val="16"/>
                          <w:szCs w:val="16"/>
                        </w:rPr>
                        <w:t>Cmax</w:t>
                      </w:r>
                    </w:p>
                  </w:txbxContent>
                </v:textbox>
              </v:rect>
              <v:rect id="Rectangle 382" o:spid="_x0000_s7977" style="position:absolute;left:2161;top:4223;width:347;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6MIA&#10;AADcAAAADwAAAGRycy9kb3ducmV2LnhtbESPzYoCMRCE7wu+Q2jB25pRcH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6SXowgAAANwAAAAPAAAAAAAAAAAAAAAAAJgCAABkcnMvZG93&#10;bnJldi54bWxQSwUGAAAAAAQABAD1AAAAhwMAAAAA&#10;" filled="f" stroked="f">
                <v:textbox style="mso-next-textbox:#Rectangle 382" inset="0,0,0,0">
                  <w:txbxContent>
                    <w:p w:rsidR="000367FA" w:rsidRDefault="000367FA" w:rsidP="002505ED">
                      <w:r>
                        <w:rPr>
                          <w:rFonts w:ascii="Arial" w:hAnsi="Arial" w:cs="Arial"/>
                          <w:b/>
                          <w:bCs/>
                          <w:color w:val="000000"/>
                          <w:sz w:val="16"/>
                          <w:szCs w:val="16"/>
                        </w:rPr>
                        <w:t>AUC</w:t>
                      </w:r>
                    </w:p>
                  </w:txbxContent>
                </v:textbox>
              </v:rect>
              <v:rect id="Rectangle 383" o:spid="_x0000_s7978" style="position:absolute;left:2077;top:3776;width:436;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u7n8IA&#10;AADcAAAADwAAAGRycy9kb3ducmV2LnhtbESPzYoCMRCE74LvEFrwphkFxR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O7ufwgAAANwAAAAPAAAAAAAAAAAAAAAAAJgCAABkcnMvZG93&#10;bnJldi54bWxQSwUGAAAAAAQABAD1AAAAhwMAAAAA&#10;" filled="f" stroked="f">
                <v:textbox style="mso-next-textbox:#Rectangle 383" inset="0,0,0,0">
                  <w:txbxContent>
                    <w:p w:rsidR="000367FA" w:rsidRDefault="000367FA" w:rsidP="002505ED">
                      <w:r>
                        <w:rPr>
                          <w:rFonts w:ascii="Arial" w:hAnsi="Arial" w:cs="Arial"/>
                          <w:b/>
                          <w:bCs/>
                          <w:color w:val="000000"/>
                          <w:sz w:val="16"/>
                          <w:szCs w:val="16"/>
                        </w:rPr>
                        <w:t>Cmax</w:t>
                      </w:r>
                    </w:p>
                  </w:txbxContent>
                </v:textbox>
              </v:rect>
              <v:rect id="Rectangle 384" o:spid="_x0000_s7979" style="position:absolute;left:2161;top:3567;width:347;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ceBMIA&#10;AADcAAAADwAAAGRycy9kb3ducmV2LnhtbESP3WoCMRSE7wu+QziCdzWrYN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x4EwgAAANwAAAAPAAAAAAAAAAAAAAAAAJgCAABkcnMvZG93&#10;bnJldi54bWxQSwUGAAAAAAQABAD1AAAAhwMAAAAA&#10;" filled="f" stroked="f">
                <v:textbox style="mso-next-textbox:#Rectangle 384" inset="0,0,0,0">
                  <w:txbxContent>
                    <w:p w:rsidR="000367FA" w:rsidRDefault="000367FA" w:rsidP="002505ED">
                      <w:r>
                        <w:rPr>
                          <w:rFonts w:ascii="Arial" w:hAnsi="Arial" w:cs="Arial"/>
                          <w:b/>
                          <w:bCs/>
                          <w:color w:val="000000"/>
                          <w:sz w:val="16"/>
                          <w:szCs w:val="16"/>
                        </w:rPr>
                        <w:t>AUC</w:t>
                      </w:r>
                    </w:p>
                  </w:txbxContent>
                </v:textbox>
              </v:rect>
              <v:rect id="Rectangle 385" o:spid="_x0000_s7980" style="position:absolute;left:2077;top:3121;width:436;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iKdr4A&#10;AADcAAAADwAAAGRycy9kb3ducmV2LnhtbERPy4rCMBTdC/5DuII7TUdQ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oina+AAAA3AAAAA8AAAAAAAAAAAAAAAAAmAIAAGRycy9kb3ducmV2&#10;LnhtbFBLBQYAAAAABAAEAPUAAACDAwAAAAA=&#10;" filled="f" stroked="f">
                <v:textbox style="mso-next-textbox:#Rectangle 385" inset="0,0,0,0">
                  <w:txbxContent>
                    <w:p w:rsidR="000367FA" w:rsidRDefault="000367FA" w:rsidP="002505ED">
                      <w:r>
                        <w:rPr>
                          <w:rFonts w:ascii="Arial" w:hAnsi="Arial" w:cs="Arial"/>
                          <w:b/>
                          <w:bCs/>
                          <w:color w:val="000000"/>
                          <w:sz w:val="16"/>
                          <w:szCs w:val="16"/>
                        </w:rPr>
                        <w:t>Cmax</w:t>
                      </w:r>
                    </w:p>
                  </w:txbxContent>
                </v:textbox>
              </v:rect>
              <v:rect id="Rectangle 386" o:spid="_x0000_s7981" style="position:absolute;left:2161;top:2898;width:347;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v7cIA&#10;AADcAAAADwAAAGRycy9kb3ducmV2LnhtbESPzYoCMRCE74LvEFrwphkFF5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C/twgAAANwAAAAPAAAAAAAAAAAAAAAAAJgCAABkcnMvZG93&#10;bnJldi54bWxQSwUGAAAAAAQABAD1AAAAhwMAAAAA&#10;" filled="f" stroked="f">
                <v:textbox style="mso-next-textbox:#Rectangle 386" inset="0,0,0,0">
                  <w:txbxContent>
                    <w:p w:rsidR="000367FA" w:rsidRDefault="000367FA" w:rsidP="002505ED">
                      <w:r>
                        <w:rPr>
                          <w:rFonts w:ascii="Arial" w:hAnsi="Arial" w:cs="Arial"/>
                          <w:b/>
                          <w:bCs/>
                          <w:color w:val="000000"/>
                          <w:sz w:val="16"/>
                          <w:szCs w:val="16"/>
                        </w:rPr>
                        <w:t>AUC</w:t>
                      </w:r>
                    </w:p>
                  </w:txbxContent>
                </v:textbox>
              </v:rect>
              <v:rect id="Rectangle 387" o:spid="_x0000_s7982" style="position:absolute;left:2077;top:2452;width:436;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yi74A&#10;AADcAAAADwAAAGRycy9kb3ducmV2LnhtbERPS4oCMRDdD3iHUMLsxmRciLRGkQFBxY2tByg61R9M&#10;Kk0S7fb2ZjHg8vH+6+3orHhSiJ1nDb8zBYK48qbjRsPtuv9ZgogJ2aD1TBpeFGG7mXytsTB+4As9&#10;y9SIHMKxQA1tSn0hZaxachhnvifOXO2Dw5RhaKQJOORwZ+VcqYV02HFuaLGnv5aqe/lwGuS13A/L&#10;0gblT/P6bI+HS01e6+/puFuBSDSmj/jffTAaFirPz2fyEZ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xcou+AAAA3AAAAA8AAAAAAAAAAAAAAAAAmAIAAGRycy9kb3ducmV2&#10;LnhtbFBLBQYAAAAABAAEAPUAAACDAwAAAAA=&#10;" filled="f" stroked="f">
                <v:textbox style="mso-next-textbox:#Rectangle 387" inset="0,0,0,0">
                  <w:txbxContent>
                    <w:p w:rsidR="000367FA" w:rsidRDefault="000367FA" w:rsidP="002505ED">
                      <w:r>
                        <w:rPr>
                          <w:rFonts w:ascii="Arial" w:hAnsi="Arial" w:cs="Arial"/>
                          <w:b/>
                          <w:bCs/>
                          <w:color w:val="000000"/>
                          <w:sz w:val="16"/>
                          <w:szCs w:val="16"/>
                        </w:rPr>
                        <w:t>Cmax</w:t>
                      </w:r>
                    </w:p>
                  </w:txbxContent>
                </v:textbox>
              </v:rect>
              <v:rect id="Rectangle 388" o:spid="_x0000_s7983" style="position:absolute;left:2161;top:2228;width:347;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EMEA&#10;AADcAAAADwAAAGRycy9kb3ducmV2LnhtbESPzYoCMRCE78K+Q+gFb5roQWQ0yrIgqHhx9AGaSc8P&#10;m3SGJOuMb28WFjwWVfUVtd2PzooHhdh51rCYKxDElTcdNxrut8NsDSImZIPWM2l4UoT97mOyxcL4&#10;ga/0KFMjMoRjgRralPpCyli15DDOfU+cvdoHhynL0EgTcMhwZ+VSqZV02HFeaLGn75aqn/LXaZC3&#10;8jCsSxuUPy/riz0drzV5raef49cGRKIxvcP/7aPRsFIL+DuTj4D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91xDBAAAA3AAAAA8AAAAAAAAAAAAAAAAAmAIAAGRycy9kb3du&#10;cmV2LnhtbFBLBQYAAAAABAAEAPUAAACGAwAAAAA=&#10;" filled="f" stroked="f">
                <v:textbox style="mso-next-textbox:#Rectangle 388" inset="0,0,0,0">
                  <w:txbxContent>
                    <w:p w:rsidR="000367FA" w:rsidRDefault="000367FA" w:rsidP="002505ED">
                      <w:r>
                        <w:rPr>
                          <w:rFonts w:ascii="Arial" w:hAnsi="Arial" w:cs="Arial"/>
                          <w:b/>
                          <w:bCs/>
                          <w:color w:val="000000"/>
                          <w:sz w:val="16"/>
                          <w:szCs w:val="16"/>
                        </w:rPr>
                        <w:t>AUC</w:t>
                      </w:r>
                    </w:p>
                  </w:txbxContent>
                </v:textbox>
              </v:rect>
              <v:rect id="Rectangle 389" o:spid="_x0000_s7984" style="position:absolute;left:2077;top:1796;width:436;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9JZ8IA&#10;AADcAAAADwAAAGRycy9kb3ducmV2LnhtbESPzWrDMBCE74W+g9hCb7VUH0Jwo5gQMKSllzh5gMVa&#10;/1BpZSQ1dt++KhRyHGbmG2ZXr86KG4U4edbwWigQxJ03Ew8arpfmZQsiJmSD1jNp+KEI9f7xYYeV&#10;8Quf6damQWQIxwo1jCnNlZSxG8lhLPxMnL3eB4cpyzBIE3DJcGdlqdRGOpw4L4w403Gk7qv9dhrk&#10;pW2WbWuD8h9l/2nfT+eevNbPT+vhDUSiNd3D/+2T0bBRJ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L0lnwgAAANwAAAAPAAAAAAAAAAAAAAAAAJgCAABkcnMvZG93&#10;bnJldi54bWxQSwUGAAAAAAQABAD1AAAAhwMAAAAA&#10;" filled="f" stroked="f">
                <v:textbox style="mso-next-textbox:#Rectangle 389" inset="0,0,0,0">
                  <w:txbxContent>
                    <w:p w:rsidR="000367FA" w:rsidRDefault="000367FA" w:rsidP="002505ED">
                      <w:r>
                        <w:rPr>
                          <w:rFonts w:ascii="Arial" w:hAnsi="Arial" w:cs="Arial"/>
                          <w:b/>
                          <w:bCs/>
                          <w:color w:val="000000"/>
                          <w:sz w:val="16"/>
                          <w:szCs w:val="16"/>
                        </w:rPr>
                        <w:t>Cmax</w:t>
                      </w:r>
                    </w:p>
                  </w:txbxContent>
                </v:textbox>
              </v:rect>
              <v:rect id="Rectangle 390" o:spid="_x0000_s7985" style="position:absolute;left:2161;top:1573;width:347;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s/MEA&#10;AADcAAAADwAAAGRycy9kb3ducmV2LnhtbESP3WoCMRSE74W+QzhC7zTRgs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j7PzBAAAA3AAAAA8AAAAAAAAAAAAAAAAAmAIAAGRycy9kb3du&#10;cmV2LnhtbFBLBQYAAAAABAAEAPUAAACGAwAAAAA=&#10;" filled="f" stroked="f">
                <v:textbox style="mso-next-textbox:#Rectangle 390" inset="0,0,0,0">
                  <w:txbxContent>
                    <w:p w:rsidR="000367FA" w:rsidRDefault="000367FA" w:rsidP="002505ED">
                      <w:r>
                        <w:rPr>
                          <w:rFonts w:ascii="Arial" w:hAnsi="Arial" w:cs="Arial"/>
                          <w:b/>
                          <w:bCs/>
                          <w:color w:val="000000"/>
                          <w:sz w:val="16"/>
                          <w:szCs w:val="16"/>
                        </w:rPr>
                        <w:t>AUC</w:t>
                      </w:r>
                    </w:p>
                  </w:txbxContent>
                </v:textbox>
              </v:rect>
              <v:rect id="Rectangle 391" o:spid="_x0000_s7986" style="position:absolute;left:2077;top:1127;width:436;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p0iMEA&#10;AADcAAAADwAAAGRycy9kb3ducmV2LnhtbESP3WoCMRSE74W+QzhC7zRRis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KdIjBAAAA3AAAAA8AAAAAAAAAAAAAAAAAmAIAAGRycy9kb3du&#10;cmV2LnhtbFBLBQYAAAAABAAEAPUAAACGAwAAAAA=&#10;" filled="f" stroked="f">
                <v:textbox style="mso-next-textbox:#Rectangle 391" inset="0,0,0,0">
                  <w:txbxContent>
                    <w:p w:rsidR="000367FA" w:rsidRDefault="000367FA" w:rsidP="002505ED">
                      <w:r>
                        <w:rPr>
                          <w:rFonts w:ascii="Arial" w:hAnsi="Arial" w:cs="Arial"/>
                          <w:b/>
                          <w:bCs/>
                          <w:color w:val="000000"/>
                          <w:sz w:val="16"/>
                          <w:szCs w:val="16"/>
                        </w:rPr>
                        <w:t>Cmax</w:t>
                      </w:r>
                    </w:p>
                  </w:txbxContent>
                </v:textbox>
              </v:rect>
              <v:rect id="Rectangle 392" o:spid="_x0000_s7987" style="position:absolute;left:2161;top:904;width:347;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RE8EA&#10;AADcAAAADwAAAGRycy9kb3ducmV2LnhtbESP3WoCMRSE74W+QzhC7zRRqM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G0RPBAAAA3AAAAA8AAAAAAAAAAAAAAAAAmAIAAGRycy9kb3du&#10;cmV2LnhtbFBLBQYAAAAABAAEAPUAAACGAwAAAAA=&#10;" filled="f" stroked="f">
                <v:textbox style="mso-next-textbox:#Rectangle 392" inset="0,0,0,0">
                  <w:txbxContent>
                    <w:p w:rsidR="000367FA" w:rsidRDefault="000367FA" w:rsidP="002505ED">
                      <w:r>
                        <w:rPr>
                          <w:rFonts w:ascii="Arial" w:hAnsi="Arial" w:cs="Arial"/>
                          <w:b/>
                          <w:bCs/>
                          <w:color w:val="000000"/>
                          <w:sz w:val="16"/>
                          <w:szCs w:val="16"/>
                        </w:rPr>
                        <w:t>AUC</w:t>
                      </w:r>
                    </w:p>
                  </w:txbxContent>
                </v:textbox>
              </v:rect>
              <v:line id="Line 393" o:spid="_x0000_s7988" style="position:absolute;flip:y;visibility:visible" from="4042,750" to="4042,4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OMEAAADcAAAADwAAAGRycy9kb3ducmV2LnhtbESPS4vCMBSF94L/IVzBnU0cscxUo4gz&#10;glt1YLaX5vaBzU1pMlr99UYQXB7O4+Ms171txIU6XzvWME0UCOLcmZpLDb+n3eQThA/IBhvHpOFG&#10;Htar4WCJmXFXPtDlGEoRR9hnqKEKoc2k9HlFFn3iWuLoFa6zGKLsSmk6vMZx28gPpVJpseZIqLCl&#10;bUX5+fhvI3dWnqWay/vX9+bv50D3gt220Ho86jcLEIH68A6/2nujIVUpPM/EIy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KUY4wQAAANwAAAAPAAAAAAAAAAAAAAAA&#10;AKECAABkcnMvZG93bnJldi54bWxQSwUGAAAAAAQABAD5AAAAjwMAAAAA&#10;" strokeweight=".7pt">
                <v:stroke endcap="round"/>
              </v:line>
              <v:rect id="Rectangle 394" o:spid="_x0000_s7989" style="position:absolute;left:502;top:792;width:1141;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jq/8IA&#10;AADcAAAADwAAAGRycy9kb3ducmV2LnhtbESP3WoCMRSE74W+QzhC7zTRC5WtUUQQrPTG1Qc4bM7+&#10;0ORkSVJ3+/amUPBymJlvmO1+dFY8KMTOs4bFXIEgrrzpuNFwv51mGxAxIRu0nknDL0XY794mWyyM&#10;H/hKjzI1IkM4FqihTakvpIxVSw7j3PfE2at9cJiyDI00AYcMd1YulVpJhx3nhRZ7OrZUfZc/ToO8&#10;ladhU9qg/GVZf9nP87Umr/X7dDx8gEg0plf4v302GlZqDX9n8hGQu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Or/wgAAANwAAAAPAAAAAAAAAAAAAAAAAJgCAABkcnMvZG93&#10;bnJldi54bWxQSwUGAAAAAAQABAD1AAAAhwMAAAAA&#10;" filled="f" stroked="f">
                <v:textbox style="mso-next-textbox:#Rectangle 394" inset="0,0,0,0">
                  <w:txbxContent>
                    <w:p w:rsidR="000367FA" w:rsidRDefault="000367FA" w:rsidP="002505ED">
                      <w:r>
                        <w:rPr>
                          <w:rFonts w:ascii="Arial" w:hAnsi="Arial" w:cs="Arial"/>
                          <w:i/>
                          <w:iCs/>
                          <w:color w:val="000000"/>
                          <w:sz w:val="16"/>
                          <w:szCs w:val="16"/>
                        </w:rPr>
                        <w:t xml:space="preserve">CYP3A Inhibitor  </w:t>
                      </w:r>
                    </w:p>
                  </w:txbxContent>
                </v:textbox>
              </v:rect>
              <v:rect id="Rectangle 395" o:spid="_x0000_s7990" style="position:absolute;left:543;top:959;width:970;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jb4A&#10;AADcAAAADwAAAGRycy9kb3ducmV2LnhtbERPS4oCMRDdD3iHUMLsxmRciLRGkQFBxY2tByg61R9M&#10;Kk0S7fb2ZjHg8vH+6+3orHhSiJ1nDb8zBYK48qbjRsPtuv9ZgogJ2aD1TBpeFGG7mXytsTB+4As9&#10;y9SIHMKxQA1tSn0hZaxachhnvifOXO2Dw5RhaKQJOORwZ+VcqYV02HFuaLGnv5aqe/lwGuS13A/L&#10;0gblT/P6bI+HS01e6+/puFuBSDSmj/jffTAaFiqvzWfyEZ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bHfo2+AAAA3AAAAA8AAAAAAAAAAAAAAAAAmAIAAGRycy9kb3ducmV2&#10;LnhtbFBLBQYAAAAABAAEAPUAAACDAwAAAAA=&#10;" filled="f" stroked="f">
                <v:textbox style="mso-next-textbox:#Rectangle 395" inset="0,0,0,0">
                  <w:txbxContent>
                    <w:p w:rsidR="000367FA" w:rsidRDefault="000367FA" w:rsidP="002505ED">
                      <w:r>
                        <w:rPr>
                          <w:rFonts w:ascii="Arial" w:hAnsi="Arial" w:cs="Arial"/>
                          <w:color w:val="000000"/>
                          <w:sz w:val="16"/>
                          <w:szCs w:val="16"/>
                        </w:rPr>
                        <w:t>Ketoconazole</w:t>
                      </w:r>
                    </w:p>
                  </w:txbxContent>
                </v:textbox>
              </v:rect>
              <v:rect id="Rectangle 396" o:spid="_x0000_s7991" style="position:absolute;left:-125;top:1461;width:2048;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bFsIA&#10;AADcAAAADwAAAGRycy9kb3ducmV2LnhtbESP3WoCMRSE7wt9h3CE3tVEL0S3RhFBUOmNqw9w2Jz9&#10;ocnJkqTu+vamUPBymJlvmPV2dFbcKcTOs4bZVIEgrrzpuNFwux4+lyBiQjZoPZOGB0XYbt7f1lgY&#10;P/CF7mVqRIZwLFBDm1JfSBmrlhzGqe+Js1f74DBlGRppAg4Z7qycK7WQDjvOCy32tG+p+il/nQZ5&#10;LQ/DsrRB+fO8/ran46Umr/XHZNx9gUg0plf4v300GhZqB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i9sWwgAAANwAAAAPAAAAAAAAAAAAAAAAAJgCAABkcnMvZG93&#10;bnJldi54bWxQSwUGAAAAAAQABAD1AAAAhwMAAAAA&#10;" filled="f" stroked="f">
                <v:textbox style="mso-next-textbox:#Rectangle 396" inset="0,0,0,0">
                  <w:txbxContent>
                    <w:p w:rsidR="000367FA" w:rsidRDefault="000367FA" w:rsidP="002505ED">
                      <w:r>
                        <w:rPr>
                          <w:rFonts w:ascii="Arial" w:hAnsi="Arial" w:cs="Arial"/>
                          <w:i/>
                          <w:iCs/>
                          <w:color w:val="000000"/>
                          <w:sz w:val="16"/>
                          <w:szCs w:val="16"/>
                        </w:rPr>
                        <w:t xml:space="preserve">CYP3A &amp; CYP2C19 Inhibitor    </w:t>
                      </w:r>
                    </w:p>
                  </w:txbxContent>
                </v:textbox>
              </v:rect>
              <v:rect id="Rectangle 397" o:spid="_x0000_s7992" style="position:absolute;left:586;top:1601;width:863;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jkVr8A&#10;AADcAAAADwAAAGRycy9kb3ducmV2LnhtbERPy4rCMBTdC/5DuMLsbFoXItVYRBAcmY11PuDS3D4w&#10;uSlJxta/nywGZnk470M1WyNe5MPgWEGR5SCIG6cH7hR8Py7rHYgQkTUax6TgTQGq43JxwFK7ie/0&#10;qmMnUgiHEhX0MY6llKHpyWLI3EicuNZ5izFB30ntcUrh1shNnm+lxYFTQ48jnXtqnvWPVSAf9WXa&#10;1cbn7rZpv8zn9d6SU+pjNZ/2ICLN8V/8575qBdsizU9n0hGQx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aORWvwAAANwAAAAPAAAAAAAAAAAAAAAAAJgCAABkcnMvZG93bnJl&#10;di54bWxQSwUGAAAAAAQABAD1AAAAhAMAAAAA&#10;" filled="f" stroked="f">
                <v:textbox style="mso-next-textbox:#Rectangle 397" inset="0,0,0,0">
                  <w:txbxContent>
                    <w:p w:rsidR="000367FA" w:rsidRDefault="000367FA" w:rsidP="002505ED">
                      <w:r>
                        <w:rPr>
                          <w:rFonts w:ascii="Arial" w:hAnsi="Arial" w:cs="Arial"/>
                          <w:color w:val="000000"/>
                          <w:sz w:val="16"/>
                          <w:szCs w:val="16"/>
                        </w:rPr>
                        <w:t>Fluconazole</w:t>
                      </w:r>
                    </w:p>
                  </w:txbxContent>
                </v:textbox>
              </v:rect>
              <v:rect id="Rectangle 398" o:spid="_x0000_s7993" style="position:absolute;left:558;top:2131;width:910;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BzcIA&#10;AADcAAAADwAAAGRycy9kb3ducmV2LnhtbESP3YrCMBSE7xd8h3CEvdum9UKkGkUEwZW9sfoAh+b0&#10;B5OTkkTbfXuzsODlMDPfMJvdZI14kg+9YwVFloMgrp3uuVVwux6/ViBCRNZoHJOCXwqw284+Nlhq&#10;N/KFnlVsRYJwKFFBF+NQShnqjiyGzA3EyWuctxiT9K3UHscEt0Yu8nwpLfacFjoc6NBRfa8eVoG8&#10;VsdxVRmfu/Oi+THfp0tDTqnP+bRfg4g0xXf4v33SCpZFAX9n0h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JEHNwgAAANwAAAAPAAAAAAAAAAAAAAAAAJgCAABkcnMvZG93&#10;bnJldi54bWxQSwUGAAAAAAQABAD1AAAAhwMAAAAA&#10;" filled="f" stroked="f">
                <v:textbox style="mso-next-textbox:#Rectangle 398" inset="0,0,0,0">
                  <w:txbxContent>
                    <w:p w:rsidR="000367FA" w:rsidRDefault="000367FA" w:rsidP="002505ED">
                      <w:r>
                        <w:rPr>
                          <w:rFonts w:ascii="Arial" w:hAnsi="Arial" w:cs="Arial"/>
                          <w:i/>
                          <w:iCs/>
                          <w:color w:val="000000"/>
                          <w:sz w:val="16"/>
                          <w:szCs w:val="16"/>
                        </w:rPr>
                        <w:t xml:space="preserve">CYP Inducer  </w:t>
                      </w:r>
                    </w:p>
                  </w:txbxContent>
                </v:textbox>
              </v:rect>
              <v:rect id="Rectangle 399" o:spid="_x0000_s7994" style="position:absolute;left:725;top:2284;width:747;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bfusEA&#10;AADcAAAADwAAAGRycy9kb3ducmV2LnhtbESPzYoCMRCE74LvEFrYm2acg8hoFBEElb047gM0k54f&#10;TDpDEp3x7c3Cwh6LqvqK2u5Ha8SLfOgcK1guMhDEldMdNwp+7qf5GkSIyBqNY1LwpgD73XSyxUK7&#10;gW/0KmMjEoRDgQraGPtCylC1ZDEsXE+cvNp5izFJ30jtcUhwa2SeZStpseO00GJPx5aqR/m0CuS9&#10;PA3r0vjMXfP621zOt5qcUl+z8bABEWmM/+G/9lkrWC1z+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237rBAAAA3AAAAA8AAAAAAAAAAAAAAAAAmAIAAGRycy9kb3du&#10;cmV2LnhtbFBLBQYAAAAABAAEAPUAAACGAwAAAAA=&#10;" filled="f" stroked="f">
                <v:textbox style="mso-next-textbox:#Rectangle 399" inset="0,0,0,0">
                  <w:txbxContent>
                    <w:p w:rsidR="000367FA" w:rsidRDefault="000367FA" w:rsidP="002505ED">
                      <w:r>
                        <w:rPr>
                          <w:rFonts w:ascii="Arial" w:hAnsi="Arial" w:cs="Arial"/>
                          <w:color w:val="000000"/>
                          <w:sz w:val="16"/>
                          <w:szCs w:val="16"/>
                        </w:rPr>
                        <w:t>Rifampicin</w:t>
                      </w:r>
                    </w:p>
                  </w:txbxContent>
                </v:textbox>
              </v:rect>
              <v:rect id="Rectangle 400" o:spid="_x0000_s7995" style="position:absolute;left:585;top:2884;width:934;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p6IcEA&#10;AADcAAAADwAAAGRycy9kb3ducmV2LnhtbESPzYoCMRCE7wu+Q2jB25pRQW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6eiHBAAAA3AAAAA8AAAAAAAAAAAAAAAAAmAIAAGRycy9kb3du&#10;cmV2LnhtbFBLBQYAAAAABAAEAPUAAACGAwAAAAA=&#10;" filled="f" stroked="f">
                <v:textbox style="mso-next-textbox:#Rectangle 400" inset="0,0,0,0">
                  <w:txbxContent>
                    <w:p w:rsidR="000367FA" w:rsidRDefault="000367FA" w:rsidP="002505ED">
                      <w:r>
                        <w:rPr>
                          <w:rFonts w:ascii="Arial" w:hAnsi="Arial" w:cs="Arial"/>
                          <w:color w:val="000000"/>
                          <w:sz w:val="16"/>
                          <w:szCs w:val="16"/>
                        </w:rPr>
                        <w:t>Methotrexate</w:t>
                      </w:r>
                    </w:p>
                  </w:txbxContent>
                </v:textbox>
              </v:rect>
              <v:rect id="Rectangle 401" o:spid="_x0000_s7996" style="position:absolute;left:752;top:3553;width:783;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PiVcEA&#10;AADcAAAADwAAAGRycy9kb3ducmV2LnhtbESPzYoCMRCE7wu+Q2jB25pRRG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T4lXBAAAA3AAAAA8AAAAAAAAAAAAAAAAAmAIAAGRycy9kb3du&#10;cmV2LnhtbFBLBQYAAAAABAAEAPUAAACGAwAAAAA=&#10;" filled="f" stroked="f">
                <v:textbox style="mso-next-textbox:#Rectangle 401" inset="0,0,0,0">
                  <w:txbxContent>
                    <w:p w:rsidR="000367FA" w:rsidRDefault="000367FA" w:rsidP="002505ED">
                      <w:r>
                        <w:rPr>
                          <w:rFonts w:ascii="Arial" w:hAnsi="Arial" w:cs="Arial"/>
                          <w:color w:val="000000"/>
                          <w:sz w:val="16"/>
                          <w:szCs w:val="16"/>
                        </w:rPr>
                        <w:t xml:space="preserve">Tacrolimus </w:t>
                      </w:r>
                    </w:p>
                  </w:txbxContent>
                </v:textbox>
              </v:rect>
              <v:rect id="Rectangle 402" o:spid="_x0000_s7997" style="position:absolute;left:599;top:4223;width:836;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9HzsEA&#10;AADcAAAADwAAAGRycy9kb3ducmV2LnhtbESPzYoCMRCE7wu+Q2jB25pRUG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fR87BAAAA3AAAAA8AAAAAAAAAAAAAAAAAmAIAAGRycy9kb3du&#10;cmV2LnhtbFBLBQYAAAAABAAEAPUAAACGAwAAAAA=&#10;" filled="f" stroked="f">
                <v:textbox style="mso-next-textbox:#Rectangle 402" inset="0,0,0,0">
                  <w:txbxContent>
                    <w:p w:rsidR="000367FA" w:rsidRDefault="000367FA" w:rsidP="002505ED">
                      <w:proofErr w:type="spellStart"/>
                      <w:r>
                        <w:rPr>
                          <w:rFonts w:ascii="Arial" w:hAnsi="Arial" w:cs="Arial"/>
                          <w:color w:val="000000"/>
                          <w:sz w:val="16"/>
                          <w:szCs w:val="16"/>
                        </w:rPr>
                        <w:t>Cyclosporin</w:t>
                      </w:r>
                      <w:proofErr w:type="spellEnd"/>
                    </w:p>
                  </w:txbxContent>
                </v:textbox>
              </v:rect>
              <v:rect id="Rectangle 403" o:spid="_x0000_s7998" style="position:absolute;left:5757;top:904;width:1468;height:2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2UzsYA&#10;AADcAAAADwAAAGRycy9kb3ducmV2LnhtbESPQWvCQBSE70L/w/IKXqRu4iHY1DWUguBBEKOH9vbI&#10;vmbTZt+G7Gpif31XEDwOM/MNsypG24oL9b5xrCCdJyCIK6cbrhWcjpuXJQgfkDW2jknBlTwU66fJ&#10;CnPtBj7QpQy1iBD2OSowIXS5lL4yZNHPXUccvW/XWwxR9rXUPQ4Rblu5SJJMWmw4Lhjs6MNQ9Vue&#10;rYLN/rMh/pOH2etycD/V4qs0u06p6fP4/gYi0Bge4Xt7qxVkaQa3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2UzsYAAADcAAAADwAAAAAAAAAAAAAAAACYAgAAZHJz&#10;L2Rvd25yZXYueG1sUEsFBgAAAAAEAAQA9QAAAIsDAAAAAA==&#10;" filled="f" stroked="f">
                <v:textbox style="mso-next-textbox:#Rectangle 403" inset="0,0,0,0">
                  <w:txbxContent>
                    <w:p w:rsidR="000367FA" w:rsidRPr="00633085" w:rsidRDefault="000367FA" w:rsidP="002505ED">
                      <w:pPr>
                        <w:rPr>
                          <w:rFonts w:ascii="Arial" w:hAnsi="Arial" w:cs="Arial"/>
                          <w:color w:val="000000"/>
                          <w:sz w:val="16"/>
                          <w:szCs w:val="16"/>
                          <w:lang w:val="en-US"/>
                        </w:rPr>
                      </w:pPr>
                      <w:r w:rsidRPr="00633085">
                        <w:rPr>
                          <w:rFonts w:ascii="Arial" w:hAnsi="Arial" w:cs="Arial"/>
                          <w:color w:val="000000"/>
                          <w:sz w:val="16"/>
                          <w:szCs w:val="16"/>
                          <w:lang w:val="en-US"/>
                        </w:rPr>
                        <w:t>Dose adjustment</w:t>
                      </w:r>
                      <w:r w:rsidRPr="00633085">
                        <w:rPr>
                          <w:rFonts w:ascii="Arial" w:hAnsi="Arial" w:cs="Arial"/>
                          <w:color w:val="000000"/>
                          <w:sz w:val="16"/>
                          <w:szCs w:val="16"/>
                          <w:vertAlign w:val="superscript"/>
                        </w:rPr>
                        <w:t>a</w:t>
                      </w:r>
                    </w:p>
                    <w:p w:rsidR="000367FA" w:rsidRPr="00633085" w:rsidRDefault="000367FA" w:rsidP="002505ED">
                      <w:pPr>
                        <w:rPr>
                          <w:rFonts w:ascii="Arial" w:hAnsi="Arial" w:cs="Arial"/>
                          <w:color w:val="000000"/>
                          <w:sz w:val="16"/>
                          <w:szCs w:val="16"/>
                          <w:lang w:val="en-US"/>
                        </w:rPr>
                      </w:pPr>
                    </w:p>
                  </w:txbxContent>
                </v:textbox>
              </v:rect>
              <v:rect id="Rectangle 405" o:spid="_x0000_s7999" style="position:absolute;left:5757;top:1559;width:1468;height:9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ExVcUA&#10;AADcAAAADwAAAGRycy9kb3ducmV2LnhtbESPQWvCQBSE7wX/w/IEL0U3erAaXUUEoQehmPagt0f2&#10;mY1m34bs1kR/fVcQehxm5htmue5sJW7U+NKxgvEoAUGcO11yoeDnezecgfABWWPlmBTcycN61Xtb&#10;Yqpdywe6ZaEQEcI+RQUmhDqV0ueGLPqRq4mjd3aNxRBlU0jdYBvhtpKTJJlKiyXHBYM1bQ3l1+zX&#10;Kth9HUvihzy8z2etu+STU2b2tVKDfrdZgAjUhf/wq/2pFUzHH/A8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TFVxQAAANwAAAAPAAAAAAAAAAAAAAAAAJgCAABkcnMv&#10;ZG93bnJldi54bWxQSwUGAAAAAAQABAD1AAAAigMAAAAA&#10;" filled="f" stroked="f">
                <v:textbox style="mso-next-textbox:#Rectangle 405" inset="0,0,0,0">
                  <w:txbxContent>
                    <w:p w:rsidR="000367FA" w:rsidRPr="00633085" w:rsidRDefault="000367FA" w:rsidP="002505ED">
                      <w:pPr>
                        <w:rPr>
                          <w:rFonts w:ascii="Arial" w:hAnsi="Arial" w:cs="Arial"/>
                          <w:color w:val="000000"/>
                          <w:sz w:val="16"/>
                          <w:szCs w:val="16"/>
                          <w:lang w:val="en-US"/>
                        </w:rPr>
                      </w:pPr>
                      <w:r w:rsidRPr="00633085">
                        <w:rPr>
                          <w:rFonts w:ascii="Arial" w:hAnsi="Arial" w:cs="Arial"/>
                          <w:color w:val="000000"/>
                          <w:sz w:val="16"/>
                          <w:szCs w:val="16"/>
                          <w:lang w:val="en-US"/>
                        </w:rPr>
                        <w:t>Dose adjustment</w:t>
                      </w:r>
                      <w:r w:rsidRPr="00633085">
                        <w:rPr>
                          <w:rFonts w:ascii="Arial" w:hAnsi="Arial" w:cs="Arial"/>
                          <w:color w:val="000000"/>
                          <w:sz w:val="16"/>
                          <w:szCs w:val="16"/>
                          <w:vertAlign w:val="superscript"/>
                        </w:rPr>
                        <w:t>a</w:t>
                      </w:r>
                    </w:p>
                    <w:p w:rsidR="000367FA" w:rsidRDefault="000367FA" w:rsidP="002505ED"/>
                  </w:txbxContent>
                </v:textbox>
              </v:rect>
            </v:group>
            <v:rect id="Rectangle 407" o:spid="_x0000_s8000" style="position:absolute;left:6827;top:9761;width:2633;height:3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9MIA&#10;AADcAAAADwAAAGRycy9kb3ducmV2LnhtbERPTWvCQBC9C/6HZQq9mY0eJKauItVijtUU0t6G7JgE&#10;s7MhuzVpf717EDw+3vd6O5pW3Kh3jWUF8ygGQVxa3XCl4Cv/mCUgnEfW2FomBX/kYLuZTtaYajvw&#10;iW5nX4kQwi5FBbX3XSqlK2sy6CLbEQfuYnuDPsC+krrHIYSbVi7ieCkNNhwaauzovabyev41Co5J&#10;t/vO7P9QtYefY/FZrPb5yiv1+jLu3kB4Gv1T/HBnWsFyHtaG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rv0wgAAANwAAAAPAAAAAAAAAAAAAAAAAJgCAABkcnMvZG93&#10;bnJldi54bWxQSwUGAAAAAAQABAD1AAAAhwMAAAAA&#10;" filled="f" stroked="f">
              <v:textbox style="mso-next-textbox:#Rectangle 407" inset="0,0,0,0">
                <w:txbxContent>
                  <w:p w:rsidR="000367FA" w:rsidRDefault="000367FA" w:rsidP="002505ED">
                    <w:pPr>
                      <w:jc w:val="left"/>
                    </w:pPr>
                    <w:r>
                      <w:rPr>
                        <w:rFonts w:ascii="Arial" w:hAnsi="Arial" w:cs="Arial"/>
                        <w:color w:val="000000"/>
                        <w:sz w:val="16"/>
                        <w:szCs w:val="16"/>
                      </w:rPr>
                      <w:t xml:space="preserve">May decrease efficacy. </w:t>
                    </w:r>
                    <w:r>
                      <w:rPr>
                        <w:rFonts w:ascii="Arial" w:hAnsi="Arial" w:cs="Arial"/>
                        <w:color w:val="000000"/>
                        <w:sz w:val="16"/>
                        <w:szCs w:val="16"/>
                      </w:rPr>
                      <w:br/>
                    </w:r>
                  </w:p>
                </w:txbxContent>
              </v:textbox>
            </v:rect>
            <v:rect id="Rectangle 408" o:spid="_x0000_s8001" style="position:absolute;left:6827;top:10417;width:1468;height:42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Ny8IA&#10;AADcAAAADwAAAGRycy9kb3ducmV2LnhtbESPzYoCMRCE78K+Q2jBm5PRg7izRlkEQcWL4z5AM+n5&#10;YZPOkGSd8e2NIOyxqKqvqM1utEbcyYfOsYJFloMgrpzuuFHwczvM1yBCRNZoHJOCBwXYbT8mGyy0&#10;G/hK9zI2IkE4FKigjbEvpAxVSxZD5nri5NXOW4xJ+kZqj0OCWyOXeb6SFjtOCy32tG+p+i3/rAJ5&#10;Kw/DujQ+d+dlfTGn47Ump9RsOn5/gYg0xv/wu33UClaLT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Uk3LwgAAANwAAAAPAAAAAAAAAAAAAAAAAJgCAABkcnMvZG93&#10;bnJldi54bWxQSwUGAAAAAAQABAD1AAAAhwMAAAAA&#10;" filled="f" stroked="f">
              <v:textbox style="mso-next-textbox:#Rectangle 408;mso-fit-shape-to-text:t" inset="0,0,0,0">
                <w:txbxContent>
                  <w:p w:rsidR="000367FA" w:rsidRDefault="000367FA" w:rsidP="002505ED">
                    <w:r>
                      <w:rPr>
                        <w:rFonts w:ascii="Arial" w:hAnsi="Arial" w:cs="Arial"/>
                        <w:color w:val="000000"/>
                        <w:sz w:val="16"/>
                        <w:szCs w:val="16"/>
                      </w:rPr>
                      <w:t xml:space="preserve">No Dose Adjustment </w:t>
                    </w:r>
                  </w:p>
                </w:txbxContent>
              </v:textbox>
            </v:rect>
            <v:rect id="Rectangle 409" o:spid="_x0000_s8002" style="position:absolute;left:6827;top:11086;width:2914;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jnMIA&#10;AADcAAAADwAAAGRycy9kb3ducmV2LnhtbERPTYvCMBC9C/sfwix4EU3tQdxqlGVB8CAsVg/rbWjG&#10;ptpMShNt3V9vDoLHx/terntbizu1vnKsYDpJQBAXTldcKjgeNuM5CB+QNdaOScGDPKxXH4MlZtp1&#10;vKd7HkoRQ9hnqMCE0GRS+sKQRT9xDXHkzq61GCJsS6lb7GK4rWWaJDNpseLYYLChH0PFNb9ZBZvf&#10;v4r4X+5HX/POXYr0lJtdo9Tws/9egAjUh7f45d5qBbM0zo9n4h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hGOcwgAAANwAAAAPAAAAAAAAAAAAAAAAAJgCAABkcnMvZG93&#10;bnJldi54bWxQSwUGAAAAAAQABAD1AAAAhwMAAAAA&#10;" filled="f" stroked="f">
              <v:textbox style="mso-next-textbox:#Rectangle 409;mso-fit-shape-to-text:t" inset="0,0,0,0">
                <w:txbxContent>
                  <w:p w:rsidR="000367FA" w:rsidRDefault="000367FA" w:rsidP="002505ED">
                    <w:r>
                      <w:rPr>
                        <w:rFonts w:ascii="Arial" w:hAnsi="Arial" w:cs="Arial"/>
                        <w:color w:val="000000"/>
                        <w:sz w:val="16"/>
                        <w:szCs w:val="16"/>
                      </w:rPr>
                      <w:t>Risk of added immunosuppression.</w:t>
                    </w:r>
                  </w:p>
                </w:txbxContent>
              </v:textbox>
            </v:rect>
            <v:rect id="Rectangle 410" o:spid="_x0000_s8003" style="position:absolute;left:6827;top:11240;width:2633;height:42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LcMEA&#10;AADcAAAADwAAAGRycy9kb3ducmV2LnhtbESPzYoCMRCE74LvEFrYm2acg8hoFBEElb047gM0k54f&#10;TDpDEp3x7c3Cwh6LqvqK2u5Ha8SLfOgcK1guMhDEldMdNwp+7qf5GkSIyBqNY1LwpgD73XSyxUK7&#10;gW/0KmMjEoRDgQraGPtCylC1ZDEsXE+cvNp5izFJ30jtcUhwa2SeZStpseO00GJPx5aqR/m0CuS9&#10;PA3r0vjMXfP621zOt5qcUl+z8bABEWmM/+G/9lkrWOV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Ii3DBAAAA3AAAAA8AAAAAAAAAAAAAAAAAmAIAAGRycy9kb3du&#10;cmV2LnhtbFBLBQYAAAAABAAEAPUAAACGAwAAAAA=&#10;" filled="f" stroked="f">
              <v:textbox style="mso-next-textbox:#Rectangle 410;mso-fit-shape-to-text:t" inset="0,0,0,0">
                <w:txbxContent>
                  <w:p w:rsidR="000367FA" w:rsidRDefault="000367FA" w:rsidP="002505ED">
                    <w:r>
                      <w:rPr>
                        <w:rFonts w:ascii="Arial" w:hAnsi="Arial" w:cs="Arial"/>
                        <w:color w:val="000000"/>
                        <w:sz w:val="16"/>
                        <w:szCs w:val="16"/>
                      </w:rPr>
                      <w:t>Co-administration not recommended.</w:t>
                    </w:r>
                  </w:p>
                </w:txbxContent>
              </v:textbox>
            </v:rect>
            <v:rect id="Rectangle 411" o:spid="_x0000_s8004" style="position:absolute;left:6827;top:11756;width:2633;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YcMUA&#10;AADcAAAADwAAAGRycy9kb3ducmV2LnhtbESPQWvCQBSE70L/w/IKXkQ3zUFsdJVSEDwIYvRgb4/s&#10;MxubfRuyq4n99V1B8DjMzDfMYtXbWtyo9ZVjBR+TBARx4XTFpYLjYT2egfABWWPtmBTcycNq+TZY&#10;YKZdx3u65aEUEcI+QwUmhCaT0heGLPqJa4ijd3atxRBlW0rdYhfhtpZpkkylxYrjgsGGvg0Vv/nV&#10;KljvThXxn9yPPmeduxTpT262jVLD9/5rDiJQH17hZ3ujFUzTFB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lhwxQAAANwAAAAPAAAAAAAAAAAAAAAAAJgCAABkcnMv&#10;ZG93bnJldi54bWxQSwUGAAAAAAQABAD1AAAAigMAAAAA&#10;" filled="f" stroked="f">
              <v:textbox style="mso-next-textbox:#Rectangle 411;mso-fit-shape-to-text:t" inset="0,0,0,0">
                <w:txbxContent>
                  <w:p w:rsidR="000367FA" w:rsidRDefault="000367FA" w:rsidP="002505ED">
                    <w:r>
                      <w:rPr>
                        <w:rFonts w:ascii="Arial" w:hAnsi="Arial" w:cs="Arial"/>
                        <w:color w:val="000000"/>
                        <w:sz w:val="16"/>
                        <w:szCs w:val="16"/>
                      </w:rPr>
                      <w:t>Risk of added immunosuppression</w:t>
                    </w:r>
                  </w:p>
                </w:txbxContent>
              </v:textbox>
            </v:rect>
            <v:rect id="Rectangle 412" o:spid="_x0000_s8005" style="position:absolute;left:6827;top:11909;width:3357;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bjOMQA&#10;AADcAAAADwAAAGRycy9kb3ducmV2LnhtbESPT4vCMBTE74LfITzBm6YqiF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24zjEAAAA3AAAAA8AAAAAAAAAAAAAAAAAmAIAAGRycy9k&#10;b3ducmV2LnhtbFBLBQYAAAAABAAEAPUAAACJAwAAAAA=&#10;" filled="f" stroked="f">
              <v:textbox style="mso-next-textbox:#Rectangle 412" inset="0,0,0,0">
                <w:txbxContent>
                  <w:p w:rsidR="000367FA" w:rsidRDefault="000367FA" w:rsidP="002505ED">
                    <w:pPr>
                      <w:jc w:val="left"/>
                    </w:pPr>
                    <w:r>
                      <w:rPr>
                        <w:rFonts w:ascii="Arial" w:hAnsi="Arial" w:cs="Arial"/>
                        <w:color w:val="000000"/>
                        <w:sz w:val="16"/>
                        <w:szCs w:val="16"/>
                      </w:rPr>
                      <w:t>Co-administration contraindicated.</w:t>
                    </w:r>
                  </w:p>
                </w:txbxContent>
              </v:textbox>
            </v:rect>
            <v:rect id="Rectangle 413" o:spid="_x0000_s8006" style="position:absolute;left:4263;top:13011;width:2457;height:47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8o6MEA&#10;AADcAAAADwAAAGRycy9kb3ducmV2LnhtbESP3YrCMBSE7xd8h3AWvFvTLSJ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OjBAAAA3AAAAA8AAAAAAAAAAAAAAAAAmAIAAGRycy9kb3du&#10;cmV2LnhtbFBLBQYAAAAABAAEAPUAAACGAwAAAAA=&#10;" filled="f" stroked="f">
              <v:textbox style="mso-next-textbox:#Rectangle 413;mso-fit-shape-to-text:t" inset="0,0,0,0">
                <w:txbxContent>
                  <w:p w:rsidR="000367FA" w:rsidRDefault="000367FA" w:rsidP="002505ED">
                    <w:r>
                      <w:rPr>
                        <w:rFonts w:ascii="Arial" w:hAnsi="Arial" w:cs="Arial"/>
                        <w:b/>
                        <w:bCs/>
                        <w:color w:val="000000"/>
                        <w:sz w:val="20"/>
                      </w:rPr>
                      <w:t>Ratio relative to reference</w:t>
                    </w:r>
                  </w:p>
                </w:txbxContent>
              </v:textbox>
            </v:rect>
            <v:rect id="Rectangle 414" o:spid="_x0000_s8007" style="position:absolute;left:1607;top:7642;width:1512;height:47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ONc8EA&#10;AADcAAAADwAAAGRycy9kb3ducmV2LnhtbESP3YrCMBSE7xd8h3AWvFvTLSh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zjXPBAAAA3AAAAA8AAAAAAAAAAAAAAAAAmAIAAGRycy9kb3du&#10;cmV2LnhtbFBLBQYAAAAABAAEAPUAAACGAwAAAAA=&#10;" filled="f" stroked="f">
              <v:textbox style="mso-next-textbox:#Rectangle 414;mso-fit-shape-to-text:t" inset="0,0,0,0">
                <w:txbxContent>
                  <w:p w:rsidR="000367FA" w:rsidRDefault="000367FA" w:rsidP="002505ED">
                    <w:proofErr w:type="spellStart"/>
                    <w:r>
                      <w:rPr>
                        <w:rFonts w:ascii="Arial" w:hAnsi="Arial" w:cs="Arial"/>
                        <w:b/>
                        <w:bCs/>
                        <w:color w:val="0000FF"/>
                        <w:sz w:val="20"/>
                      </w:rPr>
                      <w:t>Coadministered</w:t>
                    </w:r>
                    <w:proofErr w:type="spellEnd"/>
                  </w:p>
                </w:txbxContent>
              </v:textbox>
            </v:rect>
            <v:rect id="Rectangle 415" o:spid="_x0000_s8008" style="position:absolute;left:2248;top:7809;width:467;height:47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ETBMEA&#10;AADcAAAADwAAAGRycy9kb3ducmV2LnhtbESP3YrCMBSE7xd8h3AWvFvT7UWRapRlQXDFG6sPcGhO&#10;fzA5KUm03bc3guDlMDPfMOvtZI24kw+9YwXfiwwEce10z62Cy3n3tQQRIrJG45gU/FOA7Wb2scZS&#10;u5FPdK9iKxKEQ4kKuhiHUspQd2QxLNxAnLzGeYsxSd9K7XFMcGtknmWFtNhzWuhwoN+O6mt1swrk&#10;udqNy8r4zB3y5mj+9qeGnFLzz+lnBSLSFN/hV3uvFRR5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hEwTBAAAA3AAAAA8AAAAAAAAAAAAAAAAAmAIAAGRycy9kb3du&#10;cmV2LnhtbFBLBQYAAAAABAAEAPUAAACGAwAAAAA=&#10;" filled="f" stroked="f">
              <v:textbox style="mso-next-textbox:#Rectangle 415;mso-fit-shape-to-text:t" inset="0,0,0,0">
                <w:txbxContent>
                  <w:p w:rsidR="000367FA" w:rsidRDefault="000367FA" w:rsidP="002505ED">
                    <w:r>
                      <w:rPr>
                        <w:rFonts w:ascii="Arial" w:hAnsi="Arial" w:cs="Arial"/>
                        <w:b/>
                        <w:bCs/>
                        <w:color w:val="0000FF"/>
                        <w:sz w:val="20"/>
                      </w:rPr>
                      <w:t>Drug</w:t>
                    </w:r>
                  </w:p>
                </w:txbxContent>
              </v:textbox>
            </v:rect>
            <v:rect id="Rectangle 416" o:spid="_x0000_s8009" style="position:absolute;left:3363;top:7642;width:278;height:47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22n8IA&#10;AADcAAAADwAAAGRycy9kb3ducmV2LnhtbESPzYoCMRCE78K+Q2hhb5pxDq6MRhFBcMWLow/QTHp+&#10;MOkMSdaZfXuzIOyxqKqvqM1utEY8yYfOsYLFPANBXDndcaPgfjvOViBCRNZoHJOCXwqw235MNlho&#10;N/CVnmVsRIJwKFBBG2NfSBmqliyGueuJk1c7bzEm6RupPQ4Jbo3Ms2wpLXacFlrs6dBS9Sh/rAJ5&#10;K4/DqjQ+c+e8vpjv07Ump9TndNyvQUQa43/43T5pBcv8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7bafwgAAANwAAAAPAAAAAAAAAAAAAAAAAJgCAABkcnMvZG93&#10;bnJldi54bWxQSwUGAAAAAAQABAD1AAAAhwMAAAAA&#10;" filled="f" stroked="f">
              <v:textbox style="mso-next-textbox:#Rectangle 416;mso-fit-shape-to-text:t" inset="0,0,0,0">
                <w:txbxContent>
                  <w:p w:rsidR="000367FA" w:rsidRDefault="000367FA" w:rsidP="002505ED">
                    <w:r>
                      <w:rPr>
                        <w:rFonts w:ascii="Arial" w:hAnsi="Arial" w:cs="Arial"/>
                        <w:b/>
                        <w:bCs/>
                        <w:color w:val="0000FF"/>
                        <w:sz w:val="20"/>
                      </w:rPr>
                      <w:t xml:space="preserve">PK </w:t>
                    </w:r>
                  </w:p>
                </w:txbxContent>
              </v:textbox>
            </v:rect>
            <v:rect id="Rectangle 417" o:spid="_x0000_s8010" style="position:absolute;left:4157;top:7642;width:1623;height:47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Ii7b8A&#10;AADcAAAADwAAAGRycy9kb3ducmV2LnhtbERPy4rCMBTdC/MP4Q6403S6EKlGGQYKHXFj9QMuze2D&#10;SW5KkrH1781CcHk47/1xtkbcyYfBsYKvdQaCuHF64E7B7VqutiBCRNZoHJOCBwU4Hj4Weyy0m/hC&#10;9zp2IoVwKFBBH+NYSBmaniyGtRuJE9c6bzEm6DupPU4p3BqZZ9lGWhw4NfQ40k9PzV/9bxXIa11O&#10;29r4zJ3y9mx+q0tLTqnl5/y9AxFpjm/xy11pBZs8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ciLtvwAAANwAAAAPAAAAAAAAAAAAAAAAAJgCAABkcnMvZG93bnJl&#10;di54bWxQSwUGAAAAAAQABAD1AAAAhAMAAAAA&#10;" filled="f" stroked="f">
              <v:textbox style="mso-next-textbox:#Rectangle 417;mso-fit-shape-to-text:t" inset="0,0,0,0">
                <w:txbxContent>
                  <w:p w:rsidR="000367FA" w:rsidRDefault="000367FA" w:rsidP="002505ED">
                    <w:r>
                      <w:rPr>
                        <w:rFonts w:ascii="Arial" w:hAnsi="Arial" w:cs="Arial"/>
                        <w:b/>
                        <w:bCs/>
                        <w:color w:val="0000FF"/>
                        <w:sz w:val="20"/>
                      </w:rPr>
                      <w:t>Ratio and 90% CI</w:t>
                    </w:r>
                  </w:p>
                </w:txbxContent>
              </v:textbox>
            </v:rect>
            <v:rect id="Rectangle 418" o:spid="_x0000_s8011" style="position:absolute;left:6730;top:7642;width:1679;height:47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6HdsIA&#10;AADcAAAADwAAAGRycy9kb3ducmV2LnhtbESPzYoCMRCE7wv7DqGFva0Z5yDuaBQRBBUvjj5AM+n5&#10;waQzJFlnfHuzIOyxqKqvqNVmtEY8yIfOsYLZNANBXDndcaPgdt1/L0CEiKzROCYFTwqwWX9+rLDQ&#10;buALPcrYiAThUKCCNsa+kDJULVkMU9cTJ6923mJM0jdSexwS3BqZZ9lcWuw4LbTY066l6l7+WgXy&#10;Wu6HRWl85k55fTbHw6Ump9TXZNwuQUQa43/43T5oBfP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Pod2wgAAANwAAAAPAAAAAAAAAAAAAAAAAJgCAABkcnMvZG93&#10;bnJldi54bWxQSwUGAAAAAAQABAD1AAAAhwMAAAAA&#10;" filled="f" stroked="f">
              <v:textbox style="mso-next-textbox:#Rectangle 418;mso-fit-shape-to-text:t" inset="0,0,0,0">
                <w:txbxContent>
                  <w:p w:rsidR="000367FA" w:rsidRDefault="000367FA" w:rsidP="002505ED">
                    <w:r>
                      <w:rPr>
                        <w:rFonts w:ascii="Arial" w:hAnsi="Arial" w:cs="Arial"/>
                        <w:b/>
                        <w:bCs/>
                        <w:color w:val="0000FF"/>
                        <w:sz w:val="20"/>
                      </w:rPr>
                      <w:t>Recommendation</w:t>
                    </w:r>
                  </w:p>
                </w:txbxContent>
              </v:textbox>
            </v:rect>
            <w10:wrap type="tight"/>
          </v:group>
        </w:pict>
      </w:r>
    </w:p>
    <w:p w:rsidR="002505ED" w:rsidRPr="00856DB8" w:rsidRDefault="002505ED" w:rsidP="0097291D">
      <w:pPr>
        <w:rPr>
          <w:szCs w:val="22"/>
        </w:rPr>
      </w:pPr>
    </w:p>
    <w:p w:rsidR="00054752" w:rsidRDefault="00054752" w:rsidP="00D838EB">
      <w:pPr>
        <w:jc w:val="left"/>
        <w:rPr>
          <w:b/>
        </w:rPr>
      </w:pPr>
    </w:p>
    <w:p w:rsidR="00054752" w:rsidRDefault="00054752" w:rsidP="00D838EB">
      <w:pPr>
        <w:jc w:val="left"/>
        <w:rPr>
          <w:b/>
        </w:rPr>
      </w:pPr>
    </w:p>
    <w:p w:rsidR="00054752" w:rsidRDefault="00054752" w:rsidP="00D838EB">
      <w:pPr>
        <w:jc w:val="left"/>
        <w:rPr>
          <w:b/>
        </w:rPr>
      </w:pPr>
    </w:p>
    <w:p w:rsidR="00054752" w:rsidRDefault="00054752" w:rsidP="00D838EB">
      <w:pPr>
        <w:jc w:val="left"/>
        <w:rPr>
          <w:b/>
        </w:rPr>
      </w:pPr>
    </w:p>
    <w:p w:rsidR="00054752" w:rsidRDefault="00054752" w:rsidP="00D838EB">
      <w:pPr>
        <w:jc w:val="left"/>
        <w:rPr>
          <w:b/>
        </w:rPr>
      </w:pPr>
    </w:p>
    <w:p w:rsidR="00054752" w:rsidRDefault="00054752" w:rsidP="00D838EB">
      <w:pPr>
        <w:jc w:val="left"/>
        <w:rPr>
          <w:b/>
        </w:rPr>
      </w:pPr>
    </w:p>
    <w:p w:rsidR="00054752" w:rsidRDefault="00054752" w:rsidP="00D838EB">
      <w:pPr>
        <w:jc w:val="left"/>
        <w:rPr>
          <w:b/>
        </w:rPr>
      </w:pPr>
    </w:p>
    <w:p w:rsidR="00054752" w:rsidRDefault="00054752" w:rsidP="00D838EB">
      <w:pPr>
        <w:jc w:val="left"/>
        <w:rPr>
          <w:b/>
        </w:rPr>
      </w:pPr>
    </w:p>
    <w:p w:rsidR="00054752" w:rsidRDefault="00054752" w:rsidP="00D838EB">
      <w:pPr>
        <w:jc w:val="left"/>
        <w:rPr>
          <w:b/>
        </w:rPr>
      </w:pPr>
    </w:p>
    <w:p w:rsidR="00054752" w:rsidRDefault="00054752" w:rsidP="00D838EB">
      <w:pPr>
        <w:jc w:val="left"/>
        <w:rPr>
          <w:b/>
        </w:rPr>
      </w:pPr>
    </w:p>
    <w:p w:rsidR="00054752" w:rsidRDefault="00054752" w:rsidP="00D838EB">
      <w:pPr>
        <w:jc w:val="left"/>
        <w:rPr>
          <w:b/>
        </w:rPr>
      </w:pPr>
    </w:p>
    <w:p w:rsidR="00054752" w:rsidRDefault="00054752" w:rsidP="00054752">
      <w:pPr>
        <w:spacing w:after="0"/>
        <w:jc w:val="left"/>
        <w:rPr>
          <w:sz w:val="20"/>
        </w:rPr>
      </w:pPr>
      <w:r w:rsidRPr="00D838EB">
        <w:rPr>
          <w:sz w:val="20"/>
        </w:rPr>
        <w:t>Abbreviations: AUC=total area under the concentration time curve; Cmax= maximum plasma concentration</w:t>
      </w:r>
      <w:r>
        <w:rPr>
          <w:sz w:val="20"/>
        </w:rPr>
        <w:t>; CYP=cytochrome P450; PK=pharmacokinetics; CI=confidence interval</w:t>
      </w:r>
    </w:p>
    <w:p w:rsidR="00054752" w:rsidRPr="00B4580B" w:rsidRDefault="00054752" w:rsidP="00054752">
      <w:pPr>
        <w:pStyle w:val="ListBullet"/>
        <w:numPr>
          <w:ilvl w:val="0"/>
          <w:numId w:val="0"/>
        </w:numPr>
        <w:spacing w:after="0"/>
        <w:rPr>
          <w:sz w:val="20"/>
        </w:rPr>
      </w:pPr>
      <w:r w:rsidRPr="00B4580B">
        <w:rPr>
          <w:sz w:val="20"/>
        </w:rPr>
        <w:t>Note: Reference group is administration of tofacitinib alone</w:t>
      </w:r>
    </w:p>
    <w:p w:rsidR="00054752" w:rsidRDefault="00054752" w:rsidP="00054752">
      <w:pPr>
        <w:pStyle w:val="PINormal"/>
        <w:rPr>
          <w:b/>
        </w:rPr>
      </w:pPr>
      <w:proofErr w:type="spellStart"/>
      <w:proofErr w:type="gramStart"/>
      <w:r w:rsidRPr="00B4580B">
        <w:rPr>
          <w:sz w:val="20"/>
          <w:vertAlign w:val="superscript"/>
        </w:rPr>
        <w:t>a</w:t>
      </w:r>
      <w:proofErr w:type="spellEnd"/>
      <w:proofErr w:type="gramEnd"/>
      <w:r w:rsidRPr="00B4580B">
        <w:rPr>
          <w:sz w:val="20"/>
        </w:rPr>
        <w:t xml:space="preserve"> In rheumatoid arthritis </w:t>
      </w:r>
      <w:r>
        <w:rPr>
          <w:sz w:val="20"/>
        </w:rPr>
        <w:t xml:space="preserve">and psoriatic arthritis </w:t>
      </w:r>
      <w:r w:rsidRPr="00B4580B">
        <w:rPr>
          <w:sz w:val="20"/>
        </w:rPr>
        <w:t>patients the recommended dose is XELJANZ 5 mg once daily. In ulcerative colitis patients the recommended dose is half the total daily dose indicated for patients not receiving these CYP inhibitors; in patients already taking XELJANZ 10 mg twice daily, reduce the dose to XELJANZ 5 mg twice daily, and in patients already taking XELJANZ 5 mg twice daily, reduce the dose to XELJANZ 5 mg once daily.</w:t>
      </w:r>
    </w:p>
    <w:p w:rsidR="0097291D" w:rsidRPr="0051061D" w:rsidRDefault="0097291D" w:rsidP="006E28B9">
      <w:pPr>
        <w:pStyle w:val="PIHeading3"/>
      </w:pPr>
      <w:r w:rsidRPr="0051061D">
        <w:t>Potential for Tofacitinib to Influence the Pharmacokinetics of Other Medicines</w:t>
      </w:r>
    </w:p>
    <w:p w:rsidR="0097291D" w:rsidRPr="0051061D" w:rsidRDefault="0097291D" w:rsidP="0097291D">
      <w:r w:rsidRPr="0051061D">
        <w:rPr>
          <w:i/>
          <w:iCs/>
        </w:rPr>
        <w:t>In vitro</w:t>
      </w:r>
      <w:r w:rsidRPr="0051061D">
        <w:t xml:space="preserve"> studies indicate that tofacitinib does not significantly inhibit or induce the activity of the major human drug metabolising CYPs (CYP1A2, CYP2B6, CYP2C8, CYP2C9, CYP2C19, CYP2D6, and CYP3A4) at concentrations exceeding </w:t>
      </w:r>
      <w:r w:rsidR="005A690E">
        <w:t>80</w:t>
      </w:r>
      <w:r w:rsidRPr="0051061D">
        <w:t> times the steady state C</w:t>
      </w:r>
      <w:r w:rsidRPr="0051061D">
        <w:rPr>
          <w:vertAlign w:val="subscript"/>
        </w:rPr>
        <w:t>max</w:t>
      </w:r>
      <w:r w:rsidRPr="0051061D">
        <w:t xml:space="preserve"> of a </w:t>
      </w:r>
      <w:r w:rsidR="007871FC">
        <w:t>10</w:t>
      </w:r>
      <w:r w:rsidRPr="0051061D">
        <w:t xml:space="preserve"> mg twice daily dose.  These </w:t>
      </w:r>
      <w:r w:rsidRPr="0051061D">
        <w:rPr>
          <w:i/>
          <w:iCs/>
        </w:rPr>
        <w:t>in vitro</w:t>
      </w:r>
      <w:r w:rsidRPr="0051061D">
        <w:t xml:space="preserve"> results were confirmed by a human drug interaction study showing no changes in the PK of midazolam, a highly sensitive CYP3A4 substrate, when </w:t>
      </w:r>
      <w:proofErr w:type="spellStart"/>
      <w:r w:rsidRPr="0051061D">
        <w:t>coadministered</w:t>
      </w:r>
      <w:proofErr w:type="spellEnd"/>
      <w:r w:rsidRPr="0051061D">
        <w:t xml:space="preserve"> with </w:t>
      </w:r>
      <w:proofErr w:type="spellStart"/>
      <w:r w:rsidRPr="0051061D">
        <w:t>tofacitinib</w:t>
      </w:r>
      <w:proofErr w:type="spellEnd"/>
      <w:r w:rsidRPr="0051061D">
        <w:t>.</w:t>
      </w:r>
    </w:p>
    <w:p w:rsidR="0097291D" w:rsidRPr="0051061D" w:rsidRDefault="0097291D" w:rsidP="0097291D">
      <w:pPr>
        <w:rPr>
          <w:szCs w:val="22"/>
        </w:rPr>
      </w:pPr>
      <w:r w:rsidRPr="0051061D">
        <w:rPr>
          <w:szCs w:val="22"/>
        </w:rPr>
        <w:t xml:space="preserve">In </w:t>
      </w:r>
      <w:r w:rsidRPr="0051061D">
        <w:t>RA</w:t>
      </w:r>
      <w:r w:rsidR="007871FC">
        <w:t xml:space="preserve"> and UC</w:t>
      </w:r>
      <w:r w:rsidRPr="0051061D">
        <w:t xml:space="preserve"> </w:t>
      </w:r>
      <w:r w:rsidRPr="0051061D">
        <w:rPr>
          <w:szCs w:val="22"/>
        </w:rPr>
        <w:t xml:space="preserve">patients, the oral clearance of tofacitinib does not vary with time, indicating that tofacitinib does not normalise CYP enzyme activity in </w:t>
      </w:r>
      <w:r w:rsidR="007871FC">
        <w:rPr>
          <w:szCs w:val="22"/>
        </w:rPr>
        <w:t>these</w:t>
      </w:r>
      <w:r w:rsidRPr="0051061D">
        <w:rPr>
          <w:szCs w:val="22"/>
        </w:rPr>
        <w:t xml:space="preserve"> patients.  Therefore, </w:t>
      </w:r>
      <w:proofErr w:type="spellStart"/>
      <w:r w:rsidRPr="0051061D">
        <w:rPr>
          <w:szCs w:val="22"/>
        </w:rPr>
        <w:t>coadministration</w:t>
      </w:r>
      <w:proofErr w:type="spellEnd"/>
      <w:r w:rsidRPr="0051061D">
        <w:rPr>
          <w:szCs w:val="22"/>
        </w:rPr>
        <w:t xml:space="preserve"> with </w:t>
      </w:r>
      <w:proofErr w:type="spellStart"/>
      <w:r w:rsidRPr="0051061D">
        <w:t>tofacitinib</w:t>
      </w:r>
      <w:proofErr w:type="spellEnd"/>
      <w:r w:rsidRPr="0051061D">
        <w:t xml:space="preserve"> </w:t>
      </w:r>
      <w:r w:rsidRPr="0051061D">
        <w:rPr>
          <w:szCs w:val="22"/>
        </w:rPr>
        <w:t>is not expected to result in clinically relevant increases in the metabolism of CYP substrates in RA</w:t>
      </w:r>
      <w:r w:rsidR="007871FC">
        <w:rPr>
          <w:szCs w:val="22"/>
        </w:rPr>
        <w:t xml:space="preserve"> and UC</w:t>
      </w:r>
      <w:r w:rsidRPr="0051061D">
        <w:rPr>
          <w:szCs w:val="22"/>
        </w:rPr>
        <w:t xml:space="preserve"> patients.</w:t>
      </w:r>
    </w:p>
    <w:p w:rsidR="005A690E" w:rsidRPr="005A690E" w:rsidRDefault="005A690E" w:rsidP="0097291D">
      <w:pPr>
        <w:rPr>
          <w:lang w:eastAsia="ja-JP"/>
        </w:rPr>
      </w:pPr>
      <w:r w:rsidRPr="008F1D43">
        <w:rPr>
          <w:i/>
          <w:iCs/>
        </w:rPr>
        <w:t xml:space="preserve">In vitro </w:t>
      </w:r>
      <w:r w:rsidRPr="008F1D43">
        <w:t xml:space="preserve">studies indicate that tofacitinib does not significantly inhibit the activity of the major human drug-metabolizing uridine 5'-diphospho-glucuronosyltransferases (UGTs), </w:t>
      </w:r>
      <w:r>
        <w:t>[</w:t>
      </w:r>
      <w:r w:rsidRPr="008F1D43">
        <w:t xml:space="preserve">UGT1A1, </w:t>
      </w:r>
      <w:r w:rsidRPr="008F1D43">
        <w:lastRenderedPageBreak/>
        <w:t>UGT1A4, UGT1A6, UGT1A9, and UGT2B7</w:t>
      </w:r>
      <w:r>
        <w:t>]</w:t>
      </w:r>
      <w:r w:rsidRPr="008F1D43">
        <w:t xml:space="preserve"> at </w:t>
      </w:r>
      <w:r w:rsidRPr="00FC30AC">
        <w:t>concentrations exceeding 250 times the steady state C</w:t>
      </w:r>
      <w:r w:rsidRPr="00FC30AC">
        <w:rPr>
          <w:vertAlign w:val="subscript"/>
        </w:rPr>
        <w:t>max</w:t>
      </w:r>
      <w:r>
        <w:t xml:space="preserve"> of a</w:t>
      </w:r>
      <w:r w:rsidRPr="00FC30AC">
        <w:t xml:space="preserve"> </w:t>
      </w:r>
      <w:r w:rsidR="007871FC">
        <w:t>10</w:t>
      </w:r>
      <w:r w:rsidRPr="00FC30AC">
        <w:rPr>
          <w:rFonts w:eastAsia="Arial Unicode MS"/>
          <w:kern w:val="36"/>
        </w:rPr>
        <w:t> </w:t>
      </w:r>
      <w:r w:rsidRPr="00FC30AC">
        <w:t xml:space="preserve">mg </w:t>
      </w:r>
      <w:r>
        <w:t>twice daily dose</w:t>
      </w:r>
      <w:r w:rsidRPr="00FC30AC">
        <w:t>.</w:t>
      </w:r>
    </w:p>
    <w:p w:rsidR="0097291D" w:rsidRPr="0051061D" w:rsidRDefault="0097291D" w:rsidP="0097291D">
      <w:pPr>
        <w:rPr>
          <w:rFonts w:eastAsia="Arial Unicode MS"/>
          <w:color w:val="000000"/>
        </w:rPr>
      </w:pPr>
      <w:r w:rsidRPr="0051061D">
        <w:rPr>
          <w:i/>
          <w:lang w:eastAsia="ja-JP"/>
        </w:rPr>
        <w:t>In vitro</w:t>
      </w:r>
      <w:r w:rsidRPr="0051061D">
        <w:rPr>
          <w:lang w:eastAsia="ja-JP"/>
        </w:rPr>
        <w:t xml:space="preserve"> data indicate that the potential for tofacitinib to inhibit transporters such as </w:t>
      </w:r>
      <w:r w:rsidRPr="0051061D">
        <w:t xml:space="preserve">P-glycoprotein, </w:t>
      </w:r>
      <w:r w:rsidR="005A690E" w:rsidRPr="0032579D">
        <w:t>organic anion transporting polypeptide,</w:t>
      </w:r>
      <w:r w:rsidR="005A690E">
        <w:t xml:space="preserve"> </w:t>
      </w:r>
      <w:r w:rsidRPr="0051061D">
        <w:t>organic anionic or cationic transporters at therapeutic concentrations is also low.</w:t>
      </w:r>
    </w:p>
    <w:p w:rsidR="006E28B9" w:rsidRDefault="006E28B9" w:rsidP="006E28B9">
      <w:pPr>
        <w:pStyle w:val="PIHeading4"/>
      </w:pPr>
      <w:r>
        <w:t>Oral Contraceptives</w:t>
      </w:r>
    </w:p>
    <w:p w:rsidR="0097291D" w:rsidRPr="0051061D" w:rsidRDefault="0097291D" w:rsidP="0097291D">
      <w:pPr>
        <w:pStyle w:val="Paragraph"/>
        <w:jc w:val="both"/>
      </w:pPr>
      <w:proofErr w:type="spellStart"/>
      <w:r w:rsidRPr="0051061D">
        <w:t>Coadministration</w:t>
      </w:r>
      <w:proofErr w:type="spellEnd"/>
      <w:r w:rsidRPr="0051061D">
        <w:t xml:space="preserve"> of </w:t>
      </w:r>
      <w:proofErr w:type="spellStart"/>
      <w:r w:rsidRPr="0051061D">
        <w:t>tofacitinib</w:t>
      </w:r>
      <w:proofErr w:type="spellEnd"/>
      <w:r w:rsidRPr="0051061D">
        <w:t xml:space="preserve"> did not have an effect on the PK of oral contraceptives, </w:t>
      </w:r>
      <w:proofErr w:type="spellStart"/>
      <w:r w:rsidRPr="0051061D">
        <w:t>levonorgestrel</w:t>
      </w:r>
      <w:proofErr w:type="spellEnd"/>
      <w:r w:rsidRPr="0051061D">
        <w:t xml:space="preserve"> and </w:t>
      </w:r>
      <w:proofErr w:type="spellStart"/>
      <w:r w:rsidRPr="0051061D">
        <w:t>ethinyloestradiol</w:t>
      </w:r>
      <w:proofErr w:type="spellEnd"/>
      <w:r w:rsidRPr="0051061D">
        <w:t>, in healthy female volunteers.</w:t>
      </w:r>
    </w:p>
    <w:p w:rsidR="006E28B9" w:rsidRDefault="006E28B9" w:rsidP="006E28B9">
      <w:pPr>
        <w:pStyle w:val="PIHeading4"/>
      </w:pPr>
      <w:r>
        <w:t>Methotrexate</w:t>
      </w:r>
    </w:p>
    <w:p w:rsidR="0097291D" w:rsidRPr="0051061D" w:rsidRDefault="0097291D" w:rsidP="0097291D">
      <w:pPr>
        <w:pStyle w:val="Paragraph"/>
        <w:jc w:val="both"/>
      </w:pPr>
      <w:proofErr w:type="spellStart"/>
      <w:r w:rsidRPr="0051061D">
        <w:t>Coadministration</w:t>
      </w:r>
      <w:proofErr w:type="spellEnd"/>
      <w:r w:rsidRPr="0051061D">
        <w:t xml:space="preserve"> of </w:t>
      </w:r>
      <w:proofErr w:type="spellStart"/>
      <w:r w:rsidRPr="0051061D">
        <w:t>tofacitinib</w:t>
      </w:r>
      <w:proofErr w:type="spellEnd"/>
      <w:r w:rsidRPr="0051061D">
        <w:t xml:space="preserve"> with </w:t>
      </w:r>
      <w:r w:rsidR="00317C7B">
        <w:t>MTX</w:t>
      </w:r>
      <w:r w:rsidRPr="0051061D">
        <w:t xml:space="preserve"> 15-25 mg once weekly decreased the AUC and C</w:t>
      </w:r>
      <w:r w:rsidRPr="0051061D">
        <w:rPr>
          <w:vertAlign w:val="subscript"/>
        </w:rPr>
        <w:t>max</w:t>
      </w:r>
      <w:r w:rsidRPr="0051061D">
        <w:t xml:space="preserve"> of </w:t>
      </w:r>
      <w:r w:rsidR="00317C7B">
        <w:t>MTX</w:t>
      </w:r>
      <w:r w:rsidRPr="0051061D">
        <w:t xml:space="preserve"> by 10% and 13% respectively.  The extent of decrease in </w:t>
      </w:r>
      <w:r w:rsidR="00317C7B">
        <w:t>MTX</w:t>
      </w:r>
      <w:r w:rsidRPr="0051061D">
        <w:t xml:space="preserve"> exposure does not warrant modifications to the </w:t>
      </w:r>
      <w:proofErr w:type="spellStart"/>
      <w:r w:rsidRPr="0051061D">
        <w:t>individualised</w:t>
      </w:r>
      <w:proofErr w:type="spellEnd"/>
      <w:r w:rsidRPr="0051061D">
        <w:t xml:space="preserve"> dosing of </w:t>
      </w:r>
      <w:r w:rsidR="00317C7B">
        <w:t>MTX</w:t>
      </w:r>
      <w:r w:rsidRPr="0051061D">
        <w:t>.</w:t>
      </w:r>
    </w:p>
    <w:p w:rsidR="006E28B9" w:rsidRDefault="006E28B9" w:rsidP="006E28B9">
      <w:pPr>
        <w:pStyle w:val="PIHeading4"/>
      </w:pPr>
      <w:r>
        <w:t>Metformin</w:t>
      </w:r>
    </w:p>
    <w:p w:rsidR="0009158E" w:rsidRDefault="0097291D" w:rsidP="0009158E">
      <w:pPr>
        <w:pStyle w:val="ListBullet"/>
        <w:numPr>
          <w:ilvl w:val="0"/>
          <w:numId w:val="0"/>
        </w:numPr>
      </w:pPr>
      <w:proofErr w:type="spellStart"/>
      <w:r w:rsidRPr="0051061D">
        <w:t>Coadministration</w:t>
      </w:r>
      <w:proofErr w:type="spellEnd"/>
      <w:r w:rsidRPr="0051061D">
        <w:t xml:space="preserve"> of </w:t>
      </w:r>
      <w:proofErr w:type="spellStart"/>
      <w:r w:rsidRPr="0051061D">
        <w:t>tofacitinib</w:t>
      </w:r>
      <w:proofErr w:type="spellEnd"/>
      <w:r w:rsidRPr="0051061D">
        <w:t xml:space="preserve"> did not have an effect on the PK of metformin, indicating that tofacitinib does not interfere with the organic cationic transporter (OCT2) in healthy volunteers.</w:t>
      </w:r>
    </w:p>
    <w:p w:rsidR="003D5708" w:rsidRPr="004340A7" w:rsidRDefault="00284A99" w:rsidP="004340A7">
      <w:pPr>
        <w:pStyle w:val="ListBullet"/>
        <w:numPr>
          <w:ilvl w:val="0"/>
          <w:numId w:val="0"/>
        </w:numPr>
      </w:pPr>
      <w:r>
        <w:rPr>
          <w:b/>
        </w:rPr>
        <w:t>Figure 2</w:t>
      </w:r>
      <w:r w:rsidR="0097291D" w:rsidRPr="0051061D">
        <w:rPr>
          <w:b/>
        </w:rPr>
        <w:t xml:space="preserve">. Impact of </w:t>
      </w:r>
      <w:proofErr w:type="spellStart"/>
      <w:r w:rsidR="0097291D" w:rsidRPr="0051061D">
        <w:rPr>
          <w:b/>
        </w:rPr>
        <w:t>Tofacinib</w:t>
      </w:r>
      <w:proofErr w:type="spellEnd"/>
      <w:r w:rsidR="0097291D" w:rsidRPr="0051061D">
        <w:rPr>
          <w:b/>
        </w:rPr>
        <w:t xml:space="preserve"> on the Pharmacokinetics of Other Medicines</w:t>
      </w:r>
    </w:p>
    <w:p w:rsidR="0097291D" w:rsidRPr="0051061D" w:rsidRDefault="00C4360E" w:rsidP="003D5708">
      <w:pPr>
        <w:keepNext/>
      </w:pPr>
      <w:r>
        <w:pict>
          <v:shape id="_x0000_i1026" type="#_x0000_t75" style="width:449.65pt;height:4in">
            <v:imagedata r:id="rId12" o:title=""/>
          </v:shape>
        </w:pict>
      </w:r>
    </w:p>
    <w:p w:rsidR="008633BF" w:rsidRPr="001A5A28" w:rsidRDefault="008633BF" w:rsidP="00395657">
      <w:pPr>
        <w:pStyle w:val="PIHeading3"/>
        <w:spacing w:after="240"/>
        <w:rPr>
          <w:b w:val="0"/>
          <w:i w:val="0"/>
          <w:sz w:val="20"/>
        </w:rPr>
      </w:pPr>
      <w:r w:rsidRPr="001A5A28">
        <w:rPr>
          <w:b w:val="0"/>
          <w:i w:val="0"/>
          <w:sz w:val="20"/>
        </w:rPr>
        <w:t xml:space="preserve">Note: Reference group is administration of concomitant medication alone; </w:t>
      </w:r>
      <w:r w:rsidR="00454A3C" w:rsidRPr="00C744D0">
        <w:rPr>
          <w:b w:val="0"/>
          <w:i w:val="0"/>
          <w:sz w:val="20"/>
        </w:rPr>
        <w:t xml:space="preserve">Abbreviations: </w:t>
      </w:r>
      <w:r w:rsidR="00C744D0">
        <w:rPr>
          <w:b w:val="0"/>
          <w:i w:val="0"/>
          <w:sz w:val="20"/>
        </w:rPr>
        <w:t>OCT=</w:t>
      </w:r>
      <w:r w:rsidRPr="00C744D0">
        <w:rPr>
          <w:b w:val="0"/>
          <w:i w:val="0"/>
          <w:sz w:val="20"/>
        </w:rPr>
        <w:t>Org</w:t>
      </w:r>
      <w:r w:rsidR="00C744D0">
        <w:rPr>
          <w:b w:val="0"/>
          <w:i w:val="0"/>
          <w:sz w:val="20"/>
        </w:rPr>
        <w:t>anic Cationic Transporter; MATE=</w:t>
      </w:r>
      <w:r w:rsidRPr="00C744D0">
        <w:rPr>
          <w:b w:val="0"/>
          <w:i w:val="0"/>
          <w:sz w:val="20"/>
        </w:rPr>
        <w:t>Multidrug and Toxic Compound Extrusion</w:t>
      </w:r>
      <w:r w:rsidR="001A5A28" w:rsidRPr="00C744D0">
        <w:rPr>
          <w:b w:val="0"/>
          <w:i w:val="0"/>
          <w:sz w:val="20"/>
        </w:rPr>
        <w:t xml:space="preserve">; AUC=total area under the </w:t>
      </w:r>
      <w:r w:rsidR="001A5A28" w:rsidRPr="00C744D0">
        <w:rPr>
          <w:b w:val="0"/>
          <w:i w:val="0"/>
          <w:sz w:val="20"/>
        </w:rPr>
        <w:lastRenderedPageBreak/>
        <w:t>concentration time curve</w:t>
      </w:r>
      <w:r w:rsidR="001A5A28" w:rsidRPr="00395657">
        <w:rPr>
          <w:b w:val="0"/>
          <w:i w:val="0"/>
          <w:sz w:val="20"/>
        </w:rPr>
        <w:t xml:space="preserve">; Cmax= </w:t>
      </w:r>
      <w:r w:rsidR="001A5A28" w:rsidRPr="00D35CC4">
        <w:rPr>
          <w:b w:val="0"/>
          <w:i w:val="0"/>
          <w:sz w:val="20"/>
        </w:rPr>
        <w:t>maximum plasma concentration</w:t>
      </w:r>
      <w:r w:rsidR="001A5A28" w:rsidRPr="001A5A28">
        <w:rPr>
          <w:b w:val="0"/>
          <w:i w:val="0"/>
          <w:sz w:val="20"/>
        </w:rPr>
        <w:t>; CYP=cytochrome P450; PK=pharmacokinetics; CI=confidence interval</w:t>
      </w:r>
    </w:p>
    <w:p w:rsidR="0097291D" w:rsidRPr="0051061D" w:rsidRDefault="0097291D" w:rsidP="006E28B9">
      <w:pPr>
        <w:pStyle w:val="PIHeading3"/>
        <w:rPr>
          <w:lang w:val="en-CA"/>
        </w:rPr>
      </w:pPr>
      <w:r w:rsidRPr="0051061D">
        <w:rPr>
          <w:lang w:val="en-CA"/>
        </w:rPr>
        <w:t xml:space="preserve">Medicines that Decrease Heart Rate (HR) and/or Prolong the PR Interval </w:t>
      </w:r>
    </w:p>
    <w:p w:rsidR="0097291D" w:rsidRDefault="0097291D" w:rsidP="0097291D">
      <w:pPr>
        <w:rPr>
          <w:iCs/>
          <w:szCs w:val="24"/>
        </w:rPr>
      </w:pPr>
      <w:r w:rsidRPr="0051061D">
        <w:rPr>
          <w:iCs/>
          <w:szCs w:val="24"/>
          <w:lang w:val="en-CA"/>
        </w:rPr>
        <w:t>XELJANZ</w:t>
      </w:r>
      <w:r w:rsidRPr="0051061D">
        <w:rPr>
          <w:iCs/>
          <w:szCs w:val="24"/>
        </w:rPr>
        <w:t xml:space="preserve"> results in a decrease in heart rate and an increase in the PR interval (see </w:t>
      </w:r>
      <w:r w:rsidR="00A51746">
        <w:rPr>
          <w:iCs/>
          <w:szCs w:val="24"/>
        </w:rPr>
        <w:t>Section 4.4</w:t>
      </w:r>
      <w:r w:rsidR="00E57F12">
        <w:rPr>
          <w:iCs/>
          <w:szCs w:val="24"/>
        </w:rPr>
        <w:t xml:space="preserve"> </w:t>
      </w:r>
      <w:r w:rsidR="00E57F12">
        <w:t xml:space="preserve">Special Warnings and Precautions </w:t>
      </w:r>
      <w:proofErr w:type="gramStart"/>
      <w:r w:rsidR="00E57F12">
        <w:t>For</w:t>
      </w:r>
      <w:proofErr w:type="gramEnd"/>
      <w:r w:rsidR="00E57F12">
        <w:t xml:space="preserve"> Use</w:t>
      </w:r>
      <w:r w:rsidRPr="0051061D">
        <w:rPr>
          <w:iCs/>
          <w:szCs w:val="24"/>
        </w:rPr>
        <w:t xml:space="preserve">, Cardiovascular).  </w:t>
      </w:r>
      <w:r w:rsidRPr="0051061D">
        <w:rPr>
          <w:iCs/>
          <w:szCs w:val="24"/>
          <w:lang w:val="en-CA"/>
        </w:rPr>
        <w:t>Caution should be observed if</w:t>
      </w:r>
      <w:r w:rsidRPr="0051061D">
        <w:rPr>
          <w:iCs/>
          <w:szCs w:val="24"/>
        </w:rPr>
        <w:t xml:space="preserve"> </w:t>
      </w:r>
      <w:r w:rsidRPr="0051061D">
        <w:rPr>
          <w:iCs/>
          <w:szCs w:val="24"/>
          <w:lang w:val="en-CA"/>
        </w:rPr>
        <w:t>XELJANZ is used concomitantly</w:t>
      </w:r>
      <w:r w:rsidRPr="0051061D">
        <w:rPr>
          <w:iCs/>
          <w:szCs w:val="24"/>
        </w:rPr>
        <w:t xml:space="preserve"> with medicines that lower heart rate and/or prolong the PR interval, such as antiarrhythmics, beta blockers,</w:t>
      </w:r>
      <w:r w:rsidRPr="0051061D">
        <w:rPr>
          <w:iCs/>
          <w:szCs w:val="24"/>
          <w:lang w:val="en-CA"/>
        </w:rPr>
        <w:t xml:space="preserve"> alpha2 adrenoceptor agonists,</w:t>
      </w:r>
      <w:r w:rsidRPr="0051061D">
        <w:rPr>
          <w:iCs/>
          <w:szCs w:val="24"/>
        </w:rPr>
        <w:t xml:space="preserve"> non-dihydropyridine calcium channel blockers, digitalis glycosides, cholinesterase inhibitors, sphingosine-1 phosphate receptor modulators, and </w:t>
      </w:r>
      <w:r w:rsidRPr="0051061D">
        <w:rPr>
          <w:iCs/>
          <w:szCs w:val="24"/>
          <w:lang w:val="en-CA"/>
        </w:rPr>
        <w:t xml:space="preserve">some </w:t>
      </w:r>
      <w:r w:rsidRPr="0051061D">
        <w:rPr>
          <w:iCs/>
          <w:szCs w:val="24"/>
        </w:rPr>
        <w:t>HIV protease inhibitors.</w:t>
      </w:r>
    </w:p>
    <w:p w:rsidR="0097291D" w:rsidRPr="0051061D" w:rsidRDefault="0097291D" w:rsidP="006E28B9">
      <w:pPr>
        <w:pStyle w:val="PIHeading3"/>
        <w:rPr>
          <w:lang w:val="en-US"/>
        </w:rPr>
      </w:pPr>
      <w:r w:rsidRPr="0051061D">
        <w:rPr>
          <w:lang w:val="en-US"/>
        </w:rPr>
        <w:t>Combination with Other Therapies</w:t>
      </w:r>
    </w:p>
    <w:p w:rsidR="003A4144" w:rsidRDefault="0097291D" w:rsidP="003A4144">
      <w:pPr>
        <w:rPr>
          <w:szCs w:val="22"/>
          <w:lang w:val="en-US"/>
        </w:rPr>
      </w:pPr>
      <w:r w:rsidRPr="0051061D">
        <w:rPr>
          <w:szCs w:val="22"/>
          <w:lang w:val="en-US"/>
        </w:rPr>
        <w:t>XELJANZ ha</w:t>
      </w:r>
      <w:r>
        <w:rPr>
          <w:szCs w:val="22"/>
          <w:lang w:val="en-US"/>
        </w:rPr>
        <w:t>s</w:t>
      </w:r>
      <w:r w:rsidRPr="0051061D">
        <w:rPr>
          <w:szCs w:val="22"/>
          <w:lang w:val="en-US"/>
        </w:rPr>
        <w:t xml:space="preserve"> not been studied and </w:t>
      </w:r>
      <w:r w:rsidR="00D31532">
        <w:rPr>
          <w:szCs w:val="22"/>
          <w:lang w:val="en-US"/>
        </w:rPr>
        <w:t>should</w:t>
      </w:r>
      <w:r w:rsidRPr="0051061D">
        <w:rPr>
          <w:szCs w:val="22"/>
          <w:lang w:val="en-US"/>
        </w:rPr>
        <w:t xml:space="preserve"> not be used in combination with biological </w:t>
      </w:r>
      <w:r w:rsidR="00D31532">
        <w:rPr>
          <w:szCs w:val="22"/>
          <w:lang w:val="en-US"/>
        </w:rPr>
        <w:t>agents</w:t>
      </w:r>
      <w:r w:rsidRPr="0051061D">
        <w:rPr>
          <w:szCs w:val="22"/>
          <w:lang w:val="en-US"/>
        </w:rPr>
        <w:t xml:space="preserve"> such as TNF antagonists, </w:t>
      </w:r>
      <w:r w:rsidR="00207B5B">
        <w:rPr>
          <w:szCs w:val="22"/>
          <w:lang w:val="en-US"/>
        </w:rPr>
        <w:t>interleukin (</w:t>
      </w:r>
      <w:r w:rsidRPr="0051061D">
        <w:rPr>
          <w:szCs w:val="22"/>
          <w:lang w:val="en-US"/>
        </w:rPr>
        <w:t>IL</w:t>
      </w:r>
      <w:r w:rsidR="00207B5B">
        <w:rPr>
          <w:szCs w:val="22"/>
          <w:lang w:val="en-US"/>
        </w:rPr>
        <w:t>)</w:t>
      </w:r>
      <w:r w:rsidRPr="0051061D">
        <w:rPr>
          <w:szCs w:val="22"/>
          <w:lang w:val="en-US"/>
        </w:rPr>
        <w:t>-1R antagonists, IL-6R antagonists, anti-CD20 monoclonal antibodies</w:t>
      </w:r>
      <w:r w:rsidR="00030172">
        <w:rPr>
          <w:szCs w:val="22"/>
          <w:lang w:val="en-US"/>
        </w:rPr>
        <w:t>, IL-17 antagonists, IL-12/IL-23 antagonists,</w:t>
      </w:r>
      <w:r w:rsidRPr="0051061D">
        <w:rPr>
          <w:szCs w:val="22"/>
          <w:lang w:val="en-US"/>
        </w:rPr>
        <w:t xml:space="preserve"> </w:t>
      </w:r>
      <w:r w:rsidR="00D31532">
        <w:rPr>
          <w:szCs w:val="22"/>
          <w:lang w:val="en-US"/>
        </w:rPr>
        <w:t xml:space="preserve">anti-integrins, </w:t>
      </w:r>
      <w:r w:rsidRPr="0051061D">
        <w:rPr>
          <w:szCs w:val="22"/>
          <w:lang w:val="en-US"/>
        </w:rPr>
        <w:t>selective co</w:t>
      </w:r>
      <w:r w:rsidRPr="0051061D">
        <w:rPr>
          <w:szCs w:val="22"/>
          <w:lang w:val="en-US"/>
        </w:rPr>
        <w:noBreakHyphen/>
        <w:t>stimulation modulators</w:t>
      </w:r>
      <w:r w:rsidR="00D31532">
        <w:rPr>
          <w:szCs w:val="22"/>
          <w:lang w:val="en-US"/>
        </w:rPr>
        <w:t>,</w:t>
      </w:r>
      <w:r w:rsidRPr="0051061D">
        <w:rPr>
          <w:szCs w:val="22"/>
          <w:lang w:val="en-US"/>
        </w:rPr>
        <w:t xml:space="preserve"> and</w:t>
      </w:r>
      <w:r w:rsidR="00D31532">
        <w:rPr>
          <w:szCs w:val="22"/>
          <w:lang w:val="en-US"/>
        </w:rPr>
        <w:t>/or</w:t>
      </w:r>
      <w:r w:rsidRPr="0051061D">
        <w:rPr>
          <w:szCs w:val="22"/>
          <w:lang w:val="en-US"/>
        </w:rPr>
        <w:t xml:space="preserve"> potent immunosuppressants such as azathioprine</w:t>
      </w:r>
      <w:r w:rsidR="00D31532">
        <w:rPr>
          <w:szCs w:val="22"/>
          <w:lang w:val="en-US"/>
        </w:rPr>
        <w:t>, 6-mercaptopurine, tacrolimus</w:t>
      </w:r>
      <w:r w:rsidRPr="0051061D">
        <w:rPr>
          <w:szCs w:val="22"/>
          <w:lang w:val="en-US"/>
        </w:rPr>
        <w:t xml:space="preserve"> and </w:t>
      </w:r>
      <w:proofErr w:type="spellStart"/>
      <w:r w:rsidRPr="0051061D">
        <w:rPr>
          <w:szCs w:val="22"/>
          <w:lang w:val="en-US"/>
        </w:rPr>
        <w:t>cyclosporin</w:t>
      </w:r>
      <w:proofErr w:type="spellEnd"/>
      <w:r w:rsidRPr="0051061D">
        <w:rPr>
          <w:szCs w:val="22"/>
          <w:lang w:val="en-US"/>
        </w:rPr>
        <w:t xml:space="preserve"> because of the possibility of increased immunosuppression and increased risk of inf</w:t>
      </w:r>
      <w:r>
        <w:rPr>
          <w:szCs w:val="22"/>
          <w:lang w:val="en-US"/>
        </w:rPr>
        <w:t>ection</w:t>
      </w:r>
      <w:r w:rsidR="00694651">
        <w:rPr>
          <w:szCs w:val="22"/>
          <w:lang w:val="en-US"/>
        </w:rPr>
        <w:t xml:space="preserve"> </w:t>
      </w:r>
      <w:r>
        <w:rPr>
          <w:szCs w:val="22"/>
          <w:lang w:val="en-US"/>
        </w:rPr>
        <w:t xml:space="preserve">(see </w:t>
      </w:r>
      <w:r w:rsidR="00AA431A">
        <w:rPr>
          <w:szCs w:val="22"/>
          <w:lang w:val="en-US"/>
        </w:rPr>
        <w:t>Section 4.3</w:t>
      </w:r>
      <w:r w:rsidR="00A3188B">
        <w:rPr>
          <w:szCs w:val="22"/>
          <w:lang w:val="en-US"/>
        </w:rPr>
        <w:t xml:space="preserve"> Contraindications</w:t>
      </w:r>
      <w:r>
        <w:rPr>
          <w:szCs w:val="22"/>
          <w:lang w:val="en-US"/>
        </w:rPr>
        <w:t>).</w:t>
      </w:r>
    </w:p>
    <w:p w:rsidR="000D2C27" w:rsidRPr="000D2C27" w:rsidRDefault="000D2C27" w:rsidP="000D2C27">
      <w:pPr>
        <w:pStyle w:val="PINormal"/>
        <w:rPr>
          <w:rFonts w:eastAsia="TimesNewRoman"/>
          <w:lang w:eastAsia="en-AU"/>
        </w:rPr>
      </w:pPr>
      <w:r w:rsidRPr="000D2C27">
        <w:rPr>
          <w:rFonts w:eastAsia="TimesNewRoman"/>
          <w:lang w:eastAsia="en-AU"/>
        </w:rPr>
        <w:t xml:space="preserve">There was a higher incidence of adverse events for the combination of </w:t>
      </w:r>
      <w:r>
        <w:rPr>
          <w:rFonts w:eastAsia="TimesNewRoman"/>
          <w:lang w:eastAsia="en-AU"/>
        </w:rPr>
        <w:t>XELJANZ</w:t>
      </w:r>
      <w:r w:rsidRPr="000D2C27">
        <w:rPr>
          <w:rFonts w:eastAsia="TimesNewRoman"/>
          <w:lang w:eastAsia="en-AU"/>
        </w:rPr>
        <w:t xml:space="preserve"> with MTX versus</w:t>
      </w:r>
      <w:r>
        <w:rPr>
          <w:rFonts w:eastAsia="TimesNewRoman"/>
          <w:lang w:eastAsia="en-AU"/>
        </w:rPr>
        <w:t xml:space="preserve"> XELJANZ</w:t>
      </w:r>
      <w:r w:rsidRPr="000D2C27">
        <w:rPr>
          <w:rFonts w:eastAsia="TimesNewRoman"/>
          <w:lang w:eastAsia="en-AU"/>
        </w:rPr>
        <w:t xml:space="preserve"> as monotherapy in RA clinical studies.</w:t>
      </w:r>
    </w:p>
    <w:p w:rsidR="00030172" w:rsidRPr="0097291D" w:rsidRDefault="00030172" w:rsidP="003A4144">
      <w:pPr>
        <w:rPr>
          <w:szCs w:val="22"/>
          <w:lang w:val="en-US"/>
        </w:rPr>
      </w:pPr>
      <w:r w:rsidRPr="00616E41">
        <w:rPr>
          <w:rFonts w:eastAsia="Arial Unicode MS"/>
        </w:rPr>
        <w:t xml:space="preserve">The use of XELJANZ in combination with phosphodiesterase 4 </w:t>
      </w:r>
      <w:r>
        <w:rPr>
          <w:rFonts w:eastAsia="Arial Unicode MS"/>
        </w:rPr>
        <w:t>inhibitors</w:t>
      </w:r>
      <w:r w:rsidRPr="00616E41">
        <w:rPr>
          <w:rFonts w:eastAsia="Arial Unicode MS"/>
        </w:rPr>
        <w:t xml:space="preserve"> has not been studied in XELJANZ</w:t>
      </w:r>
      <w:r w:rsidRPr="00616E41" w:rsidDel="00A525D2">
        <w:rPr>
          <w:rFonts w:eastAsia="Arial Unicode MS"/>
        </w:rPr>
        <w:t xml:space="preserve"> </w:t>
      </w:r>
      <w:r w:rsidRPr="00616E41">
        <w:rPr>
          <w:rFonts w:eastAsia="Arial Unicode MS"/>
        </w:rPr>
        <w:t>clinical trials.</w:t>
      </w:r>
    </w:p>
    <w:p w:rsidR="003A4144" w:rsidRDefault="003A4144" w:rsidP="00FF6965">
      <w:pPr>
        <w:pStyle w:val="PIHeading2"/>
      </w:pPr>
      <w:r w:rsidRPr="00645CC7">
        <w:t xml:space="preserve">4.6 </w:t>
      </w:r>
      <w:r w:rsidR="00F43C03">
        <w:t>Fertility, Pregnancy and Lactation</w:t>
      </w:r>
    </w:p>
    <w:p w:rsidR="003A4144" w:rsidRPr="0042478B" w:rsidRDefault="003A4144" w:rsidP="00DB51F1">
      <w:pPr>
        <w:pStyle w:val="PIHeading3"/>
      </w:pPr>
      <w:r w:rsidRPr="0042478B">
        <w:t>Effects on fertility</w:t>
      </w:r>
    </w:p>
    <w:p w:rsidR="003A4144" w:rsidRPr="00FF6965" w:rsidRDefault="00A64EB3" w:rsidP="00FF6965">
      <w:pPr>
        <w:pStyle w:val="PINormal"/>
        <w:rPr>
          <w:rFonts w:eastAsia="Arial Unicode MS"/>
          <w:color w:val="000000"/>
          <w:szCs w:val="24"/>
        </w:rPr>
      </w:pPr>
      <w:r w:rsidRPr="0051061D">
        <w:rPr>
          <w:rFonts w:eastAsia="Arial Unicode MS"/>
          <w:color w:val="000000"/>
          <w:szCs w:val="24"/>
        </w:rPr>
        <w:t>In rats, tofacitinib had no effects on male fertility, sperm motility, or sperm concentration at doses up to 100 mg/kg/day (</w:t>
      </w:r>
      <w:r w:rsidR="00A42534">
        <w:rPr>
          <w:rFonts w:eastAsia="Arial Unicode MS"/>
          <w:color w:val="000000"/>
          <w:szCs w:val="24"/>
        </w:rPr>
        <w:t>55</w:t>
      </w:r>
      <w:r w:rsidRPr="0051061D">
        <w:rPr>
          <w:rFonts w:eastAsia="Arial Unicode MS"/>
          <w:color w:val="000000"/>
          <w:szCs w:val="24"/>
        </w:rPr>
        <w:t xml:space="preserve"> times the human unbound drug AUC at </w:t>
      </w:r>
      <w:r w:rsidR="00A42534">
        <w:rPr>
          <w:rFonts w:eastAsia="Arial Unicode MS"/>
          <w:color w:val="000000"/>
          <w:szCs w:val="24"/>
        </w:rPr>
        <w:t>10</w:t>
      </w:r>
      <w:r w:rsidRPr="0051061D">
        <w:rPr>
          <w:rFonts w:eastAsia="Arial Unicode MS"/>
          <w:color w:val="000000"/>
          <w:szCs w:val="24"/>
        </w:rPr>
        <w:t xml:space="preserve"> mg twice daily; extrapolated from values from other rat studies).  Treatment-related effects on female fertility were noted at </w:t>
      </w:r>
      <w:r w:rsidRPr="0051061D">
        <w:rPr>
          <w:rFonts w:eastAsia="Arial Unicode MS"/>
          <w:color w:val="000000"/>
          <w:szCs w:val="24"/>
        </w:rPr>
        <w:sym w:font="Symbol" w:char="F0B3"/>
      </w:r>
      <w:r w:rsidRPr="0051061D">
        <w:rPr>
          <w:rFonts w:eastAsia="Arial Unicode MS"/>
          <w:color w:val="000000"/>
          <w:szCs w:val="24"/>
        </w:rPr>
        <w:t>10 mg/kg/day in rats (</w:t>
      </w:r>
      <w:r w:rsidR="00A42534">
        <w:rPr>
          <w:rFonts w:eastAsia="Arial Unicode MS"/>
          <w:color w:val="000000"/>
          <w:szCs w:val="24"/>
        </w:rPr>
        <w:t>9</w:t>
      </w:r>
      <w:r w:rsidRPr="0051061D">
        <w:rPr>
          <w:rFonts w:eastAsia="Arial Unicode MS"/>
          <w:color w:val="000000"/>
          <w:szCs w:val="24"/>
        </w:rPr>
        <w:t xml:space="preserve"> times the human unbound AUC at </w:t>
      </w:r>
      <w:r w:rsidR="00A42534">
        <w:rPr>
          <w:rFonts w:eastAsia="Arial Unicode MS"/>
          <w:color w:val="000000"/>
          <w:szCs w:val="24"/>
        </w:rPr>
        <w:t>10</w:t>
      </w:r>
      <w:r w:rsidRPr="0051061D">
        <w:rPr>
          <w:rFonts w:eastAsia="Arial Unicode MS"/>
          <w:color w:val="000000"/>
          <w:szCs w:val="24"/>
        </w:rPr>
        <w:t xml:space="preserve"> mg twice daily; based on extrapolation from values from other rat studies). </w:t>
      </w:r>
    </w:p>
    <w:p w:rsidR="003A4144" w:rsidRPr="0042478B" w:rsidRDefault="003A4144" w:rsidP="00DB51F1">
      <w:pPr>
        <w:pStyle w:val="PIHeading3"/>
      </w:pPr>
      <w:r w:rsidRPr="0042478B">
        <w:t>Use in pregnancy</w:t>
      </w:r>
    </w:p>
    <w:p w:rsidR="003A4144" w:rsidRPr="00FF6965" w:rsidRDefault="00FF6965" w:rsidP="003A4144">
      <w:r w:rsidRPr="00FF6965">
        <w:t>Category D</w:t>
      </w:r>
    </w:p>
    <w:p w:rsidR="00FF6965" w:rsidRPr="0051061D" w:rsidRDefault="00FF6965" w:rsidP="00FF6965">
      <w:pPr>
        <w:pStyle w:val="PINormal"/>
      </w:pPr>
      <w:r w:rsidRPr="0051061D">
        <w:t>There are no adequate and well-controlled studies on the use of XELJANZ in pregnant women.  Tofacitinib has been shown to be teratogenic in rats and rabbits, and to have effects in rats on parturition, and peri/postnatal development.</w:t>
      </w:r>
    </w:p>
    <w:p w:rsidR="00FF6965" w:rsidRPr="0051061D" w:rsidRDefault="00FF6965" w:rsidP="00FF6965">
      <w:pPr>
        <w:autoSpaceDE w:val="0"/>
        <w:autoSpaceDN w:val="0"/>
        <w:adjustRightInd w:val="0"/>
        <w:rPr>
          <w:color w:val="000000"/>
          <w:szCs w:val="24"/>
        </w:rPr>
      </w:pPr>
      <w:r w:rsidRPr="0051061D">
        <w:rPr>
          <w:color w:val="000000"/>
          <w:szCs w:val="24"/>
        </w:rPr>
        <w:t xml:space="preserve">In an embryo-fetal development (EFD) study in rats given 30, 100, or 300 mg/kg/day, maternal toxicity was observed at doses </w:t>
      </w:r>
      <w:r w:rsidRPr="0051061D">
        <w:rPr>
          <w:color w:val="000000"/>
          <w:szCs w:val="24"/>
        </w:rPr>
        <w:sym w:font="Symbol" w:char="F0B3"/>
      </w:r>
      <w:r w:rsidRPr="0051061D">
        <w:rPr>
          <w:color w:val="000000"/>
          <w:szCs w:val="24"/>
        </w:rPr>
        <w:t xml:space="preserve">100 mg/kg/day. Observations included </w:t>
      </w:r>
      <w:proofErr w:type="spellStart"/>
      <w:r w:rsidRPr="0051061D">
        <w:rPr>
          <w:color w:val="000000"/>
          <w:szCs w:val="24"/>
        </w:rPr>
        <w:t>postimplantation</w:t>
      </w:r>
      <w:proofErr w:type="spellEnd"/>
      <w:r w:rsidRPr="0051061D">
        <w:rPr>
          <w:color w:val="000000"/>
          <w:szCs w:val="24"/>
        </w:rPr>
        <w:t xml:space="preserve"> loss, consisting of early and late resorptions and consequently a reduced number of viable </w:t>
      </w:r>
      <w:proofErr w:type="spellStart"/>
      <w:r w:rsidRPr="0051061D">
        <w:rPr>
          <w:color w:val="000000"/>
          <w:szCs w:val="24"/>
        </w:rPr>
        <w:t>fetuses</w:t>
      </w:r>
      <w:proofErr w:type="spellEnd"/>
      <w:r w:rsidRPr="0051061D">
        <w:rPr>
          <w:color w:val="000000"/>
          <w:szCs w:val="24"/>
        </w:rPr>
        <w:t>, and decreased uterine weight.  Fetal developmental effects were observed at 100 mg/kg/day (</w:t>
      </w:r>
      <w:r w:rsidRPr="0051061D">
        <w:rPr>
          <w:color w:val="000000"/>
          <w:szCs w:val="24"/>
        </w:rPr>
        <w:sym w:font="Symbol" w:char="F0B3"/>
      </w:r>
      <w:r w:rsidR="00A42534">
        <w:rPr>
          <w:color w:val="000000"/>
          <w:szCs w:val="24"/>
        </w:rPr>
        <w:t>101</w:t>
      </w:r>
      <w:r w:rsidRPr="0051061D">
        <w:rPr>
          <w:color w:val="000000"/>
          <w:szCs w:val="24"/>
        </w:rPr>
        <w:t xml:space="preserve"> times the unbound drug human AUC at </w:t>
      </w:r>
      <w:r w:rsidR="00A42534">
        <w:rPr>
          <w:color w:val="000000"/>
          <w:szCs w:val="24"/>
        </w:rPr>
        <w:t>10</w:t>
      </w:r>
      <w:r w:rsidRPr="0051061D">
        <w:rPr>
          <w:color w:val="000000"/>
          <w:szCs w:val="24"/>
        </w:rPr>
        <w:t xml:space="preserve"> mg twice daily).  Teratogenic effects consisted of external and soft tissue malformations of anasarca and </w:t>
      </w:r>
      <w:r w:rsidRPr="0051061D">
        <w:rPr>
          <w:color w:val="000000"/>
          <w:szCs w:val="24"/>
        </w:rPr>
        <w:lastRenderedPageBreak/>
        <w:t xml:space="preserve">membranous ventricular septal defects, respectively, and skeletal malformations or variations (absent cervical arch; bent femur, fibula, </w:t>
      </w:r>
      <w:proofErr w:type="spellStart"/>
      <w:r w:rsidRPr="0051061D">
        <w:rPr>
          <w:color w:val="000000"/>
          <w:szCs w:val="24"/>
        </w:rPr>
        <w:t>humerus</w:t>
      </w:r>
      <w:proofErr w:type="spellEnd"/>
      <w:r w:rsidRPr="0051061D">
        <w:rPr>
          <w:color w:val="000000"/>
          <w:szCs w:val="24"/>
        </w:rPr>
        <w:t xml:space="preserve">, radius, scapula, tibia, and ulna; </w:t>
      </w:r>
      <w:proofErr w:type="spellStart"/>
      <w:r w:rsidRPr="0051061D">
        <w:rPr>
          <w:color w:val="000000"/>
          <w:szCs w:val="24"/>
        </w:rPr>
        <w:t>sternoschisis</w:t>
      </w:r>
      <w:proofErr w:type="spellEnd"/>
      <w:r w:rsidRPr="0051061D">
        <w:rPr>
          <w:color w:val="000000"/>
          <w:szCs w:val="24"/>
        </w:rPr>
        <w:t xml:space="preserve">; absent rib; misshapen femur; branched rib; fused rib; fused </w:t>
      </w:r>
      <w:proofErr w:type="spellStart"/>
      <w:r w:rsidRPr="0051061D">
        <w:rPr>
          <w:color w:val="000000"/>
          <w:szCs w:val="24"/>
        </w:rPr>
        <w:t>sternebra</w:t>
      </w:r>
      <w:proofErr w:type="spellEnd"/>
      <w:r w:rsidRPr="0051061D">
        <w:rPr>
          <w:color w:val="000000"/>
          <w:szCs w:val="24"/>
        </w:rPr>
        <w:t xml:space="preserve">; and </w:t>
      </w:r>
      <w:proofErr w:type="spellStart"/>
      <w:r w:rsidRPr="0051061D">
        <w:rPr>
          <w:color w:val="000000"/>
          <w:szCs w:val="24"/>
        </w:rPr>
        <w:t>hemicentric</w:t>
      </w:r>
      <w:proofErr w:type="spellEnd"/>
      <w:r w:rsidRPr="0051061D">
        <w:rPr>
          <w:color w:val="000000"/>
          <w:szCs w:val="24"/>
        </w:rPr>
        <w:t xml:space="preserve"> thoracic centrum).  The no observed adverse effect level (NOAEL) for maternal and developmental toxicity in this study was 30 mg/kg/day, a dose at which the unbound drug AUC was ~</w:t>
      </w:r>
      <w:r w:rsidR="00A42534">
        <w:rPr>
          <w:color w:val="000000"/>
          <w:szCs w:val="24"/>
        </w:rPr>
        <w:t>40 times</w:t>
      </w:r>
      <w:r w:rsidRPr="0051061D">
        <w:rPr>
          <w:color w:val="000000"/>
          <w:szCs w:val="24"/>
        </w:rPr>
        <w:t xml:space="preserve"> the human AUC at </w:t>
      </w:r>
      <w:r w:rsidR="00A42534">
        <w:rPr>
          <w:color w:val="000000"/>
          <w:szCs w:val="24"/>
        </w:rPr>
        <w:t>10</w:t>
      </w:r>
      <w:r w:rsidRPr="0051061D">
        <w:rPr>
          <w:color w:val="000000"/>
          <w:szCs w:val="24"/>
        </w:rPr>
        <w:t> mg twice daily.</w:t>
      </w:r>
    </w:p>
    <w:p w:rsidR="00FF6965" w:rsidRPr="0051061D" w:rsidRDefault="00FF6965" w:rsidP="00FF6965">
      <w:pPr>
        <w:autoSpaceDE w:val="0"/>
        <w:autoSpaceDN w:val="0"/>
        <w:adjustRightInd w:val="0"/>
        <w:rPr>
          <w:color w:val="000000"/>
          <w:szCs w:val="24"/>
        </w:rPr>
      </w:pPr>
      <w:r w:rsidRPr="0051061D">
        <w:rPr>
          <w:color w:val="000000"/>
          <w:szCs w:val="24"/>
        </w:rPr>
        <w:t xml:space="preserve">In an EFD study in rabbits given 10, 30, or 100 mg/kg/day, maternal toxicity was not observed.  Fetal developmental effects were observed at ≥30 mg/kg/day.  Teratogenic effects included </w:t>
      </w:r>
      <w:proofErr w:type="spellStart"/>
      <w:r w:rsidRPr="0051061D">
        <w:rPr>
          <w:color w:val="000000"/>
          <w:szCs w:val="24"/>
        </w:rPr>
        <w:t>thoracogastroschisis</w:t>
      </w:r>
      <w:proofErr w:type="spellEnd"/>
      <w:r w:rsidRPr="0051061D">
        <w:rPr>
          <w:color w:val="000000"/>
          <w:szCs w:val="24"/>
        </w:rPr>
        <w:t xml:space="preserve">, </w:t>
      </w:r>
      <w:proofErr w:type="spellStart"/>
      <w:r w:rsidRPr="0051061D">
        <w:rPr>
          <w:color w:val="000000"/>
          <w:szCs w:val="24"/>
        </w:rPr>
        <w:t>omphalocele</w:t>
      </w:r>
      <w:proofErr w:type="spellEnd"/>
      <w:r w:rsidRPr="0051061D">
        <w:rPr>
          <w:color w:val="000000"/>
          <w:szCs w:val="24"/>
        </w:rPr>
        <w:t>, membranous ventricular septal defects, and cranial/skeletal malformations (</w:t>
      </w:r>
      <w:proofErr w:type="spellStart"/>
      <w:r w:rsidRPr="0051061D">
        <w:rPr>
          <w:color w:val="000000"/>
          <w:szCs w:val="24"/>
        </w:rPr>
        <w:t>microstomia</w:t>
      </w:r>
      <w:proofErr w:type="spellEnd"/>
      <w:r w:rsidRPr="0051061D">
        <w:rPr>
          <w:color w:val="000000"/>
          <w:szCs w:val="24"/>
        </w:rPr>
        <w:t xml:space="preserve">, </w:t>
      </w:r>
      <w:proofErr w:type="spellStart"/>
      <w:r w:rsidRPr="0051061D">
        <w:rPr>
          <w:color w:val="000000"/>
          <w:szCs w:val="24"/>
        </w:rPr>
        <w:t>microphthalmia</w:t>
      </w:r>
      <w:proofErr w:type="spellEnd"/>
      <w:r w:rsidRPr="0051061D">
        <w:rPr>
          <w:color w:val="000000"/>
          <w:szCs w:val="24"/>
        </w:rPr>
        <w:t>), mid-line and tail defects.  The NOAELs for maternal and developmental toxicity in this study were 100 and 10 mg/kg/day, doses at which the total drug AUCs were ~</w:t>
      </w:r>
      <w:r w:rsidR="00A42534">
        <w:rPr>
          <w:color w:val="000000"/>
          <w:szCs w:val="24"/>
        </w:rPr>
        <w:t>32</w:t>
      </w:r>
      <w:r w:rsidRPr="0051061D">
        <w:rPr>
          <w:color w:val="000000"/>
          <w:szCs w:val="24"/>
        </w:rPr>
        <w:t xml:space="preserve">- and </w:t>
      </w:r>
      <w:r w:rsidR="00A42534">
        <w:rPr>
          <w:color w:val="000000"/>
          <w:szCs w:val="24"/>
        </w:rPr>
        <w:t>1.5 times</w:t>
      </w:r>
      <w:r w:rsidRPr="0051061D">
        <w:rPr>
          <w:color w:val="000000"/>
          <w:szCs w:val="24"/>
        </w:rPr>
        <w:t xml:space="preserve">, respectively, the human AUC at </w:t>
      </w:r>
      <w:r w:rsidR="00924F0F">
        <w:rPr>
          <w:color w:val="000000"/>
          <w:szCs w:val="24"/>
        </w:rPr>
        <w:t>10</w:t>
      </w:r>
      <w:r w:rsidRPr="0051061D">
        <w:rPr>
          <w:color w:val="000000"/>
          <w:szCs w:val="24"/>
        </w:rPr>
        <w:t> mg twice daily.</w:t>
      </w:r>
    </w:p>
    <w:p w:rsidR="00FF6965" w:rsidRPr="0051061D" w:rsidRDefault="00FF6965" w:rsidP="00FF6965">
      <w:pPr>
        <w:pStyle w:val="PINormal"/>
      </w:pPr>
      <w:r w:rsidRPr="0051061D">
        <w:rPr>
          <w:rFonts w:eastAsia="Arial Unicode MS"/>
          <w:color w:val="000000"/>
          <w:szCs w:val="24"/>
        </w:rPr>
        <w:t>In a perinatal/postnatal rat study, there were reductions in live litter size, postnatal survival, and pup body weights at 50 mg/kg/day (~</w:t>
      </w:r>
      <w:r w:rsidR="00924F0F">
        <w:rPr>
          <w:rFonts w:eastAsia="Arial Unicode MS"/>
          <w:color w:val="000000"/>
          <w:szCs w:val="24"/>
        </w:rPr>
        <w:t>51</w:t>
      </w:r>
      <w:r w:rsidRPr="0051061D">
        <w:rPr>
          <w:rFonts w:eastAsia="Arial Unicode MS"/>
          <w:color w:val="000000"/>
          <w:szCs w:val="24"/>
        </w:rPr>
        <w:t> times the unbound exposure in humans at 5 mg twice daily, based on extrapolation from values from other rat studies).  At 10 mg/kg/day (~</w:t>
      </w:r>
      <w:r w:rsidR="00924F0F">
        <w:rPr>
          <w:rFonts w:eastAsia="Arial Unicode MS"/>
          <w:color w:val="000000"/>
          <w:szCs w:val="24"/>
        </w:rPr>
        <w:t>12</w:t>
      </w:r>
      <w:r w:rsidRPr="0051061D">
        <w:rPr>
          <w:rFonts w:eastAsia="Arial Unicode MS"/>
          <w:color w:val="000000"/>
          <w:szCs w:val="24"/>
        </w:rPr>
        <w:t xml:space="preserve"> times the unbound exposure in humans at </w:t>
      </w:r>
      <w:r w:rsidR="00924F0F">
        <w:rPr>
          <w:rFonts w:eastAsia="Arial Unicode MS"/>
          <w:color w:val="000000"/>
          <w:szCs w:val="24"/>
        </w:rPr>
        <w:t>10</w:t>
      </w:r>
      <w:r w:rsidRPr="0051061D">
        <w:rPr>
          <w:rFonts w:eastAsia="Arial Unicode MS"/>
          <w:color w:val="000000"/>
          <w:szCs w:val="24"/>
        </w:rPr>
        <w:t xml:space="preserve"> mg twice daily, based on extrapolation from values from other rat studies), no effect occurred on sexual maturation or the ability of the F1 generation rats to learn, mate, and produce viable F2 generation </w:t>
      </w:r>
      <w:proofErr w:type="spellStart"/>
      <w:r w:rsidRPr="0051061D">
        <w:rPr>
          <w:rFonts w:eastAsia="Arial Unicode MS"/>
          <w:color w:val="000000"/>
          <w:szCs w:val="24"/>
        </w:rPr>
        <w:t>fetuses</w:t>
      </w:r>
      <w:proofErr w:type="spellEnd"/>
      <w:r w:rsidRPr="0051061D">
        <w:rPr>
          <w:rFonts w:eastAsia="Arial Unicode MS"/>
          <w:color w:val="000000"/>
          <w:szCs w:val="24"/>
        </w:rPr>
        <w:t>.</w:t>
      </w:r>
    </w:p>
    <w:p w:rsidR="00FF6965" w:rsidRPr="0051061D" w:rsidRDefault="00FF6965" w:rsidP="00FF6965">
      <w:pPr>
        <w:pStyle w:val="PINormal"/>
      </w:pPr>
      <w:r w:rsidRPr="0051061D">
        <w:t>In the Phase 2, Phase 3 and long-term extension studies in RA patients, 14 maternal pregnancies were reported in patients treated with tofacitinib.  Pregnancy outcomes comprised full-term normal newborn (6 cases), spontaneous abortion (3), elective termination (2), lost to follow-up (2) and low birth weight (1). A spontaneous abortion occurred in the only maternal pregnancy in patients treated with placebo.</w:t>
      </w:r>
    </w:p>
    <w:p w:rsidR="00FF6965" w:rsidRDefault="00FF6965" w:rsidP="00FF6965">
      <w:r w:rsidRPr="005E167B">
        <w:t xml:space="preserve">XELJANZ should not be used during pregnancy or by women attempting to become pregnant. </w:t>
      </w:r>
      <w:r>
        <w:t xml:space="preserve"> </w:t>
      </w:r>
      <w:r w:rsidRPr="005E167B">
        <w:t xml:space="preserve">Women of reproductive potential should be advised to use effective contraception </w:t>
      </w:r>
      <w:r>
        <w:t xml:space="preserve">both </w:t>
      </w:r>
      <w:r w:rsidRPr="005E167B">
        <w:t xml:space="preserve">during treatment with XELJANZ and </w:t>
      </w:r>
      <w:r w:rsidRPr="00E469C3">
        <w:t>after discontinuing therapy</w:t>
      </w:r>
      <w:r w:rsidRPr="005E167B">
        <w:t>.</w:t>
      </w:r>
      <w:r>
        <w:t xml:space="preserve"> </w:t>
      </w:r>
      <w:r w:rsidRPr="00EF267B">
        <w:t>The extended pharmacodynamic effects of XELJANZ should be considered when determining how long to continue effective contraception after discontinuing XELJANZ therapy</w:t>
      </w:r>
      <w:r>
        <w:t>.</w:t>
      </w:r>
    </w:p>
    <w:p w:rsidR="003A4144" w:rsidRPr="0042478B" w:rsidRDefault="003A4144" w:rsidP="00DB51F1">
      <w:pPr>
        <w:pStyle w:val="PIHeading3"/>
      </w:pPr>
      <w:r w:rsidRPr="0042478B">
        <w:t>Use in lactation</w:t>
      </w:r>
    </w:p>
    <w:p w:rsidR="003A4144" w:rsidRPr="00FF6965" w:rsidRDefault="00FF6965" w:rsidP="00FF6965">
      <w:pPr>
        <w:keepNext/>
        <w:rPr>
          <w:vertAlign w:val="superscript"/>
        </w:rPr>
      </w:pPr>
      <w:r w:rsidRPr="0051061D">
        <w:rPr>
          <w:lang w:val="en-GB"/>
        </w:rPr>
        <w:t>Tofacitinib was secreted in the milk of lactating rats. It is not known whether tofacitinib is secreted in human milk</w:t>
      </w:r>
      <w:r w:rsidRPr="0051061D">
        <w:t>.  Women should not breastfeed while being treated with XELJANZ.</w:t>
      </w:r>
    </w:p>
    <w:p w:rsidR="003A4144" w:rsidRDefault="003A4144" w:rsidP="00F43C03">
      <w:pPr>
        <w:pStyle w:val="PIHeading2"/>
      </w:pPr>
      <w:r>
        <w:t xml:space="preserve">4.7 </w:t>
      </w:r>
      <w:r w:rsidR="00F43C03" w:rsidRPr="008622A0">
        <w:t>Effects on Ability to Drive and Use Machines</w:t>
      </w:r>
    </w:p>
    <w:p w:rsidR="003A4144" w:rsidRPr="0097291D" w:rsidRDefault="0097291D" w:rsidP="0097291D">
      <w:pPr>
        <w:pStyle w:val="PINormal"/>
        <w:rPr>
          <w:noProof/>
          <w:szCs w:val="22"/>
        </w:rPr>
      </w:pPr>
      <w:r w:rsidRPr="0051061D">
        <w:rPr>
          <w:noProof/>
          <w:szCs w:val="22"/>
        </w:rPr>
        <w:t>No formal studies have been conducted on effects on the ability to drive and use machines.</w:t>
      </w:r>
    </w:p>
    <w:p w:rsidR="003A4144" w:rsidRDefault="003A4144" w:rsidP="00F43C03">
      <w:pPr>
        <w:pStyle w:val="PIHeading2"/>
      </w:pPr>
      <w:r>
        <w:t xml:space="preserve">4.8 </w:t>
      </w:r>
      <w:r w:rsidR="00F43C03">
        <w:t>Adverse Effects (Undesirable Effects)</w:t>
      </w:r>
    </w:p>
    <w:p w:rsidR="006A124D" w:rsidRPr="002E6E41" w:rsidRDefault="006A124D" w:rsidP="004F3D81">
      <w:pPr>
        <w:pStyle w:val="PIHeading4"/>
        <w:rPr>
          <w:u w:val="single"/>
          <w:lang w:val="en-US"/>
        </w:rPr>
      </w:pPr>
      <w:r w:rsidRPr="002E6E41">
        <w:rPr>
          <w:u w:val="single"/>
          <w:lang w:val="en-US"/>
        </w:rPr>
        <w:t>Rheumatoid Arthritis</w:t>
      </w:r>
    </w:p>
    <w:p w:rsidR="008872C6" w:rsidRPr="0051061D" w:rsidRDefault="008872C6" w:rsidP="008872C6">
      <w:pPr>
        <w:rPr>
          <w:rFonts w:eastAsia="Arial Unicode MS"/>
          <w:color w:val="000000"/>
          <w:szCs w:val="24"/>
          <w:lang w:val="en"/>
        </w:rPr>
      </w:pPr>
      <w:r w:rsidRPr="0051061D">
        <w:rPr>
          <w:rFonts w:eastAsia="Arial Unicode MS"/>
          <w:color w:val="000000"/>
          <w:szCs w:val="24"/>
          <w:lang w:val="en"/>
        </w:rPr>
        <w:t xml:space="preserve">The following data include </w:t>
      </w:r>
      <w:r>
        <w:rPr>
          <w:rFonts w:eastAsia="Arial Unicode MS"/>
          <w:color w:val="000000"/>
          <w:szCs w:val="24"/>
          <w:lang w:val="en"/>
        </w:rPr>
        <w:t>6</w:t>
      </w:r>
      <w:r w:rsidRPr="0051061D">
        <w:rPr>
          <w:rFonts w:eastAsia="Arial Unicode MS"/>
          <w:color w:val="000000"/>
          <w:szCs w:val="24"/>
          <w:lang w:val="en"/>
        </w:rPr>
        <w:t xml:space="preserve"> double-blind, controlled, </w:t>
      </w:r>
      <w:proofErr w:type="spellStart"/>
      <w:r w:rsidRPr="0051061D">
        <w:rPr>
          <w:rFonts w:eastAsia="Arial Unicode MS"/>
          <w:color w:val="000000"/>
          <w:szCs w:val="24"/>
          <w:lang w:val="en"/>
        </w:rPr>
        <w:t>multicent</w:t>
      </w:r>
      <w:r>
        <w:rPr>
          <w:rFonts w:eastAsia="Arial Unicode MS"/>
          <w:color w:val="000000"/>
          <w:szCs w:val="24"/>
          <w:lang w:val="en"/>
        </w:rPr>
        <w:t>re</w:t>
      </w:r>
      <w:proofErr w:type="spellEnd"/>
      <w:r w:rsidRPr="0051061D">
        <w:rPr>
          <w:rFonts w:eastAsia="Arial Unicode MS"/>
          <w:color w:val="000000"/>
          <w:szCs w:val="24"/>
          <w:lang w:val="en"/>
        </w:rPr>
        <w:t xml:space="preserve"> studies</w:t>
      </w:r>
      <w:r>
        <w:rPr>
          <w:rFonts w:eastAsia="Arial Unicode MS"/>
          <w:color w:val="000000"/>
          <w:szCs w:val="24"/>
          <w:lang w:val="en"/>
        </w:rPr>
        <w:t xml:space="preserve"> of varying durations from 6 to 24 months (Studies I to VI, see</w:t>
      </w:r>
      <w:r w:rsidR="00AA431A">
        <w:rPr>
          <w:rFonts w:eastAsia="Arial Unicode MS"/>
          <w:color w:val="000000"/>
          <w:szCs w:val="24"/>
          <w:lang w:val="en"/>
        </w:rPr>
        <w:t xml:space="preserve"> Section 5.1</w:t>
      </w:r>
      <w:r w:rsidR="004F2ECD">
        <w:rPr>
          <w:rFonts w:eastAsia="Arial Unicode MS"/>
          <w:color w:val="000000"/>
          <w:szCs w:val="24"/>
          <w:lang w:val="en"/>
        </w:rPr>
        <w:t xml:space="preserve"> </w:t>
      </w:r>
      <w:r w:rsidR="004F2ECD">
        <w:t>Pharmacodynamic Properties</w:t>
      </w:r>
      <w:r w:rsidR="00AA431A">
        <w:rPr>
          <w:rFonts w:eastAsia="Arial Unicode MS"/>
          <w:color w:val="000000"/>
          <w:szCs w:val="24"/>
          <w:lang w:val="en"/>
        </w:rPr>
        <w:t>, Clinical Trials</w:t>
      </w:r>
      <w:r>
        <w:rPr>
          <w:rFonts w:eastAsia="Arial Unicode MS"/>
          <w:color w:val="000000"/>
          <w:szCs w:val="24"/>
          <w:lang w:val="en"/>
        </w:rPr>
        <w:t>)</w:t>
      </w:r>
      <w:r w:rsidRPr="0051061D">
        <w:rPr>
          <w:rFonts w:eastAsia="Arial Unicode MS"/>
          <w:color w:val="000000"/>
          <w:szCs w:val="24"/>
          <w:lang w:val="en"/>
        </w:rPr>
        <w:t xml:space="preserve">.  In these studies, </w:t>
      </w:r>
      <w:r>
        <w:rPr>
          <w:rFonts w:eastAsia="Arial Unicode MS"/>
          <w:color w:val="000000"/>
          <w:szCs w:val="24"/>
          <w:lang w:val="en"/>
        </w:rPr>
        <w:t xml:space="preserve">3200 </w:t>
      </w:r>
      <w:r w:rsidRPr="0051061D">
        <w:rPr>
          <w:rFonts w:eastAsia="Arial Unicode MS"/>
          <w:color w:val="000000"/>
          <w:szCs w:val="24"/>
          <w:lang w:val="en"/>
        </w:rPr>
        <w:t xml:space="preserve">patients were </w:t>
      </w:r>
      <w:proofErr w:type="spellStart"/>
      <w:r w:rsidRPr="0051061D">
        <w:rPr>
          <w:rFonts w:eastAsia="Arial Unicode MS"/>
          <w:color w:val="000000"/>
          <w:szCs w:val="24"/>
          <w:lang w:val="en"/>
        </w:rPr>
        <w:t>randomised</w:t>
      </w:r>
      <w:proofErr w:type="spellEnd"/>
      <w:r w:rsidRPr="0051061D">
        <w:rPr>
          <w:rFonts w:eastAsia="Arial Unicode MS"/>
          <w:color w:val="000000"/>
          <w:szCs w:val="24"/>
          <w:lang w:val="en"/>
        </w:rPr>
        <w:t xml:space="preserve"> and treated with doses of </w:t>
      </w:r>
      <w:r w:rsidRPr="0051061D">
        <w:rPr>
          <w:rFonts w:eastAsia="Arial Unicode MS"/>
          <w:color w:val="000000"/>
          <w:szCs w:val="24"/>
          <w:lang w:val="en"/>
        </w:rPr>
        <w:lastRenderedPageBreak/>
        <w:t>XELJANZ 5 mg twice daily (</w:t>
      </w:r>
      <w:r>
        <w:rPr>
          <w:rFonts w:eastAsia="Arial Unicode MS"/>
          <w:color w:val="000000"/>
          <w:szCs w:val="24"/>
          <w:lang w:val="en"/>
        </w:rPr>
        <w:t>616</w:t>
      </w:r>
      <w:r w:rsidRPr="0051061D">
        <w:rPr>
          <w:rFonts w:eastAsia="Arial Unicode MS"/>
          <w:color w:val="000000"/>
          <w:szCs w:val="24"/>
          <w:lang w:val="en"/>
        </w:rPr>
        <w:t> patients) or 10 mg twice daily (</w:t>
      </w:r>
      <w:r>
        <w:rPr>
          <w:rFonts w:eastAsia="Arial Unicode MS"/>
          <w:color w:val="000000"/>
          <w:szCs w:val="24"/>
          <w:lang w:val="en"/>
        </w:rPr>
        <w:t>642</w:t>
      </w:r>
      <w:r w:rsidRPr="0051061D">
        <w:rPr>
          <w:rFonts w:eastAsia="Arial Unicode MS"/>
          <w:color w:val="000000"/>
          <w:szCs w:val="24"/>
          <w:lang w:val="en"/>
        </w:rPr>
        <w:t xml:space="preserve"> patients) monotherapy and XELJANZ 5 mg twice daily (973 patients) or 10 mg twice daily (969 patients) in combination with DMARDs (including </w:t>
      </w:r>
      <w:r w:rsidR="00317C7B">
        <w:rPr>
          <w:rFonts w:eastAsia="Arial Unicode MS"/>
          <w:color w:val="000000"/>
          <w:szCs w:val="24"/>
          <w:lang w:val="en"/>
        </w:rPr>
        <w:t>MTX</w:t>
      </w:r>
      <w:r w:rsidRPr="0051061D">
        <w:rPr>
          <w:rFonts w:eastAsia="Arial Unicode MS"/>
          <w:color w:val="000000"/>
          <w:szCs w:val="24"/>
          <w:lang w:val="en"/>
        </w:rPr>
        <w:t>).</w:t>
      </w:r>
    </w:p>
    <w:p w:rsidR="008872C6" w:rsidRPr="0051061D" w:rsidRDefault="008872C6" w:rsidP="008872C6">
      <w:pPr>
        <w:rPr>
          <w:b/>
          <w:color w:val="000000"/>
        </w:rPr>
      </w:pPr>
      <w:r w:rsidRPr="0051061D">
        <w:rPr>
          <w:rFonts w:eastAsia="Arial Unicode MS"/>
          <w:color w:val="000000"/>
          <w:szCs w:val="24"/>
          <w:lang w:val="en"/>
        </w:rPr>
        <w:t xml:space="preserve">All patients in these studies had moderate to severe active </w:t>
      </w:r>
      <w:r w:rsidR="00940CEB">
        <w:rPr>
          <w:rFonts w:eastAsia="Arial Unicode MS"/>
          <w:color w:val="000000"/>
          <w:szCs w:val="24"/>
          <w:lang w:val="en"/>
        </w:rPr>
        <w:t>RA</w:t>
      </w:r>
      <w:r w:rsidRPr="0051061D">
        <w:rPr>
          <w:rFonts w:eastAsia="Arial Unicode MS"/>
          <w:color w:val="000000"/>
          <w:szCs w:val="24"/>
          <w:lang w:val="en"/>
        </w:rPr>
        <w:t xml:space="preserve">.  The </w:t>
      </w:r>
      <w:r>
        <w:rPr>
          <w:rFonts w:eastAsia="Arial Unicode MS"/>
          <w:color w:val="000000"/>
          <w:szCs w:val="24"/>
          <w:lang w:val="en"/>
        </w:rPr>
        <w:t xml:space="preserve">XELJANZ </w:t>
      </w:r>
      <w:r w:rsidRPr="0051061D">
        <w:rPr>
          <w:rFonts w:eastAsia="Arial Unicode MS"/>
          <w:color w:val="000000"/>
          <w:szCs w:val="24"/>
          <w:lang w:val="en"/>
        </w:rPr>
        <w:t xml:space="preserve">study population had a mean age of </w:t>
      </w:r>
      <w:r>
        <w:rPr>
          <w:rFonts w:eastAsia="Arial Unicode MS"/>
          <w:color w:val="000000"/>
          <w:szCs w:val="24"/>
          <w:lang w:val="en"/>
        </w:rPr>
        <w:t>52</w:t>
      </w:r>
      <w:r w:rsidRPr="0051061D">
        <w:rPr>
          <w:rFonts w:eastAsia="Arial Unicode MS"/>
          <w:color w:val="000000"/>
          <w:szCs w:val="24"/>
          <w:lang w:val="en"/>
        </w:rPr>
        <w:t xml:space="preserve"> years and </w:t>
      </w:r>
      <w:r>
        <w:rPr>
          <w:rFonts w:eastAsia="Arial Unicode MS"/>
          <w:color w:val="000000"/>
          <w:szCs w:val="24"/>
          <w:lang w:val="en"/>
        </w:rPr>
        <w:t>83</w:t>
      </w:r>
      <w:r w:rsidRPr="0051061D">
        <w:rPr>
          <w:rFonts w:eastAsia="Arial Unicode MS"/>
          <w:color w:val="000000"/>
          <w:szCs w:val="24"/>
          <w:lang w:val="en"/>
        </w:rPr>
        <w:t>% were female.  The highest proportions of patients in the clinical studies were either White (</w:t>
      </w:r>
      <w:r>
        <w:rPr>
          <w:rFonts w:eastAsia="Arial Unicode MS"/>
          <w:color w:val="000000"/>
          <w:szCs w:val="24"/>
          <w:lang w:val="en"/>
        </w:rPr>
        <w:t>62</w:t>
      </w:r>
      <w:r w:rsidRPr="0051061D">
        <w:rPr>
          <w:rFonts w:eastAsia="Arial Unicode MS"/>
          <w:color w:val="000000"/>
          <w:szCs w:val="24"/>
          <w:lang w:val="en"/>
        </w:rPr>
        <w:t>%) or Asian (2</w:t>
      </w:r>
      <w:r>
        <w:rPr>
          <w:rFonts w:eastAsia="Arial Unicode MS"/>
          <w:color w:val="000000"/>
          <w:szCs w:val="24"/>
          <w:lang w:val="en"/>
        </w:rPr>
        <w:t>4</w:t>
      </w:r>
      <w:r w:rsidRPr="0051061D">
        <w:rPr>
          <w:rFonts w:eastAsia="Arial Unicode MS"/>
          <w:color w:val="000000"/>
          <w:szCs w:val="24"/>
          <w:lang w:val="en"/>
        </w:rPr>
        <w:t>%).</w:t>
      </w:r>
    </w:p>
    <w:p w:rsidR="008872C6" w:rsidRPr="0051061D" w:rsidRDefault="008872C6" w:rsidP="008872C6">
      <w:pPr>
        <w:pStyle w:val="PIHeading1"/>
        <w:keepNext w:val="0"/>
        <w:spacing w:before="0" w:line="240" w:lineRule="auto"/>
        <w:outlineLvl w:val="9"/>
        <w:rPr>
          <w:rFonts w:eastAsia="Arial Unicode MS"/>
          <w:b w:val="0"/>
          <w:caps w:val="0"/>
          <w:color w:val="000000"/>
          <w:kern w:val="0"/>
          <w:sz w:val="24"/>
          <w:szCs w:val="24"/>
          <w:lang w:val="en"/>
        </w:rPr>
      </w:pPr>
      <w:r w:rsidRPr="0051061D">
        <w:rPr>
          <w:rFonts w:eastAsia="Arial Unicode MS"/>
          <w:b w:val="0"/>
          <w:caps w:val="0"/>
          <w:color w:val="000000"/>
          <w:kern w:val="0"/>
          <w:sz w:val="24"/>
          <w:szCs w:val="24"/>
          <w:lang w:val="en"/>
        </w:rPr>
        <w:t>The long-term safety population includes all patients who participated in a double-blind, controlled study (including earlier development phase studies) and then participated in one of two long-term safety studies.</w:t>
      </w:r>
    </w:p>
    <w:p w:rsidR="008872C6" w:rsidRDefault="008872C6" w:rsidP="008872C6">
      <w:r>
        <w:t>A total of</w:t>
      </w:r>
      <w:r w:rsidRPr="00D863CC">
        <w:t xml:space="preserve"> 6194</w:t>
      </w:r>
      <w:r>
        <w:t> patients (phase 1, 2, 3, and long-term</w:t>
      </w:r>
      <w:r w:rsidRPr="008826A4">
        <w:t xml:space="preserve"> extension</w:t>
      </w:r>
      <w:r>
        <w:t xml:space="preserve"> studies) were treated with any dose of XELJANZ with a mean duration of 3 years, with 19</w:t>
      </w:r>
      <w:r w:rsidR="00854B5D">
        <w:t>,</w:t>
      </w:r>
      <w:r>
        <w:t>405.8 </w:t>
      </w:r>
      <w:r w:rsidRPr="00D863CC">
        <w:t>patient</w:t>
      </w:r>
      <w:r>
        <w:noBreakHyphen/>
      </w:r>
      <w:r w:rsidRPr="00D863CC">
        <w:t xml:space="preserve">years of </w:t>
      </w:r>
      <w:r>
        <w:t xml:space="preserve">accumulated total drug exposure based on </w:t>
      </w:r>
      <w:r w:rsidRPr="003275B0">
        <w:t>up to 8 years</w:t>
      </w:r>
      <w:r>
        <w:t xml:space="preserve"> of continuous exposure to XELJANZ.</w:t>
      </w:r>
    </w:p>
    <w:p w:rsidR="000A7DDD" w:rsidRPr="002E6E41" w:rsidRDefault="000A7DDD" w:rsidP="004F3D81">
      <w:pPr>
        <w:pStyle w:val="PIHeading4"/>
        <w:rPr>
          <w:u w:val="single"/>
          <w:lang w:val="en-US"/>
        </w:rPr>
      </w:pPr>
      <w:r w:rsidRPr="002E6E41">
        <w:rPr>
          <w:u w:val="single"/>
          <w:lang w:val="en-US"/>
        </w:rPr>
        <w:t>Psoriatic Arthritis</w:t>
      </w:r>
    </w:p>
    <w:p w:rsidR="000A7DDD" w:rsidRDefault="000A7DDD" w:rsidP="000A7DDD">
      <w:r w:rsidRPr="00F80EE1">
        <w:t xml:space="preserve">XELJANZ 5 mg twice daily and 10 mg twice daily were studied in </w:t>
      </w:r>
      <w:r w:rsidRPr="00E57F38">
        <w:t>2</w:t>
      </w:r>
      <w:r>
        <w:t xml:space="preserve"> double</w:t>
      </w:r>
      <w:r>
        <w:noBreakHyphen/>
      </w:r>
      <w:r w:rsidRPr="00F80EE1">
        <w:t>blind Phase</w:t>
      </w:r>
      <w:r>
        <w:t> </w:t>
      </w:r>
      <w:r w:rsidRPr="00F80EE1">
        <w:t xml:space="preserve">3 clinical trials in patients with active </w:t>
      </w:r>
      <w:proofErr w:type="spellStart"/>
      <w:r>
        <w:t>PsA</w:t>
      </w:r>
      <w:r w:rsidRPr="00F80EE1">
        <w:t>.</w:t>
      </w:r>
      <w:proofErr w:type="spellEnd"/>
    </w:p>
    <w:p w:rsidR="000A7DDD" w:rsidRPr="00276385" w:rsidRDefault="000A7DDD" w:rsidP="000A7DDD">
      <w:pPr>
        <w:rPr>
          <w:szCs w:val="22"/>
        </w:rPr>
      </w:pPr>
      <w:r w:rsidRPr="00276385">
        <w:rPr>
          <w:szCs w:val="22"/>
        </w:rPr>
        <w:t xml:space="preserve">Study </w:t>
      </w:r>
      <w:proofErr w:type="spellStart"/>
      <w:r w:rsidRPr="00276385">
        <w:rPr>
          <w:szCs w:val="22"/>
        </w:rPr>
        <w:t>PsA</w:t>
      </w:r>
      <w:proofErr w:type="spellEnd"/>
      <w:r w:rsidRPr="00276385">
        <w:rPr>
          <w:szCs w:val="22"/>
        </w:rPr>
        <w:t xml:space="preserve">-I </w:t>
      </w:r>
      <w:r w:rsidRPr="00F80EE1">
        <w:t>had a duration o</w:t>
      </w:r>
      <w:r>
        <w:t>f</w:t>
      </w:r>
      <w:r w:rsidRPr="00F80EE1">
        <w:t xml:space="preserve"> 12</w:t>
      </w:r>
      <w:r>
        <w:t xml:space="preserve"> </w:t>
      </w:r>
      <w:r w:rsidRPr="00F80EE1">
        <w:t xml:space="preserve">months and </w:t>
      </w:r>
      <w:r w:rsidRPr="00276385">
        <w:rPr>
          <w:szCs w:val="22"/>
        </w:rPr>
        <w:t xml:space="preserve">included 422 patients who had an inadequate response to a </w:t>
      </w:r>
      <w:proofErr w:type="spellStart"/>
      <w:r w:rsidRPr="00276385">
        <w:rPr>
          <w:szCs w:val="22"/>
        </w:rPr>
        <w:t>csDMARD</w:t>
      </w:r>
      <w:proofErr w:type="spellEnd"/>
      <w:r w:rsidRPr="00276385">
        <w:rPr>
          <w:szCs w:val="22"/>
        </w:rPr>
        <w:t xml:space="preserve"> and who were naïve to treatment with a TNF-inhibitor (</w:t>
      </w:r>
      <w:proofErr w:type="spellStart"/>
      <w:r w:rsidRPr="00276385">
        <w:rPr>
          <w:szCs w:val="22"/>
        </w:rPr>
        <w:t>TNFi</w:t>
      </w:r>
      <w:proofErr w:type="spellEnd"/>
      <w:r w:rsidRPr="00276385">
        <w:rPr>
          <w:szCs w:val="22"/>
        </w:rPr>
        <w:t>)</w:t>
      </w:r>
      <w:r>
        <w:rPr>
          <w:szCs w:val="22"/>
        </w:rPr>
        <w:t xml:space="preserve"> </w:t>
      </w:r>
      <w:r w:rsidRPr="00276385">
        <w:rPr>
          <w:szCs w:val="22"/>
        </w:rPr>
        <w:t>biologic DMARD</w:t>
      </w:r>
      <w:r w:rsidRPr="009B24E8">
        <w:rPr>
          <w:szCs w:val="22"/>
        </w:rPr>
        <w:t>.</w:t>
      </w:r>
      <w:r>
        <w:rPr>
          <w:szCs w:val="22"/>
        </w:rPr>
        <w:t xml:space="preserve"> </w:t>
      </w:r>
      <w:r w:rsidRPr="00F80EE1">
        <w:t xml:space="preserve">Study </w:t>
      </w:r>
      <w:proofErr w:type="spellStart"/>
      <w:r w:rsidRPr="00F80EE1">
        <w:t>PsA</w:t>
      </w:r>
      <w:proofErr w:type="spellEnd"/>
      <w:r w:rsidRPr="00F80EE1">
        <w:t>-I included a 3</w:t>
      </w:r>
      <w:r>
        <w:t>-</w:t>
      </w:r>
      <w:r w:rsidRPr="00F80EE1">
        <w:t>month placebo</w:t>
      </w:r>
      <w:r>
        <w:t>-</w:t>
      </w:r>
      <w:r w:rsidRPr="00F80EE1">
        <w:t>controlled period and also included adalimumab 40 mg subcutaneously once every 2 weeks for 12 months.</w:t>
      </w:r>
      <w:r w:rsidRPr="00276385">
        <w:rPr>
          <w:szCs w:val="22"/>
        </w:rPr>
        <w:t xml:space="preserve"> Study </w:t>
      </w:r>
      <w:proofErr w:type="spellStart"/>
      <w:r w:rsidRPr="00276385">
        <w:rPr>
          <w:szCs w:val="22"/>
        </w:rPr>
        <w:t>PsA</w:t>
      </w:r>
      <w:proofErr w:type="spellEnd"/>
      <w:r>
        <w:rPr>
          <w:szCs w:val="22"/>
        </w:rPr>
        <w:noBreakHyphen/>
      </w:r>
      <w:r w:rsidRPr="00276385">
        <w:rPr>
          <w:szCs w:val="22"/>
        </w:rPr>
        <w:t xml:space="preserve">II </w:t>
      </w:r>
      <w:r w:rsidRPr="00F80EE1">
        <w:t>had a dur</w:t>
      </w:r>
      <w:r>
        <w:t xml:space="preserve">ation of 6 months and </w:t>
      </w:r>
      <w:r w:rsidRPr="00276385">
        <w:rPr>
          <w:szCs w:val="22"/>
        </w:rPr>
        <w:t xml:space="preserve">included 394 patients who had an inadequate response to at least one approved </w:t>
      </w:r>
      <w:proofErr w:type="spellStart"/>
      <w:r w:rsidRPr="00276385">
        <w:rPr>
          <w:szCs w:val="22"/>
        </w:rPr>
        <w:t>TNFi</w:t>
      </w:r>
      <w:proofErr w:type="spellEnd"/>
      <w:r w:rsidRPr="00276385">
        <w:rPr>
          <w:szCs w:val="22"/>
        </w:rPr>
        <w:t>.</w:t>
      </w:r>
      <w:r>
        <w:rPr>
          <w:szCs w:val="22"/>
        </w:rPr>
        <w:t xml:space="preserve"> Study </w:t>
      </w:r>
      <w:proofErr w:type="spellStart"/>
      <w:r>
        <w:rPr>
          <w:szCs w:val="22"/>
        </w:rPr>
        <w:t>PsA</w:t>
      </w:r>
      <w:proofErr w:type="spellEnd"/>
      <w:r>
        <w:rPr>
          <w:szCs w:val="22"/>
        </w:rPr>
        <w:t xml:space="preserve">-II </w:t>
      </w:r>
      <w:r w:rsidRPr="00F80EE1">
        <w:t>included a 3</w:t>
      </w:r>
      <w:r>
        <w:t>-</w:t>
      </w:r>
      <w:r w:rsidRPr="005D293F">
        <w:t>month placebo</w:t>
      </w:r>
      <w:r w:rsidRPr="005D293F">
        <w:noBreakHyphen/>
        <w:t>controlled period.</w:t>
      </w:r>
      <w:r w:rsidRPr="005D293F">
        <w:rPr>
          <w:szCs w:val="22"/>
        </w:rPr>
        <w:t xml:space="preserve"> </w:t>
      </w:r>
      <w:r w:rsidRPr="005D293F">
        <w:t xml:space="preserve">All patients in the clinical trials were required to receive treatment with a stable dose of a </w:t>
      </w:r>
      <w:proofErr w:type="spellStart"/>
      <w:r w:rsidRPr="005D293F">
        <w:t>csDMARD</w:t>
      </w:r>
      <w:proofErr w:type="spellEnd"/>
      <w:r w:rsidRPr="005D293F">
        <w:t xml:space="preserve"> [the majority received methotrexate (78.2%)]. In the Phase 3 clinica</w:t>
      </w:r>
      <w:r w:rsidR="0014560D">
        <w:t>l trials, patients were randomis</w:t>
      </w:r>
      <w:r w:rsidRPr="005D293F">
        <w:t>ed and treated with XELJANZ 5 mg twice daily (238 patients) or XELJANZ 10 mg twice daily (236 patients).</w:t>
      </w:r>
      <w:r>
        <w:rPr>
          <w:b/>
          <w:vertAlign w:val="superscript"/>
        </w:rPr>
        <w:t xml:space="preserve"> </w:t>
      </w:r>
      <w:r w:rsidRPr="00845E88">
        <w:t>T</w:t>
      </w:r>
      <w:r w:rsidR="0014560D">
        <w:t>he study population randomis</w:t>
      </w:r>
      <w:r w:rsidRPr="005D293F">
        <w:t>ed and treated with XELJANZ (474 patients) included 45 (9.5%) patients aged 65 years or older and 66 (13.9%) patients with diabetes at baseline.</w:t>
      </w:r>
    </w:p>
    <w:p w:rsidR="000A7DDD" w:rsidRPr="009F2A19" w:rsidRDefault="000A7DDD" w:rsidP="000A7DDD">
      <w:pPr>
        <w:pStyle w:val="Paragraph"/>
        <w:spacing w:after="0"/>
        <w:rPr>
          <w:b/>
        </w:rPr>
      </w:pPr>
      <w:r w:rsidRPr="00276385">
        <w:t>An additional long</w:t>
      </w:r>
      <w:r w:rsidRPr="00276385">
        <w:noBreakHyphen/>
        <w:t>term, open</w:t>
      </w:r>
      <w:r w:rsidRPr="00276385">
        <w:noBreakHyphen/>
        <w:t xml:space="preserve">label </w:t>
      </w:r>
      <w:r w:rsidRPr="00E57F38">
        <w:t>clinical trial</w:t>
      </w:r>
      <w:r w:rsidRPr="00276385">
        <w:t xml:space="preserve"> </w:t>
      </w:r>
      <w:r>
        <w:t xml:space="preserve">was conducted which included </w:t>
      </w:r>
      <w:r w:rsidRPr="00DB7F04">
        <w:t>686</w:t>
      </w:r>
      <w:r w:rsidRPr="00276385">
        <w:t> </w:t>
      </w:r>
      <w:r>
        <w:rPr>
          <w:rFonts w:eastAsia="Arial Unicode MS"/>
        </w:rPr>
        <w:t xml:space="preserve">patients with </w:t>
      </w:r>
      <w:proofErr w:type="spellStart"/>
      <w:r w:rsidR="00B6075E">
        <w:rPr>
          <w:rFonts w:eastAsia="Arial Unicode MS"/>
        </w:rPr>
        <w:t>PsA</w:t>
      </w:r>
      <w:proofErr w:type="spellEnd"/>
      <w:r w:rsidRPr="00276385">
        <w:t xml:space="preserve"> who originally participated in </w:t>
      </w:r>
      <w:r w:rsidRPr="00FD1F56">
        <w:t>either of the 2</w:t>
      </w:r>
      <w:r>
        <w:t> </w:t>
      </w:r>
      <w:r w:rsidRPr="00FD1F56">
        <w:t>double</w:t>
      </w:r>
      <w:r>
        <w:noBreakHyphen/>
      </w:r>
      <w:r w:rsidRPr="00FD1F56">
        <w:t>blind</w:t>
      </w:r>
      <w:r>
        <w:t>,</w:t>
      </w:r>
      <w:r w:rsidRPr="00276385">
        <w:t xml:space="preserve"> controlled clinical trials. </w:t>
      </w:r>
      <w:r w:rsidRPr="00E57F38">
        <w:t>Patients who participated in this open-label clinical trial were initially treated with XELJANZ</w:t>
      </w:r>
      <w:r w:rsidRPr="00276385">
        <w:t xml:space="preserve"> 5 mg twice </w:t>
      </w:r>
      <w:r w:rsidRPr="00E57F38">
        <w:t>daily. Starting at</w:t>
      </w:r>
      <w:r w:rsidRPr="00276385">
        <w:t xml:space="preserve"> Month 1, escalation to XELJANZ 10 mg twice daily was permitted at investigator discretion; subsequent dose reduction to 5 mg twice daily was also permitted. This limits the interpretation of the long</w:t>
      </w:r>
      <w:r>
        <w:noBreakHyphen/>
      </w:r>
      <w:r w:rsidRPr="00276385">
        <w:t>term safety data with respect to dose.</w:t>
      </w:r>
    </w:p>
    <w:p w:rsidR="000A7DDD" w:rsidRPr="00276385" w:rsidRDefault="000A7DDD" w:rsidP="000A7DDD">
      <w:pPr>
        <w:pStyle w:val="Paragraph"/>
        <w:spacing w:after="0"/>
      </w:pPr>
    </w:p>
    <w:p w:rsidR="000A7DDD" w:rsidRDefault="000A7DDD" w:rsidP="002E6E41">
      <w:pPr>
        <w:pStyle w:val="Paragraph"/>
      </w:pPr>
      <w:r w:rsidRPr="00276385">
        <w:t>Of the 783 patients who received XELJANZ doses of 5</w:t>
      </w:r>
      <w:r w:rsidRPr="00276385">
        <w:rPr>
          <w:rFonts w:eastAsia="Arial Unicode MS"/>
          <w:kern w:val="36"/>
        </w:rPr>
        <w:t> </w:t>
      </w:r>
      <w:r w:rsidRPr="00276385">
        <w:t>mg twice daily or 10</w:t>
      </w:r>
      <w:r w:rsidRPr="00276385">
        <w:rPr>
          <w:rFonts w:eastAsia="Arial Unicode MS"/>
          <w:kern w:val="36"/>
        </w:rPr>
        <w:t> </w:t>
      </w:r>
      <w:r w:rsidRPr="00276385">
        <w:t xml:space="preserve">mg twice daily in </w:t>
      </w:r>
      <w:proofErr w:type="spellStart"/>
      <w:r w:rsidR="00B6075E">
        <w:t>PsA</w:t>
      </w:r>
      <w:proofErr w:type="spellEnd"/>
      <w:r w:rsidRPr="00276385">
        <w:t xml:space="preserve"> clinical trials, </w:t>
      </w:r>
      <w:r>
        <w:t>713</w:t>
      </w:r>
      <w:r w:rsidRPr="00276385">
        <w:t xml:space="preserve"> received treatment for 6 months or longer, of whom </w:t>
      </w:r>
      <w:r>
        <w:t>635</w:t>
      </w:r>
      <w:r w:rsidRPr="00276385">
        <w:t xml:space="preserve"> received treatment for one year or longer, of whom </w:t>
      </w:r>
      <w:r>
        <w:t>335</w:t>
      </w:r>
      <w:r w:rsidRPr="00276385">
        <w:t xml:space="preserve"> received treatment for greater than </w:t>
      </w:r>
      <w:r w:rsidRPr="00616E41">
        <w:t>or equal to</w:t>
      </w:r>
      <w:r>
        <w:t xml:space="preserve"> </w:t>
      </w:r>
      <w:r w:rsidRPr="00276385">
        <w:t>24</w:t>
      </w:r>
      <w:r w:rsidRPr="00276385">
        <w:rPr>
          <w:rFonts w:eastAsia="Arial Unicode MS"/>
          <w:kern w:val="36"/>
        </w:rPr>
        <w:t> </w:t>
      </w:r>
      <w:r w:rsidRPr="00276385">
        <w:t>months.</w:t>
      </w:r>
    </w:p>
    <w:p w:rsidR="00370C06" w:rsidRPr="00C87FDC" w:rsidRDefault="00370C06" w:rsidP="00370C06">
      <w:pPr>
        <w:pStyle w:val="PIHeading4"/>
        <w:rPr>
          <w:u w:val="single"/>
          <w:lang w:val="en-US"/>
        </w:rPr>
      </w:pPr>
      <w:r w:rsidRPr="00C87FDC">
        <w:rPr>
          <w:u w:val="single"/>
          <w:lang w:val="en-US"/>
        </w:rPr>
        <w:lastRenderedPageBreak/>
        <w:t>Ulcerative Colitis</w:t>
      </w:r>
    </w:p>
    <w:p w:rsidR="00370C06" w:rsidRPr="00C87FDC" w:rsidRDefault="00370C06" w:rsidP="00370C06">
      <w:pPr>
        <w:pStyle w:val="Paragraph"/>
        <w:jc w:val="both"/>
        <w:rPr>
          <w:iCs/>
        </w:rPr>
      </w:pPr>
      <w:r w:rsidRPr="00E6659E">
        <w:t xml:space="preserve">The following safety data were based on 4 </w:t>
      </w:r>
      <w:proofErr w:type="spellStart"/>
      <w:r w:rsidRPr="00E6659E">
        <w:t>randomi</w:t>
      </w:r>
      <w:r w:rsidR="00D70837">
        <w:t>s</w:t>
      </w:r>
      <w:r w:rsidRPr="00E6659E">
        <w:t>ed</w:t>
      </w:r>
      <w:proofErr w:type="spellEnd"/>
      <w:r w:rsidRPr="00E6659E">
        <w:t>, double-blind, placebo-controlled studies: 2 Phase 3 induction studies of identical design (UC</w:t>
      </w:r>
      <w:r>
        <w:noBreakHyphen/>
      </w:r>
      <w:r w:rsidRPr="00E6659E">
        <w:t>I and UC</w:t>
      </w:r>
      <w:r>
        <w:noBreakHyphen/>
      </w:r>
      <w:r w:rsidRPr="00E6659E">
        <w:t>II), a Phase 3 maintenance study (UC</w:t>
      </w:r>
      <w:r>
        <w:noBreakHyphen/>
      </w:r>
      <w:r w:rsidRPr="00E6659E">
        <w:t>III), and 1 dose-ranging Phase</w:t>
      </w:r>
      <w:r>
        <w:t> </w:t>
      </w:r>
      <w:r w:rsidRPr="00E6659E">
        <w:t>2 induction study (UC</w:t>
      </w:r>
      <w:r>
        <w:noBreakHyphen/>
      </w:r>
      <w:r w:rsidRPr="00E6659E">
        <w:t xml:space="preserve">V). </w:t>
      </w:r>
      <w:r>
        <w:t xml:space="preserve"> </w:t>
      </w:r>
      <w:r w:rsidRPr="00E6659E">
        <w:t xml:space="preserve">Patients with moderately to severely active </w:t>
      </w:r>
      <w:r>
        <w:t>UC</w:t>
      </w:r>
      <w:r w:rsidRPr="00E6659E">
        <w:t xml:space="preserve"> were enrolled in the Phase 2 and Phase 3 induction studies.</w:t>
      </w:r>
      <w:r w:rsidRPr="00815422">
        <w:t xml:space="preserve"> </w:t>
      </w:r>
      <w:r>
        <w:t xml:space="preserve"> </w:t>
      </w:r>
      <w:r w:rsidRPr="00E6659E">
        <w:t xml:space="preserve">In the induction studies, </w:t>
      </w:r>
      <w:proofErr w:type="spellStart"/>
      <w:r w:rsidRPr="00E6659E">
        <w:t>randomi</w:t>
      </w:r>
      <w:r w:rsidR="00D70837">
        <w:t>s</w:t>
      </w:r>
      <w:r w:rsidRPr="00E6659E">
        <w:t>ed</w:t>
      </w:r>
      <w:proofErr w:type="spellEnd"/>
      <w:r w:rsidRPr="00E6659E">
        <w:t xml:space="preserve"> patients received treatment with </w:t>
      </w:r>
      <w:r w:rsidRPr="00E6659E">
        <w:rPr>
          <w:rFonts w:eastAsia="Arial Unicode MS"/>
        </w:rPr>
        <w:t>XELJANZ 10 mg twice daily (938 patients combined) or placebo (282</w:t>
      </w:r>
      <w:r>
        <w:rPr>
          <w:rFonts w:eastAsia="Arial Unicode MS"/>
        </w:rPr>
        <w:t> </w:t>
      </w:r>
      <w:r w:rsidRPr="00E6659E">
        <w:rPr>
          <w:rFonts w:eastAsia="Arial Unicode MS"/>
        </w:rPr>
        <w:t>patients combined) for up to 8 weeks.</w:t>
      </w:r>
      <w:r w:rsidRPr="00815422">
        <w:rPr>
          <w:rFonts w:eastAsia="Arial Unicode MS"/>
        </w:rPr>
        <w:t xml:space="preserve"> </w:t>
      </w:r>
      <w:r>
        <w:rPr>
          <w:rFonts w:eastAsia="Arial Unicode MS"/>
        </w:rPr>
        <w:t xml:space="preserve"> </w:t>
      </w:r>
      <w:r w:rsidRPr="00E6659E">
        <w:t>Patients who completed either Study UC</w:t>
      </w:r>
      <w:r w:rsidRPr="00E6659E">
        <w:noBreakHyphen/>
        <w:t>I or Study UC</w:t>
      </w:r>
      <w:r>
        <w:noBreakHyphen/>
      </w:r>
      <w:r w:rsidRPr="00E6659E">
        <w:t>II and achieved clinical response entered Study UC</w:t>
      </w:r>
      <w:r w:rsidRPr="00E6659E">
        <w:noBreakHyphen/>
        <w:t>III. In Study UC</w:t>
      </w:r>
      <w:r>
        <w:noBreakHyphen/>
      </w:r>
      <w:r w:rsidRPr="00E6659E">
        <w:t>III, patients were re</w:t>
      </w:r>
      <w:r w:rsidRPr="00E6659E">
        <w:noBreakHyphen/>
      </w:r>
      <w:proofErr w:type="spellStart"/>
      <w:r w:rsidRPr="00E6659E">
        <w:t>randomi</w:t>
      </w:r>
      <w:r w:rsidR="00D70837">
        <w:t>s</w:t>
      </w:r>
      <w:r w:rsidRPr="00E6659E">
        <w:t>ed</w:t>
      </w:r>
      <w:proofErr w:type="spellEnd"/>
      <w:r w:rsidRPr="00E6659E">
        <w:t xml:space="preserve">, such that 198 patients received </w:t>
      </w:r>
      <w:r w:rsidRPr="00E6659E">
        <w:rPr>
          <w:rFonts w:eastAsia="Arial Unicode MS"/>
        </w:rPr>
        <w:t xml:space="preserve">XELJANZ </w:t>
      </w:r>
      <w:r w:rsidRPr="00E6659E">
        <w:t xml:space="preserve">5 mg twice daily, 196 patients received </w:t>
      </w:r>
      <w:r w:rsidRPr="00E6659E">
        <w:rPr>
          <w:rFonts w:eastAsia="Arial Unicode MS"/>
        </w:rPr>
        <w:t xml:space="preserve">XELJANZ </w:t>
      </w:r>
      <w:r w:rsidRPr="00E6659E">
        <w:t>10 mg twice daily, and 198</w:t>
      </w:r>
      <w:r>
        <w:t> </w:t>
      </w:r>
      <w:r w:rsidRPr="00E6659E">
        <w:t>patients received placebo for up to 52 weeks.</w:t>
      </w:r>
      <w:r w:rsidRPr="00815422">
        <w:rPr>
          <w:b/>
          <w:color w:val="0000FF"/>
        </w:rPr>
        <w:t xml:space="preserve"> </w:t>
      </w:r>
      <w:r>
        <w:rPr>
          <w:b/>
          <w:color w:val="0000FF"/>
        </w:rPr>
        <w:t xml:space="preserve"> </w:t>
      </w:r>
      <w:r w:rsidRPr="00E6659E">
        <w:t xml:space="preserve">Concomitant use of immunosuppressants or biologics was prohibited during these studies. </w:t>
      </w:r>
      <w:r>
        <w:t xml:space="preserve"> </w:t>
      </w:r>
      <w:r w:rsidRPr="00E6659E">
        <w:t xml:space="preserve">Concomitant stable doses of oral corticosteroids were allowed in the induction studies, with taper of corticosteroids to discontinuation </w:t>
      </w:r>
      <w:r>
        <w:t xml:space="preserve">mandated </w:t>
      </w:r>
      <w:r w:rsidRPr="00E6659E">
        <w:t>within 15</w:t>
      </w:r>
      <w:r>
        <w:t> </w:t>
      </w:r>
      <w:r w:rsidRPr="00E6659E">
        <w:t xml:space="preserve">weeks </w:t>
      </w:r>
      <w:r>
        <w:t>of entering</w:t>
      </w:r>
      <w:r w:rsidRPr="00E6659E">
        <w:t xml:space="preserve"> the maintenance study. </w:t>
      </w:r>
      <w:r>
        <w:t xml:space="preserve"> </w:t>
      </w:r>
      <w:r w:rsidRPr="00E6659E">
        <w:t>In addition to the induction and maintenance studies, long-term safety was evaluated in an open</w:t>
      </w:r>
      <w:r>
        <w:noBreakHyphen/>
      </w:r>
      <w:r w:rsidRPr="00E6659E">
        <w:t>label long</w:t>
      </w:r>
      <w:r w:rsidRPr="00E6659E">
        <w:noBreakHyphen/>
        <w:t>term extension study (Study UC</w:t>
      </w:r>
      <w:r>
        <w:noBreakHyphen/>
      </w:r>
      <w:r w:rsidRPr="00E6659E">
        <w:t>IV</w:t>
      </w:r>
      <w:r w:rsidRPr="00FC71A0">
        <w:t>).</w:t>
      </w:r>
    </w:p>
    <w:p w:rsidR="00370C06" w:rsidRPr="002E6E41" w:rsidRDefault="00370C06" w:rsidP="002E6E41">
      <w:pPr>
        <w:pStyle w:val="Paragraph"/>
      </w:pPr>
    </w:p>
    <w:p w:rsidR="008872C6" w:rsidRPr="0051061D" w:rsidRDefault="008872C6" w:rsidP="00DB51F1">
      <w:pPr>
        <w:pStyle w:val="PIHeading3"/>
      </w:pPr>
      <w:r w:rsidRPr="0051061D">
        <w:t>Clinical Trial Experience</w:t>
      </w:r>
    </w:p>
    <w:p w:rsidR="008872C6" w:rsidRDefault="008872C6" w:rsidP="008872C6">
      <w:pPr>
        <w:rPr>
          <w:rFonts w:eastAsia="Arial Unicode MS"/>
          <w:color w:val="000000"/>
          <w:szCs w:val="24"/>
          <w:lang w:val="en"/>
        </w:rPr>
      </w:pPr>
      <w:r w:rsidRPr="0051061D">
        <w:rPr>
          <w:rFonts w:eastAsia="Arial Unicode MS"/>
          <w:color w:val="000000"/>
          <w:szCs w:val="24"/>
          <w:lang w:val="en"/>
        </w:rPr>
        <w:t xml:space="preserve">The most common </w:t>
      </w:r>
      <w:r w:rsidR="00370C06">
        <w:rPr>
          <w:rFonts w:eastAsia="Arial Unicode MS"/>
          <w:color w:val="000000"/>
          <w:szCs w:val="24"/>
          <w:lang w:val="en"/>
        </w:rPr>
        <w:t xml:space="preserve">category of </w:t>
      </w:r>
      <w:r w:rsidRPr="0051061D">
        <w:rPr>
          <w:rFonts w:eastAsia="Arial Unicode MS"/>
          <w:color w:val="000000"/>
          <w:szCs w:val="24"/>
          <w:lang w:val="en"/>
        </w:rPr>
        <w:t xml:space="preserve">serious adverse reactions </w:t>
      </w:r>
      <w:r w:rsidR="00B6075E">
        <w:rPr>
          <w:rFonts w:eastAsia="Arial Unicode MS"/>
          <w:color w:val="000000"/>
          <w:szCs w:val="24"/>
          <w:lang w:val="en"/>
        </w:rPr>
        <w:t xml:space="preserve">in RA and </w:t>
      </w:r>
      <w:proofErr w:type="spellStart"/>
      <w:r w:rsidR="00B6075E">
        <w:rPr>
          <w:rFonts w:eastAsia="Arial Unicode MS"/>
          <w:color w:val="000000"/>
          <w:szCs w:val="24"/>
          <w:lang w:val="en"/>
        </w:rPr>
        <w:t>PsA</w:t>
      </w:r>
      <w:proofErr w:type="spellEnd"/>
      <w:r w:rsidR="00B6075E">
        <w:rPr>
          <w:rFonts w:eastAsia="Arial Unicode MS"/>
          <w:color w:val="000000"/>
          <w:szCs w:val="24"/>
          <w:lang w:val="en"/>
        </w:rPr>
        <w:t xml:space="preserve"> </w:t>
      </w:r>
      <w:r w:rsidRPr="0051061D">
        <w:rPr>
          <w:rFonts w:eastAsia="Arial Unicode MS"/>
          <w:color w:val="000000"/>
          <w:szCs w:val="24"/>
          <w:lang w:val="en"/>
        </w:rPr>
        <w:t xml:space="preserve">were serious infections (see </w:t>
      </w:r>
      <w:r w:rsidR="00A51746">
        <w:rPr>
          <w:rFonts w:eastAsia="Arial Unicode MS"/>
          <w:color w:val="000000"/>
          <w:szCs w:val="24"/>
          <w:lang w:val="en"/>
        </w:rPr>
        <w:t>Section 4.4</w:t>
      </w:r>
      <w:r w:rsidR="000F07D7">
        <w:rPr>
          <w:rFonts w:eastAsia="Arial Unicode MS"/>
          <w:color w:val="000000"/>
          <w:szCs w:val="24"/>
          <w:lang w:val="en"/>
        </w:rPr>
        <w:t xml:space="preserve"> </w:t>
      </w:r>
      <w:r w:rsidR="000F07D7">
        <w:t>Special Warnings and Precautions For Use</w:t>
      </w:r>
      <w:r w:rsidRPr="0051061D">
        <w:rPr>
          <w:rFonts w:eastAsia="Arial Unicode MS"/>
          <w:color w:val="000000"/>
          <w:szCs w:val="24"/>
          <w:lang w:val="en"/>
        </w:rPr>
        <w:t>)</w:t>
      </w:r>
      <w:r w:rsidR="00370C06">
        <w:rPr>
          <w:rFonts w:eastAsia="Arial Unicode MS"/>
          <w:color w:val="000000"/>
          <w:szCs w:val="24"/>
          <w:lang w:val="en"/>
        </w:rPr>
        <w:t xml:space="preserve"> </w:t>
      </w:r>
      <w:r w:rsidR="00370C06">
        <w:t xml:space="preserve">and </w:t>
      </w:r>
      <w:r w:rsidR="00370C06" w:rsidRPr="00A25E29">
        <w:t xml:space="preserve">the most common </w:t>
      </w:r>
      <w:r w:rsidR="00370C06">
        <w:t xml:space="preserve">categories of </w:t>
      </w:r>
      <w:r w:rsidR="00370C06" w:rsidRPr="00A25E29">
        <w:t>serious adverse reaction</w:t>
      </w:r>
      <w:r w:rsidR="00370C06">
        <w:t xml:space="preserve">s in UC </w:t>
      </w:r>
      <w:r w:rsidR="00370C06" w:rsidRPr="00A25E29">
        <w:t>were gastrointestinal disorders and infections</w:t>
      </w:r>
      <w:proofErr w:type="gramStart"/>
      <w:r w:rsidR="00370C06" w:rsidRPr="0051061D">
        <w:rPr>
          <w:rFonts w:eastAsia="Arial Unicode MS"/>
          <w:color w:val="000000"/>
          <w:szCs w:val="24"/>
          <w:lang w:val="en"/>
        </w:rPr>
        <w:t>.</w:t>
      </w:r>
      <w:r w:rsidRPr="0051061D">
        <w:rPr>
          <w:rFonts w:eastAsia="Arial Unicode MS"/>
          <w:color w:val="000000"/>
          <w:szCs w:val="24"/>
          <w:lang w:val="en"/>
        </w:rPr>
        <w:t>.</w:t>
      </w:r>
      <w:proofErr w:type="gramEnd"/>
    </w:p>
    <w:p w:rsidR="004F3D81" w:rsidRPr="002E6E41" w:rsidRDefault="004F3D81" w:rsidP="004F3D81">
      <w:pPr>
        <w:pStyle w:val="PIHeading4"/>
        <w:rPr>
          <w:u w:val="single"/>
          <w:lang w:val="en-US"/>
        </w:rPr>
      </w:pPr>
      <w:r w:rsidRPr="002E6E41">
        <w:rPr>
          <w:u w:val="single"/>
          <w:lang w:val="en-US"/>
        </w:rPr>
        <w:t>Rheumatoid Arthritis</w:t>
      </w:r>
    </w:p>
    <w:p w:rsidR="008872C6" w:rsidRPr="0051061D" w:rsidRDefault="008872C6" w:rsidP="008872C6">
      <w:pPr>
        <w:rPr>
          <w:rFonts w:eastAsia="Arial Unicode MS"/>
          <w:color w:val="000000"/>
          <w:szCs w:val="24"/>
          <w:lang w:val="en"/>
        </w:rPr>
      </w:pPr>
      <w:r w:rsidRPr="0051061D">
        <w:rPr>
          <w:rFonts w:eastAsia="Arial Unicode MS"/>
          <w:color w:val="000000"/>
          <w:szCs w:val="24"/>
          <w:lang w:val="en"/>
        </w:rPr>
        <w:t xml:space="preserve">The most commonly reported adverse reactions during the first 3 months in controlled clinical trials (occurring in ≥2% of patients treated with XELJANZ monotherapy or in combination with DMARDs) were headache, upper respiratory tract infections, </w:t>
      </w:r>
      <w:proofErr w:type="spellStart"/>
      <w:r w:rsidRPr="0051061D">
        <w:rPr>
          <w:rFonts w:eastAsia="Arial Unicode MS"/>
          <w:color w:val="000000"/>
          <w:szCs w:val="24"/>
          <w:lang w:val="en"/>
        </w:rPr>
        <w:t>nasopharyngitis</w:t>
      </w:r>
      <w:proofErr w:type="spellEnd"/>
      <w:r>
        <w:rPr>
          <w:rFonts w:eastAsia="Arial Unicode MS"/>
          <w:color w:val="000000"/>
          <w:szCs w:val="24"/>
          <w:lang w:val="en"/>
        </w:rPr>
        <w:t xml:space="preserve">, </w:t>
      </w:r>
      <w:proofErr w:type="spellStart"/>
      <w:r w:rsidRPr="0051061D">
        <w:rPr>
          <w:rFonts w:eastAsia="Arial Unicode MS"/>
          <w:color w:val="000000"/>
          <w:szCs w:val="24"/>
          <w:lang w:val="en"/>
        </w:rPr>
        <w:t>diarrhoea</w:t>
      </w:r>
      <w:proofErr w:type="spellEnd"/>
      <w:r>
        <w:rPr>
          <w:rFonts w:eastAsia="Arial Unicode MS"/>
          <w:color w:val="000000"/>
          <w:szCs w:val="24"/>
          <w:lang w:val="en"/>
        </w:rPr>
        <w:t>,</w:t>
      </w:r>
      <w:r w:rsidRPr="00222B8D">
        <w:rPr>
          <w:rFonts w:eastAsia="Arial Unicode MS"/>
          <w:color w:val="000000"/>
          <w:szCs w:val="24"/>
          <w:lang w:val="en"/>
        </w:rPr>
        <w:t xml:space="preserve"> </w:t>
      </w:r>
      <w:r>
        <w:rPr>
          <w:rFonts w:eastAsia="Arial Unicode MS"/>
          <w:color w:val="000000"/>
          <w:szCs w:val="24"/>
          <w:lang w:val="en"/>
        </w:rPr>
        <w:t>nausea</w:t>
      </w:r>
      <w:r w:rsidRPr="00222B8D">
        <w:rPr>
          <w:rFonts w:eastAsia="Arial Unicode MS"/>
          <w:color w:val="000000"/>
          <w:szCs w:val="24"/>
          <w:lang w:val="en"/>
        </w:rPr>
        <w:t xml:space="preserve"> </w:t>
      </w:r>
      <w:r w:rsidRPr="0051061D">
        <w:rPr>
          <w:rFonts w:eastAsia="Arial Unicode MS"/>
          <w:color w:val="000000"/>
          <w:szCs w:val="24"/>
          <w:lang w:val="en"/>
        </w:rPr>
        <w:t>and</w:t>
      </w:r>
      <w:r w:rsidRPr="00222B8D">
        <w:rPr>
          <w:rFonts w:eastAsia="Arial Unicode MS"/>
          <w:color w:val="000000"/>
          <w:szCs w:val="24"/>
          <w:lang w:val="en"/>
        </w:rPr>
        <w:t xml:space="preserve"> </w:t>
      </w:r>
      <w:r>
        <w:rPr>
          <w:rFonts w:eastAsia="Arial Unicode MS"/>
          <w:color w:val="000000"/>
          <w:szCs w:val="24"/>
          <w:lang w:val="en"/>
        </w:rPr>
        <w:t>hypertension</w:t>
      </w:r>
      <w:r w:rsidRPr="0051061D">
        <w:rPr>
          <w:rFonts w:eastAsia="Arial Unicode MS"/>
          <w:color w:val="000000"/>
          <w:szCs w:val="24"/>
          <w:lang w:val="en"/>
        </w:rPr>
        <w:t>.</w:t>
      </w:r>
    </w:p>
    <w:p w:rsidR="008872C6" w:rsidRPr="0051061D" w:rsidRDefault="008872C6" w:rsidP="008872C6">
      <w:pPr>
        <w:pStyle w:val="PIHeading1"/>
        <w:spacing w:before="0" w:line="240" w:lineRule="auto"/>
        <w:outlineLvl w:val="9"/>
        <w:rPr>
          <w:rFonts w:eastAsia="Arial Unicode MS"/>
          <w:b w:val="0"/>
          <w:caps w:val="0"/>
          <w:color w:val="000000"/>
          <w:sz w:val="24"/>
          <w:szCs w:val="24"/>
          <w:lang w:val="en"/>
        </w:rPr>
      </w:pPr>
      <w:r w:rsidRPr="0051061D">
        <w:rPr>
          <w:rFonts w:eastAsia="Arial Unicode MS"/>
          <w:b w:val="0"/>
          <w:caps w:val="0"/>
          <w:color w:val="000000"/>
          <w:sz w:val="24"/>
          <w:szCs w:val="24"/>
          <w:lang w:val="en"/>
        </w:rPr>
        <w:t>The proportion of patients who discontinued treatment due to any adverse reactions during first 3 months of the double-blind, placebo-</w:t>
      </w:r>
      <w:r>
        <w:rPr>
          <w:rFonts w:eastAsia="Arial Unicode MS"/>
          <w:b w:val="0"/>
          <w:caps w:val="0"/>
          <w:color w:val="000000"/>
          <w:sz w:val="24"/>
          <w:szCs w:val="24"/>
          <w:lang w:val="en"/>
        </w:rPr>
        <w:t xml:space="preserve"> or </w:t>
      </w:r>
      <w:r w:rsidR="00317C7B">
        <w:rPr>
          <w:rFonts w:eastAsia="Arial Unicode MS"/>
          <w:b w:val="0"/>
          <w:caps w:val="0"/>
          <w:color w:val="000000"/>
          <w:sz w:val="24"/>
          <w:szCs w:val="24"/>
          <w:lang w:val="en"/>
        </w:rPr>
        <w:t>MTX</w:t>
      </w:r>
      <w:r>
        <w:rPr>
          <w:rFonts w:eastAsia="Arial Unicode MS"/>
          <w:b w:val="0"/>
          <w:caps w:val="0"/>
          <w:color w:val="000000"/>
          <w:sz w:val="24"/>
          <w:szCs w:val="24"/>
          <w:lang w:val="en"/>
        </w:rPr>
        <w:t>-</w:t>
      </w:r>
      <w:r w:rsidRPr="0051061D">
        <w:rPr>
          <w:rFonts w:eastAsia="Arial Unicode MS"/>
          <w:b w:val="0"/>
          <w:caps w:val="0"/>
          <w:color w:val="000000"/>
          <w:sz w:val="24"/>
          <w:szCs w:val="24"/>
          <w:lang w:val="en"/>
        </w:rPr>
        <w:t xml:space="preserve">controlled studies was </w:t>
      </w:r>
      <w:r>
        <w:rPr>
          <w:rFonts w:eastAsia="Arial Unicode MS"/>
          <w:b w:val="0"/>
          <w:caps w:val="0"/>
          <w:color w:val="000000"/>
          <w:sz w:val="24"/>
          <w:szCs w:val="24"/>
          <w:lang w:val="en"/>
        </w:rPr>
        <w:t>3.8</w:t>
      </w:r>
      <w:r w:rsidRPr="0051061D">
        <w:rPr>
          <w:rFonts w:eastAsia="Arial Unicode MS"/>
          <w:b w:val="0"/>
          <w:caps w:val="0"/>
          <w:color w:val="000000"/>
          <w:sz w:val="24"/>
          <w:szCs w:val="24"/>
          <w:lang w:val="en"/>
        </w:rPr>
        <w:t>% for patients taking XELJANZ and 3.2% for placebo-treated patients.  The most common adverse reactions that resulted in discontinuation of XELJANZ were infections.  The most common infections resulting in discontinuation of therapy were herpes zoster and pneumonia.</w:t>
      </w:r>
    </w:p>
    <w:p w:rsidR="008872C6" w:rsidRPr="0051061D" w:rsidRDefault="008872C6" w:rsidP="008872C6">
      <w:pPr>
        <w:rPr>
          <w:lang w:val="en-CA"/>
        </w:rPr>
      </w:pPr>
      <w:r w:rsidRPr="0051061D">
        <w:rPr>
          <w:lang w:val="en-CA"/>
        </w:rPr>
        <w:t xml:space="preserve">Table </w:t>
      </w:r>
      <w:r w:rsidR="001954B1">
        <w:rPr>
          <w:lang w:val="en-CA"/>
        </w:rPr>
        <w:t>3</w:t>
      </w:r>
      <w:r w:rsidRPr="0051061D">
        <w:rPr>
          <w:lang w:val="en-CA"/>
        </w:rPr>
        <w:t xml:space="preserve"> below lists the adverse events (regardless of causality) occurring in </w:t>
      </w:r>
      <w:r w:rsidRPr="0051061D">
        <w:rPr>
          <w:rStyle w:val="Instructions"/>
        </w:rPr>
        <w:t>≥</w:t>
      </w:r>
      <w:r w:rsidRPr="0051061D">
        <w:rPr>
          <w:lang w:val="en-CA"/>
        </w:rPr>
        <w:t xml:space="preserve">1% of patients treated with </w:t>
      </w:r>
      <w:r w:rsidRPr="0051061D">
        <w:t xml:space="preserve">XELJANZ </w:t>
      </w:r>
      <w:r w:rsidRPr="0051061D">
        <w:rPr>
          <w:lang w:val="en-CA"/>
        </w:rPr>
        <w:t xml:space="preserve">during the double-blind, placebo-controlled portion of the </w:t>
      </w:r>
      <w:r w:rsidR="00940CEB">
        <w:rPr>
          <w:lang w:val="en-CA"/>
        </w:rPr>
        <w:t>RA</w:t>
      </w:r>
      <w:r w:rsidRPr="0051061D">
        <w:rPr>
          <w:lang w:val="en-CA"/>
        </w:rPr>
        <w:t xml:space="preserve"> studies.</w:t>
      </w:r>
    </w:p>
    <w:p w:rsidR="008872C6" w:rsidRPr="0051061D" w:rsidRDefault="008872C6" w:rsidP="008872C6">
      <w:pPr>
        <w:keepNext/>
        <w:tabs>
          <w:tab w:val="left" w:pos="851"/>
          <w:tab w:val="left" w:pos="1134"/>
        </w:tabs>
        <w:rPr>
          <w:lang w:val="en-CA"/>
        </w:rPr>
      </w:pPr>
      <w:r w:rsidRPr="0051061D">
        <w:rPr>
          <w:b/>
          <w:lang w:val="en-CA"/>
        </w:rPr>
        <w:lastRenderedPageBreak/>
        <w:t xml:space="preserve">Table </w:t>
      </w:r>
      <w:r w:rsidR="001954B1">
        <w:rPr>
          <w:b/>
          <w:lang w:val="en-CA"/>
        </w:rPr>
        <w:t>3</w:t>
      </w:r>
      <w:r w:rsidRPr="0051061D">
        <w:rPr>
          <w:b/>
          <w:lang w:val="en-CA"/>
        </w:rPr>
        <w:t>:</w:t>
      </w:r>
      <w:r w:rsidRPr="0051061D">
        <w:rPr>
          <w:b/>
          <w:lang w:val="en-CA"/>
        </w:rPr>
        <w:tab/>
        <w:t xml:space="preserve"> Summary of Adverse Events reported by </w:t>
      </w:r>
      <w:r w:rsidRPr="0051061D">
        <w:rPr>
          <w:rStyle w:val="Instructions"/>
          <w:b/>
        </w:rPr>
        <w:t>≥1% of patients treated with XELJANZ</w:t>
      </w:r>
      <w:r w:rsidRPr="0051061D">
        <w:rPr>
          <w:b/>
          <w:lang w:val="en-CA"/>
        </w:rPr>
        <w:t xml:space="preserve"> (All Causalities) - </w:t>
      </w:r>
      <w:r>
        <w:rPr>
          <w:b/>
          <w:lang w:val="en-CA"/>
        </w:rPr>
        <w:t>double-blind, placebo-controlled portion</w:t>
      </w:r>
      <w:r w:rsidRPr="0051061D">
        <w:rPr>
          <w:b/>
          <w:lang w:val="en-CA"/>
        </w:rPr>
        <w:t xml:space="preserve"> </w:t>
      </w:r>
      <w:r>
        <w:rPr>
          <w:b/>
          <w:lang w:val="en-CA"/>
        </w:rPr>
        <w:t>of</w:t>
      </w:r>
      <w:r w:rsidRPr="0051061D">
        <w:rPr>
          <w:b/>
          <w:lang w:val="en-CA"/>
        </w:rPr>
        <w:t xml:space="preserve"> Phase 3 Studies (up to 3 months)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35"/>
        <w:gridCol w:w="1509"/>
        <w:gridCol w:w="1418"/>
        <w:gridCol w:w="1276"/>
        <w:gridCol w:w="1701"/>
      </w:tblGrid>
      <w:tr w:rsidR="008872C6" w:rsidRPr="0051061D" w:rsidTr="00AC0EF9">
        <w:trPr>
          <w:tblHeader/>
        </w:trPr>
        <w:tc>
          <w:tcPr>
            <w:tcW w:w="3135" w:type="dxa"/>
          </w:tcPr>
          <w:p w:rsidR="008872C6" w:rsidRPr="0051061D" w:rsidRDefault="008872C6" w:rsidP="00AC0EF9">
            <w:pPr>
              <w:keepNext/>
              <w:jc w:val="center"/>
              <w:rPr>
                <w:b/>
                <w:sz w:val="22"/>
                <w:szCs w:val="22"/>
              </w:rPr>
            </w:pPr>
            <w:r w:rsidRPr="0051061D">
              <w:rPr>
                <w:b/>
                <w:sz w:val="22"/>
                <w:szCs w:val="22"/>
              </w:rPr>
              <w:t>Body System /</w:t>
            </w:r>
            <w:r w:rsidRPr="0051061D">
              <w:rPr>
                <w:b/>
                <w:sz w:val="22"/>
                <w:szCs w:val="22"/>
              </w:rPr>
              <w:br/>
              <w:t>Adverse Event</w:t>
            </w:r>
          </w:p>
        </w:tc>
        <w:tc>
          <w:tcPr>
            <w:tcW w:w="1509" w:type="dxa"/>
          </w:tcPr>
          <w:p w:rsidR="008872C6" w:rsidRPr="0051061D" w:rsidRDefault="008872C6" w:rsidP="00AC0EF9">
            <w:pPr>
              <w:keepNext/>
              <w:spacing w:after="60"/>
              <w:jc w:val="center"/>
              <w:rPr>
                <w:b/>
                <w:sz w:val="22"/>
                <w:szCs w:val="22"/>
              </w:rPr>
            </w:pPr>
            <w:r w:rsidRPr="0051061D">
              <w:rPr>
                <w:b/>
                <w:sz w:val="22"/>
                <w:szCs w:val="22"/>
              </w:rPr>
              <w:t>XELJANZ</w:t>
            </w:r>
          </w:p>
          <w:p w:rsidR="008872C6" w:rsidRPr="0051061D" w:rsidRDefault="008872C6" w:rsidP="00AC0EF9">
            <w:pPr>
              <w:keepNext/>
              <w:spacing w:after="60"/>
              <w:jc w:val="center"/>
              <w:rPr>
                <w:b/>
                <w:sz w:val="22"/>
                <w:szCs w:val="22"/>
              </w:rPr>
            </w:pPr>
            <w:r w:rsidRPr="0051061D">
              <w:rPr>
                <w:b/>
                <w:sz w:val="22"/>
                <w:szCs w:val="22"/>
              </w:rPr>
              <w:t>5 mg   BD</w:t>
            </w:r>
          </w:p>
          <w:p w:rsidR="008872C6" w:rsidRPr="0051061D" w:rsidRDefault="008872C6" w:rsidP="00AC0EF9">
            <w:pPr>
              <w:keepNext/>
              <w:spacing w:after="60"/>
              <w:jc w:val="center"/>
              <w:rPr>
                <w:b/>
                <w:sz w:val="22"/>
                <w:szCs w:val="22"/>
              </w:rPr>
            </w:pPr>
            <w:r w:rsidRPr="0051061D">
              <w:rPr>
                <w:b/>
                <w:sz w:val="22"/>
                <w:szCs w:val="22"/>
              </w:rPr>
              <w:t>(N=1216)</w:t>
            </w:r>
          </w:p>
        </w:tc>
        <w:tc>
          <w:tcPr>
            <w:tcW w:w="1418" w:type="dxa"/>
          </w:tcPr>
          <w:p w:rsidR="008872C6" w:rsidRPr="0051061D" w:rsidRDefault="008872C6" w:rsidP="00AC0EF9">
            <w:pPr>
              <w:keepNext/>
              <w:spacing w:after="60"/>
              <w:jc w:val="center"/>
              <w:rPr>
                <w:b/>
                <w:sz w:val="22"/>
                <w:szCs w:val="22"/>
              </w:rPr>
            </w:pPr>
            <w:r w:rsidRPr="0051061D">
              <w:rPr>
                <w:b/>
                <w:sz w:val="22"/>
                <w:szCs w:val="22"/>
              </w:rPr>
              <w:t>XELJANZ</w:t>
            </w:r>
          </w:p>
          <w:p w:rsidR="008872C6" w:rsidRPr="0051061D" w:rsidRDefault="008872C6" w:rsidP="00AC0EF9">
            <w:pPr>
              <w:keepNext/>
              <w:spacing w:after="60"/>
              <w:jc w:val="center"/>
              <w:rPr>
                <w:b/>
                <w:sz w:val="22"/>
                <w:szCs w:val="22"/>
              </w:rPr>
            </w:pPr>
            <w:r w:rsidRPr="0051061D">
              <w:rPr>
                <w:b/>
                <w:sz w:val="22"/>
                <w:szCs w:val="22"/>
              </w:rPr>
              <w:t>10 mg   BD</w:t>
            </w:r>
          </w:p>
          <w:p w:rsidR="008872C6" w:rsidRPr="0051061D" w:rsidRDefault="008872C6" w:rsidP="00AC0EF9">
            <w:pPr>
              <w:keepNext/>
              <w:spacing w:after="60"/>
              <w:jc w:val="center"/>
              <w:rPr>
                <w:b/>
                <w:sz w:val="22"/>
                <w:szCs w:val="22"/>
              </w:rPr>
            </w:pPr>
            <w:r w:rsidRPr="0051061D">
              <w:rPr>
                <w:b/>
                <w:sz w:val="22"/>
                <w:szCs w:val="22"/>
              </w:rPr>
              <w:t>(N=1214)</w:t>
            </w:r>
          </w:p>
        </w:tc>
        <w:tc>
          <w:tcPr>
            <w:tcW w:w="1276" w:type="dxa"/>
          </w:tcPr>
          <w:p w:rsidR="008872C6" w:rsidRPr="0051061D" w:rsidRDefault="008872C6" w:rsidP="00AC0EF9">
            <w:pPr>
              <w:keepNext/>
              <w:spacing w:after="60"/>
              <w:jc w:val="center"/>
              <w:rPr>
                <w:b/>
                <w:sz w:val="22"/>
                <w:szCs w:val="22"/>
              </w:rPr>
            </w:pPr>
            <w:r w:rsidRPr="0051061D">
              <w:rPr>
                <w:b/>
                <w:sz w:val="22"/>
                <w:szCs w:val="22"/>
              </w:rPr>
              <w:t>Placebo</w:t>
            </w:r>
          </w:p>
          <w:p w:rsidR="008872C6" w:rsidRPr="0051061D" w:rsidRDefault="008872C6" w:rsidP="00AC0EF9">
            <w:pPr>
              <w:keepNext/>
              <w:spacing w:after="60"/>
              <w:jc w:val="center"/>
              <w:rPr>
                <w:b/>
                <w:sz w:val="22"/>
                <w:szCs w:val="22"/>
              </w:rPr>
            </w:pPr>
          </w:p>
          <w:p w:rsidR="008872C6" w:rsidRPr="0051061D" w:rsidRDefault="008872C6" w:rsidP="00AC0EF9">
            <w:pPr>
              <w:keepNext/>
              <w:spacing w:after="60"/>
              <w:jc w:val="center"/>
              <w:rPr>
                <w:b/>
                <w:sz w:val="22"/>
                <w:szCs w:val="22"/>
              </w:rPr>
            </w:pPr>
            <w:r w:rsidRPr="0051061D">
              <w:rPr>
                <w:b/>
                <w:sz w:val="22"/>
                <w:szCs w:val="22"/>
              </w:rPr>
              <w:t>(N=681)</w:t>
            </w:r>
          </w:p>
        </w:tc>
        <w:tc>
          <w:tcPr>
            <w:tcW w:w="1701" w:type="dxa"/>
          </w:tcPr>
          <w:p w:rsidR="008872C6" w:rsidRPr="0051061D" w:rsidRDefault="008872C6" w:rsidP="00AC0EF9">
            <w:pPr>
              <w:keepNext/>
              <w:spacing w:after="60"/>
              <w:jc w:val="center"/>
              <w:rPr>
                <w:b/>
                <w:sz w:val="22"/>
                <w:szCs w:val="22"/>
              </w:rPr>
            </w:pPr>
            <w:r w:rsidRPr="0051061D">
              <w:rPr>
                <w:b/>
                <w:sz w:val="22"/>
                <w:szCs w:val="22"/>
              </w:rPr>
              <w:t>Adalimumab</w:t>
            </w:r>
          </w:p>
          <w:p w:rsidR="008872C6" w:rsidRPr="0051061D" w:rsidRDefault="008872C6" w:rsidP="00AC0EF9">
            <w:pPr>
              <w:keepNext/>
              <w:spacing w:after="60"/>
              <w:jc w:val="center"/>
              <w:rPr>
                <w:b/>
                <w:sz w:val="22"/>
                <w:szCs w:val="22"/>
              </w:rPr>
            </w:pPr>
            <w:r w:rsidRPr="0051061D">
              <w:rPr>
                <w:b/>
                <w:sz w:val="22"/>
                <w:szCs w:val="22"/>
              </w:rPr>
              <w:t>40 mg  SC  q2w</w:t>
            </w:r>
          </w:p>
          <w:p w:rsidR="008872C6" w:rsidRPr="0051061D" w:rsidRDefault="008872C6" w:rsidP="00AC0EF9">
            <w:pPr>
              <w:keepNext/>
              <w:spacing w:after="60"/>
              <w:jc w:val="center"/>
              <w:rPr>
                <w:b/>
                <w:sz w:val="22"/>
                <w:szCs w:val="22"/>
              </w:rPr>
            </w:pPr>
            <w:r w:rsidRPr="0051061D">
              <w:rPr>
                <w:b/>
                <w:sz w:val="22"/>
                <w:szCs w:val="22"/>
              </w:rPr>
              <w:t>(N=204)</w:t>
            </w:r>
          </w:p>
        </w:tc>
      </w:tr>
      <w:tr w:rsidR="008872C6" w:rsidRPr="0051061D" w:rsidTr="00AC0EF9">
        <w:tc>
          <w:tcPr>
            <w:tcW w:w="9039" w:type="dxa"/>
            <w:gridSpan w:val="5"/>
          </w:tcPr>
          <w:p w:rsidR="008872C6" w:rsidRPr="0051061D" w:rsidRDefault="008872C6" w:rsidP="00AC0EF9">
            <w:pPr>
              <w:keepNext/>
              <w:spacing w:before="60" w:after="60"/>
              <w:rPr>
                <w:sz w:val="22"/>
                <w:szCs w:val="22"/>
              </w:rPr>
            </w:pPr>
            <w:r w:rsidRPr="0051061D">
              <w:rPr>
                <w:b/>
                <w:sz w:val="22"/>
                <w:szCs w:val="22"/>
              </w:rPr>
              <w:t>Infections and Infestations</w:t>
            </w:r>
          </w:p>
        </w:tc>
      </w:tr>
      <w:tr w:rsidR="008872C6" w:rsidRPr="0051061D" w:rsidTr="00AC0EF9">
        <w:tc>
          <w:tcPr>
            <w:tcW w:w="3135" w:type="dxa"/>
          </w:tcPr>
          <w:p w:rsidR="008872C6" w:rsidRPr="0051061D" w:rsidRDefault="008872C6" w:rsidP="00AC0EF9">
            <w:pPr>
              <w:keepNext/>
              <w:spacing w:before="60" w:after="60"/>
              <w:jc w:val="left"/>
              <w:rPr>
                <w:b/>
                <w:sz w:val="22"/>
                <w:szCs w:val="22"/>
              </w:rPr>
            </w:pPr>
            <w:r w:rsidRPr="0051061D">
              <w:rPr>
                <w:sz w:val="22"/>
                <w:szCs w:val="22"/>
              </w:rPr>
              <w:t>Upper respiratory tract infection</w:t>
            </w:r>
          </w:p>
        </w:tc>
        <w:tc>
          <w:tcPr>
            <w:tcW w:w="1509" w:type="dxa"/>
          </w:tcPr>
          <w:p w:rsidR="008872C6" w:rsidRPr="0051061D" w:rsidRDefault="008872C6" w:rsidP="00AC0EF9">
            <w:pPr>
              <w:keepNext/>
              <w:spacing w:before="60" w:after="60"/>
              <w:jc w:val="center"/>
              <w:rPr>
                <w:sz w:val="22"/>
                <w:szCs w:val="22"/>
              </w:rPr>
            </w:pPr>
            <w:r w:rsidRPr="0051061D">
              <w:rPr>
                <w:sz w:val="22"/>
                <w:szCs w:val="22"/>
              </w:rPr>
              <w:t>53 (4.4)</w:t>
            </w:r>
          </w:p>
        </w:tc>
        <w:tc>
          <w:tcPr>
            <w:tcW w:w="1418" w:type="dxa"/>
          </w:tcPr>
          <w:p w:rsidR="008872C6" w:rsidRPr="0051061D" w:rsidRDefault="008872C6" w:rsidP="00AC0EF9">
            <w:pPr>
              <w:keepNext/>
              <w:spacing w:before="60" w:after="60"/>
              <w:jc w:val="center"/>
              <w:rPr>
                <w:sz w:val="22"/>
                <w:szCs w:val="22"/>
              </w:rPr>
            </w:pPr>
            <w:r w:rsidRPr="0051061D">
              <w:rPr>
                <w:sz w:val="22"/>
                <w:szCs w:val="22"/>
              </w:rPr>
              <w:t>47 (3.9)</w:t>
            </w:r>
          </w:p>
        </w:tc>
        <w:tc>
          <w:tcPr>
            <w:tcW w:w="1276" w:type="dxa"/>
          </w:tcPr>
          <w:p w:rsidR="008872C6" w:rsidRPr="0051061D" w:rsidRDefault="008872C6" w:rsidP="00AC0EF9">
            <w:pPr>
              <w:keepNext/>
              <w:spacing w:before="60" w:after="60"/>
              <w:jc w:val="center"/>
              <w:rPr>
                <w:sz w:val="22"/>
                <w:szCs w:val="22"/>
              </w:rPr>
            </w:pPr>
            <w:r w:rsidRPr="0051061D">
              <w:rPr>
                <w:sz w:val="22"/>
                <w:szCs w:val="22"/>
              </w:rPr>
              <w:t>23 (3.4)</w:t>
            </w:r>
          </w:p>
        </w:tc>
        <w:tc>
          <w:tcPr>
            <w:tcW w:w="1701" w:type="dxa"/>
          </w:tcPr>
          <w:p w:rsidR="008872C6" w:rsidRPr="0051061D" w:rsidRDefault="008872C6" w:rsidP="00AC0EF9">
            <w:pPr>
              <w:keepNext/>
              <w:spacing w:before="60" w:after="60"/>
              <w:jc w:val="center"/>
              <w:rPr>
                <w:sz w:val="22"/>
                <w:szCs w:val="22"/>
              </w:rPr>
            </w:pPr>
            <w:r w:rsidRPr="0051061D">
              <w:rPr>
                <w:sz w:val="22"/>
                <w:szCs w:val="22"/>
              </w:rPr>
              <w:t>7 (3.4)</w:t>
            </w:r>
          </w:p>
        </w:tc>
      </w:tr>
      <w:tr w:rsidR="008872C6" w:rsidRPr="0051061D" w:rsidTr="00AC0EF9">
        <w:tc>
          <w:tcPr>
            <w:tcW w:w="3135" w:type="dxa"/>
          </w:tcPr>
          <w:p w:rsidR="008872C6" w:rsidRPr="0051061D" w:rsidRDefault="008872C6" w:rsidP="00AC0EF9">
            <w:pPr>
              <w:keepNext/>
              <w:spacing w:before="60" w:after="60"/>
              <w:rPr>
                <w:b/>
                <w:sz w:val="22"/>
                <w:szCs w:val="22"/>
              </w:rPr>
            </w:pPr>
            <w:r w:rsidRPr="0051061D">
              <w:rPr>
                <w:sz w:val="22"/>
                <w:szCs w:val="22"/>
              </w:rPr>
              <w:t>Nasopharyngitis</w:t>
            </w:r>
          </w:p>
        </w:tc>
        <w:tc>
          <w:tcPr>
            <w:tcW w:w="1509" w:type="dxa"/>
          </w:tcPr>
          <w:p w:rsidR="008872C6" w:rsidRPr="0051061D" w:rsidRDefault="008872C6" w:rsidP="00AC0EF9">
            <w:pPr>
              <w:keepNext/>
              <w:spacing w:before="60" w:after="60"/>
              <w:jc w:val="center"/>
              <w:rPr>
                <w:sz w:val="22"/>
                <w:szCs w:val="22"/>
              </w:rPr>
            </w:pPr>
            <w:r w:rsidRPr="0051061D">
              <w:rPr>
                <w:sz w:val="22"/>
                <w:szCs w:val="22"/>
              </w:rPr>
              <w:t>48 (3.9)</w:t>
            </w:r>
          </w:p>
        </w:tc>
        <w:tc>
          <w:tcPr>
            <w:tcW w:w="1418" w:type="dxa"/>
          </w:tcPr>
          <w:p w:rsidR="008872C6" w:rsidRPr="0051061D" w:rsidRDefault="008872C6" w:rsidP="00AC0EF9">
            <w:pPr>
              <w:keepNext/>
              <w:spacing w:before="60" w:after="60"/>
              <w:jc w:val="center"/>
              <w:rPr>
                <w:sz w:val="22"/>
                <w:szCs w:val="22"/>
              </w:rPr>
            </w:pPr>
            <w:r w:rsidRPr="0051061D">
              <w:rPr>
                <w:sz w:val="22"/>
                <w:szCs w:val="22"/>
              </w:rPr>
              <w:t>35 (2.9)</w:t>
            </w:r>
          </w:p>
        </w:tc>
        <w:tc>
          <w:tcPr>
            <w:tcW w:w="1276" w:type="dxa"/>
          </w:tcPr>
          <w:p w:rsidR="008872C6" w:rsidRPr="0051061D" w:rsidRDefault="008872C6" w:rsidP="00AC0EF9">
            <w:pPr>
              <w:keepNext/>
              <w:spacing w:before="60" w:after="60"/>
              <w:jc w:val="center"/>
              <w:rPr>
                <w:sz w:val="22"/>
                <w:szCs w:val="22"/>
              </w:rPr>
            </w:pPr>
            <w:r w:rsidRPr="0051061D">
              <w:rPr>
                <w:sz w:val="22"/>
                <w:szCs w:val="22"/>
              </w:rPr>
              <w:t>19 (2.8)</w:t>
            </w:r>
          </w:p>
        </w:tc>
        <w:tc>
          <w:tcPr>
            <w:tcW w:w="1701" w:type="dxa"/>
          </w:tcPr>
          <w:p w:rsidR="008872C6" w:rsidRPr="0051061D" w:rsidRDefault="008872C6" w:rsidP="00AC0EF9">
            <w:pPr>
              <w:keepNext/>
              <w:spacing w:before="60" w:after="60"/>
              <w:jc w:val="center"/>
              <w:rPr>
                <w:sz w:val="22"/>
                <w:szCs w:val="22"/>
              </w:rPr>
            </w:pPr>
            <w:r w:rsidRPr="0051061D">
              <w:rPr>
                <w:sz w:val="22"/>
                <w:szCs w:val="22"/>
              </w:rPr>
              <w:t>7 (3.4)</w:t>
            </w:r>
          </w:p>
        </w:tc>
      </w:tr>
      <w:tr w:rsidR="008872C6" w:rsidRPr="0051061D" w:rsidTr="00AC0EF9">
        <w:tc>
          <w:tcPr>
            <w:tcW w:w="3135" w:type="dxa"/>
          </w:tcPr>
          <w:p w:rsidR="008872C6" w:rsidRPr="0051061D" w:rsidRDefault="008872C6" w:rsidP="00AC0EF9">
            <w:pPr>
              <w:keepNext/>
              <w:spacing w:before="60" w:after="60"/>
              <w:rPr>
                <w:b/>
                <w:sz w:val="22"/>
                <w:szCs w:val="22"/>
              </w:rPr>
            </w:pPr>
            <w:r w:rsidRPr="0051061D">
              <w:rPr>
                <w:sz w:val="22"/>
                <w:szCs w:val="22"/>
              </w:rPr>
              <w:t xml:space="preserve">Urinary tract infection </w:t>
            </w:r>
          </w:p>
        </w:tc>
        <w:tc>
          <w:tcPr>
            <w:tcW w:w="1509" w:type="dxa"/>
          </w:tcPr>
          <w:p w:rsidR="008872C6" w:rsidRPr="0051061D" w:rsidRDefault="008872C6" w:rsidP="00AC0EF9">
            <w:pPr>
              <w:keepNext/>
              <w:spacing w:before="60" w:after="60"/>
              <w:jc w:val="center"/>
              <w:rPr>
                <w:sz w:val="22"/>
                <w:szCs w:val="22"/>
              </w:rPr>
            </w:pPr>
            <w:r w:rsidRPr="0051061D">
              <w:rPr>
                <w:sz w:val="22"/>
                <w:szCs w:val="22"/>
              </w:rPr>
              <w:t>25 (2.1)</w:t>
            </w:r>
          </w:p>
        </w:tc>
        <w:tc>
          <w:tcPr>
            <w:tcW w:w="1418" w:type="dxa"/>
          </w:tcPr>
          <w:p w:rsidR="008872C6" w:rsidRPr="0051061D" w:rsidRDefault="008872C6" w:rsidP="00AC0EF9">
            <w:pPr>
              <w:keepNext/>
              <w:spacing w:before="60" w:after="60"/>
              <w:jc w:val="center"/>
              <w:rPr>
                <w:sz w:val="22"/>
                <w:szCs w:val="22"/>
              </w:rPr>
            </w:pPr>
            <w:r w:rsidRPr="0051061D">
              <w:rPr>
                <w:sz w:val="22"/>
                <w:szCs w:val="22"/>
              </w:rPr>
              <w:t>24 (2.0)</w:t>
            </w:r>
          </w:p>
        </w:tc>
        <w:tc>
          <w:tcPr>
            <w:tcW w:w="1276" w:type="dxa"/>
          </w:tcPr>
          <w:p w:rsidR="008872C6" w:rsidRPr="0051061D" w:rsidRDefault="008872C6" w:rsidP="00AC0EF9">
            <w:pPr>
              <w:keepNext/>
              <w:spacing w:before="60" w:after="60"/>
              <w:jc w:val="center"/>
              <w:rPr>
                <w:sz w:val="22"/>
                <w:szCs w:val="22"/>
              </w:rPr>
            </w:pPr>
            <w:r w:rsidRPr="0051061D">
              <w:rPr>
                <w:sz w:val="22"/>
                <w:szCs w:val="22"/>
              </w:rPr>
              <w:t>12 (1.8)</w:t>
            </w:r>
          </w:p>
        </w:tc>
        <w:tc>
          <w:tcPr>
            <w:tcW w:w="1701" w:type="dxa"/>
          </w:tcPr>
          <w:p w:rsidR="008872C6" w:rsidRPr="0051061D" w:rsidRDefault="008872C6" w:rsidP="00AC0EF9">
            <w:pPr>
              <w:keepNext/>
              <w:spacing w:before="60" w:after="60"/>
              <w:jc w:val="center"/>
              <w:rPr>
                <w:sz w:val="22"/>
                <w:szCs w:val="22"/>
              </w:rPr>
            </w:pPr>
            <w:r w:rsidRPr="0051061D">
              <w:rPr>
                <w:sz w:val="22"/>
                <w:szCs w:val="22"/>
              </w:rPr>
              <w:t>7 (3.4)</w:t>
            </w:r>
          </w:p>
        </w:tc>
      </w:tr>
      <w:tr w:rsidR="008872C6" w:rsidRPr="0051061D" w:rsidTr="00AC0EF9">
        <w:tc>
          <w:tcPr>
            <w:tcW w:w="3135" w:type="dxa"/>
          </w:tcPr>
          <w:p w:rsidR="008872C6" w:rsidRPr="0051061D" w:rsidRDefault="008872C6" w:rsidP="00AC0EF9">
            <w:pPr>
              <w:spacing w:before="60" w:after="60"/>
              <w:rPr>
                <w:sz w:val="22"/>
                <w:szCs w:val="22"/>
              </w:rPr>
            </w:pPr>
            <w:r w:rsidRPr="0051061D">
              <w:rPr>
                <w:sz w:val="22"/>
                <w:szCs w:val="22"/>
              </w:rPr>
              <w:t xml:space="preserve">Bronchitis </w:t>
            </w:r>
          </w:p>
        </w:tc>
        <w:tc>
          <w:tcPr>
            <w:tcW w:w="1509" w:type="dxa"/>
          </w:tcPr>
          <w:p w:rsidR="008872C6" w:rsidRPr="0051061D" w:rsidRDefault="008872C6" w:rsidP="00AC0EF9">
            <w:pPr>
              <w:spacing w:before="60" w:after="60"/>
              <w:jc w:val="center"/>
              <w:rPr>
                <w:sz w:val="22"/>
                <w:szCs w:val="22"/>
              </w:rPr>
            </w:pPr>
            <w:r w:rsidRPr="0051061D">
              <w:rPr>
                <w:sz w:val="22"/>
                <w:szCs w:val="22"/>
              </w:rPr>
              <w:t>14 (1.2)</w:t>
            </w:r>
          </w:p>
        </w:tc>
        <w:tc>
          <w:tcPr>
            <w:tcW w:w="1418" w:type="dxa"/>
          </w:tcPr>
          <w:p w:rsidR="008872C6" w:rsidRPr="0051061D" w:rsidRDefault="008872C6" w:rsidP="00AC0EF9">
            <w:pPr>
              <w:spacing w:before="60" w:after="60"/>
              <w:jc w:val="center"/>
              <w:rPr>
                <w:sz w:val="22"/>
                <w:szCs w:val="22"/>
              </w:rPr>
            </w:pPr>
            <w:r w:rsidRPr="0051061D">
              <w:rPr>
                <w:sz w:val="22"/>
                <w:szCs w:val="22"/>
              </w:rPr>
              <w:t xml:space="preserve">13 (1.1) </w:t>
            </w:r>
          </w:p>
        </w:tc>
        <w:tc>
          <w:tcPr>
            <w:tcW w:w="1276" w:type="dxa"/>
          </w:tcPr>
          <w:p w:rsidR="008872C6" w:rsidRPr="0051061D" w:rsidRDefault="008872C6" w:rsidP="00AC0EF9">
            <w:pPr>
              <w:spacing w:before="60" w:after="60"/>
              <w:jc w:val="center"/>
              <w:rPr>
                <w:sz w:val="22"/>
                <w:szCs w:val="22"/>
              </w:rPr>
            </w:pPr>
            <w:r w:rsidRPr="0051061D">
              <w:rPr>
                <w:sz w:val="22"/>
                <w:szCs w:val="22"/>
              </w:rPr>
              <w:t>10 (1.5)</w:t>
            </w:r>
          </w:p>
        </w:tc>
        <w:tc>
          <w:tcPr>
            <w:tcW w:w="1701" w:type="dxa"/>
          </w:tcPr>
          <w:p w:rsidR="008872C6" w:rsidRPr="0051061D" w:rsidRDefault="008872C6" w:rsidP="00AC0EF9">
            <w:pPr>
              <w:spacing w:before="60" w:after="60"/>
              <w:jc w:val="center"/>
              <w:rPr>
                <w:sz w:val="22"/>
                <w:szCs w:val="22"/>
              </w:rPr>
            </w:pPr>
            <w:r w:rsidRPr="0051061D">
              <w:rPr>
                <w:sz w:val="22"/>
                <w:szCs w:val="22"/>
              </w:rPr>
              <w:t>4 (2.0)</w:t>
            </w:r>
          </w:p>
        </w:tc>
      </w:tr>
      <w:tr w:rsidR="008872C6" w:rsidRPr="0051061D" w:rsidTr="00AC0EF9">
        <w:tc>
          <w:tcPr>
            <w:tcW w:w="3135" w:type="dxa"/>
            <w:tcBorders>
              <w:top w:val="single" w:sz="4" w:space="0" w:color="000000"/>
              <w:left w:val="single" w:sz="4" w:space="0" w:color="000000"/>
              <w:bottom w:val="single" w:sz="4" w:space="0" w:color="000000"/>
              <w:right w:val="single" w:sz="4" w:space="0" w:color="000000"/>
            </w:tcBorders>
          </w:tcPr>
          <w:p w:rsidR="008872C6" w:rsidRPr="0051061D" w:rsidRDefault="008872C6" w:rsidP="00AC0EF9">
            <w:pPr>
              <w:keepNext/>
              <w:spacing w:before="60" w:after="60"/>
              <w:rPr>
                <w:sz w:val="22"/>
                <w:szCs w:val="22"/>
              </w:rPr>
            </w:pPr>
            <w:r w:rsidRPr="0051061D">
              <w:rPr>
                <w:sz w:val="22"/>
                <w:szCs w:val="22"/>
              </w:rPr>
              <w:t xml:space="preserve">Influenza </w:t>
            </w:r>
          </w:p>
        </w:tc>
        <w:tc>
          <w:tcPr>
            <w:tcW w:w="1509" w:type="dxa"/>
            <w:tcBorders>
              <w:top w:val="single" w:sz="4" w:space="0" w:color="000000"/>
              <w:left w:val="single" w:sz="4" w:space="0" w:color="000000"/>
              <w:bottom w:val="single" w:sz="4" w:space="0" w:color="000000"/>
              <w:right w:val="single" w:sz="4" w:space="0" w:color="000000"/>
            </w:tcBorders>
          </w:tcPr>
          <w:p w:rsidR="008872C6" w:rsidRPr="0051061D" w:rsidRDefault="008872C6" w:rsidP="00AC0EF9">
            <w:pPr>
              <w:keepNext/>
              <w:spacing w:before="60" w:after="60"/>
              <w:jc w:val="center"/>
              <w:rPr>
                <w:sz w:val="22"/>
                <w:szCs w:val="22"/>
              </w:rPr>
            </w:pPr>
            <w:r w:rsidRPr="0051061D">
              <w:rPr>
                <w:sz w:val="22"/>
                <w:szCs w:val="22"/>
              </w:rPr>
              <w:t>9 (0.7)</w:t>
            </w:r>
          </w:p>
        </w:tc>
        <w:tc>
          <w:tcPr>
            <w:tcW w:w="1418" w:type="dxa"/>
            <w:tcBorders>
              <w:top w:val="single" w:sz="4" w:space="0" w:color="000000"/>
              <w:left w:val="single" w:sz="4" w:space="0" w:color="000000"/>
              <w:bottom w:val="single" w:sz="4" w:space="0" w:color="000000"/>
              <w:right w:val="single" w:sz="4" w:space="0" w:color="000000"/>
            </w:tcBorders>
          </w:tcPr>
          <w:p w:rsidR="008872C6" w:rsidRPr="0051061D" w:rsidRDefault="008872C6" w:rsidP="00AC0EF9">
            <w:pPr>
              <w:keepNext/>
              <w:spacing w:before="60" w:after="60"/>
              <w:jc w:val="center"/>
              <w:rPr>
                <w:sz w:val="22"/>
                <w:szCs w:val="22"/>
              </w:rPr>
            </w:pPr>
            <w:r w:rsidRPr="0051061D">
              <w:rPr>
                <w:sz w:val="22"/>
                <w:szCs w:val="22"/>
              </w:rPr>
              <w:t>14 (1.2)</w:t>
            </w:r>
          </w:p>
        </w:tc>
        <w:tc>
          <w:tcPr>
            <w:tcW w:w="1276" w:type="dxa"/>
            <w:tcBorders>
              <w:top w:val="single" w:sz="4" w:space="0" w:color="000000"/>
              <w:left w:val="single" w:sz="4" w:space="0" w:color="000000"/>
              <w:bottom w:val="single" w:sz="4" w:space="0" w:color="000000"/>
              <w:right w:val="single" w:sz="4" w:space="0" w:color="000000"/>
            </w:tcBorders>
          </w:tcPr>
          <w:p w:rsidR="008872C6" w:rsidRPr="0051061D" w:rsidRDefault="008872C6" w:rsidP="00AC0EF9">
            <w:pPr>
              <w:keepNext/>
              <w:spacing w:before="60" w:after="60"/>
              <w:jc w:val="center"/>
              <w:rPr>
                <w:sz w:val="22"/>
                <w:szCs w:val="22"/>
              </w:rPr>
            </w:pPr>
            <w:r w:rsidRPr="0051061D">
              <w:rPr>
                <w:sz w:val="22"/>
                <w:szCs w:val="22"/>
              </w:rPr>
              <w:t>5 (0.7)</w:t>
            </w:r>
          </w:p>
        </w:tc>
        <w:tc>
          <w:tcPr>
            <w:tcW w:w="1701" w:type="dxa"/>
            <w:tcBorders>
              <w:top w:val="single" w:sz="4" w:space="0" w:color="000000"/>
              <w:left w:val="single" w:sz="4" w:space="0" w:color="000000"/>
              <w:bottom w:val="single" w:sz="4" w:space="0" w:color="000000"/>
              <w:right w:val="single" w:sz="4" w:space="0" w:color="000000"/>
            </w:tcBorders>
          </w:tcPr>
          <w:p w:rsidR="008872C6" w:rsidRPr="0051061D" w:rsidRDefault="008872C6" w:rsidP="00AC0EF9">
            <w:pPr>
              <w:keepNext/>
              <w:spacing w:before="60" w:after="60"/>
              <w:jc w:val="center"/>
              <w:rPr>
                <w:sz w:val="22"/>
                <w:szCs w:val="22"/>
              </w:rPr>
            </w:pPr>
            <w:r w:rsidRPr="0051061D">
              <w:rPr>
                <w:sz w:val="22"/>
                <w:szCs w:val="22"/>
              </w:rPr>
              <w:t>2 (1.0)</w:t>
            </w:r>
          </w:p>
        </w:tc>
      </w:tr>
      <w:tr w:rsidR="008872C6" w:rsidRPr="0051061D" w:rsidTr="00AC0EF9">
        <w:tc>
          <w:tcPr>
            <w:tcW w:w="3135" w:type="dxa"/>
          </w:tcPr>
          <w:p w:rsidR="008872C6" w:rsidRPr="0051061D" w:rsidRDefault="008872C6" w:rsidP="00AC0EF9">
            <w:pPr>
              <w:spacing w:before="60" w:after="60"/>
              <w:rPr>
                <w:sz w:val="22"/>
                <w:szCs w:val="22"/>
              </w:rPr>
            </w:pPr>
            <w:r w:rsidRPr="0051061D">
              <w:rPr>
                <w:sz w:val="22"/>
                <w:szCs w:val="22"/>
              </w:rPr>
              <w:t xml:space="preserve">Herpes zoster </w:t>
            </w:r>
          </w:p>
        </w:tc>
        <w:tc>
          <w:tcPr>
            <w:tcW w:w="1509" w:type="dxa"/>
          </w:tcPr>
          <w:p w:rsidR="008872C6" w:rsidRPr="0051061D" w:rsidRDefault="008872C6" w:rsidP="00AC0EF9">
            <w:pPr>
              <w:spacing w:before="60" w:after="60"/>
              <w:jc w:val="center"/>
              <w:rPr>
                <w:sz w:val="22"/>
                <w:szCs w:val="22"/>
              </w:rPr>
            </w:pPr>
            <w:r w:rsidRPr="0051061D">
              <w:rPr>
                <w:sz w:val="22"/>
                <w:szCs w:val="22"/>
              </w:rPr>
              <w:t>5 (0.4)</w:t>
            </w:r>
          </w:p>
        </w:tc>
        <w:tc>
          <w:tcPr>
            <w:tcW w:w="1418" w:type="dxa"/>
          </w:tcPr>
          <w:p w:rsidR="008872C6" w:rsidRPr="0051061D" w:rsidRDefault="008872C6" w:rsidP="00AC0EF9">
            <w:pPr>
              <w:spacing w:before="60" w:after="60"/>
              <w:jc w:val="center"/>
              <w:rPr>
                <w:sz w:val="22"/>
                <w:szCs w:val="22"/>
              </w:rPr>
            </w:pPr>
            <w:r w:rsidRPr="0051061D">
              <w:rPr>
                <w:sz w:val="22"/>
                <w:szCs w:val="22"/>
              </w:rPr>
              <w:t>16 (1.3)</w:t>
            </w:r>
          </w:p>
        </w:tc>
        <w:tc>
          <w:tcPr>
            <w:tcW w:w="1276" w:type="dxa"/>
          </w:tcPr>
          <w:p w:rsidR="008872C6" w:rsidRPr="0051061D" w:rsidRDefault="008872C6" w:rsidP="00AC0EF9">
            <w:pPr>
              <w:spacing w:before="60" w:after="60"/>
              <w:jc w:val="center"/>
              <w:rPr>
                <w:sz w:val="22"/>
                <w:szCs w:val="22"/>
              </w:rPr>
            </w:pPr>
            <w:r w:rsidRPr="0051061D">
              <w:rPr>
                <w:sz w:val="22"/>
                <w:szCs w:val="22"/>
              </w:rPr>
              <w:t>2 (0.3)</w:t>
            </w:r>
          </w:p>
        </w:tc>
        <w:tc>
          <w:tcPr>
            <w:tcW w:w="1701" w:type="dxa"/>
          </w:tcPr>
          <w:p w:rsidR="008872C6" w:rsidRPr="0051061D" w:rsidRDefault="008872C6" w:rsidP="00AC0EF9">
            <w:pPr>
              <w:spacing w:before="60" w:after="60"/>
              <w:jc w:val="center"/>
              <w:rPr>
                <w:sz w:val="22"/>
                <w:szCs w:val="22"/>
              </w:rPr>
            </w:pPr>
            <w:r w:rsidRPr="0051061D">
              <w:rPr>
                <w:sz w:val="22"/>
                <w:szCs w:val="22"/>
              </w:rPr>
              <w:t>0</w:t>
            </w:r>
          </w:p>
        </w:tc>
      </w:tr>
      <w:tr w:rsidR="008872C6" w:rsidRPr="0051061D" w:rsidTr="00AC0EF9">
        <w:tc>
          <w:tcPr>
            <w:tcW w:w="9039" w:type="dxa"/>
            <w:gridSpan w:val="5"/>
          </w:tcPr>
          <w:p w:rsidR="008872C6" w:rsidRPr="0051061D" w:rsidRDefault="008872C6" w:rsidP="00AC0EF9">
            <w:pPr>
              <w:spacing w:before="60" w:after="60"/>
              <w:rPr>
                <w:sz w:val="22"/>
                <w:szCs w:val="22"/>
              </w:rPr>
            </w:pPr>
            <w:r w:rsidRPr="0051061D">
              <w:rPr>
                <w:b/>
                <w:sz w:val="22"/>
                <w:szCs w:val="22"/>
              </w:rPr>
              <w:t>Blood and Lymphatic System Disorders</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Anaemia </w:t>
            </w:r>
          </w:p>
        </w:tc>
        <w:tc>
          <w:tcPr>
            <w:tcW w:w="1509" w:type="dxa"/>
          </w:tcPr>
          <w:p w:rsidR="008872C6" w:rsidRPr="0051061D" w:rsidRDefault="008872C6" w:rsidP="00AC0EF9">
            <w:pPr>
              <w:spacing w:before="60" w:after="60"/>
              <w:jc w:val="center"/>
              <w:rPr>
                <w:sz w:val="22"/>
                <w:szCs w:val="22"/>
              </w:rPr>
            </w:pPr>
            <w:r w:rsidRPr="0051061D">
              <w:rPr>
                <w:sz w:val="22"/>
                <w:szCs w:val="22"/>
              </w:rPr>
              <w:t>15 (1.2)</w:t>
            </w:r>
          </w:p>
        </w:tc>
        <w:tc>
          <w:tcPr>
            <w:tcW w:w="1418" w:type="dxa"/>
          </w:tcPr>
          <w:p w:rsidR="008872C6" w:rsidRPr="0051061D" w:rsidRDefault="008872C6" w:rsidP="00AC0EF9">
            <w:pPr>
              <w:spacing w:before="60" w:after="60"/>
              <w:jc w:val="center"/>
              <w:rPr>
                <w:sz w:val="22"/>
                <w:szCs w:val="22"/>
              </w:rPr>
            </w:pPr>
            <w:r w:rsidRPr="0051061D">
              <w:rPr>
                <w:sz w:val="22"/>
                <w:szCs w:val="22"/>
              </w:rPr>
              <w:t>13 (1.1)</w:t>
            </w:r>
          </w:p>
        </w:tc>
        <w:tc>
          <w:tcPr>
            <w:tcW w:w="1276" w:type="dxa"/>
          </w:tcPr>
          <w:p w:rsidR="008872C6" w:rsidRPr="0051061D" w:rsidRDefault="008872C6" w:rsidP="00AC0EF9">
            <w:pPr>
              <w:spacing w:before="60" w:after="60"/>
              <w:jc w:val="center"/>
              <w:rPr>
                <w:sz w:val="22"/>
                <w:szCs w:val="22"/>
              </w:rPr>
            </w:pPr>
            <w:r w:rsidRPr="0051061D">
              <w:rPr>
                <w:sz w:val="22"/>
                <w:szCs w:val="22"/>
              </w:rPr>
              <w:t>8 (1.2)</w:t>
            </w:r>
          </w:p>
        </w:tc>
        <w:tc>
          <w:tcPr>
            <w:tcW w:w="1701" w:type="dxa"/>
          </w:tcPr>
          <w:p w:rsidR="008872C6" w:rsidRPr="0051061D" w:rsidRDefault="008872C6" w:rsidP="00AC0EF9">
            <w:pPr>
              <w:spacing w:before="60" w:after="60"/>
              <w:jc w:val="center"/>
              <w:rPr>
                <w:sz w:val="22"/>
                <w:szCs w:val="22"/>
              </w:rPr>
            </w:pPr>
            <w:r w:rsidRPr="0051061D">
              <w:rPr>
                <w:sz w:val="22"/>
                <w:szCs w:val="22"/>
              </w:rPr>
              <w:t>0</w:t>
            </w:r>
          </w:p>
        </w:tc>
      </w:tr>
      <w:tr w:rsidR="008872C6" w:rsidRPr="0051061D" w:rsidTr="00AC0EF9">
        <w:tc>
          <w:tcPr>
            <w:tcW w:w="9039" w:type="dxa"/>
            <w:gridSpan w:val="5"/>
          </w:tcPr>
          <w:p w:rsidR="008872C6" w:rsidRPr="0051061D" w:rsidRDefault="008872C6" w:rsidP="00AC0EF9">
            <w:pPr>
              <w:spacing w:before="60" w:after="60"/>
              <w:rPr>
                <w:sz w:val="22"/>
                <w:szCs w:val="22"/>
              </w:rPr>
            </w:pPr>
            <w:r w:rsidRPr="0051061D">
              <w:rPr>
                <w:b/>
                <w:sz w:val="22"/>
                <w:szCs w:val="22"/>
              </w:rPr>
              <w:t>Metabolism and Nutrition Disorders</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Hypercholesterolaemia </w:t>
            </w:r>
          </w:p>
        </w:tc>
        <w:tc>
          <w:tcPr>
            <w:tcW w:w="1509" w:type="dxa"/>
          </w:tcPr>
          <w:p w:rsidR="008872C6" w:rsidRPr="0051061D" w:rsidRDefault="008872C6" w:rsidP="00AC0EF9">
            <w:pPr>
              <w:spacing w:before="60" w:after="60"/>
              <w:jc w:val="center"/>
              <w:rPr>
                <w:sz w:val="22"/>
                <w:szCs w:val="22"/>
              </w:rPr>
            </w:pPr>
            <w:r w:rsidRPr="0051061D">
              <w:rPr>
                <w:sz w:val="22"/>
                <w:szCs w:val="22"/>
              </w:rPr>
              <w:t>12 (1.0)</w:t>
            </w:r>
          </w:p>
        </w:tc>
        <w:tc>
          <w:tcPr>
            <w:tcW w:w="1418" w:type="dxa"/>
          </w:tcPr>
          <w:p w:rsidR="008872C6" w:rsidRPr="0051061D" w:rsidRDefault="008872C6" w:rsidP="00AC0EF9">
            <w:pPr>
              <w:spacing w:before="60" w:after="60"/>
              <w:jc w:val="center"/>
              <w:rPr>
                <w:sz w:val="22"/>
                <w:szCs w:val="22"/>
              </w:rPr>
            </w:pPr>
            <w:r w:rsidRPr="0051061D">
              <w:rPr>
                <w:sz w:val="22"/>
                <w:szCs w:val="22"/>
              </w:rPr>
              <w:t>13 (1.1)</w:t>
            </w:r>
          </w:p>
        </w:tc>
        <w:tc>
          <w:tcPr>
            <w:tcW w:w="1276" w:type="dxa"/>
          </w:tcPr>
          <w:p w:rsidR="008872C6" w:rsidRPr="0051061D" w:rsidRDefault="008872C6" w:rsidP="00AC0EF9">
            <w:pPr>
              <w:spacing w:before="60" w:after="60"/>
              <w:jc w:val="center"/>
              <w:rPr>
                <w:sz w:val="22"/>
                <w:szCs w:val="22"/>
              </w:rPr>
            </w:pPr>
            <w:r w:rsidRPr="0051061D">
              <w:rPr>
                <w:sz w:val="22"/>
                <w:szCs w:val="22"/>
              </w:rPr>
              <w:t>3 (0.4)</w:t>
            </w:r>
          </w:p>
        </w:tc>
        <w:tc>
          <w:tcPr>
            <w:tcW w:w="1701" w:type="dxa"/>
          </w:tcPr>
          <w:p w:rsidR="008872C6" w:rsidRPr="0051061D" w:rsidRDefault="008872C6" w:rsidP="00AC0EF9">
            <w:pPr>
              <w:spacing w:before="60" w:after="60"/>
              <w:jc w:val="center"/>
              <w:rPr>
                <w:sz w:val="22"/>
                <w:szCs w:val="22"/>
              </w:rPr>
            </w:pPr>
            <w:r w:rsidRPr="0051061D">
              <w:rPr>
                <w:sz w:val="22"/>
                <w:szCs w:val="22"/>
              </w:rPr>
              <w:t>1 (0.5)</w:t>
            </w:r>
          </w:p>
        </w:tc>
      </w:tr>
      <w:tr w:rsidR="008872C6" w:rsidRPr="0051061D" w:rsidTr="00AC0EF9">
        <w:tc>
          <w:tcPr>
            <w:tcW w:w="9039" w:type="dxa"/>
            <w:gridSpan w:val="5"/>
          </w:tcPr>
          <w:p w:rsidR="008872C6" w:rsidRPr="0051061D" w:rsidRDefault="008872C6" w:rsidP="00AC0EF9">
            <w:pPr>
              <w:spacing w:before="60" w:after="60"/>
              <w:rPr>
                <w:sz w:val="22"/>
                <w:szCs w:val="22"/>
              </w:rPr>
            </w:pPr>
            <w:r w:rsidRPr="0051061D">
              <w:rPr>
                <w:b/>
                <w:sz w:val="22"/>
                <w:szCs w:val="22"/>
              </w:rPr>
              <w:t>Nervous System Disorders</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Headache </w:t>
            </w:r>
          </w:p>
        </w:tc>
        <w:tc>
          <w:tcPr>
            <w:tcW w:w="1509" w:type="dxa"/>
          </w:tcPr>
          <w:p w:rsidR="008872C6" w:rsidRPr="0051061D" w:rsidRDefault="008872C6" w:rsidP="00AC0EF9">
            <w:pPr>
              <w:spacing w:before="60" w:after="60"/>
              <w:jc w:val="center"/>
              <w:rPr>
                <w:sz w:val="22"/>
                <w:szCs w:val="22"/>
              </w:rPr>
            </w:pPr>
            <w:r w:rsidRPr="0051061D">
              <w:rPr>
                <w:sz w:val="22"/>
                <w:szCs w:val="22"/>
              </w:rPr>
              <w:t>54 (4.4)</w:t>
            </w:r>
          </w:p>
        </w:tc>
        <w:tc>
          <w:tcPr>
            <w:tcW w:w="1418" w:type="dxa"/>
          </w:tcPr>
          <w:p w:rsidR="008872C6" w:rsidRPr="0051061D" w:rsidRDefault="008872C6" w:rsidP="00AC0EF9">
            <w:pPr>
              <w:spacing w:before="60" w:after="60"/>
              <w:jc w:val="center"/>
              <w:rPr>
                <w:sz w:val="22"/>
                <w:szCs w:val="22"/>
              </w:rPr>
            </w:pPr>
            <w:r w:rsidRPr="0051061D">
              <w:rPr>
                <w:sz w:val="22"/>
                <w:szCs w:val="22"/>
              </w:rPr>
              <w:t xml:space="preserve">39 (3.2) </w:t>
            </w:r>
          </w:p>
        </w:tc>
        <w:tc>
          <w:tcPr>
            <w:tcW w:w="1276" w:type="dxa"/>
          </w:tcPr>
          <w:p w:rsidR="008872C6" w:rsidRPr="0051061D" w:rsidRDefault="008872C6" w:rsidP="00AC0EF9">
            <w:pPr>
              <w:spacing w:before="60" w:after="60"/>
              <w:jc w:val="center"/>
              <w:rPr>
                <w:sz w:val="22"/>
                <w:szCs w:val="22"/>
              </w:rPr>
            </w:pPr>
            <w:r w:rsidRPr="0051061D">
              <w:rPr>
                <w:sz w:val="22"/>
                <w:szCs w:val="22"/>
              </w:rPr>
              <w:t>15 (2.2)</w:t>
            </w:r>
          </w:p>
        </w:tc>
        <w:tc>
          <w:tcPr>
            <w:tcW w:w="1701" w:type="dxa"/>
          </w:tcPr>
          <w:p w:rsidR="008872C6" w:rsidRPr="0051061D" w:rsidRDefault="008872C6" w:rsidP="00AC0EF9">
            <w:pPr>
              <w:spacing w:before="60" w:after="60"/>
              <w:jc w:val="center"/>
              <w:rPr>
                <w:sz w:val="22"/>
                <w:szCs w:val="22"/>
              </w:rPr>
            </w:pPr>
            <w:r w:rsidRPr="0051061D">
              <w:rPr>
                <w:sz w:val="22"/>
                <w:szCs w:val="22"/>
              </w:rPr>
              <w:t>5 (2.5)</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Dizziness </w:t>
            </w:r>
          </w:p>
        </w:tc>
        <w:tc>
          <w:tcPr>
            <w:tcW w:w="1509" w:type="dxa"/>
          </w:tcPr>
          <w:p w:rsidR="008872C6" w:rsidRPr="0051061D" w:rsidRDefault="008872C6" w:rsidP="00AC0EF9">
            <w:pPr>
              <w:spacing w:before="60" w:after="60"/>
              <w:jc w:val="center"/>
              <w:rPr>
                <w:sz w:val="22"/>
                <w:szCs w:val="22"/>
              </w:rPr>
            </w:pPr>
            <w:r w:rsidRPr="0051061D">
              <w:rPr>
                <w:sz w:val="22"/>
                <w:szCs w:val="22"/>
              </w:rPr>
              <w:t>13 (1.1)</w:t>
            </w:r>
          </w:p>
        </w:tc>
        <w:tc>
          <w:tcPr>
            <w:tcW w:w="1418" w:type="dxa"/>
          </w:tcPr>
          <w:p w:rsidR="008872C6" w:rsidRPr="0051061D" w:rsidRDefault="008872C6" w:rsidP="00AC0EF9">
            <w:pPr>
              <w:spacing w:before="60" w:after="60"/>
              <w:jc w:val="center"/>
              <w:rPr>
                <w:sz w:val="22"/>
                <w:szCs w:val="22"/>
              </w:rPr>
            </w:pPr>
            <w:r w:rsidRPr="0051061D">
              <w:rPr>
                <w:sz w:val="22"/>
                <w:szCs w:val="22"/>
              </w:rPr>
              <w:t xml:space="preserve">12 (1.0) </w:t>
            </w:r>
          </w:p>
        </w:tc>
        <w:tc>
          <w:tcPr>
            <w:tcW w:w="1276" w:type="dxa"/>
          </w:tcPr>
          <w:p w:rsidR="008872C6" w:rsidRPr="0051061D" w:rsidRDefault="008872C6" w:rsidP="00AC0EF9">
            <w:pPr>
              <w:spacing w:before="60" w:after="60"/>
              <w:jc w:val="center"/>
              <w:rPr>
                <w:sz w:val="22"/>
                <w:szCs w:val="22"/>
              </w:rPr>
            </w:pPr>
            <w:r w:rsidRPr="0051061D">
              <w:rPr>
                <w:sz w:val="22"/>
                <w:szCs w:val="22"/>
              </w:rPr>
              <w:t>8 (1.2)</w:t>
            </w:r>
          </w:p>
        </w:tc>
        <w:tc>
          <w:tcPr>
            <w:tcW w:w="1701" w:type="dxa"/>
          </w:tcPr>
          <w:p w:rsidR="008872C6" w:rsidRPr="0051061D" w:rsidRDefault="008872C6" w:rsidP="00AC0EF9">
            <w:pPr>
              <w:spacing w:before="60" w:after="60"/>
              <w:jc w:val="center"/>
              <w:rPr>
                <w:sz w:val="22"/>
                <w:szCs w:val="22"/>
              </w:rPr>
            </w:pPr>
            <w:r w:rsidRPr="0051061D">
              <w:rPr>
                <w:sz w:val="22"/>
                <w:szCs w:val="22"/>
              </w:rPr>
              <w:t>3 (1.5)</w:t>
            </w:r>
          </w:p>
        </w:tc>
      </w:tr>
      <w:tr w:rsidR="008872C6" w:rsidRPr="0051061D" w:rsidTr="00AC0EF9">
        <w:tc>
          <w:tcPr>
            <w:tcW w:w="9039" w:type="dxa"/>
            <w:gridSpan w:val="5"/>
          </w:tcPr>
          <w:p w:rsidR="008872C6" w:rsidRPr="0051061D" w:rsidRDefault="008872C6" w:rsidP="00AC0EF9">
            <w:pPr>
              <w:spacing w:before="60" w:after="60"/>
              <w:rPr>
                <w:sz w:val="22"/>
                <w:szCs w:val="22"/>
              </w:rPr>
            </w:pPr>
            <w:r w:rsidRPr="0051061D">
              <w:rPr>
                <w:b/>
                <w:sz w:val="22"/>
                <w:szCs w:val="22"/>
              </w:rPr>
              <w:t>Vascular Disorders</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Hypertension </w:t>
            </w:r>
          </w:p>
        </w:tc>
        <w:tc>
          <w:tcPr>
            <w:tcW w:w="1509" w:type="dxa"/>
          </w:tcPr>
          <w:p w:rsidR="008872C6" w:rsidRPr="0051061D" w:rsidRDefault="008872C6" w:rsidP="00AC0EF9">
            <w:pPr>
              <w:spacing w:before="60" w:after="60"/>
              <w:jc w:val="center"/>
              <w:rPr>
                <w:sz w:val="22"/>
                <w:szCs w:val="22"/>
              </w:rPr>
            </w:pPr>
            <w:r w:rsidRPr="0051061D">
              <w:rPr>
                <w:sz w:val="22"/>
                <w:szCs w:val="22"/>
              </w:rPr>
              <w:t>20 (1.6)</w:t>
            </w:r>
          </w:p>
        </w:tc>
        <w:tc>
          <w:tcPr>
            <w:tcW w:w="1418" w:type="dxa"/>
          </w:tcPr>
          <w:p w:rsidR="008872C6" w:rsidRPr="0051061D" w:rsidRDefault="008872C6" w:rsidP="00AC0EF9">
            <w:pPr>
              <w:spacing w:before="60" w:after="60"/>
              <w:jc w:val="center"/>
              <w:rPr>
                <w:sz w:val="22"/>
                <w:szCs w:val="22"/>
              </w:rPr>
            </w:pPr>
            <w:r w:rsidRPr="0051061D">
              <w:rPr>
                <w:sz w:val="22"/>
                <w:szCs w:val="22"/>
              </w:rPr>
              <w:t>27 (2.2)</w:t>
            </w:r>
          </w:p>
        </w:tc>
        <w:tc>
          <w:tcPr>
            <w:tcW w:w="1276" w:type="dxa"/>
          </w:tcPr>
          <w:p w:rsidR="008872C6" w:rsidRPr="0051061D" w:rsidRDefault="008872C6" w:rsidP="00AC0EF9">
            <w:pPr>
              <w:spacing w:before="60" w:after="60"/>
              <w:jc w:val="center"/>
              <w:rPr>
                <w:sz w:val="22"/>
                <w:szCs w:val="22"/>
              </w:rPr>
            </w:pPr>
            <w:r w:rsidRPr="0051061D">
              <w:rPr>
                <w:sz w:val="22"/>
                <w:szCs w:val="22"/>
              </w:rPr>
              <w:t>7 (1.0)</w:t>
            </w:r>
          </w:p>
        </w:tc>
        <w:tc>
          <w:tcPr>
            <w:tcW w:w="1701" w:type="dxa"/>
          </w:tcPr>
          <w:p w:rsidR="008872C6" w:rsidRPr="0051061D" w:rsidRDefault="008872C6" w:rsidP="00AC0EF9">
            <w:pPr>
              <w:spacing w:before="60" w:after="60"/>
              <w:jc w:val="center"/>
              <w:rPr>
                <w:sz w:val="22"/>
                <w:szCs w:val="22"/>
              </w:rPr>
            </w:pPr>
            <w:r w:rsidRPr="0051061D">
              <w:rPr>
                <w:sz w:val="22"/>
                <w:szCs w:val="22"/>
              </w:rPr>
              <w:t>0</w:t>
            </w:r>
          </w:p>
        </w:tc>
      </w:tr>
      <w:tr w:rsidR="008872C6" w:rsidRPr="0051061D" w:rsidTr="00AC0EF9">
        <w:tc>
          <w:tcPr>
            <w:tcW w:w="9039" w:type="dxa"/>
            <w:gridSpan w:val="5"/>
          </w:tcPr>
          <w:p w:rsidR="008872C6" w:rsidRPr="0051061D" w:rsidRDefault="008872C6" w:rsidP="00AC0EF9">
            <w:pPr>
              <w:spacing w:before="60" w:after="60"/>
              <w:rPr>
                <w:sz w:val="22"/>
                <w:szCs w:val="22"/>
              </w:rPr>
            </w:pPr>
            <w:r w:rsidRPr="0051061D">
              <w:rPr>
                <w:b/>
                <w:sz w:val="22"/>
                <w:szCs w:val="22"/>
              </w:rPr>
              <w:t>Respiratory, Thoracic and Mediastinal Disorders</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Cough </w:t>
            </w:r>
          </w:p>
        </w:tc>
        <w:tc>
          <w:tcPr>
            <w:tcW w:w="1509" w:type="dxa"/>
          </w:tcPr>
          <w:p w:rsidR="008872C6" w:rsidRPr="0051061D" w:rsidRDefault="008872C6" w:rsidP="00AC0EF9">
            <w:pPr>
              <w:spacing w:before="60" w:after="60"/>
              <w:jc w:val="center"/>
              <w:rPr>
                <w:sz w:val="22"/>
                <w:szCs w:val="22"/>
              </w:rPr>
            </w:pPr>
            <w:r w:rsidRPr="0051061D">
              <w:rPr>
                <w:sz w:val="22"/>
                <w:szCs w:val="22"/>
              </w:rPr>
              <w:t>11 (0.9)</w:t>
            </w:r>
          </w:p>
        </w:tc>
        <w:tc>
          <w:tcPr>
            <w:tcW w:w="1418" w:type="dxa"/>
          </w:tcPr>
          <w:p w:rsidR="008872C6" w:rsidRPr="0051061D" w:rsidRDefault="008872C6" w:rsidP="00AC0EF9">
            <w:pPr>
              <w:spacing w:before="60" w:after="60"/>
              <w:jc w:val="center"/>
              <w:rPr>
                <w:sz w:val="22"/>
                <w:szCs w:val="22"/>
              </w:rPr>
            </w:pPr>
            <w:r w:rsidRPr="0051061D">
              <w:rPr>
                <w:sz w:val="22"/>
                <w:szCs w:val="22"/>
              </w:rPr>
              <w:t>16 (1.3)</w:t>
            </w:r>
          </w:p>
        </w:tc>
        <w:tc>
          <w:tcPr>
            <w:tcW w:w="1276" w:type="dxa"/>
          </w:tcPr>
          <w:p w:rsidR="008872C6" w:rsidRPr="0051061D" w:rsidRDefault="008872C6" w:rsidP="00AC0EF9">
            <w:pPr>
              <w:spacing w:before="60" w:after="60"/>
              <w:jc w:val="center"/>
              <w:rPr>
                <w:sz w:val="22"/>
                <w:szCs w:val="22"/>
              </w:rPr>
            </w:pPr>
            <w:r w:rsidRPr="0051061D">
              <w:rPr>
                <w:sz w:val="22"/>
                <w:szCs w:val="22"/>
              </w:rPr>
              <w:t>11 (1.6)</w:t>
            </w:r>
          </w:p>
        </w:tc>
        <w:tc>
          <w:tcPr>
            <w:tcW w:w="1701" w:type="dxa"/>
          </w:tcPr>
          <w:p w:rsidR="008872C6" w:rsidRPr="0051061D" w:rsidRDefault="008872C6" w:rsidP="00AC0EF9">
            <w:pPr>
              <w:spacing w:before="60" w:after="60"/>
              <w:jc w:val="center"/>
              <w:rPr>
                <w:sz w:val="22"/>
                <w:szCs w:val="22"/>
              </w:rPr>
            </w:pPr>
            <w:r w:rsidRPr="0051061D">
              <w:rPr>
                <w:sz w:val="22"/>
                <w:szCs w:val="22"/>
              </w:rPr>
              <w:t>4 (2.0)</w:t>
            </w:r>
          </w:p>
        </w:tc>
      </w:tr>
      <w:tr w:rsidR="008872C6" w:rsidRPr="0051061D" w:rsidTr="00AC0EF9">
        <w:tc>
          <w:tcPr>
            <w:tcW w:w="9039" w:type="dxa"/>
            <w:gridSpan w:val="5"/>
          </w:tcPr>
          <w:p w:rsidR="008872C6" w:rsidRPr="0051061D" w:rsidRDefault="008872C6" w:rsidP="00AC0EF9">
            <w:pPr>
              <w:spacing w:before="60" w:after="60"/>
              <w:rPr>
                <w:sz w:val="22"/>
                <w:szCs w:val="22"/>
              </w:rPr>
            </w:pPr>
            <w:r w:rsidRPr="0051061D">
              <w:rPr>
                <w:b/>
                <w:sz w:val="22"/>
                <w:szCs w:val="22"/>
              </w:rPr>
              <w:t>Gastrointestinal Disorders</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Diarrhoea </w:t>
            </w:r>
          </w:p>
        </w:tc>
        <w:tc>
          <w:tcPr>
            <w:tcW w:w="1509" w:type="dxa"/>
          </w:tcPr>
          <w:p w:rsidR="008872C6" w:rsidRPr="0051061D" w:rsidRDefault="008872C6" w:rsidP="00AC0EF9">
            <w:pPr>
              <w:spacing w:before="60" w:after="60"/>
              <w:jc w:val="center"/>
              <w:rPr>
                <w:sz w:val="22"/>
                <w:szCs w:val="22"/>
              </w:rPr>
            </w:pPr>
            <w:r w:rsidRPr="0051061D">
              <w:rPr>
                <w:sz w:val="22"/>
                <w:szCs w:val="22"/>
              </w:rPr>
              <w:t>45 (3.7)</w:t>
            </w:r>
          </w:p>
        </w:tc>
        <w:tc>
          <w:tcPr>
            <w:tcW w:w="1418" w:type="dxa"/>
          </w:tcPr>
          <w:p w:rsidR="008872C6" w:rsidRPr="0051061D" w:rsidRDefault="008872C6" w:rsidP="00AC0EF9">
            <w:pPr>
              <w:spacing w:before="60" w:after="60"/>
              <w:jc w:val="center"/>
              <w:rPr>
                <w:sz w:val="22"/>
                <w:szCs w:val="22"/>
              </w:rPr>
            </w:pPr>
            <w:r w:rsidRPr="0051061D">
              <w:rPr>
                <w:sz w:val="22"/>
                <w:szCs w:val="22"/>
              </w:rPr>
              <w:t>34 (2.8)</w:t>
            </w:r>
          </w:p>
        </w:tc>
        <w:tc>
          <w:tcPr>
            <w:tcW w:w="1276" w:type="dxa"/>
          </w:tcPr>
          <w:p w:rsidR="008872C6" w:rsidRPr="0051061D" w:rsidRDefault="008872C6" w:rsidP="00AC0EF9">
            <w:pPr>
              <w:spacing w:before="60" w:after="60"/>
              <w:jc w:val="center"/>
              <w:rPr>
                <w:sz w:val="22"/>
                <w:szCs w:val="22"/>
              </w:rPr>
            </w:pPr>
            <w:r w:rsidRPr="0051061D">
              <w:rPr>
                <w:sz w:val="22"/>
                <w:szCs w:val="22"/>
              </w:rPr>
              <w:t>16 (2.3)</w:t>
            </w:r>
          </w:p>
        </w:tc>
        <w:tc>
          <w:tcPr>
            <w:tcW w:w="1701" w:type="dxa"/>
          </w:tcPr>
          <w:p w:rsidR="008872C6" w:rsidRPr="0051061D" w:rsidRDefault="008872C6" w:rsidP="00AC0EF9">
            <w:pPr>
              <w:spacing w:before="60" w:after="60"/>
              <w:jc w:val="center"/>
              <w:rPr>
                <w:sz w:val="22"/>
                <w:szCs w:val="22"/>
              </w:rPr>
            </w:pPr>
            <w:r w:rsidRPr="0051061D">
              <w:rPr>
                <w:sz w:val="22"/>
                <w:szCs w:val="22"/>
              </w:rPr>
              <w:t>2 (1.0)</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Nausea </w:t>
            </w:r>
          </w:p>
        </w:tc>
        <w:tc>
          <w:tcPr>
            <w:tcW w:w="1509" w:type="dxa"/>
          </w:tcPr>
          <w:p w:rsidR="008872C6" w:rsidRPr="0051061D" w:rsidRDefault="008872C6" w:rsidP="00AC0EF9">
            <w:pPr>
              <w:spacing w:before="60" w:after="60"/>
              <w:jc w:val="center"/>
              <w:rPr>
                <w:sz w:val="22"/>
                <w:szCs w:val="22"/>
              </w:rPr>
            </w:pPr>
            <w:r w:rsidRPr="0051061D">
              <w:rPr>
                <w:sz w:val="22"/>
                <w:szCs w:val="22"/>
              </w:rPr>
              <w:t>32 (2.6)</w:t>
            </w:r>
          </w:p>
        </w:tc>
        <w:tc>
          <w:tcPr>
            <w:tcW w:w="1418" w:type="dxa"/>
          </w:tcPr>
          <w:p w:rsidR="008872C6" w:rsidRPr="0051061D" w:rsidRDefault="008872C6" w:rsidP="00AC0EF9">
            <w:pPr>
              <w:spacing w:before="60" w:after="60"/>
              <w:jc w:val="center"/>
              <w:rPr>
                <w:sz w:val="22"/>
                <w:szCs w:val="22"/>
              </w:rPr>
            </w:pPr>
            <w:r w:rsidRPr="0051061D">
              <w:rPr>
                <w:sz w:val="22"/>
                <w:szCs w:val="22"/>
              </w:rPr>
              <w:t>25 (2.1)</w:t>
            </w:r>
          </w:p>
        </w:tc>
        <w:tc>
          <w:tcPr>
            <w:tcW w:w="1276" w:type="dxa"/>
          </w:tcPr>
          <w:p w:rsidR="008872C6" w:rsidRPr="0051061D" w:rsidRDefault="008872C6" w:rsidP="00AC0EF9">
            <w:pPr>
              <w:spacing w:before="60" w:after="60"/>
              <w:jc w:val="center"/>
              <w:rPr>
                <w:sz w:val="22"/>
                <w:szCs w:val="22"/>
              </w:rPr>
            </w:pPr>
            <w:r w:rsidRPr="0051061D">
              <w:rPr>
                <w:sz w:val="22"/>
                <w:szCs w:val="22"/>
              </w:rPr>
              <w:t>18 (2.6)</w:t>
            </w:r>
          </w:p>
        </w:tc>
        <w:tc>
          <w:tcPr>
            <w:tcW w:w="1701" w:type="dxa"/>
          </w:tcPr>
          <w:p w:rsidR="008872C6" w:rsidRPr="0051061D" w:rsidRDefault="008872C6" w:rsidP="00AC0EF9">
            <w:pPr>
              <w:spacing w:before="60" w:after="60"/>
              <w:jc w:val="center"/>
              <w:rPr>
                <w:sz w:val="22"/>
                <w:szCs w:val="22"/>
              </w:rPr>
            </w:pPr>
            <w:r w:rsidRPr="0051061D">
              <w:rPr>
                <w:sz w:val="22"/>
                <w:szCs w:val="22"/>
              </w:rPr>
              <w:t>3 (1.5)</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Dyspepsia </w:t>
            </w:r>
          </w:p>
        </w:tc>
        <w:tc>
          <w:tcPr>
            <w:tcW w:w="1509" w:type="dxa"/>
          </w:tcPr>
          <w:p w:rsidR="008872C6" w:rsidRPr="0051061D" w:rsidRDefault="008872C6" w:rsidP="00AC0EF9">
            <w:pPr>
              <w:spacing w:before="60" w:after="60"/>
              <w:jc w:val="center"/>
              <w:rPr>
                <w:sz w:val="22"/>
                <w:szCs w:val="22"/>
              </w:rPr>
            </w:pPr>
            <w:r w:rsidRPr="0051061D">
              <w:rPr>
                <w:sz w:val="22"/>
                <w:szCs w:val="22"/>
              </w:rPr>
              <w:t>19 (1.6)</w:t>
            </w:r>
          </w:p>
        </w:tc>
        <w:tc>
          <w:tcPr>
            <w:tcW w:w="1418" w:type="dxa"/>
          </w:tcPr>
          <w:p w:rsidR="008872C6" w:rsidRPr="0051061D" w:rsidRDefault="008872C6" w:rsidP="00AC0EF9">
            <w:pPr>
              <w:spacing w:before="60" w:after="60"/>
              <w:jc w:val="center"/>
              <w:rPr>
                <w:sz w:val="22"/>
                <w:szCs w:val="22"/>
              </w:rPr>
            </w:pPr>
            <w:r w:rsidRPr="0051061D">
              <w:rPr>
                <w:sz w:val="22"/>
                <w:szCs w:val="22"/>
              </w:rPr>
              <w:t>25 (2.1)</w:t>
            </w:r>
          </w:p>
        </w:tc>
        <w:tc>
          <w:tcPr>
            <w:tcW w:w="1276" w:type="dxa"/>
          </w:tcPr>
          <w:p w:rsidR="008872C6" w:rsidRPr="0051061D" w:rsidRDefault="008872C6" w:rsidP="00AC0EF9">
            <w:pPr>
              <w:spacing w:before="60" w:after="60"/>
              <w:jc w:val="center"/>
              <w:rPr>
                <w:sz w:val="22"/>
                <w:szCs w:val="22"/>
              </w:rPr>
            </w:pPr>
            <w:r w:rsidRPr="0051061D">
              <w:rPr>
                <w:sz w:val="22"/>
                <w:szCs w:val="22"/>
              </w:rPr>
              <w:t>11 (1.6)</w:t>
            </w:r>
          </w:p>
        </w:tc>
        <w:tc>
          <w:tcPr>
            <w:tcW w:w="1701" w:type="dxa"/>
          </w:tcPr>
          <w:p w:rsidR="008872C6" w:rsidRPr="0051061D" w:rsidRDefault="008872C6" w:rsidP="00AC0EF9">
            <w:pPr>
              <w:spacing w:before="60" w:after="60"/>
              <w:jc w:val="center"/>
              <w:rPr>
                <w:sz w:val="22"/>
                <w:szCs w:val="22"/>
              </w:rPr>
            </w:pPr>
            <w:r w:rsidRPr="0051061D">
              <w:rPr>
                <w:sz w:val="22"/>
                <w:szCs w:val="22"/>
              </w:rPr>
              <w:t>3 (1.5)</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Abdominal pain upper </w:t>
            </w:r>
          </w:p>
        </w:tc>
        <w:tc>
          <w:tcPr>
            <w:tcW w:w="1509" w:type="dxa"/>
          </w:tcPr>
          <w:p w:rsidR="008872C6" w:rsidRPr="0051061D" w:rsidRDefault="008872C6" w:rsidP="00AC0EF9">
            <w:pPr>
              <w:spacing w:before="60" w:after="60"/>
              <w:jc w:val="center"/>
              <w:rPr>
                <w:sz w:val="22"/>
                <w:szCs w:val="22"/>
              </w:rPr>
            </w:pPr>
            <w:r w:rsidRPr="0051061D">
              <w:rPr>
                <w:sz w:val="22"/>
                <w:szCs w:val="22"/>
              </w:rPr>
              <w:t>23 (1.9)</w:t>
            </w:r>
          </w:p>
        </w:tc>
        <w:tc>
          <w:tcPr>
            <w:tcW w:w="1418" w:type="dxa"/>
          </w:tcPr>
          <w:p w:rsidR="008872C6" w:rsidRPr="0051061D" w:rsidRDefault="008872C6" w:rsidP="00AC0EF9">
            <w:pPr>
              <w:spacing w:before="60" w:after="60"/>
              <w:jc w:val="center"/>
              <w:rPr>
                <w:sz w:val="22"/>
                <w:szCs w:val="22"/>
              </w:rPr>
            </w:pPr>
            <w:r w:rsidRPr="0051061D">
              <w:rPr>
                <w:sz w:val="22"/>
                <w:szCs w:val="22"/>
              </w:rPr>
              <w:t>13 (1.1)</w:t>
            </w:r>
          </w:p>
        </w:tc>
        <w:tc>
          <w:tcPr>
            <w:tcW w:w="1276" w:type="dxa"/>
          </w:tcPr>
          <w:p w:rsidR="008872C6" w:rsidRPr="0051061D" w:rsidRDefault="008872C6" w:rsidP="00AC0EF9">
            <w:pPr>
              <w:spacing w:before="60" w:after="60"/>
              <w:jc w:val="center"/>
              <w:rPr>
                <w:sz w:val="22"/>
                <w:szCs w:val="22"/>
              </w:rPr>
            </w:pPr>
            <w:r w:rsidRPr="0051061D">
              <w:rPr>
                <w:sz w:val="22"/>
                <w:szCs w:val="22"/>
              </w:rPr>
              <w:t>5 (0.7)</w:t>
            </w:r>
          </w:p>
        </w:tc>
        <w:tc>
          <w:tcPr>
            <w:tcW w:w="1701" w:type="dxa"/>
          </w:tcPr>
          <w:p w:rsidR="008872C6" w:rsidRPr="0051061D" w:rsidRDefault="008872C6" w:rsidP="00AC0EF9">
            <w:pPr>
              <w:spacing w:before="60" w:after="60"/>
              <w:jc w:val="center"/>
              <w:rPr>
                <w:sz w:val="22"/>
                <w:szCs w:val="22"/>
              </w:rPr>
            </w:pPr>
            <w:r w:rsidRPr="0051061D">
              <w:rPr>
                <w:sz w:val="22"/>
                <w:szCs w:val="22"/>
              </w:rPr>
              <w:t>3 (1.5)</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Vomiting </w:t>
            </w:r>
          </w:p>
        </w:tc>
        <w:tc>
          <w:tcPr>
            <w:tcW w:w="1509" w:type="dxa"/>
          </w:tcPr>
          <w:p w:rsidR="008872C6" w:rsidRPr="0051061D" w:rsidRDefault="008872C6" w:rsidP="00AC0EF9">
            <w:pPr>
              <w:spacing w:before="60" w:after="60"/>
              <w:jc w:val="center"/>
              <w:rPr>
                <w:sz w:val="22"/>
                <w:szCs w:val="22"/>
              </w:rPr>
            </w:pPr>
            <w:r w:rsidRPr="0051061D">
              <w:rPr>
                <w:sz w:val="22"/>
                <w:szCs w:val="22"/>
              </w:rPr>
              <w:t>21 (1.7)</w:t>
            </w:r>
          </w:p>
        </w:tc>
        <w:tc>
          <w:tcPr>
            <w:tcW w:w="1418" w:type="dxa"/>
          </w:tcPr>
          <w:p w:rsidR="008872C6" w:rsidRPr="0051061D" w:rsidRDefault="008872C6" w:rsidP="00AC0EF9">
            <w:pPr>
              <w:spacing w:before="60" w:after="60"/>
              <w:jc w:val="center"/>
              <w:rPr>
                <w:sz w:val="22"/>
                <w:szCs w:val="22"/>
              </w:rPr>
            </w:pPr>
            <w:r w:rsidRPr="0051061D">
              <w:rPr>
                <w:sz w:val="22"/>
                <w:szCs w:val="22"/>
              </w:rPr>
              <w:t>9 (0.7)</w:t>
            </w:r>
          </w:p>
        </w:tc>
        <w:tc>
          <w:tcPr>
            <w:tcW w:w="1276" w:type="dxa"/>
          </w:tcPr>
          <w:p w:rsidR="008872C6" w:rsidRPr="0051061D" w:rsidRDefault="008872C6" w:rsidP="00AC0EF9">
            <w:pPr>
              <w:spacing w:before="60" w:after="60"/>
              <w:jc w:val="center"/>
              <w:rPr>
                <w:sz w:val="22"/>
                <w:szCs w:val="22"/>
              </w:rPr>
            </w:pPr>
            <w:r w:rsidRPr="0051061D">
              <w:rPr>
                <w:sz w:val="22"/>
                <w:szCs w:val="22"/>
              </w:rPr>
              <w:t>10 (1.5)</w:t>
            </w:r>
          </w:p>
        </w:tc>
        <w:tc>
          <w:tcPr>
            <w:tcW w:w="1701" w:type="dxa"/>
          </w:tcPr>
          <w:p w:rsidR="008872C6" w:rsidRPr="0051061D" w:rsidRDefault="008872C6" w:rsidP="00AC0EF9">
            <w:pPr>
              <w:spacing w:before="60" w:after="60"/>
              <w:jc w:val="center"/>
              <w:rPr>
                <w:sz w:val="22"/>
                <w:szCs w:val="22"/>
              </w:rPr>
            </w:pPr>
            <w:r w:rsidRPr="0051061D">
              <w:rPr>
                <w:sz w:val="22"/>
                <w:szCs w:val="22"/>
              </w:rPr>
              <w:t>0</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Constipation </w:t>
            </w:r>
          </w:p>
        </w:tc>
        <w:tc>
          <w:tcPr>
            <w:tcW w:w="1509" w:type="dxa"/>
          </w:tcPr>
          <w:p w:rsidR="008872C6" w:rsidRPr="0051061D" w:rsidRDefault="008872C6" w:rsidP="00AC0EF9">
            <w:pPr>
              <w:spacing w:before="60" w:after="60"/>
              <w:jc w:val="center"/>
              <w:rPr>
                <w:sz w:val="22"/>
                <w:szCs w:val="22"/>
              </w:rPr>
            </w:pPr>
            <w:r w:rsidRPr="0051061D">
              <w:rPr>
                <w:sz w:val="22"/>
                <w:szCs w:val="22"/>
              </w:rPr>
              <w:t>16 (1.3)</w:t>
            </w:r>
          </w:p>
        </w:tc>
        <w:tc>
          <w:tcPr>
            <w:tcW w:w="1418" w:type="dxa"/>
          </w:tcPr>
          <w:p w:rsidR="008872C6" w:rsidRPr="0051061D" w:rsidRDefault="008872C6" w:rsidP="00AC0EF9">
            <w:pPr>
              <w:spacing w:before="60" w:after="60"/>
              <w:jc w:val="center"/>
              <w:rPr>
                <w:sz w:val="22"/>
                <w:szCs w:val="22"/>
              </w:rPr>
            </w:pPr>
            <w:r w:rsidRPr="0051061D">
              <w:rPr>
                <w:sz w:val="22"/>
                <w:szCs w:val="22"/>
              </w:rPr>
              <w:t>17 (1.4)</w:t>
            </w:r>
          </w:p>
        </w:tc>
        <w:tc>
          <w:tcPr>
            <w:tcW w:w="1276" w:type="dxa"/>
          </w:tcPr>
          <w:p w:rsidR="008872C6" w:rsidRPr="0051061D" w:rsidRDefault="008872C6" w:rsidP="00AC0EF9">
            <w:pPr>
              <w:spacing w:before="60" w:after="60"/>
              <w:jc w:val="center"/>
              <w:rPr>
                <w:sz w:val="22"/>
                <w:szCs w:val="22"/>
              </w:rPr>
            </w:pPr>
            <w:r w:rsidRPr="0051061D">
              <w:rPr>
                <w:sz w:val="22"/>
                <w:szCs w:val="22"/>
              </w:rPr>
              <w:t>6 (0.9)</w:t>
            </w:r>
          </w:p>
        </w:tc>
        <w:tc>
          <w:tcPr>
            <w:tcW w:w="1701" w:type="dxa"/>
          </w:tcPr>
          <w:p w:rsidR="008872C6" w:rsidRPr="0051061D" w:rsidRDefault="008872C6" w:rsidP="00AC0EF9">
            <w:pPr>
              <w:spacing w:before="60" w:after="60"/>
              <w:jc w:val="center"/>
              <w:rPr>
                <w:sz w:val="22"/>
                <w:szCs w:val="22"/>
              </w:rPr>
            </w:pPr>
            <w:r w:rsidRPr="0051061D">
              <w:rPr>
                <w:sz w:val="22"/>
                <w:szCs w:val="22"/>
              </w:rPr>
              <w:t>2 (1.0)</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Gastritis </w:t>
            </w:r>
          </w:p>
        </w:tc>
        <w:tc>
          <w:tcPr>
            <w:tcW w:w="1509" w:type="dxa"/>
          </w:tcPr>
          <w:p w:rsidR="008872C6" w:rsidRPr="0051061D" w:rsidRDefault="008872C6" w:rsidP="00AC0EF9">
            <w:pPr>
              <w:spacing w:before="60" w:after="60"/>
              <w:jc w:val="center"/>
              <w:rPr>
                <w:sz w:val="22"/>
                <w:szCs w:val="22"/>
              </w:rPr>
            </w:pPr>
            <w:r w:rsidRPr="0051061D">
              <w:rPr>
                <w:sz w:val="22"/>
                <w:szCs w:val="22"/>
              </w:rPr>
              <w:t>12 (1.0)</w:t>
            </w:r>
          </w:p>
        </w:tc>
        <w:tc>
          <w:tcPr>
            <w:tcW w:w="1418" w:type="dxa"/>
          </w:tcPr>
          <w:p w:rsidR="008872C6" w:rsidRPr="0051061D" w:rsidRDefault="008872C6" w:rsidP="00AC0EF9">
            <w:pPr>
              <w:spacing w:before="60" w:after="60"/>
              <w:jc w:val="center"/>
              <w:rPr>
                <w:sz w:val="22"/>
                <w:szCs w:val="22"/>
              </w:rPr>
            </w:pPr>
            <w:r w:rsidRPr="0051061D">
              <w:rPr>
                <w:sz w:val="22"/>
                <w:szCs w:val="22"/>
              </w:rPr>
              <w:t>16 (1.3)</w:t>
            </w:r>
          </w:p>
        </w:tc>
        <w:tc>
          <w:tcPr>
            <w:tcW w:w="1276" w:type="dxa"/>
          </w:tcPr>
          <w:p w:rsidR="008872C6" w:rsidRPr="0051061D" w:rsidRDefault="008872C6" w:rsidP="00AC0EF9">
            <w:pPr>
              <w:spacing w:before="60" w:after="60"/>
              <w:jc w:val="center"/>
              <w:rPr>
                <w:sz w:val="22"/>
                <w:szCs w:val="22"/>
              </w:rPr>
            </w:pPr>
            <w:r w:rsidRPr="0051061D">
              <w:rPr>
                <w:sz w:val="22"/>
                <w:szCs w:val="22"/>
              </w:rPr>
              <w:t>7 (1.0)</w:t>
            </w:r>
          </w:p>
        </w:tc>
        <w:tc>
          <w:tcPr>
            <w:tcW w:w="1701" w:type="dxa"/>
          </w:tcPr>
          <w:p w:rsidR="008872C6" w:rsidRPr="0051061D" w:rsidRDefault="008872C6" w:rsidP="00AC0EF9">
            <w:pPr>
              <w:spacing w:before="60" w:after="60"/>
              <w:jc w:val="center"/>
              <w:rPr>
                <w:sz w:val="22"/>
                <w:szCs w:val="22"/>
              </w:rPr>
            </w:pPr>
            <w:r w:rsidRPr="0051061D">
              <w:rPr>
                <w:sz w:val="22"/>
                <w:szCs w:val="22"/>
              </w:rPr>
              <w:t>0</w:t>
            </w:r>
          </w:p>
        </w:tc>
      </w:tr>
      <w:tr w:rsidR="008872C6" w:rsidRPr="0051061D" w:rsidTr="00AC0EF9">
        <w:trPr>
          <w:trHeight w:val="284"/>
        </w:trPr>
        <w:tc>
          <w:tcPr>
            <w:tcW w:w="3135" w:type="dxa"/>
          </w:tcPr>
          <w:p w:rsidR="008872C6" w:rsidRPr="0051061D" w:rsidRDefault="008872C6" w:rsidP="00AC0EF9">
            <w:pPr>
              <w:spacing w:before="60" w:after="60"/>
              <w:rPr>
                <w:b/>
                <w:sz w:val="22"/>
                <w:szCs w:val="22"/>
              </w:rPr>
            </w:pPr>
            <w:r w:rsidRPr="0051061D">
              <w:rPr>
                <w:sz w:val="22"/>
                <w:szCs w:val="22"/>
              </w:rPr>
              <w:t xml:space="preserve">Abdominal pain </w:t>
            </w:r>
          </w:p>
        </w:tc>
        <w:tc>
          <w:tcPr>
            <w:tcW w:w="1509" w:type="dxa"/>
          </w:tcPr>
          <w:p w:rsidR="008872C6" w:rsidRPr="0051061D" w:rsidRDefault="008872C6" w:rsidP="00AC0EF9">
            <w:pPr>
              <w:spacing w:before="60" w:after="60"/>
              <w:jc w:val="center"/>
              <w:rPr>
                <w:sz w:val="22"/>
                <w:szCs w:val="22"/>
              </w:rPr>
            </w:pPr>
            <w:r w:rsidRPr="0051061D">
              <w:rPr>
                <w:sz w:val="22"/>
                <w:szCs w:val="22"/>
              </w:rPr>
              <w:t>10 (0.8)</w:t>
            </w:r>
          </w:p>
        </w:tc>
        <w:tc>
          <w:tcPr>
            <w:tcW w:w="1418" w:type="dxa"/>
          </w:tcPr>
          <w:p w:rsidR="008872C6" w:rsidRPr="0051061D" w:rsidRDefault="008872C6" w:rsidP="00AC0EF9">
            <w:pPr>
              <w:spacing w:before="60" w:after="60"/>
              <w:jc w:val="center"/>
              <w:rPr>
                <w:sz w:val="22"/>
                <w:szCs w:val="22"/>
              </w:rPr>
            </w:pPr>
            <w:r w:rsidRPr="0051061D">
              <w:rPr>
                <w:sz w:val="22"/>
                <w:szCs w:val="22"/>
              </w:rPr>
              <w:t>13 (1.1)</w:t>
            </w:r>
          </w:p>
        </w:tc>
        <w:tc>
          <w:tcPr>
            <w:tcW w:w="1276" w:type="dxa"/>
          </w:tcPr>
          <w:p w:rsidR="008872C6" w:rsidRPr="0051061D" w:rsidRDefault="008872C6" w:rsidP="00AC0EF9">
            <w:pPr>
              <w:spacing w:before="60" w:after="60"/>
              <w:jc w:val="center"/>
              <w:rPr>
                <w:sz w:val="22"/>
                <w:szCs w:val="22"/>
              </w:rPr>
            </w:pPr>
            <w:r w:rsidRPr="0051061D">
              <w:rPr>
                <w:sz w:val="22"/>
                <w:szCs w:val="22"/>
              </w:rPr>
              <w:t>7 (1.0)</w:t>
            </w:r>
          </w:p>
        </w:tc>
        <w:tc>
          <w:tcPr>
            <w:tcW w:w="1701" w:type="dxa"/>
          </w:tcPr>
          <w:p w:rsidR="008872C6" w:rsidRPr="0051061D" w:rsidRDefault="008872C6" w:rsidP="00AC0EF9">
            <w:pPr>
              <w:spacing w:before="60" w:after="60"/>
              <w:jc w:val="center"/>
              <w:rPr>
                <w:sz w:val="22"/>
                <w:szCs w:val="22"/>
              </w:rPr>
            </w:pPr>
            <w:r w:rsidRPr="0051061D">
              <w:rPr>
                <w:sz w:val="22"/>
                <w:szCs w:val="22"/>
              </w:rPr>
              <w:t>2 (1.0)</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Gastroenteritis </w:t>
            </w:r>
          </w:p>
        </w:tc>
        <w:tc>
          <w:tcPr>
            <w:tcW w:w="1509" w:type="dxa"/>
          </w:tcPr>
          <w:p w:rsidR="008872C6" w:rsidRPr="0051061D" w:rsidRDefault="008872C6" w:rsidP="00AC0EF9">
            <w:pPr>
              <w:spacing w:before="60" w:after="60"/>
              <w:jc w:val="center"/>
              <w:rPr>
                <w:sz w:val="22"/>
                <w:szCs w:val="22"/>
              </w:rPr>
            </w:pPr>
            <w:r w:rsidRPr="0051061D">
              <w:rPr>
                <w:sz w:val="22"/>
                <w:szCs w:val="22"/>
              </w:rPr>
              <w:t>12 (1.0)</w:t>
            </w:r>
          </w:p>
        </w:tc>
        <w:tc>
          <w:tcPr>
            <w:tcW w:w="1418" w:type="dxa"/>
          </w:tcPr>
          <w:p w:rsidR="008872C6" w:rsidRPr="0051061D" w:rsidRDefault="008872C6" w:rsidP="00AC0EF9">
            <w:pPr>
              <w:spacing w:before="60" w:after="60"/>
              <w:jc w:val="center"/>
              <w:rPr>
                <w:sz w:val="22"/>
                <w:szCs w:val="22"/>
              </w:rPr>
            </w:pPr>
            <w:r w:rsidRPr="0051061D">
              <w:rPr>
                <w:sz w:val="22"/>
                <w:szCs w:val="22"/>
              </w:rPr>
              <w:t>13 (1.1)</w:t>
            </w:r>
          </w:p>
        </w:tc>
        <w:tc>
          <w:tcPr>
            <w:tcW w:w="1276" w:type="dxa"/>
          </w:tcPr>
          <w:p w:rsidR="008872C6" w:rsidRPr="0051061D" w:rsidRDefault="008872C6" w:rsidP="00AC0EF9">
            <w:pPr>
              <w:spacing w:before="60" w:after="60"/>
              <w:jc w:val="center"/>
              <w:rPr>
                <w:sz w:val="22"/>
                <w:szCs w:val="22"/>
              </w:rPr>
            </w:pPr>
            <w:r w:rsidRPr="0051061D">
              <w:rPr>
                <w:sz w:val="22"/>
                <w:szCs w:val="22"/>
              </w:rPr>
              <w:t>5 (0.7)</w:t>
            </w:r>
          </w:p>
        </w:tc>
        <w:tc>
          <w:tcPr>
            <w:tcW w:w="1701" w:type="dxa"/>
          </w:tcPr>
          <w:p w:rsidR="008872C6" w:rsidRPr="0051061D" w:rsidRDefault="008872C6" w:rsidP="00AC0EF9">
            <w:pPr>
              <w:spacing w:before="60" w:after="60"/>
              <w:jc w:val="center"/>
              <w:rPr>
                <w:sz w:val="22"/>
                <w:szCs w:val="22"/>
              </w:rPr>
            </w:pPr>
            <w:r w:rsidRPr="0051061D">
              <w:rPr>
                <w:sz w:val="22"/>
                <w:szCs w:val="22"/>
              </w:rPr>
              <w:t>0</w:t>
            </w:r>
          </w:p>
        </w:tc>
      </w:tr>
      <w:tr w:rsidR="008872C6" w:rsidRPr="0051061D" w:rsidTr="00AC0EF9">
        <w:tc>
          <w:tcPr>
            <w:tcW w:w="9039" w:type="dxa"/>
            <w:gridSpan w:val="5"/>
          </w:tcPr>
          <w:p w:rsidR="008872C6" w:rsidRPr="0051061D" w:rsidRDefault="008872C6" w:rsidP="00AC0EF9">
            <w:pPr>
              <w:spacing w:before="60" w:after="60"/>
              <w:rPr>
                <w:sz w:val="22"/>
                <w:szCs w:val="22"/>
              </w:rPr>
            </w:pPr>
            <w:r w:rsidRPr="0051061D">
              <w:rPr>
                <w:b/>
                <w:sz w:val="22"/>
                <w:szCs w:val="22"/>
              </w:rPr>
              <w:t>Musculoskeletal and Connective Tissue Disorders</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lastRenderedPageBreak/>
              <w:t xml:space="preserve">Rheumatoid arthritis </w:t>
            </w:r>
          </w:p>
        </w:tc>
        <w:tc>
          <w:tcPr>
            <w:tcW w:w="1509" w:type="dxa"/>
          </w:tcPr>
          <w:p w:rsidR="008872C6" w:rsidRPr="0051061D" w:rsidRDefault="008872C6" w:rsidP="00AC0EF9">
            <w:pPr>
              <w:spacing w:before="60" w:after="60"/>
              <w:jc w:val="center"/>
              <w:rPr>
                <w:sz w:val="22"/>
                <w:szCs w:val="22"/>
              </w:rPr>
            </w:pPr>
            <w:r w:rsidRPr="0051061D">
              <w:rPr>
                <w:sz w:val="22"/>
                <w:szCs w:val="22"/>
              </w:rPr>
              <w:t>17 (1.4)</w:t>
            </w:r>
          </w:p>
        </w:tc>
        <w:tc>
          <w:tcPr>
            <w:tcW w:w="1418" w:type="dxa"/>
          </w:tcPr>
          <w:p w:rsidR="008872C6" w:rsidRPr="0051061D" w:rsidRDefault="008872C6" w:rsidP="00AC0EF9">
            <w:pPr>
              <w:spacing w:before="60" w:after="60"/>
              <w:jc w:val="center"/>
              <w:rPr>
                <w:sz w:val="22"/>
                <w:szCs w:val="22"/>
              </w:rPr>
            </w:pPr>
            <w:r w:rsidRPr="0051061D">
              <w:rPr>
                <w:sz w:val="22"/>
                <w:szCs w:val="22"/>
              </w:rPr>
              <w:t>5 (0.4)</w:t>
            </w:r>
          </w:p>
        </w:tc>
        <w:tc>
          <w:tcPr>
            <w:tcW w:w="1276" w:type="dxa"/>
          </w:tcPr>
          <w:p w:rsidR="008872C6" w:rsidRPr="0051061D" w:rsidRDefault="008872C6" w:rsidP="00AC0EF9">
            <w:pPr>
              <w:spacing w:before="60" w:after="60"/>
              <w:jc w:val="center"/>
              <w:rPr>
                <w:sz w:val="22"/>
                <w:szCs w:val="22"/>
              </w:rPr>
            </w:pPr>
            <w:r w:rsidRPr="0051061D">
              <w:rPr>
                <w:sz w:val="22"/>
                <w:szCs w:val="22"/>
              </w:rPr>
              <w:t>17 (2.5)</w:t>
            </w:r>
          </w:p>
        </w:tc>
        <w:tc>
          <w:tcPr>
            <w:tcW w:w="1701" w:type="dxa"/>
          </w:tcPr>
          <w:p w:rsidR="008872C6" w:rsidRPr="0051061D" w:rsidRDefault="008872C6" w:rsidP="00AC0EF9">
            <w:pPr>
              <w:spacing w:before="60" w:after="60"/>
              <w:jc w:val="center"/>
              <w:rPr>
                <w:sz w:val="22"/>
                <w:szCs w:val="22"/>
              </w:rPr>
            </w:pPr>
            <w:r w:rsidRPr="0051061D">
              <w:rPr>
                <w:sz w:val="22"/>
                <w:szCs w:val="22"/>
              </w:rPr>
              <w:t>1 (0.5)</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Back pain </w:t>
            </w:r>
          </w:p>
        </w:tc>
        <w:tc>
          <w:tcPr>
            <w:tcW w:w="1509" w:type="dxa"/>
          </w:tcPr>
          <w:p w:rsidR="008872C6" w:rsidRPr="0051061D" w:rsidRDefault="008872C6" w:rsidP="00AC0EF9">
            <w:pPr>
              <w:spacing w:before="60" w:after="60"/>
              <w:jc w:val="center"/>
              <w:rPr>
                <w:sz w:val="22"/>
                <w:szCs w:val="22"/>
              </w:rPr>
            </w:pPr>
            <w:r w:rsidRPr="0051061D">
              <w:rPr>
                <w:sz w:val="22"/>
                <w:szCs w:val="22"/>
              </w:rPr>
              <w:t>18 (1.5)</w:t>
            </w:r>
          </w:p>
        </w:tc>
        <w:tc>
          <w:tcPr>
            <w:tcW w:w="1418" w:type="dxa"/>
          </w:tcPr>
          <w:p w:rsidR="008872C6" w:rsidRPr="0051061D" w:rsidRDefault="008872C6" w:rsidP="00AC0EF9">
            <w:pPr>
              <w:spacing w:before="60" w:after="60"/>
              <w:jc w:val="center"/>
              <w:rPr>
                <w:sz w:val="22"/>
                <w:szCs w:val="22"/>
              </w:rPr>
            </w:pPr>
            <w:r w:rsidRPr="0051061D">
              <w:rPr>
                <w:sz w:val="22"/>
                <w:szCs w:val="22"/>
              </w:rPr>
              <w:t>20 (1.6)</w:t>
            </w:r>
          </w:p>
        </w:tc>
        <w:tc>
          <w:tcPr>
            <w:tcW w:w="1276" w:type="dxa"/>
          </w:tcPr>
          <w:p w:rsidR="008872C6" w:rsidRPr="0051061D" w:rsidRDefault="008872C6" w:rsidP="00AC0EF9">
            <w:pPr>
              <w:spacing w:before="60" w:after="60"/>
              <w:jc w:val="center"/>
              <w:rPr>
                <w:sz w:val="22"/>
                <w:szCs w:val="22"/>
              </w:rPr>
            </w:pPr>
            <w:r w:rsidRPr="0051061D">
              <w:rPr>
                <w:sz w:val="22"/>
                <w:szCs w:val="22"/>
              </w:rPr>
              <w:t>5 (0.7)</w:t>
            </w:r>
          </w:p>
        </w:tc>
        <w:tc>
          <w:tcPr>
            <w:tcW w:w="1701" w:type="dxa"/>
          </w:tcPr>
          <w:p w:rsidR="008872C6" w:rsidRPr="0051061D" w:rsidRDefault="008872C6" w:rsidP="00AC0EF9">
            <w:pPr>
              <w:spacing w:before="60" w:after="60"/>
              <w:jc w:val="center"/>
              <w:rPr>
                <w:sz w:val="22"/>
                <w:szCs w:val="22"/>
              </w:rPr>
            </w:pPr>
            <w:r w:rsidRPr="0051061D">
              <w:rPr>
                <w:sz w:val="22"/>
                <w:szCs w:val="22"/>
              </w:rPr>
              <w:t>1 (0.5)</w:t>
            </w:r>
          </w:p>
        </w:tc>
      </w:tr>
      <w:tr w:rsidR="008872C6" w:rsidRPr="0051061D" w:rsidTr="00AC0EF9">
        <w:tc>
          <w:tcPr>
            <w:tcW w:w="3135" w:type="dxa"/>
          </w:tcPr>
          <w:p w:rsidR="008872C6" w:rsidRPr="0051061D" w:rsidRDefault="008872C6" w:rsidP="00AC0EF9">
            <w:pPr>
              <w:spacing w:before="60" w:after="60"/>
              <w:rPr>
                <w:sz w:val="22"/>
                <w:szCs w:val="22"/>
              </w:rPr>
            </w:pPr>
            <w:r w:rsidRPr="0051061D">
              <w:rPr>
                <w:sz w:val="22"/>
                <w:szCs w:val="22"/>
              </w:rPr>
              <w:t xml:space="preserve">Arthralgia </w:t>
            </w:r>
          </w:p>
        </w:tc>
        <w:tc>
          <w:tcPr>
            <w:tcW w:w="1509" w:type="dxa"/>
          </w:tcPr>
          <w:p w:rsidR="008872C6" w:rsidRPr="0051061D" w:rsidRDefault="008872C6" w:rsidP="00AC0EF9">
            <w:pPr>
              <w:spacing w:before="60" w:after="60"/>
              <w:jc w:val="center"/>
              <w:rPr>
                <w:sz w:val="22"/>
                <w:szCs w:val="22"/>
              </w:rPr>
            </w:pPr>
            <w:r w:rsidRPr="0051061D">
              <w:rPr>
                <w:sz w:val="22"/>
                <w:szCs w:val="22"/>
              </w:rPr>
              <w:t>13 (1.1)</w:t>
            </w:r>
          </w:p>
        </w:tc>
        <w:tc>
          <w:tcPr>
            <w:tcW w:w="1418" w:type="dxa"/>
          </w:tcPr>
          <w:p w:rsidR="008872C6" w:rsidRPr="0051061D" w:rsidRDefault="008872C6" w:rsidP="00AC0EF9">
            <w:pPr>
              <w:spacing w:before="60" w:after="60"/>
              <w:jc w:val="center"/>
              <w:rPr>
                <w:sz w:val="22"/>
                <w:szCs w:val="22"/>
              </w:rPr>
            </w:pPr>
            <w:r w:rsidRPr="0051061D">
              <w:rPr>
                <w:sz w:val="22"/>
                <w:szCs w:val="22"/>
              </w:rPr>
              <w:t xml:space="preserve">9 (0.7) </w:t>
            </w:r>
          </w:p>
        </w:tc>
        <w:tc>
          <w:tcPr>
            <w:tcW w:w="1276" w:type="dxa"/>
          </w:tcPr>
          <w:p w:rsidR="008872C6" w:rsidRPr="0051061D" w:rsidRDefault="008872C6" w:rsidP="00AC0EF9">
            <w:pPr>
              <w:spacing w:before="60" w:after="60"/>
              <w:jc w:val="center"/>
              <w:rPr>
                <w:sz w:val="22"/>
                <w:szCs w:val="22"/>
              </w:rPr>
            </w:pPr>
            <w:r w:rsidRPr="0051061D">
              <w:rPr>
                <w:sz w:val="22"/>
                <w:szCs w:val="22"/>
              </w:rPr>
              <w:t>16 (2.3)</w:t>
            </w:r>
          </w:p>
        </w:tc>
        <w:tc>
          <w:tcPr>
            <w:tcW w:w="1701" w:type="dxa"/>
          </w:tcPr>
          <w:p w:rsidR="008872C6" w:rsidRPr="0051061D" w:rsidRDefault="008872C6" w:rsidP="00AC0EF9">
            <w:pPr>
              <w:spacing w:before="60" w:after="60"/>
              <w:jc w:val="center"/>
              <w:rPr>
                <w:sz w:val="22"/>
                <w:szCs w:val="22"/>
              </w:rPr>
            </w:pPr>
            <w:r w:rsidRPr="0051061D">
              <w:rPr>
                <w:sz w:val="22"/>
                <w:szCs w:val="22"/>
              </w:rPr>
              <w:t>4 (2.0)</w:t>
            </w:r>
          </w:p>
        </w:tc>
      </w:tr>
      <w:tr w:rsidR="008872C6" w:rsidRPr="0051061D" w:rsidTr="00AC0EF9">
        <w:tc>
          <w:tcPr>
            <w:tcW w:w="9039" w:type="dxa"/>
            <w:gridSpan w:val="5"/>
          </w:tcPr>
          <w:p w:rsidR="008872C6" w:rsidRPr="0051061D" w:rsidRDefault="008872C6" w:rsidP="00AC0EF9">
            <w:pPr>
              <w:spacing w:before="60" w:after="60"/>
              <w:rPr>
                <w:sz w:val="22"/>
                <w:szCs w:val="22"/>
              </w:rPr>
            </w:pPr>
            <w:r w:rsidRPr="0051061D">
              <w:rPr>
                <w:b/>
                <w:sz w:val="22"/>
                <w:szCs w:val="22"/>
              </w:rPr>
              <w:t>General Disorders and Administration Site Conditions</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Oedema peripheral </w:t>
            </w:r>
          </w:p>
        </w:tc>
        <w:tc>
          <w:tcPr>
            <w:tcW w:w="1509" w:type="dxa"/>
          </w:tcPr>
          <w:p w:rsidR="008872C6" w:rsidRPr="0051061D" w:rsidRDefault="008872C6" w:rsidP="00AC0EF9">
            <w:pPr>
              <w:spacing w:before="60" w:after="60"/>
              <w:jc w:val="center"/>
              <w:rPr>
                <w:sz w:val="22"/>
                <w:szCs w:val="22"/>
              </w:rPr>
            </w:pPr>
            <w:r w:rsidRPr="0051061D">
              <w:rPr>
                <w:sz w:val="22"/>
                <w:szCs w:val="22"/>
              </w:rPr>
              <w:t>17 (1.4)</w:t>
            </w:r>
          </w:p>
        </w:tc>
        <w:tc>
          <w:tcPr>
            <w:tcW w:w="1418" w:type="dxa"/>
          </w:tcPr>
          <w:p w:rsidR="008872C6" w:rsidRPr="0051061D" w:rsidRDefault="008872C6" w:rsidP="00AC0EF9">
            <w:pPr>
              <w:spacing w:before="60" w:after="60"/>
              <w:jc w:val="center"/>
              <w:rPr>
                <w:sz w:val="22"/>
                <w:szCs w:val="22"/>
              </w:rPr>
            </w:pPr>
            <w:r w:rsidRPr="0051061D">
              <w:rPr>
                <w:sz w:val="22"/>
                <w:szCs w:val="22"/>
              </w:rPr>
              <w:t>21 (1.7)</w:t>
            </w:r>
          </w:p>
        </w:tc>
        <w:tc>
          <w:tcPr>
            <w:tcW w:w="1276" w:type="dxa"/>
          </w:tcPr>
          <w:p w:rsidR="008872C6" w:rsidRPr="0051061D" w:rsidRDefault="008872C6" w:rsidP="00AC0EF9">
            <w:pPr>
              <w:spacing w:before="60" w:after="60"/>
              <w:jc w:val="center"/>
              <w:rPr>
                <w:sz w:val="22"/>
                <w:szCs w:val="22"/>
              </w:rPr>
            </w:pPr>
            <w:r w:rsidRPr="0051061D">
              <w:rPr>
                <w:sz w:val="22"/>
                <w:szCs w:val="22"/>
              </w:rPr>
              <w:t>16 (2.3)</w:t>
            </w:r>
          </w:p>
        </w:tc>
        <w:tc>
          <w:tcPr>
            <w:tcW w:w="1701" w:type="dxa"/>
          </w:tcPr>
          <w:p w:rsidR="008872C6" w:rsidRPr="0051061D" w:rsidRDefault="008872C6" w:rsidP="00AC0EF9">
            <w:pPr>
              <w:spacing w:before="60" w:after="60"/>
              <w:jc w:val="center"/>
              <w:rPr>
                <w:sz w:val="22"/>
                <w:szCs w:val="22"/>
              </w:rPr>
            </w:pPr>
            <w:r w:rsidRPr="0051061D">
              <w:rPr>
                <w:sz w:val="22"/>
                <w:szCs w:val="22"/>
              </w:rPr>
              <w:t>3 (1.5)</w:t>
            </w:r>
          </w:p>
        </w:tc>
      </w:tr>
      <w:tr w:rsidR="008872C6" w:rsidRPr="0051061D" w:rsidTr="00AC0EF9">
        <w:tc>
          <w:tcPr>
            <w:tcW w:w="3135" w:type="dxa"/>
          </w:tcPr>
          <w:p w:rsidR="008872C6" w:rsidRPr="0051061D" w:rsidRDefault="008872C6" w:rsidP="00AC0EF9">
            <w:pPr>
              <w:spacing w:before="60" w:after="60"/>
              <w:rPr>
                <w:sz w:val="22"/>
                <w:szCs w:val="22"/>
              </w:rPr>
            </w:pPr>
            <w:r w:rsidRPr="0051061D">
              <w:rPr>
                <w:sz w:val="22"/>
                <w:szCs w:val="22"/>
              </w:rPr>
              <w:t xml:space="preserve">Pyrexia </w:t>
            </w:r>
          </w:p>
        </w:tc>
        <w:tc>
          <w:tcPr>
            <w:tcW w:w="1509" w:type="dxa"/>
          </w:tcPr>
          <w:p w:rsidR="008872C6" w:rsidRPr="0051061D" w:rsidRDefault="008872C6" w:rsidP="00AC0EF9">
            <w:pPr>
              <w:spacing w:before="60" w:after="60"/>
              <w:jc w:val="center"/>
              <w:rPr>
                <w:sz w:val="22"/>
                <w:szCs w:val="22"/>
              </w:rPr>
            </w:pPr>
            <w:r w:rsidRPr="0051061D">
              <w:rPr>
                <w:sz w:val="22"/>
                <w:szCs w:val="22"/>
              </w:rPr>
              <w:t>13 (1.1)</w:t>
            </w:r>
          </w:p>
        </w:tc>
        <w:tc>
          <w:tcPr>
            <w:tcW w:w="1418" w:type="dxa"/>
          </w:tcPr>
          <w:p w:rsidR="008872C6" w:rsidRPr="0051061D" w:rsidRDefault="008872C6" w:rsidP="00AC0EF9">
            <w:pPr>
              <w:spacing w:before="60" w:after="60"/>
              <w:jc w:val="center"/>
              <w:rPr>
                <w:sz w:val="22"/>
                <w:szCs w:val="22"/>
              </w:rPr>
            </w:pPr>
            <w:r w:rsidRPr="0051061D">
              <w:rPr>
                <w:sz w:val="22"/>
                <w:szCs w:val="22"/>
              </w:rPr>
              <w:t xml:space="preserve">7 (0.6) </w:t>
            </w:r>
          </w:p>
        </w:tc>
        <w:tc>
          <w:tcPr>
            <w:tcW w:w="1276" w:type="dxa"/>
          </w:tcPr>
          <w:p w:rsidR="008872C6" w:rsidRPr="0051061D" w:rsidRDefault="008872C6" w:rsidP="00AC0EF9">
            <w:pPr>
              <w:spacing w:before="60" w:after="60"/>
              <w:jc w:val="center"/>
              <w:rPr>
                <w:sz w:val="22"/>
                <w:szCs w:val="22"/>
              </w:rPr>
            </w:pPr>
            <w:r w:rsidRPr="0051061D">
              <w:rPr>
                <w:sz w:val="22"/>
                <w:szCs w:val="22"/>
              </w:rPr>
              <w:t>5 (0.7)</w:t>
            </w:r>
          </w:p>
        </w:tc>
        <w:tc>
          <w:tcPr>
            <w:tcW w:w="1701" w:type="dxa"/>
          </w:tcPr>
          <w:p w:rsidR="008872C6" w:rsidRPr="0051061D" w:rsidRDefault="008872C6" w:rsidP="00AC0EF9">
            <w:pPr>
              <w:spacing w:before="60" w:after="60"/>
              <w:jc w:val="center"/>
              <w:rPr>
                <w:sz w:val="22"/>
                <w:szCs w:val="22"/>
              </w:rPr>
            </w:pPr>
            <w:r w:rsidRPr="0051061D">
              <w:rPr>
                <w:sz w:val="22"/>
                <w:szCs w:val="22"/>
              </w:rPr>
              <w:t>1 (0.5)</w:t>
            </w:r>
          </w:p>
        </w:tc>
      </w:tr>
      <w:tr w:rsidR="008872C6" w:rsidRPr="0051061D" w:rsidTr="00AC0EF9">
        <w:tc>
          <w:tcPr>
            <w:tcW w:w="9039" w:type="dxa"/>
            <w:gridSpan w:val="5"/>
          </w:tcPr>
          <w:p w:rsidR="008872C6" w:rsidRPr="0051061D" w:rsidRDefault="008872C6" w:rsidP="00AC0EF9">
            <w:pPr>
              <w:spacing w:before="60" w:after="60"/>
              <w:rPr>
                <w:sz w:val="22"/>
                <w:szCs w:val="22"/>
              </w:rPr>
            </w:pPr>
            <w:r w:rsidRPr="0051061D">
              <w:rPr>
                <w:b/>
                <w:sz w:val="22"/>
                <w:szCs w:val="22"/>
              </w:rPr>
              <w:t>Investigations</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Blood creatine phosphokinase increased </w:t>
            </w:r>
          </w:p>
        </w:tc>
        <w:tc>
          <w:tcPr>
            <w:tcW w:w="1509" w:type="dxa"/>
          </w:tcPr>
          <w:p w:rsidR="008872C6" w:rsidRPr="0051061D" w:rsidRDefault="008872C6" w:rsidP="00AC0EF9">
            <w:pPr>
              <w:spacing w:before="60" w:after="60"/>
              <w:jc w:val="center"/>
              <w:rPr>
                <w:sz w:val="22"/>
                <w:szCs w:val="22"/>
              </w:rPr>
            </w:pPr>
            <w:r w:rsidRPr="0051061D">
              <w:rPr>
                <w:sz w:val="22"/>
                <w:szCs w:val="22"/>
              </w:rPr>
              <w:t>9 (0.7)</w:t>
            </w:r>
          </w:p>
        </w:tc>
        <w:tc>
          <w:tcPr>
            <w:tcW w:w="1418" w:type="dxa"/>
          </w:tcPr>
          <w:p w:rsidR="008872C6" w:rsidRPr="0051061D" w:rsidRDefault="008872C6" w:rsidP="00AC0EF9">
            <w:pPr>
              <w:spacing w:before="60" w:after="60"/>
              <w:jc w:val="center"/>
              <w:rPr>
                <w:sz w:val="22"/>
                <w:szCs w:val="22"/>
              </w:rPr>
            </w:pPr>
            <w:r w:rsidRPr="0051061D">
              <w:rPr>
                <w:sz w:val="22"/>
                <w:szCs w:val="22"/>
              </w:rPr>
              <w:t>26 (2.1)</w:t>
            </w:r>
          </w:p>
        </w:tc>
        <w:tc>
          <w:tcPr>
            <w:tcW w:w="1276" w:type="dxa"/>
          </w:tcPr>
          <w:p w:rsidR="008872C6" w:rsidRPr="0051061D" w:rsidRDefault="008872C6" w:rsidP="00AC0EF9">
            <w:pPr>
              <w:spacing w:before="60" w:after="60"/>
              <w:jc w:val="center"/>
              <w:rPr>
                <w:sz w:val="22"/>
                <w:szCs w:val="22"/>
              </w:rPr>
            </w:pPr>
            <w:r w:rsidRPr="0051061D">
              <w:rPr>
                <w:sz w:val="22"/>
                <w:szCs w:val="22"/>
              </w:rPr>
              <w:t>3 (0.4)</w:t>
            </w:r>
          </w:p>
        </w:tc>
        <w:tc>
          <w:tcPr>
            <w:tcW w:w="1701" w:type="dxa"/>
          </w:tcPr>
          <w:p w:rsidR="008872C6" w:rsidRPr="0051061D" w:rsidRDefault="008872C6" w:rsidP="00AC0EF9">
            <w:pPr>
              <w:spacing w:before="60" w:after="60"/>
              <w:jc w:val="center"/>
              <w:rPr>
                <w:sz w:val="22"/>
                <w:szCs w:val="22"/>
              </w:rPr>
            </w:pPr>
            <w:r w:rsidRPr="0051061D">
              <w:rPr>
                <w:sz w:val="22"/>
                <w:szCs w:val="22"/>
              </w:rPr>
              <w:t>1 (0.5)</w:t>
            </w:r>
          </w:p>
        </w:tc>
      </w:tr>
      <w:tr w:rsidR="008872C6" w:rsidRPr="0051061D" w:rsidTr="00AC0EF9">
        <w:tc>
          <w:tcPr>
            <w:tcW w:w="3135" w:type="dxa"/>
            <w:tcBorders>
              <w:top w:val="single" w:sz="4" w:space="0" w:color="000000"/>
              <w:left w:val="single" w:sz="4" w:space="0" w:color="000000"/>
              <w:bottom w:val="single" w:sz="4" w:space="0" w:color="000000"/>
              <w:right w:val="single" w:sz="4" w:space="0" w:color="000000"/>
            </w:tcBorders>
          </w:tcPr>
          <w:p w:rsidR="008872C6" w:rsidRPr="0051061D" w:rsidRDefault="008872C6" w:rsidP="00AC0EF9">
            <w:pPr>
              <w:spacing w:before="60" w:after="60"/>
              <w:jc w:val="left"/>
              <w:rPr>
                <w:sz w:val="22"/>
                <w:szCs w:val="22"/>
              </w:rPr>
            </w:pPr>
            <w:r w:rsidRPr="0051061D">
              <w:rPr>
                <w:sz w:val="22"/>
                <w:szCs w:val="22"/>
              </w:rPr>
              <w:t xml:space="preserve">Alanine aminotransferase increased </w:t>
            </w:r>
          </w:p>
        </w:tc>
        <w:tc>
          <w:tcPr>
            <w:tcW w:w="1509" w:type="dxa"/>
            <w:tcBorders>
              <w:top w:val="single" w:sz="4" w:space="0" w:color="000000"/>
              <w:left w:val="single" w:sz="4" w:space="0" w:color="000000"/>
              <w:bottom w:val="single" w:sz="4" w:space="0" w:color="000000"/>
              <w:right w:val="single" w:sz="4" w:space="0" w:color="000000"/>
            </w:tcBorders>
          </w:tcPr>
          <w:p w:rsidR="008872C6" w:rsidRPr="0051061D" w:rsidRDefault="008872C6" w:rsidP="00AC0EF9">
            <w:pPr>
              <w:spacing w:before="60" w:after="60"/>
              <w:jc w:val="center"/>
              <w:rPr>
                <w:sz w:val="22"/>
                <w:szCs w:val="22"/>
              </w:rPr>
            </w:pPr>
            <w:r w:rsidRPr="0051061D">
              <w:rPr>
                <w:sz w:val="22"/>
                <w:szCs w:val="22"/>
              </w:rPr>
              <w:t>14 (1.2)</w:t>
            </w:r>
          </w:p>
        </w:tc>
        <w:tc>
          <w:tcPr>
            <w:tcW w:w="1418" w:type="dxa"/>
            <w:tcBorders>
              <w:top w:val="single" w:sz="4" w:space="0" w:color="000000"/>
              <w:left w:val="single" w:sz="4" w:space="0" w:color="000000"/>
              <w:bottom w:val="single" w:sz="4" w:space="0" w:color="000000"/>
              <w:right w:val="single" w:sz="4" w:space="0" w:color="000000"/>
            </w:tcBorders>
          </w:tcPr>
          <w:p w:rsidR="008872C6" w:rsidRPr="0051061D" w:rsidRDefault="008872C6" w:rsidP="00AC0EF9">
            <w:pPr>
              <w:spacing w:before="60" w:after="60"/>
              <w:jc w:val="center"/>
              <w:rPr>
                <w:sz w:val="22"/>
                <w:szCs w:val="22"/>
              </w:rPr>
            </w:pPr>
            <w:r w:rsidRPr="0051061D">
              <w:rPr>
                <w:sz w:val="22"/>
                <w:szCs w:val="22"/>
              </w:rPr>
              <w:t>15 (1.2)</w:t>
            </w:r>
          </w:p>
        </w:tc>
        <w:tc>
          <w:tcPr>
            <w:tcW w:w="1276" w:type="dxa"/>
            <w:tcBorders>
              <w:top w:val="single" w:sz="4" w:space="0" w:color="000000"/>
              <w:left w:val="single" w:sz="4" w:space="0" w:color="000000"/>
              <w:bottom w:val="single" w:sz="4" w:space="0" w:color="000000"/>
              <w:right w:val="single" w:sz="4" w:space="0" w:color="000000"/>
            </w:tcBorders>
          </w:tcPr>
          <w:p w:rsidR="008872C6" w:rsidRPr="0051061D" w:rsidRDefault="008872C6" w:rsidP="00AC0EF9">
            <w:pPr>
              <w:spacing w:before="60" w:after="60"/>
              <w:jc w:val="center"/>
              <w:rPr>
                <w:sz w:val="22"/>
                <w:szCs w:val="22"/>
              </w:rPr>
            </w:pPr>
            <w:r w:rsidRPr="0051061D">
              <w:rPr>
                <w:sz w:val="22"/>
                <w:szCs w:val="22"/>
              </w:rPr>
              <w:t>7 (1.0)</w:t>
            </w:r>
          </w:p>
        </w:tc>
        <w:tc>
          <w:tcPr>
            <w:tcW w:w="1701" w:type="dxa"/>
            <w:tcBorders>
              <w:top w:val="single" w:sz="4" w:space="0" w:color="000000"/>
              <w:left w:val="single" w:sz="4" w:space="0" w:color="000000"/>
              <w:bottom w:val="single" w:sz="4" w:space="0" w:color="000000"/>
              <w:right w:val="single" w:sz="4" w:space="0" w:color="000000"/>
            </w:tcBorders>
          </w:tcPr>
          <w:p w:rsidR="008872C6" w:rsidRPr="0051061D" w:rsidRDefault="008872C6" w:rsidP="00AC0EF9">
            <w:pPr>
              <w:spacing w:before="60" w:after="60"/>
              <w:jc w:val="center"/>
              <w:rPr>
                <w:sz w:val="22"/>
                <w:szCs w:val="22"/>
              </w:rPr>
            </w:pPr>
            <w:r w:rsidRPr="0051061D">
              <w:rPr>
                <w:sz w:val="22"/>
                <w:szCs w:val="22"/>
              </w:rPr>
              <w:t>1 (0.5)</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 xml:space="preserve">Weight increased </w:t>
            </w:r>
          </w:p>
        </w:tc>
        <w:tc>
          <w:tcPr>
            <w:tcW w:w="1509" w:type="dxa"/>
          </w:tcPr>
          <w:p w:rsidR="008872C6" w:rsidRPr="0051061D" w:rsidRDefault="008872C6" w:rsidP="00AC0EF9">
            <w:pPr>
              <w:spacing w:before="60" w:after="60"/>
              <w:jc w:val="center"/>
              <w:rPr>
                <w:sz w:val="22"/>
                <w:szCs w:val="22"/>
              </w:rPr>
            </w:pPr>
            <w:r w:rsidRPr="0051061D">
              <w:rPr>
                <w:sz w:val="22"/>
                <w:szCs w:val="22"/>
              </w:rPr>
              <w:t>11 (0.9)</w:t>
            </w:r>
          </w:p>
        </w:tc>
        <w:tc>
          <w:tcPr>
            <w:tcW w:w="1418" w:type="dxa"/>
          </w:tcPr>
          <w:p w:rsidR="008872C6" w:rsidRPr="0051061D" w:rsidRDefault="008872C6" w:rsidP="00AC0EF9">
            <w:pPr>
              <w:spacing w:before="60" w:after="60"/>
              <w:jc w:val="center"/>
              <w:rPr>
                <w:sz w:val="22"/>
                <w:szCs w:val="22"/>
              </w:rPr>
            </w:pPr>
            <w:r w:rsidRPr="0051061D">
              <w:rPr>
                <w:sz w:val="22"/>
                <w:szCs w:val="22"/>
              </w:rPr>
              <w:t>13 (1.1)</w:t>
            </w:r>
          </w:p>
        </w:tc>
        <w:tc>
          <w:tcPr>
            <w:tcW w:w="1276" w:type="dxa"/>
          </w:tcPr>
          <w:p w:rsidR="008872C6" w:rsidRPr="0051061D" w:rsidRDefault="008872C6" w:rsidP="00AC0EF9">
            <w:pPr>
              <w:spacing w:before="60" w:after="60"/>
              <w:jc w:val="center"/>
              <w:rPr>
                <w:sz w:val="22"/>
                <w:szCs w:val="22"/>
              </w:rPr>
            </w:pPr>
            <w:r w:rsidRPr="0051061D">
              <w:rPr>
                <w:sz w:val="22"/>
                <w:szCs w:val="22"/>
              </w:rPr>
              <w:t>4 (0.6)</w:t>
            </w:r>
          </w:p>
        </w:tc>
        <w:tc>
          <w:tcPr>
            <w:tcW w:w="1701" w:type="dxa"/>
          </w:tcPr>
          <w:p w:rsidR="008872C6" w:rsidRPr="0051061D" w:rsidRDefault="008872C6" w:rsidP="00AC0EF9">
            <w:pPr>
              <w:spacing w:before="60" w:after="60"/>
              <w:jc w:val="center"/>
              <w:rPr>
                <w:sz w:val="22"/>
                <w:szCs w:val="22"/>
              </w:rPr>
            </w:pPr>
            <w:r w:rsidRPr="0051061D">
              <w:rPr>
                <w:sz w:val="22"/>
                <w:szCs w:val="22"/>
              </w:rPr>
              <w:t>2 (1.0)</w:t>
            </w:r>
          </w:p>
        </w:tc>
      </w:tr>
      <w:tr w:rsidR="008872C6" w:rsidRPr="0051061D" w:rsidTr="00AC0EF9">
        <w:tc>
          <w:tcPr>
            <w:tcW w:w="9039" w:type="dxa"/>
            <w:gridSpan w:val="5"/>
          </w:tcPr>
          <w:p w:rsidR="008872C6" w:rsidRPr="0051061D" w:rsidRDefault="008872C6" w:rsidP="00AC0EF9">
            <w:pPr>
              <w:spacing w:before="60" w:after="60"/>
              <w:rPr>
                <w:sz w:val="22"/>
                <w:szCs w:val="22"/>
              </w:rPr>
            </w:pPr>
            <w:r w:rsidRPr="0051061D">
              <w:rPr>
                <w:b/>
                <w:sz w:val="22"/>
                <w:szCs w:val="22"/>
              </w:rPr>
              <w:t>Injury, Poisoning and Procedural Complications</w:t>
            </w:r>
          </w:p>
        </w:tc>
      </w:tr>
      <w:tr w:rsidR="008872C6" w:rsidRPr="0051061D" w:rsidTr="00AC0EF9">
        <w:tc>
          <w:tcPr>
            <w:tcW w:w="3135" w:type="dxa"/>
          </w:tcPr>
          <w:p w:rsidR="008872C6" w:rsidRPr="0051061D" w:rsidRDefault="008872C6" w:rsidP="00AC0EF9">
            <w:pPr>
              <w:spacing w:before="60" w:after="60"/>
              <w:rPr>
                <w:b/>
                <w:sz w:val="22"/>
                <w:szCs w:val="22"/>
              </w:rPr>
            </w:pPr>
            <w:r w:rsidRPr="0051061D">
              <w:rPr>
                <w:sz w:val="22"/>
                <w:szCs w:val="22"/>
              </w:rPr>
              <w:t>Fall</w:t>
            </w:r>
          </w:p>
        </w:tc>
        <w:tc>
          <w:tcPr>
            <w:tcW w:w="1509" w:type="dxa"/>
          </w:tcPr>
          <w:p w:rsidR="008872C6" w:rsidRPr="0051061D" w:rsidRDefault="008872C6" w:rsidP="00AC0EF9">
            <w:pPr>
              <w:spacing w:before="60" w:after="60"/>
              <w:jc w:val="center"/>
              <w:rPr>
                <w:sz w:val="22"/>
                <w:szCs w:val="22"/>
              </w:rPr>
            </w:pPr>
            <w:r w:rsidRPr="0051061D">
              <w:rPr>
                <w:sz w:val="22"/>
                <w:szCs w:val="22"/>
              </w:rPr>
              <w:t>7 (0.6)</w:t>
            </w:r>
          </w:p>
        </w:tc>
        <w:tc>
          <w:tcPr>
            <w:tcW w:w="1418" w:type="dxa"/>
          </w:tcPr>
          <w:p w:rsidR="008872C6" w:rsidRPr="0051061D" w:rsidRDefault="008872C6" w:rsidP="00AC0EF9">
            <w:pPr>
              <w:spacing w:before="60" w:after="60"/>
              <w:jc w:val="center"/>
              <w:rPr>
                <w:sz w:val="22"/>
                <w:szCs w:val="22"/>
              </w:rPr>
            </w:pPr>
            <w:r w:rsidRPr="0051061D">
              <w:rPr>
                <w:sz w:val="22"/>
                <w:szCs w:val="22"/>
              </w:rPr>
              <w:t>13 (1.1)</w:t>
            </w:r>
          </w:p>
        </w:tc>
        <w:tc>
          <w:tcPr>
            <w:tcW w:w="1276" w:type="dxa"/>
          </w:tcPr>
          <w:p w:rsidR="008872C6" w:rsidRPr="0051061D" w:rsidRDefault="008872C6" w:rsidP="00AC0EF9">
            <w:pPr>
              <w:spacing w:before="60" w:after="60"/>
              <w:jc w:val="center"/>
              <w:rPr>
                <w:sz w:val="22"/>
                <w:szCs w:val="22"/>
              </w:rPr>
            </w:pPr>
            <w:r w:rsidRPr="0051061D">
              <w:rPr>
                <w:sz w:val="22"/>
                <w:szCs w:val="22"/>
              </w:rPr>
              <w:t>4 (0.6)</w:t>
            </w:r>
          </w:p>
        </w:tc>
        <w:tc>
          <w:tcPr>
            <w:tcW w:w="1701" w:type="dxa"/>
          </w:tcPr>
          <w:p w:rsidR="008872C6" w:rsidRPr="0051061D" w:rsidRDefault="008872C6" w:rsidP="00AC0EF9">
            <w:pPr>
              <w:spacing w:before="60" w:after="60"/>
              <w:jc w:val="center"/>
              <w:rPr>
                <w:sz w:val="22"/>
                <w:szCs w:val="22"/>
              </w:rPr>
            </w:pPr>
            <w:r w:rsidRPr="0051061D">
              <w:rPr>
                <w:sz w:val="22"/>
                <w:szCs w:val="22"/>
              </w:rPr>
              <w:t>1 (0.5)</w:t>
            </w:r>
          </w:p>
        </w:tc>
      </w:tr>
    </w:tbl>
    <w:p w:rsidR="008872C6" w:rsidRPr="0051061D" w:rsidRDefault="00FC5C8F" w:rsidP="008872C6">
      <w:pPr>
        <w:rPr>
          <w:b/>
          <w:u w:val="single"/>
          <w:lang w:val="en-CA"/>
        </w:rPr>
      </w:pPr>
      <w:r w:rsidRPr="00F654E2">
        <w:rPr>
          <w:rFonts w:eastAsia="MS Mincho"/>
          <w:sz w:val="18"/>
          <w:lang w:eastAsia="ja-JP"/>
        </w:rPr>
        <w:t>Abbreviations:</w:t>
      </w:r>
      <w:r>
        <w:rPr>
          <w:rFonts w:eastAsia="MS Mincho"/>
          <w:sz w:val="18"/>
          <w:lang w:eastAsia="ja-JP"/>
        </w:rPr>
        <w:t xml:space="preserve"> BD=twice daily; SC q2w =</w:t>
      </w:r>
      <w:r w:rsidRPr="00FC5C8F">
        <w:rPr>
          <w:sz w:val="18"/>
          <w:lang w:eastAsia="ja-JP"/>
        </w:rPr>
        <w:t xml:space="preserve"> </w:t>
      </w:r>
      <w:r w:rsidRPr="00F654E2">
        <w:rPr>
          <w:sz w:val="18"/>
          <w:lang w:eastAsia="ja-JP"/>
        </w:rPr>
        <w:t>subcutaneously once every 2 weeks</w:t>
      </w:r>
      <w:r w:rsidRPr="00616F73">
        <w:rPr>
          <w:rFonts w:eastAsia="MS Mincho"/>
          <w:sz w:val="18"/>
          <w:lang w:eastAsia="ja-JP"/>
        </w:rPr>
        <w:t>.</w:t>
      </w:r>
    </w:p>
    <w:p w:rsidR="004F3D81" w:rsidRPr="002E6E41" w:rsidRDefault="004F3D81" w:rsidP="004F3D81">
      <w:pPr>
        <w:pStyle w:val="PIHeading4"/>
        <w:rPr>
          <w:u w:val="single"/>
          <w:lang w:val="en-US"/>
        </w:rPr>
      </w:pPr>
      <w:r w:rsidRPr="002E6E41">
        <w:rPr>
          <w:u w:val="single"/>
          <w:lang w:val="en-US"/>
        </w:rPr>
        <w:t>Psoriatic Arthritis</w:t>
      </w:r>
    </w:p>
    <w:p w:rsidR="004F3D81" w:rsidRDefault="004F3D81" w:rsidP="004F3D81">
      <w:pPr>
        <w:pStyle w:val="CommentText"/>
        <w:rPr>
          <w:iCs/>
          <w:sz w:val="24"/>
          <w:lang w:val="en-AU"/>
        </w:rPr>
      </w:pPr>
      <w:r w:rsidRPr="003C3F7E">
        <w:rPr>
          <w:iCs/>
          <w:sz w:val="24"/>
        </w:rPr>
        <w:t xml:space="preserve">In active </w:t>
      </w:r>
      <w:proofErr w:type="spellStart"/>
      <w:r>
        <w:rPr>
          <w:iCs/>
          <w:sz w:val="24"/>
          <w:lang w:val="en-AU"/>
        </w:rPr>
        <w:t>PsA</w:t>
      </w:r>
      <w:proofErr w:type="spellEnd"/>
      <w:r w:rsidRPr="003C3F7E">
        <w:rPr>
          <w:iCs/>
          <w:sz w:val="24"/>
        </w:rPr>
        <w:t xml:space="preserve">, </w:t>
      </w:r>
      <w:r w:rsidRPr="003C3F7E">
        <w:rPr>
          <w:rStyle w:val="Instructions"/>
        </w:rPr>
        <w:t>the most commonly reported adverse reactions during the first 12 weeks in placebo</w:t>
      </w:r>
      <w:r>
        <w:rPr>
          <w:rStyle w:val="Instructions"/>
        </w:rPr>
        <w:noBreakHyphen/>
      </w:r>
      <w:r w:rsidRPr="003C3F7E">
        <w:rPr>
          <w:rStyle w:val="Instructions"/>
        </w:rPr>
        <w:t>controlled clinical trials (occurring in ≥</w:t>
      </w:r>
      <w:r w:rsidRPr="003C3F7E">
        <w:rPr>
          <w:rFonts w:eastAsia="Arial Unicode MS"/>
          <w:kern w:val="36"/>
        </w:rPr>
        <w:t> </w:t>
      </w:r>
      <w:r w:rsidRPr="003C3F7E">
        <w:rPr>
          <w:rStyle w:val="Instructions"/>
        </w:rPr>
        <w:t xml:space="preserve">2% of patients treated with XELJANZ and at least 1% greater than the rate observed in patients on placebo) were bronchitis, </w:t>
      </w:r>
      <w:proofErr w:type="spellStart"/>
      <w:r w:rsidRPr="003C3F7E">
        <w:rPr>
          <w:rStyle w:val="Instructions"/>
        </w:rPr>
        <w:t>diarrh</w:t>
      </w:r>
      <w:r w:rsidR="00CF60B4">
        <w:rPr>
          <w:rStyle w:val="Instructions"/>
          <w:lang w:val="en-AU"/>
        </w:rPr>
        <w:t>o</w:t>
      </w:r>
      <w:r w:rsidRPr="003C3F7E">
        <w:rPr>
          <w:rStyle w:val="Instructions"/>
        </w:rPr>
        <w:t>ea</w:t>
      </w:r>
      <w:proofErr w:type="spellEnd"/>
      <w:r w:rsidRPr="003C3F7E">
        <w:rPr>
          <w:rStyle w:val="Instructions"/>
        </w:rPr>
        <w:t>, dyspepsia, fatigue, headache, nasopharyngitis, pharyngitis.</w:t>
      </w:r>
    </w:p>
    <w:p w:rsidR="004F3D81" w:rsidRPr="00701D39" w:rsidRDefault="004F3D81" w:rsidP="004F3D81">
      <w:pPr>
        <w:pStyle w:val="CommentText"/>
        <w:rPr>
          <w:iCs/>
          <w:sz w:val="24"/>
          <w:lang w:val="en-AU"/>
        </w:rPr>
      </w:pPr>
      <w:r w:rsidRPr="003C3F7E">
        <w:rPr>
          <w:rStyle w:val="Instructions"/>
        </w:rPr>
        <w:t>The proportion of patients who discontinued treatment due to any adverse reactions during the first 12 weeks of the double-blind placebo</w:t>
      </w:r>
      <w:r>
        <w:rPr>
          <w:rStyle w:val="Instructions"/>
        </w:rPr>
        <w:noBreakHyphen/>
      </w:r>
      <w:r w:rsidRPr="003C3F7E">
        <w:rPr>
          <w:rStyle w:val="Instructions"/>
        </w:rPr>
        <w:t xml:space="preserve">controlled studies </w:t>
      </w:r>
      <w:r w:rsidRPr="003C3F7E">
        <w:rPr>
          <w:sz w:val="24"/>
          <w:szCs w:val="24"/>
        </w:rPr>
        <w:t>was 3.2% for</w:t>
      </w:r>
      <w:r>
        <w:rPr>
          <w:sz w:val="24"/>
          <w:szCs w:val="24"/>
        </w:rPr>
        <w:t xml:space="preserve"> </w:t>
      </w:r>
      <w:r w:rsidRPr="003C3F7E">
        <w:rPr>
          <w:sz w:val="24"/>
          <w:szCs w:val="24"/>
        </w:rPr>
        <w:t xml:space="preserve">XELJANZ </w:t>
      </w:r>
      <w:r>
        <w:rPr>
          <w:sz w:val="24"/>
          <w:szCs w:val="24"/>
        </w:rPr>
        <w:t xml:space="preserve">treated patients </w:t>
      </w:r>
      <w:r w:rsidRPr="003C3F7E">
        <w:rPr>
          <w:sz w:val="24"/>
          <w:szCs w:val="24"/>
        </w:rPr>
        <w:t>and 2.5% for placebo-treated</w:t>
      </w:r>
      <w:r w:rsidRPr="003C3F7E">
        <w:t xml:space="preserve"> </w:t>
      </w:r>
      <w:r w:rsidRPr="003C3F7E">
        <w:rPr>
          <w:rStyle w:val="Instructions"/>
        </w:rPr>
        <w:t>patients. The most common infection resulting in discontinuation of therapy was sinusitis.</w:t>
      </w:r>
    </w:p>
    <w:p w:rsidR="004F3D81" w:rsidRDefault="004F3D81" w:rsidP="004F3D81">
      <w:pPr>
        <w:keepNext/>
        <w:tabs>
          <w:tab w:val="left" w:pos="567"/>
        </w:tabs>
        <w:rPr>
          <w:rFonts w:eastAsia="Arial Unicode MS"/>
          <w:color w:val="000000"/>
          <w:szCs w:val="24"/>
          <w:lang w:val="en"/>
        </w:rPr>
      </w:pPr>
      <w:r w:rsidRPr="003C3F7E">
        <w:t xml:space="preserve">Overall, the safety profile observed in patients with </w:t>
      </w:r>
      <w:r w:rsidRPr="00E57F38">
        <w:t>active</w:t>
      </w:r>
      <w:r>
        <w:t xml:space="preserve"> </w:t>
      </w:r>
      <w:proofErr w:type="spellStart"/>
      <w:r>
        <w:t>PsA</w:t>
      </w:r>
      <w:proofErr w:type="spellEnd"/>
      <w:r w:rsidRPr="003C3F7E">
        <w:t xml:space="preserve"> treated with </w:t>
      </w:r>
      <w:r w:rsidRPr="00D11C03">
        <w:rPr>
          <w:rFonts w:eastAsia="Arial Unicode MS"/>
          <w:color w:val="000000"/>
          <w:szCs w:val="24"/>
          <w:lang w:val="en"/>
        </w:rPr>
        <w:t xml:space="preserve">XELJANZ was consistent with the safety profile in patients with </w:t>
      </w:r>
      <w:r>
        <w:rPr>
          <w:rFonts w:eastAsia="Arial Unicode MS"/>
          <w:color w:val="000000"/>
          <w:szCs w:val="24"/>
          <w:lang w:val="en"/>
        </w:rPr>
        <w:t>RA</w:t>
      </w:r>
      <w:r w:rsidRPr="00D11C03">
        <w:rPr>
          <w:rFonts w:eastAsia="Arial Unicode MS"/>
          <w:color w:val="000000"/>
          <w:szCs w:val="24"/>
          <w:lang w:val="en"/>
        </w:rPr>
        <w:t>.</w:t>
      </w:r>
    </w:p>
    <w:p w:rsidR="00370C06" w:rsidRPr="00C87FDC" w:rsidRDefault="00370C06" w:rsidP="00370C06">
      <w:pPr>
        <w:pStyle w:val="PIHeading4"/>
        <w:rPr>
          <w:u w:val="single"/>
          <w:lang w:val="en-US"/>
        </w:rPr>
      </w:pPr>
      <w:r w:rsidRPr="00C87FDC">
        <w:rPr>
          <w:u w:val="single"/>
          <w:lang w:val="en-US"/>
        </w:rPr>
        <w:t>Ulcerative Colitis</w:t>
      </w:r>
    </w:p>
    <w:p w:rsidR="00370C06" w:rsidRPr="00E6659E" w:rsidRDefault="00370C06" w:rsidP="00370C06">
      <w:pPr>
        <w:pStyle w:val="Paragraph"/>
        <w:spacing w:after="0"/>
        <w:jc w:val="both"/>
        <w:rPr>
          <w:rFonts w:eastAsia="Arial Unicode MS"/>
        </w:rPr>
      </w:pPr>
      <w:r w:rsidRPr="00E6659E">
        <w:rPr>
          <w:rFonts w:eastAsia="Arial Unicode MS"/>
        </w:rPr>
        <w:t>The adverse reactions that occurred in at least 2% of patients receiving XELJANZ 10 mg twice daily and at least 1% greater than that observed in patients receiving placebo in the induction studies (Study UC</w:t>
      </w:r>
      <w:r>
        <w:rPr>
          <w:rFonts w:eastAsia="Arial Unicode MS"/>
        </w:rPr>
        <w:noBreakHyphen/>
      </w:r>
      <w:r w:rsidRPr="00E6659E">
        <w:rPr>
          <w:rFonts w:eastAsia="Arial Unicode MS"/>
        </w:rPr>
        <w:t>I, Study UC</w:t>
      </w:r>
      <w:r>
        <w:rPr>
          <w:rFonts w:eastAsia="Arial Unicode MS"/>
        </w:rPr>
        <w:noBreakHyphen/>
      </w:r>
      <w:r w:rsidRPr="00E6659E">
        <w:rPr>
          <w:rFonts w:eastAsia="Arial Unicode MS"/>
        </w:rPr>
        <w:t>II</w:t>
      </w:r>
      <w:r>
        <w:rPr>
          <w:rFonts w:eastAsia="Arial Unicode MS"/>
        </w:rPr>
        <w:t>,</w:t>
      </w:r>
      <w:r w:rsidRPr="00E6659E">
        <w:rPr>
          <w:rFonts w:eastAsia="Arial Unicode MS"/>
        </w:rPr>
        <w:t xml:space="preserve"> and Study UC</w:t>
      </w:r>
      <w:r>
        <w:rPr>
          <w:rFonts w:eastAsia="Arial Unicode MS"/>
        </w:rPr>
        <w:noBreakHyphen/>
      </w:r>
      <w:r w:rsidRPr="00E6659E">
        <w:rPr>
          <w:rFonts w:eastAsia="Arial Unicode MS"/>
        </w:rPr>
        <w:t>V) were increased blood creatine phosphokinase, nasopharyngitis, pyrexia, and headache.</w:t>
      </w:r>
    </w:p>
    <w:p w:rsidR="00370C06" w:rsidRDefault="00370C06" w:rsidP="00370C06">
      <w:pPr>
        <w:pStyle w:val="Paragraph"/>
        <w:spacing w:after="0"/>
        <w:jc w:val="both"/>
        <w:rPr>
          <w:rFonts w:eastAsia="Arial Unicode MS"/>
        </w:rPr>
      </w:pPr>
    </w:p>
    <w:p w:rsidR="00370C06" w:rsidRDefault="00370C06" w:rsidP="00370C06">
      <w:pPr>
        <w:pStyle w:val="Paragraph"/>
        <w:spacing w:after="0"/>
        <w:jc w:val="both"/>
        <w:rPr>
          <w:rFonts w:eastAsia="Arial Unicode MS"/>
          <w:b/>
          <w:vertAlign w:val="superscript"/>
        </w:rPr>
      </w:pPr>
      <w:r w:rsidRPr="00E6659E">
        <w:rPr>
          <w:rFonts w:eastAsia="Arial Unicode MS"/>
        </w:rPr>
        <w:t xml:space="preserve">In induction and maintenance studies, across all treatment groups, the most common categories of serious adverse reactions were gastrointestinal disorders and infections, and the most common serious adverse reaction was worsening of </w:t>
      </w:r>
      <w:r>
        <w:rPr>
          <w:rFonts w:eastAsia="Arial Unicode MS"/>
        </w:rPr>
        <w:t>UC</w:t>
      </w:r>
      <w:r w:rsidRPr="00E6659E">
        <w:rPr>
          <w:rFonts w:eastAsia="Arial Unicode MS"/>
        </w:rPr>
        <w:t>.</w:t>
      </w:r>
    </w:p>
    <w:p w:rsidR="00370C06" w:rsidRPr="00E6659E" w:rsidRDefault="00370C06" w:rsidP="00370C06">
      <w:pPr>
        <w:pStyle w:val="Paragraph"/>
        <w:spacing w:after="0"/>
        <w:jc w:val="both"/>
        <w:rPr>
          <w:rFonts w:eastAsia="Arial Unicode MS"/>
        </w:rPr>
      </w:pPr>
    </w:p>
    <w:p w:rsidR="00370C06" w:rsidRPr="00815422" w:rsidRDefault="00370C06" w:rsidP="00370C06">
      <w:pPr>
        <w:pStyle w:val="Paragraph"/>
        <w:spacing w:after="0"/>
        <w:jc w:val="both"/>
        <w:rPr>
          <w:rFonts w:eastAsia="Arial Unicode MS"/>
          <w:szCs w:val="18"/>
        </w:rPr>
      </w:pPr>
      <w:r w:rsidRPr="00E6659E">
        <w:rPr>
          <w:rFonts w:eastAsia="Arial Unicode MS"/>
        </w:rPr>
        <w:t xml:space="preserve">In the controlled clinical studies for </w:t>
      </w:r>
      <w:r>
        <w:rPr>
          <w:rFonts w:eastAsia="Arial Unicode MS"/>
        </w:rPr>
        <w:t>UC</w:t>
      </w:r>
      <w:r w:rsidRPr="00E6659E">
        <w:rPr>
          <w:rFonts w:eastAsia="Arial Unicode MS"/>
        </w:rPr>
        <w:t>, 1 case of breast cancer was reported in a placebo-treated patient and no cases of solid cancers or lymphoma were observed in XELJANZ</w:t>
      </w:r>
      <w:r>
        <w:rPr>
          <w:rFonts w:eastAsia="Arial Unicode MS"/>
        </w:rPr>
        <w:noBreakHyphen/>
      </w:r>
      <w:r w:rsidRPr="00E6659E">
        <w:rPr>
          <w:rFonts w:eastAsia="Arial Unicode MS"/>
        </w:rPr>
        <w:t>treated patients. Malignancies have also been observed in the long</w:t>
      </w:r>
      <w:r w:rsidRPr="00E6659E">
        <w:rPr>
          <w:rFonts w:eastAsia="Arial Unicode MS"/>
        </w:rPr>
        <w:noBreakHyphen/>
        <w:t xml:space="preserve">term extension study in patients with </w:t>
      </w:r>
      <w:r>
        <w:rPr>
          <w:rFonts w:eastAsia="Arial Unicode MS"/>
        </w:rPr>
        <w:t>UC</w:t>
      </w:r>
      <w:r w:rsidRPr="00E6659E">
        <w:rPr>
          <w:rFonts w:eastAsia="Arial Unicode MS"/>
        </w:rPr>
        <w:t xml:space="preserve"> treated with XELJANZ, including solid cancers and lymphoma.</w:t>
      </w:r>
    </w:p>
    <w:p w:rsidR="00370C06" w:rsidRPr="00E6659E" w:rsidRDefault="00370C06" w:rsidP="00370C06">
      <w:pPr>
        <w:pStyle w:val="Paragraph"/>
        <w:spacing w:after="0"/>
        <w:jc w:val="both"/>
        <w:rPr>
          <w:rFonts w:eastAsia="Arial Unicode MS"/>
        </w:rPr>
      </w:pPr>
    </w:p>
    <w:p w:rsidR="00370C06" w:rsidRPr="00815422" w:rsidRDefault="00370C06" w:rsidP="00370C06">
      <w:pPr>
        <w:pStyle w:val="Paragraph"/>
        <w:spacing w:after="0"/>
        <w:jc w:val="both"/>
        <w:rPr>
          <w:rFonts w:eastAsia="Arial Unicode MS"/>
          <w:color w:val="0D0D0D"/>
          <w:szCs w:val="18"/>
        </w:rPr>
      </w:pPr>
      <w:r w:rsidRPr="00E6659E">
        <w:rPr>
          <w:rFonts w:eastAsia="Arial Unicode MS"/>
        </w:rPr>
        <w:t xml:space="preserve">In induction and maintenance studies, the most frequent reason for study discontinuation was worsening of </w:t>
      </w:r>
      <w:r>
        <w:rPr>
          <w:rFonts w:eastAsia="Arial Unicode MS"/>
        </w:rPr>
        <w:t>UC</w:t>
      </w:r>
      <w:r w:rsidRPr="00E6659E">
        <w:rPr>
          <w:rFonts w:eastAsia="Arial Unicode MS"/>
        </w:rPr>
        <w:t xml:space="preserve">. Excluding discontinuations due to worsening of </w:t>
      </w:r>
      <w:r>
        <w:rPr>
          <w:rFonts w:eastAsia="Arial Unicode MS"/>
        </w:rPr>
        <w:t>UC</w:t>
      </w:r>
      <w:r w:rsidRPr="00E6659E">
        <w:rPr>
          <w:rFonts w:eastAsia="Arial Unicode MS"/>
        </w:rPr>
        <w:t>, the proportion of patients who discontinued due to adverse reactions was less than 5% in any of the XELJANZ or placebo treatment groups in these studies.</w:t>
      </w:r>
    </w:p>
    <w:p w:rsidR="00370C06" w:rsidRPr="00A8609F" w:rsidRDefault="00370C06" w:rsidP="00370C06">
      <w:pPr>
        <w:pStyle w:val="Paragraph"/>
        <w:spacing w:after="0"/>
        <w:jc w:val="both"/>
        <w:rPr>
          <w:rFonts w:eastAsia="Arial Unicode MS"/>
          <w:color w:val="0D0D0D"/>
        </w:rPr>
      </w:pPr>
    </w:p>
    <w:p w:rsidR="00370C06" w:rsidRDefault="00370C06" w:rsidP="00370C06">
      <w:pPr>
        <w:rPr>
          <w:rFonts w:eastAsia="Arial Unicode MS"/>
        </w:rPr>
      </w:pPr>
      <w:r w:rsidRPr="00E6659E">
        <w:rPr>
          <w:rFonts w:eastAsia="Arial Unicode MS"/>
        </w:rPr>
        <w:t xml:space="preserve">Overall, the safety profile observed in patients with </w:t>
      </w:r>
      <w:r>
        <w:rPr>
          <w:rFonts w:eastAsia="Arial Unicode MS"/>
        </w:rPr>
        <w:t>UC</w:t>
      </w:r>
      <w:r w:rsidRPr="00E6659E">
        <w:rPr>
          <w:rFonts w:eastAsia="Arial Unicode MS"/>
        </w:rPr>
        <w:t xml:space="preserve"> treated with XELJANZ was consistent with the safety profile </w:t>
      </w:r>
      <w:r>
        <w:rPr>
          <w:rFonts w:eastAsia="Arial Unicode MS"/>
        </w:rPr>
        <w:t xml:space="preserve">of </w:t>
      </w:r>
      <w:r w:rsidRPr="00E6659E">
        <w:rPr>
          <w:rFonts w:eastAsia="Arial Unicode MS"/>
        </w:rPr>
        <w:t>XELJANZ</w:t>
      </w:r>
      <w:r>
        <w:rPr>
          <w:rFonts w:eastAsia="Arial Unicode MS"/>
        </w:rPr>
        <w:t xml:space="preserve"> in the RA indication. </w:t>
      </w:r>
    </w:p>
    <w:p w:rsidR="00370C06" w:rsidRPr="0051061D" w:rsidRDefault="00370C06" w:rsidP="00370C06">
      <w:pPr>
        <w:rPr>
          <w:lang w:val="en-CA"/>
        </w:rPr>
      </w:pPr>
      <w:r w:rsidRPr="0051061D">
        <w:rPr>
          <w:lang w:val="en-CA"/>
        </w:rPr>
        <w:t xml:space="preserve">Table </w:t>
      </w:r>
      <w:r w:rsidR="001954B1">
        <w:rPr>
          <w:lang w:val="en-CA"/>
        </w:rPr>
        <w:t>4</w:t>
      </w:r>
      <w:r w:rsidRPr="0051061D">
        <w:rPr>
          <w:lang w:val="en-CA"/>
        </w:rPr>
        <w:t xml:space="preserve"> below lists the </w:t>
      </w:r>
      <w:r>
        <w:rPr>
          <w:lang w:val="en-CA"/>
        </w:rPr>
        <w:t xml:space="preserve">treatment-emergent </w:t>
      </w:r>
      <w:r w:rsidRPr="0051061D">
        <w:rPr>
          <w:lang w:val="en-CA"/>
        </w:rPr>
        <w:t>adverse events (</w:t>
      </w:r>
      <w:r>
        <w:rPr>
          <w:lang w:val="en-CA"/>
        </w:rPr>
        <w:t>all</w:t>
      </w:r>
      <w:r w:rsidRPr="0051061D">
        <w:rPr>
          <w:lang w:val="en-CA"/>
        </w:rPr>
        <w:t xml:space="preserve"> causality) occurring in </w:t>
      </w:r>
      <w:r w:rsidRPr="0051061D">
        <w:rPr>
          <w:rStyle w:val="Instructions"/>
        </w:rPr>
        <w:t>≥</w:t>
      </w:r>
      <w:r>
        <w:rPr>
          <w:lang w:val="en-CA"/>
        </w:rPr>
        <w:t>2</w:t>
      </w:r>
      <w:r w:rsidRPr="0051061D">
        <w:rPr>
          <w:lang w:val="en-CA"/>
        </w:rPr>
        <w:t xml:space="preserve">% of patients </w:t>
      </w:r>
      <w:r>
        <w:rPr>
          <w:lang w:val="en-CA"/>
        </w:rPr>
        <w:t>in any treatment group,</w:t>
      </w:r>
      <w:r w:rsidRPr="0051061D">
        <w:t xml:space="preserve"> </w:t>
      </w:r>
      <w:r w:rsidRPr="0051061D">
        <w:rPr>
          <w:lang w:val="en-CA"/>
        </w:rPr>
        <w:t>during the</w:t>
      </w:r>
      <w:r>
        <w:rPr>
          <w:lang w:val="en-CA"/>
        </w:rPr>
        <w:t xml:space="preserve"> Phase 2 and Phase 3 induction studies in the UC clinical program</w:t>
      </w:r>
      <w:r w:rsidRPr="0051061D">
        <w:rPr>
          <w:lang w:val="en-C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446"/>
        <w:gridCol w:w="2481"/>
      </w:tblGrid>
      <w:tr w:rsidR="00370C06" w:rsidTr="00D54414">
        <w:trPr>
          <w:cantSplit/>
          <w:tblHeader/>
        </w:trPr>
        <w:tc>
          <w:tcPr>
            <w:tcW w:w="9242" w:type="dxa"/>
            <w:gridSpan w:val="3"/>
            <w:tcBorders>
              <w:top w:val="nil"/>
              <w:left w:val="nil"/>
              <w:bottom w:val="single" w:sz="4" w:space="0" w:color="auto"/>
              <w:right w:val="nil"/>
            </w:tcBorders>
            <w:hideMark/>
          </w:tcPr>
          <w:p w:rsidR="00370C06" w:rsidRDefault="00370C06" w:rsidP="001954B1">
            <w:pPr>
              <w:pStyle w:val="Caption"/>
              <w:jc w:val="both"/>
              <w:rPr>
                <w:rFonts w:eastAsia="TimesNewRoman"/>
              </w:rPr>
            </w:pPr>
            <w:bookmarkStart w:id="0" w:name="_Ref520872405"/>
            <w:r>
              <w:rPr>
                <w:rFonts w:eastAsia="TimesNewRoman"/>
              </w:rPr>
              <w:lastRenderedPageBreak/>
              <w:t>Table</w:t>
            </w:r>
            <w:bookmarkEnd w:id="0"/>
            <w:r>
              <w:t xml:space="preserve"> </w:t>
            </w:r>
            <w:r w:rsidR="001954B1">
              <w:t>4</w:t>
            </w:r>
            <w:r>
              <w:rPr>
                <w:rFonts w:eastAsia="TimesNewRoman"/>
              </w:rPr>
              <w:t>.</w:t>
            </w:r>
            <w:r>
              <w:rPr>
                <w:rFonts w:eastAsia="TimesNewRoman"/>
              </w:rPr>
              <w:tab/>
              <w:t xml:space="preserve">Treatment-Emergent Adverse Events (All Causality) occurring in </w:t>
            </w:r>
            <w:r>
              <w:rPr>
                <w:rFonts w:eastAsia="TimesNewRoman"/>
              </w:rPr>
              <w:sym w:font="Symbol" w:char="F0B3"/>
            </w:r>
            <w:r>
              <w:rPr>
                <w:rFonts w:eastAsia="TimesNewRoman"/>
              </w:rPr>
              <w:t>2% of patients in any treatment group during the Phase 2 and Phase 3 induction studies in the UC clinical program</w:t>
            </w:r>
          </w:p>
        </w:tc>
      </w:tr>
      <w:tr w:rsidR="00370C06" w:rsidRPr="009F690F" w:rsidTr="00D54414">
        <w:trPr>
          <w:cantSplit/>
          <w:tblHeader/>
        </w:trPr>
        <w:tc>
          <w:tcPr>
            <w:tcW w:w="4315" w:type="dxa"/>
            <w:tcBorders>
              <w:top w:val="single" w:sz="4" w:space="0" w:color="auto"/>
            </w:tcBorders>
            <w:hideMark/>
          </w:tcPr>
          <w:p w:rsidR="00370C06" w:rsidRPr="00FB0D76" w:rsidRDefault="00370C06" w:rsidP="00D54414">
            <w:pPr>
              <w:pStyle w:val="TableTextColHead"/>
              <w:keepNext/>
              <w:spacing w:before="60" w:after="60"/>
              <w:rPr>
                <w:rFonts w:ascii="Times New Roman" w:eastAsia="TimesNewRoman" w:hAnsi="Times New Roman"/>
                <w:sz w:val="22"/>
                <w:szCs w:val="22"/>
              </w:rPr>
            </w:pPr>
            <w:r w:rsidRPr="00FB0D76">
              <w:rPr>
                <w:rFonts w:ascii="Times New Roman" w:eastAsia="TimesNewRoman" w:hAnsi="Times New Roman"/>
                <w:sz w:val="22"/>
                <w:szCs w:val="22"/>
              </w:rPr>
              <w:t>SOC</w:t>
            </w:r>
            <w:r w:rsidRPr="00FB0D76">
              <w:rPr>
                <w:rFonts w:ascii="Times New Roman" w:eastAsia="TimesNewRoman" w:hAnsi="Times New Roman"/>
                <w:sz w:val="22"/>
                <w:szCs w:val="22"/>
              </w:rPr>
              <w:br/>
              <w:t>PT</w:t>
            </w:r>
          </w:p>
        </w:tc>
        <w:tc>
          <w:tcPr>
            <w:tcW w:w="2446" w:type="dxa"/>
            <w:tcBorders>
              <w:top w:val="single" w:sz="4" w:space="0" w:color="auto"/>
            </w:tcBorders>
            <w:hideMark/>
          </w:tcPr>
          <w:p w:rsidR="00370C06" w:rsidRPr="00FB0D76" w:rsidRDefault="00370C06" w:rsidP="00D54414">
            <w:pPr>
              <w:pStyle w:val="TableTextColHead"/>
              <w:keepNext/>
              <w:spacing w:before="60" w:after="60"/>
              <w:rPr>
                <w:rFonts w:ascii="Times New Roman" w:eastAsia="TimesNewRoman" w:hAnsi="Times New Roman"/>
                <w:caps/>
                <w:sz w:val="22"/>
                <w:szCs w:val="22"/>
              </w:rPr>
            </w:pPr>
            <w:r w:rsidRPr="00FB0D76">
              <w:rPr>
                <w:rFonts w:ascii="Times New Roman" w:eastAsia="TimesNewRoman" w:hAnsi="Times New Roman"/>
                <w:sz w:val="22"/>
                <w:szCs w:val="22"/>
              </w:rPr>
              <w:t xml:space="preserve">Placebo </w:t>
            </w:r>
            <w:r w:rsidRPr="00FB0D76">
              <w:rPr>
                <w:rFonts w:ascii="Times New Roman" w:eastAsia="TimesNewRoman" w:hAnsi="Times New Roman"/>
                <w:sz w:val="22"/>
                <w:szCs w:val="22"/>
              </w:rPr>
              <w:br/>
              <w:t>(N = 282)</w:t>
            </w:r>
          </w:p>
        </w:tc>
        <w:tc>
          <w:tcPr>
            <w:tcW w:w="2481" w:type="dxa"/>
            <w:tcBorders>
              <w:top w:val="single" w:sz="4" w:space="0" w:color="auto"/>
            </w:tcBorders>
            <w:hideMark/>
          </w:tcPr>
          <w:p w:rsidR="00370C06" w:rsidRPr="00FB0D76" w:rsidRDefault="00370C06" w:rsidP="00D54414">
            <w:pPr>
              <w:pStyle w:val="TableTextColHead"/>
              <w:keepNext/>
              <w:spacing w:before="60" w:after="60"/>
              <w:rPr>
                <w:rFonts w:ascii="Times New Roman" w:eastAsia="TimesNewRoman" w:hAnsi="Times New Roman"/>
                <w:sz w:val="22"/>
                <w:szCs w:val="22"/>
              </w:rPr>
            </w:pPr>
            <w:r w:rsidRPr="00FB0D76">
              <w:rPr>
                <w:rFonts w:ascii="Times New Roman" w:eastAsia="TimesNewRoman" w:hAnsi="Times New Roman"/>
                <w:sz w:val="22"/>
                <w:szCs w:val="22"/>
              </w:rPr>
              <w:t xml:space="preserve">XELJANZ 10 mg BD </w:t>
            </w:r>
            <w:r w:rsidRPr="00FB0D76">
              <w:rPr>
                <w:rFonts w:ascii="Times New Roman" w:eastAsia="TimesNewRoman" w:hAnsi="Times New Roman"/>
                <w:sz w:val="22"/>
                <w:szCs w:val="22"/>
              </w:rPr>
              <w:br/>
              <w:t>(N = 938)</w:t>
            </w:r>
          </w:p>
        </w:tc>
      </w:tr>
      <w:tr w:rsidR="00370C06" w:rsidRPr="009F690F" w:rsidTr="00D54414">
        <w:trPr>
          <w:cantSplit/>
        </w:trPr>
        <w:tc>
          <w:tcPr>
            <w:tcW w:w="4315" w:type="dxa"/>
          </w:tcPr>
          <w:p w:rsidR="00370C06" w:rsidRPr="009F690F" w:rsidRDefault="00370C06" w:rsidP="00D54414">
            <w:pPr>
              <w:keepNext/>
              <w:autoSpaceDN w:val="0"/>
              <w:spacing w:before="60" w:after="60"/>
              <w:rPr>
                <w:rFonts w:eastAsia="TimesNewRoman"/>
                <w:sz w:val="22"/>
                <w:szCs w:val="22"/>
              </w:rPr>
            </w:pPr>
          </w:p>
        </w:tc>
        <w:tc>
          <w:tcPr>
            <w:tcW w:w="2446" w:type="dxa"/>
            <w:hideMark/>
          </w:tcPr>
          <w:p w:rsidR="00370C06" w:rsidRPr="009F690F" w:rsidRDefault="00370C06" w:rsidP="00D54414">
            <w:pPr>
              <w:keepNext/>
              <w:autoSpaceDN w:val="0"/>
              <w:spacing w:before="60" w:after="60"/>
              <w:jc w:val="center"/>
              <w:rPr>
                <w:rFonts w:eastAsia="TimesNewRoman"/>
                <w:b/>
                <w:caps/>
                <w:sz w:val="22"/>
                <w:szCs w:val="22"/>
              </w:rPr>
            </w:pPr>
            <w:proofErr w:type="gramStart"/>
            <w:r w:rsidRPr="009F690F">
              <w:rPr>
                <w:rFonts w:eastAsia="TimesNewRoman"/>
                <w:sz w:val="22"/>
                <w:szCs w:val="22"/>
              </w:rPr>
              <w:t>n</w:t>
            </w:r>
            <w:proofErr w:type="gramEnd"/>
            <w:r w:rsidRPr="009F690F">
              <w:rPr>
                <w:rFonts w:eastAsia="TimesNewRoman"/>
                <w:sz w:val="22"/>
                <w:szCs w:val="22"/>
              </w:rPr>
              <w:t xml:space="preserve"> (%)</w:t>
            </w:r>
          </w:p>
        </w:tc>
        <w:tc>
          <w:tcPr>
            <w:tcW w:w="2481" w:type="dxa"/>
            <w:hideMark/>
          </w:tcPr>
          <w:p w:rsidR="00370C06" w:rsidRPr="009F690F" w:rsidRDefault="00370C06" w:rsidP="00D54414">
            <w:pPr>
              <w:keepNext/>
              <w:autoSpaceDN w:val="0"/>
              <w:spacing w:before="60" w:after="60"/>
              <w:jc w:val="center"/>
              <w:rPr>
                <w:rFonts w:eastAsia="TimesNewRoman"/>
                <w:b/>
                <w:caps/>
                <w:sz w:val="22"/>
                <w:szCs w:val="22"/>
              </w:rPr>
            </w:pPr>
            <w:proofErr w:type="gramStart"/>
            <w:r w:rsidRPr="009F690F">
              <w:rPr>
                <w:rFonts w:eastAsia="TimesNewRoman"/>
                <w:sz w:val="22"/>
                <w:szCs w:val="22"/>
              </w:rPr>
              <w:t>n</w:t>
            </w:r>
            <w:proofErr w:type="gramEnd"/>
            <w:r w:rsidRPr="009F690F">
              <w:rPr>
                <w:rFonts w:eastAsia="TimesNewRoman"/>
                <w:sz w:val="22"/>
                <w:szCs w:val="22"/>
              </w:rPr>
              <w:t xml:space="preserve"> (%)</w:t>
            </w:r>
          </w:p>
        </w:tc>
      </w:tr>
      <w:tr w:rsidR="00370C06" w:rsidRPr="009F690F" w:rsidTr="00D54414">
        <w:trPr>
          <w:cantSplit/>
        </w:trPr>
        <w:tc>
          <w:tcPr>
            <w:tcW w:w="4315" w:type="dxa"/>
            <w:hideMark/>
          </w:tcPr>
          <w:p w:rsidR="00370C06" w:rsidRPr="00FB0D76" w:rsidRDefault="00370C06" w:rsidP="00D54414">
            <w:pPr>
              <w:pStyle w:val="TableText0"/>
              <w:keepNext/>
              <w:spacing w:before="60" w:after="60"/>
              <w:rPr>
                <w:rFonts w:eastAsia="TimesNewRoman" w:cs="Times New Roman"/>
                <w:b/>
                <w:sz w:val="22"/>
                <w:szCs w:val="22"/>
              </w:rPr>
            </w:pPr>
            <w:r w:rsidRPr="00FB0D76">
              <w:rPr>
                <w:rFonts w:cs="Times New Roman"/>
                <w:b/>
                <w:sz w:val="22"/>
                <w:szCs w:val="22"/>
              </w:rPr>
              <w:t>Blood and lymphatic system disorders</w:t>
            </w:r>
          </w:p>
        </w:tc>
        <w:tc>
          <w:tcPr>
            <w:tcW w:w="2446" w:type="dxa"/>
            <w:hideMark/>
          </w:tcPr>
          <w:p w:rsidR="00370C06" w:rsidRPr="00FB0D76" w:rsidRDefault="00370C06" w:rsidP="00D54414">
            <w:pPr>
              <w:pStyle w:val="TableText0"/>
              <w:keepNext/>
              <w:spacing w:before="60" w:after="60"/>
              <w:jc w:val="center"/>
              <w:rPr>
                <w:rFonts w:eastAsia="TimesNewRoman" w:cs="Times New Roman"/>
                <w:b/>
                <w:sz w:val="22"/>
                <w:szCs w:val="22"/>
              </w:rPr>
            </w:pPr>
            <w:r w:rsidRPr="00FB0D76">
              <w:rPr>
                <w:rFonts w:eastAsia="TimesNewRoman" w:cs="Times New Roman"/>
                <w:b/>
                <w:sz w:val="22"/>
                <w:szCs w:val="22"/>
              </w:rPr>
              <w:t>9 (3.19)</w:t>
            </w:r>
          </w:p>
        </w:tc>
        <w:tc>
          <w:tcPr>
            <w:tcW w:w="2481" w:type="dxa"/>
            <w:hideMark/>
          </w:tcPr>
          <w:p w:rsidR="00370C06" w:rsidRPr="00FB0D76" w:rsidRDefault="00370C06" w:rsidP="00D54414">
            <w:pPr>
              <w:pStyle w:val="TableText0"/>
              <w:keepNext/>
              <w:spacing w:before="60" w:after="60"/>
              <w:jc w:val="center"/>
              <w:rPr>
                <w:rFonts w:eastAsia="TimesNewRoman" w:cs="Times New Roman"/>
                <w:b/>
                <w:sz w:val="22"/>
                <w:szCs w:val="22"/>
              </w:rPr>
            </w:pPr>
            <w:r w:rsidRPr="00FB0D76">
              <w:rPr>
                <w:rFonts w:eastAsia="TimesNewRoman" w:cs="Times New Roman"/>
                <w:b/>
                <w:sz w:val="22"/>
                <w:szCs w:val="22"/>
              </w:rPr>
              <w:t>22 (2.35)</w:t>
            </w:r>
          </w:p>
        </w:tc>
      </w:tr>
      <w:tr w:rsidR="00370C06" w:rsidRPr="009F690F" w:rsidTr="00D54414">
        <w:trPr>
          <w:cantSplit/>
        </w:trPr>
        <w:tc>
          <w:tcPr>
            <w:tcW w:w="4315" w:type="dxa"/>
            <w:hideMark/>
          </w:tcPr>
          <w:p w:rsidR="00370C06" w:rsidRPr="00FB0D76" w:rsidRDefault="00370C06" w:rsidP="00D54414">
            <w:pPr>
              <w:pStyle w:val="TableText0"/>
              <w:keepNext/>
              <w:spacing w:before="60" w:after="60"/>
              <w:ind w:firstLine="360"/>
              <w:rPr>
                <w:rFonts w:eastAsia="Courier New" w:cs="Times New Roman"/>
                <w:b/>
                <w:caps/>
                <w:sz w:val="22"/>
                <w:szCs w:val="22"/>
              </w:rPr>
            </w:pPr>
            <w:proofErr w:type="spellStart"/>
            <w:r w:rsidRPr="00FB0D76">
              <w:rPr>
                <w:rFonts w:cs="Times New Roman"/>
                <w:sz w:val="22"/>
                <w:szCs w:val="22"/>
              </w:rPr>
              <w:t>Anaemia</w:t>
            </w:r>
            <w:proofErr w:type="spellEnd"/>
          </w:p>
        </w:tc>
        <w:tc>
          <w:tcPr>
            <w:tcW w:w="2446" w:type="dxa"/>
            <w:hideMark/>
          </w:tcPr>
          <w:p w:rsidR="00370C06" w:rsidRPr="00FB0D76" w:rsidRDefault="00370C06" w:rsidP="00D54414">
            <w:pPr>
              <w:pStyle w:val="TableText0"/>
              <w:keepNext/>
              <w:spacing w:before="60" w:after="60"/>
              <w:jc w:val="center"/>
              <w:rPr>
                <w:rFonts w:eastAsia="Courier New" w:cs="Times New Roman"/>
                <w:sz w:val="22"/>
                <w:szCs w:val="22"/>
              </w:rPr>
            </w:pPr>
            <w:r w:rsidRPr="00FB0D76">
              <w:rPr>
                <w:rFonts w:cs="Times New Roman"/>
                <w:sz w:val="22"/>
                <w:szCs w:val="22"/>
              </w:rPr>
              <w:t>9 (3.19)</w:t>
            </w:r>
          </w:p>
        </w:tc>
        <w:tc>
          <w:tcPr>
            <w:tcW w:w="2481" w:type="dxa"/>
            <w:hideMark/>
          </w:tcPr>
          <w:p w:rsidR="00370C06" w:rsidRPr="00FB0D76" w:rsidRDefault="00370C06" w:rsidP="00D54414">
            <w:pPr>
              <w:pStyle w:val="TableText0"/>
              <w:keepNext/>
              <w:spacing w:before="60" w:after="60"/>
              <w:jc w:val="center"/>
              <w:rPr>
                <w:rFonts w:cs="Times New Roman"/>
                <w:sz w:val="22"/>
                <w:szCs w:val="22"/>
              </w:rPr>
            </w:pPr>
            <w:r w:rsidRPr="00FB0D76">
              <w:rPr>
                <w:rFonts w:cs="Times New Roman"/>
                <w:sz w:val="22"/>
                <w:szCs w:val="22"/>
              </w:rPr>
              <w:t>22 (2.35)</w:t>
            </w:r>
          </w:p>
        </w:tc>
      </w:tr>
      <w:tr w:rsidR="00370C06" w:rsidRPr="009F690F" w:rsidTr="00D54414">
        <w:trPr>
          <w:cantSplit/>
        </w:trPr>
        <w:tc>
          <w:tcPr>
            <w:tcW w:w="4315" w:type="dxa"/>
            <w:hideMark/>
          </w:tcPr>
          <w:p w:rsidR="00370C06" w:rsidRPr="00FB0D76" w:rsidRDefault="00370C06" w:rsidP="00D54414">
            <w:pPr>
              <w:pStyle w:val="TableText0"/>
              <w:keepNext/>
              <w:spacing w:before="60" w:after="60"/>
              <w:rPr>
                <w:rFonts w:eastAsia="TimesNewRoman" w:cs="Times New Roman"/>
                <w:b/>
                <w:sz w:val="22"/>
                <w:szCs w:val="22"/>
              </w:rPr>
            </w:pPr>
            <w:r w:rsidRPr="00FB0D76">
              <w:rPr>
                <w:rFonts w:cs="Times New Roman"/>
                <w:b/>
                <w:sz w:val="22"/>
                <w:szCs w:val="22"/>
              </w:rPr>
              <w:t>Gastrointestinal disorders</w:t>
            </w:r>
          </w:p>
        </w:tc>
        <w:tc>
          <w:tcPr>
            <w:tcW w:w="2446" w:type="dxa"/>
            <w:hideMark/>
          </w:tcPr>
          <w:p w:rsidR="00370C06" w:rsidRPr="00FB0D76" w:rsidRDefault="00370C06" w:rsidP="00D54414">
            <w:pPr>
              <w:pStyle w:val="TableText0"/>
              <w:spacing w:before="60" w:after="60"/>
              <w:jc w:val="center"/>
              <w:rPr>
                <w:rFonts w:eastAsia="TimesNewRoman" w:cs="Times New Roman"/>
                <w:b/>
                <w:sz w:val="22"/>
                <w:szCs w:val="22"/>
              </w:rPr>
            </w:pPr>
            <w:r w:rsidRPr="00FB0D76">
              <w:rPr>
                <w:rFonts w:eastAsia="TimesNewRoman" w:cs="Times New Roman"/>
                <w:b/>
                <w:sz w:val="22"/>
                <w:szCs w:val="22"/>
              </w:rPr>
              <w:t>40 (14.18)</w:t>
            </w:r>
          </w:p>
        </w:tc>
        <w:tc>
          <w:tcPr>
            <w:tcW w:w="2481" w:type="dxa"/>
            <w:hideMark/>
          </w:tcPr>
          <w:p w:rsidR="00370C06" w:rsidRPr="00FB0D76" w:rsidRDefault="00370C06" w:rsidP="00D54414">
            <w:pPr>
              <w:pStyle w:val="TableText0"/>
              <w:spacing w:before="60" w:after="60"/>
              <w:jc w:val="center"/>
              <w:rPr>
                <w:rFonts w:eastAsia="TimesNewRoman" w:cs="Times New Roman"/>
                <w:b/>
                <w:sz w:val="22"/>
                <w:szCs w:val="22"/>
              </w:rPr>
            </w:pPr>
            <w:r w:rsidRPr="00FB0D76">
              <w:rPr>
                <w:rFonts w:eastAsia="TimesNewRoman" w:cs="Times New Roman"/>
                <w:b/>
                <w:sz w:val="22"/>
                <w:szCs w:val="22"/>
              </w:rPr>
              <w:t>72 (7.68)</w:t>
            </w:r>
          </w:p>
        </w:tc>
      </w:tr>
      <w:tr w:rsidR="00370C06" w:rsidRPr="009F690F" w:rsidTr="00D54414">
        <w:trPr>
          <w:cantSplit/>
        </w:trPr>
        <w:tc>
          <w:tcPr>
            <w:tcW w:w="4315" w:type="dxa"/>
            <w:hideMark/>
          </w:tcPr>
          <w:p w:rsidR="00370C06" w:rsidRPr="00FB0D76" w:rsidRDefault="00370C06" w:rsidP="00D54414">
            <w:pPr>
              <w:pStyle w:val="TableText0"/>
              <w:keepNext/>
              <w:spacing w:before="60" w:after="60"/>
              <w:ind w:firstLine="360"/>
              <w:rPr>
                <w:rFonts w:cs="Times New Roman"/>
                <w:sz w:val="22"/>
                <w:szCs w:val="22"/>
              </w:rPr>
            </w:pPr>
            <w:r w:rsidRPr="00FB0D76">
              <w:rPr>
                <w:rFonts w:cs="Times New Roman"/>
                <w:sz w:val="22"/>
                <w:szCs w:val="22"/>
              </w:rPr>
              <w:t>Abdominal pain</w:t>
            </w:r>
          </w:p>
        </w:tc>
        <w:tc>
          <w:tcPr>
            <w:tcW w:w="2446"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11 (3.90)</w:t>
            </w:r>
          </w:p>
        </w:tc>
        <w:tc>
          <w:tcPr>
            <w:tcW w:w="2481"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25 (2.67)</w:t>
            </w:r>
          </w:p>
        </w:tc>
      </w:tr>
      <w:tr w:rsidR="00370C06" w:rsidRPr="009F690F" w:rsidTr="00D54414">
        <w:trPr>
          <w:cantSplit/>
        </w:trPr>
        <w:tc>
          <w:tcPr>
            <w:tcW w:w="4315" w:type="dxa"/>
            <w:hideMark/>
          </w:tcPr>
          <w:p w:rsidR="00370C06" w:rsidRPr="00FB0D76" w:rsidRDefault="00370C06" w:rsidP="00D54414">
            <w:pPr>
              <w:pStyle w:val="TableText0"/>
              <w:keepNext/>
              <w:spacing w:before="60" w:after="60"/>
              <w:ind w:firstLine="360"/>
              <w:rPr>
                <w:rFonts w:cs="Times New Roman"/>
                <w:sz w:val="22"/>
                <w:szCs w:val="22"/>
              </w:rPr>
            </w:pPr>
            <w:r w:rsidRPr="00FB0D76">
              <w:rPr>
                <w:rFonts w:cs="Times New Roman"/>
                <w:sz w:val="22"/>
                <w:szCs w:val="22"/>
              </w:rPr>
              <w:t>Colitis ulcerative</w:t>
            </w:r>
          </w:p>
        </w:tc>
        <w:tc>
          <w:tcPr>
            <w:tcW w:w="2446"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20 (7.09)</w:t>
            </w:r>
          </w:p>
        </w:tc>
        <w:tc>
          <w:tcPr>
            <w:tcW w:w="2481"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26 (2.77)</w:t>
            </w:r>
          </w:p>
        </w:tc>
      </w:tr>
      <w:tr w:rsidR="00370C06" w:rsidRPr="009F690F" w:rsidTr="00D54414">
        <w:trPr>
          <w:cantSplit/>
        </w:trPr>
        <w:tc>
          <w:tcPr>
            <w:tcW w:w="4315" w:type="dxa"/>
            <w:hideMark/>
          </w:tcPr>
          <w:p w:rsidR="00370C06" w:rsidRPr="00FB0D76" w:rsidRDefault="00370C06" w:rsidP="00D54414">
            <w:pPr>
              <w:pStyle w:val="TableText0"/>
              <w:keepNext/>
              <w:spacing w:before="60" w:after="60"/>
              <w:ind w:firstLine="360"/>
              <w:rPr>
                <w:rFonts w:cs="Times New Roman"/>
                <w:sz w:val="22"/>
                <w:szCs w:val="22"/>
              </w:rPr>
            </w:pPr>
            <w:r w:rsidRPr="00FB0D76">
              <w:rPr>
                <w:rFonts w:cs="Times New Roman"/>
                <w:sz w:val="22"/>
                <w:szCs w:val="22"/>
              </w:rPr>
              <w:t>Nausea</w:t>
            </w:r>
          </w:p>
        </w:tc>
        <w:tc>
          <w:tcPr>
            <w:tcW w:w="2446"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11 (3.90)</w:t>
            </w:r>
          </w:p>
        </w:tc>
        <w:tc>
          <w:tcPr>
            <w:tcW w:w="2481"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28 (2.99)</w:t>
            </w:r>
          </w:p>
        </w:tc>
      </w:tr>
      <w:tr w:rsidR="00370C06" w:rsidRPr="009F690F" w:rsidTr="00D54414">
        <w:trPr>
          <w:cantSplit/>
        </w:trPr>
        <w:tc>
          <w:tcPr>
            <w:tcW w:w="4315" w:type="dxa"/>
            <w:hideMark/>
          </w:tcPr>
          <w:p w:rsidR="00370C06" w:rsidRPr="00FB0D76" w:rsidRDefault="00370C06" w:rsidP="00D54414">
            <w:pPr>
              <w:pStyle w:val="TableText0"/>
              <w:keepNext/>
              <w:spacing w:before="60" w:after="60"/>
              <w:rPr>
                <w:rFonts w:cs="Times New Roman"/>
                <w:b/>
                <w:sz w:val="22"/>
                <w:szCs w:val="22"/>
              </w:rPr>
            </w:pPr>
            <w:r w:rsidRPr="00FB0D76">
              <w:rPr>
                <w:rFonts w:cs="Times New Roman"/>
                <w:b/>
                <w:sz w:val="22"/>
                <w:szCs w:val="22"/>
              </w:rPr>
              <w:t>General disorders and administrative site conditions</w:t>
            </w:r>
          </w:p>
        </w:tc>
        <w:tc>
          <w:tcPr>
            <w:tcW w:w="2446" w:type="dxa"/>
            <w:hideMark/>
          </w:tcPr>
          <w:p w:rsidR="00370C06" w:rsidRPr="00FB0D76" w:rsidRDefault="00370C06" w:rsidP="00D54414">
            <w:pPr>
              <w:pStyle w:val="TableText0"/>
              <w:spacing w:before="60" w:after="60"/>
              <w:jc w:val="center"/>
              <w:rPr>
                <w:rFonts w:eastAsia="TimesNewRoman" w:cs="Times New Roman"/>
                <w:b/>
                <w:sz w:val="22"/>
                <w:szCs w:val="22"/>
              </w:rPr>
            </w:pPr>
            <w:r w:rsidRPr="00FB0D76">
              <w:rPr>
                <w:rFonts w:eastAsia="TimesNewRoman" w:cs="Times New Roman"/>
                <w:b/>
                <w:sz w:val="22"/>
                <w:szCs w:val="22"/>
              </w:rPr>
              <w:t>4 (1.42)</w:t>
            </w:r>
          </w:p>
        </w:tc>
        <w:tc>
          <w:tcPr>
            <w:tcW w:w="2481" w:type="dxa"/>
            <w:hideMark/>
          </w:tcPr>
          <w:p w:rsidR="00370C06" w:rsidRPr="00FB0D76" w:rsidRDefault="00370C06" w:rsidP="00D54414">
            <w:pPr>
              <w:pStyle w:val="TableText0"/>
              <w:spacing w:before="60" w:after="60"/>
              <w:jc w:val="center"/>
              <w:rPr>
                <w:rFonts w:eastAsia="TimesNewRoman" w:cs="Times New Roman"/>
                <w:b/>
                <w:sz w:val="22"/>
                <w:szCs w:val="22"/>
              </w:rPr>
            </w:pPr>
            <w:r w:rsidRPr="00FB0D76">
              <w:rPr>
                <w:rFonts w:eastAsia="TimesNewRoman" w:cs="Times New Roman"/>
                <w:b/>
                <w:sz w:val="22"/>
                <w:szCs w:val="22"/>
              </w:rPr>
              <w:t>24 (2.56)</w:t>
            </w:r>
          </w:p>
        </w:tc>
      </w:tr>
      <w:tr w:rsidR="00370C06" w:rsidRPr="009F690F" w:rsidTr="00D54414">
        <w:trPr>
          <w:cantSplit/>
        </w:trPr>
        <w:tc>
          <w:tcPr>
            <w:tcW w:w="4315" w:type="dxa"/>
            <w:hideMark/>
          </w:tcPr>
          <w:p w:rsidR="00370C06" w:rsidRPr="00FB0D76" w:rsidRDefault="00370C06" w:rsidP="00D54414">
            <w:pPr>
              <w:pStyle w:val="TableText0"/>
              <w:keepNext/>
              <w:spacing w:before="60" w:after="60"/>
              <w:ind w:firstLine="360"/>
              <w:rPr>
                <w:rFonts w:cs="Times New Roman"/>
                <w:sz w:val="22"/>
                <w:szCs w:val="22"/>
              </w:rPr>
            </w:pPr>
            <w:r w:rsidRPr="00FB0D76">
              <w:rPr>
                <w:rFonts w:cs="Times New Roman"/>
                <w:sz w:val="22"/>
                <w:szCs w:val="22"/>
              </w:rPr>
              <w:t>Pyrexia</w:t>
            </w:r>
          </w:p>
        </w:tc>
        <w:tc>
          <w:tcPr>
            <w:tcW w:w="2446"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4 (1.42)</w:t>
            </w:r>
          </w:p>
        </w:tc>
        <w:tc>
          <w:tcPr>
            <w:tcW w:w="2481"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24 (2.56)</w:t>
            </w:r>
          </w:p>
        </w:tc>
      </w:tr>
      <w:tr w:rsidR="00370C06" w:rsidRPr="009F690F" w:rsidTr="00D54414">
        <w:trPr>
          <w:cantSplit/>
        </w:trPr>
        <w:tc>
          <w:tcPr>
            <w:tcW w:w="4315" w:type="dxa"/>
            <w:hideMark/>
          </w:tcPr>
          <w:p w:rsidR="00370C06" w:rsidRPr="00FB0D76" w:rsidRDefault="00370C06" w:rsidP="00D54414">
            <w:pPr>
              <w:pStyle w:val="TableText0"/>
              <w:keepNext/>
              <w:spacing w:before="60" w:after="60"/>
              <w:rPr>
                <w:rFonts w:eastAsia="TimesNewRoman" w:cs="Times New Roman"/>
                <w:b/>
                <w:sz w:val="22"/>
                <w:szCs w:val="22"/>
              </w:rPr>
            </w:pPr>
            <w:r w:rsidRPr="00FB0D76">
              <w:rPr>
                <w:rFonts w:cs="Times New Roman"/>
                <w:b/>
                <w:sz w:val="22"/>
                <w:szCs w:val="22"/>
              </w:rPr>
              <w:t>Infections and infestations</w:t>
            </w:r>
          </w:p>
        </w:tc>
        <w:tc>
          <w:tcPr>
            <w:tcW w:w="2446" w:type="dxa"/>
            <w:hideMark/>
          </w:tcPr>
          <w:p w:rsidR="00370C06" w:rsidRPr="00FB0D76" w:rsidRDefault="00370C06" w:rsidP="00D54414">
            <w:pPr>
              <w:pStyle w:val="TableText0"/>
              <w:spacing w:before="60" w:after="60"/>
              <w:jc w:val="center"/>
              <w:rPr>
                <w:rFonts w:eastAsia="TimesNewRoman" w:cs="Times New Roman"/>
                <w:b/>
                <w:sz w:val="22"/>
                <w:szCs w:val="22"/>
              </w:rPr>
            </w:pPr>
            <w:r w:rsidRPr="00FB0D76">
              <w:rPr>
                <w:rFonts w:eastAsia="TimesNewRoman" w:cs="Times New Roman"/>
                <w:b/>
                <w:sz w:val="22"/>
                <w:szCs w:val="22"/>
              </w:rPr>
              <w:t>20 (7.09)</w:t>
            </w:r>
          </w:p>
        </w:tc>
        <w:tc>
          <w:tcPr>
            <w:tcW w:w="2481" w:type="dxa"/>
            <w:hideMark/>
          </w:tcPr>
          <w:p w:rsidR="00370C06" w:rsidRPr="00FB0D76" w:rsidRDefault="00370C06" w:rsidP="00D54414">
            <w:pPr>
              <w:pStyle w:val="TableText0"/>
              <w:spacing w:before="60" w:after="60"/>
              <w:jc w:val="center"/>
              <w:rPr>
                <w:rFonts w:eastAsia="TimesNewRoman" w:cs="Times New Roman"/>
                <w:b/>
                <w:sz w:val="22"/>
                <w:szCs w:val="22"/>
              </w:rPr>
            </w:pPr>
            <w:r w:rsidRPr="00FB0D76">
              <w:rPr>
                <w:rFonts w:eastAsia="TimesNewRoman" w:cs="Times New Roman"/>
                <w:b/>
                <w:sz w:val="22"/>
                <w:szCs w:val="22"/>
              </w:rPr>
              <w:t>82 (8.74)</w:t>
            </w:r>
          </w:p>
        </w:tc>
      </w:tr>
      <w:tr w:rsidR="00370C06" w:rsidRPr="009F690F" w:rsidTr="00D54414">
        <w:trPr>
          <w:cantSplit/>
        </w:trPr>
        <w:tc>
          <w:tcPr>
            <w:tcW w:w="4315" w:type="dxa"/>
            <w:hideMark/>
          </w:tcPr>
          <w:p w:rsidR="00370C06" w:rsidRPr="00FB0D76" w:rsidRDefault="00370C06" w:rsidP="00D54414">
            <w:pPr>
              <w:pStyle w:val="TableText0"/>
              <w:keepNext/>
              <w:spacing w:before="60" w:after="60"/>
              <w:ind w:firstLine="360"/>
              <w:rPr>
                <w:rFonts w:cs="Times New Roman"/>
                <w:sz w:val="22"/>
                <w:szCs w:val="22"/>
              </w:rPr>
            </w:pPr>
            <w:r w:rsidRPr="00FB0D76">
              <w:rPr>
                <w:rFonts w:cs="Times New Roman"/>
                <w:sz w:val="22"/>
                <w:szCs w:val="22"/>
              </w:rPr>
              <w:t>Nasopharyngitis</w:t>
            </w:r>
          </w:p>
        </w:tc>
        <w:tc>
          <w:tcPr>
            <w:tcW w:w="2446"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14 (4.96)</w:t>
            </w:r>
          </w:p>
        </w:tc>
        <w:tc>
          <w:tcPr>
            <w:tcW w:w="2481"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56 (5.97)</w:t>
            </w:r>
          </w:p>
        </w:tc>
      </w:tr>
      <w:tr w:rsidR="00370C06" w:rsidRPr="009F690F" w:rsidTr="00D54414">
        <w:trPr>
          <w:cantSplit/>
        </w:trPr>
        <w:tc>
          <w:tcPr>
            <w:tcW w:w="4315" w:type="dxa"/>
            <w:hideMark/>
          </w:tcPr>
          <w:p w:rsidR="00370C06" w:rsidRPr="00FB0D76" w:rsidRDefault="00370C06" w:rsidP="00D54414">
            <w:pPr>
              <w:pStyle w:val="TableText0"/>
              <w:keepNext/>
              <w:spacing w:before="60" w:after="60"/>
              <w:ind w:firstLine="360"/>
              <w:rPr>
                <w:rFonts w:cs="Times New Roman"/>
                <w:sz w:val="22"/>
                <w:szCs w:val="22"/>
              </w:rPr>
            </w:pPr>
            <w:r w:rsidRPr="00FB0D76">
              <w:rPr>
                <w:rFonts w:cs="Times New Roman"/>
                <w:sz w:val="22"/>
                <w:szCs w:val="22"/>
              </w:rPr>
              <w:t>Upper respiratory tract infection</w:t>
            </w:r>
          </w:p>
        </w:tc>
        <w:tc>
          <w:tcPr>
            <w:tcW w:w="2446"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6 (2.13)</w:t>
            </w:r>
          </w:p>
        </w:tc>
        <w:tc>
          <w:tcPr>
            <w:tcW w:w="2481"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26 (2.77)</w:t>
            </w:r>
          </w:p>
        </w:tc>
      </w:tr>
      <w:tr w:rsidR="00370C06" w:rsidRPr="009F690F" w:rsidTr="00D54414">
        <w:trPr>
          <w:cantSplit/>
        </w:trPr>
        <w:tc>
          <w:tcPr>
            <w:tcW w:w="4315" w:type="dxa"/>
            <w:hideMark/>
          </w:tcPr>
          <w:p w:rsidR="00370C06" w:rsidRPr="00FB0D76" w:rsidRDefault="00370C06" w:rsidP="00D54414">
            <w:pPr>
              <w:pStyle w:val="TableText0"/>
              <w:keepNext/>
              <w:spacing w:before="60" w:after="60"/>
              <w:rPr>
                <w:rFonts w:eastAsia="TimesNewRoman" w:cs="Times New Roman"/>
                <w:sz w:val="22"/>
                <w:szCs w:val="22"/>
              </w:rPr>
            </w:pPr>
            <w:r w:rsidRPr="00FB0D76">
              <w:rPr>
                <w:rFonts w:cs="Times New Roman"/>
                <w:b/>
                <w:sz w:val="22"/>
                <w:szCs w:val="22"/>
              </w:rPr>
              <w:t xml:space="preserve">Investigations </w:t>
            </w:r>
          </w:p>
        </w:tc>
        <w:tc>
          <w:tcPr>
            <w:tcW w:w="2446" w:type="dxa"/>
            <w:hideMark/>
          </w:tcPr>
          <w:p w:rsidR="00370C06" w:rsidRPr="00FB0D76" w:rsidRDefault="00370C06" w:rsidP="00D54414">
            <w:pPr>
              <w:pStyle w:val="TableText0"/>
              <w:spacing w:before="60" w:after="60"/>
              <w:jc w:val="center"/>
              <w:rPr>
                <w:rFonts w:eastAsia="TimesNewRoman" w:cs="Times New Roman"/>
                <w:b/>
                <w:sz w:val="22"/>
                <w:szCs w:val="22"/>
              </w:rPr>
            </w:pPr>
            <w:r w:rsidRPr="00FB0D76">
              <w:rPr>
                <w:rFonts w:eastAsia="TimesNewRoman" w:cs="Times New Roman"/>
                <w:b/>
                <w:sz w:val="22"/>
                <w:szCs w:val="22"/>
              </w:rPr>
              <w:t>3 (1.06)</w:t>
            </w:r>
          </w:p>
        </w:tc>
        <w:tc>
          <w:tcPr>
            <w:tcW w:w="2481" w:type="dxa"/>
            <w:hideMark/>
          </w:tcPr>
          <w:p w:rsidR="00370C06" w:rsidRPr="00FB0D76" w:rsidRDefault="00370C06" w:rsidP="00D54414">
            <w:pPr>
              <w:pStyle w:val="TableText0"/>
              <w:spacing w:before="60" w:after="60"/>
              <w:jc w:val="center"/>
              <w:rPr>
                <w:rFonts w:eastAsia="TimesNewRoman" w:cs="Times New Roman"/>
                <w:b/>
                <w:sz w:val="22"/>
                <w:szCs w:val="22"/>
              </w:rPr>
            </w:pPr>
            <w:r w:rsidRPr="00FB0D76">
              <w:rPr>
                <w:rFonts w:eastAsia="TimesNewRoman" w:cs="Times New Roman"/>
                <w:b/>
                <w:sz w:val="22"/>
                <w:szCs w:val="22"/>
              </w:rPr>
              <w:t>25 (2.67)</w:t>
            </w:r>
          </w:p>
        </w:tc>
      </w:tr>
      <w:tr w:rsidR="00370C06" w:rsidRPr="009F690F" w:rsidTr="00D54414">
        <w:trPr>
          <w:cantSplit/>
        </w:trPr>
        <w:tc>
          <w:tcPr>
            <w:tcW w:w="4315" w:type="dxa"/>
            <w:hideMark/>
          </w:tcPr>
          <w:p w:rsidR="00370C06" w:rsidRPr="00FB0D76" w:rsidRDefault="00370C06" w:rsidP="00D54414">
            <w:pPr>
              <w:pStyle w:val="TableText0"/>
              <w:keepNext/>
              <w:spacing w:before="60" w:after="60"/>
              <w:ind w:firstLine="360"/>
              <w:rPr>
                <w:rFonts w:cs="Times New Roman"/>
                <w:sz w:val="22"/>
                <w:szCs w:val="22"/>
              </w:rPr>
            </w:pPr>
            <w:r w:rsidRPr="00FB0D76">
              <w:rPr>
                <w:rFonts w:cs="Times New Roman"/>
                <w:sz w:val="22"/>
                <w:szCs w:val="22"/>
              </w:rPr>
              <w:t>Blood creatine phosphokinase increased</w:t>
            </w:r>
          </w:p>
        </w:tc>
        <w:tc>
          <w:tcPr>
            <w:tcW w:w="2446"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3 (1.06)</w:t>
            </w:r>
          </w:p>
        </w:tc>
        <w:tc>
          <w:tcPr>
            <w:tcW w:w="2481"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25 (2.67)</w:t>
            </w:r>
          </w:p>
        </w:tc>
      </w:tr>
      <w:tr w:rsidR="00370C06" w:rsidRPr="009F690F" w:rsidTr="00D54414">
        <w:trPr>
          <w:cantSplit/>
        </w:trPr>
        <w:tc>
          <w:tcPr>
            <w:tcW w:w="4315" w:type="dxa"/>
          </w:tcPr>
          <w:p w:rsidR="00370C06" w:rsidRPr="00FB0D76" w:rsidRDefault="00370C06" w:rsidP="00D54414">
            <w:pPr>
              <w:pStyle w:val="TableText0"/>
              <w:keepNext/>
              <w:spacing w:before="60" w:after="60"/>
              <w:ind w:firstLine="360"/>
              <w:rPr>
                <w:rFonts w:cs="Times New Roman"/>
                <w:sz w:val="22"/>
                <w:szCs w:val="22"/>
              </w:rPr>
            </w:pPr>
            <w:r>
              <w:rPr>
                <w:rFonts w:cs="Times New Roman"/>
                <w:sz w:val="22"/>
                <w:szCs w:val="22"/>
              </w:rPr>
              <w:t>Elevated cholesterol levels*</w:t>
            </w:r>
          </w:p>
        </w:tc>
        <w:tc>
          <w:tcPr>
            <w:tcW w:w="2446" w:type="dxa"/>
          </w:tcPr>
          <w:p w:rsidR="00370C06" w:rsidRPr="00FB0D76" w:rsidRDefault="00370C06" w:rsidP="00D54414">
            <w:pPr>
              <w:pStyle w:val="TableText0"/>
              <w:spacing w:before="60" w:after="60"/>
              <w:jc w:val="center"/>
              <w:rPr>
                <w:rFonts w:cs="Times New Roman"/>
                <w:sz w:val="22"/>
                <w:szCs w:val="22"/>
              </w:rPr>
            </w:pPr>
            <w:r>
              <w:rPr>
                <w:rFonts w:cs="Times New Roman"/>
                <w:sz w:val="22"/>
                <w:szCs w:val="22"/>
              </w:rPr>
              <w:t>0 (0.0)</w:t>
            </w:r>
          </w:p>
        </w:tc>
        <w:tc>
          <w:tcPr>
            <w:tcW w:w="2481" w:type="dxa"/>
          </w:tcPr>
          <w:p w:rsidR="00370C06" w:rsidRPr="00FB0D76" w:rsidRDefault="00370C06" w:rsidP="00D54414">
            <w:pPr>
              <w:pStyle w:val="TableText0"/>
              <w:spacing w:before="60" w:after="60"/>
              <w:jc w:val="center"/>
              <w:rPr>
                <w:rFonts w:cs="Times New Roman"/>
                <w:sz w:val="22"/>
                <w:szCs w:val="22"/>
              </w:rPr>
            </w:pPr>
            <w:r>
              <w:rPr>
                <w:rFonts w:cs="Times New Roman"/>
                <w:sz w:val="22"/>
                <w:szCs w:val="22"/>
              </w:rPr>
              <w:t>31 (3.3)</w:t>
            </w:r>
          </w:p>
        </w:tc>
      </w:tr>
      <w:tr w:rsidR="00370C06" w:rsidRPr="009F690F" w:rsidTr="00D54414">
        <w:trPr>
          <w:cantSplit/>
        </w:trPr>
        <w:tc>
          <w:tcPr>
            <w:tcW w:w="4315" w:type="dxa"/>
            <w:hideMark/>
          </w:tcPr>
          <w:p w:rsidR="00370C06" w:rsidRPr="00FB0D76" w:rsidRDefault="00370C06" w:rsidP="00D54414">
            <w:pPr>
              <w:pStyle w:val="TableText0"/>
              <w:keepNext/>
              <w:spacing w:before="60" w:after="60"/>
              <w:rPr>
                <w:rFonts w:eastAsia="TimesNewRoman" w:cs="Times New Roman"/>
                <w:b/>
                <w:sz w:val="22"/>
                <w:szCs w:val="22"/>
              </w:rPr>
            </w:pPr>
            <w:r w:rsidRPr="00FB0D76">
              <w:rPr>
                <w:rFonts w:cs="Times New Roman"/>
                <w:b/>
                <w:sz w:val="22"/>
                <w:szCs w:val="22"/>
              </w:rPr>
              <w:t>Musculoskeletal and connective tissue disorders</w:t>
            </w:r>
          </w:p>
        </w:tc>
        <w:tc>
          <w:tcPr>
            <w:tcW w:w="2446" w:type="dxa"/>
            <w:hideMark/>
          </w:tcPr>
          <w:p w:rsidR="00370C06" w:rsidRPr="00FB0D76" w:rsidRDefault="00370C06" w:rsidP="00D54414">
            <w:pPr>
              <w:pStyle w:val="TableText0"/>
              <w:spacing w:before="60" w:after="60"/>
              <w:jc w:val="center"/>
              <w:rPr>
                <w:rFonts w:eastAsia="TimesNewRoman" w:cs="Times New Roman"/>
                <w:b/>
                <w:sz w:val="22"/>
                <w:szCs w:val="22"/>
              </w:rPr>
            </w:pPr>
            <w:r w:rsidRPr="00FB0D76">
              <w:rPr>
                <w:rFonts w:eastAsia="TimesNewRoman" w:cs="Times New Roman"/>
                <w:b/>
                <w:sz w:val="22"/>
                <w:szCs w:val="22"/>
              </w:rPr>
              <w:t>12 (4.26)</w:t>
            </w:r>
          </w:p>
        </w:tc>
        <w:tc>
          <w:tcPr>
            <w:tcW w:w="2481" w:type="dxa"/>
            <w:hideMark/>
          </w:tcPr>
          <w:p w:rsidR="00370C06" w:rsidRPr="00FB0D76" w:rsidRDefault="00370C06" w:rsidP="00D54414">
            <w:pPr>
              <w:pStyle w:val="TableText0"/>
              <w:spacing w:before="60" w:after="60"/>
              <w:jc w:val="center"/>
              <w:rPr>
                <w:rFonts w:eastAsia="TimesNewRoman" w:cs="Times New Roman"/>
                <w:b/>
                <w:sz w:val="22"/>
                <w:szCs w:val="22"/>
              </w:rPr>
            </w:pPr>
            <w:r w:rsidRPr="00FB0D76">
              <w:rPr>
                <w:rFonts w:eastAsia="TimesNewRoman" w:cs="Times New Roman"/>
                <w:b/>
                <w:sz w:val="22"/>
                <w:szCs w:val="22"/>
              </w:rPr>
              <w:t>27 (2.88)</w:t>
            </w:r>
          </w:p>
        </w:tc>
      </w:tr>
      <w:tr w:rsidR="00370C06" w:rsidRPr="009F690F" w:rsidTr="00D54414">
        <w:trPr>
          <w:cantSplit/>
        </w:trPr>
        <w:tc>
          <w:tcPr>
            <w:tcW w:w="4315" w:type="dxa"/>
            <w:hideMark/>
          </w:tcPr>
          <w:p w:rsidR="00370C06" w:rsidRPr="00FB0D76" w:rsidRDefault="00370C06" w:rsidP="00D54414">
            <w:pPr>
              <w:pStyle w:val="TableText0"/>
              <w:keepNext/>
              <w:spacing w:before="60" w:after="60"/>
              <w:ind w:firstLine="360"/>
              <w:rPr>
                <w:rFonts w:cs="Times New Roman"/>
                <w:sz w:val="22"/>
                <w:szCs w:val="22"/>
              </w:rPr>
            </w:pPr>
            <w:r w:rsidRPr="00FB0D76">
              <w:rPr>
                <w:rFonts w:cs="Times New Roman"/>
                <w:sz w:val="22"/>
                <w:szCs w:val="22"/>
              </w:rPr>
              <w:t>Arthralgia</w:t>
            </w:r>
          </w:p>
        </w:tc>
        <w:tc>
          <w:tcPr>
            <w:tcW w:w="2446"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12 (4.26)</w:t>
            </w:r>
          </w:p>
        </w:tc>
        <w:tc>
          <w:tcPr>
            <w:tcW w:w="2481"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27 (2.88)</w:t>
            </w:r>
          </w:p>
        </w:tc>
      </w:tr>
      <w:tr w:rsidR="00370C06" w:rsidRPr="009F690F" w:rsidTr="00D54414">
        <w:trPr>
          <w:cantSplit/>
        </w:trPr>
        <w:tc>
          <w:tcPr>
            <w:tcW w:w="4315" w:type="dxa"/>
            <w:hideMark/>
          </w:tcPr>
          <w:p w:rsidR="00370C06" w:rsidRPr="00FB0D76" w:rsidRDefault="00370C06" w:rsidP="00D54414">
            <w:pPr>
              <w:pStyle w:val="TableText0"/>
              <w:keepNext/>
              <w:spacing w:before="60" w:after="60"/>
              <w:rPr>
                <w:rFonts w:eastAsia="TimesNewRoman" w:cs="Times New Roman"/>
                <w:b/>
                <w:sz w:val="22"/>
                <w:szCs w:val="22"/>
              </w:rPr>
            </w:pPr>
            <w:r w:rsidRPr="00FB0D76">
              <w:rPr>
                <w:rFonts w:cs="Times New Roman"/>
                <w:b/>
                <w:sz w:val="22"/>
                <w:szCs w:val="22"/>
              </w:rPr>
              <w:t>Nervous system disorders</w:t>
            </w:r>
          </w:p>
        </w:tc>
        <w:tc>
          <w:tcPr>
            <w:tcW w:w="2446" w:type="dxa"/>
            <w:hideMark/>
          </w:tcPr>
          <w:p w:rsidR="00370C06" w:rsidRPr="00FB0D76" w:rsidRDefault="00370C06" w:rsidP="00D54414">
            <w:pPr>
              <w:pStyle w:val="TableText0"/>
              <w:spacing w:before="60" w:after="60"/>
              <w:jc w:val="center"/>
              <w:rPr>
                <w:rFonts w:eastAsia="TimesNewRoman" w:cs="Times New Roman"/>
                <w:b/>
                <w:sz w:val="22"/>
                <w:szCs w:val="22"/>
              </w:rPr>
            </w:pPr>
            <w:r w:rsidRPr="00FB0D76">
              <w:rPr>
                <w:rFonts w:eastAsia="TimesNewRoman" w:cs="Times New Roman"/>
                <w:b/>
                <w:sz w:val="22"/>
                <w:szCs w:val="22"/>
              </w:rPr>
              <w:t>19 (6.74)</w:t>
            </w:r>
          </w:p>
        </w:tc>
        <w:tc>
          <w:tcPr>
            <w:tcW w:w="2481" w:type="dxa"/>
            <w:hideMark/>
          </w:tcPr>
          <w:p w:rsidR="00370C06" w:rsidRPr="00FB0D76" w:rsidRDefault="00370C06" w:rsidP="00D54414">
            <w:pPr>
              <w:pStyle w:val="TableText0"/>
              <w:spacing w:before="60" w:after="60"/>
              <w:jc w:val="center"/>
              <w:rPr>
                <w:rFonts w:eastAsia="TimesNewRoman" w:cs="Times New Roman"/>
                <w:b/>
                <w:sz w:val="22"/>
                <w:szCs w:val="22"/>
              </w:rPr>
            </w:pPr>
            <w:r w:rsidRPr="00FB0D76">
              <w:rPr>
                <w:rFonts w:eastAsia="TimesNewRoman" w:cs="Times New Roman"/>
                <w:b/>
                <w:sz w:val="22"/>
                <w:szCs w:val="22"/>
              </w:rPr>
              <w:t>73 (7.78)</w:t>
            </w:r>
          </w:p>
        </w:tc>
      </w:tr>
      <w:tr w:rsidR="00370C06" w:rsidRPr="009F690F" w:rsidTr="00D54414">
        <w:trPr>
          <w:cantSplit/>
        </w:trPr>
        <w:tc>
          <w:tcPr>
            <w:tcW w:w="4315" w:type="dxa"/>
            <w:hideMark/>
          </w:tcPr>
          <w:p w:rsidR="00370C06" w:rsidRPr="00FB0D76" w:rsidRDefault="00370C06" w:rsidP="00D54414">
            <w:pPr>
              <w:pStyle w:val="TableText0"/>
              <w:keepNext/>
              <w:spacing w:before="60" w:after="60"/>
              <w:ind w:firstLine="360"/>
              <w:rPr>
                <w:rFonts w:cs="Times New Roman"/>
                <w:sz w:val="22"/>
                <w:szCs w:val="22"/>
              </w:rPr>
            </w:pPr>
            <w:r w:rsidRPr="00FB0D76">
              <w:rPr>
                <w:rFonts w:cs="Times New Roman"/>
                <w:sz w:val="22"/>
                <w:szCs w:val="22"/>
              </w:rPr>
              <w:t>Headache</w:t>
            </w:r>
          </w:p>
        </w:tc>
        <w:tc>
          <w:tcPr>
            <w:tcW w:w="2446"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19 (6.74)</w:t>
            </w:r>
          </w:p>
        </w:tc>
        <w:tc>
          <w:tcPr>
            <w:tcW w:w="2481"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73 (7.78)</w:t>
            </w:r>
          </w:p>
        </w:tc>
      </w:tr>
      <w:tr w:rsidR="00370C06" w:rsidRPr="009F690F" w:rsidTr="00D54414">
        <w:trPr>
          <w:cantSplit/>
        </w:trPr>
        <w:tc>
          <w:tcPr>
            <w:tcW w:w="4315" w:type="dxa"/>
            <w:hideMark/>
          </w:tcPr>
          <w:p w:rsidR="00370C06" w:rsidRPr="00FB0D76" w:rsidRDefault="00370C06" w:rsidP="00D54414">
            <w:pPr>
              <w:pStyle w:val="TableText0"/>
              <w:keepNext/>
              <w:spacing w:before="60" w:after="60"/>
              <w:rPr>
                <w:rFonts w:eastAsia="TimesNewRoman" w:cs="Times New Roman"/>
                <w:b/>
                <w:sz w:val="22"/>
                <w:szCs w:val="22"/>
              </w:rPr>
            </w:pPr>
            <w:r w:rsidRPr="00FB0D76">
              <w:rPr>
                <w:rFonts w:cs="Times New Roman"/>
                <w:b/>
                <w:sz w:val="22"/>
                <w:szCs w:val="22"/>
              </w:rPr>
              <w:t>Respiratory, thoracic and mediastinal disorders</w:t>
            </w:r>
          </w:p>
        </w:tc>
        <w:tc>
          <w:tcPr>
            <w:tcW w:w="2446" w:type="dxa"/>
            <w:hideMark/>
          </w:tcPr>
          <w:p w:rsidR="00370C06" w:rsidRPr="00FB0D76" w:rsidRDefault="00370C06" w:rsidP="00D54414">
            <w:pPr>
              <w:pStyle w:val="TableText0"/>
              <w:spacing w:before="60" w:after="60"/>
              <w:jc w:val="center"/>
              <w:rPr>
                <w:rFonts w:eastAsia="TimesNewRoman" w:cs="Times New Roman"/>
                <w:b/>
                <w:sz w:val="22"/>
                <w:szCs w:val="22"/>
              </w:rPr>
            </w:pPr>
            <w:r w:rsidRPr="00FB0D76">
              <w:rPr>
                <w:rFonts w:eastAsia="TimesNewRoman" w:cs="Times New Roman"/>
                <w:b/>
                <w:sz w:val="22"/>
                <w:szCs w:val="22"/>
              </w:rPr>
              <w:t>7 (2.48)</w:t>
            </w:r>
          </w:p>
        </w:tc>
        <w:tc>
          <w:tcPr>
            <w:tcW w:w="2481" w:type="dxa"/>
            <w:hideMark/>
          </w:tcPr>
          <w:p w:rsidR="00370C06" w:rsidRPr="00FB0D76" w:rsidRDefault="00370C06" w:rsidP="00D54414">
            <w:pPr>
              <w:pStyle w:val="TableText0"/>
              <w:spacing w:before="60" w:after="60"/>
              <w:jc w:val="center"/>
              <w:rPr>
                <w:rFonts w:eastAsia="TimesNewRoman" w:cs="Times New Roman"/>
                <w:b/>
                <w:sz w:val="22"/>
                <w:szCs w:val="22"/>
              </w:rPr>
            </w:pPr>
            <w:r w:rsidRPr="00FB0D76">
              <w:rPr>
                <w:rFonts w:eastAsia="TimesNewRoman" w:cs="Times New Roman"/>
                <w:b/>
                <w:sz w:val="22"/>
                <w:szCs w:val="22"/>
              </w:rPr>
              <w:t>13 (1.39)</w:t>
            </w:r>
          </w:p>
        </w:tc>
      </w:tr>
      <w:tr w:rsidR="00370C06" w:rsidRPr="009F690F" w:rsidTr="00D54414">
        <w:trPr>
          <w:cantSplit/>
        </w:trPr>
        <w:tc>
          <w:tcPr>
            <w:tcW w:w="4315" w:type="dxa"/>
            <w:hideMark/>
          </w:tcPr>
          <w:p w:rsidR="00370C06" w:rsidRPr="00FB0D76" w:rsidRDefault="00370C06" w:rsidP="00D54414">
            <w:pPr>
              <w:pStyle w:val="TableText0"/>
              <w:keepNext/>
              <w:spacing w:before="60" w:after="60"/>
              <w:ind w:firstLine="360"/>
              <w:rPr>
                <w:rFonts w:cs="Times New Roman"/>
                <w:sz w:val="22"/>
                <w:szCs w:val="22"/>
              </w:rPr>
            </w:pPr>
            <w:r w:rsidRPr="00FB0D76">
              <w:rPr>
                <w:rFonts w:cs="Times New Roman"/>
                <w:sz w:val="22"/>
                <w:szCs w:val="22"/>
              </w:rPr>
              <w:t>Cough</w:t>
            </w:r>
          </w:p>
        </w:tc>
        <w:tc>
          <w:tcPr>
            <w:tcW w:w="2446"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7 (2.48)</w:t>
            </w:r>
          </w:p>
        </w:tc>
        <w:tc>
          <w:tcPr>
            <w:tcW w:w="2481"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13 (1.39)</w:t>
            </w:r>
          </w:p>
        </w:tc>
      </w:tr>
      <w:tr w:rsidR="00370C06" w:rsidRPr="009F690F" w:rsidTr="00D54414">
        <w:trPr>
          <w:cantSplit/>
        </w:trPr>
        <w:tc>
          <w:tcPr>
            <w:tcW w:w="4315" w:type="dxa"/>
            <w:hideMark/>
          </w:tcPr>
          <w:p w:rsidR="00370C06" w:rsidRPr="00FB0D76" w:rsidRDefault="00370C06" w:rsidP="00D54414">
            <w:pPr>
              <w:pStyle w:val="TableText0"/>
              <w:keepNext/>
              <w:spacing w:before="60" w:after="60"/>
              <w:rPr>
                <w:rFonts w:cs="Times New Roman"/>
                <w:b/>
                <w:sz w:val="22"/>
                <w:szCs w:val="22"/>
              </w:rPr>
            </w:pPr>
            <w:r w:rsidRPr="00FB0D76">
              <w:rPr>
                <w:rFonts w:cs="Times New Roman"/>
                <w:b/>
                <w:sz w:val="22"/>
                <w:szCs w:val="22"/>
              </w:rPr>
              <w:t>Skin and subcutaneous tissue disorders</w:t>
            </w:r>
          </w:p>
        </w:tc>
        <w:tc>
          <w:tcPr>
            <w:tcW w:w="2446" w:type="dxa"/>
            <w:hideMark/>
          </w:tcPr>
          <w:p w:rsidR="00370C06" w:rsidRPr="00FB0D76" w:rsidRDefault="00370C06" w:rsidP="00D54414">
            <w:pPr>
              <w:pStyle w:val="TableText0"/>
              <w:spacing w:before="60" w:after="60"/>
              <w:jc w:val="center"/>
              <w:rPr>
                <w:rFonts w:eastAsia="TimesNewRoman" w:cs="Times New Roman"/>
                <w:b/>
                <w:sz w:val="22"/>
                <w:szCs w:val="22"/>
              </w:rPr>
            </w:pPr>
            <w:r w:rsidRPr="00FB0D76">
              <w:rPr>
                <w:rFonts w:eastAsia="TimesNewRoman" w:cs="Times New Roman"/>
                <w:b/>
                <w:sz w:val="22"/>
                <w:szCs w:val="22"/>
              </w:rPr>
              <w:t>1 (0.35)</w:t>
            </w:r>
          </w:p>
        </w:tc>
        <w:tc>
          <w:tcPr>
            <w:tcW w:w="2481" w:type="dxa"/>
            <w:hideMark/>
          </w:tcPr>
          <w:p w:rsidR="00370C06" w:rsidRPr="00FB0D76" w:rsidRDefault="00370C06" w:rsidP="00D54414">
            <w:pPr>
              <w:pStyle w:val="TableText0"/>
              <w:spacing w:before="60" w:after="60"/>
              <w:jc w:val="center"/>
              <w:rPr>
                <w:rFonts w:eastAsia="TimesNewRoman" w:cs="Times New Roman"/>
                <w:b/>
                <w:sz w:val="22"/>
                <w:szCs w:val="22"/>
              </w:rPr>
            </w:pPr>
            <w:r w:rsidRPr="00FB0D76">
              <w:rPr>
                <w:rFonts w:eastAsia="TimesNewRoman" w:cs="Times New Roman"/>
                <w:b/>
                <w:sz w:val="22"/>
                <w:szCs w:val="22"/>
              </w:rPr>
              <w:t>25 (2.67)</w:t>
            </w:r>
          </w:p>
        </w:tc>
      </w:tr>
      <w:tr w:rsidR="00370C06" w:rsidRPr="009F690F" w:rsidTr="00D54414">
        <w:trPr>
          <w:cantSplit/>
        </w:trPr>
        <w:tc>
          <w:tcPr>
            <w:tcW w:w="4315" w:type="dxa"/>
            <w:hideMark/>
          </w:tcPr>
          <w:p w:rsidR="00370C06" w:rsidRPr="00FB0D76" w:rsidRDefault="00370C06" w:rsidP="00D54414">
            <w:pPr>
              <w:pStyle w:val="TableText0"/>
              <w:keepNext/>
              <w:spacing w:before="60" w:after="60"/>
              <w:ind w:firstLine="360"/>
              <w:rPr>
                <w:rFonts w:cs="Times New Roman"/>
                <w:sz w:val="22"/>
                <w:szCs w:val="22"/>
              </w:rPr>
            </w:pPr>
            <w:r w:rsidRPr="00FB0D76">
              <w:rPr>
                <w:rFonts w:cs="Times New Roman"/>
                <w:sz w:val="22"/>
                <w:szCs w:val="22"/>
              </w:rPr>
              <w:t>Acne</w:t>
            </w:r>
          </w:p>
        </w:tc>
        <w:tc>
          <w:tcPr>
            <w:tcW w:w="2446"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1 (0.35)</w:t>
            </w:r>
          </w:p>
        </w:tc>
        <w:tc>
          <w:tcPr>
            <w:tcW w:w="2481" w:type="dxa"/>
            <w:hideMark/>
          </w:tcPr>
          <w:p w:rsidR="00370C06" w:rsidRPr="00FB0D76" w:rsidRDefault="00370C06" w:rsidP="00D54414">
            <w:pPr>
              <w:pStyle w:val="TableText0"/>
              <w:spacing w:before="60" w:after="60"/>
              <w:jc w:val="center"/>
              <w:rPr>
                <w:rFonts w:cs="Times New Roman"/>
                <w:sz w:val="22"/>
                <w:szCs w:val="22"/>
              </w:rPr>
            </w:pPr>
            <w:r w:rsidRPr="00FB0D76">
              <w:rPr>
                <w:rFonts w:cs="Times New Roman"/>
                <w:sz w:val="22"/>
                <w:szCs w:val="22"/>
              </w:rPr>
              <w:t>25 (2.67)</w:t>
            </w:r>
          </w:p>
        </w:tc>
      </w:tr>
      <w:tr w:rsidR="00370C06" w:rsidTr="00D54414">
        <w:trPr>
          <w:cantSplit/>
        </w:trPr>
        <w:tc>
          <w:tcPr>
            <w:tcW w:w="9242" w:type="dxa"/>
            <w:gridSpan w:val="3"/>
            <w:hideMark/>
          </w:tcPr>
          <w:p w:rsidR="00370C06" w:rsidRDefault="00370C06" w:rsidP="00D54414">
            <w:pPr>
              <w:pStyle w:val="TableTextFootnote"/>
              <w:keepNext/>
              <w:ind w:left="180"/>
              <w:rPr>
                <w:color w:val="0000FF"/>
              </w:rPr>
            </w:pPr>
          </w:p>
          <w:p w:rsidR="00370C06" w:rsidRDefault="00370C06" w:rsidP="00D54414">
            <w:pPr>
              <w:pStyle w:val="TableTextFootnote"/>
              <w:keepNext/>
              <w:ind w:left="180"/>
              <w:rPr>
                <w:rFonts w:eastAsia="TimesNewRoman"/>
              </w:rPr>
            </w:pPr>
            <w:r>
              <w:rPr>
                <w:rFonts w:eastAsia="TimesNewRoman"/>
              </w:rPr>
              <w:t>Abbreviations: BD = twice daily</w:t>
            </w:r>
            <w:proofErr w:type="gramStart"/>
            <w:r>
              <w:rPr>
                <w:rFonts w:eastAsia="TimesNewRoman"/>
              </w:rPr>
              <w:t>;;</w:t>
            </w:r>
            <w:proofErr w:type="gramEnd"/>
            <w:r>
              <w:rPr>
                <w:rFonts w:eastAsia="TimesNewRoman"/>
              </w:rPr>
              <w:t xml:space="preserve"> PT = preferred term; SOC = system organ class; UC = ulcerative colitis.</w:t>
            </w:r>
          </w:p>
          <w:p w:rsidR="00370C06" w:rsidRDefault="00370C06" w:rsidP="00D54414">
            <w:pPr>
              <w:pStyle w:val="TableTextFootnote"/>
              <w:keepNext/>
              <w:ind w:left="180"/>
              <w:rPr>
                <w:rFonts w:eastAsia="TimesNewRoman"/>
              </w:rPr>
            </w:pPr>
            <w:r>
              <w:rPr>
                <w:rFonts w:eastAsia="TimesNewRoman"/>
              </w:rPr>
              <w:t>Subjects are only counted once per treatment for each row.</w:t>
            </w:r>
          </w:p>
          <w:p w:rsidR="00370C06" w:rsidRDefault="00370C06" w:rsidP="00D54414">
            <w:pPr>
              <w:pStyle w:val="TableTextFootnote"/>
              <w:keepNext/>
              <w:ind w:left="180"/>
              <w:rPr>
                <w:rFonts w:eastAsia="TimesNewRoman"/>
              </w:rPr>
            </w:pPr>
            <w:r>
              <w:rPr>
                <w:rFonts w:eastAsia="TimesNewRoman"/>
              </w:rPr>
              <w:t>*</w:t>
            </w:r>
            <w:r w:rsidRPr="002C3698">
              <w:rPr>
                <w:rFonts w:eastAsia="TimesNewRoman"/>
              </w:rPr>
              <w:t xml:space="preserve">includes: </w:t>
            </w:r>
            <w:proofErr w:type="spellStart"/>
            <w:r w:rsidRPr="002C3698">
              <w:rPr>
                <w:rFonts w:eastAsia="TimesNewRoman"/>
              </w:rPr>
              <w:t>hypercholesterol</w:t>
            </w:r>
            <w:r>
              <w:rPr>
                <w:rFonts w:eastAsia="TimesNewRoman"/>
              </w:rPr>
              <w:t>a</w:t>
            </w:r>
            <w:r w:rsidRPr="002C3698">
              <w:rPr>
                <w:rFonts w:eastAsia="TimesNewRoman"/>
              </w:rPr>
              <w:t>emia</w:t>
            </w:r>
            <w:proofErr w:type="spellEnd"/>
            <w:r w:rsidRPr="002C3698">
              <w:rPr>
                <w:rFonts w:eastAsia="TimesNewRoman"/>
              </w:rPr>
              <w:t xml:space="preserve">, </w:t>
            </w:r>
            <w:proofErr w:type="spellStart"/>
            <w:r w:rsidRPr="002C3698">
              <w:rPr>
                <w:rFonts w:eastAsia="TimesNewRoman"/>
              </w:rPr>
              <w:t>hyperlipid</w:t>
            </w:r>
            <w:r>
              <w:rPr>
                <w:rFonts w:eastAsia="TimesNewRoman"/>
              </w:rPr>
              <w:t>a</w:t>
            </w:r>
            <w:r w:rsidRPr="002C3698">
              <w:rPr>
                <w:rFonts w:eastAsia="TimesNewRoman"/>
              </w:rPr>
              <w:t>emia</w:t>
            </w:r>
            <w:proofErr w:type="spellEnd"/>
            <w:r w:rsidRPr="002C3698">
              <w:rPr>
                <w:rFonts w:eastAsia="TimesNewRoman"/>
              </w:rPr>
              <w:t xml:space="preserve">, blood cholesterol increased, </w:t>
            </w:r>
            <w:proofErr w:type="spellStart"/>
            <w:r w:rsidRPr="002C3698">
              <w:rPr>
                <w:rFonts w:eastAsia="TimesNewRoman"/>
              </w:rPr>
              <w:t>dyslipid</w:t>
            </w:r>
            <w:r>
              <w:rPr>
                <w:rFonts w:eastAsia="TimesNewRoman"/>
              </w:rPr>
              <w:t>a</w:t>
            </w:r>
            <w:r w:rsidRPr="002C3698">
              <w:rPr>
                <w:rFonts w:eastAsia="TimesNewRoman"/>
              </w:rPr>
              <w:t>emia</w:t>
            </w:r>
            <w:proofErr w:type="spellEnd"/>
            <w:r w:rsidRPr="002C3698">
              <w:rPr>
                <w:rFonts w:eastAsia="TimesNewRoman"/>
              </w:rPr>
              <w:t>, blood triglycerides increased, low density lipoprotein increased, low density lipoprotein abnormal, or lipids increased.</w:t>
            </w:r>
          </w:p>
          <w:p w:rsidR="00370C06" w:rsidRDefault="00370C06" w:rsidP="00D54414">
            <w:pPr>
              <w:pStyle w:val="TableTextFootnote"/>
              <w:keepNext/>
              <w:ind w:left="180"/>
              <w:rPr>
                <w:rFonts w:eastAsia="TimesNewRoman"/>
              </w:rPr>
            </w:pPr>
          </w:p>
        </w:tc>
      </w:tr>
    </w:tbl>
    <w:p w:rsidR="00370C06" w:rsidRDefault="00370C06" w:rsidP="00370C06">
      <w:pPr>
        <w:rPr>
          <w:rFonts w:eastAsia="Arial Unicode MS"/>
        </w:rPr>
      </w:pPr>
      <w:r>
        <w:rPr>
          <w:rFonts w:eastAsia="Arial Unicode MS"/>
        </w:rPr>
        <w:lastRenderedPageBreak/>
        <w:t xml:space="preserve"> </w:t>
      </w:r>
    </w:p>
    <w:p w:rsidR="00370C06" w:rsidRDefault="00370C06" w:rsidP="00370C06">
      <w:pPr>
        <w:pStyle w:val="BodyText"/>
        <w:kinsoku w:val="0"/>
        <w:spacing w:after="240"/>
        <w:rPr>
          <w:i/>
          <w:iCs/>
        </w:rPr>
      </w:pPr>
    </w:p>
    <w:p w:rsidR="00370C06" w:rsidRPr="001740AD" w:rsidRDefault="00370C06" w:rsidP="00370C06">
      <w:pPr>
        <w:pStyle w:val="BodyText"/>
        <w:kinsoku w:val="0"/>
        <w:spacing w:after="240"/>
        <w:rPr>
          <w:i/>
        </w:rPr>
      </w:pPr>
      <w:r w:rsidRPr="001740AD">
        <w:rPr>
          <w:i/>
          <w:iCs/>
        </w:rPr>
        <w:t xml:space="preserve">Maintenance Trial </w:t>
      </w:r>
      <w:r w:rsidRPr="001740AD">
        <w:rPr>
          <w:i/>
          <w:iCs/>
          <w:spacing w:val="-1"/>
        </w:rPr>
        <w:t>(Study</w:t>
      </w:r>
      <w:r w:rsidRPr="001740AD">
        <w:rPr>
          <w:i/>
          <w:iCs/>
        </w:rPr>
        <w:t xml:space="preserve"> UC-III)</w:t>
      </w:r>
    </w:p>
    <w:p w:rsidR="00370C06" w:rsidRPr="00BD1206" w:rsidRDefault="00370C06" w:rsidP="00370C06">
      <w:pPr>
        <w:pStyle w:val="BodyText"/>
        <w:kinsoku w:val="0"/>
        <w:spacing w:after="240"/>
        <w:ind w:right="348"/>
      </w:pPr>
      <w:r w:rsidRPr="00BD1206">
        <w:t>Common</w:t>
      </w:r>
      <w:r w:rsidRPr="00BD1206">
        <w:rPr>
          <w:spacing w:val="-5"/>
        </w:rPr>
        <w:t xml:space="preserve"> </w:t>
      </w:r>
      <w:r w:rsidRPr="0051061D">
        <w:rPr>
          <w:lang w:val="en-CA"/>
        </w:rPr>
        <w:t xml:space="preserve">adverse </w:t>
      </w:r>
      <w:r>
        <w:rPr>
          <w:lang w:val="en-CA"/>
        </w:rPr>
        <w:t>reactions</w:t>
      </w:r>
      <w:r w:rsidRPr="00BD1206">
        <w:t xml:space="preserve"> reported</w:t>
      </w:r>
      <w:r w:rsidRPr="00BD1206">
        <w:rPr>
          <w:spacing w:val="-5"/>
        </w:rPr>
        <w:t xml:space="preserve"> </w:t>
      </w:r>
      <w:r w:rsidRPr="00BD1206">
        <w:t>in</w:t>
      </w:r>
      <w:r w:rsidRPr="00BD1206">
        <w:rPr>
          <w:spacing w:val="-5"/>
        </w:rPr>
        <w:t xml:space="preserve"> </w:t>
      </w:r>
      <w:r w:rsidRPr="00BD1206">
        <w:t>≥4%</w:t>
      </w:r>
      <w:r w:rsidRPr="00BD1206">
        <w:rPr>
          <w:spacing w:val="-4"/>
        </w:rPr>
        <w:t xml:space="preserve"> </w:t>
      </w:r>
      <w:r w:rsidRPr="00BD1206">
        <w:t>of</w:t>
      </w:r>
      <w:r w:rsidRPr="00BD1206">
        <w:rPr>
          <w:spacing w:val="-5"/>
        </w:rPr>
        <w:t xml:space="preserve"> </w:t>
      </w:r>
      <w:r w:rsidRPr="00BD1206">
        <w:t>patients</w:t>
      </w:r>
      <w:r w:rsidRPr="00BD1206">
        <w:rPr>
          <w:spacing w:val="-5"/>
        </w:rPr>
        <w:t xml:space="preserve"> </w:t>
      </w:r>
      <w:r w:rsidRPr="00BD1206">
        <w:t>treated</w:t>
      </w:r>
      <w:r w:rsidRPr="00BD1206">
        <w:rPr>
          <w:spacing w:val="-5"/>
        </w:rPr>
        <w:t xml:space="preserve"> </w:t>
      </w:r>
      <w:r w:rsidRPr="00BD1206">
        <w:rPr>
          <w:spacing w:val="-1"/>
        </w:rPr>
        <w:t>with</w:t>
      </w:r>
      <w:r w:rsidRPr="00BD1206">
        <w:rPr>
          <w:spacing w:val="-5"/>
        </w:rPr>
        <w:t xml:space="preserve"> </w:t>
      </w:r>
      <w:r w:rsidRPr="00BD1206">
        <w:t>either</w:t>
      </w:r>
      <w:r w:rsidRPr="00BD1206">
        <w:rPr>
          <w:spacing w:val="-5"/>
        </w:rPr>
        <w:t xml:space="preserve"> </w:t>
      </w:r>
      <w:r w:rsidRPr="00BD1206">
        <w:t>dose</w:t>
      </w:r>
      <w:r w:rsidRPr="00BD1206">
        <w:rPr>
          <w:spacing w:val="-4"/>
        </w:rPr>
        <w:t xml:space="preserve"> </w:t>
      </w:r>
      <w:r w:rsidRPr="00BD1206">
        <w:t>of</w:t>
      </w:r>
      <w:r w:rsidRPr="00BD1206">
        <w:rPr>
          <w:spacing w:val="-5"/>
        </w:rPr>
        <w:t xml:space="preserve"> </w:t>
      </w:r>
      <w:r w:rsidRPr="00BD1206">
        <w:rPr>
          <w:spacing w:val="-1"/>
        </w:rPr>
        <w:t>XELJANZ</w:t>
      </w:r>
      <w:r w:rsidRPr="00BD1206">
        <w:rPr>
          <w:spacing w:val="21"/>
        </w:rPr>
        <w:t xml:space="preserve"> </w:t>
      </w:r>
      <w:r w:rsidRPr="00BD1206">
        <w:t>and</w:t>
      </w:r>
      <w:r w:rsidRPr="00BD1206">
        <w:rPr>
          <w:spacing w:val="-5"/>
        </w:rPr>
        <w:t xml:space="preserve"> </w:t>
      </w:r>
      <w:r w:rsidRPr="00BD1206">
        <w:t>≥1%</w:t>
      </w:r>
      <w:r w:rsidRPr="00BD1206">
        <w:rPr>
          <w:spacing w:val="-5"/>
        </w:rPr>
        <w:t xml:space="preserve"> </w:t>
      </w:r>
      <w:r w:rsidRPr="00BD1206">
        <w:t>greater</w:t>
      </w:r>
      <w:r w:rsidRPr="00BD1206">
        <w:rPr>
          <w:spacing w:val="-6"/>
        </w:rPr>
        <w:t xml:space="preserve"> </w:t>
      </w:r>
      <w:r w:rsidRPr="00BD1206">
        <w:t>than</w:t>
      </w:r>
      <w:r w:rsidRPr="00BD1206">
        <w:rPr>
          <w:spacing w:val="-5"/>
        </w:rPr>
        <w:t xml:space="preserve"> </w:t>
      </w:r>
      <w:r w:rsidRPr="00BD1206">
        <w:t>reported</w:t>
      </w:r>
      <w:r w:rsidRPr="00BD1206">
        <w:rPr>
          <w:spacing w:val="-6"/>
        </w:rPr>
        <w:t xml:space="preserve"> </w:t>
      </w:r>
      <w:r w:rsidRPr="00BD1206">
        <w:t>in</w:t>
      </w:r>
      <w:r w:rsidRPr="00BD1206">
        <w:rPr>
          <w:spacing w:val="-5"/>
        </w:rPr>
        <w:t xml:space="preserve"> </w:t>
      </w:r>
      <w:r w:rsidRPr="00BD1206">
        <w:t>patients</w:t>
      </w:r>
      <w:r w:rsidRPr="00BD1206">
        <w:rPr>
          <w:spacing w:val="-5"/>
        </w:rPr>
        <w:t xml:space="preserve"> </w:t>
      </w:r>
      <w:r w:rsidRPr="00BD1206">
        <w:rPr>
          <w:spacing w:val="-1"/>
        </w:rPr>
        <w:t>receiving</w:t>
      </w:r>
      <w:r w:rsidRPr="00BD1206">
        <w:rPr>
          <w:spacing w:val="-4"/>
        </w:rPr>
        <w:t xml:space="preserve"> </w:t>
      </w:r>
      <w:r w:rsidRPr="00BD1206">
        <w:rPr>
          <w:spacing w:val="-1"/>
        </w:rPr>
        <w:t>placebo</w:t>
      </w:r>
      <w:r w:rsidRPr="00BD1206">
        <w:rPr>
          <w:spacing w:val="-5"/>
        </w:rPr>
        <w:t xml:space="preserve"> </w:t>
      </w:r>
      <w:r w:rsidRPr="00BD1206">
        <w:t>are</w:t>
      </w:r>
      <w:r w:rsidRPr="00BD1206">
        <w:rPr>
          <w:spacing w:val="-5"/>
        </w:rPr>
        <w:t xml:space="preserve"> </w:t>
      </w:r>
      <w:r w:rsidRPr="00BD1206">
        <w:rPr>
          <w:spacing w:val="-1"/>
        </w:rPr>
        <w:t>shown</w:t>
      </w:r>
      <w:r w:rsidRPr="00BD1206">
        <w:rPr>
          <w:spacing w:val="-5"/>
        </w:rPr>
        <w:t xml:space="preserve"> </w:t>
      </w:r>
      <w:r w:rsidRPr="00BD1206">
        <w:t>in</w:t>
      </w:r>
      <w:r w:rsidRPr="00BD1206">
        <w:rPr>
          <w:spacing w:val="-5"/>
        </w:rPr>
        <w:t xml:space="preserve"> </w:t>
      </w:r>
      <w:r w:rsidRPr="00BD1206">
        <w:t>Table</w:t>
      </w:r>
      <w:r w:rsidRPr="00BD1206">
        <w:rPr>
          <w:spacing w:val="-6"/>
        </w:rPr>
        <w:t xml:space="preserve"> </w:t>
      </w:r>
      <w:r w:rsidR="001954B1">
        <w:rPr>
          <w:spacing w:val="-6"/>
        </w:rPr>
        <w:t>5</w:t>
      </w:r>
      <w:r w:rsidRPr="00BD1206">
        <w:rPr>
          <w:spacing w:val="-1"/>
        </w:rPr>
        <w:t>.</w:t>
      </w:r>
    </w:p>
    <w:p w:rsidR="00370C06" w:rsidRPr="00585E3E" w:rsidRDefault="00370C06" w:rsidP="00370C06">
      <w:pPr>
        <w:pStyle w:val="BodyText"/>
        <w:kinsoku w:val="0"/>
        <w:ind w:left="1263" w:right="348" w:hanging="1080"/>
        <w:rPr>
          <w:rFonts w:eastAsia="TimesNewRoman" w:cs="Arial"/>
          <w:b/>
          <w:bCs/>
          <w:szCs w:val="24"/>
          <w:lang w:val="en-US"/>
        </w:rPr>
      </w:pPr>
      <w:r w:rsidRPr="00585E3E">
        <w:rPr>
          <w:rFonts w:eastAsia="TimesNewRoman" w:cs="Arial"/>
          <w:b/>
          <w:bCs/>
          <w:szCs w:val="24"/>
          <w:lang w:val="en-US"/>
        </w:rPr>
        <w:t xml:space="preserve">Table </w:t>
      </w:r>
      <w:r w:rsidR="001954B1">
        <w:rPr>
          <w:rFonts w:eastAsia="TimesNewRoman" w:cs="Arial"/>
          <w:b/>
          <w:bCs/>
          <w:szCs w:val="24"/>
          <w:lang w:val="en-US"/>
        </w:rPr>
        <w:t>5</w:t>
      </w:r>
      <w:r>
        <w:rPr>
          <w:rFonts w:eastAsia="TimesNewRoman" w:cs="Arial"/>
          <w:b/>
          <w:bCs/>
          <w:szCs w:val="24"/>
          <w:lang w:val="en-US"/>
        </w:rPr>
        <w:t>: Common</w:t>
      </w:r>
      <w:r w:rsidRPr="0059521F">
        <w:rPr>
          <w:rFonts w:eastAsia="TimesNewRoman" w:cs="Arial"/>
          <w:b/>
          <w:bCs/>
          <w:szCs w:val="24"/>
          <w:lang w:val="en-US"/>
        </w:rPr>
        <w:t xml:space="preserve"> Adverse </w:t>
      </w:r>
      <w:r>
        <w:rPr>
          <w:rFonts w:eastAsia="TimesNewRoman" w:cs="Arial"/>
          <w:b/>
          <w:bCs/>
          <w:szCs w:val="24"/>
          <w:lang w:val="en-US"/>
        </w:rPr>
        <w:t>Reactions</w:t>
      </w:r>
      <w:r w:rsidRPr="00585E3E">
        <w:rPr>
          <w:rFonts w:eastAsia="TimesNewRoman" w:cs="Arial"/>
          <w:b/>
          <w:bCs/>
          <w:szCs w:val="24"/>
          <w:lang w:val="en-US"/>
        </w:rPr>
        <w:t>* in UC Patients during the Maintenance Trial (Study UC-III)</w:t>
      </w:r>
    </w:p>
    <w:tbl>
      <w:tblPr>
        <w:tblW w:w="9072" w:type="dxa"/>
        <w:tblInd w:w="5" w:type="dxa"/>
        <w:tblLayout w:type="fixed"/>
        <w:tblCellMar>
          <w:left w:w="0" w:type="dxa"/>
          <w:right w:w="0" w:type="dxa"/>
        </w:tblCellMar>
        <w:tblLook w:val="0000" w:firstRow="0" w:lastRow="0" w:firstColumn="0" w:lastColumn="0" w:noHBand="0" w:noVBand="0"/>
      </w:tblPr>
      <w:tblGrid>
        <w:gridCol w:w="2977"/>
        <w:gridCol w:w="2031"/>
        <w:gridCol w:w="2080"/>
        <w:gridCol w:w="1984"/>
      </w:tblGrid>
      <w:tr w:rsidR="00370C06" w:rsidRPr="009F690F" w:rsidTr="00D54414">
        <w:trPr>
          <w:trHeight w:hRule="exact" w:val="833"/>
        </w:trPr>
        <w:tc>
          <w:tcPr>
            <w:tcW w:w="2977" w:type="dxa"/>
            <w:vMerge w:val="restart"/>
            <w:tcBorders>
              <w:top w:val="single" w:sz="4" w:space="0" w:color="000000"/>
              <w:left w:val="single" w:sz="4" w:space="0" w:color="000000"/>
              <w:bottom w:val="single" w:sz="4" w:space="0" w:color="000000"/>
              <w:right w:val="single" w:sz="4" w:space="0" w:color="000000"/>
            </w:tcBorders>
          </w:tcPr>
          <w:p w:rsidR="00370C06" w:rsidRPr="00BD1206" w:rsidRDefault="00370C06" w:rsidP="00D54414">
            <w:pPr>
              <w:pStyle w:val="TableParagraph"/>
              <w:kinsoku w:val="0"/>
              <w:overflowPunct w:val="0"/>
              <w:spacing w:before="60" w:after="60"/>
              <w:ind w:left="102"/>
              <w:rPr>
                <w:b/>
                <w:bCs/>
                <w:sz w:val="22"/>
                <w:szCs w:val="22"/>
              </w:rPr>
            </w:pPr>
            <w:r>
              <w:rPr>
                <w:b/>
                <w:bCs/>
                <w:sz w:val="22"/>
                <w:szCs w:val="22"/>
              </w:rPr>
              <w:t>Preferred Term</w:t>
            </w:r>
          </w:p>
        </w:tc>
        <w:tc>
          <w:tcPr>
            <w:tcW w:w="2031" w:type="dxa"/>
            <w:tcBorders>
              <w:top w:val="single" w:sz="4" w:space="0" w:color="000000"/>
              <w:left w:val="single" w:sz="4" w:space="0" w:color="000000"/>
              <w:bottom w:val="single" w:sz="4" w:space="0" w:color="000000"/>
              <w:right w:val="single" w:sz="4" w:space="0" w:color="000000"/>
            </w:tcBorders>
          </w:tcPr>
          <w:p w:rsidR="00370C06" w:rsidRPr="00D804BF" w:rsidRDefault="00370C06" w:rsidP="00D54414">
            <w:pPr>
              <w:pStyle w:val="TableParagraph"/>
              <w:kinsoku w:val="0"/>
              <w:overflowPunct w:val="0"/>
              <w:spacing w:before="60" w:after="60"/>
              <w:jc w:val="center"/>
              <w:rPr>
                <w:sz w:val="22"/>
                <w:szCs w:val="22"/>
              </w:rPr>
            </w:pPr>
            <w:r w:rsidRPr="00D804BF">
              <w:rPr>
                <w:b/>
                <w:bCs/>
                <w:spacing w:val="-1"/>
                <w:sz w:val="22"/>
                <w:szCs w:val="22"/>
              </w:rPr>
              <w:t>XELJANZ</w:t>
            </w:r>
          </w:p>
          <w:p w:rsidR="00370C06" w:rsidRPr="00D804BF" w:rsidRDefault="00370C06" w:rsidP="00D54414">
            <w:pPr>
              <w:pStyle w:val="TableParagraph"/>
              <w:kinsoku w:val="0"/>
              <w:overflowPunct w:val="0"/>
              <w:spacing w:before="60" w:after="60"/>
              <w:ind w:right="1"/>
              <w:jc w:val="center"/>
              <w:rPr>
                <w:sz w:val="22"/>
                <w:szCs w:val="22"/>
              </w:rPr>
            </w:pPr>
            <w:r w:rsidRPr="00D804BF">
              <w:rPr>
                <w:b/>
                <w:bCs/>
                <w:sz w:val="22"/>
                <w:szCs w:val="22"/>
              </w:rPr>
              <w:t xml:space="preserve">5 mg </w:t>
            </w:r>
            <w:r w:rsidRPr="00D804BF">
              <w:rPr>
                <w:b/>
                <w:bCs/>
                <w:spacing w:val="-1"/>
                <w:sz w:val="22"/>
                <w:szCs w:val="22"/>
              </w:rPr>
              <w:t>Twice</w:t>
            </w:r>
            <w:r w:rsidRPr="00D804BF">
              <w:rPr>
                <w:b/>
                <w:bCs/>
                <w:sz w:val="22"/>
                <w:szCs w:val="22"/>
              </w:rPr>
              <w:t xml:space="preserve"> Daily</w:t>
            </w:r>
          </w:p>
        </w:tc>
        <w:tc>
          <w:tcPr>
            <w:tcW w:w="2080" w:type="dxa"/>
            <w:tcBorders>
              <w:top w:val="single" w:sz="4" w:space="0" w:color="000000"/>
              <w:left w:val="single" w:sz="4" w:space="0" w:color="000000"/>
              <w:bottom w:val="single" w:sz="4" w:space="0" w:color="000000"/>
              <w:right w:val="single" w:sz="4" w:space="0" w:color="000000"/>
            </w:tcBorders>
          </w:tcPr>
          <w:p w:rsidR="00370C06" w:rsidRPr="00D804BF" w:rsidRDefault="00370C06" w:rsidP="00D54414">
            <w:pPr>
              <w:pStyle w:val="TableParagraph"/>
              <w:kinsoku w:val="0"/>
              <w:overflowPunct w:val="0"/>
              <w:spacing w:before="60" w:after="60"/>
              <w:ind w:right="1"/>
              <w:jc w:val="center"/>
              <w:rPr>
                <w:sz w:val="22"/>
                <w:szCs w:val="22"/>
              </w:rPr>
            </w:pPr>
            <w:r w:rsidRPr="00D804BF">
              <w:rPr>
                <w:b/>
                <w:bCs/>
                <w:spacing w:val="-1"/>
                <w:sz w:val="22"/>
                <w:szCs w:val="22"/>
              </w:rPr>
              <w:t>XELJANZ</w:t>
            </w:r>
          </w:p>
          <w:p w:rsidR="00370C06" w:rsidRPr="00D804BF" w:rsidRDefault="00370C06" w:rsidP="00D54414">
            <w:pPr>
              <w:pStyle w:val="TableParagraph"/>
              <w:kinsoku w:val="0"/>
              <w:overflowPunct w:val="0"/>
              <w:spacing w:before="60" w:after="60"/>
              <w:jc w:val="center"/>
              <w:rPr>
                <w:sz w:val="22"/>
                <w:szCs w:val="22"/>
              </w:rPr>
            </w:pPr>
            <w:r w:rsidRPr="00D804BF">
              <w:rPr>
                <w:b/>
                <w:bCs/>
                <w:sz w:val="22"/>
                <w:szCs w:val="22"/>
              </w:rPr>
              <w:t xml:space="preserve">10 mg </w:t>
            </w:r>
            <w:r w:rsidRPr="00D804BF">
              <w:rPr>
                <w:b/>
                <w:bCs/>
                <w:spacing w:val="-1"/>
                <w:sz w:val="22"/>
                <w:szCs w:val="22"/>
              </w:rPr>
              <w:t>Twice</w:t>
            </w:r>
            <w:r w:rsidRPr="00D804BF">
              <w:rPr>
                <w:b/>
                <w:bCs/>
                <w:sz w:val="22"/>
                <w:szCs w:val="22"/>
              </w:rPr>
              <w:t xml:space="preserve"> Daily</w:t>
            </w:r>
          </w:p>
        </w:tc>
        <w:tc>
          <w:tcPr>
            <w:tcW w:w="1984" w:type="dxa"/>
            <w:tcBorders>
              <w:top w:val="single" w:sz="4" w:space="0" w:color="000000"/>
              <w:left w:val="single" w:sz="4" w:space="0" w:color="000000"/>
              <w:bottom w:val="single" w:sz="4" w:space="0" w:color="000000"/>
              <w:right w:val="single" w:sz="4" w:space="0" w:color="000000"/>
            </w:tcBorders>
          </w:tcPr>
          <w:p w:rsidR="00370C06" w:rsidRPr="00D804BF" w:rsidRDefault="00370C06" w:rsidP="00D54414">
            <w:pPr>
              <w:pStyle w:val="TableParagraph"/>
              <w:kinsoku w:val="0"/>
              <w:overflowPunct w:val="0"/>
              <w:spacing w:before="60" w:after="60"/>
              <w:ind w:left="234"/>
              <w:jc w:val="center"/>
              <w:rPr>
                <w:sz w:val="22"/>
                <w:szCs w:val="22"/>
              </w:rPr>
            </w:pPr>
            <w:r w:rsidRPr="00D804BF">
              <w:rPr>
                <w:b/>
                <w:bCs/>
                <w:sz w:val="22"/>
                <w:szCs w:val="22"/>
              </w:rPr>
              <w:t>Placebo</w:t>
            </w:r>
          </w:p>
        </w:tc>
      </w:tr>
      <w:tr w:rsidR="00370C06" w:rsidRPr="009F690F" w:rsidTr="00D54414">
        <w:trPr>
          <w:trHeight w:hRule="exact" w:val="702"/>
        </w:trPr>
        <w:tc>
          <w:tcPr>
            <w:tcW w:w="2977" w:type="dxa"/>
            <w:vMerge/>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left="234"/>
              <w:rPr>
                <w:sz w:val="22"/>
                <w:szCs w:val="22"/>
              </w:rPr>
            </w:pPr>
          </w:p>
        </w:tc>
        <w:tc>
          <w:tcPr>
            <w:tcW w:w="2031"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left="812" w:right="616" w:hanging="196"/>
              <w:jc w:val="center"/>
              <w:rPr>
                <w:sz w:val="22"/>
                <w:szCs w:val="22"/>
              </w:rPr>
            </w:pPr>
            <w:r w:rsidRPr="009F690F">
              <w:rPr>
                <w:b/>
                <w:bCs/>
                <w:sz w:val="22"/>
                <w:szCs w:val="22"/>
              </w:rPr>
              <w:t>N</w:t>
            </w:r>
            <w:r w:rsidRPr="009F690F">
              <w:rPr>
                <w:b/>
                <w:bCs/>
                <w:spacing w:val="-1"/>
                <w:sz w:val="22"/>
                <w:szCs w:val="22"/>
              </w:rPr>
              <w:t xml:space="preserve"> </w:t>
            </w:r>
            <w:r w:rsidRPr="009F690F">
              <w:rPr>
                <w:b/>
                <w:bCs/>
                <w:sz w:val="22"/>
                <w:szCs w:val="22"/>
              </w:rPr>
              <w:t>=</w:t>
            </w:r>
            <w:r w:rsidRPr="009F690F">
              <w:rPr>
                <w:b/>
                <w:bCs/>
                <w:spacing w:val="-1"/>
                <w:sz w:val="22"/>
                <w:szCs w:val="22"/>
              </w:rPr>
              <w:t xml:space="preserve"> 198</w:t>
            </w:r>
            <w:r w:rsidRPr="009F690F">
              <w:rPr>
                <w:b/>
                <w:bCs/>
                <w:spacing w:val="19"/>
                <w:sz w:val="22"/>
                <w:szCs w:val="22"/>
              </w:rPr>
              <w:t xml:space="preserve"> </w:t>
            </w:r>
            <w:r w:rsidRPr="009F690F">
              <w:rPr>
                <w:b/>
                <w:bCs/>
                <w:spacing w:val="-1"/>
                <w:sz w:val="22"/>
                <w:szCs w:val="22"/>
              </w:rPr>
              <w:t>(%)</w:t>
            </w:r>
          </w:p>
        </w:tc>
        <w:tc>
          <w:tcPr>
            <w:tcW w:w="2080" w:type="dxa"/>
            <w:tcBorders>
              <w:top w:val="single" w:sz="4" w:space="0" w:color="000000"/>
              <w:left w:val="single" w:sz="4" w:space="0" w:color="000000"/>
              <w:bottom w:val="single" w:sz="4" w:space="0" w:color="000000"/>
              <w:right w:val="single" w:sz="4" w:space="0" w:color="000000"/>
            </w:tcBorders>
          </w:tcPr>
          <w:p w:rsidR="00370C06" w:rsidRPr="00D804BF" w:rsidRDefault="00370C06" w:rsidP="00D54414">
            <w:pPr>
              <w:pStyle w:val="TableParagraph"/>
              <w:kinsoku w:val="0"/>
              <w:overflowPunct w:val="0"/>
              <w:spacing w:before="60" w:after="60"/>
              <w:ind w:left="812" w:right="616" w:hanging="196"/>
              <w:jc w:val="center"/>
              <w:rPr>
                <w:b/>
                <w:bCs/>
                <w:sz w:val="22"/>
                <w:szCs w:val="22"/>
              </w:rPr>
            </w:pPr>
            <w:r w:rsidRPr="00D804BF">
              <w:rPr>
                <w:b/>
                <w:bCs/>
                <w:sz w:val="22"/>
                <w:szCs w:val="22"/>
              </w:rPr>
              <w:t>N = 196</w:t>
            </w:r>
          </w:p>
          <w:p w:rsidR="00370C06" w:rsidRPr="00D804BF" w:rsidRDefault="00370C06" w:rsidP="00D54414">
            <w:pPr>
              <w:pStyle w:val="TableParagraph"/>
              <w:kinsoku w:val="0"/>
              <w:overflowPunct w:val="0"/>
              <w:spacing w:before="60" w:after="60"/>
              <w:ind w:left="812" w:right="616" w:hanging="196"/>
              <w:jc w:val="center"/>
              <w:rPr>
                <w:b/>
                <w:bCs/>
                <w:sz w:val="22"/>
                <w:szCs w:val="22"/>
              </w:rPr>
            </w:pPr>
            <w:r w:rsidRPr="00D804BF">
              <w:rPr>
                <w:b/>
                <w:bCs/>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rsidR="00370C06" w:rsidRPr="00D804BF" w:rsidRDefault="00370C06" w:rsidP="00D54414">
            <w:pPr>
              <w:pStyle w:val="TableParagraph"/>
              <w:kinsoku w:val="0"/>
              <w:overflowPunct w:val="0"/>
              <w:spacing w:before="60" w:after="60"/>
              <w:ind w:left="433" w:right="237" w:hanging="195"/>
              <w:jc w:val="center"/>
              <w:rPr>
                <w:b/>
                <w:bCs/>
                <w:spacing w:val="19"/>
                <w:sz w:val="22"/>
                <w:szCs w:val="22"/>
              </w:rPr>
            </w:pPr>
            <w:r w:rsidRPr="00D804BF">
              <w:rPr>
                <w:b/>
                <w:bCs/>
                <w:sz w:val="22"/>
                <w:szCs w:val="22"/>
              </w:rPr>
              <w:t>N</w:t>
            </w:r>
            <w:r w:rsidRPr="00D804BF">
              <w:rPr>
                <w:b/>
                <w:bCs/>
                <w:spacing w:val="-1"/>
                <w:sz w:val="22"/>
                <w:szCs w:val="22"/>
              </w:rPr>
              <w:t xml:space="preserve"> </w:t>
            </w:r>
            <w:r w:rsidRPr="00D804BF">
              <w:rPr>
                <w:b/>
                <w:bCs/>
                <w:sz w:val="22"/>
                <w:szCs w:val="22"/>
              </w:rPr>
              <w:t>=</w:t>
            </w:r>
            <w:r w:rsidRPr="00D804BF">
              <w:rPr>
                <w:b/>
                <w:bCs/>
                <w:spacing w:val="-1"/>
                <w:sz w:val="22"/>
                <w:szCs w:val="22"/>
              </w:rPr>
              <w:t xml:space="preserve"> 198</w:t>
            </w:r>
          </w:p>
          <w:p w:rsidR="00370C06" w:rsidRPr="00D804BF" w:rsidRDefault="00370C06" w:rsidP="00D54414">
            <w:pPr>
              <w:pStyle w:val="TableParagraph"/>
              <w:kinsoku w:val="0"/>
              <w:overflowPunct w:val="0"/>
              <w:spacing w:before="60" w:after="60"/>
              <w:ind w:left="433" w:right="237" w:hanging="195"/>
              <w:jc w:val="center"/>
              <w:rPr>
                <w:sz w:val="22"/>
                <w:szCs w:val="22"/>
              </w:rPr>
            </w:pPr>
            <w:r w:rsidRPr="00D804BF">
              <w:rPr>
                <w:b/>
                <w:bCs/>
                <w:spacing w:val="-1"/>
                <w:sz w:val="22"/>
                <w:szCs w:val="22"/>
              </w:rPr>
              <w:t>(%)</w:t>
            </w:r>
          </w:p>
        </w:tc>
      </w:tr>
      <w:tr w:rsidR="00370C06" w:rsidRPr="009F690F" w:rsidTr="00D54414">
        <w:trPr>
          <w:trHeight w:val="394"/>
        </w:trPr>
        <w:tc>
          <w:tcPr>
            <w:tcW w:w="2977"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left="102"/>
              <w:rPr>
                <w:sz w:val="22"/>
                <w:szCs w:val="22"/>
              </w:rPr>
            </w:pPr>
            <w:r w:rsidRPr="009F690F">
              <w:rPr>
                <w:spacing w:val="-1"/>
                <w:sz w:val="22"/>
                <w:szCs w:val="22"/>
              </w:rPr>
              <w:t>Nasopharyngitis</w:t>
            </w:r>
          </w:p>
        </w:tc>
        <w:tc>
          <w:tcPr>
            <w:tcW w:w="2031" w:type="dxa"/>
            <w:tcBorders>
              <w:top w:val="single" w:sz="4" w:space="0" w:color="000000"/>
              <w:left w:val="single" w:sz="4" w:space="0" w:color="000000"/>
              <w:bottom w:val="single" w:sz="4" w:space="0" w:color="000000"/>
              <w:right w:val="single" w:sz="4" w:space="0" w:color="000000"/>
            </w:tcBorders>
          </w:tcPr>
          <w:p w:rsidR="00370C06" w:rsidRPr="00585E3E" w:rsidRDefault="00370C06" w:rsidP="00D54414">
            <w:pPr>
              <w:pStyle w:val="TableParagraph"/>
              <w:kinsoku w:val="0"/>
              <w:overflowPunct w:val="0"/>
              <w:spacing w:before="60" w:after="60"/>
              <w:jc w:val="center"/>
              <w:rPr>
                <w:sz w:val="22"/>
                <w:szCs w:val="22"/>
              </w:rPr>
            </w:pPr>
            <w:r w:rsidRPr="00585E3E">
              <w:rPr>
                <w:sz w:val="22"/>
                <w:szCs w:val="22"/>
              </w:rPr>
              <w:t>10</w:t>
            </w:r>
          </w:p>
        </w:tc>
        <w:tc>
          <w:tcPr>
            <w:tcW w:w="2080" w:type="dxa"/>
            <w:tcBorders>
              <w:top w:val="single" w:sz="4" w:space="0" w:color="000000"/>
              <w:left w:val="single" w:sz="4" w:space="0" w:color="000000"/>
              <w:bottom w:val="single" w:sz="4" w:space="0" w:color="000000"/>
              <w:right w:val="single" w:sz="4" w:space="0" w:color="000000"/>
            </w:tcBorders>
          </w:tcPr>
          <w:p w:rsidR="00370C06" w:rsidRPr="00585E3E" w:rsidRDefault="00370C06" w:rsidP="00D54414">
            <w:pPr>
              <w:pStyle w:val="TableParagraph"/>
              <w:kinsoku w:val="0"/>
              <w:overflowPunct w:val="0"/>
              <w:spacing w:before="60" w:after="60"/>
              <w:jc w:val="center"/>
              <w:rPr>
                <w:sz w:val="22"/>
                <w:szCs w:val="22"/>
              </w:rPr>
            </w:pPr>
            <w:r w:rsidRPr="00585E3E">
              <w:rPr>
                <w:sz w:val="22"/>
                <w:szCs w:val="22"/>
              </w:rPr>
              <w:t>14</w:t>
            </w:r>
          </w:p>
        </w:tc>
        <w:tc>
          <w:tcPr>
            <w:tcW w:w="1984" w:type="dxa"/>
            <w:tcBorders>
              <w:top w:val="single" w:sz="4" w:space="0" w:color="000000"/>
              <w:left w:val="single" w:sz="4" w:space="0" w:color="000000"/>
              <w:bottom w:val="single" w:sz="4" w:space="0" w:color="000000"/>
              <w:right w:val="single" w:sz="4" w:space="0" w:color="000000"/>
            </w:tcBorders>
          </w:tcPr>
          <w:p w:rsidR="00370C06" w:rsidRPr="00585E3E" w:rsidRDefault="00370C06" w:rsidP="00D54414">
            <w:pPr>
              <w:pStyle w:val="TableParagraph"/>
              <w:kinsoku w:val="0"/>
              <w:overflowPunct w:val="0"/>
              <w:spacing w:before="60" w:after="60"/>
              <w:jc w:val="center"/>
              <w:rPr>
                <w:sz w:val="22"/>
                <w:szCs w:val="22"/>
              </w:rPr>
            </w:pPr>
            <w:r w:rsidRPr="00585E3E">
              <w:rPr>
                <w:sz w:val="22"/>
                <w:szCs w:val="22"/>
              </w:rPr>
              <w:t>6</w:t>
            </w:r>
          </w:p>
        </w:tc>
      </w:tr>
      <w:tr w:rsidR="00370C06" w:rsidRPr="009F690F" w:rsidTr="00D54414">
        <w:trPr>
          <w:trHeight w:val="333"/>
        </w:trPr>
        <w:tc>
          <w:tcPr>
            <w:tcW w:w="2977"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left="102"/>
              <w:rPr>
                <w:sz w:val="22"/>
                <w:szCs w:val="22"/>
              </w:rPr>
            </w:pPr>
            <w:r w:rsidRPr="009F690F">
              <w:rPr>
                <w:sz w:val="22"/>
                <w:szCs w:val="22"/>
              </w:rPr>
              <w:t>Elevated</w:t>
            </w:r>
            <w:r w:rsidRPr="009F690F">
              <w:rPr>
                <w:spacing w:val="-15"/>
                <w:sz w:val="22"/>
                <w:szCs w:val="22"/>
              </w:rPr>
              <w:t xml:space="preserve"> </w:t>
            </w:r>
            <w:r w:rsidRPr="009F690F">
              <w:rPr>
                <w:spacing w:val="-1"/>
                <w:sz w:val="22"/>
                <w:szCs w:val="22"/>
              </w:rPr>
              <w:t>cholesterol</w:t>
            </w:r>
            <w:r w:rsidRPr="009F690F">
              <w:rPr>
                <w:spacing w:val="-14"/>
                <w:sz w:val="22"/>
                <w:szCs w:val="22"/>
              </w:rPr>
              <w:t xml:space="preserve"> </w:t>
            </w:r>
            <w:r w:rsidRPr="009F690F">
              <w:rPr>
                <w:spacing w:val="-1"/>
                <w:sz w:val="22"/>
                <w:szCs w:val="22"/>
              </w:rPr>
              <w:t>levels**</w:t>
            </w:r>
          </w:p>
        </w:tc>
        <w:tc>
          <w:tcPr>
            <w:tcW w:w="2031"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5</w:t>
            </w:r>
          </w:p>
        </w:tc>
        <w:tc>
          <w:tcPr>
            <w:tcW w:w="2080"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left="2"/>
              <w:jc w:val="center"/>
              <w:rPr>
                <w:sz w:val="22"/>
                <w:szCs w:val="22"/>
              </w:rPr>
            </w:pPr>
            <w:r w:rsidRPr="009F690F">
              <w:rPr>
                <w:sz w:val="22"/>
                <w:szCs w:val="22"/>
              </w:rPr>
              <w:t>9</w:t>
            </w:r>
          </w:p>
        </w:tc>
        <w:tc>
          <w:tcPr>
            <w:tcW w:w="1984"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left="2"/>
              <w:jc w:val="center"/>
              <w:rPr>
                <w:sz w:val="22"/>
                <w:szCs w:val="22"/>
              </w:rPr>
            </w:pPr>
            <w:r w:rsidRPr="009F690F">
              <w:rPr>
                <w:sz w:val="22"/>
                <w:szCs w:val="22"/>
              </w:rPr>
              <w:t>1</w:t>
            </w:r>
          </w:p>
        </w:tc>
      </w:tr>
      <w:tr w:rsidR="00370C06" w:rsidRPr="009F690F" w:rsidTr="00D54414">
        <w:trPr>
          <w:trHeight w:val="399"/>
        </w:trPr>
        <w:tc>
          <w:tcPr>
            <w:tcW w:w="2977"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left="102"/>
              <w:rPr>
                <w:sz w:val="22"/>
                <w:szCs w:val="22"/>
              </w:rPr>
            </w:pPr>
            <w:r w:rsidRPr="009F690F">
              <w:rPr>
                <w:spacing w:val="-1"/>
                <w:sz w:val="22"/>
                <w:szCs w:val="22"/>
              </w:rPr>
              <w:t>Headache</w:t>
            </w:r>
          </w:p>
        </w:tc>
        <w:tc>
          <w:tcPr>
            <w:tcW w:w="2031"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9</w:t>
            </w:r>
          </w:p>
        </w:tc>
        <w:tc>
          <w:tcPr>
            <w:tcW w:w="2080"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right="1"/>
              <w:jc w:val="center"/>
              <w:rPr>
                <w:sz w:val="22"/>
                <w:szCs w:val="22"/>
              </w:rPr>
            </w:pPr>
            <w:r w:rsidRPr="009F690F">
              <w:rPr>
                <w:sz w:val="22"/>
                <w:szCs w:val="22"/>
              </w:rPr>
              <w:t>3</w:t>
            </w:r>
          </w:p>
        </w:tc>
        <w:tc>
          <w:tcPr>
            <w:tcW w:w="1984"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right="1"/>
              <w:jc w:val="center"/>
              <w:rPr>
                <w:sz w:val="22"/>
                <w:szCs w:val="22"/>
              </w:rPr>
            </w:pPr>
            <w:r w:rsidRPr="009F690F">
              <w:rPr>
                <w:sz w:val="22"/>
                <w:szCs w:val="22"/>
              </w:rPr>
              <w:t>6</w:t>
            </w:r>
          </w:p>
        </w:tc>
      </w:tr>
      <w:tr w:rsidR="00370C06" w:rsidRPr="009F690F" w:rsidTr="00D54414">
        <w:trPr>
          <w:trHeight w:val="323"/>
        </w:trPr>
        <w:tc>
          <w:tcPr>
            <w:tcW w:w="2977"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left="102"/>
              <w:rPr>
                <w:sz w:val="22"/>
                <w:szCs w:val="22"/>
              </w:rPr>
            </w:pPr>
            <w:r w:rsidRPr="009F690F">
              <w:rPr>
                <w:spacing w:val="-1"/>
                <w:sz w:val="22"/>
                <w:szCs w:val="22"/>
              </w:rPr>
              <w:t>Upper</w:t>
            </w:r>
            <w:r w:rsidRPr="009F690F">
              <w:rPr>
                <w:spacing w:val="-7"/>
                <w:sz w:val="22"/>
                <w:szCs w:val="22"/>
              </w:rPr>
              <w:t xml:space="preserve"> </w:t>
            </w:r>
            <w:r w:rsidRPr="009F690F">
              <w:rPr>
                <w:spacing w:val="-1"/>
                <w:sz w:val="22"/>
                <w:szCs w:val="22"/>
              </w:rPr>
              <w:t>respiratory</w:t>
            </w:r>
            <w:r w:rsidRPr="009F690F">
              <w:rPr>
                <w:spacing w:val="-6"/>
                <w:sz w:val="22"/>
                <w:szCs w:val="22"/>
              </w:rPr>
              <w:t xml:space="preserve"> </w:t>
            </w:r>
            <w:r w:rsidRPr="009F690F">
              <w:rPr>
                <w:spacing w:val="-1"/>
                <w:sz w:val="22"/>
                <w:szCs w:val="22"/>
              </w:rPr>
              <w:t>tract</w:t>
            </w:r>
            <w:r w:rsidRPr="009F690F">
              <w:rPr>
                <w:spacing w:val="-7"/>
                <w:sz w:val="22"/>
                <w:szCs w:val="22"/>
              </w:rPr>
              <w:t xml:space="preserve"> </w:t>
            </w:r>
            <w:r w:rsidRPr="009F690F">
              <w:rPr>
                <w:spacing w:val="-1"/>
                <w:sz w:val="22"/>
                <w:szCs w:val="22"/>
              </w:rPr>
              <w:t>infection</w:t>
            </w:r>
          </w:p>
        </w:tc>
        <w:tc>
          <w:tcPr>
            <w:tcW w:w="2031"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right="1"/>
              <w:jc w:val="center"/>
              <w:rPr>
                <w:sz w:val="22"/>
                <w:szCs w:val="22"/>
              </w:rPr>
            </w:pPr>
            <w:r w:rsidRPr="009F690F">
              <w:rPr>
                <w:sz w:val="22"/>
                <w:szCs w:val="22"/>
              </w:rPr>
              <w:t>7</w:t>
            </w:r>
          </w:p>
        </w:tc>
        <w:tc>
          <w:tcPr>
            <w:tcW w:w="2080"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6</w:t>
            </w:r>
          </w:p>
        </w:tc>
        <w:tc>
          <w:tcPr>
            <w:tcW w:w="1984"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4</w:t>
            </w:r>
          </w:p>
        </w:tc>
      </w:tr>
      <w:tr w:rsidR="00370C06" w:rsidRPr="009F690F" w:rsidTr="00D54414">
        <w:trPr>
          <w:trHeight w:val="626"/>
        </w:trPr>
        <w:tc>
          <w:tcPr>
            <w:tcW w:w="2977"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left="102"/>
              <w:rPr>
                <w:sz w:val="22"/>
                <w:szCs w:val="22"/>
              </w:rPr>
            </w:pPr>
            <w:r w:rsidRPr="009F690F">
              <w:rPr>
                <w:sz w:val="22"/>
                <w:szCs w:val="22"/>
              </w:rPr>
              <w:t>Increased</w:t>
            </w:r>
            <w:r w:rsidRPr="009F690F">
              <w:rPr>
                <w:spacing w:val="-11"/>
                <w:sz w:val="22"/>
                <w:szCs w:val="22"/>
              </w:rPr>
              <w:t xml:space="preserve"> </w:t>
            </w:r>
            <w:r w:rsidRPr="009F690F">
              <w:rPr>
                <w:sz w:val="22"/>
                <w:szCs w:val="22"/>
              </w:rPr>
              <w:t>blood</w:t>
            </w:r>
            <w:r w:rsidRPr="009F690F">
              <w:rPr>
                <w:spacing w:val="-10"/>
                <w:sz w:val="22"/>
                <w:szCs w:val="22"/>
              </w:rPr>
              <w:t xml:space="preserve"> </w:t>
            </w:r>
            <w:r w:rsidRPr="009F690F">
              <w:rPr>
                <w:sz w:val="22"/>
                <w:szCs w:val="22"/>
              </w:rPr>
              <w:t>creatine</w:t>
            </w:r>
            <w:r w:rsidRPr="009F690F">
              <w:rPr>
                <w:spacing w:val="-10"/>
                <w:sz w:val="22"/>
                <w:szCs w:val="22"/>
              </w:rPr>
              <w:t xml:space="preserve"> </w:t>
            </w:r>
            <w:r w:rsidRPr="009F690F">
              <w:rPr>
                <w:sz w:val="22"/>
                <w:szCs w:val="22"/>
              </w:rPr>
              <w:t>phosphokinase</w:t>
            </w:r>
          </w:p>
        </w:tc>
        <w:tc>
          <w:tcPr>
            <w:tcW w:w="2031"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3</w:t>
            </w:r>
          </w:p>
        </w:tc>
        <w:tc>
          <w:tcPr>
            <w:tcW w:w="2080"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7</w:t>
            </w:r>
          </w:p>
        </w:tc>
        <w:tc>
          <w:tcPr>
            <w:tcW w:w="1984"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2</w:t>
            </w:r>
          </w:p>
        </w:tc>
      </w:tr>
      <w:tr w:rsidR="00370C06" w:rsidRPr="009F690F" w:rsidTr="00D54414">
        <w:trPr>
          <w:trHeight w:val="341"/>
        </w:trPr>
        <w:tc>
          <w:tcPr>
            <w:tcW w:w="2977"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left="102"/>
              <w:rPr>
                <w:sz w:val="22"/>
                <w:szCs w:val="22"/>
              </w:rPr>
            </w:pPr>
            <w:r w:rsidRPr="009F690F">
              <w:rPr>
                <w:sz w:val="22"/>
                <w:szCs w:val="22"/>
              </w:rPr>
              <w:t>Rash</w:t>
            </w:r>
          </w:p>
        </w:tc>
        <w:tc>
          <w:tcPr>
            <w:tcW w:w="2031"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right="1"/>
              <w:jc w:val="center"/>
              <w:rPr>
                <w:sz w:val="22"/>
                <w:szCs w:val="22"/>
              </w:rPr>
            </w:pPr>
            <w:r w:rsidRPr="009F690F">
              <w:rPr>
                <w:sz w:val="22"/>
                <w:szCs w:val="22"/>
              </w:rPr>
              <w:t>3</w:t>
            </w:r>
          </w:p>
        </w:tc>
        <w:tc>
          <w:tcPr>
            <w:tcW w:w="2080"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6</w:t>
            </w:r>
          </w:p>
        </w:tc>
        <w:tc>
          <w:tcPr>
            <w:tcW w:w="1984"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4</w:t>
            </w:r>
          </w:p>
        </w:tc>
      </w:tr>
      <w:tr w:rsidR="00370C06" w:rsidRPr="009F690F" w:rsidTr="00D54414">
        <w:trPr>
          <w:trHeight w:val="406"/>
        </w:trPr>
        <w:tc>
          <w:tcPr>
            <w:tcW w:w="2977"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left="102"/>
              <w:rPr>
                <w:sz w:val="22"/>
                <w:szCs w:val="22"/>
              </w:rPr>
            </w:pPr>
            <w:r w:rsidRPr="009F690F">
              <w:rPr>
                <w:spacing w:val="-1"/>
                <w:sz w:val="22"/>
                <w:szCs w:val="22"/>
              </w:rPr>
              <w:t>Diarrhoea</w:t>
            </w:r>
          </w:p>
        </w:tc>
        <w:tc>
          <w:tcPr>
            <w:tcW w:w="2031"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right="1"/>
              <w:jc w:val="center"/>
              <w:rPr>
                <w:sz w:val="22"/>
                <w:szCs w:val="22"/>
              </w:rPr>
            </w:pPr>
            <w:r w:rsidRPr="009F690F">
              <w:rPr>
                <w:sz w:val="22"/>
                <w:szCs w:val="22"/>
              </w:rPr>
              <w:t>2</w:t>
            </w:r>
          </w:p>
        </w:tc>
        <w:tc>
          <w:tcPr>
            <w:tcW w:w="2080"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5</w:t>
            </w:r>
          </w:p>
        </w:tc>
        <w:tc>
          <w:tcPr>
            <w:tcW w:w="1984"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3</w:t>
            </w:r>
          </w:p>
        </w:tc>
      </w:tr>
      <w:tr w:rsidR="00370C06" w:rsidRPr="009F690F" w:rsidTr="00D54414">
        <w:trPr>
          <w:trHeight w:val="330"/>
        </w:trPr>
        <w:tc>
          <w:tcPr>
            <w:tcW w:w="2977"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left="102"/>
              <w:rPr>
                <w:sz w:val="22"/>
                <w:szCs w:val="22"/>
              </w:rPr>
            </w:pPr>
            <w:r w:rsidRPr="009F690F">
              <w:rPr>
                <w:spacing w:val="-1"/>
                <w:sz w:val="22"/>
                <w:szCs w:val="22"/>
              </w:rPr>
              <w:t>Herpes</w:t>
            </w:r>
            <w:r w:rsidRPr="009F690F">
              <w:rPr>
                <w:spacing w:val="-5"/>
                <w:sz w:val="22"/>
                <w:szCs w:val="22"/>
              </w:rPr>
              <w:t xml:space="preserve"> </w:t>
            </w:r>
            <w:r w:rsidRPr="009F690F">
              <w:rPr>
                <w:sz w:val="22"/>
                <w:szCs w:val="22"/>
              </w:rPr>
              <w:t>zoster</w:t>
            </w:r>
          </w:p>
        </w:tc>
        <w:tc>
          <w:tcPr>
            <w:tcW w:w="2031"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right="1"/>
              <w:jc w:val="center"/>
              <w:rPr>
                <w:sz w:val="22"/>
                <w:szCs w:val="22"/>
              </w:rPr>
            </w:pPr>
            <w:r w:rsidRPr="009F690F">
              <w:rPr>
                <w:sz w:val="22"/>
                <w:szCs w:val="22"/>
              </w:rPr>
              <w:t>1</w:t>
            </w:r>
          </w:p>
        </w:tc>
        <w:tc>
          <w:tcPr>
            <w:tcW w:w="2080"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5</w:t>
            </w:r>
          </w:p>
        </w:tc>
        <w:tc>
          <w:tcPr>
            <w:tcW w:w="1984"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1</w:t>
            </w:r>
          </w:p>
        </w:tc>
      </w:tr>
      <w:tr w:rsidR="00370C06" w:rsidRPr="009F690F" w:rsidTr="00D54414">
        <w:trPr>
          <w:trHeight w:val="410"/>
        </w:trPr>
        <w:tc>
          <w:tcPr>
            <w:tcW w:w="2977"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left="102"/>
              <w:rPr>
                <w:sz w:val="22"/>
                <w:szCs w:val="22"/>
              </w:rPr>
            </w:pPr>
            <w:r w:rsidRPr="009F690F">
              <w:rPr>
                <w:spacing w:val="-1"/>
                <w:sz w:val="22"/>
                <w:szCs w:val="22"/>
              </w:rPr>
              <w:t>Gastroenteritis</w:t>
            </w:r>
          </w:p>
        </w:tc>
        <w:tc>
          <w:tcPr>
            <w:tcW w:w="2031"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3</w:t>
            </w:r>
          </w:p>
        </w:tc>
        <w:tc>
          <w:tcPr>
            <w:tcW w:w="2080"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left="1"/>
              <w:jc w:val="center"/>
              <w:rPr>
                <w:sz w:val="22"/>
                <w:szCs w:val="22"/>
              </w:rPr>
            </w:pPr>
            <w:r w:rsidRPr="009F690F">
              <w:rPr>
                <w:sz w:val="22"/>
                <w:szCs w:val="22"/>
              </w:rPr>
              <w:t>4</w:t>
            </w:r>
          </w:p>
        </w:tc>
        <w:tc>
          <w:tcPr>
            <w:tcW w:w="1984"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left="1"/>
              <w:jc w:val="center"/>
              <w:rPr>
                <w:sz w:val="22"/>
                <w:szCs w:val="22"/>
              </w:rPr>
            </w:pPr>
            <w:r w:rsidRPr="009F690F">
              <w:rPr>
                <w:sz w:val="22"/>
                <w:szCs w:val="22"/>
              </w:rPr>
              <w:t>3</w:t>
            </w:r>
          </w:p>
        </w:tc>
      </w:tr>
      <w:tr w:rsidR="00370C06" w:rsidRPr="009F690F" w:rsidTr="00D54414">
        <w:trPr>
          <w:trHeight w:val="349"/>
        </w:trPr>
        <w:tc>
          <w:tcPr>
            <w:tcW w:w="2977"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left="102"/>
              <w:rPr>
                <w:sz w:val="22"/>
                <w:szCs w:val="22"/>
              </w:rPr>
            </w:pPr>
            <w:r w:rsidRPr="009F690F">
              <w:rPr>
                <w:spacing w:val="-1"/>
                <w:sz w:val="22"/>
                <w:szCs w:val="22"/>
              </w:rPr>
              <w:t>Anaemia</w:t>
            </w:r>
          </w:p>
        </w:tc>
        <w:tc>
          <w:tcPr>
            <w:tcW w:w="2031"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4</w:t>
            </w:r>
          </w:p>
        </w:tc>
        <w:tc>
          <w:tcPr>
            <w:tcW w:w="2080"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2</w:t>
            </w:r>
          </w:p>
        </w:tc>
        <w:tc>
          <w:tcPr>
            <w:tcW w:w="1984"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2</w:t>
            </w:r>
          </w:p>
        </w:tc>
      </w:tr>
      <w:tr w:rsidR="00370C06" w:rsidRPr="009F690F" w:rsidTr="00D54414">
        <w:trPr>
          <w:trHeight w:val="415"/>
        </w:trPr>
        <w:tc>
          <w:tcPr>
            <w:tcW w:w="2977"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ind w:left="102"/>
              <w:rPr>
                <w:sz w:val="22"/>
                <w:szCs w:val="22"/>
              </w:rPr>
            </w:pPr>
            <w:r w:rsidRPr="009F690F">
              <w:rPr>
                <w:sz w:val="22"/>
                <w:szCs w:val="22"/>
              </w:rPr>
              <w:t>Nausea</w:t>
            </w:r>
          </w:p>
        </w:tc>
        <w:tc>
          <w:tcPr>
            <w:tcW w:w="2031"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1</w:t>
            </w:r>
          </w:p>
        </w:tc>
        <w:tc>
          <w:tcPr>
            <w:tcW w:w="2080"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4</w:t>
            </w:r>
          </w:p>
        </w:tc>
        <w:tc>
          <w:tcPr>
            <w:tcW w:w="1984" w:type="dxa"/>
            <w:tcBorders>
              <w:top w:val="single" w:sz="4" w:space="0" w:color="000000"/>
              <w:left w:val="single" w:sz="4" w:space="0" w:color="000000"/>
              <w:bottom w:val="single" w:sz="4" w:space="0" w:color="000000"/>
              <w:right w:val="single" w:sz="4" w:space="0" w:color="000000"/>
            </w:tcBorders>
          </w:tcPr>
          <w:p w:rsidR="00370C06" w:rsidRPr="009F690F" w:rsidRDefault="00370C06" w:rsidP="00D54414">
            <w:pPr>
              <w:pStyle w:val="TableParagraph"/>
              <w:kinsoku w:val="0"/>
              <w:overflowPunct w:val="0"/>
              <w:spacing w:before="60" w:after="60"/>
              <w:jc w:val="center"/>
              <w:rPr>
                <w:sz w:val="22"/>
                <w:szCs w:val="22"/>
              </w:rPr>
            </w:pPr>
            <w:r w:rsidRPr="009F690F">
              <w:rPr>
                <w:sz w:val="22"/>
                <w:szCs w:val="22"/>
              </w:rPr>
              <w:t>3</w:t>
            </w:r>
          </w:p>
        </w:tc>
      </w:tr>
    </w:tbl>
    <w:p w:rsidR="00370C06" w:rsidRDefault="00370C06" w:rsidP="00370C06">
      <w:pPr>
        <w:pStyle w:val="BodyText"/>
        <w:kinsoku w:val="0"/>
        <w:spacing w:line="226" w:lineRule="exact"/>
        <w:jc w:val="left"/>
        <w:rPr>
          <w:sz w:val="20"/>
        </w:rPr>
      </w:pPr>
      <w:r>
        <w:rPr>
          <w:sz w:val="20"/>
        </w:rPr>
        <w:t xml:space="preserve">* </w:t>
      </w:r>
      <w:r>
        <w:rPr>
          <w:spacing w:val="-1"/>
          <w:sz w:val="20"/>
        </w:rPr>
        <w:t>reported</w:t>
      </w:r>
      <w:r>
        <w:rPr>
          <w:spacing w:val="1"/>
          <w:sz w:val="20"/>
        </w:rPr>
        <w:t xml:space="preserve"> </w:t>
      </w:r>
      <w:r>
        <w:rPr>
          <w:spacing w:val="-1"/>
          <w:sz w:val="20"/>
        </w:rPr>
        <w:t>in ≥4%</w:t>
      </w:r>
      <w:r>
        <w:rPr>
          <w:sz w:val="20"/>
        </w:rPr>
        <w:t xml:space="preserve"> </w:t>
      </w:r>
      <w:r>
        <w:rPr>
          <w:spacing w:val="-1"/>
          <w:sz w:val="20"/>
        </w:rPr>
        <w:t>of</w:t>
      </w:r>
      <w:r>
        <w:rPr>
          <w:spacing w:val="-2"/>
          <w:sz w:val="20"/>
        </w:rPr>
        <w:t xml:space="preserve"> </w:t>
      </w:r>
      <w:r>
        <w:rPr>
          <w:spacing w:val="-1"/>
          <w:sz w:val="20"/>
        </w:rPr>
        <w:t>patients</w:t>
      </w:r>
      <w:r>
        <w:rPr>
          <w:sz w:val="20"/>
        </w:rPr>
        <w:t xml:space="preserve"> </w:t>
      </w:r>
      <w:r>
        <w:rPr>
          <w:spacing w:val="-1"/>
          <w:sz w:val="20"/>
        </w:rPr>
        <w:t>treated</w:t>
      </w:r>
      <w:r>
        <w:rPr>
          <w:sz w:val="20"/>
        </w:rPr>
        <w:t xml:space="preserve"> </w:t>
      </w:r>
      <w:r>
        <w:rPr>
          <w:spacing w:val="-1"/>
          <w:sz w:val="20"/>
        </w:rPr>
        <w:t>with</w:t>
      </w:r>
      <w:r>
        <w:rPr>
          <w:spacing w:val="-2"/>
          <w:sz w:val="20"/>
        </w:rPr>
        <w:t xml:space="preserve"> </w:t>
      </w:r>
      <w:r>
        <w:rPr>
          <w:spacing w:val="-1"/>
          <w:sz w:val="20"/>
        </w:rPr>
        <w:t xml:space="preserve">either </w:t>
      </w:r>
      <w:r>
        <w:rPr>
          <w:sz w:val="20"/>
        </w:rPr>
        <w:t>dose</w:t>
      </w:r>
      <w:r>
        <w:rPr>
          <w:spacing w:val="-1"/>
          <w:sz w:val="20"/>
        </w:rPr>
        <w:t xml:space="preserve"> of XELJANZ</w:t>
      </w:r>
      <w:r>
        <w:rPr>
          <w:sz w:val="20"/>
        </w:rPr>
        <w:t xml:space="preserve"> </w:t>
      </w:r>
      <w:r>
        <w:rPr>
          <w:spacing w:val="-1"/>
          <w:sz w:val="20"/>
        </w:rPr>
        <w:t>and</w:t>
      </w:r>
      <w:r>
        <w:rPr>
          <w:sz w:val="20"/>
        </w:rPr>
        <w:t xml:space="preserve"> </w:t>
      </w:r>
      <w:r>
        <w:rPr>
          <w:spacing w:val="-1"/>
          <w:sz w:val="20"/>
        </w:rPr>
        <w:t>≥1%</w:t>
      </w:r>
      <w:r>
        <w:rPr>
          <w:sz w:val="20"/>
        </w:rPr>
        <w:t xml:space="preserve"> </w:t>
      </w:r>
      <w:r>
        <w:rPr>
          <w:spacing w:val="-1"/>
          <w:sz w:val="20"/>
        </w:rPr>
        <w:t>greater</w:t>
      </w:r>
      <w:r>
        <w:rPr>
          <w:sz w:val="20"/>
        </w:rPr>
        <w:t xml:space="preserve"> </w:t>
      </w:r>
      <w:r>
        <w:rPr>
          <w:spacing w:val="-1"/>
          <w:sz w:val="20"/>
        </w:rPr>
        <w:t>than reported for placebo.</w:t>
      </w:r>
    </w:p>
    <w:p w:rsidR="00370C06" w:rsidRPr="00D804BF" w:rsidRDefault="00370C06" w:rsidP="00370C06">
      <w:pPr>
        <w:pStyle w:val="BodyText"/>
        <w:kinsoku w:val="0"/>
        <w:spacing w:after="240"/>
        <w:jc w:val="left"/>
        <w:rPr>
          <w:sz w:val="20"/>
        </w:rPr>
      </w:pPr>
      <w:r>
        <w:rPr>
          <w:sz w:val="20"/>
        </w:rPr>
        <w:t xml:space="preserve">** </w:t>
      </w:r>
      <w:r>
        <w:rPr>
          <w:spacing w:val="-1"/>
          <w:sz w:val="20"/>
        </w:rPr>
        <w:t>includes hypercholesterolaemia,</w:t>
      </w:r>
      <w:r>
        <w:rPr>
          <w:sz w:val="20"/>
        </w:rPr>
        <w:t xml:space="preserve"> </w:t>
      </w:r>
      <w:r>
        <w:rPr>
          <w:spacing w:val="-1"/>
          <w:sz w:val="20"/>
        </w:rPr>
        <w:t>hyperlipidaemia,</w:t>
      </w:r>
      <w:r>
        <w:rPr>
          <w:sz w:val="20"/>
        </w:rPr>
        <w:t xml:space="preserve"> </w:t>
      </w:r>
      <w:r>
        <w:rPr>
          <w:spacing w:val="-1"/>
          <w:sz w:val="20"/>
        </w:rPr>
        <w:t>blood</w:t>
      </w:r>
      <w:r>
        <w:rPr>
          <w:spacing w:val="-2"/>
          <w:sz w:val="20"/>
        </w:rPr>
        <w:t xml:space="preserve"> </w:t>
      </w:r>
      <w:r>
        <w:rPr>
          <w:spacing w:val="-1"/>
          <w:sz w:val="20"/>
        </w:rPr>
        <w:t>cholesterol</w:t>
      </w:r>
      <w:r>
        <w:rPr>
          <w:sz w:val="20"/>
        </w:rPr>
        <w:t xml:space="preserve"> </w:t>
      </w:r>
      <w:r>
        <w:rPr>
          <w:spacing w:val="-1"/>
          <w:sz w:val="20"/>
        </w:rPr>
        <w:t>increased,</w:t>
      </w:r>
      <w:r>
        <w:rPr>
          <w:spacing w:val="-2"/>
          <w:sz w:val="20"/>
        </w:rPr>
        <w:t xml:space="preserve"> </w:t>
      </w:r>
      <w:r>
        <w:rPr>
          <w:spacing w:val="-1"/>
          <w:sz w:val="20"/>
        </w:rPr>
        <w:t>dyslipidaemia,</w:t>
      </w:r>
      <w:r>
        <w:rPr>
          <w:sz w:val="20"/>
        </w:rPr>
        <w:t xml:space="preserve"> </w:t>
      </w:r>
      <w:r>
        <w:rPr>
          <w:spacing w:val="-1"/>
          <w:sz w:val="20"/>
        </w:rPr>
        <w:t>blood</w:t>
      </w:r>
      <w:r>
        <w:rPr>
          <w:spacing w:val="1"/>
          <w:sz w:val="20"/>
        </w:rPr>
        <w:t xml:space="preserve"> </w:t>
      </w:r>
      <w:r>
        <w:rPr>
          <w:spacing w:val="-1"/>
          <w:sz w:val="20"/>
        </w:rPr>
        <w:t>triglycerides</w:t>
      </w:r>
      <w:r>
        <w:rPr>
          <w:spacing w:val="58"/>
          <w:sz w:val="20"/>
        </w:rPr>
        <w:t xml:space="preserve"> </w:t>
      </w:r>
      <w:r>
        <w:rPr>
          <w:spacing w:val="-1"/>
          <w:sz w:val="20"/>
        </w:rPr>
        <w:t>increased,</w:t>
      </w:r>
      <w:r>
        <w:rPr>
          <w:sz w:val="20"/>
        </w:rPr>
        <w:t xml:space="preserve"> </w:t>
      </w:r>
      <w:r>
        <w:rPr>
          <w:spacing w:val="-1"/>
          <w:sz w:val="20"/>
        </w:rPr>
        <w:t>low</w:t>
      </w:r>
      <w:r>
        <w:rPr>
          <w:spacing w:val="-2"/>
          <w:sz w:val="20"/>
        </w:rPr>
        <w:t xml:space="preserve"> </w:t>
      </w:r>
      <w:r>
        <w:rPr>
          <w:spacing w:val="-1"/>
          <w:sz w:val="20"/>
        </w:rPr>
        <w:t>density</w:t>
      </w:r>
      <w:r>
        <w:rPr>
          <w:sz w:val="20"/>
        </w:rPr>
        <w:t xml:space="preserve"> </w:t>
      </w:r>
      <w:r>
        <w:rPr>
          <w:spacing w:val="-1"/>
          <w:sz w:val="20"/>
        </w:rPr>
        <w:t>lipoprotein</w:t>
      </w:r>
      <w:r>
        <w:rPr>
          <w:spacing w:val="1"/>
          <w:sz w:val="20"/>
        </w:rPr>
        <w:t xml:space="preserve"> </w:t>
      </w:r>
      <w:r>
        <w:rPr>
          <w:spacing w:val="-1"/>
          <w:sz w:val="20"/>
        </w:rPr>
        <w:t>increased,</w:t>
      </w:r>
      <w:r>
        <w:rPr>
          <w:spacing w:val="-2"/>
          <w:sz w:val="20"/>
        </w:rPr>
        <w:t xml:space="preserve"> </w:t>
      </w:r>
      <w:r>
        <w:rPr>
          <w:spacing w:val="-1"/>
          <w:sz w:val="20"/>
        </w:rPr>
        <w:t>low</w:t>
      </w:r>
      <w:r>
        <w:rPr>
          <w:spacing w:val="-2"/>
          <w:sz w:val="20"/>
        </w:rPr>
        <w:t xml:space="preserve"> </w:t>
      </w:r>
      <w:r>
        <w:rPr>
          <w:spacing w:val="-1"/>
          <w:sz w:val="20"/>
        </w:rPr>
        <w:t>density</w:t>
      </w:r>
      <w:r>
        <w:rPr>
          <w:sz w:val="20"/>
        </w:rPr>
        <w:t xml:space="preserve"> </w:t>
      </w:r>
      <w:r>
        <w:rPr>
          <w:spacing w:val="-1"/>
          <w:sz w:val="20"/>
        </w:rPr>
        <w:t>lipoprotein</w:t>
      </w:r>
      <w:r>
        <w:rPr>
          <w:spacing w:val="1"/>
          <w:sz w:val="20"/>
        </w:rPr>
        <w:t xml:space="preserve"> </w:t>
      </w:r>
      <w:r>
        <w:rPr>
          <w:spacing w:val="-1"/>
          <w:sz w:val="20"/>
        </w:rPr>
        <w:t>abnormal,</w:t>
      </w:r>
      <w:r>
        <w:rPr>
          <w:sz w:val="20"/>
        </w:rPr>
        <w:t xml:space="preserve"> or </w:t>
      </w:r>
      <w:r>
        <w:rPr>
          <w:spacing w:val="-1"/>
          <w:sz w:val="20"/>
        </w:rPr>
        <w:t>lipids increased.</w:t>
      </w:r>
    </w:p>
    <w:p w:rsidR="00370C06" w:rsidRPr="00F12C5D" w:rsidRDefault="008D4A8D" w:rsidP="00370C06">
      <w:pPr>
        <w:pStyle w:val="BodyText"/>
        <w:kinsoku w:val="0"/>
        <w:spacing w:after="240"/>
        <w:ind w:right="348"/>
        <w:rPr>
          <w:rFonts w:eastAsia="Arial Unicode MS"/>
          <w:szCs w:val="24"/>
          <w:lang w:val="en-US"/>
        </w:rPr>
      </w:pPr>
      <w:r w:rsidRPr="008D4A8D">
        <w:t xml:space="preserve">In the 52-week maintenance study, no malignancies were reported in patients treated with XELJANZ 10 mg twice daily or 5 mg twice daily. </w:t>
      </w:r>
      <w:r w:rsidR="00370C06" w:rsidRPr="00F12C5D">
        <w:rPr>
          <w:rFonts w:eastAsia="Arial Unicode MS"/>
          <w:szCs w:val="24"/>
          <w:lang w:val="en-US"/>
        </w:rPr>
        <w:t>In the long-term extension study, malignancies (including solid cancers, lymphomas and NMSC) were observed more often in patients treated with XELJANZ 10 mg twice daily</w:t>
      </w:r>
      <w:r w:rsidR="00370C06">
        <w:rPr>
          <w:rFonts w:eastAsia="Arial Unicode MS"/>
          <w:szCs w:val="24"/>
          <w:lang w:val="en-US"/>
        </w:rPr>
        <w:t xml:space="preserve"> (</w:t>
      </w:r>
      <w:r w:rsidR="00370C06" w:rsidRPr="00E65C22">
        <w:rPr>
          <w:szCs w:val="22"/>
        </w:rPr>
        <w:t xml:space="preserve">see Section 4.4 </w:t>
      </w:r>
      <w:r w:rsidR="00370C06">
        <w:t>Special Warnings and Precautions For Use</w:t>
      </w:r>
      <w:r w:rsidR="00370C06">
        <w:rPr>
          <w:rFonts w:eastAsia="Arial Unicode MS"/>
          <w:szCs w:val="24"/>
          <w:lang w:val="en-US"/>
        </w:rPr>
        <w:t>)</w:t>
      </w:r>
      <w:r w:rsidR="00370C06" w:rsidRPr="00F12C5D">
        <w:rPr>
          <w:rFonts w:eastAsia="Arial Unicode MS"/>
          <w:szCs w:val="24"/>
          <w:lang w:val="en-US"/>
        </w:rPr>
        <w:t xml:space="preserve">. </w:t>
      </w:r>
      <w:r w:rsidR="00370C06">
        <w:rPr>
          <w:rFonts w:eastAsia="Arial Unicode MS"/>
          <w:szCs w:val="24"/>
          <w:lang w:val="en-US"/>
        </w:rPr>
        <w:t xml:space="preserve"> </w:t>
      </w:r>
      <w:r w:rsidR="00370C06" w:rsidRPr="00F12C5D">
        <w:rPr>
          <w:rFonts w:eastAsia="Arial Unicode MS"/>
          <w:szCs w:val="24"/>
          <w:lang w:val="en-US"/>
        </w:rPr>
        <w:t>Four cases of pulmonary embolism were reported in patients taking XELJANZ 10 mg twice daily, including one fatality in a patient with advanced cancer.</w:t>
      </w:r>
    </w:p>
    <w:p w:rsidR="00370C06" w:rsidRPr="00370C06" w:rsidRDefault="00370C06" w:rsidP="00370C06">
      <w:pPr>
        <w:rPr>
          <w:rFonts w:eastAsia="Arial Unicode MS"/>
          <w:szCs w:val="24"/>
          <w:lang w:val="en-US"/>
        </w:rPr>
      </w:pPr>
      <w:r w:rsidRPr="00F12C5D">
        <w:rPr>
          <w:rFonts w:eastAsia="Arial Unicode MS"/>
          <w:szCs w:val="24"/>
          <w:lang w:val="en-US"/>
        </w:rPr>
        <w:lastRenderedPageBreak/>
        <w:t xml:space="preserve">Dose-dependent adverse reactions seen </w:t>
      </w:r>
      <w:r w:rsidR="009B0A5C">
        <w:rPr>
          <w:rFonts w:eastAsia="Arial Unicode MS"/>
          <w:szCs w:val="24"/>
          <w:lang w:val="en-US"/>
        </w:rPr>
        <w:t xml:space="preserve">across indications </w:t>
      </w:r>
      <w:r w:rsidRPr="00F12C5D">
        <w:rPr>
          <w:rFonts w:eastAsia="Arial Unicode MS"/>
          <w:szCs w:val="24"/>
          <w:lang w:val="en-US"/>
        </w:rPr>
        <w:t>in patients treated with XELJANZ 10 mg twice daily, in comparison to 5 mg twice daily, include the following: herpes zoster infections</w:t>
      </w:r>
      <w:r w:rsidR="008D4A8D">
        <w:rPr>
          <w:rFonts w:eastAsia="Arial Unicode MS"/>
          <w:szCs w:val="24"/>
          <w:lang w:val="en-US"/>
        </w:rPr>
        <w:t xml:space="preserve"> </w:t>
      </w:r>
      <w:r w:rsidR="008D4A8D" w:rsidRPr="008D4A8D">
        <w:t>(incidence rates in UC patients for 10 mg twice daily and 5 mg twice daily were 6.64 events per 100 patient-years and 2.05 events per 100 patient-years, respectively</w:t>
      </w:r>
      <w:r w:rsidR="008D4A8D" w:rsidRPr="004B2F5C">
        <w:t>)</w:t>
      </w:r>
      <w:r w:rsidRPr="008D4A8D">
        <w:rPr>
          <w:rFonts w:eastAsia="Arial Unicode MS"/>
          <w:szCs w:val="24"/>
          <w:lang w:val="en-US"/>
        </w:rPr>
        <w:t>, serious infections</w:t>
      </w:r>
      <w:r w:rsidR="008D4A8D" w:rsidRPr="008D4A8D">
        <w:rPr>
          <w:rFonts w:eastAsia="Arial Unicode MS"/>
          <w:szCs w:val="24"/>
          <w:lang w:val="en-US"/>
        </w:rPr>
        <w:t xml:space="preserve"> </w:t>
      </w:r>
      <w:r w:rsidR="008D4A8D" w:rsidRPr="004B2F5C">
        <w:t>(incidence rates in UC patients for 10 mg twice daily and 5 mg twice daily were 0.64 ev</w:t>
      </w:r>
      <w:r w:rsidR="004B2F5C">
        <w:t xml:space="preserve">ents per 100 patient-years and </w:t>
      </w:r>
      <w:r w:rsidR="008D4A8D" w:rsidRPr="004B2F5C">
        <w:t>1.35 events per 100 patient-years, respectively)</w:t>
      </w:r>
      <w:r w:rsidRPr="008D4A8D">
        <w:rPr>
          <w:rFonts w:eastAsia="Arial Unicode MS"/>
          <w:szCs w:val="24"/>
          <w:lang w:val="en-US"/>
        </w:rPr>
        <w:t xml:space="preserve">, and NMSC </w:t>
      </w:r>
      <w:r w:rsidR="008D4A8D" w:rsidRPr="004B2F5C">
        <w:t>(incidence rates in UC patients for 10 mg twice daily and 5 mg twice daily were 1.91 events per 100 patient-years and 0 events per 100 patient years, respectively)</w:t>
      </w:r>
      <w:r>
        <w:rPr>
          <w:rFonts w:eastAsia="Arial Unicode MS"/>
          <w:szCs w:val="24"/>
          <w:lang w:val="en-US"/>
        </w:rPr>
        <w:t>(</w:t>
      </w:r>
      <w:r w:rsidRPr="00E65C22">
        <w:rPr>
          <w:szCs w:val="22"/>
        </w:rPr>
        <w:t xml:space="preserve">see Section 4.4 </w:t>
      </w:r>
      <w:r>
        <w:t>Special Warnings and Precautions For Use)</w:t>
      </w:r>
      <w:r w:rsidRPr="00F12C5D">
        <w:rPr>
          <w:rFonts w:eastAsia="Arial Unicode MS"/>
          <w:szCs w:val="24"/>
          <w:lang w:val="en-US"/>
        </w:rPr>
        <w:t>.</w:t>
      </w:r>
    </w:p>
    <w:p w:rsidR="004F3D81" w:rsidRPr="004F3D81" w:rsidRDefault="004F3D81" w:rsidP="004F3D81">
      <w:pPr>
        <w:pStyle w:val="PIHeading3"/>
        <w:rPr>
          <w:lang w:val="en-US"/>
        </w:rPr>
      </w:pPr>
      <w:r>
        <w:rPr>
          <w:lang w:val="en-US"/>
        </w:rPr>
        <w:t>Adverse Drug Reactions for XELJANZ</w:t>
      </w:r>
    </w:p>
    <w:p w:rsidR="008872C6" w:rsidRPr="0051061D" w:rsidRDefault="00BA640C" w:rsidP="008872C6">
      <w:pPr>
        <w:rPr>
          <w:lang w:val="en-CA"/>
        </w:rPr>
      </w:pPr>
      <w:r>
        <w:rPr>
          <w:lang w:val="en-CA"/>
        </w:rPr>
        <w:t xml:space="preserve">The </w:t>
      </w:r>
      <w:r w:rsidR="008872C6" w:rsidRPr="0051061D">
        <w:rPr>
          <w:lang w:val="en-CA"/>
        </w:rPr>
        <w:t xml:space="preserve">Adverse Drug Reactions (ADRs) </w:t>
      </w:r>
      <w:r>
        <w:rPr>
          <w:lang w:val="en-CA"/>
        </w:rPr>
        <w:t xml:space="preserve">listed below are </w:t>
      </w:r>
      <w:r w:rsidR="008872C6" w:rsidRPr="0051061D">
        <w:rPr>
          <w:lang w:val="en-CA"/>
        </w:rPr>
        <w:t>from</w:t>
      </w:r>
      <w:r>
        <w:rPr>
          <w:lang w:val="en-CA"/>
        </w:rPr>
        <w:t xml:space="preserve"> randomised Phase 3 clinical studies for</w:t>
      </w:r>
      <w:r w:rsidR="008872C6" w:rsidRPr="0051061D">
        <w:rPr>
          <w:lang w:val="en-CA"/>
        </w:rPr>
        <w:t xml:space="preserve"> </w:t>
      </w:r>
      <w:r w:rsidR="004472D4">
        <w:rPr>
          <w:lang w:val="en-CA"/>
        </w:rPr>
        <w:t xml:space="preserve">rheumatoid arthritis, plaque psoriasis, psoriatic arthritis and ulcerative colitis, </w:t>
      </w:r>
      <w:r>
        <w:rPr>
          <w:lang w:val="en-CA"/>
        </w:rPr>
        <w:t xml:space="preserve">and </w:t>
      </w:r>
      <w:r w:rsidR="008872C6" w:rsidRPr="0051061D">
        <w:rPr>
          <w:lang w:val="en-CA"/>
        </w:rPr>
        <w:t>are presented by System Organ Class (SOC) and frequency categories, defined using the following convention: very common (≥10%); common (≥1% to &lt;10%), uncommon (≥0.1% to &lt;1%) or rare (≥0.01% to &lt;0.1%).</w:t>
      </w:r>
    </w:p>
    <w:p w:rsidR="008872C6" w:rsidRPr="0051061D" w:rsidRDefault="008872C6" w:rsidP="008872C6">
      <w:pPr>
        <w:keepNext/>
        <w:rPr>
          <w:b/>
          <w:i/>
        </w:rPr>
      </w:pPr>
      <w:r w:rsidRPr="0051061D">
        <w:rPr>
          <w:b/>
          <w:i/>
        </w:rPr>
        <w:t>Blood and Lymphatic System Disorders</w:t>
      </w:r>
    </w:p>
    <w:p w:rsidR="002957F2" w:rsidRDefault="008872C6" w:rsidP="008872C6">
      <w:pPr>
        <w:rPr>
          <w:lang w:val="en-US"/>
        </w:rPr>
      </w:pPr>
      <w:r w:rsidRPr="0051061D">
        <w:rPr>
          <w:i/>
        </w:rPr>
        <w:t>Common:</w:t>
      </w:r>
      <w:r w:rsidRPr="0051061D">
        <w:t xml:space="preserve"> </w:t>
      </w:r>
      <w:proofErr w:type="spellStart"/>
      <w:r w:rsidR="002957F2">
        <w:rPr>
          <w:lang w:val="en-US"/>
        </w:rPr>
        <w:t>Anaemia</w:t>
      </w:r>
      <w:proofErr w:type="spellEnd"/>
      <w:r>
        <w:rPr>
          <w:lang w:val="en-US"/>
        </w:rPr>
        <w:t>.</w:t>
      </w:r>
    </w:p>
    <w:p w:rsidR="002957F2" w:rsidRDefault="002957F2" w:rsidP="002957F2">
      <w:r w:rsidRPr="00D11C03">
        <w:rPr>
          <w:i/>
        </w:rPr>
        <w:t>Uncommon:</w:t>
      </w:r>
      <w:r w:rsidRPr="00D11C03">
        <w:t xml:space="preserve"> </w:t>
      </w:r>
      <w:r w:rsidRPr="00D11C03">
        <w:rPr>
          <w:lang w:val="en-US"/>
        </w:rPr>
        <w:t>Leucopenia</w:t>
      </w:r>
      <w:r>
        <w:rPr>
          <w:lang w:val="en-US"/>
        </w:rPr>
        <w:t>,</w:t>
      </w:r>
      <w:r w:rsidRPr="00D11C03">
        <w:t xml:space="preserve"> lymphopenia</w:t>
      </w:r>
      <w:r>
        <w:t>, n</w:t>
      </w:r>
      <w:r w:rsidRPr="00D11C03">
        <w:t>eutropenia.</w:t>
      </w:r>
    </w:p>
    <w:p w:rsidR="002957F2" w:rsidRPr="00D11C03" w:rsidRDefault="002957F2" w:rsidP="002957F2">
      <w:pPr>
        <w:keepNext/>
        <w:rPr>
          <w:b/>
          <w:i/>
        </w:rPr>
      </w:pPr>
      <w:r w:rsidRPr="00D11C03">
        <w:rPr>
          <w:b/>
          <w:i/>
        </w:rPr>
        <w:t>G</w:t>
      </w:r>
      <w:r>
        <w:rPr>
          <w:b/>
          <w:i/>
        </w:rPr>
        <w:t>astrointestinal Disorders</w:t>
      </w:r>
    </w:p>
    <w:p w:rsidR="008872C6" w:rsidRPr="0051061D" w:rsidRDefault="002957F2" w:rsidP="008872C6">
      <w:r w:rsidRPr="00D11C03">
        <w:rPr>
          <w:i/>
        </w:rPr>
        <w:t>Common:</w:t>
      </w:r>
      <w:r w:rsidRPr="00D11C03">
        <w:t xml:space="preserve"> </w:t>
      </w:r>
      <w:r>
        <w:rPr>
          <w:lang w:val="en-US"/>
        </w:rPr>
        <w:t xml:space="preserve">Abdominal pain, vomiting, </w:t>
      </w:r>
      <w:proofErr w:type="spellStart"/>
      <w:r>
        <w:rPr>
          <w:lang w:val="en-US"/>
        </w:rPr>
        <w:t>diarrhoea</w:t>
      </w:r>
      <w:proofErr w:type="spellEnd"/>
      <w:r>
        <w:rPr>
          <w:lang w:val="en-US"/>
        </w:rPr>
        <w:t>, nausea, gastritis, dyspepsia</w:t>
      </w:r>
      <w:r w:rsidRPr="00D11C03">
        <w:t>.</w:t>
      </w:r>
      <w:r w:rsidR="008872C6" w:rsidRPr="0051061D">
        <w:t xml:space="preserve"> </w:t>
      </w:r>
    </w:p>
    <w:p w:rsidR="008872C6" w:rsidRPr="0051061D" w:rsidRDefault="008872C6" w:rsidP="008872C6">
      <w:pPr>
        <w:keepNext/>
        <w:rPr>
          <w:b/>
          <w:i/>
        </w:rPr>
      </w:pPr>
      <w:r w:rsidRPr="0051061D">
        <w:rPr>
          <w:b/>
          <w:i/>
        </w:rPr>
        <w:t>General Disorders and Administration Site Conditions</w:t>
      </w:r>
    </w:p>
    <w:p w:rsidR="008872C6" w:rsidRDefault="008872C6" w:rsidP="008872C6">
      <w:r w:rsidRPr="0051061D">
        <w:rPr>
          <w:i/>
        </w:rPr>
        <w:t>Common:</w:t>
      </w:r>
      <w:r w:rsidRPr="0051061D">
        <w:t xml:space="preserve"> </w:t>
      </w:r>
      <w:r w:rsidR="000C20A9">
        <w:t xml:space="preserve">Pyrexia, oedema peripheral, </w:t>
      </w:r>
      <w:r w:rsidR="000C20A9">
        <w:rPr>
          <w:lang w:val="en-US"/>
        </w:rPr>
        <w:t>f</w:t>
      </w:r>
      <w:r w:rsidRPr="0051061D">
        <w:rPr>
          <w:lang w:val="en-US"/>
        </w:rPr>
        <w:t>atigue</w:t>
      </w:r>
      <w:r w:rsidRPr="0051061D">
        <w:t>.</w:t>
      </w:r>
    </w:p>
    <w:p w:rsidR="000C20A9" w:rsidRPr="00D11C03" w:rsidRDefault="000C20A9" w:rsidP="000C20A9">
      <w:pPr>
        <w:keepNext/>
        <w:rPr>
          <w:b/>
          <w:i/>
        </w:rPr>
      </w:pPr>
      <w:r w:rsidRPr="00D11C03">
        <w:rPr>
          <w:b/>
          <w:i/>
        </w:rPr>
        <w:t>Hepatobiliary Disorders</w:t>
      </w:r>
    </w:p>
    <w:p w:rsidR="000C20A9" w:rsidRPr="0051061D" w:rsidRDefault="000C20A9" w:rsidP="008872C6">
      <w:r w:rsidRPr="00D11C03">
        <w:rPr>
          <w:i/>
        </w:rPr>
        <w:t>Uncommon:</w:t>
      </w:r>
      <w:r w:rsidRPr="00D11C03">
        <w:t xml:space="preserve"> Hepatic steatosis.</w:t>
      </w:r>
    </w:p>
    <w:p w:rsidR="008872C6" w:rsidRPr="0051061D" w:rsidRDefault="008872C6" w:rsidP="008872C6">
      <w:pPr>
        <w:keepNext/>
        <w:rPr>
          <w:b/>
          <w:i/>
        </w:rPr>
      </w:pPr>
      <w:r w:rsidRPr="0051061D">
        <w:rPr>
          <w:b/>
          <w:i/>
        </w:rPr>
        <w:t>Infections and Infestations</w:t>
      </w:r>
    </w:p>
    <w:p w:rsidR="008872C6" w:rsidRDefault="008872C6" w:rsidP="008872C6">
      <w:pPr>
        <w:rPr>
          <w:lang w:val="en-US"/>
        </w:rPr>
      </w:pPr>
      <w:r>
        <w:rPr>
          <w:i/>
        </w:rPr>
        <w:t>C</w:t>
      </w:r>
      <w:r w:rsidRPr="0051061D">
        <w:rPr>
          <w:i/>
        </w:rPr>
        <w:t>ommon:</w:t>
      </w:r>
      <w:r w:rsidRPr="0051061D">
        <w:t xml:space="preserve"> </w:t>
      </w:r>
      <w:r w:rsidRPr="0051061D">
        <w:rPr>
          <w:lang w:val="en-US"/>
        </w:rPr>
        <w:t xml:space="preserve">Pneumonia, </w:t>
      </w:r>
      <w:r w:rsidR="000C20A9">
        <w:rPr>
          <w:lang w:val="en-US"/>
        </w:rPr>
        <w:t xml:space="preserve">influenza, herpes zoster, urinary tract infection, </w:t>
      </w:r>
      <w:r w:rsidRPr="0051061D">
        <w:rPr>
          <w:lang w:val="en-US"/>
        </w:rPr>
        <w:t xml:space="preserve">sinusitis, </w:t>
      </w:r>
      <w:r w:rsidR="000C20A9">
        <w:rPr>
          <w:lang w:val="en-US"/>
        </w:rPr>
        <w:t xml:space="preserve">bronchitis, nasopharyngitis, </w:t>
      </w:r>
      <w:r w:rsidRPr="0051061D">
        <w:rPr>
          <w:lang w:val="en-US"/>
        </w:rPr>
        <w:t>pharyngitis.</w:t>
      </w:r>
    </w:p>
    <w:p w:rsidR="000C20A9" w:rsidRPr="00D11C03" w:rsidRDefault="000C20A9" w:rsidP="000C20A9">
      <w:r w:rsidRPr="00D11C03">
        <w:rPr>
          <w:i/>
        </w:rPr>
        <w:t>Uncommon:</w:t>
      </w:r>
      <w:r w:rsidRPr="00D11C03">
        <w:t xml:space="preserve"> </w:t>
      </w:r>
      <w:r>
        <w:t>Tuberculosis</w:t>
      </w:r>
      <w:r w:rsidRPr="00D11C03">
        <w:t>, d</w:t>
      </w:r>
      <w:proofErr w:type="spellStart"/>
      <w:r w:rsidRPr="00D11C03">
        <w:rPr>
          <w:lang w:val="en-US"/>
        </w:rPr>
        <w:t>iverticulitis</w:t>
      </w:r>
      <w:proofErr w:type="spellEnd"/>
      <w:r w:rsidRPr="00D11C03">
        <w:rPr>
          <w:lang w:val="en-US"/>
        </w:rPr>
        <w:t>,</w:t>
      </w:r>
      <w:r w:rsidRPr="00D11C03">
        <w:t xml:space="preserve"> </w:t>
      </w:r>
      <w:r>
        <w:t>pyelonephritis, cellulitis</w:t>
      </w:r>
      <w:r w:rsidRPr="00D11C03">
        <w:t xml:space="preserve">, </w:t>
      </w:r>
      <w:r w:rsidR="004472D4" w:rsidRPr="00720D8E">
        <w:rPr>
          <w:lang w:val="en-US"/>
        </w:rPr>
        <w:t>herpes simplex</w:t>
      </w:r>
      <w:r w:rsidR="004472D4">
        <w:rPr>
          <w:lang w:val="en-US"/>
        </w:rPr>
        <w:t>,</w:t>
      </w:r>
      <w:r w:rsidR="004472D4" w:rsidRPr="00D11C03">
        <w:t xml:space="preserve"> </w:t>
      </w:r>
      <w:r w:rsidRPr="00D11C03">
        <w:t>gastroenteritis</w:t>
      </w:r>
      <w:r w:rsidR="004472D4">
        <w:t xml:space="preserve"> viral</w:t>
      </w:r>
      <w:r w:rsidRPr="00D11C03">
        <w:t>, viral infection.</w:t>
      </w:r>
    </w:p>
    <w:p w:rsidR="000C20A9" w:rsidRDefault="000C20A9" w:rsidP="000C20A9">
      <w:r w:rsidRPr="00D11C03">
        <w:rPr>
          <w:i/>
        </w:rPr>
        <w:t>Rare:</w:t>
      </w:r>
      <w:r w:rsidRPr="00D11C03">
        <w:t xml:space="preserve"> Sepsis,</w:t>
      </w:r>
      <w:r>
        <w:t xml:space="preserve"> t</w:t>
      </w:r>
      <w:r w:rsidRPr="00D11C03">
        <w:t>uberculosis of central nervous system</w:t>
      </w:r>
      <w:r w:rsidRPr="00367344">
        <w:rPr>
          <w:vertAlign w:val="superscript"/>
        </w:rPr>
        <w:t>^</w:t>
      </w:r>
      <w:r w:rsidRPr="00D11C03">
        <w:t>, encephalitis</w:t>
      </w:r>
      <w:r w:rsidRPr="007C6A61">
        <w:rPr>
          <w:vertAlign w:val="superscript"/>
        </w:rPr>
        <w:t>^</w:t>
      </w:r>
      <w:r w:rsidRPr="00D11C03">
        <w:t>, necrotising fasciitis</w:t>
      </w:r>
      <w:r w:rsidRPr="007C6A61">
        <w:rPr>
          <w:vertAlign w:val="superscript"/>
        </w:rPr>
        <w:t>^</w:t>
      </w:r>
      <w:r w:rsidRPr="00D11C03">
        <w:t>, meningitis cryptococcal</w:t>
      </w:r>
      <w:r w:rsidRPr="007C6A61">
        <w:rPr>
          <w:vertAlign w:val="superscript"/>
        </w:rPr>
        <w:t>^</w:t>
      </w:r>
      <w:r w:rsidRPr="00D11C03">
        <w:t xml:space="preserve">, disseminated tuberculosis, </w:t>
      </w:r>
      <w:proofErr w:type="spellStart"/>
      <w:r w:rsidRPr="00D11C03">
        <w:t>urosepsis</w:t>
      </w:r>
      <w:proofErr w:type="spellEnd"/>
      <w:r w:rsidRPr="007C6A61">
        <w:rPr>
          <w:vertAlign w:val="superscript"/>
        </w:rPr>
        <w:t>^</w:t>
      </w:r>
      <w:r w:rsidRPr="00D11C03">
        <w:t xml:space="preserve">, </w:t>
      </w:r>
      <w:r w:rsidRPr="00D11C03">
        <w:rPr>
          <w:i/>
        </w:rPr>
        <w:t xml:space="preserve">Pneumocystis </w:t>
      </w:r>
      <w:proofErr w:type="spellStart"/>
      <w:r w:rsidRPr="00D11C03">
        <w:rPr>
          <w:i/>
        </w:rPr>
        <w:t>jiroveci</w:t>
      </w:r>
      <w:proofErr w:type="spellEnd"/>
      <w:r w:rsidRPr="00D11C03">
        <w:t xml:space="preserve"> pneumonia, pneumococcal pneumonia</w:t>
      </w:r>
      <w:r w:rsidRPr="007C6A61">
        <w:rPr>
          <w:vertAlign w:val="superscript"/>
        </w:rPr>
        <w:t>^</w:t>
      </w:r>
      <w:r w:rsidRPr="001E7E0E">
        <w:t xml:space="preserve">, </w:t>
      </w:r>
      <w:r w:rsidRPr="00D11C03">
        <w:t>staphylococcal bacteraemia</w:t>
      </w:r>
      <w:r w:rsidRPr="007C6A61">
        <w:rPr>
          <w:vertAlign w:val="superscript"/>
        </w:rPr>
        <w:t>^</w:t>
      </w:r>
      <w:r w:rsidRPr="00D11C03">
        <w:t>, atypical mycobacterial infection</w:t>
      </w:r>
      <w:r w:rsidRPr="007C6A61">
        <w:rPr>
          <w:vertAlign w:val="superscript"/>
        </w:rPr>
        <w:t>^</w:t>
      </w:r>
      <w:r w:rsidRPr="00D11C03">
        <w:t xml:space="preserve">, </w:t>
      </w:r>
      <w:r w:rsidRPr="00D11C03">
        <w:rPr>
          <w:i/>
        </w:rPr>
        <w:t>Mycobacterium avium</w:t>
      </w:r>
      <w:r w:rsidRPr="00D11C03">
        <w:t xml:space="preserve"> complex infection</w:t>
      </w:r>
      <w:r w:rsidRPr="007C6A61">
        <w:rPr>
          <w:vertAlign w:val="superscript"/>
        </w:rPr>
        <w:t>^</w:t>
      </w:r>
      <w:r w:rsidRPr="00D11C03">
        <w:t>, cytomegalovirus infection, bacteraemia</w:t>
      </w:r>
      <w:r w:rsidRPr="007C6A61">
        <w:rPr>
          <w:vertAlign w:val="superscript"/>
        </w:rPr>
        <w:t>^</w:t>
      </w:r>
      <w:r w:rsidRPr="00417BE3">
        <w:t>,</w:t>
      </w:r>
      <w:r w:rsidRPr="00383ED0">
        <w:t xml:space="preserve"> </w:t>
      </w:r>
      <w:r w:rsidRPr="00D11C03">
        <w:t>bacterial pneumonia</w:t>
      </w:r>
      <w:r>
        <w:t>,</w:t>
      </w:r>
      <w:r>
        <w:rPr>
          <w:vertAlign w:val="superscript"/>
        </w:rPr>
        <w:t xml:space="preserve"> </w:t>
      </w:r>
      <w:r w:rsidRPr="00D11C03">
        <w:t>bacterial arthritis.</w:t>
      </w:r>
    </w:p>
    <w:p w:rsidR="000C20A9" w:rsidRPr="00D11C03" w:rsidRDefault="000C20A9" w:rsidP="000C20A9">
      <w:pPr>
        <w:keepNext/>
        <w:rPr>
          <w:b/>
          <w:i/>
        </w:rPr>
      </w:pPr>
      <w:r w:rsidRPr="00D11C03">
        <w:rPr>
          <w:b/>
          <w:i/>
        </w:rPr>
        <w:lastRenderedPageBreak/>
        <w:t>Injury, Poisoning and Procedural Complications</w:t>
      </w:r>
    </w:p>
    <w:p w:rsidR="000C20A9" w:rsidRPr="0051061D" w:rsidRDefault="000C20A9" w:rsidP="008872C6">
      <w:r w:rsidRPr="00D11C03">
        <w:rPr>
          <w:i/>
        </w:rPr>
        <w:t>Uncommon:</w:t>
      </w:r>
      <w:r w:rsidRPr="00D11C03">
        <w:rPr>
          <w:b/>
        </w:rPr>
        <w:t xml:space="preserve"> </w:t>
      </w:r>
      <w:r>
        <w:t>L</w:t>
      </w:r>
      <w:proofErr w:type="spellStart"/>
      <w:r w:rsidRPr="00D11C03">
        <w:rPr>
          <w:lang w:val="en-US"/>
        </w:rPr>
        <w:t>igament</w:t>
      </w:r>
      <w:proofErr w:type="spellEnd"/>
      <w:r w:rsidRPr="00D11C03">
        <w:rPr>
          <w:lang w:val="en-US"/>
        </w:rPr>
        <w:t xml:space="preserve"> sprain</w:t>
      </w:r>
      <w:r w:rsidRPr="00D11C03">
        <w:rPr>
          <w:b/>
        </w:rPr>
        <w:t xml:space="preserve">, </w:t>
      </w:r>
      <w:r w:rsidRPr="00D11C03">
        <w:t>m</w:t>
      </w:r>
      <w:r>
        <w:t>uscle strain</w:t>
      </w:r>
    </w:p>
    <w:p w:rsidR="008872C6" w:rsidRPr="0051061D" w:rsidRDefault="008872C6" w:rsidP="008872C6">
      <w:pPr>
        <w:keepNext/>
        <w:rPr>
          <w:b/>
          <w:i/>
        </w:rPr>
      </w:pPr>
      <w:r w:rsidRPr="0051061D">
        <w:rPr>
          <w:b/>
          <w:i/>
        </w:rPr>
        <w:t>Investigations</w:t>
      </w:r>
    </w:p>
    <w:p w:rsidR="008872C6" w:rsidRDefault="008872C6" w:rsidP="008872C6">
      <w:pPr>
        <w:rPr>
          <w:lang w:val="en-US"/>
        </w:rPr>
      </w:pPr>
      <w:r w:rsidRPr="0051061D">
        <w:rPr>
          <w:i/>
        </w:rPr>
        <w:t xml:space="preserve">Common: </w:t>
      </w:r>
      <w:r w:rsidR="000C20A9">
        <w:t>G</w:t>
      </w:r>
      <w:r w:rsidR="000C20A9" w:rsidRPr="00D11C03">
        <w:t xml:space="preserve">amma </w:t>
      </w:r>
      <w:proofErr w:type="spellStart"/>
      <w:r w:rsidR="000C20A9" w:rsidRPr="00D11C03">
        <w:t>glutamyltransferase</w:t>
      </w:r>
      <w:proofErr w:type="spellEnd"/>
      <w:r w:rsidR="000C20A9" w:rsidRPr="00D11C03">
        <w:t xml:space="preserve"> increased</w:t>
      </w:r>
      <w:r w:rsidR="000C20A9">
        <w:t>,</w:t>
      </w:r>
      <w:r w:rsidR="00C56F6C">
        <w:t xml:space="preserve"> </w:t>
      </w:r>
      <w:r w:rsidR="00C56F6C" w:rsidRPr="00D11C03">
        <w:rPr>
          <w:lang w:val="en-US"/>
        </w:rPr>
        <w:t>blood cholesterol increased</w:t>
      </w:r>
      <w:r w:rsidR="00C56F6C">
        <w:rPr>
          <w:lang w:val="en-US"/>
        </w:rPr>
        <w:t xml:space="preserve">, </w:t>
      </w:r>
      <w:r w:rsidR="000C20A9">
        <w:rPr>
          <w:lang w:val="en-US"/>
        </w:rPr>
        <w:t>weight increas</w:t>
      </w:r>
      <w:r w:rsidR="000C20A9" w:rsidRPr="00FB4F86">
        <w:rPr>
          <w:szCs w:val="24"/>
          <w:lang w:val="en-US"/>
        </w:rPr>
        <w:t xml:space="preserve">ed, </w:t>
      </w:r>
      <w:r w:rsidR="000C20A9" w:rsidRPr="00FB4F86">
        <w:rPr>
          <w:szCs w:val="24"/>
        </w:rPr>
        <w:t>blood creatine phosphokinase increased</w:t>
      </w:r>
      <w:r w:rsidR="00401848">
        <w:rPr>
          <w:lang w:val="en-US"/>
        </w:rPr>
        <w:t>.</w:t>
      </w:r>
    </w:p>
    <w:p w:rsidR="000C20A9" w:rsidRPr="0051061D" w:rsidRDefault="000C20A9" w:rsidP="008872C6">
      <w:r w:rsidRPr="00D11C03">
        <w:rPr>
          <w:i/>
        </w:rPr>
        <w:t xml:space="preserve">Uncommon: </w:t>
      </w:r>
      <w:r w:rsidRPr="00D11C03">
        <w:rPr>
          <w:lang w:val="en-US"/>
        </w:rPr>
        <w:t>Hepatic enzyme increased</w:t>
      </w:r>
      <w:r>
        <w:rPr>
          <w:lang w:val="en-US"/>
        </w:rPr>
        <w:t>,</w:t>
      </w:r>
      <w:r w:rsidRPr="00D11C03">
        <w:t xml:space="preserve"> </w:t>
      </w:r>
      <w:r>
        <w:t>t</w:t>
      </w:r>
      <w:r w:rsidRPr="00D11C03">
        <w:t>ransaminases increased, blood creatinine increased, liver function test abnormal, l</w:t>
      </w:r>
      <w:r w:rsidRPr="00D11C03">
        <w:rPr>
          <w:lang w:val="en-US"/>
        </w:rPr>
        <w:t>ow density lipoprotein increased</w:t>
      </w:r>
      <w:r w:rsidRPr="00D11C03">
        <w:t>.</w:t>
      </w:r>
    </w:p>
    <w:p w:rsidR="008872C6" w:rsidRPr="0051061D" w:rsidRDefault="008872C6" w:rsidP="008872C6">
      <w:pPr>
        <w:keepNext/>
        <w:rPr>
          <w:b/>
          <w:i/>
        </w:rPr>
      </w:pPr>
      <w:r w:rsidRPr="0051061D">
        <w:rPr>
          <w:b/>
          <w:i/>
        </w:rPr>
        <w:t>Metabolism and Nutrition Disorders</w:t>
      </w:r>
    </w:p>
    <w:p w:rsidR="008872C6" w:rsidRDefault="008872C6" w:rsidP="008872C6">
      <w:r w:rsidRPr="0051061D">
        <w:rPr>
          <w:i/>
        </w:rPr>
        <w:t xml:space="preserve">Common: </w:t>
      </w:r>
      <w:proofErr w:type="spellStart"/>
      <w:r w:rsidR="00C56F6C">
        <w:rPr>
          <w:lang w:val="en-US"/>
        </w:rPr>
        <w:t>H</w:t>
      </w:r>
      <w:r w:rsidR="00C56F6C" w:rsidRPr="00D11C03">
        <w:rPr>
          <w:lang w:val="en-US"/>
        </w:rPr>
        <w:t>yperlipid</w:t>
      </w:r>
      <w:r w:rsidR="00C56F6C">
        <w:rPr>
          <w:lang w:val="en-US"/>
        </w:rPr>
        <w:t>a</w:t>
      </w:r>
      <w:r w:rsidR="00C56F6C" w:rsidRPr="00D11C03">
        <w:rPr>
          <w:lang w:val="en-US"/>
        </w:rPr>
        <w:t>emia</w:t>
      </w:r>
      <w:proofErr w:type="spellEnd"/>
      <w:r w:rsidRPr="0051061D">
        <w:t>.</w:t>
      </w:r>
    </w:p>
    <w:p w:rsidR="000121F3" w:rsidRPr="0051061D" w:rsidRDefault="000121F3" w:rsidP="008872C6">
      <w:r w:rsidRPr="00D11C03">
        <w:rPr>
          <w:i/>
        </w:rPr>
        <w:t xml:space="preserve">Uncommon: </w:t>
      </w:r>
      <w:proofErr w:type="spellStart"/>
      <w:r w:rsidR="00C56F6C">
        <w:rPr>
          <w:lang w:val="en-US"/>
        </w:rPr>
        <w:t>D</w:t>
      </w:r>
      <w:r w:rsidR="00C56F6C" w:rsidRPr="0051061D">
        <w:rPr>
          <w:lang w:val="en-US"/>
        </w:rPr>
        <w:t>yslipid</w:t>
      </w:r>
      <w:r w:rsidR="00C56F6C">
        <w:rPr>
          <w:lang w:val="en-US"/>
        </w:rPr>
        <w:t>a</w:t>
      </w:r>
      <w:r w:rsidR="00C56F6C" w:rsidRPr="0051061D">
        <w:rPr>
          <w:lang w:val="en-US"/>
        </w:rPr>
        <w:t>emia</w:t>
      </w:r>
      <w:proofErr w:type="spellEnd"/>
      <w:r w:rsidR="00C56F6C">
        <w:rPr>
          <w:lang w:val="en-US"/>
        </w:rPr>
        <w:t xml:space="preserve">, </w:t>
      </w:r>
      <w:r w:rsidR="00C56F6C">
        <w:t>d</w:t>
      </w:r>
      <w:r w:rsidRPr="00D11C03">
        <w:t>ehydration.</w:t>
      </w:r>
    </w:p>
    <w:p w:rsidR="008872C6" w:rsidRPr="0051061D" w:rsidRDefault="008872C6" w:rsidP="008872C6">
      <w:pPr>
        <w:keepNext/>
        <w:rPr>
          <w:b/>
          <w:i/>
        </w:rPr>
      </w:pPr>
      <w:r w:rsidRPr="0051061D">
        <w:rPr>
          <w:b/>
          <w:i/>
        </w:rPr>
        <w:t>Musculoskeletal and Connective Tissue Disorders</w:t>
      </w:r>
    </w:p>
    <w:p w:rsidR="008872C6" w:rsidRDefault="008872C6" w:rsidP="008872C6">
      <w:pPr>
        <w:rPr>
          <w:lang w:val="en-US"/>
        </w:rPr>
      </w:pPr>
      <w:r w:rsidRPr="0051061D">
        <w:rPr>
          <w:i/>
        </w:rPr>
        <w:t>Common:</w:t>
      </w:r>
      <w:r w:rsidRPr="0051061D">
        <w:t xml:space="preserve"> </w:t>
      </w:r>
      <w:r w:rsidR="000121F3">
        <w:rPr>
          <w:lang w:val="en-US"/>
        </w:rPr>
        <w:t>Arthralgia</w:t>
      </w:r>
      <w:r>
        <w:rPr>
          <w:lang w:val="en-US"/>
        </w:rPr>
        <w:t>.</w:t>
      </w:r>
    </w:p>
    <w:p w:rsidR="000121F3" w:rsidRDefault="000121F3" w:rsidP="000121F3">
      <w:r w:rsidRPr="00D11C03">
        <w:rPr>
          <w:i/>
        </w:rPr>
        <w:t>Uncommon:</w:t>
      </w:r>
      <w:r w:rsidRPr="00D11C03">
        <w:rPr>
          <w:b/>
        </w:rPr>
        <w:t xml:space="preserve"> </w:t>
      </w:r>
      <w:r w:rsidRPr="00D11C03">
        <w:rPr>
          <w:lang w:val="en-US"/>
        </w:rPr>
        <w:t>Musculoskeletal pain</w:t>
      </w:r>
      <w:r>
        <w:rPr>
          <w:lang w:val="en-US"/>
        </w:rPr>
        <w:t>,</w:t>
      </w:r>
      <w:r w:rsidRPr="00D11C03">
        <w:t xml:space="preserve"> </w:t>
      </w:r>
      <w:r>
        <w:t>t</w:t>
      </w:r>
      <w:r w:rsidRPr="00D11C03">
        <w:t>endonitis, joint swelling.</w:t>
      </w:r>
    </w:p>
    <w:p w:rsidR="000121F3" w:rsidRPr="00D11C03" w:rsidRDefault="000121F3" w:rsidP="000121F3">
      <w:pPr>
        <w:keepNext/>
        <w:rPr>
          <w:b/>
          <w:i/>
        </w:rPr>
      </w:pPr>
      <w:r w:rsidRPr="00D11C03">
        <w:rPr>
          <w:b/>
          <w:i/>
        </w:rPr>
        <w:t>Neoplasm Benign, Malignant and Unspecified (Including Cysts and Polyps)</w:t>
      </w:r>
    </w:p>
    <w:p w:rsidR="000121F3" w:rsidRPr="00D11C03" w:rsidRDefault="000121F3" w:rsidP="000121F3">
      <w:pPr>
        <w:rPr>
          <w:vertAlign w:val="superscript"/>
        </w:rPr>
      </w:pPr>
      <w:r w:rsidRPr="00D11C03">
        <w:rPr>
          <w:i/>
        </w:rPr>
        <w:t xml:space="preserve">Uncommon: </w:t>
      </w:r>
      <w:r w:rsidRPr="00D11C03">
        <w:t>Nonmelanoma skin cancers</w:t>
      </w:r>
      <w:proofErr w:type="gramStart"/>
      <w:r w:rsidRPr="00D11C03">
        <w:t>.</w:t>
      </w:r>
      <w:r w:rsidRPr="00D11C03">
        <w:rPr>
          <w:vertAlign w:val="superscript"/>
        </w:rPr>
        <w:t>§</w:t>
      </w:r>
      <w:proofErr w:type="gramEnd"/>
      <w:r w:rsidRPr="00D11C03">
        <w:rPr>
          <w:vertAlign w:val="superscript"/>
        </w:rPr>
        <w:t xml:space="preserve"> </w:t>
      </w:r>
    </w:p>
    <w:p w:rsidR="000121F3" w:rsidRPr="00D11C03" w:rsidRDefault="000121F3" w:rsidP="000121F3">
      <w:pPr>
        <w:keepNext/>
        <w:rPr>
          <w:b/>
          <w:i/>
        </w:rPr>
      </w:pPr>
      <w:r w:rsidRPr="00D11C03">
        <w:rPr>
          <w:b/>
          <w:i/>
        </w:rPr>
        <w:t>Nervous System Disorders</w:t>
      </w:r>
    </w:p>
    <w:p w:rsidR="000121F3" w:rsidRDefault="000121F3" w:rsidP="000121F3">
      <w:pPr>
        <w:rPr>
          <w:i/>
        </w:rPr>
      </w:pPr>
      <w:r w:rsidRPr="00D11C03">
        <w:rPr>
          <w:i/>
        </w:rPr>
        <w:t>Common:</w:t>
      </w:r>
      <w:r w:rsidRPr="00445B4D">
        <w:t xml:space="preserve"> Headache</w:t>
      </w:r>
      <w:r>
        <w:t>.</w:t>
      </w:r>
    </w:p>
    <w:p w:rsidR="000121F3" w:rsidRPr="0051061D" w:rsidRDefault="000121F3" w:rsidP="008872C6">
      <w:r w:rsidRPr="00D11C03">
        <w:rPr>
          <w:i/>
        </w:rPr>
        <w:t>Uncommon:</w:t>
      </w:r>
      <w:r w:rsidRPr="00445B4D">
        <w:t xml:space="preserve"> </w:t>
      </w:r>
      <w:r>
        <w:t>P</w:t>
      </w:r>
      <w:r w:rsidRPr="00D11C03">
        <w:t>araesthesia.</w:t>
      </w:r>
    </w:p>
    <w:p w:rsidR="008872C6" w:rsidRPr="0051061D" w:rsidRDefault="008872C6" w:rsidP="008872C6">
      <w:pPr>
        <w:keepNext/>
        <w:rPr>
          <w:b/>
          <w:i/>
        </w:rPr>
      </w:pPr>
      <w:r w:rsidRPr="0051061D">
        <w:rPr>
          <w:b/>
          <w:i/>
        </w:rPr>
        <w:t>Psychiatric Disorders</w:t>
      </w:r>
    </w:p>
    <w:p w:rsidR="008872C6" w:rsidRPr="0051061D" w:rsidRDefault="00D63473" w:rsidP="008872C6">
      <w:r>
        <w:rPr>
          <w:i/>
        </w:rPr>
        <w:t>Unco</w:t>
      </w:r>
      <w:r w:rsidRPr="0051061D">
        <w:rPr>
          <w:i/>
        </w:rPr>
        <w:t xml:space="preserve">mmon: </w:t>
      </w:r>
      <w:r>
        <w:t>I</w:t>
      </w:r>
      <w:r w:rsidRPr="0051061D">
        <w:t>nsomnia</w:t>
      </w:r>
      <w:r w:rsidR="008872C6" w:rsidRPr="0051061D">
        <w:t>.</w:t>
      </w:r>
    </w:p>
    <w:p w:rsidR="008872C6" w:rsidRPr="0051061D" w:rsidRDefault="008872C6" w:rsidP="008872C6">
      <w:pPr>
        <w:keepNext/>
        <w:rPr>
          <w:b/>
          <w:i/>
        </w:rPr>
      </w:pPr>
      <w:r w:rsidRPr="0051061D">
        <w:rPr>
          <w:b/>
          <w:i/>
        </w:rPr>
        <w:t>Respiratory, Thoracic and Mediastinal Disorders</w:t>
      </w:r>
    </w:p>
    <w:p w:rsidR="008872C6" w:rsidRDefault="008872C6" w:rsidP="008872C6">
      <w:r w:rsidRPr="0051061D">
        <w:rPr>
          <w:i/>
        </w:rPr>
        <w:t xml:space="preserve">Common: </w:t>
      </w:r>
      <w:r w:rsidR="000121F3">
        <w:t>Cough</w:t>
      </w:r>
      <w:r w:rsidR="00401848">
        <w:t>.</w:t>
      </w:r>
    </w:p>
    <w:p w:rsidR="000121F3" w:rsidRPr="000121F3" w:rsidRDefault="000121F3" w:rsidP="008872C6">
      <w:r w:rsidRPr="00D11C03">
        <w:rPr>
          <w:i/>
        </w:rPr>
        <w:t xml:space="preserve">Uncommon: </w:t>
      </w:r>
      <w:r w:rsidRPr="00D11C03">
        <w:t>Dyspnoea</w:t>
      </w:r>
      <w:r>
        <w:t>,</w:t>
      </w:r>
      <w:r w:rsidRPr="00D11C03">
        <w:t xml:space="preserve"> </w:t>
      </w:r>
      <w:r>
        <w:t>s</w:t>
      </w:r>
      <w:r w:rsidRPr="00D11C03">
        <w:t>inus congestion.</w:t>
      </w:r>
    </w:p>
    <w:p w:rsidR="008872C6" w:rsidRPr="0051061D" w:rsidRDefault="008872C6" w:rsidP="008872C6">
      <w:pPr>
        <w:keepNext/>
        <w:rPr>
          <w:b/>
          <w:i/>
        </w:rPr>
      </w:pPr>
      <w:r w:rsidRPr="0051061D">
        <w:rPr>
          <w:b/>
          <w:i/>
        </w:rPr>
        <w:t>Skin and Subcutaneous Tissue Disorders</w:t>
      </w:r>
    </w:p>
    <w:p w:rsidR="008872C6" w:rsidRDefault="008872C6" w:rsidP="008872C6">
      <w:r w:rsidRPr="0051061D">
        <w:rPr>
          <w:i/>
        </w:rPr>
        <w:t xml:space="preserve">Common: </w:t>
      </w:r>
      <w:r w:rsidRPr="0051061D">
        <w:t>Rash.</w:t>
      </w:r>
    </w:p>
    <w:p w:rsidR="000121F3" w:rsidRPr="00445B4D" w:rsidRDefault="000121F3" w:rsidP="000121F3">
      <w:r w:rsidRPr="00D11C03">
        <w:rPr>
          <w:i/>
        </w:rPr>
        <w:t xml:space="preserve">Uncommon: </w:t>
      </w:r>
      <w:r w:rsidRPr="00D11C03">
        <w:t>Erythema, pruritus.</w:t>
      </w:r>
    </w:p>
    <w:p w:rsidR="000121F3" w:rsidRPr="00D11C03" w:rsidRDefault="000121F3" w:rsidP="000121F3">
      <w:pPr>
        <w:keepNext/>
        <w:rPr>
          <w:b/>
          <w:i/>
        </w:rPr>
      </w:pPr>
      <w:r>
        <w:rPr>
          <w:b/>
          <w:i/>
        </w:rPr>
        <w:lastRenderedPageBreak/>
        <w:t xml:space="preserve">Vascular </w:t>
      </w:r>
      <w:r w:rsidRPr="00D11C03">
        <w:rPr>
          <w:b/>
          <w:i/>
        </w:rPr>
        <w:t>Disorders</w:t>
      </w:r>
    </w:p>
    <w:p w:rsidR="000121F3" w:rsidRDefault="000121F3" w:rsidP="000121F3">
      <w:r w:rsidRPr="00D11C03">
        <w:rPr>
          <w:i/>
        </w:rPr>
        <w:t xml:space="preserve">Common: </w:t>
      </w:r>
      <w:r>
        <w:t>Hypertension</w:t>
      </w:r>
      <w:r w:rsidRPr="00D11C03">
        <w:t>.</w:t>
      </w:r>
    </w:p>
    <w:p w:rsidR="000121F3" w:rsidRPr="00516643" w:rsidRDefault="000121F3" w:rsidP="000121F3">
      <w:pPr>
        <w:ind w:left="284" w:hanging="284"/>
        <w:rPr>
          <w:sz w:val="20"/>
        </w:rPr>
      </w:pPr>
      <w:r w:rsidRPr="00D52C62">
        <w:rPr>
          <w:rFonts w:eastAsia="Arial Unicode MS"/>
          <w:sz w:val="20"/>
        </w:rPr>
        <w:t>^   These ADRs have only been reported in open-label long-term extension studies</w:t>
      </w:r>
      <w:r w:rsidRPr="00D52C62">
        <w:rPr>
          <w:sz w:val="20"/>
        </w:rPr>
        <w:t>; therefore, the frequency of these ADRs in Phase 3 randomised trials was estimated.</w:t>
      </w:r>
    </w:p>
    <w:p w:rsidR="004C3714" w:rsidRPr="00D52C62" w:rsidRDefault="004C3714" w:rsidP="000121F3">
      <w:pPr>
        <w:ind w:left="284" w:hanging="284"/>
        <w:rPr>
          <w:sz w:val="20"/>
        </w:rPr>
      </w:pPr>
      <w:r w:rsidRPr="00D52C62">
        <w:rPr>
          <w:sz w:val="20"/>
        </w:rPr>
        <w:t>§</w:t>
      </w:r>
      <w:r w:rsidRPr="00D52C62">
        <w:rPr>
          <w:sz w:val="20"/>
        </w:rPr>
        <w:tab/>
        <w:t>Nonmelanoma skin cancer is not a preferred term. The frequency is determined by combining frequencies for the PT’s of basal cell carcinoma and squamous cell carcinoma.</w:t>
      </w:r>
    </w:p>
    <w:p w:rsidR="008872C6" w:rsidRPr="0051061D" w:rsidRDefault="008872C6" w:rsidP="006A4E28">
      <w:pPr>
        <w:pStyle w:val="PIHeading3"/>
      </w:pPr>
      <w:r w:rsidRPr="0051061D">
        <w:t>Overall Infections</w:t>
      </w:r>
    </w:p>
    <w:p w:rsidR="00516643" w:rsidRPr="002E6E41" w:rsidRDefault="00516643" w:rsidP="00516643">
      <w:pPr>
        <w:pStyle w:val="PIHeading4"/>
        <w:rPr>
          <w:u w:val="single"/>
          <w:lang w:val="en-US"/>
        </w:rPr>
      </w:pPr>
      <w:r w:rsidRPr="002E6E41">
        <w:rPr>
          <w:u w:val="single"/>
          <w:lang w:val="en-US"/>
        </w:rPr>
        <w:t>Rheumatoid Arthritis</w:t>
      </w:r>
    </w:p>
    <w:p w:rsidR="008872C6" w:rsidRPr="0051061D" w:rsidRDefault="008872C6" w:rsidP="008872C6">
      <w:pPr>
        <w:pStyle w:val="first"/>
        <w:spacing w:before="0" w:after="240" w:line="240" w:lineRule="auto"/>
        <w:jc w:val="both"/>
        <w:rPr>
          <w:rFonts w:eastAsia="Arial Unicode MS"/>
          <w:color w:val="000000"/>
          <w:lang w:val="en"/>
        </w:rPr>
      </w:pPr>
      <w:r w:rsidRPr="0051061D">
        <w:rPr>
          <w:rFonts w:eastAsia="Arial Unicode MS"/>
          <w:color w:val="000000"/>
          <w:lang w:val="en"/>
        </w:rPr>
        <w:t>In the controlled portion (0-3 months</w:t>
      </w:r>
      <w:r>
        <w:rPr>
          <w:rFonts w:eastAsia="Arial Unicode MS"/>
          <w:color w:val="000000"/>
          <w:lang w:val="en"/>
        </w:rPr>
        <w:t xml:space="preserve">) </w:t>
      </w:r>
      <w:r w:rsidRPr="0051061D">
        <w:rPr>
          <w:rFonts w:eastAsia="Arial Unicode MS"/>
          <w:color w:val="000000"/>
          <w:lang w:val="en"/>
        </w:rPr>
        <w:t>of the phase 3 monotherapy stud</w:t>
      </w:r>
      <w:r>
        <w:rPr>
          <w:rFonts w:eastAsia="Arial Unicode MS"/>
          <w:color w:val="000000"/>
          <w:lang w:val="en"/>
        </w:rPr>
        <w:t>ies</w:t>
      </w:r>
      <w:r w:rsidRPr="0051061D">
        <w:rPr>
          <w:rFonts w:eastAsia="Arial Unicode MS"/>
          <w:color w:val="000000"/>
          <w:lang w:val="en"/>
        </w:rPr>
        <w:t xml:space="preserve"> </w:t>
      </w:r>
      <w:r>
        <w:rPr>
          <w:rFonts w:eastAsia="Arial Unicode MS"/>
          <w:color w:val="000000"/>
          <w:lang w:val="en"/>
        </w:rPr>
        <w:t>(I and VI</w:t>
      </w:r>
      <w:r w:rsidRPr="0051061D">
        <w:rPr>
          <w:rFonts w:eastAsia="Arial Unicode MS"/>
          <w:color w:val="000000"/>
          <w:lang w:val="en"/>
        </w:rPr>
        <w:t xml:space="preserve">), the rate of infections in the 5 mg twice daily and 10 mg twice daily XELJANZ monotherapy groups were </w:t>
      </w:r>
      <w:r>
        <w:rPr>
          <w:rFonts w:eastAsia="Arial Unicode MS"/>
          <w:color w:val="000000"/>
          <w:lang w:val="en"/>
        </w:rPr>
        <w:t>16.1</w:t>
      </w:r>
      <w:r w:rsidRPr="0051061D">
        <w:rPr>
          <w:rFonts w:eastAsia="Arial Unicode MS"/>
          <w:color w:val="000000"/>
          <w:lang w:val="en"/>
        </w:rPr>
        <w:t xml:space="preserve">% and </w:t>
      </w:r>
      <w:r>
        <w:rPr>
          <w:rFonts w:eastAsia="Arial Unicode MS"/>
          <w:color w:val="000000"/>
          <w:lang w:val="en"/>
        </w:rPr>
        <w:t>17.8</w:t>
      </w:r>
      <w:r w:rsidRPr="0051061D">
        <w:rPr>
          <w:rFonts w:eastAsia="Arial Unicode MS"/>
          <w:color w:val="000000"/>
          <w:lang w:val="en"/>
        </w:rPr>
        <w:t>%, respectively, compared to 18.9% in the placebo group.  In the controlled portion (0-3 months</w:t>
      </w:r>
      <w:r>
        <w:rPr>
          <w:rFonts w:eastAsia="Arial Unicode MS"/>
          <w:color w:val="000000"/>
          <w:lang w:val="en"/>
        </w:rPr>
        <w:t>)</w:t>
      </w:r>
      <w:r w:rsidRPr="0051061D">
        <w:rPr>
          <w:rFonts w:eastAsia="Arial Unicode MS"/>
          <w:color w:val="000000"/>
          <w:lang w:val="en"/>
        </w:rPr>
        <w:t xml:space="preserve"> of the phase 3 studies </w:t>
      </w:r>
      <w:r>
        <w:rPr>
          <w:rFonts w:eastAsia="Arial Unicode MS"/>
          <w:color w:val="000000"/>
          <w:lang w:val="en"/>
        </w:rPr>
        <w:t>II to V</w:t>
      </w:r>
      <w:r w:rsidRPr="0051061D">
        <w:rPr>
          <w:rFonts w:eastAsia="Arial Unicode MS"/>
          <w:color w:val="000000"/>
          <w:lang w:val="en"/>
        </w:rPr>
        <w:t xml:space="preserve"> with background DMARDs, the rates of infections in the 5 mg twice daily and 10 mg twice daily XELJANZ plus DMARD groups were </w:t>
      </w:r>
      <w:r>
        <w:rPr>
          <w:rFonts w:eastAsia="Arial Unicode MS"/>
          <w:color w:val="000000"/>
          <w:lang w:val="en"/>
        </w:rPr>
        <w:t>21.3</w:t>
      </w:r>
      <w:r w:rsidRPr="0051061D">
        <w:rPr>
          <w:rFonts w:eastAsia="Arial Unicode MS"/>
          <w:color w:val="000000"/>
          <w:lang w:val="en"/>
        </w:rPr>
        <w:t xml:space="preserve">% and </w:t>
      </w:r>
      <w:r>
        <w:rPr>
          <w:rFonts w:eastAsia="Arial Unicode MS"/>
          <w:color w:val="000000"/>
          <w:lang w:val="en"/>
        </w:rPr>
        <w:t>21.8</w:t>
      </w:r>
      <w:r w:rsidRPr="0051061D">
        <w:rPr>
          <w:rFonts w:eastAsia="Arial Unicode MS"/>
          <w:color w:val="000000"/>
          <w:lang w:val="en"/>
        </w:rPr>
        <w:t xml:space="preserve">%, respectively, compared to </w:t>
      </w:r>
      <w:r>
        <w:rPr>
          <w:rFonts w:eastAsia="Arial Unicode MS"/>
          <w:color w:val="000000"/>
          <w:lang w:val="en"/>
        </w:rPr>
        <w:t>18.4</w:t>
      </w:r>
      <w:r w:rsidRPr="0051061D">
        <w:rPr>
          <w:rFonts w:eastAsia="Arial Unicode MS"/>
          <w:color w:val="000000"/>
          <w:lang w:val="en"/>
        </w:rPr>
        <w:t>% in the placebo plus DMARD group.</w:t>
      </w:r>
      <w:r>
        <w:rPr>
          <w:rFonts w:eastAsia="Arial Unicode MS"/>
          <w:color w:val="000000"/>
          <w:lang w:val="en"/>
        </w:rPr>
        <w:t xml:space="preserve">  </w:t>
      </w:r>
      <w:r w:rsidRPr="0051061D">
        <w:rPr>
          <w:rFonts w:eastAsia="Arial Unicode MS"/>
          <w:color w:val="000000"/>
          <w:lang w:val="en"/>
        </w:rPr>
        <w:t>In the controlled portion (0-</w:t>
      </w:r>
      <w:r>
        <w:rPr>
          <w:rFonts w:eastAsia="Arial Unicode MS"/>
          <w:color w:val="000000"/>
          <w:lang w:val="en"/>
        </w:rPr>
        <w:t>6</w:t>
      </w:r>
      <w:r w:rsidRPr="0051061D">
        <w:rPr>
          <w:rFonts w:eastAsia="Arial Unicode MS"/>
          <w:color w:val="000000"/>
          <w:lang w:val="en"/>
        </w:rPr>
        <w:t> months</w:t>
      </w:r>
      <w:r>
        <w:rPr>
          <w:rFonts w:eastAsia="Arial Unicode MS"/>
          <w:color w:val="000000"/>
          <w:lang w:val="en"/>
        </w:rPr>
        <w:t xml:space="preserve">) </w:t>
      </w:r>
      <w:r w:rsidRPr="0051061D">
        <w:rPr>
          <w:rFonts w:eastAsia="Arial Unicode MS"/>
          <w:color w:val="000000"/>
          <w:lang w:val="en"/>
        </w:rPr>
        <w:t xml:space="preserve">of the phase 3 studies </w:t>
      </w:r>
      <w:r>
        <w:rPr>
          <w:rFonts w:eastAsia="Arial Unicode MS"/>
          <w:color w:val="000000"/>
          <w:lang w:val="en"/>
        </w:rPr>
        <w:t xml:space="preserve">II to IV </w:t>
      </w:r>
      <w:r w:rsidRPr="0051061D">
        <w:rPr>
          <w:rFonts w:eastAsia="Arial Unicode MS"/>
          <w:color w:val="000000"/>
          <w:lang w:val="en"/>
        </w:rPr>
        <w:t xml:space="preserve">with background DMARDs, the rates of infections in the 5 mg twice daily and 10 mg twice daily XELJANZ plus DMARD groups were </w:t>
      </w:r>
      <w:r>
        <w:rPr>
          <w:rFonts w:eastAsia="Arial Unicode MS"/>
          <w:color w:val="000000"/>
          <w:lang w:val="en"/>
        </w:rPr>
        <w:t>34.6</w:t>
      </w:r>
      <w:r w:rsidRPr="001B1773">
        <w:rPr>
          <w:rFonts w:eastAsia="Arial Unicode MS"/>
          <w:color w:val="000000"/>
          <w:lang w:val="en"/>
        </w:rPr>
        <w:t>%</w:t>
      </w:r>
      <w:r w:rsidRPr="0051061D">
        <w:rPr>
          <w:rFonts w:eastAsia="Arial Unicode MS"/>
          <w:color w:val="000000"/>
          <w:lang w:val="en"/>
        </w:rPr>
        <w:t xml:space="preserve"> and </w:t>
      </w:r>
      <w:r>
        <w:rPr>
          <w:rFonts w:eastAsia="Arial Unicode MS"/>
          <w:color w:val="000000"/>
          <w:lang w:val="en"/>
        </w:rPr>
        <w:t>32.8</w:t>
      </w:r>
      <w:r w:rsidRPr="001B1773">
        <w:rPr>
          <w:rFonts w:eastAsia="Arial Unicode MS"/>
          <w:color w:val="000000"/>
          <w:lang w:val="en"/>
        </w:rPr>
        <w:t>%</w:t>
      </w:r>
      <w:r w:rsidRPr="0051061D">
        <w:rPr>
          <w:rFonts w:eastAsia="Arial Unicode MS"/>
          <w:color w:val="000000"/>
          <w:lang w:val="en"/>
        </w:rPr>
        <w:t xml:space="preserve">, respectively, compared to </w:t>
      </w:r>
      <w:r>
        <w:rPr>
          <w:rFonts w:eastAsia="Arial Unicode MS"/>
          <w:color w:val="000000"/>
          <w:lang w:val="en"/>
        </w:rPr>
        <w:t>21.3</w:t>
      </w:r>
      <w:r w:rsidRPr="0051061D">
        <w:rPr>
          <w:rFonts w:eastAsia="Arial Unicode MS"/>
          <w:color w:val="000000"/>
          <w:lang w:val="en"/>
        </w:rPr>
        <w:t>% in the placebo plus DMARD group</w:t>
      </w:r>
      <w:r>
        <w:rPr>
          <w:rFonts w:eastAsia="Arial Unicode MS"/>
          <w:color w:val="000000"/>
          <w:lang w:val="en"/>
        </w:rPr>
        <w:t>.</w:t>
      </w:r>
    </w:p>
    <w:p w:rsidR="008872C6" w:rsidRPr="0051061D" w:rsidRDefault="008872C6" w:rsidP="008872C6">
      <w:pPr>
        <w:pStyle w:val="first"/>
        <w:spacing w:before="0" w:after="240" w:line="240" w:lineRule="auto"/>
        <w:jc w:val="both"/>
        <w:rPr>
          <w:rFonts w:eastAsia="Arial Unicode MS"/>
          <w:color w:val="000000"/>
          <w:lang w:val="en"/>
        </w:rPr>
      </w:pPr>
      <w:r w:rsidRPr="0051061D">
        <w:rPr>
          <w:rFonts w:eastAsia="Arial Unicode MS"/>
          <w:color w:val="000000"/>
          <w:lang w:val="en"/>
        </w:rPr>
        <w:t>The most commonly reported infections were upper respiratory tract infections and nasopharyngitis (</w:t>
      </w:r>
      <w:r>
        <w:rPr>
          <w:rFonts w:eastAsia="Arial Unicode MS"/>
          <w:color w:val="000000"/>
          <w:lang w:val="en"/>
        </w:rPr>
        <w:t>3.7</w:t>
      </w:r>
      <w:r w:rsidRPr="0051061D">
        <w:rPr>
          <w:rFonts w:eastAsia="Arial Unicode MS"/>
          <w:color w:val="000000"/>
          <w:lang w:val="en"/>
        </w:rPr>
        <w:t xml:space="preserve">% and </w:t>
      </w:r>
      <w:r>
        <w:rPr>
          <w:rFonts w:eastAsia="Arial Unicode MS"/>
          <w:color w:val="000000"/>
          <w:lang w:val="en"/>
        </w:rPr>
        <w:t>3.2</w:t>
      </w:r>
      <w:r w:rsidRPr="0051061D">
        <w:rPr>
          <w:rFonts w:eastAsia="Arial Unicode MS"/>
          <w:color w:val="000000"/>
          <w:lang w:val="en"/>
        </w:rPr>
        <w:t>%, respectively).</w:t>
      </w:r>
    </w:p>
    <w:p w:rsidR="008872C6" w:rsidRDefault="008872C6" w:rsidP="008872C6">
      <w:pPr>
        <w:pStyle w:val="first"/>
        <w:spacing w:before="0" w:after="240" w:line="240" w:lineRule="auto"/>
        <w:jc w:val="both"/>
        <w:rPr>
          <w:rFonts w:eastAsia="Arial Unicode MS"/>
          <w:color w:val="000000"/>
          <w:lang w:val="en"/>
        </w:rPr>
      </w:pPr>
      <w:r w:rsidRPr="0051061D">
        <w:rPr>
          <w:rFonts w:eastAsia="Arial Unicode MS"/>
          <w:color w:val="000000"/>
          <w:lang w:val="en"/>
        </w:rPr>
        <w:t>The overall rate of infections with XELJANZ in the long-term safety all exposure population</w:t>
      </w:r>
      <w:r>
        <w:rPr>
          <w:rFonts w:eastAsia="Arial Unicode MS"/>
          <w:color w:val="000000"/>
          <w:lang w:val="en"/>
        </w:rPr>
        <w:t xml:space="preserve"> </w:t>
      </w:r>
      <w:r>
        <w:rPr>
          <w:rStyle w:val="Instructions"/>
        </w:rPr>
        <w:t>(total 4867 patients)</w:t>
      </w:r>
      <w:r w:rsidRPr="0051061D">
        <w:rPr>
          <w:rFonts w:eastAsia="Arial Unicode MS"/>
          <w:color w:val="000000"/>
          <w:lang w:val="en"/>
        </w:rPr>
        <w:t xml:space="preserve"> was </w:t>
      </w:r>
      <w:r>
        <w:rPr>
          <w:rFonts w:eastAsia="Arial Unicode MS"/>
          <w:color w:val="000000"/>
          <w:lang w:val="en"/>
        </w:rPr>
        <w:t>72.1</w:t>
      </w:r>
      <w:r w:rsidRPr="0051061D">
        <w:rPr>
          <w:rFonts w:eastAsia="Arial Unicode MS"/>
          <w:color w:val="000000"/>
          <w:lang w:val="en"/>
        </w:rPr>
        <w:t> events per 100 patient-years (</w:t>
      </w:r>
      <w:r>
        <w:rPr>
          <w:rFonts w:eastAsia="Arial Unicode MS"/>
          <w:color w:val="000000"/>
          <w:lang w:val="en"/>
        </w:rPr>
        <w:t>71.8</w:t>
      </w:r>
      <w:r w:rsidRPr="0051061D">
        <w:rPr>
          <w:rFonts w:eastAsia="Arial Unicode MS"/>
          <w:color w:val="000000"/>
          <w:lang w:val="en"/>
        </w:rPr>
        <w:t> and </w:t>
      </w:r>
      <w:r>
        <w:rPr>
          <w:rFonts w:eastAsia="Arial Unicode MS"/>
          <w:color w:val="000000"/>
          <w:lang w:val="en"/>
        </w:rPr>
        <w:t>72.2</w:t>
      </w:r>
      <w:r w:rsidRPr="0051061D">
        <w:rPr>
          <w:rFonts w:eastAsia="Arial Unicode MS"/>
          <w:color w:val="000000"/>
          <w:lang w:val="en"/>
        </w:rPr>
        <w:t> events for 5 mg and 10 mg twice daily, respectively).  For patients on monotherapy</w:t>
      </w:r>
      <w:r>
        <w:rPr>
          <w:rFonts w:eastAsia="Arial Unicode MS"/>
          <w:color w:val="000000"/>
          <w:lang w:val="en"/>
        </w:rPr>
        <w:t xml:space="preserve"> (total 1750)</w:t>
      </w:r>
      <w:r w:rsidRPr="0051061D">
        <w:rPr>
          <w:rFonts w:eastAsia="Arial Unicode MS"/>
          <w:color w:val="000000"/>
          <w:lang w:val="en"/>
        </w:rPr>
        <w:t xml:space="preserve">, the rates were </w:t>
      </w:r>
      <w:r>
        <w:rPr>
          <w:rFonts w:eastAsia="Arial Unicode MS"/>
          <w:color w:val="000000"/>
          <w:lang w:val="en"/>
        </w:rPr>
        <w:t>75.3</w:t>
      </w:r>
      <w:r w:rsidRPr="0051061D">
        <w:rPr>
          <w:rFonts w:eastAsia="Arial Unicode MS"/>
          <w:color w:val="000000"/>
          <w:lang w:val="en"/>
        </w:rPr>
        <w:t> and </w:t>
      </w:r>
      <w:r>
        <w:rPr>
          <w:rFonts w:eastAsia="Arial Unicode MS"/>
          <w:color w:val="000000"/>
          <w:lang w:val="en"/>
        </w:rPr>
        <w:t>64.2</w:t>
      </w:r>
      <w:r w:rsidRPr="0051061D">
        <w:rPr>
          <w:rFonts w:eastAsia="Arial Unicode MS"/>
          <w:color w:val="000000"/>
          <w:lang w:val="en"/>
        </w:rPr>
        <w:t> events per 100 patient-years for 5 mg and 10 mg twice daily, respectively.  For patients on background DMARDs</w:t>
      </w:r>
      <w:r>
        <w:rPr>
          <w:rFonts w:eastAsia="Arial Unicode MS"/>
          <w:color w:val="000000"/>
          <w:lang w:val="en"/>
        </w:rPr>
        <w:t xml:space="preserve"> (total 3117)</w:t>
      </w:r>
      <w:r w:rsidRPr="0051061D">
        <w:rPr>
          <w:rFonts w:eastAsia="Arial Unicode MS"/>
          <w:color w:val="000000"/>
          <w:lang w:val="en"/>
        </w:rPr>
        <w:t xml:space="preserve">, the rates were </w:t>
      </w:r>
      <w:r>
        <w:rPr>
          <w:rFonts w:eastAsia="Arial Unicode MS"/>
          <w:color w:val="000000"/>
          <w:lang w:val="en"/>
        </w:rPr>
        <w:t>69.7</w:t>
      </w:r>
      <w:r w:rsidRPr="0051061D">
        <w:rPr>
          <w:rFonts w:eastAsia="Arial Unicode MS"/>
          <w:color w:val="000000"/>
          <w:lang w:val="en"/>
        </w:rPr>
        <w:t> and </w:t>
      </w:r>
      <w:r>
        <w:rPr>
          <w:rFonts w:eastAsia="Arial Unicode MS"/>
          <w:color w:val="000000"/>
          <w:lang w:val="en"/>
        </w:rPr>
        <w:t>76.5</w:t>
      </w:r>
      <w:r w:rsidRPr="0051061D">
        <w:rPr>
          <w:rFonts w:eastAsia="Arial Unicode MS"/>
          <w:color w:val="000000"/>
          <w:lang w:val="en"/>
        </w:rPr>
        <w:t> events per 100 patient-years for 5 mg and 10 mg twice daily, respectively.</w:t>
      </w:r>
    </w:p>
    <w:p w:rsidR="00516643" w:rsidRPr="002E6E41" w:rsidRDefault="00516643" w:rsidP="00516643">
      <w:pPr>
        <w:pStyle w:val="PIHeading4"/>
        <w:rPr>
          <w:u w:val="single"/>
          <w:lang w:val="en-US"/>
        </w:rPr>
      </w:pPr>
      <w:r w:rsidRPr="002E6E41">
        <w:rPr>
          <w:u w:val="single"/>
          <w:lang w:val="en-US"/>
        </w:rPr>
        <w:t>Psoriatic Arthritis</w:t>
      </w:r>
    </w:p>
    <w:p w:rsidR="00516643" w:rsidRPr="003C3F7E" w:rsidRDefault="00516643" w:rsidP="00516643">
      <w:pPr>
        <w:rPr>
          <w:rStyle w:val="Instructions"/>
        </w:rPr>
      </w:pPr>
      <w:r w:rsidRPr="003C3F7E">
        <w:rPr>
          <w:rStyle w:val="Instructions"/>
        </w:rPr>
        <w:t>In the controlled Phase 3 studies of up to 6</w:t>
      </w:r>
      <w:r w:rsidRPr="003C3F7E">
        <w:rPr>
          <w:rStyle w:val="Instructions"/>
        </w:rPr>
        <w:noBreakHyphen/>
        <w:t>month and up to 12</w:t>
      </w:r>
      <w:r w:rsidRPr="003C3F7E">
        <w:rPr>
          <w:rStyle w:val="Instructions"/>
        </w:rPr>
        <w:noBreakHyphen/>
        <w:t>month, the frequency of infections in the XELJANZ 5 mg twice daily (238 patients) and XELJANZ 10 mg twice daily (236 patients) groups were 37.8% and 44.5%, respectively.</w:t>
      </w:r>
      <w:r w:rsidRPr="00DD19CF">
        <w:rPr>
          <w:rStyle w:val="Instructions"/>
          <w:sz w:val="16"/>
          <w:szCs w:val="16"/>
        </w:rPr>
        <w:t xml:space="preserve"> </w:t>
      </w:r>
      <w:r w:rsidRPr="003C3F7E">
        <w:rPr>
          <w:rStyle w:val="Instructions"/>
        </w:rPr>
        <w:t>The frequency of infections in the 3</w:t>
      </w:r>
      <w:r w:rsidRPr="003C3F7E">
        <w:rPr>
          <w:rStyle w:val="Instructions"/>
        </w:rPr>
        <w:noBreakHyphen/>
        <w:t>month placebo</w:t>
      </w:r>
      <w:r w:rsidRPr="003C3F7E">
        <w:rPr>
          <w:rStyle w:val="Instructions"/>
        </w:rPr>
        <w:noBreakHyphen/>
        <w:t>controlled period was 23.5% for XELJANZ 5 mg twice daily (238 patients), 28.8% for XELJANZ 10 mg twice daily (236 patients) and 15.7% in the placebo group (236 patients).</w:t>
      </w:r>
    </w:p>
    <w:p w:rsidR="00516643" w:rsidRPr="003C3F7E" w:rsidRDefault="00516643" w:rsidP="00516643">
      <w:pPr>
        <w:rPr>
          <w:rStyle w:val="Instructions"/>
        </w:rPr>
      </w:pPr>
      <w:r w:rsidRPr="003C3F7E">
        <w:rPr>
          <w:rStyle w:val="Instructions"/>
        </w:rPr>
        <w:t>The most commonly reported infections in the 3-month placebo-controlled period were nasopharyngitis (5.9% and 5.5% in the 5 mg twice daily and 10 mg twice daily dose groups, respectively) and upper respiratory tract infections (5.0% and 4.7% in the 5 mg twice daily and 10 mg twice daily dose groups, respectively).</w:t>
      </w:r>
    </w:p>
    <w:p w:rsidR="00516643" w:rsidRDefault="00516643" w:rsidP="00516643">
      <w:pPr>
        <w:pStyle w:val="Paragraph"/>
        <w:rPr>
          <w:rStyle w:val="Instructions"/>
        </w:rPr>
      </w:pPr>
      <w:r>
        <w:rPr>
          <w:rStyle w:val="Instructions"/>
        </w:rPr>
        <w:t>T</w:t>
      </w:r>
      <w:r w:rsidRPr="003C3F7E">
        <w:rPr>
          <w:rStyle w:val="Instructions"/>
        </w:rPr>
        <w:t>he overall rate of infections with XELJANZ in the long</w:t>
      </w:r>
      <w:r w:rsidRPr="003C3F7E">
        <w:rPr>
          <w:rStyle w:val="Instructions"/>
        </w:rPr>
        <w:noBreakHyphen/>
        <w:t xml:space="preserve">term safety population for combined doses was </w:t>
      </w:r>
      <w:r>
        <w:rPr>
          <w:rStyle w:val="Instructions"/>
        </w:rPr>
        <w:t>52.3</w:t>
      </w:r>
      <w:r w:rsidRPr="003C3F7E">
        <w:rPr>
          <w:rStyle w:val="Instructions"/>
        </w:rPr>
        <w:t xml:space="preserve"> patients with events per 100 patient-years.</w:t>
      </w:r>
    </w:p>
    <w:p w:rsidR="000750C2" w:rsidRPr="00C87FDC" w:rsidRDefault="000750C2" w:rsidP="000750C2">
      <w:pPr>
        <w:pStyle w:val="PIHeading4"/>
        <w:rPr>
          <w:u w:val="single"/>
          <w:lang w:val="en-US"/>
        </w:rPr>
      </w:pPr>
      <w:r w:rsidRPr="00C87FDC">
        <w:rPr>
          <w:u w:val="single"/>
          <w:lang w:val="en-US"/>
        </w:rPr>
        <w:lastRenderedPageBreak/>
        <w:t>Ulcerative Colitis</w:t>
      </w:r>
    </w:p>
    <w:p w:rsidR="000750C2" w:rsidRPr="003A47ED" w:rsidRDefault="000750C2" w:rsidP="000750C2">
      <w:pPr>
        <w:pStyle w:val="Paragraph"/>
        <w:widowControl w:val="0"/>
        <w:jc w:val="both"/>
        <w:rPr>
          <w:rFonts w:eastAsia="Arial Unicode MS"/>
          <w:lang w:val="en-GB"/>
        </w:rPr>
      </w:pPr>
      <w:r w:rsidRPr="003A47ED">
        <w:rPr>
          <w:rFonts w:eastAsia="Arial Unicode MS"/>
          <w:lang w:val="en-GB"/>
        </w:rPr>
        <w:t>In the randomised 8-week Phase 2/3 induction studies, the proportions of patients with infections were 21.1% (198 patients) in the XELJANZ 10 mg twice daily group compared to 15.2% (43 patients) in the placebo group.</w:t>
      </w:r>
      <w:r w:rsidRPr="003A47ED">
        <w:rPr>
          <w:rFonts w:eastAsia="Arial Unicode MS"/>
          <w:color w:val="00B050"/>
          <w:lang w:val="en-GB"/>
        </w:rPr>
        <w:t xml:space="preserve"> </w:t>
      </w:r>
      <w:r w:rsidRPr="003A47ED">
        <w:rPr>
          <w:rFonts w:eastAsia="Arial Unicode MS"/>
          <w:lang w:val="en-GB"/>
        </w:rPr>
        <w:t xml:space="preserve">In the randomised 52-week Phase 3 maintenance study, the proportion of patients with infections were 35.9% (71 patients) in the 5 mg twice daily and 39.8% (78 patients) in the 10 mg twice daily XELJANZ groups, compared to 24.2% (48 patients) in the placebo group. </w:t>
      </w:r>
    </w:p>
    <w:p w:rsidR="000750C2" w:rsidRPr="003A47ED" w:rsidRDefault="000750C2" w:rsidP="000750C2">
      <w:pPr>
        <w:pStyle w:val="Paragraph"/>
        <w:widowControl w:val="0"/>
        <w:jc w:val="both"/>
        <w:rPr>
          <w:rFonts w:eastAsia="Arial Unicode MS"/>
          <w:lang w:val="en-GB"/>
        </w:rPr>
      </w:pPr>
      <w:r w:rsidRPr="003A47ED">
        <w:rPr>
          <w:rFonts w:eastAsia="Arial Unicode MS"/>
          <w:lang w:val="en-GB"/>
        </w:rPr>
        <w:t>In the entire treatment experience with XELJANZ, the most commonly reported infection was nasopharyngitis, occurring in 18.2% of patients (211 patients).</w:t>
      </w:r>
      <w:r w:rsidRPr="000404A0">
        <w:rPr>
          <w:rFonts w:eastAsia="Arial Unicode MS"/>
          <w:lang w:val="en-GB"/>
        </w:rPr>
        <w:t xml:space="preserve"> </w:t>
      </w:r>
    </w:p>
    <w:p w:rsidR="000750C2" w:rsidRPr="000750C2" w:rsidRDefault="000750C2" w:rsidP="000750C2">
      <w:pPr>
        <w:rPr>
          <w:rStyle w:val="Instructions"/>
          <w:rFonts w:eastAsia="Arial Unicode MS"/>
          <w:iCs w:val="0"/>
          <w:szCs w:val="24"/>
          <w:lang w:val="en-GB"/>
        </w:rPr>
      </w:pPr>
      <w:r>
        <w:rPr>
          <w:rFonts w:eastAsia="Arial Unicode MS"/>
          <w:szCs w:val="24"/>
          <w:lang w:val="en-GB"/>
        </w:rPr>
        <w:t>In the entire treatment experience with XELJANZ, the overall incidence rate of infections was 60.3 events per 100 patient-years (involving 49.4% of patients; total 572 patients).</w:t>
      </w:r>
    </w:p>
    <w:p w:rsidR="008872C6" w:rsidRPr="0051061D" w:rsidRDefault="008872C6" w:rsidP="006A4E28">
      <w:pPr>
        <w:pStyle w:val="PIHeading3"/>
        <w:rPr>
          <w:rFonts w:eastAsia="Arial Unicode MS"/>
          <w:szCs w:val="24"/>
          <w:lang w:val="en"/>
        </w:rPr>
      </w:pPr>
      <w:r w:rsidRPr="0051061D">
        <w:t>Serious Infections</w:t>
      </w:r>
    </w:p>
    <w:p w:rsidR="002E6E41" w:rsidRPr="002E6E41" w:rsidRDefault="002E6E41" w:rsidP="002E6E41">
      <w:pPr>
        <w:pStyle w:val="PIHeading4"/>
        <w:rPr>
          <w:b/>
          <w:u w:val="single"/>
          <w:lang w:val="en-US"/>
        </w:rPr>
      </w:pPr>
      <w:r w:rsidRPr="002E6E41">
        <w:rPr>
          <w:u w:val="single"/>
          <w:lang w:val="en-US"/>
        </w:rPr>
        <w:t>Rheumatoid Arthritis</w:t>
      </w:r>
    </w:p>
    <w:p w:rsidR="008872C6" w:rsidRPr="0051061D" w:rsidRDefault="008872C6" w:rsidP="008872C6">
      <w:pPr>
        <w:pStyle w:val="PIHeading1"/>
        <w:spacing w:before="0" w:line="240" w:lineRule="auto"/>
        <w:outlineLvl w:val="9"/>
        <w:rPr>
          <w:rFonts w:eastAsia="Arial Unicode MS"/>
          <w:b w:val="0"/>
          <w:caps w:val="0"/>
          <w:color w:val="000000"/>
          <w:kern w:val="0"/>
          <w:sz w:val="24"/>
          <w:szCs w:val="24"/>
          <w:vertAlign w:val="superscript"/>
          <w:lang w:val="en"/>
        </w:rPr>
      </w:pPr>
      <w:r w:rsidRPr="0051061D">
        <w:rPr>
          <w:rFonts w:eastAsia="Arial Unicode MS"/>
          <w:b w:val="0"/>
          <w:iCs/>
          <w:caps w:val="0"/>
          <w:color w:val="000000"/>
          <w:kern w:val="0"/>
          <w:sz w:val="24"/>
          <w:szCs w:val="24"/>
          <w:lang w:val="en"/>
        </w:rPr>
        <w:t xml:space="preserve">In </w:t>
      </w:r>
      <w:r w:rsidRPr="0051061D">
        <w:rPr>
          <w:rFonts w:eastAsia="Arial Unicode MS"/>
          <w:b w:val="0"/>
          <w:caps w:val="0"/>
          <w:color w:val="000000"/>
          <w:kern w:val="0"/>
          <w:sz w:val="24"/>
          <w:szCs w:val="24"/>
          <w:lang w:val="en"/>
        </w:rPr>
        <w:t>the controlled portion (0-3 months)</w:t>
      </w:r>
      <w:r>
        <w:rPr>
          <w:rFonts w:eastAsia="Arial Unicode MS"/>
          <w:b w:val="0"/>
          <w:caps w:val="0"/>
          <w:color w:val="000000"/>
          <w:kern w:val="0"/>
          <w:sz w:val="24"/>
          <w:szCs w:val="24"/>
          <w:lang w:val="en"/>
        </w:rPr>
        <w:t xml:space="preserve"> </w:t>
      </w:r>
      <w:r w:rsidRPr="0051061D">
        <w:rPr>
          <w:rFonts w:eastAsia="Arial Unicode MS"/>
          <w:b w:val="0"/>
          <w:caps w:val="0"/>
          <w:color w:val="000000"/>
          <w:kern w:val="0"/>
          <w:sz w:val="24"/>
          <w:szCs w:val="24"/>
          <w:lang w:val="en"/>
        </w:rPr>
        <w:t>of the phase 3 monotherapy stud</w:t>
      </w:r>
      <w:r>
        <w:rPr>
          <w:rFonts w:eastAsia="Arial Unicode MS"/>
          <w:b w:val="0"/>
          <w:caps w:val="0"/>
          <w:color w:val="000000"/>
          <w:kern w:val="0"/>
          <w:sz w:val="24"/>
          <w:szCs w:val="24"/>
          <w:lang w:val="en"/>
        </w:rPr>
        <w:t>ies (I and VI)</w:t>
      </w:r>
      <w:r w:rsidRPr="0051061D">
        <w:rPr>
          <w:rFonts w:eastAsia="Arial Unicode MS"/>
          <w:b w:val="0"/>
          <w:iCs/>
          <w:caps w:val="0"/>
          <w:color w:val="000000"/>
          <w:kern w:val="0"/>
          <w:sz w:val="24"/>
          <w:szCs w:val="24"/>
          <w:lang w:val="en"/>
        </w:rPr>
        <w:t xml:space="preserve">, the rate of serious infections in the 5 mg twice daily XELJANZ monotherapy group was </w:t>
      </w:r>
      <w:r>
        <w:rPr>
          <w:rFonts w:eastAsia="Arial Unicode MS"/>
          <w:b w:val="0"/>
          <w:iCs/>
          <w:caps w:val="0"/>
          <w:color w:val="000000"/>
          <w:kern w:val="0"/>
          <w:sz w:val="24"/>
          <w:szCs w:val="24"/>
          <w:lang w:val="en"/>
        </w:rPr>
        <w:t>0.2% (</w:t>
      </w:r>
      <w:r w:rsidRPr="00435C6E">
        <w:rPr>
          <w:rFonts w:eastAsia="Arial Unicode MS"/>
          <w:b w:val="0"/>
          <w:iCs/>
          <w:caps w:val="0"/>
          <w:color w:val="000000"/>
          <w:kern w:val="0"/>
          <w:sz w:val="24"/>
          <w:szCs w:val="24"/>
          <w:lang w:val="en"/>
        </w:rPr>
        <w:t>0.7</w:t>
      </w:r>
      <w:r>
        <w:rPr>
          <w:rFonts w:eastAsia="Arial Unicode MS"/>
          <w:b w:val="0"/>
          <w:iCs/>
          <w:caps w:val="0"/>
          <w:color w:val="000000"/>
          <w:kern w:val="0"/>
          <w:sz w:val="24"/>
          <w:szCs w:val="24"/>
          <w:lang w:val="en"/>
        </w:rPr>
        <w:t xml:space="preserve"> events per 100 patient-years)</w:t>
      </w:r>
      <w:r w:rsidRPr="0051061D">
        <w:rPr>
          <w:rFonts w:eastAsia="Arial Unicode MS"/>
          <w:b w:val="0"/>
          <w:iCs/>
          <w:caps w:val="0"/>
          <w:color w:val="000000"/>
          <w:kern w:val="0"/>
          <w:sz w:val="24"/>
          <w:szCs w:val="24"/>
          <w:lang w:val="en"/>
        </w:rPr>
        <w:t xml:space="preserve">.  In the 10 mg twice daily XELJANZ monotherapy group, the rate was </w:t>
      </w:r>
      <w:r>
        <w:rPr>
          <w:rFonts w:eastAsia="Arial Unicode MS"/>
          <w:b w:val="0"/>
          <w:iCs/>
          <w:caps w:val="0"/>
          <w:color w:val="000000"/>
          <w:kern w:val="0"/>
          <w:sz w:val="24"/>
          <w:szCs w:val="24"/>
          <w:lang w:val="en"/>
        </w:rPr>
        <w:t>0.3% (</w:t>
      </w:r>
      <w:r w:rsidRPr="00435C6E">
        <w:rPr>
          <w:rFonts w:eastAsia="Arial Unicode MS"/>
          <w:b w:val="0"/>
          <w:iCs/>
          <w:caps w:val="0"/>
          <w:color w:val="000000"/>
          <w:kern w:val="0"/>
          <w:sz w:val="24"/>
          <w:szCs w:val="24"/>
          <w:lang w:val="en"/>
        </w:rPr>
        <w:t>1.3</w:t>
      </w:r>
      <w:r>
        <w:rPr>
          <w:rFonts w:eastAsia="Arial Unicode MS"/>
          <w:b w:val="0"/>
          <w:iCs/>
          <w:caps w:val="0"/>
          <w:color w:val="000000"/>
          <w:kern w:val="0"/>
          <w:sz w:val="24"/>
          <w:szCs w:val="24"/>
          <w:lang w:val="en"/>
        </w:rPr>
        <w:t xml:space="preserve"> events per 100 patient-years)</w:t>
      </w:r>
      <w:r w:rsidRPr="0051061D">
        <w:rPr>
          <w:rFonts w:eastAsia="Arial Unicode MS"/>
          <w:b w:val="0"/>
          <w:iCs/>
          <w:caps w:val="0"/>
          <w:color w:val="000000"/>
          <w:kern w:val="0"/>
          <w:sz w:val="24"/>
          <w:szCs w:val="24"/>
          <w:lang w:val="en"/>
        </w:rPr>
        <w:t>, and the rate was 0 for the placebo group.</w:t>
      </w:r>
    </w:p>
    <w:p w:rsidR="008872C6" w:rsidRPr="0051061D" w:rsidRDefault="008872C6" w:rsidP="008872C6">
      <w:pPr>
        <w:pStyle w:val="first"/>
        <w:spacing w:before="0" w:after="240" w:line="240" w:lineRule="auto"/>
        <w:jc w:val="both"/>
        <w:rPr>
          <w:rFonts w:eastAsia="Arial Unicode MS"/>
          <w:color w:val="000000"/>
          <w:lang w:val="en"/>
        </w:rPr>
      </w:pPr>
      <w:r w:rsidRPr="0051061D">
        <w:rPr>
          <w:rFonts w:eastAsia="Arial Unicode MS"/>
          <w:color w:val="000000"/>
          <w:lang w:val="en"/>
        </w:rPr>
        <w:t xml:space="preserve">In the controlled portion (0-3 months) of the phase 3 studies </w:t>
      </w:r>
      <w:r>
        <w:rPr>
          <w:rFonts w:eastAsia="Arial Unicode MS"/>
          <w:color w:val="000000"/>
          <w:lang w:val="en"/>
        </w:rPr>
        <w:t xml:space="preserve">II to V </w:t>
      </w:r>
      <w:r w:rsidRPr="0051061D">
        <w:rPr>
          <w:rFonts w:eastAsia="Arial Unicode MS"/>
          <w:color w:val="000000"/>
          <w:lang w:val="en"/>
        </w:rPr>
        <w:t xml:space="preserve">with background DMARDs, the rates of serious infections in the 5 mg twice daily and 10 mg twice daily XELJANZ plus DMARD groups were </w:t>
      </w:r>
      <w:r>
        <w:rPr>
          <w:rFonts w:eastAsia="Arial Unicode MS"/>
          <w:color w:val="000000"/>
          <w:lang w:val="en"/>
        </w:rPr>
        <w:t xml:space="preserve">0.8% and 0.8% </w:t>
      </w:r>
      <w:r w:rsidRPr="0012617D">
        <w:rPr>
          <w:rFonts w:eastAsia="Arial Unicode MS"/>
          <w:color w:val="000000"/>
          <w:lang w:val="en"/>
        </w:rPr>
        <w:t>(</w:t>
      </w:r>
      <w:r w:rsidRPr="00435C6E">
        <w:rPr>
          <w:rFonts w:eastAsia="Arial Unicode MS"/>
          <w:color w:val="000000"/>
          <w:lang w:val="en"/>
        </w:rPr>
        <w:t>4.4 and 3.9</w:t>
      </w:r>
      <w:r>
        <w:rPr>
          <w:rFonts w:eastAsia="Arial Unicode MS"/>
          <w:color w:val="000000"/>
          <w:lang w:val="en"/>
        </w:rPr>
        <w:t xml:space="preserve"> </w:t>
      </w:r>
      <w:r w:rsidRPr="0012617D">
        <w:rPr>
          <w:rFonts w:eastAsia="Arial Unicode MS"/>
          <w:color w:val="000000"/>
          <w:lang w:val="en"/>
        </w:rPr>
        <w:t>events per 100 patient</w:t>
      </w:r>
      <w:r>
        <w:rPr>
          <w:rFonts w:eastAsia="Arial Unicode MS"/>
          <w:color w:val="000000"/>
          <w:lang w:val="en"/>
        </w:rPr>
        <w:t>-</w:t>
      </w:r>
      <w:r w:rsidRPr="0012617D">
        <w:rPr>
          <w:rFonts w:eastAsia="Arial Unicode MS"/>
          <w:color w:val="000000"/>
          <w:lang w:val="en"/>
        </w:rPr>
        <w:t>years)</w:t>
      </w:r>
      <w:r w:rsidRPr="0051061D">
        <w:rPr>
          <w:rFonts w:eastAsia="Arial Unicode MS"/>
          <w:color w:val="000000"/>
          <w:lang w:val="en"/>
        </w:rPr>
        <w:t xml:space="preserve">, respectively, compared to </w:t>
      </w:r>
      <w:r>
        <w:rPr>
          <w:rFonts w:eastAsia="Arial Unicode MS"/>
          <w:color w:val="000000"/>
          <w:lang w:val="en"/>
        </w:rPr>
        <w:t>0.4%</w:t>
      </w:r>
      <w:r w:rsidRPr="0051061D">
        <w:rPr>
          <w:rFonts w:eastAsia="Arial Unicode MS"/>
          <w:color w:val="000000"/>
          <w:lang w:val="en"/>
        </w:rPr>
        <w:t xml:space="preserve"> </w:t>
      </w:r>
      <w:r>
        <w:rPr>
          <w:rFonts w:eastAsia="Arial Unicode MS"/>
          <w:color w:val="000000"/>
          <w:lang w:val="en"/>
        </w:rPr>
        <w:t>(</w:t>
      </w:r>
      <w:r w:rsidRPr="00435C6E">
        <w:rPr>
          <w:rFonts w:eastAsia="Arial Unicode MS"/>
          <w:color w:val="000000"/>
          <w:lang w:val="en"/>
        </w:rPr>
        <w:t>1.5</w:t>
      </w:r>
      <w:r w:rsidRPr="0012617D">
        <w:rPr>
          <w:rFonts w:eastAsia="Arial Unicode MS"/>
          <w:color w:val="000000"/>
          <w:lang w:val="en"/>
        </w:rPr>
        <w:t xml:space="preserve"> events per 100 patient</w:t>
      </w:r>
      <w:r>
        <w:rPr>
          <w:rFonts w:eastAsia="Arial Unicode MS"/>
          <w:color w:val="000000"/>
          <w:lang w:val="en"/>
        </w:rPr>
        <w:t>-</w:t>
      </w:r>
      <w:r w:rsidRPr="0012617D">
        <w:rPr>
          <w:rFonts w:eastAsia="Arial Unicode MS"/>
          <w:color w:val="000000"/>
          <w:lang w:val="en"/>
        </w:rPr>
        <w:t>years</w:t>
      </w:r>
      <w:r>
        <w:rPr>
          <w:rFonts w:eastAsia="Arial Unicode MS"/>
          <w:color w:val="000000"/>
          <w:lang w:val="en"/>
        </w:rPr>
        <w:t>)</w:t>
      </w:r>
      <w:r w:rsidRPr="0012617D">
        <w:rPr>
          <w:rFonts w:eastAsia="Arial Unicode MS"/>
          <w:color w:val="000000"/>
          <w:lang w:val="en"/>
        </w:rPr>
        <w:t xml:space="preserve"> </w:t>
      </w:r>
      <w:r w:rsidRPr="0051061D">
        <w:rPr>
          <w:rFonts w:eastAsia="Arial Unicode MS"/>
          <w:color w:val="000000"/>
          <w:lang w:val="en"/>
        </w:rPr>
        <w:t>in the placebo plus DMARD group.</w:t>
      </w:r>
      <w:r>
        <w:rPr>
          <w:rFonts w:eastAsia="Arial Unicode MS"/>
          <w:color w:val="000000"/>
          <w:lang w:val="en"/>
        </w:rPr>
        <w:t xml:space="preserve">  </w:t>
      </w:r>
      <w:r w:rsidRPr="0051061D">
        <w:rPr>
          <w:rFonts w:eastAsia="Arial Unicode MS"/>
          <w:color w:val="000000"/>
          <w:lang w:val="en"/>
        </w:rPr>
        <w:t>In the controlled portion (0-</w:t>
      </w:r>
      <w:r>
        <w:rPr>
          <w:rFonts w:eastAsia="Arial Unicode MS"/>
          <w:color w:val="000000"/>
          <w:lang w:val="en"/>
        </w:rPr>
        <w:t>6</w:t>
      </w:r>
      <w:r w:rsidRPr="0051061D">
        <w:rPr>
          <w:rFonts w:eastAsia="Arial Unicode MS"/>
          <w:color w:val="000000"/>
          <w:lang w:val="en"/>
        </w:rPr>
        <w:t xml:space="preserve"> months) of the phase 3 studies </w:t>
      </w:r>
      <w:r>
        <w:rPr>
          <w:rFonts w:eastAsia="Arial Unicode MS"/>
          <w:color w:val="000000"/>
          <w:lang w:val="en"/>
        </w:rPr>
        <w:t xml:space="preserve">II to IV </w:t>
      </w:r>
      <w:r w:rsidRPr="0051061D">
        <w:rPr>
          <w:rFonts w:eastAsia="Arial Unicode MS"/>
          <w:color w:val="000000"/>
          <w:lang w:val="en"/>
        </w:rPr>
        <w:t xml:space="preserve">with background DMARDs, the rates of serious infections in the 5 mg twice daily and 10 mg twice daily XELJANZ plus DMARD groups were </w:t>
      </w:r>
      <w:r>
        <w:rPr>
          <w:rFonts w:eastAsia="Arial Unicode MS"/>
          <w:color w:val="000000"/>
          <w:lang w:val="en"/>
        </w:rPr>
        <w:t xml:space="preserve">1.8% and 1.4% </w:t>
      </w:r>
      <w:r w:rsidRPr="0012617D">
        <w:rPr>
          <w:rFonts w:eastAsia="Arial Unicode MS"/>
          <w:color w:val="000000"/>
          <w:lang w:val="en"/>
        </w:rPr>
        <w:t>(</w:t>
      </w:r>
      <w:r w:rsidRPr="00435C6E">
        <w:rPr>
          <w:rFonts w:eastAsia="Arial Unicode MS"/>
          <w:color w:val="000000"/>
          <w:lang w:val="en"/>
        </w:rPr>
        <w:t>4.7</w:t>
      </w:r>
      <w:r w:rsidRPr="0012617D">
        <w:rPr>
          <w:rFonts w:eastAsia="Arial Unicode MS"/>
          <w:color w:val="000000"/>
          <w:lang w:val="en"/>
        </w:rPr>
        <w:t xml:space="preserve"> </w:t>
      </w:r>
      <w:r>
        <w:rPr>
          <w:rFonts w:eastAsia="Arial Unicode MS"/>
          <w:color w:val="000000"/>
          <w:lang w:val="en"/>
        </w:rPr>
        <w:t>and 3.4 events per 100 patient-</w:t>
      </w:r>
      <w:r w:rsidRPr="0012617D">
        <w:rPr>
          <w:rFonts w:eastAsia="Arial Unicode MS"/>
          <w:color w:val="000000"/>
          <w:lang w:val="en"/>
        </w:rPr>
        <w:t>years)</w:t>
      </w:r>
      <w:r w:rsidRPr="0051061D">
        <w:rPr>
          <w:rFonts w:eastAsia="Arial Unicode MS"/>
          <w:color w:val="000000"/>
          <w:lang w:val="en"/>
        </w:rPr>
        <w:t xml:space="preserve">, respectively, compared to </w:t>
      </w:r>
      <w:r>
        <w:rPr>
          <w:rFonts w:eastAsia="Arial Unicode MS"/>
          <w:color w:val="000000"/>
          <w:lang w:val="en"/>
        </w:rPr>
        <w:t>0.5%</w:t>
      </w:r>
      <w:r w:rsidRPr="0051061D">
        <w:rPr>
          <w:rFonts w:eastAsia="Arial Unicode MS"/>
          <w:color w:val="000000"/>
          <w:lang w:val="en"/>
        </w:rPr>
        <w:t xml:space="preserve"> </w:t>
      </w:r>
      <w:r w:rsidRPr="0012617D">
        <w:rPr>
          <w:rFonts w:eastAsia="Arial Unicode MS"/>
          <w:color w:val="000000"/>
          <w:lang w:val="en"/>
        </w:rPr>
        <w:t>(</w:t>
      </w:r>
      <w:r w:rsidRPr="00435C6E">
        <w:rPr>
          <w:rFonts w:eastAsia="Arial Unicode MS"/>
          <w:color w:val="000000"/>
          <w:lang w:val="en"/>
        </w:rPr>
        <w:t>2.1</w:t>
      </w:r>
      <w:r w:rsidRPr="0012617D">
        <w:rPr>
          <w:rFonts w:eastAsia="Arial Unicode MS"/>
          <w:color w:val="000000"/>
          <w:lang w:val="en"/>
        </w:rPr>
        <w:t xml:space="preserve"> events per 100 patient</w:t>
      </w:r>
      <w:r>
        <w:rPr>
          <w:rFonts w:eastAsia="Arial Unicode MS"/>
          <w:color w:val="000000"/>
          <w:lang w:val="en"/>
        </w:rPr>
        <w:t>-</w:t>
      </w:r>
      <w:r w:rsidRPr="0012617D">
        <w:rPr>
          <w:rFonts w:eastAsia="Arial Unicode MS"/>
          <w:color w:val="000000"/>
          <w:lang w:val="en"/>
        </w:rPr>
        <w:t>years)</w:t>
      </w:r>
      <w:r>
        <w:rPr>
          <w:rFonts w:eastAsia="Arial Unicode MS"/>
          <w:color w:val="000000"/>
          <w:lang w:val="en"/>
        </w:rPr>
        <w:t xml:space="preserve"> </w:t>
      </w:r>
      <w:r w:rsidRPr="0051061D">
        <w:rPr>
          <w:rFonts w:eastAsia="Arial Unicode MS"/>
          <w:color w:val="000000"/>
          <w:lang w:val="en"/>
        </w:rPr>
        <w:t>in the placebo plus DMARD group</w:t>
      </w:r>
      <w:r>
        <w:rPr>
          <w:rFonts w:eastAsia="Arial Unicode MS"/>
          <w:color w:val="000000"/>
          <w:lang w:val="en"/>
        </w:rPr>
        <w:t>.</w:t>
      </w:r>
    </w:p>
    <w:p w:rsidR="008872C6" w:rsidRPr="0051061D" w:rsidRDefault="008872C6" w:rsidP="008872C6">
      <w:pPr>
        <w:pStyle w:val="Paragraph"/>
        <w:jc w:val="both"/>
        <w:rPr>
          <w:rStyle w:val="Instructions"/>
        </w:rPr>
      </w:pPr>
      <w:r w:rsidRPr="0051061D">
        <w:rPr>
          <w:rStyle w:val="Instructions"/>
        </w:rPr>
        <w:t>In the long-term safety all exposure population, the overall rates of serious infections were</w:t>
      </w:r>
      <w:r>
        <w:rPr>
          <w:rStyle w:val="Instructions"/>
        </w:rPr>
        <w:t xml:space="preserve"> 2.7 and 3.4</w:t>
      </w:r>
      <w:r w:rsidRPr="0051061D">
        <w:rPr>
          <w:rStyle w:val="Instructions"/>
        </w:rPr>
        <w:t xml:space="preserve"> events per 100 patient-years </w:t>
      </w:r>
      <w:r>
        <w:rPr>
          <w:rStyle w:val="Instructions"/>
        </w:rPr>
        <w:t>in the</w:t>
      </w:r>
      <w:r w:rsidRPr="0051061D">
        <w:rPr>
          <w:rStyle w:val="Instructions"/>
        </w:rPr>
        <w:t xml:space="preserve"> 5 mg and 10 mg </w:t>
      </w:r>
      <w:r w:rsidRPr="0051061D">
        <w:rPr>
          <w:rFonts w:eastAsia="Arial Unicode MS"/>
          <w:color w:val="000000"/>
          <w:lang w:val="en"/>
        </w:rPr>
        <w:t>twice daily</w:t>
      </w:r>
      <w:r w:rsidRPr="0051061D">
        <w:rPr>
          <w:rStyle w:val="Instructions"/>
        </w:rPr>
        <w:t xml:space="preserve"> XELJANZ</w:t>
      </w:r>
      <w:r>
        <w:rPr>
          <w:rStyle w:val="Instructions"/>
        </w:rPr>
        <w:t xml:space="preserve"> groups</w:t>
      </w:r>
      <w:r w:rsidRPr="0051061D">
        <w:rPr>
          <w:rStyle w:val="Instructions"/>
        </w:rPr>
        <w:t>, respectively.  The most common serious infections reported with XELJANZ included pneumonia, herpes zoster, urinary tract infection</w:t>
      </w:r>
      <w:r w:rsidRPr="0051061D">
        <w:rPr>
          <w:iCs/>
          <w:lang w:val="en-AU"/>
        </w:rPr>
        <w:t xml:space="preserve">, </w:t>
      </w:r>
      <w:r>
        <w:rPr>
          <w:iCs/>
          <w:lang w:val="en-AU"/>
        </w:rPr>
        <w:t xml:space="preserve">cellulitis, gastroenteritis </w:t>
      </w:r>
      <w:r w:rsidRPr="0051061D">
        <w:rPr>
          <w:iCs/>
          <w:lang w:val="en-AU"/>
        </w:rPr>
        <w:t>and diverticulitis</w:t>
      </w:r>
      <w:r w:rsidRPr="0051061D">
        <w:rPr>
          <w:rStyle w:val="Instructions"/>
        </w:rPr>
        <w:t xml:space="preserve">.  Cases of opportunistic infections have been reported </w:t>
      </w:r>
      <w:r w:rsidRPr="0051061D">
        <w:rPr>
          <w:rFonts w:eastAsia="Arial Unicode MS"/>
          <w:color w:val="000000"/>
          <w:lang w:val="en"/>
        </w:rPr>
        <w:t>(see</w:t>
      </w:r>
      <w:r w:rsidR="00A51746">
        <w:rPr>
          <w:rFonts w:eastAsia="Arial Unicode MS"/>
          <w:color w:val="000000"/>
          <w:lang w:val="en"/>
        </w:rPr>
        <w:t xml:space="preserve"> Section 4.4</w:t>
      </w:r>
      <w:r w:rsidR="00AE4BA3">
        <w:rPr>
          <w:rFonts w:eastAsia="Arial Unicode MS"/>
          <w:color w:val="000000"/>
          <w:lang w:val="en"/>
        </w:rPr>
        <w:t xml:space="preserve"> </w:t>
      </w:r>
      <w:r w:rsidR="00AE4BA3">
        <w:t xml:space="preserve">Special Warnings and Precautions </w:t>
      </w:r>
      <w:proofErr w:type="gramStart"/>
      <w:r w:rsidR="00AE4BA3">
        <w:t>For</w:t>
      </w:r>
      <w:proofErr w:type="gramEnd"/>
      <w:r w:rsidR="00AE4BA3">
        <w:t xml:space="preserve"> Use</w:t>
      </w:r>
      <w:r w:rsidRPr="0051061D">
        <w:rPr>
          <w:rFonts w:eastAsia="Arial Unicode MS"/>
          <w:color w:val="000000"/>
          <w:lang w:val="en"/>
        </w:rPr>
        <w:t>)</w:t>
      </w:r>
      <w:r w:rsidRPr="0051061D">
        <w:rPr>
          <w:rStyle w:val="Instructions"/>
        </w:rPr>
        <w:t>.</w:t>
      </w:r>
    </w:p>
    <w:p w:rsidR="00BD6C42" w:rsidRPr="00BD6C42" w:rsidRDefault="00BD6C42" w:rsidP="00BD6C42">
      <w:pPr>
        <w:pStyle w:val="Paragraph"/>
        <w:spacing w:after="0"/>
        <w:jc w:val="both"/>
        <w:rPr>
          <w:rStyle w:val="Instructions"/>
          <w:i/>
        </w:rPr>
      </w:pPr>
      <w:r w:rsidRPr="00BD6C42">
        <w:rPr>
          <w:rStyle w:val="Instructions"/>
          <w:i/>
        </w:rPr>
        <w:t>Serious infections in the elderly</w:t>
      </w:r>
    </w:p>
    <w:p w:rsidR="008872C6" w:rsidRDefault="008872C6" w:rsidP="008872C6">
      <w:pPr>
        <w:pStyle w:val="Paragraph"/>
        <w:jc w:val="both"/>
        <w:rPr>
          <w:rStyle w:val="Instructions"/>
        </w:rPr>
      </w:pPr>
      <w:r w:rsidRPr="0051061D">
        <w:rPr>
          <w:rStyle w:val="Instructions"/>
        </w:rPr>
        <w:t xml:space="preserve">Of the </w:t>
      </w:r>
      <w:r>
        <w:rPr>
          <w:rStyle w:val="Instructions"/>
        </w:rPr>
        <w:t>4271</w:t>
      </w:r>
      <w:r w:rsidRPr="0051061D">
        <w:rPr>
          <w:rStyle w:val="Instructions"/>
        </w:rPr>
        <w:t> patients who enrolled in Studies I to V</w:t>
      </w:r>
      <w:r>
        <w:rPr>
          <w:rStyle w:val="Instructions"/>
        </w:rPr>
        <w:t>I</w:t>
      </w:r>
      <w:r w:rsidRPr="0051061D">
        <w:rPr>
          <w:rStyle w:val="Instructions"/>
        </w:rPr>
        <w:t xml:space="preserve">, a total of </w:t>
      </w:r>
      <w:r>
        <w:rPr>
          <w:rStyle w:val="Instructions"/>
        </w:rPr>
        <w:t>608</w:t>
      </w:r>
      <w:r w:rsidRPr="0051061D">
        <w:rPr>
          <w:rStyle w:val="Instructions"/>
        </w:rPr>
        <w:t> </w:t>
      </w:r>
      <w:r w:rsidR="00940CEB">
        <w:rPr>
          <w:rStyle w:val="Instructions"/>
        </w:rPr>
        <w:t>RA</w:t>
      </w:r>
      <w:r w:rsidRPr="0051061D">
        <w:rPr>
          <w:rStyle w:val="Instructions"/>
        </w:rPr>
        <w:t xml:space="preserve"> patients were 65 years of age and older, including </w:t>
      </w:r>
      <w:r>
        <w:rPr>
          <w:rStyle w:val="Instructions"/>
        </w:rPr>
        <w:t>85</w:t>
      </w:r>
      <w:r w:rsidRPr="0051061D">
        <w:rPr>
          <w:rStyle w:val="Instructions"/>
        </w:rPr>
        <w:t xml:space="preserve"> patients 75 years and older.  The frequency of serious infection among XELJANZ-treated </w:t>
      </w:r>
      <w:r>
        <w:rPr>
          <w:rStyle w:val="Instructions"/>
        </w:rPr>
        <w:t>patients</w:t>
      </w:r>
      <w:r w:rsidRPr="0051061D">
        <w:rPr>
          <w:rStyle w:val="Instructions"/>
        </w:rPr>
        <w:t xml:space="preserve"> 65 years of age and older was higher than those under the age of 65.  As there is a higher incidence of infections in the elderly population in general, caution should be used when treating the elderly</w:t>
      </w:r>
      <w:r w:rsidR="00BD6C42">
        <w:rPr>
          <w:rStyle w:val="Instructions"/>
        </w:rPr>
        <w:t xml:space="preserve"> </w:t>
      </w:r>
      <w:r w:rsidR="00BD6C42" w:rsidRPr="0051061D">
        <w:rPr>
          <w:rFonts w:eastAsia="Arial Unicode MS"/>
          <w:color w:val="000000"/>
          <w:lang w:val="en"/>
        </w:rPr>
        <w:t>(see</w:t>
      </w:r>
      <w:r w:rsidR="00BD6C42">
        <w:rPr>
          <w:rFonts w:eastAsia="Arial Unicode MS"/>
          <w:color w:val="000000"/>
          <w:lang w:val="en"/>
        </w:rPr>
        <w:t xml:space="preserve"> Section 4.4 </w:t>
      </w:r>
      <w:r w:rsidR="00BD6C42">
        <w:t xml:space="preserve">Special Warnings and Precautions </w:t>
      </w:r>
      <w:proofErr w:type="gramStart"/>
      <w:r w:rsidR="00BD6C42">
        <w:t>For</w:t>
      </w:r>
      <w:proofErr w:type="gramEnd"/>
      <w:r w:rsidR="00BD6C42">
        <w:t xml:space="preserve"> Use</w:t>
      </w:r>
      <w:r w:rsidR="00BD6C42" w:rsidRPr="0051061D">
        <w:rPr>
          <w:rFonts w:eastAsia="Arial Unicode MS"/>
          <w:color w:val="000000"/>
          <w:lang w:val="en"/>
        </w:rPr>
        <w:t>)</w:t>
      </w:r>
      <w:r w:rsidRPr="0051061D">
        <w:rPr>
          <w:rStyle w:val="Instructions"/>
        </w:rPr>
        <w:t>.</w:t>
      </w:r>
    </w:p>
    <w:p w:rsidR="002E6E41" w:rsidRPr="002E6E41" w:rsidRDefault="002E6E41" w:rsidP="002E6E41">
      <w:pPr>
        <w:pStyle w:val="PIHeading4"/>
        <w:rPr>
          <w:u w:val="single"/>
          <w:lang w:val="en-US"/>
        </w:rPr>
      </w:pPr>
      <w:r w:rsidRPr="002E6E41">
        <w:rPr>
          <w:u w:val="single"/>
          <w:lang w:val="en-US"/>
        </w:rPr>
        <w:lastRenderedPageBreak/>
        <w:t>Psoriatic Arthritis</w:t>
      </w:r>
    </w:p>
    <w:p w:rsidR="002E6E41" w:rsidRPr="003930DD" w:rsidRDefault="002E6E41" w:rsidP="002E6E41">
      <w:pPr>
        <w:pStyle w:val="Paragraph"/>
        <w:rPr>
          <w:rStyle w:val="Instructions"/>
        </w:rPr>
      </w:pPr>
      <w:r w:rsidRPr="003930DD">
        <w:rPr>
          <w:rStyle w:val="Instructions"/>
        </w:rPr>
        <w:t>In the 6-month and 12-month Phase 3 studies, the rate of serious infections in the XELJANZ 5 mg twice daily group was 1.30 patients with events per 100 patient-years. In the XELJANZ 10 mg twice daily group, the rate was 2.0 patients with events per 100</w:t>
      </w:r>
      <w:r>
        <w:rPr>
          <w:rStyle w:val="Instructions"/>
        </w:rPr>
        <w:t> </w:t>
      </w:r>
      <w:r w:rsidRPr="003930DD">
        <w:rPr>
          <w:rStyle w:val="Instructions"/>
        </w:rPr>
        <w:t>patient</w:t>
      </w:r>
      <w:r w:rsidRPr="003930DD">
        <w:rPr>
          <w:rStyle w:val="Instructions"/>
        </w:rPr>
        <w:noBreakHyphen/>
        <w:t>years.</w:t>
      </w:r>
    </w:p>
    <w:p w:rsidR="002E6E41" w:rsidRDefault="002E6E41" w:rsidP="002E6E41">
      <w:pPr>
        <w:rPr>
          <w:rStyle w:val="Instructions"/>
        </w:rPr>
      </w:pPr>
      <w:r w:rsidRPr="003930DD">
        <w:rPr>
          <w:rStyle w:val="Instructions"/>
        </w:rPr>
        <w:t>In the long-term safety population, the overall rate of serious infections was 1.4 patients with events per 100 patient-years for XELJANZ treated patients. The most common serious infection reported with XELJANZ was pneumonia.</w:t>
      </w:r>
    </w:p>
    <w:p w:rsidR="000750C2" w:rsidRPr="00C87FDC" w:rsidRDefault="000750C2" w:rsidP="000750C2">
      <w:pPr>
        <w:pStyle w:val="PIHeading4"/>
        <w:rPr>
          <w:u w:val="single"/>
          <w:lang w:val="en-US"/>
        </w:rPr>
      </w:pPr>
      <w:r w:rsidRPr="00C87FDC">
        <w:rPr>
          <w:u w:val="single"/>
          <w:lang w:val="en-US"/>
        </w:rPr>
        <w:t>Ulcerative Colitis</w:t>
      </w:r>
    </w:p>
    <w:p w:rsidR="000750C2" w:rsidRPr="000750C2" w:rsidRDefault="000750C2" w:rsidP="000750C2">
      <w:pPr>
        <w:pStyle w:val="Paragraph"/>
        <w:widowControl w:val="0"/>
        <w:jc w:val="both"/>
        <w:rPr>
          <w:rStyle w:val="Instructions"/>
          <w:rFonts w:eastAsia="Arial Unicode MS"/>
          <w:iCs w:val="0"/>
          <w:lang w:val="en-GB"/>
        </w:rPr>
      </w:pPr>
      <w:r w:rsidRPr="005C32BB">
        <w:rPr>
          <w:rFonts w:eastAsia="Arial Unicode MS"/>
        </w:rPr>
        <w:t xml:space="preserve">In the </w:t>
      </w:r>
      <w:proofErr w:type="spellStart"/>
      <w:r w:rsidRPr="005C32BB">
        <w:rPr>
          <w:rFonts w:eastAsia="Arial Unicode MS"/>
        </w:rPr>
        <w:t>randomi</w:t>
      </w:r>
      <w:r w:rsidR="00D70837">
        <w:rPr>
          <w:rFonts w:eastAsia="Arial Unicode MS"/>
        </w:rPr>
        <w:t>s</w:t>
      </w:r>
      <w:r w:rsidRPr="005C32BB">
        <w:rPr>
          <w:rFonts w:eastAsia="Arial Unicode MS"/>
        </w:rPr>
        <w:t>ed</w:t>
      </w:r>
      <w:proofErr w:type="spellEnd"/>
      <w:r w:rsidRPr="005C32BB">
        <w:rPr>
          <w:rFonts w:eastAsia="Arial Unicode MS"/>
        </w:rPr>
        <w:t xml:space="preserve"> 8</w:t>
      </w:r>
      <w:r w:rsidRPr="005C32BB">
        <w:rPr>
          <w:rFonts w:eastAsia="Arial Unicode MS"/>
        </w:rPr>
        <w:noBreakHyphen/>
        <w:t xml:space="preserve">week Phase 2/3 induction studies, the proportion of patients with serious infections in patients treated with </w:t>
      </w:r>
      <w:r w:rsidRPr="005C32BB">
        <w:rPr>
          <w:rFonts w:eastAsia="Calibri"/>
        </w:rPr>
        <w:t xml:space="preserve">XELJANZ </w:t>
      </w:r>
      <w:r w:rsidRPr="005C32BB">
        <w:rPr>
          <w:rFonts w:eastAsia="Arial Unicode MS"/>
        </w:rPr>
        <w:t>10 mg twice daily was 0.9% (8 patients) compared with 0.0% in patients treated with placebo.</w:t>
      </w:r>
      <w:r w:rsidRPr="00CE7659">
        <w:rPr>
          <w:rFonts w:eastAsia="Arial Unicode MS"/>
        </w:rPr>
        <w:t xml:space="preserve"> </w:t>
      </w:r>
      <w:r w:rsidRPr="005C32BB">
        <w:rPr>
          <w:rFonts w:eastAsia="Arial Unicode MS"/>
        </w:rPr>
        <w:t xml:space="preserve">In the </w:t>
      </w:r>
      <w:proofErr w:type="spellStart"/>
      <w:r w:rsidRPr="005C32BB">
        <w:rPr>
          <w:rFonts w:eastAsia="Arial Unicode MS"/>
        </w:rPr>
        <w:t>randomi</w:t>
      </w:r>
      <w:r w:rsidR="00D70837">
        <w:rPr>
          <w:rFonts w:eastAsia="Arial Unicode MS"/>
        </w:rPr>
        <w:t>s</w:t>
      </w:r>
      <w:r w:rsidRPr="005C32BB">
        <w:rPr>
          <w:rFonts w:eastAsia="Arial Unicode MS"/>
        </w:rPr>
        <w:t>ed</w:t>
      </w:r>
      <w:proofErr w:type="spellEnd"/>
      <w:r w:rsidRPr="005C32BB">
        <w:rPr>
          <w:rFonts w:eastAsia="Arial Unicode MS"/>
        </w:rPr>
        <w:t xml:space="preserve"> 52</w:t>
      </w:r>
      <w:r w:rsidRPr="005C32BB">
        <w:rPr>
          <w:rFonts w:eastAsia="Arial Unicode MS"/>
        </w:rPr>
        <w:noBreakHyphen/>
        <w:t xml:space="preserve">week Phase 3 maintenance study, the incidence rates of serious infections in patients treated with </w:t>
      </w:r>
      <w:r w:rsidRPr="005C32BB">
        <w:rPr>
          <w:rFonts w:eastAsia="Calibri"/>
        </w:rPr>
        <w:t>XELJANZ 5</w:t>
      </w:r>
      <w:r w:rsidRPr="005C32BB">
        <w:rPr>
          <w:rFonts w:eastAsia="Arial Unicode MS"/>
        </w:rPr>
        <w:t xml:space="preserve"> mg twice daily (1.35 events per 100 patient</w:t>
      </w:r>
      <w:r>
        <w:rPr>
          <w:rFonts w:eastAsia="Arial Unicode MS"/>
        </w:rPr>
        <w:noBreakHyphen/>
      </w:r>
      <w:r w:rsidRPr="005C32BB">
        <w:rPr>
          <w:rFonts w:eastAsia="Arial Unicode MS"/>
        </w:rPr>
        <w:t>year</w:t>
      </w:r>
      <w:r>
        <w:rPr>
          <w:rFonts w:eastAsia="Arial Unicode MS"/>
        </w:rPr>
        <w:t>s</w:t>
      </w:r>
      <w:r w:rsidRPr="005C32BB">
        <w:rPr>
          <w:rFonts w:eastAsia="Arial Unicode MS"/>
        </w:rPr>
        <w:t xml:space="preserve">) and in patients treated with </w:t>
      </w:r>
      <w:r w:rsidRPr="005C32BB">
        <w:rPr>
          <w:rFonts w:eastAsia="Calibri"/>
        </w:rPr>
        <w:t xml:space="preserve">XELJANZ </w:t>
      </w:r>
      <w:r w:rsidRPr="005C32BB">
        <w:rPr>
          <w:rFonts w:eastAsia="Arial Unicode MS"/>
        </w:rPr>
        <w:t>10 mg twice daily (0.64 events per 100 patient</w:t>
      </w:r>
      <w:r>
        <w:rPr>
          <w:rFonts w:eastAsia="Arial Unicode MS"/>
        </w:rPr>
        <w:noBreakHyphen/>
      </w:r>
      <w:r w:rsidRPr="005C32BB">
        <w:rPr>
          <w:rFonts w:eastAsia="Arial Unicode MS"/>
        </w:rPr>
        <w:t>year</w:t>
      </w:r>
      <w:r>
        <w:rPr>
          <w:rFonts w:eastAsia="Arial Unicode MS"/>
        </w:rPr>
        <w:t>s</w:t>
      </w:r>
      <w:r w:rsidRPr="005C32BB">
        <w:rPr>
          <w:rFonts w:eastAsia="Arial Unicode MS"/>
        </w:rPr>
        <w:t>) were not higher than that for placebo (1.94 events per 100 patient</w:t>
      </w:r>
      <w:r>
        <w:rPr>
          <w:rFonts w:eastAsia="Arial Unicode MS"/>
        </w:rPr>
        <w:noBreakHyphen/>
      </w:r>
      <w:r w:rsidRPr="005C32BB">
        <w:rPr>
          <w:rFonts w:eastAsia="Arial Unicode MS"/>
        </w:rPr>
        <w:t>year</w:t>
      </w:r>
      <w:r>
        <w:rPr>
          <w:rFonts w:eastAsia="Arial Unicode MS"/>
        </w:rPr>
        <w:t>s</w:t>
      </w:r>
      <w:r w:rsidRPr="005C32BB">
        <w:rPr>
          <w:rFonts w:eastAsia="Arial Unicode MS"/>
        </w:rPr>
        <w:t>).</w:t>
      </w:r>
      <w:r w:rsidRPr="00CE7659">
        <w:rPr>
          <w:rFonts w:eastAsia="Arial Unicode MS"/>
        </w:rPr>
        <w:t xml:space="preserve"> </w:t>
      </w:r>
      <w:r w:rsidRPr="005C32BB">
        <w:rPr>
          <w:rFonts w:eastAsia="Arial Unicode MS"/>
        </w:rPr>
        <w:t xml:space="preserve">The incidence rate of serious infections in the entire treatment experience with </w:t>
      </w:r>
      <w:r w:rsidRPr="005C32BB">
        <w:rPr>
          <w:rFonts w:eastAsia="Calibri"/>
        </w:rPr>
        <w:t xml:space="preserve">XELJANZ </w:t>
      </w:r>
      <w:r w:rsidRPr="005C32BB">
        <w:rPr>
          <w:rFonts w:eastAsia="Arial Unicode MS"/>
        </w:rPr>
        <w:t xml:space="preserve">in patients with </w:t>
      </w:r>
      <w:r>
        <w:rPr>
          <w:rFonts w:eastAsia="Arial Unicode MS"/>
        </w:rPr>
        <w:t>UC</w:t>
      </w:r>
      <w:r w:rsidRPr="005C32BB">
        <w:rPr>
          <w:rFonts w:eastAsia="Arial Unicode MS"/>
        </w:rPr>
        <w:t xml:space="preserve"> was </w:t>
      </w:r>
      <w:r w:rsidRPr="00977D30">
        <w:rPr>
          <w:rFonts w:eastAsia="Arial Unicode MS"/>
        </w:rPr>
        <w:t>1.99</w:t>
      </w:r>
      <w:r w:rsidRPr="005C32BB">
        <w:rPr>
          <w:rFonts w:eastAsia="Arial Unicode MS"/>
        </w:rPr>
        <w:t> events per 100 patient</w:t>
      </w:r>
      <w:r>
        <w:rPr>
          <w:rFonts w:eastAsia="Arial Unicode MS"/>
        </w:rPr>
        <w:noBreakHyphen/>
      </w:r>
      <w:r w:rsidRPr="005C32BB">
        <w:rPr>
          <w:rFonts w:eastAsia="Arial Unicode MS"/>
        </w:rPr>
        <w:t>year</w:t>
      </w:r>
      <w:r>
        <w:rPr>
          <w:rFonts w:eastAsia="Arial Unicode MS"/>
        </w:rPr>
        <w:t>s</w:t>
      </w:r>
      <w:r w:rsidRPr="005C32BB">
        <w:rPr>
          <w:rFonts w:eastAsia="Arial Unicode MS"/>
        </w:rPr>
        <w:t>. There was no apparent clustering into specific types of serious infections.</w:t>
      </w:r>
    </w:p>
    <w:p w:rsidR="008872C6" w:rsidRPr="0051061D" w:rsidRDefault="008872C6" w:rsidP="00724FA3">
      <w:pPr>
        <w:pStyle w:val="PIHeading3"/>
        <w:rPr>
          <w:rFonts w:eastAsia="Arial Unicode MS"/>
          <w:szCs w:val="24"/>
          <w:lang w:val="en"/>
        </w:rPr>
      </w:pPr>
      <w:r>
        <w:t>Viral Reactivation</w:t>
      </w:r>
    </w:p>
    <w:p w:rsidR="00A40D6D" w:rsidRPr="00A40D6D" w:rsidRDefault="00A40D6D" w:rsidP="008872C6">
      <w:pPr>
        <w:pStyle w:val="PIHeading1"/>
        <w:spacing w:before="0" w:line="240" w:lineRule="auto"/>
        <w:outlineLvl w:val="9"/>
        <w:rPr>
          <w:rFonts w:eastAsia="Arial Unicode MS"/>
          <w:b w:val="0"/>
          <w:iCs/>
          <w:caps w:val="0"/>
          <w:color w:val="000000"/>
          <w:kern w:val="0"/>
          <w:sz w:val="24"/>
          <w:szCs w:val="24"/>
          <w:lang w:val="en"/>
        </w:rPr>
      </w:pPr>
      <w:r w:rsidRPr="00A40D6D">
        <w:rPr>
          <w:rFonts w:eastAsia="Arial Unicode MS"/>
          <w:b w:val="0"/>
          <w:iCs/>
          <w:caps w:val="0"/>
          <w:color w:val="000000"/>
          <w:kern w:val="0"/>
          <w:sz w:val="24"/>
          <w:szCs w:val="24"/>
          <w:lang w:val="en"/>
        </w:rPr>
        <w:t xml:space="preserve">Patients treated with </w:t>
      </w:r>
      <w:r>
        <w:rPr>
          <w:rFonts w:eastAsia="Arial Unicode MS"/>
          <w:b w:val="0"/>
          <w:iCs/>
          <w:caps w:val="0"/>
          <w:color w:val="000000"/>
          <w:kern w:val="0"/>
          <w:sz w:val="24"/>
          <w:szCs w:val="24"/>
          <w:lang w:val="en"/>
        </w:rPr>
        <w:t>XELJANZ</w:t>
      </w:r>
      <w:r w:rsidRPr="00A40D6D">
        <w:rPr>
          <w:rFonts w:eastAsia="Arial Unicode MS"/>
          <w:b w:val="0"/>
          <w:iCs/>
          <w:caps w:val="0"/>
          <w:color w:val="000000"/>
          <w:kern w:val="0"/>
          <w:sz w:val="24"/>
          <w:szCs w:val="24"/>
          <w:lang w:val="en"/>
        </w:rPr>
        <w:t xml:space="preserve"> who are Japanese or Korean, or patients with long standing RA who have previously received two or more biological DMARDs, or patients with an ALC less </w:t>
      </w:r>
      <w:r w:rsidRPr="000D2C27">
        <w:rPr>
          <w:rFonts w:eastAsia="Arial Unicode MS"/>
          <w:b w:val="0"/>
          <w:iCs/>
          <w:caps w:val="0"/>
          <w:color w:val="000000"/>
          <w:kern w:val="0"/>
          <w:sz w:val="24"/>
          <w:szCs w:val="24"/>
          <w:lang w:val="en"/>
        </w:rPr>
        <w:t>than</w:t>
      </w:r>
      <w:r>
        <w:rPr>
          <w:rFonts w:eastAsia="Arial Unicode MS"/>
          <w:b w:val="0"/>
          <w:iCs/>
          <w:caps w:val="0"/>
          <w:color w:val="000000"/>
          <w:kern w:val="0"/>
          <w:sz w:val="24"/>
          <w:szCs w:val="24"/>
          <w:lang w:val="en"/>
        </w:rPr>
        <w:t xml:space="preserve"> 1.0 x 10</w:t>
      </w:r>
      <w:r w:rsidRPr="00A40D6D">
        <w:rPr>
          <w:rFonts w:eastAsia="Arial Unicode MS"/>
          <w:b w:val="0"/>
          <w:iCs/>
          <w:caps w:val="0"/>
          <w:color w:val="000000"/>
          <w:kern w:val="0"/>
          <w:sz w:val="24"/>
          <w:szCs w:val="24"/>
          <w:vertAlign w:val="superscript"/>
          <w:lang w:val="en"/>
        </w:rPr>
        <w:t>9</w:t>
      </w:r>
      <w:r>
        <w:rPr>
          <w:rFonts w:eastAsia="Arial Unicode MS"/>
          <w:b w:val="0"/>
          <w:iCs/>
          <w:caps w:val="0"/>
          <w:color w:val="000000"/>
          <w:kern w:val="0"/>
          <w:sz w:val="24"/>
          <w:szCs w:val="24"/>
          <w:lang w:val="en"/>
        </w:rPr>
        <w:t xml:space="preserve"> cells/L</w:t>
      </w:r>
      <w:r w:rsidR="000750C2">
        <w:rPr>
          <w:rFonts w:eastAsia="Arial Unicode MS"/>
          <w:b w:val="0"/>
          <w:iCs/>
          <w:caps w:val="0"/>
          <w:color w:val="000000"/>
          <w:kern w:val="0"/>
          <w:sz w:val="24"/>
          <w:szCs w:val="24"/>
          <w:lang w:val="en"/>
        </w:rPr>
        <w:t xml:space="preserve">, or patients treated </w:t>
      </w:r>
      <w:proofErr w:type="spellStart"/>
      <w:r w:rsidR="000750C2">
        <w:rPr>
          <w:rFonts w:eastAsia="Arial Unicode MS"/>
          <w:b w:val="0"/>
          <w:iCs/>
          <w:caps w:val="0"/>
          <w:color w:val="000000"/>
          <w:kern w:val="0"/>
          <w:sz w:val="24"/>
          <w:szCs w:val="24"/>
          <w:lang w:val="en"/>
        </w:rPr>
        <w:t>wth</w:t>
      </w:r>
      <w:proofErr w:type="spellEnd"/>
      <w:r w:rsidR="000750C2">
        <w:rPr>
          <w:rFonts w:eastAsia="Arial Unicode MS"/>
          <w:b w:val="0"/>
          <w:iCs/>
          <w:caps w:val="0"/>
          <w:color w:val="000000"/>
          <w:kern w:val="0"/>
          <w:sz w:val="24"/>
          <w:szCs w:val="24"/>
          <w:lang w:val="en"/>
        </w:rPr>
        <w:t xml:space="preserve"> 10 mg twice daily</w:t>
      </w:r>
      <w:r>
        <w:rPr>
          <w:rFonts w:eastAsia="Arial Unicode MS"/>
          <w:b w:val="0"/>
          <w:iCs/>
          <w:caps w:val="0"/>
          <w:color w:val="000000"/>
          <w:kern w:val="0"/>
          <w:sz w:val="24"/>
          <w:szCs w:val="24"/>
          <w:lang w:val="en"/>
        </w:rPr>
        <w:t xml:space="preserve"> </w:t>
      </w:r>
      <w:r w:rsidRPr="00A40D6D">
        <w:rPr>
          <w:rFonts w:eastAsia="Arial Unicode MS"/>
          <w:b w:val="0"/>
          <w:iCs/>
          <w:caps w:val="0"/>
          <w:color w:val="000000"/>
          <w:kern w:val="0"/>
          <w:sz w:val="24"/>
          <w:szCs w:val="24"/>
          <w:lang w:val="en"/>
        </w:rPr>
        <w:t xml:space="preserve">may have an increased risk of herpes zoster (see </w:t>
      </w:r>
      <w:r>
        <w:rPr>
          <w:rFonts w:eastAsia="Arial Unicode MS"/>
          <w:b w:val="0"/>
          <w:iCs/>
          <w:caps w:val="0"/>
          <w:color w:val="000000"/>
          <w:kern w:val="0"/>
          <w:sz w:val="24"/>
          <w:szCs w:val="24"/>
          <w:lang w:val="en"/>
        </w:rPr>
        <w:t xml:space="preserve">Section 4.4 </w:t>
      </w:r>
      <w:r w:rsidRPr="00AE4BA3">
        <w:rPr>
          <w:rFonts w:eastAsia="Arial Unicode MS"/>
          <w:b w:val="0"/>
          <w:iCs/>
          <w:caps w:val="0"/>
          <w:color w:val="000000"/>
          <w:kern w:val="0"/>
          <w:sz w:val="24"/>
          <w:szCs w:val="24"/>
          <w:lang w:val="en"/>
        </w:rPr>
        <w:t>Special Warnings and Precautions For Use</w:t>
      </w:r>
      <w:r w:rsidRPr="00A40D6D">
        <w:rPr>
          <w:rFonts w:eastAsia="Arial Unicode MS"/>
          <w:b w:val="0"/>
          <w:iCs/>
          <w:caps w:val="0"/>
          <w:color w:val="000000"/>
          <w:kern w:val="0"/>
          <w:sz w:val="24"/>
          <w:szCs w:val="24"/>
          <w:lang w:val="en"/>
        </w:rPr>
        <w:t>).</w:t>
      </w:r>
    </w:p>
    <w:p w:rsidR="008872C6" w:rsidRPr="0051061D" w:rsidRDefault="008872C6" w:rsidP="00724FA3">
      <w:pPr>
        <w:pStyle w:val="PIHeading3"/>
      </w:pPr>
      <w:r w:rsidRPr="0051061D">
        <w:t>Laboratory Parameters</w:t>
      </w:r>
    </w:p>
    <w:p w:rsidR="002E6E41" w:rsidRPr="003C3F7E" w:rsidRDefault="002E6E41" w:rsidP="002E6E41">
      <w:pPr>
        <w:rPr>
          <w:rStyle w:val="Instructions"/>
        </w:rPr>
      </w:pPr>
      <w:r w:rsidRPr="003C3F7E">
        <w:rPr>
          <w:rStyle w:val="Instructions"/>
        </w:rPr>
        <w:t xml:space="preserve">In the clinical </w:t>
      </w:r>
      <w:r>
        <w:rPr>
          <w:rStyle w:val="Instructions"/>
        </w:rPr>
        <w:t xml:space="preserve">trials </w:t>
      </w:r>
      <w:r w:rsidRPr="003C3F7E">
        <w:rPr>
          <w:rStyle w:val="Instructions"/>
        </w:rPr>
        <w:t xml:space="preserve">in </w:t>
      </w:r>
      <w:proofErr w:type="spellStart"/>
      <w:r w:rsidR="004C01CC">
        <w:rPr>
          <w:rStyle w:val="Instructions"/>
        </w:rPr>
        <w:t>PsA</w:t>
      </w:r>
      <w:proofErr w:type="spellEnd"/>
      <w:r w:rsidR="008231F1">
        <w:rPr>
          <w:rStyle w:val="Instructions"/>
        </w:rPr>
        <w:t xml:space="preserve"> and UC</w:t>
      </w:r>
      <w:r w:rsidRPr="003C3F7E">
        <w:rPr>
          <w:rStyle w:val="Instructions"/>
        </w:rPr>
        <w:t xml:space="preserve">, changes in lymphocytes, neutrophils, and lipids observed with </w:t>
      </w:r>
      <w:r w:rsidRPr="003C3F7E">
        <w:t xml:space="preserve">XELJANZ </w:t>
      </w:r>
      <w:r w:rsidRPr="003C3F7E">
        <w:rPr>
          <w:rStyle w:val="Instructions"/>
        </w:rPr>
        <w:t xml:space="preserve">treatment were similar to the changes observed in clinical </w:t>
      </w:r>
      <w:r>
        <w:rPr>
          <w:rStyle w:val="Instructions"/>
        </w:rPr>
        <w:t>trials</w:t>
      </w:r>
      <w:r w:rsidRPr="003C3F7E">
        <w:rPr>
          <w:rStyle w:val="Instructions"/>
        </w:rPr>
        <w:t xml:space="preserve"> in </w:t>
      </w:r>
      <w:r w:rsidR="004C01CC">
        <w:rPr>
          <w:rStyle w:val="Instructions"/>
        </w:rPr>
        <w:t>RA</w:t>
      </w:r>
      <w:r w:rsidRPr="003C3F7E">
        <w:rPr>
          <w:rStyle w:val="Instructions"/>
        </w:rPr>
        <w:t>.</w:t>
      </w:r>
    </w:p>
    <w:p w:rsidR="002E6E41" w:rsidRPr="003C3F7E" w:rsidRDefault="002E6E41" w:rsidP="002E6E41">
      <w:pPr>
        <w:rPr>
          <w:rStyle w:val="Instructions"/>
        </w:rPr>
      </w:pPr>
      <w:r w:rsidRPr="003C3F7E">
        <w:rPr>
          <w:rStyle w:val="Instructions"/>
        </w:rPr>
        <w:t xml:space="preserve">In the clinical </w:t>
      </w:r>
      <w:r>
        <w:rPr>
          <w:rStyle w:val="Instructions"/>
        </w:rPr>
        <w:t xml:space="preserve">trials </w:t>
      </w:r>
      <w:r w:rsidRPr="003C3F7E">
        <w:rPr>
          <w:rStyle w:val="Instructions"/>
        </w:rPr>
        <w:t>in</w:t>
      </w:r>
      <w:r w:rsidR="004C01CC">
        <w:rPr>
          <w:rStyle w:val="Instructions"/>
        </w:rPr>
        <w:t xml:space="preserve"> </w:t>
      </w:r>
      <w:proofErr w:type="spellStart"/>
      <w:r w:rsidR="004C01CC">
        <w:rPr>
          <w:rStyle w:val="Instructions"/>
        </w:rPr>
        <w:t>PsA</w:t>
      </w:r>
      <w:proofErr w:type="spellEnd"/>
      <w:r w:rsidR="008231F1">
        <w:rPr>
          <w:rStyle w:val="Instructions"/>
        </w:rPr>
        <w:t xml:space="preserve"> and UC</w:t>
      </w:r>
      <w:r w:rsidRPr="003C3F7E">
        <w:rPr>
          <w:rStyle w:val="Instructions"/>
        </w:rPr>
        <w:t xml:space="preserve">, changes in liver enzyme tests observed with </w:t>
      </w:r>
      <w:r w:rsidRPr="003C3F7E">
        <w:rPr>
          <w:rFonts w:eastAsia="Arial Unicode MS"/>
        </w:rPr>
        <w:t xml:space="preserve">XELJANZ </w:t>
      </w:r>
      <w:r w:rsidRPr="003C3F7E">
        <w:rPr>
          <w:rStyle w:val="Instructions"/>
        </w:rPr>
        <w:t xml:space="preserve">treatment were similar to the changes observed in clinical </w:t>
      </w:r>
      <w:r>
        <w:rPr>
          <w:rStyle w:val="Instructions"/>
        </w:rPr>
        <w:t>trials</w:t>
      </w:r>
      <w:r w:rsidRPr="003C3F7E">
        <w:rPr>
          <w:rStyle w:val="Instructions"/>
        </w:rPr>
        <w:t xml:space="preserve"> in </w:t>
      </w:r>
      <w:r w:rsidR="004C01CC">
        <w:rPr>
          <w:rStyle w:val="Instructions"/>
        </w:rPr>
        <w:t>RA</w:t>
      </w:r>
      <w:r w:rsidRPr="003C3F7E">
        <w:rPr>
          <w:rStyle w:val="Instructions"/>
        </w:rPr>
        <w:t xml:space="preserve"> where patients received background DMARDs.</w:t>
      </w:r>
    </w:p>
    <w:p w:rsidR="002E6E41" w:rsidRPr="002E6E41" w:rsidRDefault="002E6E41" w:rsidP="00724FA3">
      <w:pPr>
        <w:pStyle w:val="PIHeading4"/>
        <w:rPr>
          <w:u w:val="single"/>
          <w:lang w:val="en-US"/>
        </w:rPr>
      </w:pPr>
      <w:r w:rsidRPr="002E6E41">
        <w:rPr>
          <w:u w:val="single"/>
          <w:lang w:val="en-US"/>
        </w:rPr>
        <w:t>Rheumatoid Arthritis</w:t>
      </w:r>
    </w:p>
    <w:p w:rsidR="008872C6" w:rsidRPr="0051061D" w:rsidRDefault="008872C6" w:rsidP="00724FA3">
      <w:pPr>
        <w:pStyle w:val="PIHeading4"/>
        <w:rPr>
          <w:rFonts w:eastAsia="Arial Unicode MS"/>
          <w:lang w:val="en"/>
        </w:rPr>
      </w:pPr>
      <w:r w:rsidRPr="0051061D">
        <w:rPr>
          <w:rFonts w:eastAsia="Arial Unicode MS"/>
          <w:lang w:val="en"/>
        </w:rPr>
        <w:t>Lymphocytes</w:t>
      </w:r>
    </w:p>
    <w:p w:rsidR="008872C6" w:rsidRPr="0051061D" w:rsidRDefault="008872C6" w:rsidP="008872C6">
      <w:r w:rsidRPr="0051061D">
        <w:t xml:space="preserve">In the controlled </w:t>
      </w:r>
      <w:r w:rsidR="00FC7CAC">
        <w:t xml:space="preserve">RA </w:t>
      </w:r>
      <w:r w:rsidRPr="0051061D">
        <w:t xml:space="preserve">clinical studies, confirmed decreases in </w:t>
      </w:r>
      <w:r w:rsidR="00FC7CAC">
        <w:t>ALC</w:t>
      </w:r>
      <w:r w:rsidRPr="0051061D">
        <w:t xml:space="preserve"> below 0.5 </w:t>
      </w:r>
      <w:r w:rsidRPr="0051061D">
        <w:rPr>
          <w:rStyle w:val="CommentReference"/>
          <w:sz w:val="24"/>
          <w:szCs w:val="24"/>
        </w:rPr>
        <w:t>x 10</w:t>
      </w:r>
      <w:r w:rsidRPr="0051061D">
        <w:rPr>
          <w:rStyle w:val="CommentReference"/>
          <w:sz w:val="24"/>
          <w:szCs w:val="24"/>
          <w:vertAlign w:val="superscript"/>
        </w:rPr>
        <w:t>9</w:t>
      </w:r>
      <w:r w:rsidRPr="0051061D">
        <w:rPr>
          <w:rStyle w:val="CommentReference"/>
          <w:sz w:val="24"/>
          <w:szCs w:val="24"/>
        </w:rPr>
        <w:t> cells/L</w:t>
      </w:r>
      <w:r w:rsidRPr="0051061D">
        <w:t xml:space="preserve"> occurred in </w:t>
      </w:r>
      <w:r>
        <w:t>0.3</w:t>
      </w:r>
      <w:r w:rsidRPr="0051061D">
        <w:t xml:space="preserve">% of patients </w:t>
      </w:r>
      <w:r w:rsidR="00FC7CAC" w:rsidRPr="00796072">
        <w:rPr>
          <w:lang w:eastAsia="en-AU"/>
        </w:rPr>
        <w:t xml:space="preserve">and for ALC between </w:t>
      </w:r>
      <w:r w:rsidR="00FC7CAC">
        <w:rPr>
          <w:lang w:eastAsia="en-AU"/>
        </w:rPr>
        <w:t>0.5</w:t>
      </w:r>
      <w:r w:rsidR="00FC7CAC" w:rsidRPr="00796072">
        <w:rPr>
          <w:lang w:eastAsia="en-AU"/>
        </w:rPr>
        <w:t xml:space="preserve"> and </w:t>
      </w:r>
      <w:r w:rsidR="00FC7CAC">
        <w:rPr>
          <w:lang w:eastAsia="en-AU"/>
        </w:rPr>
        <w:t>0.75</w:t>
      </w:r>
      <w:r w:rsidR="00FC7CAC" w:rsidRPr="00796072">
        <w:rPr>
          <w:lang w:eastAsia="en-AU"/>
        </w:rPr>
        <w:t xml:space="preserve"> </w:t>
      </w:r>
      <w:r w:rsidR="00FC7CAC" w:rsidRPr="0051061D">
        <w:rPr>
          <w:rStyle w:val="CommentReference"/>
          <w:sz w:val="24"/>
          <w:szCs w:val="24"/>
        </w:rPr>
        <w:t>x 10</w:t>
      </w:r>
      <w:r w:rsidR="00FC7CAC" w:rsidRPr="0051061D">
        <w:rPr>
          <w:rStyle w:val="CommentReference"/>
          <w:sz w:val="24"/>
          <w:szCs w:val="24"/>
          <w:vertAlign w:val="superscript"/>
        </w:rPr>
        <w:t>9</w:t>
      </w:r>
      <w:r w:rsidR="00FC7CAC" w:rsidRPr="0051061D">
        <w:rPr>
          <w:rStyle w:val="CommentReference"/>
          <w:sz w:val="24"/>
          <w:szCs w:val="24"/>
        </w:rPr>
        <w:t> cells/L</w:t>
      </w:r>
      <w:r w:rsidR="00FC7CAC" w:rsidRPr="00796072">
        <w:rPr>
          <w:lang w:eastAsia="en-AU"/>
        </w:rPr>
        <w:t xml:space="preserve"> in 1.9%</w:t>
      </w:r>
      <w:r w:rsidR="00FC7CAC">
        <w:rPr>
          <w:lang w:eastAsia="en-AU"/>
        </w:rPr>
        <w:t xml:space="preserve"> of patients </w:t>
      </w:r>
      <w:r w:rsidRPr="0051061D">
        <w:t>for the 5 mg twice daily and 10 mg twice daily doses combined.</w:t>
      </w:r>
    </w:p>
    <w:p w:rsidR="008872C6" w:rsidRPr="0051061D" w:rsidRDefault="008872C6" w:rsidP="008872C6">
      <w:r w:rsidRPr="0051061D">
        <w:rPr>
          <w:color w:val="000000"/>
        </w:rPr>
        <w:t xml:space="preserve">In the </w:t>
      </w:r>
      <w:r w:rsidR="00FC7CAC">
        <w:rPr>
          <w:color w:val="000000"/>
        </w:rPr>
        <w:t xml:space="preserve">RA </w:t>
      </w:r>
      <w:r w:rsidRPr="0051061D">
        <w:rPr>
          <w:color w:val="000000"/>
        </w:rPr>
        <w:t xml:space="preserve">long term safety population, </w:t>
      </w:r>
      <w:r w:rsidRPr="0051061D">
        <w:t xml:space="preserve">confirmed decreases in </w:t>
      </w:r>
      <w:r w:rsidR="00FC7CAC">
        <w:t>ALC</w:t>
      </w:r>
      <w:r w:rsidRPr="0051061D">
        <w:t xml:space="preserve"> below 0.5 </w:t>
      </w:r>
      <w:r w:rsidRPr="0051061D">
        <w:rPr>
          <w:rStyle w:val="CommentReference"/>
          <w:sz w:val="24"/>
          <w:szCs w:val="24"/>
        </w:rPr>
        <w:t>x 10</w:t>
      </w:r>
      <w:r w:rsidRPr="0051061D">
        <w:rPr>
          <w:rStyle w:val="CommentReference"/>
          <w:sz w:val="24"/>
          <w:szCs w:val="24"/>
          <w:vertAlign w:val="superscript"/>
        </w:rPr>
        <w:t>9</w:t>
      </w:r>
      <w:r w:rsidRPr="0051061D">
        <w:rPr>
          <w:rStyle w:val="CommentReference"/>
          <w:sz w:val="24"/>
          <w:szCs w:val="24"/>
        </w:rPr>
        <w:t> cells/L</w:t>
      </w:r>
      <w:r w:rsidRPr="0051061D">
        <w:t xml:space="preserve"> occurred in </w:t>
      </w:r>
      <w:r>
        <w:t>1.3</w:t>
      </w:r>
      <w:r w:rsidRPr="0051061D">
        <w:t xml:space="preserve">% of patients </w:t>
      </w:r>
      <w:r w:rsidR="00FC7CAC">
        <w:t xml:space="preserve">and </w:t>
      </w:r>
      <w:r w:rsidR="00FC7CAC" w:rsidRPr="00796072">
        <w:rPr>
          <w:lang w:eastAsia="en-AU"/>
        </w:rPr>
        <w:t xml:space="preserve">for ALC between </w:t>
      </w:r>
      <w:r w:rsidR="00FC7CAC">
        <w:rPr>
          <w:lang w:eastAsia="en-AU"/>
        </w:rPr>
        <w:t>0.5</w:t>
      </w:r>
      <w:r w:rsidR="00FC7CAC" w:rsidRPr="00796072">
        <w:rPr>
          <w:lang w:eastAsia="en-AU"/>
        </w:rPr>
        <w:t xml:space="preserve"> and </w:t>
      </w:r>
      <w:r w:rsidR="00FC7CAC">
        <w:rPr>
          <w:lang w:eastAsia="en-AU"/>
        </w:rPr>
        <w:t>0.75</w:t>
      </w:r>
      <w:r w:rsidR="00FC7CAC" w:rsidRPr="00796072">
        <w:rPr>
          <w:lang w:eastAsia="en-AU"/>
        </w:rPr>
        <w:t xml:space="preserve"> </w:t>
      </w:r>
      <w:r w:rsidR="00FC7CAC" w:rsidRPr="0051061D">
        <w:rPr>
          <w:rStyle w:val="CommentReference"/>
          <w:sz w:val="24"/>
          <w:szCs w:val="24"/>
        </w:rPr>
        <w:t>x 10</w:t>
      </w:r>
      <w:r w:rsidR="00FC7CAC" w:rsidRPr="0051061D">
        <w:rPr>
          <w:rStyle w:val="CommentReference"/>
          <w:sz w:val="24"/>
          <w:szCs w:val="24"/>
          <w:vertAlign w:val="superscript"/>
        </w:rPr>
        <w:t>9</w:t>
      </w:r>
      <w:r w:rsidR="00FC7CAC" w:rsidRPr="0051061D">
        <w:rPr>
          <w:rStyle w:val="CommentReference"/>
          <w:sz w:val="24"/>
          <w:szCs w:val="24"/>
        </w:rPr>
        <w:t> cells/L</w:t>
      </w:r>
      <w:r w:rsidR="00FC7CAC" w:rsidRPr="00796072">
        <w:rPr>
          <w:lang w:eastAsia="en-AU"/>
        </w:rPr>
        <w:t xml:space="preserve"> in 8.4%</w:t>
      </w:r>
      <w:r w:rsidR="00FC7CAC">
        <w:rPr>
          <w:lang w:eastAsia="en-AU"/>
        </w:rPr>
        <w:t xml:space="preserve"> of patients </w:t>
      </w:r>
      <w:r w:rsidRPr="0051061D">
        <w:t>for the 5 mg twice daily and 10 mg twice daily doses combined.</w:t>
      </w:r>
    </w:p>
    <w:p w:rsidR="00796072" w:rsidRPr="0051061D" w:rsidRDefault="008872C6" w:rsidP="008872C6">
      <w:pPr>
        <w:pStyle w:val="first"/>
        <w:spacing w:before="0" w:after="240" w:line="240" w:lineRule="auto"/>
        <w:jc w:val="both"/>
      </w:pPr>
      <w:r w:rsidRPr="0051061D">
        <w:rPr>
          <w:rFonts w:eastAsia="Arial Unicode MS"/>
        </w:rPr>
        <w:lastRenderedPageBreak/>
        <w:t xml:space="preserve">Confirmed </w:t>
      </w:r>
      <w:r w:rsidR="00FC7CAC">
        <w:t>ALC less than 0.75</w:t>
      </w:r>
      <w:r w:rsidRPr="0051061D">
        <w:t> </w:t>
      </w:r>
      <w:r w:rsidRPr="0051061D">
        <w:rPr>
          <w:rStyle w:val="CommentReference"/>
          <w:sz w:val="24"/>
          <w:szCs w:val="24"/>
        </w:rPr>
        <w:t>x 10</w:t>
      </w:r>
      <w:r w:rsidRPr="0051061D">
        <w:rPr>
          <w:rStyle w:val="CommentReference"/>
          <w:sz w:val="24"/>
          <w:szCs w:val="24"/>
          <w:vertAlign w:val="superscript"/>
        </w:rPr>
        <w:t>9</w:t>
      </w:r>
      <w:r w:rsidRPr="0051061D">
        <w:rPr>
          <w:rStyle w:val="CommentReference"/>
          <w:sz w:val="24"/>
          <w:szCs w:val="24"/>
        </w:rPr>
        <w:t> cells/L</w:t>
      </w:r>
      <w:r w:rsidRPr="0051061D">
        <w:rPr>
          <w:rFonts w:eastAsia="Arial Unicode MS"/>
        </w:rPr>
        <w:t xml:space="preserve"> were associated with an increased incidence of serious infections </w:t>
      </w:r>
      <w:r w:rsidRPr="0051061D">
        <w:rPr>
          <w:rFonts w:eastAsia="Arial Unicode MS"/>
          <w:color w:val="000000"/>
          <w:lang w:val="en"/>
        </w:rPr>
        <w:t xml:space="preserve">(see </w:t>
      </w:r>
      <w:r w:rsidR="00A51746">
        <w:rPr>
          <w:rFonts w:eastAsia="Arial Unicode MS"/>
          <w:color w:val="000000"/>
          <w:lang w:val="en"/>
        </w:rPr>
        <w:t>Section 4.4</w:t>
      </w:r>
      <w:r w:rsidR="00AE4BA3">
        <w:rPr>
          <w:rFonts w:eastAsia="Arial Unicode MS"/>
          <w:color w:val="000000"/>
          <w:lang w:val="en"/>
        </w:rPr>
        <w:t xml:space="preserve"> </w:t>
      </w:r>
      <w:r w:rsidR="00AE4BA3">
        <w:t xml:space="preserve">Special Warnings and Precautions </w:t>
      </w:r>
      <w:proofErr w:type="gramStart"/>
      <w:r w:rsidR="00AE4BA3">
        <w:t>For</w:t>
      </w:r>
      <w:proofErr w:type="gramEnd"/>
      <w:r w:rsidR="00AE4BA3">
        <w:t xml:space="preserve"> Use</w:t>
      </w:r>
      <w:r w:rsidRPr="0051061D">
        <w:rPr>
          <w:rFonts w:eastAsia="Arial Unicode MS"/>
          <w:color w:val="000000"/>
          <w:lang w:val="en"/>
        </w:rPr>
        <w:t xml:space="preserve"> and </w:t>
      </w:r>
      <w:r w:rsidR="00AA431A">
        <w:rPr>
          <w:rFonts w:eastAsia="Arial Unicode MS"/>
          <w:color w:val="000000"/>
          <w:lang w:val="en"/>
        </w:rPr>
        <w:t>Section 4.2</w:t>
      </w:r>
      <w:r w:rsidR="00911229">
        <w:rPr>
          <w:rStyle w:val="Instructions"/>
        </w:rPr>
        <w:t xml:space="preserve"> </w:t>
      </w:r>
      <w:r w:rsidR="00911229">
        <w:t>Dose and Method of Administration</w:t>
      </w:r>
      <w:r w:rsidRPr="0051061D">
        <w:rPr>
          <w:rFonts w:eastAsia="Arial Unicode MS"/>
          <w:color w:val="000000"/>
          <w:lang w:val="en"/>
        </w:rPr>
        <w:t xml:space="preserve">). </w:t>
      </w:r>
    </w:p>
    <w:p w:rsidR="008872C6" w:rsidRPr="0051061D" w:rsidRDefault="008872C6" w:rsidP="00724FA3">
      <w:pPr>
        <w:pStyle w:val="PIHeading4"/>
        <w:rPr>
          <w:rFonts w:eastAsia="Arial Unicode MS"/>
          <w:lang w:val="en"/>
        </w:rPr>
      </w:pPr>
      <w:r w:rsidRPr="0051061D">
        <w:rPr>
          <w:rFonts w:eastAsia="Arial Unicode MS"/>
          <w:lang w:val="en"/>
        </w:rPr>
        <w:t>Neutrophils</w:t>
      </w:r>
    </w:p>
    <w:p w:rsidR="008872C6" w:rsidRPr="0051061D" w:rsidRDefault="008872C6" w:rsidP="008872C6">
      <w:pPr>
        <w:pStyle w:val="Paragraph"/>
        <w:jc w:val="both"/>
        <w:rPr>
          <w:i/>
          <w:iCs/>
        </w:rPr>
      </w:pPr>
      <w:r w:rsidRPr="0051061D">
        <w:rPr>
          <w:szCs w:val="22"/>
        </w:rPr>
        <w:t xml:space="preserve">In the controlled clinical studies, confirmed decreases in ANC below </w:t>
      </w:r>
      <w:r w:rsidRPr="0051061D">
        <w:t>1.0 x 10</w:t>
      </w:r>
      <w:r w:rsidRPr="0051061D">
        <w:rPr>
          <w:vertAlign w:val="superscript"/>
        </w:rPr>
        <w:t>9</w:t>
      </w:r>
      <w:r w:rsidRPr="0051061D">
        <w:t xml:space="preserve"> cells/L</w:t>
      </w:r>
      <w:r w:rsidRPr="0051061D">
        <w:rPr>
          <w:szCs w:val="22"/>
        </w:rPr>
        <w:t xml:space="preserve"> occurred in 0.08% of patients for the 5 mg twice daily and 10 mg twice daily doses combined.  There were no confirmed decreases in ANC below </w:t>
      </w:r>
      <w:r w:rsidRPr="0051061D">
        <w:t>0.5 x 10</w:t>
      </w:r>
      <w:r w:rsidRPr="0051061D">
        <w:rPr>
          <w:vertAlign w:val="superscript"/>
        </w:rPr>
        <w:t>9</w:t>
      </w:r>
      <w:r w:rsidRPr="0051061D">
        <w:t> cells/L</w:t>
      </w:r>
      <w:r w:rsidRPr="0051061D">
        <w:rPr>
          <w:szCs w:val="22"/>
        </w:rPr>
        <w:t xml:space="preserve"> observed in any treatment group. </w:t>
      </w:r>
      <w:r w:rsidRPr="0051061D">
        <w:rPr>
          <w:rFonts w:eastAsia="Arial Unicode MS"/>
          <w:szCs w:val="22"/>
          <w:lang w:val="en"/>
        </w:rPr>
        <w:t>There was no clear relationship between neutropenia and the occurrence of serious infections.</w:t>
      </w:r>
    </w:p>
    <w:p w:rsidR="008872C6" w:rsidRPr="0051061D" w:rsidRDefault="008872C6" w:rsidP="008872C6">
      <w:pPr>
        <w:pStyle w:val="Paragraph"/>
        <w:jc w:val="both"/>
        <w:rPr>
          <w:szCs w:val="22"/>
        </w:rPr>
      </w:pPr>
      <w:r w:rsidRPr="0051061D">
        <w:rPr>
          <w:rStyle w:val="Instructions"/>
        </w:rPr>
        <w:t xml:space="preserve">In the long-term safety population, the pattern and incidence of confirmed decreases in ANC remained consistent with what was seen in the controlled clinical studies </w:t>
      </w:r>
      <w:r w:rsidRPr="0051061D">
        <w:rPr>
          <w:rFonts w:eastAsia="Arial Unicode MS"/>
          <w:color w:val="000000"/>
          <w:lang w:val="en"/>
        </w:rPr>
        <w:t xml:space="preserve">(see </w:t>
      </w:r>
      <w:r w:rsidR="00A51746">
        <w:rPr>
          <w:rFonts w:eastAsia="Arial Unicode MS"/>
          <w:color w:val="000000"/>
          <w:lang w:val="en"/>
        </w:rPr>
        <w:t>Section 4.4</w:t>
      </w:r>
      <w:r w:rsidR="00AE4BA3">
        <w:rPr>
          <w:rFonts w:eastAsia="Arial Unicode MS"/>
          <w:color w:val="000000"/>
          <w:lang w:val="en"/>
        </w:rPr>
        <w:t xml:space="preserve"> </w:t>
      </w:r>
      <w:r w:rsidR="00AE4BA3">
        <w:t xml:space="preserve">Special Warnings and Precautions </w:t>
      </w:r>
      <w:proofErr w:type="gramStart"/>
      <w:r w:rsidR="00AE4BA3">
        <w:t>For</w:t>
      </w:r>
      <w:proofErr w:type="gramEnd"/>
      <w:r w:rsidR="00AE4BA3">
        <w:t xml:space="preserve"> Use</w:t>
      </w:r>
      <w:r w:rsidRPr="0051061D">
        <w:rPr>
          <w:rFonts w:eastAsia="Arial Unicode MS"/>
          <w:color w:val="000000"/>
          <w:lang w:val="en"/>
        </w:rPr>
        <w:t xml:space="preserve"> and </w:t>
      </w:r>
      <w:r w:rsidR="00AA431A">
        <w:rPr>
          <w:rFonts w:eastAsia="Arial Unicode MS"/>
          <w:color w:val="000000"/>
          <w:lang w:val="en"/>
        </w:rPr>
        <w:t>Section 4.2</w:t>
      </w:r>
      <w:r w:rsidR="00911229">
        <w:rPr>
          <w:rStyle w:val="Instructions"/>
        </w:rPr>
        <w:t xml:space="preserve"> </w:t>
      </w:r>
      <w:r w:rsidR="00911229">
        <w:t>Dose and Method of Administration</w:t>
      </w:r>
      <w:r w:rsidRPr="0051061D">
        <w:rPr>
          <w:rFonts w:eastAsia="Arial Unicode MS"/>
          <w:color w:val="000000"/>
          <w:lang w:val="en"/>
        </w:rPr>
        <w:t>)</w:t>
      </w:r>
      <w:r w:rsidRPr="0051061D">
        <w:rPr>
          <w:szCs w:val="22"/>
        </w:rPr>
        <w:t>.</w:t>
      </w:r>
    </w:p>
    <w:p w:rsidR="008872C6" w:rsidRPr="0051061D" w:rsidRDefault="008872C6" w:rsidP="00724FA3">
      <w:pPr>
        <w:pStyle w:val="PIHeading4"/>
        <w:rPr>
          <w:rFonts w:eastAsia="Arial Unicode MS"/>
          <w:lang w:val="en"/>
        </w:rPr>
      </w:pPr>
      <w:r w:rsidRPr="0051061D">
        <w:rPr>
          <w:rFonts w:eastAsia="Arial Unicode MS"/>
          <w:lang w:val="en"/>
        </w:rPr>
        <w:t>Liver Enzyme Tests</w:t>
      </w:r>
    </w:p>
    <w:p w:rsidR="008872C6" w:rsidRPr="0051061D" w:rsidRDefault="008872C6" w:rsidP="008872C6">
      <w:pPr>
        <w:pStyle w:val="Paragraph"/>
        <w:jc w:val="both"/>
        <w:rPr>
          <w:rStyle w:val="Instructions"/>
        </w:rPr>
      </w:pPr>
      <w:r w:rsidRPr="0051061D">
        <w:rPr>
          <w:rStyle w:val="Instructions"/>
        </w:rPr>
        <w:t xml:space="preserve">Confirmed increases in liver enzymes </w:t>
      </w:r>
      <w:r>
        <w:rPr>
          <w:rStyle w:val="Instructions"/>
        </w:rPr>
        <w:t>≥</w:t>
      </w:r>
      <w:r w:rsidRPr="0051061D">
        <w:rPr>
          <w:rStyle w:val="Instructions"/>
        </w:rPr>
        <w:t>3x </w:t>
      </w:r>
      <w:r w:rsidRPr="0051061D">
        <w:rPr>
          <w:rFonts w:eastAsia="Arial Unicode MS"/>
          <w:lang w:val="en"/>
        </w:rPr>
        <w:t xml:space="preserve">upper limit of normal (ULN) </w:t>
      </w:r>
      <w:r w:rsidRPr="0051061D">
        <w:rPr>
          <w:rStyle w:val="Instructions"/>
        </w:rPr>
        <w:t xml:space="preserve">were uncommonly observed.  In patients experiencing liver enzyme elevation, modification of treatment regimen, such as reduction in the dose of concomitant DMARD, interruption of XELJANZ, or reduction in XELJANZ dose, resulted in decrease or </w:t>
      </w:r>
      <w:proofErr w:type="spellStart"/>
      <w:r w:rsidRPr="0051061D">
        <w:rPr>
          <w:rStyle w:val="Instructions"/>
        </w:rPr>
        <w:t>normalisation</w:t>
      </w:r>
      <w:proofErr w:type="spellEnd"/>
      <w:r w:rsidRPr="0051061D">
        <w:rPr>
          <w:rStyle w:val="Instructions"/>
        </w:rPr>
        <w:t xml:space="preserve"> of liver enzymes.</w:t>
      </w:r>
    </w:p>
    <w:p w:rsidR="008872C6" w:rsidRDefault="008872C6" w:rsidP="008872C6">
      <w:pPr>
        <w:pStyle w:val="Paragraph"/>
        <w:jc w:val="both"/>
      </w:pPr>
      <w:r w:rsidRPr="0051061D">
        <w:t xml:space="preserve">In the controlled portion of the phase 3 </w:t>
      </w:r>
      <w:r>
        <w:t xml:space="preserve">placebo-controlled </w:t>
      </w:r>
      <w:r w:rsidRPr="0051061D">
        <w:t>monotherapy study (0-3 months</w:t>
      </w:r>
      <w:r>
        <w:t>) (Study I, see</w:t>
      </w:r>
      <w:r w:rsidR="00AA431A">
        <w:t xml:space="preserve"> Section 5.1</w:t>
      </w:r>
      <w:r w:rsidR="004F2ECD">
        <w:t xml:space="preserve"> Pharmacodynamic Properties</w:t>
      </w:r>
      <w:r w:rsidR="00AA431A">
        <w:t>, Clinical Trials</w:t>
      </w:r>
      <w:r w:rsidRPr="0051061D">
        <w:t xml:space="preserve">), ALT elevations </w:t>
      </w:r>
      <w:r>
        <w:t>≥</w:t>
      </w:r>
      <w:r w:rsidRPr="0051061D">
        <w:t xml:space="preserve"> 3x ULN were observed in 1.65%, 0.41%, and 0% of patients receiving placebo, </w:t>
      </w:r>
      <w:r>
        <w:t>XELJANZ</w:t>
      </w:r>
      <w:r w:rsidRPr="0051061D">
        <w:t xml:space="preserve"> 5 mg and 10 mg twice daily, respectively.  In this study, AST elevations </w:t>
      </w:r>
      <w:r>
        <w:t>≥</w:t>
      </w:r>
      <w:r w:rsidRPr="0051061D">
        <w:t xml:space="preserve"> 3x ULN were observed in 1.65%, 0.41% and 0% of patients receiving placebo, </w:t>
      </w:r>
      <w:r>
        <w:t>XELJANZ</w:t>
      </w:r>
      <w:r w:rsidRPr="0051061D">
        <w:t xml:space="preserve"> 5 mg and 10 mg twice daily, respectively.</w:t>
      </w:r>
    </w:p>
    <w:p w:rsidR="008872C6" w:rsidRPr="0051061D" w:rsidRDefault="008872C6" w:rsidP="008872C6">
      <w:pPr>
        <w:pStyle w:val="Paragraph"/>
        <w:jc w:val="both"/>
      </w:pPr>
      <w:r w:rsidRPr="00F3459D">
        <w:rPr>
          <w:iCs/>
        </w:rPr>
        <w:t xml:space="preserve">In the phase 3 </w:t>
      </w:r>
      <w:r>
        <w:rPr>
          <w:iCs/>
        </w:rPr>
        <w:t xml:space="preserve">active-controlled </w:t>
      </w:r>
      <w:r w:rsidRPr="00F3459D">
        <w:rPr>
          <w:iCs/>
        </w:rPr>
        <w:t>monotherapy study (0-24</w:t>
      </w:r>
      <w:r>
        <w:rPr>
          <w:iCs/>
        </w:rPr>
        <w:t> </w:t>
      </w:r>
      <w:r w:rsidRPr="00F3459D">
        <w:rPr>
          <w:iCs/>
        </w:rPr>
        <w:t xml:space="preserve">months) (Study VI, see </w:t>
      </w:r>
      <w:r w:rsidR="00AA431A">
        <w:t>Section 5.1</w:t>
      </w:r>
      <w:r w:rsidR="004F2ECD">
        <w:t xml:space="preserve"> Pharmacodynamic Properties</w:t>
      </w:r>
      <w:r w:rsidR="00AA431A">
        <w:t>, Clinical Trials</w:t>
      </w:r>
      <w:r w:rsidRPr="00F3459D">
        <w:rPr>
          <w:iCs/>
        </w:rPr>
        <w:t xml:space="preserve">), ALT elevations </w:t>
      </w:r>
      <w:r>
        <w:t>≥</w:t>
      </w:r>
      <w:r w:rsidRPr="00F3459D">
        <w:rPr>
          <w:iCs/>
        </w:rPr>
        <w:t xml:space="preserve"> 3x ULN were observed in 7.1%, 3.0%, and 3.0% of patients receiving </w:t>
      </w:r>
      <w:r w:rsidR="00317C7B">
        <w:rPr>
          <w:iCs/>
        </w:rPr>
        <w:t>MTX</w:t>
      </w:r>
      <w:r w:rsidRPr="00F3459D">
        <w:rPr>
          <w:iCs/>
        </w:rPr>
        <w:t xml:space="preserve">, </w:t>
      </w:r>
      <w:r w:rsidRPr="009712FB">
        <w:rPr>
          <w:iCs/>
        </w:rPr>
        <w:t>XELJANZ</w:t>
      </w:r>
      <w:r>
        <w:rPr>
          <w:iCs/>
        </w:rPr>
        <w:t xml:space="preserve"> </w:t>
      </w:r>
      <w:r w:rsidRPr="00F3459D">
        <w:rPr>
          <w:iCs/>
        </w:rPr>
        <w:t xml:space="preserve">5 mg and 10 mg twice daily, respectively. </w:t>
      </w:r>
      <w:r>
        <w:rPr>
          <w:iCs/>
        </w:rPr>
        <w:t xml:space="preserve"> </w:t>
      </w:r>
      <w:r w:rsidRPr="00F3459D">
        <w:rPr>
          <w:iCs/>
        </w:rPr>
        <w:t xml:space="preserve">In this study, AST elevations </w:t>
      </w:r>
      <w:r>
        <w:t>≥</w:t>
      </w:r>
      <w:r w:rsidRPr="00F3459D">
        <w:rPr>
          <w:iCs/>
        </w:rPr>
        <w:t xml:space="preserve"> 3x ULN were observed in 3.3%, 1.6% and 1.5% of patients receiving </w:t>
      </w:r>
      <w:r w:rsidR="00317C7B">
        <w:rPr>
          <w:iCs/>
        </w:rPr>
        <w:t>MTX</w:t>
      </w:r>
      <w:r w:rsidRPr="00F3459D">
        <w:rPr>
          <w:iCs/>
        </w:rPr>
        <w:t xml:space="preserve">, </w:t>
      </w:r>
      <w:r w:rsidRPr="009712FB">
        <w:rPr>
          <w:iCs/>
        </w:rPr>
        <w:t>XELJANZ</w:t>
      </w:r>
      <w:r>
        <w:rPr>
          <w:iCs/>
        </w:rPr>
        <w:t xml:space="preserve"> </w:t>
      </w:r>
      <w:r w:rsidRPr="00F3459D">
        <w:rPr>
          <w:iCs/>
        </w:rPr>
        <w:t>5 mg and 10 mg twice daily, respectively</w:t>
      </w:r>
      <w:r>
        <w:rPr>
          <w:iCs/>
        </w:rPr>
        <w:t>.</w:t>
      </w:r>
    </w:p>
    <w:p w:rsidR="008872C6" w:rsidRPr="0051061D" w:rsidRDefault="008872C6" w:rsidP="008872C6">
      <w:r w:rsidRPr="0051061D">
        <w:t>In the controlled portion of the phase 3 studies on background DMARDs (0-3 months)</w:t>
      </w:r>
      <w:r>
        <w:t xml:space="preserve"> </w:t>
      </w:r>
      <w:r w:rsidRPr="00F3459D">
        <w:rPr>
          <w:iCs/>
        </w:rPr>
        <w:t>(Stud</w:t>
      </w:r>
      <w:r>
        <w:rPr>
          <w:iCs/>
        </w:rPr>
        <w:t>ies II-V</w:t>
      </w:r>
      <w:r w:rsidRPr="00F3459D">
        <w:rPr>
          <w:iCs/>
        </w:rPr>
        <w:t xml:space="preserve">, see </w:t>
      </w:r>
      <w:r w:rsidR="00AA431A">
        <w:t>Section 5.1</w:t>
      </w:r>
      <w:r w:rsidR="004F2ECD">
        <w:t xml:space="preserve"> Pharmacodynamic Properties</w:t>
      </w:r>
      <w:r w:rsidR="00AA431A">
        <w:t>, Clinical Trials</w:t>
      </w:r>
      <w:r w:rsidRPr="00F3459D">
        <w:rPr>
          <w:iCs/>
        </w:rPr>
        <w:t>)</w:t>
      </w:r>
      <w:r w:rsidRPr="0051061D">
        <w:t xml:space="preserve">, ALT elevations </w:t>
      </w:r>
      <w:r>
        <w:t>≥</w:t>
      </w:r>
      <w:r w:rsidRPr="0051061D">
        <w:t xml:space="preserve"> 3x ULN were observed in 0.9%, 1.24% and </w:t>
      </w:r>
      <w:r>
        <w:t>1.14</w:t>
      </w:r>
      <w:r w:rsidRPr="0051061D">
        <w:t xml:space="preserve">% of patients receiving placebo, </w:t>
      </w:r>
      <w:r w:rsidRPr="009712FB">
        <w:rPr>
          <w:iCs/>
        </w:rPr>
        <w:t>XELJANZ</w:t>
      </w:r>
      <w:r>
        <w:rPr>
          <w:iCs/>
        </w:rPr>
        <w:t xml:space="preserve"> </w:t>
      </w:r>
      <w:r w:rsidRPr="0051061D">
        <w:t xml:space="preserve">5 mg, and 10 mg twice daily, respectively.  In these studies, AST elevations </w:t>
      </w:r>
      <w:r>
        <w:t>≥</w:t>
      </w:r>
      <w:r w:rsidRPr="0051061D">
        <w:t> 3x ULN were observed in 0.72%, 0.5</w:t>
      </w:r>
      <w:r>
        <w:t>2</w:t>
      </w:r>
      <w:r w:rsidRPr="0051061D">
        <w:t xml:space="preserve">% and </w:t>
      </w:r>
      <w:r>
        <w:t>0.31</w:t>
      </w:r>
      <w:r w:rsidRPr="0051061D">
        <w:t xml:space="preserve">% of patients receiving placebo, </w:t>
      </w:r>
      <w:r w:rsidRPr="009712FB">
        <w:rPr>
          <w:iCs/>
        </w:rPr>
        <w:t>XELJANZ</w:t>
      </w:r>
      <w:r>
        <w:rPr>
          <w:iCs/>
        </w:rPr>
        <w:t xml:space="preserve"> </w:t>
      </w:r>
      <w:r w:rsidRPr="0051061D">
        <w:t>5 mg and 10 mg twice daily, respectively.</w:t>
      </w:r>
    </w:p>
    <w:p w:rsidR="008872C6" w:rsidRPr="0051061D" w:rsidRDefault="008872C6" w:rsidP="008872C6">
      <w:pPr>
        <w:pStyle w:val="Paragraph"/>
        <w:jc w:val="both"/>
        <w:rPr>
          <w:rStyle w:val="Instructions"/>
        </w:rPr>
      </w:pPr>
      <w:r w:rsidRPr="0051061D">
        <w:rPr>
          <w:rStyle w:val="Instructions"/>
        </w:rPr>
        <w:t>One patient treated with tofacitinib 10 mg twice daily and MTX had possible drug-induced liver injury (DILI).  Despite discontinuation of both drugs, 2-3 months later she developed further increases in transaminase levels.  The elevated liver tests responded to prednisolone and azathioprine, possibly consistent with autoimmune hepatitis, but DILI cannot be ruled out.</w:t>
      </w:r>
    </w:p>
    <w:p w:rsidR="008872C6" w:rsidRPr="0051061D" w:rsidRDefault="008872C6" w:rsidP="00724FA3">
      <w:pPr>
        <w:pStyle w:val="PIHeading4"/>
        <w:rPr>
          <w:rFonts w:eastAsia="Arial Unicode MS"/>
          <w:lang w:val="en"/>
        </w:rPr>
      </w:pPr>
      <w:r w:rsidRPr="0051061D">
        <w:rPr>
          <w:rFonts w:eastAsia="Arial Unicode MS"/>
          <w:lang w:val="en"/>
        </w:rPr>
        <w:lastRenderedPageBreak/>
        <w:t>Lipids</w:t>
      </w:r>
    </w:p>
    <w:p w:rsidR="008872C6" w:rsidRPr="0051061D" w:rsidRDefault="008872C6" w:rsidP="008872C6">
      <w:pPr>
        <w:pStyle w:val="Paragraph"/>
        <w:jc w:val="both"/>
        <w:rPr>
          <w:i/>
          <w:iCs/>
        </w:rPr>
      </w:pPr>
      <w:r w:rsidRPr="0051061D">
        <w:t xml:space="preserve">Elevations in lipid parameters (total cholesterol, </w:t>
      </w:r>
      <w:r w:rsidRPr="0051061D">
        <w:rPr>
          <w:rFonts w:eastAsia="Arial Unicode MS"/>
          <w:kern w:val="36"/>
        </w:rPr>
        <w:t>LDL cholesterol</w:t>
      </w:r>
      <w:r w:rsidRPr="0051061D">
        <w:t xml:space="preserve">, </w:t>
      </w:r>
      <w:r w:rsidRPr="0051061D">
        <w:rPr>
          <w:rFonts w:eastAsia="Arial Unicode MS"/>
          <w:kern w:val="36"/>
        </w:rPr>
        <w:t>HDL cholesterol,</w:t>
      </w:r>
      <w:r w:rsidRPr="0051061D">
        <w:t xml:space="preserve"> triglycerides) were first assessed at one month following initiation of XELJANZ in the controlled double-blind clinical trials.  Increases were observed at this time point and remained stable thereafter.  </w:t>
      </w:r>
      <w:r w:rsidRPr="0051061D">
        <w:rPr>
          <w:rFonts w:eastAsia="Arial Unicode MS"/>
          <w:kern w:val="36"/>
        </w:rPr>
        <w:t>Changes in lipid parameters from baseline through the end of the study (6-</w:t>
      </w:r>
      <w:r>
        <w:rPr>
          <w:rFonts w:eastAsia="Arial Unicode MS"/>
          <w:kern w:val="36"/>
        </w:rPr>
        <w:t>24</w:t>
      </w:r>
      <w:r w:rsidRPr="0051061D">
        <w:rPr>
          <w:rFonts w:eastAsia="Arial Unicode MS"/>
          <w:kern w:val="36"/>
        </w:rPr>
        <w:t xml:space="preserve"> months) in the controlled </w:t>
      </w:r>
      <w:r>
        <w:rPr>
          <w:rFonts w:eastAsia="Arial Unicode MS"/>
          <w:kern w:val="36"/>
        </w:rPr>
        <w:t xml:space="preserve">phase 3 </w:t>
      </w:r>
      <w:r w:rsidRPr="0051061D">
        <w:rPr>
          <w:rFonts w:eastAsia="Arial Unicode MS"/>
          <w:kern w:val="36"/>
        </w:rPr>
        <w:t xml:space="preserve">clinical studies are </w:t>
      </w:r>
      <w:proofErr w:type="spellStart"/>
      <w:r w:rsidRPr="0051061D">
        <w:rPr>
          <w:rFonts w:eastAsia="Arial Unicode MS"/>
          <w:kern w:val="36"/>
        </w:rPr>
        <w:t>summarised</w:t>
      </w:r>
      <w:proofErr w:type="spellEnd"/>
      <w:r w:rsidRPr="0051061D">
        <w:rPr>
          <w:rFonts w:eastAsia="Arial Unicode MS"/>
          <w:kern w:val="36"/>
        </w:rPr>
        <w:t xml:space="preserve"> below:</w:t>
      </w:r>
    </w:p>
    <w:p w:rsidR="008872C6" w:rsidRPr="0051061D" w:rsidRDefault="008872C6" w:rsidP="008872C6">
      <w:pPr>
        <w:numPr>
          <w:ilvl w:val="0"/>
          <w:numId w:val="10"/>
        </w:numPr>
        <w:tabs>
          <w:tab w:val="clear" w:pos="720"/>
        </w:tabs>
        <w:ind w:left="360"/>
        <w:rPr>
          <w:rFonts w:eastAsia="Arial Unicode MS"/>
          <w:color w:val="000000"/>
          <w:kern w:val="36"/>
          <w:szCs w:val="24"/>
        </w:rPr>
      </w:pPr>
      <w:r w:rsidRPr="0051061D">
        <w:rPr>
          <w:rFonts w:eastAsia="Arial Unicode MS"/>
          <w:color w:val="000000"/>
          <w:kern w:val="36"/>
          <w:szCs w:val="24"/>
        </w:rPr>
        <w:t xml:space="preserve">Mean LDL cholesterol increased by </w:t>
      </w:r>
      <w:r>
        <w:rPr>
          <w:rFonts w:eastAsia="Arial Unicode MS"/>
          <w:color w:val="000000"/>
          <w:kern w:val="36"/>
          <w:szCs w:val="24"/>
        </w:rPr>
        <w:t>15</w:t>
      </w:r>
      <w:r w:rsidRPr="0051061D">
        <w:rPr>
          <w:rFonts w:eastAsia="Arial Unicode MS"/>
          <w:color w:val="000000"/>
          <w:kern w:val="36"/>
          <w:szCs w:val="24"/>
        </w:rPr>
        <w:t xml:space="preserve">% in the XELJANZ 5 mg </w:t>
      </w:r>
      <w:r w:rsidRPr="0051061D">
        <w:t>twice daily</w:t>
      </w:r>
      <w:r w:rsidRPr="0051061D">
        <w:rPr>
          <w:rFonts w:eastAsia="Arial Unicode MS"/>
          <w:color w:val="000000"/>
          <w:kern w:val="36"/>
          <w:szCs w:val="24"/>
        </w:rPr>
        <w:t xml:space="preserve"> arm and 20% in the XELJANZ 10 mg </w:t>
      </w:r>
      <w:r w:rsidRPr="0051061D">
        <w:t>twice daily</w:t>
      </w:r>
      <w:r w:rsidRPr="0051061D">
        <w:rPr>
          <w:rFonts w:eastAsia="Arial Unicode MS"/>
          <w:color w:val="000000"/>
          <w:kern w:val="36"/>
          <w:szCs w:val="24"/>
        </w:rPr>
        <w:t xml:space="preserve"> arm</w:t>
      </w:r>
      <w:r>
        <w:rPr>
          <w:rFonts w:eastAsia="Arial Unicode MS"/>
          <w:color w:val="000000"/>
          <w:kern w:val="36"/>
          <w:szCs w:val="24"/>
        </w:rPr>
        <w:t xml:space="preserve"> </w:t>
      </w:r>
      <w:r>
        <w:rPr>
          <w:rFonts w:eastAsia="Arial Unicode MS"/>
          <w:kern w:val="36"/>
        </w:rPr>
        <w:t>at month 12, and increased by 16% in the XELJANZ 5 mg twice daily arm and 19% in the XELJANZ 10 mg twice daily arm at month 24</w:t>
      </w:r>
      <w:r w:rsidRPr="0051061D">
        <w:rPr>
          <w:rFonts w:eastAsia="Arial Unicode MS"/>
          <w:color w:val="000000"/>
          <w:kern w:val="36"/>
          <w:szCs w:val="24"/>
        </w:rPr>
        <w:t xml:space="preserve">. </w:t>
      </w:r>
    </w:p>
    <w:p w:rsidR="008872C6" w:rsidRPr="0051061D" w:rsidRDefault="008872C6" w:rsidP="008872C6">
      <w:pPr>
        <w:numPr>
          <w:ilvl w:val="0"/>
          <w:numId w:val="10"/>
        </w:numPr>
        <w:tabs>
          <w:tab w:val="clear" w:pos="720"/>
        </w:tabs>
        <w:ind w:left="360"/>
        <w:rPr>
          <w:rFonts w:eastAsia="Arial Unicode MS"/>
          <w:color w:val="000000"/>
          <w:kern w:val="36"/>
          <w:szCs w:val="24"/>
        </w:rPr>
      </w:pPr>
      <w:r w:rsidRPr="0051061D">
        <w:rPr>
          <w:rFonts w:eastAsia="Arial Unicode MS"/>
          <w:color w:val="000000"/>
          <w:kern w:val="36"/>
          <w:szCs w:val="24"/>
        </w:rPr>
        <w:t xml:space="preserve">Mean HDL cholesterol increased by </w:t>
      </w:r>
      <w:r>
        <w:rPr>
          <w:rFonts w:eastAsia="Arial Unicode MS"/>
          <w:color w:val="000000"/>
          <w:kern w:val="36"/>
          <w:szCs w:val="24"/>
        </w:rPr>
        <w:t>17</w:t>
      </w:r>
      <w:r w:rsidRPr="0051061D">
        <w:rPr>
          <w:rFonts w:eastAsia="Arial Unicode MS"/>
          <w:color w:val="000000"/>
          <w:kern w:val="36"/>
          <w:szCs w:val="24"/>
        </w:rPr>
        <w:t xml:space="preserve">% in the XELJANZ 5 mg </w:t>
      </w:r>
      <w:r w:rsidRPr="0051061D">
        <w:t>twice daily</w:t>
      </w:r>
      <w:r w:rsidRPr="0051061D">
        <w:rPr>
          <w:rFonts w:eastAsia="Arial Unicode MS"/>
          <w:color w:val="000000"/>
          <w:kern w:val="36"/>
          <w:szCs w:val="24"/>
        </w:rPr>
        <w:t xml:space="preserve"> arm and 18</w:t>
      </w:r>
      <w:proofErr w:type="gramStart"/>
      <w:r w:rsidRPr="0051061D">
        <w:rPr>
          <w:rFonts w:eastAsia="Arial Unicode MS"/>
          <w:color w:val="000000"/>
          <w:kern w:val="36"/>
          <w:szCs w:val="24"/>
        </w:rPr>
        <w:t>%  in</w:t>
      </w:r>
      <w:proofErr w:type="gramEnd"/>
      <w:r w:rsidRPr="0051061D">
        <w:rPr>
          <w:rFonts w:eastAsia="Arial Unicode MS"/>
          <w:color w:val="000000"/>
          <w:kern w:val="36"/>
          <w:szCs w:val="24"/>
        </w:rPr>
        <w:t xml:space="preserve"> the XELJANZ 10 mg </w:t>
      </w:r>
      <w:r w:rsidRPr="0051061D">
        <w:t>twice daily</w:t>
      </w:r>
      <w:r w:rsidRPr="0051061D">
        <w:rPr>
          <w:rFonts w:eastAsia="Arial Unicode MS"/>
          <w:color w:val="000000"/>
          <w:kern w:val="36"/>
          <w:szCs w:val="24"/>
        </w:rPr>
        <w:t xml:space="preserve"> arm</w:t>
      </w:r>
      <w:r>
        <w:rPr>
          <w:rFonts w:eastAsia="Arial Unicode MS"/>
          <w:color w:val="000000"/>
          <w:kern w:val="36"/>
          <w:szCs w:val="24"/>
        </w:rPr>
        <w:t xml:space="preserve"> </w:t>
      </w:r>
      <w:r>
        <w:rPr>
          <w:rFonts w:eastAsia="Arial Unicode MS"/>
          <w:kern w:val="36"/>
        </w:rPr>
        <w:t>at month 12, and increased by 19% in the XELJANZ 5 mg twice daily arm and 20% in the XELJANZ 10 mg twice daily arm at month 24</w:t>
      </w:r>
      <w:r w:rsidRPr="0051061D">
        <w:rPr>
          <w:rFonts w:eastAsia="Arial Unicode MS"/>
          <w:color w:val="000000"/>
          <w:kern w:val="36"/>
          <w:szCs w:val="24"/>
        </w:rPr>
        <w:t xml:space="preserve">. </w:t>
      </w:r>
    </w:p>
    <w:p w:rsidR="008872C6" w:rsidRPr="0051061D" w:rsidRDefault="008872C6" w:rsidP="008872C6">
      <w:pPr>
        <w:numPr>
          <w:ilvl w:val="0"/>
          <w:numId w:val="10"/>
        </w:numPr>
        <w:tabs>
          <w:tab w:val="clear" w:pos="720"/>
          <w:tab w:val="num" w:pos="360"/>
        </w:tabs>
        <w:ind w:left="360"/>
        <w:rPr>
          <w:rFonts w:eastAsia="Arial Unicode MS"/>
          <w:color w:val="000000"/>
          <w:kern w:val="36"/>
        </w:rPr>
      </w:pPr>
      <w:r w:rsidRPr="0051061D">
        <w:rPr>
          <w:rFonts w:eastAsia="Arial Unicode MS"/>
          <w:color w:val="000000"/>
          <w:kern w:val="36"/>
        </w:rPr>
        <w:t>Mean LDL cholesterol/HDL cholesterol ratios were essentially unchanged in XELJANZ-treated patients.</w:t>
      </w:r>
    </w:p>
    <w:p w:rsidR="008872C6" w:rsidRPr="0051061D" w:rsidRDefault="008872C6" w:rsidP="008872C6">
      <w:pPr>
        <w:numPr>
          <w:ilvl w:val="0"/>
          <w:numId w:val="10"/>
        </w:numPr>
        <w:tabs>
          <w:tab w:val="clear" w:pos="720"/>
        </w:tabs>
        <w:ind w:left="360"/>
        <w:rPr>
          <w:rFonts w:eastAsia="Arial Unicode MS"/>
          <w:color w:val="000000"/>
          <w:kern w:val="36"/>
          <w:szCs w:val="24"/>
        </w:rPr>
      </w:pPr>
      <w:proofErr w:type="spellStart"/>
      <w:r w:rsidRPr="0051061D">
        <w:rPr>
          <w:rFonts w:eastAsia="Arial Unicode MS"/>
          <w:color w:val="000000"/>
          <w:kern w:val="36"/>
          <w:szCs w:val="24"/>
        </w:rPr>
        <w:t>Apolipoprotein</w:t>
      </w:r>
      <w:proofErr w:type="spellEnd"/>
      <w:r w:rsidRPr="0051061D">
        <w:rPr>
          <w:rFonts w:eastAsia="Arial Unicode MS"/>
          <w:color w:val="000000"/>
          <w:kern w:val="36"/>
          <w:szCs w:val="24"/>
        </w:rPr>
        <w:t xml:space="preserve"> B (</w:t>
      </w:r>
      <w:proofErr w:type="spellStart"/>
      <w:r w:rsidRPr="0051061D">
        <w:rPr>
          <w:rFonts w:eastAsia="Arial Unicode MS"/>
          <w:color w:val="000000"/>
          <w:kern w:val="36"/>
          <w:szCs w:val="24"/>
        </w:rPr>
        <w:t>ApoB</w:t>
      </w:r>
      <w:proofErr w:type="spellEnd"/>
      <w:r w:rsidRPr="0051061D">
        <w:rPr>
          <w:rFonts w:eastAsia="Arial Unicode MS"/>
          <w:color w:val="000000"/>
          <w:kern w:val="36"/>
          <w:szCs w:val="24"/>
        </w:rPr>
        <w:t>)/ApoA1 ratios were essentially unchanged in XELJANZ-treated patients.</w:t>
      </w:r>
    </w:p>
    <w:p w:rsidR="008872C6" w:rsidRPr="0051061D" w:rsidRDefault="008872C6" w:rsidP="008872C6">
      <w:pPr>
        <w:rPr>
          <w:rFonts w:eastAsia="Arial Unicode MS"/>
          <w:kern w:val="36"/>
        </w:rPr>
      </w:pPr>
      <w:r w:rsidRPr="0051061D">
        <w:rPr>
          <w:rFonts w:eastAsia="Arial Unicode MS"/>
          <w:kern w:val="36"/>
        </w:rPr>
        <w:t xml:space="preserve">In a controlled clinical trial, elevations in LDL cholesterol and </w:t>
      </w:r>
      <w:proofErr w:type="spellStart"/>
      <w:r w:rsidRPr="0051061D">
        <w:rPr>
          <w:rFonts w:eastAsia="Arial Unicode MS"/>
          <w:kern w:val="36"/>
        </w:rPr>
        <w:t>ApoB</w:t>
      </w:r>
      <w:proofErr w:type="spellEnd"/>
      <w:r w:rsidRPr="0051061D">
        <w:rPr>
          <w:rFonts w:eastAsia="Arial Unicode MS"/>
          <w:kern w:val="36"/>
        </w:rPr>
        <w:t xml:space="preserve"> decreased to </w:t>
      </w:r>
      <w:proofErr w:type="spellStart"/>
      <w:r w:rsidRPr="0051061D">
        <w:rPr>
          <w:rFonts w:eastAsia="Arial Unicode MS"/>
          <w:kern w:val="36"/>
        </w:rPr>
        <w:t>pretreatment</w:t>
      </w:r>
      <w:proofErr w:type="spellEnd"/>
      <w:r w:rsidRPr="0051061D">
        <w:rPr>
          <w:rFonts w:eastAsia="Arial Unicode MS"/>
          <w:kern w:val="36"/>
        </w:rPr>
        <w:t xml:space="preserve"> levels in response to statin therapy.</w:t>
      </w:r>
    </w:p>
    <w:p w:rsidR="008872C6" w:rsidRPr="0051061D" w:rsidRDefault="008872C6" w:rsidP="008872C6">
      <w:pPr>
        <w:rPr>
          <w:rFonts w:eastAsia="Arial Unicode MS"/>
          <w:kern w:val="36"/>
        </w:rPr>
      </w:pPr>
      <w:r w:rsidRPr="0051061D">
        <w:rPr>
          <w:rFonts w:eastAsia="Arial Unicode MS"/>
          <w:kern w:val="36"/>
        </w:rPr>
        <w:t>In the long-term safety populations, elevations in the lipid parameters remained consistent with what was seen in the controlled clinical studies.</w:t>
      </w:r>
    </w:p>
    <w:p w:rsidR="008872C6" w:rsidRPr="0051061D" w:rsidRDefault="008872C6" w:rsidP="00724FA3">
      <w:pPr>
        <w:pStyle w:val="PIHeading4"/>
        <w:rPr>
          <w:rFonts w:eastAsia="Arial Unicode MS"/>
          <w:lang w:val="en"/>
        </w:rPr>
      </w:pPr>
      <w:r w:rsidRPr="0051061D">
        <w:rPr>
          <w:rFonts w:eastAsia="Arial Unicode MS"/>
          <w:lang w:val="en"/>
        </w:rPr>
        <w:t>Serum Creatinine</w:t>
      </w:r>
    </w:p>
    <w:p w:rsidR="003A4144" w:rsidRDefault="008872C6" w:rsidP="003A4144">
      <w:r w:rsidRPr="0051061D">
        <w:t>In the controlled clinical trials, dose-related elevations in serum creatinine were observed with XELJANZ treatment.  The mean increase in serum creatinine was &lt;8.84 µ</w:t>
      </w:r>
      <w:proofErr w:type="spellStart"/>
      <w:r w:rsidRPr="0051061D">
        <w:t>mol</w:t>
      </w:r>
      <w:proofErr w:type="spellEnd"/>
      <w:r w:rsidRPr="0051061D">
        <w:t>/L in the 12-month pooled safety analysis; however, with increasing duration of exposure in the long-term extensions, up to 2</w:t>
      </w:r>
      <w:r>
        <w:t>.4</w:t>
      </w:r>
      <w:r w:rsidRPr="0051061D">
        <w:t>% of patients were discontinued from XELJANZ treatment due to the protocol-specified discontinuation criterion of an increase in creatinine by more than 50% of baseline.  The clinical significance of the observed serum creatinine elevations is unknown.</w:t>
      </w:r>
    </w:p>
    <w:p w:rsidR="00966150" w:rsidRPr="0051061D" w:rsidRDefault="00966150" w:rsidP="00966150">
      <w:pPr>
        <w:pStyle w:val="PIHeading3"/>
      </w:pPr>
      <w:r>
        <w:t>Post-Marketing</w:t>
      </w:r>
      <w:r w:rsidRPr="0051061D">
        <w:t xml:space="preserve"> Experience</w:t>
      </w:r>
    </w:p>
    <w:p w:rsidR="00F91019" w:rsidRDefault="00966150" w:rsidP="003A4144">
      <w:pPr>
        <w:rPr>
          <w:lang w:val="en-GB"/>
        </w:rPr>
      </w:pPr>
      <w:r w:rsidRPr="00966150">
        <w:rPr>
          <w:b/>
          <w:i/>
        </w:rPr>
        <w:t>Immune system disorders</w:t>
      </w:r>
    </w:p>
    <w:p w:rsidR="00966150" w:rsidRPr="00966150" w:rsidRDefault="00F91019" w:rsidP="003A4144">
      <w:pPr>
        <w:rPr>
          <w:lang w:val="en-GB"/>
        </w:rPr>
      </w:pPr>
      <w:r w:rsidRPr="0051061D">
        <w:rPr>
          <w:i/>
        </w:rPr>
        <w:t xml:space="preserve">Uncommon: </w:t>
      </w:r>
      <w:r w:rsidR="00966150">
        <w:rPr>
          <w:lang w:val="en-GB"/>
        </w:rPr>
        <w:t xml:space="preserve">Drug hypersensitivity (events such as angioedema and </w:t>
      </w:r>
      <w:r w:rsidR="000F5A41">
        <w:rPr>
          <w:lang w:val="en-GB"/>
        </w:rPr>
        <w:t>urticaria</w:t>
      </w:r>
      <w:r w:rsidR="00966150">
        <w:rPr>
          <w:lang w:val="en-GB"/>
        </w:rPr>
        <w:t xml:space="preserve"> have been observed).</w:t>
      </w:r>
      <w:r w:rsidR="000F5A41">
        <w:rPr>
          <w:lang w:val="en-GB"/>
        </w:rPr>
        <w:t xml:space="preserve">  Some events were also observed in clinical trials.</w:t>
      </w:r>
    </w:p>
    <w:p w:rsidR="00966150" w:rsidRDefault="0069039E" w:rsidP="003A4144">
      <w:r w:rsidRPr="0069039E">
        <w:t xml:space="preserve">Reporting suspected adverse reactions after registration of the medicinal product is important. It allows continued monitoring of the benefit-risk balance of the medicinal product. </w:t>
      </w:r>
      <w:r w:rsidRPr="0069039E">
        <w:lastRenderedPageBreak/>
        <w:t>Healthcare professionals are asked to report any suspected adverse reactions at</w:t>
      </w:r>
      <w:r>
        <w:t xml:space="preserve"> </w:t>
      </w:r>
      <w:hyperlink r:id="rId13" w:history="1">
        <w:r w:rsidRPr="00F45197">
          <w:rPr>
            <w:snapToGrid w:val="0"/>
            <w:color w:val="0000FF"/>
            <w:szCs w:val="24"/>
          </w:rPr>
          <w:t>www.tga.gov.au/reporting-problems</w:t>
        </w:r>
      </w:hyperlink>
      <w:r w:rsidRPr="0069039E">
        <w:t>.</w:t>
      </w:r>
    </w:p>
    <w:p w:rsidR="003A4144" w:rsidRDefault="003A4144" w:rsidP="00F43C03">
      <w:pPr>
        <w:pStyle w:val="PIHeading2"/>
      </w:pPr>
      <w:r>
        <w:t xml:space="preserve">4.9 </w:t>
      </w:r>
      <w:r w:rsidR="00F43C03">
        <w:t>Overdose</w:t>
      </w:r>
    </w:p>
    <w:p w:rsidR="00D20C49" w:rsidRPr="0051061D" w:rsidRDefault="00D20C49" w:rsidP="00D20C49">
      <w:pPr>
        <w:pStyle w:val="TableText0"/>
        <w:jc w:val="both"/>
        <w:rPr>
          <w:rFonts w:eastAsia="Arial Unicode MS" w:cs="Times New Roman"/>
          <w:kern w:val="36"/>
          <w:sz w:val="24"/>
          <w:szCs w:val="24"/>
        </w:rPr>
      </w:pPr>
      <w:r w:rsidRPr="0051061D">
        <w:rPr>
          <w:rFonts w:eastAsia="Arial Unicode MS" w:cs="Times New Roman"/>
          <w:iCs/>
          <w:kern w:val="36"/>
          <w:sz w:val="24"/>
          <w:szCs w:val="24"/>
        </w:rPr>
        <w:t xml:space="preserve">There is no experience with overdose of </w:t>
      </w:r>
      <w:r w:rsidRPr="0051061D">
        <w:rPr>
          <w:rFonts w:eastAsia="Arial Unicode MS" w:cs="Times New Roman"/>
          <w:kern w:val="36"/>
          <w:sz w:val="24"/>
          <w:szCs w:val="24"/>
        </w:rPr>
        <w:t>XELJANZ. There is no specific antidote for overdose with XELJANZ.</w:t>
      </w:r>
      <w:r w:rsidRPr="0051061D">
        <w:rPr>
          <w:rFonts w:eastAsia="Arial Unicode MS" w:cs="Times New Roman"/>
          <w:kern w:val="36"/>
          <w:sz w:val="24"/>
          <w:szCs w:val="24"/>
          <w:vertAlign w:val="superscript"/>
        </w:rPr>
        <w:t xml:space="preserve"> </w:t>
      </w:r>
      <w:r w:rsidRPr="0051061D">
        <w:rPr>
          <w:rFonts w:eastAsia="Arial Unicode MS" w:cs="Times New Roman"/>
          <w:kern w:val="36"/>
          <w:sz w:val="24"/>
          <w:szCs w:val="24"/>
        </w:rPr>
        <w:t>Treatment should be symptomatic and supportive. In case of an overdose, it is recommended that the patient be monitored for signs and symptoms of adverse reactions.  Patients who develop adverse reactions should receive appropriate treatment.</w:t>
      </w:r>
    </w:p>
    <w:p w:rsidR="00D20C49" w:rsidRPr="0051061D" w:rsidRDefault="00D20C49" w:rsidP="00D20C49">
      <w:pPr>
        <w:pStyle w:val="TableText0"/>
        <w:jc w:val="both"/>
        <w:rPr>
          <w:rFonts w:eastAsia="Arial Unicode MS" w:cs="Times New Roman"/>
          <w:kern w:val="36"/>
          <w:sz w:val="24"/>
          <w:szCs w:val="24"/>
        </w:rPr>
      </w:pPr>
    </w:p>
    <w:p w:rsidR="00D20C49" w:rsidRPr="0051061D" w:rsidRDefault="00D20C49" w:rsidP="00D20C49">
      <w:pPr>
        <w:pStyle w:val="PINormal"/>
      </w:pPr>
      <w:r w:rsidRPr="0051061D">
        <w:rPr>
          <w:rFonts w:eastAsia="Arial Unicode MS"/>
          <w:kern w:val="36"/>
          <w:szCs w:val="24"/>
        </w:rPr>
        <w:t>Pharmacokinetic data up to and including a single dose of 100 mg in healthy volunteers indicates that more than 95% of the administered dose is expected to be eliminated within 24 hours.</w:t>
      </w:r>
    </w:p>
    <w:p w:rsidR="003A4144" w:rsidRDefault="00D20C49" w:rsidP="00D20C49">
      <w:pPr>
        <w:pStyle w:val="PINormal"/>
      </w:pPr>
      <w:r w:rsidRPr="0051061D">
        <w:t>For information on the management of overdose, contact the Poison Information Centre on 131126 (Australia)</w:t>
      </w:r>
      <w:r>
        <w:t>.</w:t>
      </w:r>
    </w:p>
    <w:p w:rsidR="003A4144" w:rsidRDefault="00D118A8" w:rsidP="00645CC7">
      <w:pPr>
        <w:pStyle w:val="Heading1"/>
      </w:pPr>
      <w:r>
        <w:t>5</w:t>
      </w:r>
      <w:r>
        <w:tab/>
      </w:r>
      <w:r w:rsidR="000214C3" w:rsidRPr="00645CC7">
        <w:t>PHARMACOLOGICAL PROPERTIES</w:t>
      </w:r>
    </w:p>
    <w:p w:rsidR="003A4144" w:rsidRDefault="000214C3" w:rsidP="00F43C03">
      <w:pPr>
        <w:pStyle w:val="PIHeading2"/>
      </w:pPr>
      <w:r>
        <w:t xml:space="preserve">5.1 </w:t>
      </w:r>
      <w:r w:rsidR="00F43C03">
        <w:t>Pharmacodynamic Properties</w:t>
      </w:r>
    </w:p>
    <w:p w:rsidR="003A4144" w:rsidRPr="0042478B" w:rsidRDefault="000214C3" w:rsidP="00724FA3">
      <w:pPr>
        <w:pStyle w:val="PIHeading3"/>
      </w:pPr>
      <w:r w:rsidRPr="0042478B">
        <w:t>Mechanism of action</w:t>
      </w:r>
    </w:p>
    <w:p w:rsidR="00785FEB" w:rsidRPr="0051061D" w:rsidRDefault="00785FEB" w:rsidP="00785FEB">
      <w:pPr>
        <w:pStyle w:val="Paragraph"/>
        <w:jc w:val="both"/>
      </w:pPr>
      <w:r w:rsidRPr="0051061D">
        <w:t>Tofacitinib is a selective inhibitor of the JAK family of kinases with a high degree of selectivity against other kinases in the human genome.  In kinase assays, tofacitinib, inhibits JAK1, JAK2, JAK3, and to a lesser extent tyrosine kinase 2 (TyK2).  In cellular settings where JAK kinases signal in pairs, tofacitinib preferentially inhibits signaling by heterodimeric receptors associated with JAK3 and/or JAK1 with functional selectivity over receptors that signal via pairs of JAK2.  Inhibition of JAK1 and JAK3 by tofacitinib blocks signaling through the common gamma chain-containing receptors for several cytokines, including IL-2, -4, -7, -9, -15, and -21.  These cytokines are integral to lymphocyte activation, proliferation and function, and inhibition of their signaling may thus result in modulation of multiple aspects of the immune response.  In addition, inhibition of JAK1 will result in attenuation of signaling by additional pro-inflammatory cytokines, such as IL-6 and type I and II interferons.  At higher exposures, inhibition of erythropoietin signaling could occur via inhibition of JAK2 signaling.</w:t>
      </w:r>
    </w:p>
    <w:p w:rsidR="0048160A" w:rsidRDefault="0048160A" w:rsidP="0048160A">
      <w:pPr>
        <w:pStyle w:val="PIHeading3"/>
      </w:pPr>
      <w:r>
        <w:t>Pharmacodynamics</w:t>
      </w:r>
    </w:p>
    <w:p w:rsidR="0048160A" w:rsidRDefault="00B2186C" w:rsidP="0048160A">
      <w:pPr>
        <w:pStyle w:val="Paragraph"/>
        <w:jc w:val="both"/>
      </w:pPr>
      <w:r>
        <w:t xml:space="preserve">In patients with </w:t>
      </w:r>
      <w:r w:rsidR="00B6075E">
        <w:t>RA</w:t>
      </w:r>
      <w:r>
        <w:t>, t</w:t>
      </w:r>
      <w:r w:rsidR="0048160A" w:rsidRPr="0051061D">
        <w:t xml:space="preserve">reatment </w:t>
      </w:r>
      <w:r w:rsidR="0048160A">
        <w:t xml:space="preserve">up to 6 months </w:t>
      </w:r>
      <w:r w:rsidR="0048160A" w:rsidRPr="0051061D">
        <w:t xml:space="preserve">with tofacitinib was associated with dose-dependent reductions of circulating CD16/56+ natural killer </w:t>
      </w:r>
      <w:r w:rsidR="0048160A">
        <w:t xml:space="preserve">(NK) </w:t>
      </w:r>
      <w:r w:rsidR="0048160A" w:rsidRPr="0051061D">
        <w:t xml:space="preserve">cells, with estimated maximum reductions occurring at approximately 8-10 weeks after initiation of therapy.  These changes generally resolved within 2-6 weeks after discontinuation of treatment.  Treatment with tofacitinib was associated with dose-dependent increases in B cell counts. Changes in circulating T-lymphocyte counts and T-lymphocyte subsets (CD3+, CD4+ and CD8+) were small and inconsistent. </w:t>
      </w:r>
    </w:p>
    <w:p w:rsidR="0048160A" w:rsidRDefault="0048160A" w:rsidP="0048160A">
      <w:pPr>
        <w:pStyle w:val="Paragraph"/>
        <w:jc w:val="both"/>
      </w:pPr>
      <w:r w:rsidRPr="009962AC">
        <w:t xml:space="preserve">Following long-term treatment (median duration of </w:t>
      </w:r>
      <w:r>
        <w:t>tofacitinib</w:t>
      </w:r>
      <w:r w:rsidRPr="009962AC">
        <w:t xml:space="preserve"> </w:t>
      </w:r>
      <w:r>
        <w:t>treatment of approximately 5 </w:t>
      </w:r>
      <w:r w:rsidRPr="009962AC">
        <w:t xml:space="preserve">years), CD4+ and CD8+ counts showed median reductions of 28% and 27%, respectively, from baseline. </w:t>
      </w:r>
      <w:r>
        <w:t xml:space="preserve"> </w:t>
      </w:r>
      <w:r w:rsidRPr="009962AC">
        <w:t xml:space="preserve">In contrast to the observed decrease after short-term dosing, CD16/56+ </w:t>
      </w:r>
      <w:r>
        <w:t>NK</w:t>
      </w:r>
      <w:r w:rsidRPr="009962AC">
        <w:t xml:space="preserve"> </w:t>
      </w:r>
      <w:r w:rsidRPr="009962AC">
        <w:lastRenderedPageBreak/>
        <w:t xml:space="preserve">cell counts showed a median increase of 73% from baseline. </w:t>
      </w:r>
      <w:r>
        <w:t xml:space="preserve"> </w:t>
      </w:r>
      <w:r w:rsidRPr="009962AC">
        <w:t xml:space="preserve">CD19+ B cell counts showed no further increases after long term </w:t>
      </w:r>
      <w:r>
        <w:t>tofacitinib</w:t>
      </w:r>
      <w:r w:rsidRPr="009962AC">
        <w:t xml:space="preserve"> treatment. </w:t>
      </w:r>
      <w:r>
        <w:t xml:space="preserve"> </w:t>
      </w:r>
      <w:r w:rsidRPr="009962AC">
        <w:t>These changes returned toward baseline after temporary discontinuation of treatment.</w:t>
      </w:r>
      <w:r w:rsidRPr="00D87A78">
        <w:t xml:space="preserve"> </w:t>
      </w:r>
      <w:r>
        <w:t xml:space="preserve"> There was no evidence of an increased risk of serious or opportunistic infections or herpes zoster at low values of CD4+, CD8+ or NK cell counts or high B cell counts.</w:t>
      </w:r>
    </w:p>
    <w:p w:rsidR="0048160A" w:rsidRPr="0051061D" w:rsidRDefault="0048160A" w:rsidP="0048160A">
      <w:pPr>
        <w:pStyle w:val="Paragraph"/>
        <w:jc w:val="both"/>
        <w:rPr>
          <w:color w:val="000000"/>
          <w:lang w:eastAsia="en-GB"/>
        </w:rPr>
      </w:pPr>
      <w:r>
        <w:rPr>
          <w:rStyle w:val="Instructions"/>
        </w:rPr>
        <w:t xml:space="preserve">Risk of infection may be higher with increasing degrees of lymphopenia and </w:t>
      </w:r>
      <w:r w:rsidRPr="00056C2E">
        <w:rPr>
          <w:rStyle w:val="Instructions"/>
        </w:rPr>
        <w:t xml:space="preserve">consideration should be given to lymphocyte counts when assessing individual patient risk of infection </w:t>
      </w:r>
      <w:r>
        <w:rPr>
          <w:rStyle w:val="Instructions"/>
        </w:rPr>
        <w:t xml:space="preserve">(see </w:t>
      </w:r>
      <w:r w:rsidR="00A51746">
        <w:rPr>
          <w:rStyle w:val="Instructions"/>
        </w:rPr>
        <w:t>Section 4.4</w:t>
      </w:r>
      <w:r w:rsidR="00E57F12">
        <w:rPr>
          <w:rStyle w:val="Instructions"/>
        </w:rPr>
        <w:t xml:space="preserve"> </w:t>
      </w:r>
      <w:r w:rsidR="00E57F12">
        <w:t xml:space="preserve">Special Warnings and Precautions </w:t>
      </w:r>
      <w:proofErr w:type="gramStart"/>
      <w:r w:rsidR="00E57F12">
        <w:t>For</w:t>
      </w:r>
      <w:proofErr w:type="gramEnd"/>
      <w:r w:rsidR="00E57F12">
        <w:t xml:space="preserve"> Use</w:t>
      </w:r>
      <w:r>
        <w:rPr>
          <w:rStyle w:val="Instructions"/>
        </w:rPr>
        <w:t xml:space="preserve">, Serious Infections and </w:t>
      </w:r>
      <w:r w:rsidR="00AA431A">
        <w:rPr>
          <w:rStyle w:val="Instructions"/>
        </w:rPr>
        <w:t>Section 4.2</w:t>
      </w:r>
      <w:r w:rsidR="00911229">
        <w:rPr>
          <w:rStyle w:val="Instructions"/>
        </w:rPr>
        <w:t xml:space="preserve"> </w:t>
      </w:r>
      <w:r w:rsidR="00911229">
        <w:t>Dose and Method of Administration</w:t>
      </w:r>
      <w:r>
        <w:rPr>
          <w:rStyle w:val="Instructions"/>
        </w:rPr>
        <w:t>).</w:t>
      </w:r>
    </w:p>
    <w:p w:rsidR="0048160A" w:rsidRPr="0051061D" w:rsidRDefault="0048160A" w:rsidP="0048160A">
      <w:pPr>
        <w:pStyle w:val="Paragraph"/>
        <w:jc w:val="both"/>
        <w:rPr>
          <w:color w:val="000000"/>
          <w:lang w:eastAsia="en-GB"/>
        </w:rPr>
      </w:pPr>
      <w:r w:rsidRPr="0051061D">
        <w:rPr>
          <w:szCs w:val="22"/>
        </w:rPr>
        <w:t xml:space="preserve">Changes in total serum IgG, IgM, and IgA levels over 6-month tofacitinib dosing in patients with </w:t>
      </w:r>
      <w:r w:rsidR="00940CEB">
        <w:rPr>
          <w:szCs w:val="22"/>
        </w:rPr>
        <w:t>RA</w:t>
      </w:r>
      <w:r w:rsidRPr="0051061D">
        <w:rPr>
          <w:szCs w:val="22"/>
        </w:rPr>
        <w:t xml:space="preserve"> were small, not dose-dependent and similar to those seen on placebo</w:t>
      </w:r>
      <w:r w:rsidRPr="0051061D">
        <w:t>.</w:t>
      </w:r>
    </w:p>
    <w:p w:rsidR="000214C3" w:rsidRDefault="0048160A" w:rsidP="003A4144">
      <w:r w:rsidRPr="0051061D">
        <w:t xml:space="preserve">After treatment with tofacitinib in patients with </w:t>
      </w:r>
      <w:r w:rsidR="00940CEB">
        <w:t>RA</w:t>
      </w:r>
      <w:r w:rsidRPr="0051061D">
        <w:t>, rapid decreases in serum C-reactive protein (CRP) were observed and maintained throughout dosing.  Changes in CRP observed with tofacitinib treatment do not reverse fully within 2 weeks after discontinuation, indicating a longer duration of pharmacodynamic activity compared to the half-life.</w:t>
      </w:r>
    </w:p>
    <w:p w:rsidR="0020616F" w:rsidRPr="0020616F" w:rsidRDefault="0020616F" w:rsidP="003A4144">
      <w:pPr>
        <w:rPr>
          <w:szCs w:val="22"/>
        </w:rPr>
      </w:pPr>
      <w:r w:rsidRPr="003C3F7E">
        <w:rPr>
          <w:szCs w:val="22"/>
        </w:rPr>
        <w:t xml:space="preserve">Similar changes </w:t>
      </w:r>
      <w:r>
        <w:rPr>
          <w:szCs w:val="22"/>
        </w:rPr>
        <w:t xml:space="preserve">in T cells, B cells and serum CRP </w:t>
      </w:r>
      <w:r w:rsidRPr="003C3F7E">
        <w:rPr>
          <w:szCs w:val="22"/>
        </w:rPr>
        <w:t xml:space="preserve">have been observed in </w:t>
      </w:r>
      <w:r>
        <w:rPr>
          <w:rFonts w:eastAsia="Arial Unicode MS"/>
        </w:rPr>
        <w:t xml:space="preserve">patients with active </w:t>
      </w:r>
      <w:proofErr w:type="spellStart"/>
      <w:r w:rsidR="00D1695A">
        <w:rPr>
          <w:rFonts w:eastAsia="Arial Unicode MS"/>
        </w:rPr>
        <w:t>PsA</w:t>
      </w:r>
      <w:proofErr w:type="spellEnd"/>
      <w:r w:rsidRPr="003C3F7E">
        <w:rPr>
          <w:szCs w:val="22"/>
        </w:rPr>
        <w:t xml:space="preserve">, although </w:t>
      </w:r>
      <w:r w:rsidRPr="003C3F7E">
        <w:t>reversibility</w:t>
      </w:r>
      <w:r>
        <w:t xml:space="preserve"> was not assessed. Total serum</w:t>
      </w:r>
      <w:r w:rsidRPr="003C3F7E">
        <w:t xml:space="preserve"> immunoglobulins were not assessed</w:t>
      </w:r>
      <w:r>
        <w:t xml:space="preserve"> in patients with active </w:t>
      </w:r>
      <w:proofErr w:type="spellStart"/>
      <w:r w:rsidR="00D1695A">
        <w:t>PsA</w:t>
      </w:r>
      <w:r w:rsidRPr="00616E41">
        <w:rPr>
          <w:szCs w:val="22"/>
        </w:rPr>
        <w:t>.</w:t>
      </w:r>
      <w:proofErr w:type="spellEnd"/>
      <w:r w:rsidRPr="00184D58">
        <w:rPr>
          <w:szCs w:val="22"/>
        </w:rPr>
        <w:t xml:space="preserve"> </w:t>
      </w:r>
    </w:p>
    <w:p w:rsidR="000214C3" w:rsidRPr="0042478B" w:rsidRDefault="000214C3" w:rsidP="00724FA3">
      <w:pPr>
        <w:pStyle w:val="PIHeading3"/>
      </w:pPr>
      <w:r w:rsidRPr="0042478B">
        <w:t>Clinical trials</w:t>
      </w:r>
    </w:p>
    <w:p w:rsidR="00F02665" w:rsidRPr="00F02665" w:rsidRDefault="00F02665" w:rsidP="00F02665">
      <w:pPr>
        <w:pStyle w:val="PIHeading3"/>
      </w:pPr>
      <w:r w:rsidRPr="00F02665">
        <w:t>Rheumatoid Arthritis</w:t>
      </w:r>
    </w:p>
    <w:p w:rsidR="005B3AF1" w:rsidRPr="0051061D" w:rsidRDefault="005B3AF1" w:rsidP="005B3AF1">
      <w:pPr>
        <w:rPr>
          <w:rFonts w:eastAsia="MS Mincho"/>
          <w:color w:val="0000FF"/>
          <w:lang w:eastAsia="ja-JP"/>
        </w:rPr>
      </w:pPr>
      <w:r w:rsidRPr="0051061D">
        <w:rPr>
          <w:szCs w:val="22"/>
        </w:rPr>
        <w:t xml:space="preserve">The efficacy and safety of XELJANZ were assessed in </w:t>
      </w:r>
      <w:r>
        <w:rPr>
          <w:szCs w:val="22"/>
        </w:rPr>
        <w:t xml:space="preserve">six </w:t>
      </w:r>
      <w:r w:rsidRPr="0051061D">
        <w:rPr>
          <w:szCs w:val="22"/>
        </w:rPr>
        <w:t xml:space="preserve">randomised, double-blind, controlled, multicentre studies in patients ≥18 years with active </w:t>
      </w:r>
      <w:r w:rsidR="00940CEB">
        <w:rPr>
          <w:szCs w:val="22"/>
        </w:rPr>
        <w:t>RA</w:t>
      </w:r>
      <w:r w:rsidRPr="0051061D">
        <w:rPr>
          <w:szCs w:val="22"/>
        </w:rPr>
        <w:t xml:space="preserve"> diagnosed according to American College of Rheumatology (ACR) criteria.  Patients had at least 6 tender and 6 swollen joints at randomisation (4 swollen and tender joints for Study II).  XELJANZ, 5 mg or 10 mg twice daily, was given as monotherapy (Study I) and in combination with </w:t>
      </w:r>
      <w:proofErr w:type="spellStart"/>
      <w:r w:rsidR="007C7A57">
        <w:rPr>
          <w:szCs w:val="22"/>
        </w:rPr>
        <w:t>cs</w:t>
      </w:r>
      <w:r w:rsidRPr="0051061D">
        <w:rPr>
          <w:szCs w:val="22"/>
        </w:rPr>
        <w:t>DMARDs</w:t>
      </w:r>
      <w:proofErr w:type="spellEnd"/>
      <w:r w:rsidRPr="0051061D">
        <w:rPr>
          <w:szCs w:val="22"/>
        </w:rPr>
        <w:t xml:space="preserve"> (Study II) in patients with an inadequate response to DMARDs.  XELJANZ, 5 mg or 10 mg twice daily was given in combination with MTX in patients with either an inadequate response to MTX (Study III and Study IV) or inadequate response or intolerance to at least one approved TNF-inhibiting biological agent (Study V).</w:t>
      </w:r>
      <w:r>
        <w:rPr>
          <w:szCs w:val="22"/>
        </w:rPr>
        <w:t xml:space="preserve">  </w:t>
      </w:r>
      <w:r w:rsidRPr="0051061D">
        <w:rPr>
          <w:szCs w:val="22"/>
        </w:rPr>
        <w:t xml:space="preserve">XELJANZ, 5 mg or 10 mg twice daily was </w:t>
      </w:r>
      <w:r>
        <w:rPr>
          <w:szCs w:val="22"/>
        </w:rPr>
        <w:t xml:space="preserve">also </w:t>
      </w:r>
      <w:r w:rsidRPr="0051061D">
        <w:rPr>
          <w:szCs w:val="22"/>
        </w:rPr>
        <w:t>given</w:t>
      </w:r>
      <w:r w:rsidRPr="00C10CF2">
        <w:rPr>
          <w:szCs w:val="22"/>
        </w:rPr>
        <w:t xml:space="preserve"> </w:t>
      </w:r>
      <w:r w:rsidRPr="0051061D">
        <w:rPr>
          <w:szCs w:val="22"/>
        </w:rPr>
        <w:t>as monotherapy</w:t>
      </w:r>
      <w:r>
        <w:rPr>
          <w:szCs w:val="22"/>
        </w:rPr>
        <w:t xml:space="preserve"> to </w:t>
      </w:r>
      <w:r w:rsidRPr="00E956C5">
        <w:rPr>
          <w:szCs w:val="22"/>
        </w:rPr>
        <w:t>MTX-na</w:t>
      </w:r>
      <w:r w:rsidRPr="00E956C5">
        <w:rPr>
          <w:rFonts w:hint="eastAsia"/>
          <w:szCs w:val="22"/>
        </w:rPr>
        <w:t>ï</w:t>
      </w:r>
      <w:r w:rsidRPr="00E956C5">
        <w:rPr>
          <w:szCs w:val="22"/>
        </w:rPr>
        <w:t xml:space="preserve">ve patients </w:t>
      </w:r>
      <w:r>
        <w:rPr>
          <w:szCs w:val="22"/>
        </w:rPr>
        <w:t>(Study VI).</w:t>
      </w:r>
    </w:p>
    <w:p w:rsidR="005B3AF1" w:rsidRPr="0051061D" w:rsidRDefault="005B3AF1" w:rsidP="005B3AF1">
      <w:pPr>
        <w:rPr>
          <w:szCs w:val="22"/>
        </w:rPr>
      </w:pPr>
      <w:r w:rsidRPr="0051061D">
        <w:rPr>
          <w:szCs w:val="22"/>
        </w:rPr>
        <w:t xml:space="preserve">Study I (A3921045/ORAL Solo) was a 6-month monotherapy study in which 610 patients with moderate to severe active </w:t>
      </w:r>
      <w:r w:rsidR="00940CEB">
        <w:rPr>
          <w:szCs w:val="22"/>
        </w:rPr>
        <w:t>RA</w:t>
      </w:r>
      <w:r w:rsidRPr="0051061D">
        <w:rPr>
          <w:szCs w:val="22"/>
        </w:rPr>
        <w:t xml:space="preserve"> who had an inadequate response to a DMARD (</w:t>
      </w:r>
      <w:proofErr w:type="spellStart"/>
      <w:r w:rsidR="007C7A57">
        <w:rPr>
          <w:szCs w:val="22"/>
        </w:rPr>
        <w:t>cs</w:t>
      </w:r>
      <w:r w:rsidR="007C7A57" w:rsidRPr="0051061D">
        <w:rPr>
          <w:szCs w:val="22"/>
        </w:rPr>
        <w:t>DMARD</w:t>
      </w:r>
      <w:proofErr w:type="spellEnd"/>
      <w:r w:rsidRPr="0051061D">
        <w:rPr>
          <w:szCs w:val="22"/>
        </w:rPr>
        <w:t xml:space="preserve"> or biological) received XELJANZ 5 mg or 10 mg twice daily or placebo.  At the Month 3 visit, all patients randomised to placebo treatment were advanced in a blinded fashion to a second predetermined treatment </w:t>
      </w:r>
      <w:proofErr w:type="gramStart"/>
      <w:r w:rsidRPr="0051061D">
        <w:rPr>
          <w:szCs w:val="22"/>
        </w:rPr>
        <w:t>of  XELJANZ</w:t>
      </w:r>
      <w:proofErr w:type="gramEnd"/>
      <w:r w:rsidRPr="0051061D">
        <w:rPr>
          <w:szCs w:val="22"/>
        </w:rPr>
        <w:t xml:space="preserve"> 5 mg or 10 mg twice daily.  The primary endpoints at Month 3 were the proportion of patients who achieved an ACR20 response, changes in Health Assessment Questionnaire – Disability Index (HAQ</w:t>
      </w:r>
      <w:r w:rsidRPr="0051061D">
        <w:rPr>
          <w:szCs w:val="22"/>
        </w:rPr>
        <w:noBreakHyphen/>
        <w:t>DI), and rates of Disease Activity Score DAS28-4(ESR)&lt;2.6.</w:t>
      </w:r>
    </w:p>
    <w:p w:rsidR="005B3AF1" w:rsidRPr="0051061D" w:rsidRDefault="005B3AF1" w:rsidP="005B3AF1">
      <w:pPr>
        <w:rPr>
          <w:szCs w:val="22"/>
        </w:rPr>
      </w:pPr>
      <w:r w:rsidRPr="0051061D">
        <w:rPr>
          <w:szCs w:val="22"/>
        </w:rPr>
        <w:t>Study II (A3921046/ORAL Sync)</w:t>
      </w:r>
      <w:r w:rsidRPr="0051061D">
        <w:rPr>
          <w:b/>
          <w:color w:val="1F497D"/>
        </w:rPr>
        <w:t xml:space="preserve"> </w:t>
      </w:r>
      <w:r w:rsidRPr="0051061D">
        <w:rPr>
          <w:szCs w:val="22"/>
        </w:rPr>
        <w:t xml:space="preserve">was a 12-month study in which 792 patients with moderate to severe active </w:t>
      </w:r>
      <w:r w:rsidR="00940CEB">
        <w:rPr>
          <w:szCs w:val="22"/>
        </w:rPr>
        <w:t>RA</w:t>
      </w:r>
      <w:r w:rsidRPr="0051061D">
        <w:rPr>
          <w:szCs w:val="22"/>
        </w:rPr>
        <w:t xml:space="preserve"> who had an inadequate response to a </w:t>
      </w:r>
      <w:proofErr w:type="spellStart"/>
      <w:r w:rsidR="007C7A57">
        <w:rPr>
          <w:szCs w:val="22"/>
        </w:rPr>
        <w:t>cs</w:t>
      </w:r>
      <w:r w:rsidRPr="0051061D">
        <w:rPr>
          <w:szCs w:val="22"/>
        </w:rPr>
        <w:t>DMARD</w:t>
      </w:r>
      <w:proofErr w:type="spellEnd"/>
      <w:r w:rsidRPr="0051061D">
        <w:rPr>
          <w:szCs w:val="22"/>
        </w:rPr>
        <w:t xml:space="preserve"> received XELJANZ </w:t>
      </w:r>
      <w:r w:rsidRPr="0051061D">
        <w:rPr>
          <w:szCs w:val="22"/>
        </w:rPr>
        <w:lastRenderedPageBreak/>
        <w:t xml:space="preserve">5 mg or 10 mg twice daily or placebo added to background DMARD treatment (excluding potent immunosuppressive treatments such as azathioprine or cyclosporine).  At the Month 3 visit, nonresponding patients </w:t>
      </w:r>
      <w:r w:rsidRPr="0051061D">
        <w:t xml:space="preserve">randomised to placebo treatment </w:t>
      </w:r>
      <w:r w:rsidRPr="0051061D">
        <w:rPr>
          <w:szCs w:val="22"/>
        </w:rPr>
        <w:t xml:space="preserve">were advanced in a blinded fashion to a second predetermined treatment of XELJANZ 5 mg or 10 mg twice daily.  At the end of Month 6, all </w:t>
      </w:r>
      <w:r w:rsidRPr="0051061D">
        <w:t>placebo</w:t>
      </w:r>
      <w:r w:rsidRPr="0051061D">
        <w:rPr>
          <w:szCs w:val="22"/>
        </w:rPr>
        <w:t xml:space="preserve"> patients were advanced to their second predetermined treatment in a blinded fashion.  The primary endpoints were the proportion of patients who achieved an ACR20 response at Month 6, changes in HAQ-DI at Month 3 and rates of DAS28-4(ESR)&lt;2.6 at Month 6.</w:t>
      </w:r>
    </w:p>
    <w:p w:rsidR="005B3AF1" w:rsidRPr="0051061D" w:rsidRDefault="005B3AF1" w:rsidP="005B3AF1">
      <w:pPr>
        <w:rPr>
          <w:szCs w:val="22"/>
        </w:rPr>
      </w:pPr>
      <w:r w:rsidRPr="0051061D">
        <w:rPr>
          <w:szCs w:val="22"/>
        </w:rPr>
        <w:t xml:space="preserve">Study III (A3921064/ORAL Standard) was a 12-month study in 717 patients with moderate to severe active </w:t>
      </w:r>
      <w:r w:rsidR="00940CEB">
        <w:rPr>
          <w:szCs w:val="22"/>
        </w:rPr>
        <w:t>RA</w:t>
      </w:r>
      <w:r w:rsidRPr="0051061D">
        <w:rPr>
          <w:szCs w:val="22"/>
        </w:rPr>
        <w:t xml:space="preserve"> who had an inadequate response to MTX.  Patients received XELJANZ 5 mg or 10 mg twice daily, adalimumab 40 mg subcutaneously every other week, or placebo added to background MTX.  P</w:t>
      </w:r>
      <w:r w:rsidRPr="0051061D">
        <w:t xml:space="preserve">lacebo patients were advanced as in Study II. </w:t>
      </w:r>
      <w:r w:rsidRPr="0051061D">
        <w:rPr>
          <w:szCs w:val="22"/>
        </w:rPr>
        <w:t>The primary endpoints were the proportion of patients who achieved an ACR20 response at Month 6, HAQ-DI at Month 3, and DAS28-4(ESR)&lt;2.6 at Month 6.</w:t>
      </w:r>
    </w:p>
    <w:p w:rsidR="005B3AF1" w:rsidRPr="0051061D" w:rsidRDefault="005B3AF1" w:rsidP="005B3AF1">
      <w:r w:rsidRPr="0051061D">
        <w:rPr>
          <w:szCs w:val="22"/>
        </w:rPr>
        <w:t xml:space="preserve">Study IV (A3921044/ORAL Scan) was a 2-year study with a planned analysis at 1 year in which 797 patients with moderate to severe active </w:t>
      </w:r>
      <w:r w:rsidR="00940CEB">
        <w:rPr>
          <w:szCs w:val="22"/>
        </w:rPr>
        <w:t>RA</w:t>
      </w:r>
      <w:r w:rsidRPr="0051061D">
        <w:rPr>
          <w:szCs w:val="22"/>
        </w:rPr>
        <w:t xml:space="preserve"> who had an inadequate response to MTX received XELJANZ 5 mg or 10 mg twice daily or placebo added to background MTX.  </w:t>
      </w:r>
      <w:r w:rsidRPr="0051061D">
        <w:t xml:space="preserve">Placebo patients were advanced as in Study II.  </w:t>
      </w:r>
      <w:r w:rsidRPr="0051061D">
        <w:rPr>
          <w:szCs w:val="22"/>
        </w:rPr>
        <w:t xml:space="preserve">The primary endpoints were the proportion of patients who achieved an </w:t>
      </w:r>
      <w:r w:rsidRPr="0051061D">
        <w:t xml:space="preserve">ACR20 response at Month 6, mean change from baseline in </w:t>
      </w:r>
      <w:r w:rsidRPr="0051061D">
        <w:rPr>
          <w:color w:val="000000"/>
        </w:rPr>
        <w:t xml:space="preserve">van der </w:t>
      </w:r>
      <w:proofErr w:type="spellStart"/>
      <w:r w:rsidRPr="0051061D">
        <w:rPr>
          <w:color w:val="000000"/>
        </w:rPr>
        <w:t>Heijde</w:t>
      </w:r>
      <w:proofErr w:type="spellEnd"/>
      <w:r w:rsidRPr="0051061D">
        <w:rPr>
          <w:color w:val="000000"/>
        </w:rPr>
        <w:t>-modified total Sharp Score (</w:t>
      </w:r>
      <w:proofErr w:type="spellStart"/>
      <w:r w:rsidRPr="0051061D">
        <w:rPr>
          <w:color w:val="000000"/>
        </w:rPr>
        <w:t>mTSS</w:t>
      </w:r>
      <w:proofErr w:type="spellEnd"/>
      <w:r w:rsidRPr="0051061D">
        <w:rPr>
          <w:color w:val="000000"/>
        </w:rPr>
        <w:t xml:space="preserve">) </w:t>
      </w:r>
      <w:r w:rsidRPr="0051061D">
        <w:t>at Month 6, HAQ-DI at Month 3, and DAS28-4(ESR)&lt;2.6 at Month 6.</w:t>
      </w:r>
    </w:p>
    <w:p w:rsidR="005B3AF1" w:rsidRDefault="005B3AF1" w:rsidP="005B3AF1">
      <w:pPr>
        <w:pStyle w:val="PINormal"/>
        <w:rPr>
          <w:szCs w:val="22"/>
        </w:rPr>
      </w:pPr>
      <w:r w:rsidRPr="0051061D">
        <w:rPr>
          <w:szCs w:val="22"/>
        </w:rPr>
        <w:t xml:space="preserve">Study V (A3921032/ORAL Step) was a 6-month study in which 399 patients with moderate to severe active </w:t>
      </w:r>
      <w:r w:rsidR="00940CEB">
        <w:rPr>
          <w:szCs w:val="22"/>
        </w:rPr>
        <w:t>RA</w:t>
      </w:r>
      <w:r w:rsidRPr="0051061D">
        <w:rPr>
          <w:szCs w:val="22"/>
        </w:rPr>
        <w:t xml:space="preserve"> who had an inadequate response to at least one approved TNF-inhibiting biological agent received XELJANZ 5 mg or 10 mg twice daily or placebo added to background MTX.  At the Month 3 visit, all patients randomised to placebo treatment were advanced in a blinded fashion to a second predetermined treatment of XELJANZ 5 mg or 10 mg twice daily.  The primary endpoints at Month 3 were the proportion of patients who achieved an ACR20 response, HAQ</w:t>
      </w:r>
      <w:r w:rsidRPr="0051061D">
        <w:rPr>
          <w:szCs w:val="22"/>
        </w:rPr>
        <w:noBreakHyphen/>
        <w:t xml:space="preserve">DI, and </w:t>
      </w:r>
      <w:r w:rsidRPr="0051061D">
        <w:t>DAS28-4(ESR</w:t>
      </w:r>
      <w:proofErr w:type="gramStart"/>
      <w:r w:rsidRPr="0051061D">
        <w:t>)</w:t>
      </w:r>
      <w:r w:rsidRPr="0051061D">
        <w:rPr>
          <w:szCs w:val="22"/>
        </w:rPr>
        <w:t>&lt;</w:t>
      </w:r>
      <w:proofErr w:type="gramEnd"/>
      <w:r w:rsidRPr="0051061D">
        <w:rPr>
          <w:szCs w:val="22"/>
        </w:rPr>
        <w:t>2.6.</w:t>
      </w:r>
    </w:p>
    <w:p w:rsidR="005B3AF1" w:rsidRPr="0051061D" w:rsidRDefault="005B3AF1" w:rsidP="005B3AF1">
      <w:pPr>
        <w:pStyle w:val="PINormal"/>
        <w:rPr>
          <w:szCs w:val="22"/>
        </w:rPr>
      </w:pPr>
      <w:r w:rsidRPr="00E956C5">
        <w:rPr>
          <w:szCs w:val="22"/>
        </w:rPr>
        <w:t xml:space="preserve">Study VI </w:t>
      </w:r>
      <w:r>
        <w:rPr>
          <w:szCs w:val="22"/>
        </w:rPr>
        <w:t>(</w:t>
      </w:r>
      <w:r w:rsidRPr="00E956C5">
        <w:rPr>
          <w:szCs w:val="22"/>
        </w:rPr>
        <w:t>A3</w:t>
      </w:r>
      <w:r>
        <w:rPr>
          <w:szCs w:val="22"/>
        </w:rPr>
        <w:t>921069/</w:t>
      </w:r>
      <w:r w:rsidRPr="00E956C5">
        <w:rPr>
          <w:szCs w:val="22"/>
        </w:rPr>
        <w:t>ORAL Start</w:t>
      </w:r>
      <w:r>
        <w:rPr>
          <w:szCs w:val="22"/>
        </w:rPr>
        <w:t>)</w:t>
      </w:r>
      <w:r w:rsidRPr="00E956C5">
        <w:rPr>
          <w:szCs w:val="22"/>
        </w:rPr>
        <w:t xml:space="preserve"> </w:t>
      </w:r>
      <w:r>
        <w:rPr>
          <w:szCs w:val="22"/>
        </w:rPr>
        <w:t>was a 2-</w:t>
      </w:r>
      <w:r w:rsidRPr="00E956C5">
        <w:rPr>
          <w:szCs w:val="22"/>
        </w:rPr>
        <w:t>year monotherapy study with a planned analysis at 1 year in which</w:t>
      </w:r>
      <w:r>
        <w:rPr>
          <w:szCs w:val="22"/>
        </w:rPr>
        <w:t xml:space="preserve"> </w:t>
      </w:r>
      <w:r w:rsidRPr="00E956C5">
        <w:rPr>
          <w:szCs w:val="22"/>
        </w:rPr>
        <w:t>95</w:t>
      </w:r>
      <w:r>
        <w:rPr>
          <w:szCs w:val="22"/>
        </w:rPr>
        <w:t>6</w:t>
      </w:r>
      <w:r w:rsidRPr="00E956C5">
        <w:rPr>
          <w:szCs w:val="22"/>
        </w:rPr>
        <w:t xml:space="preserve"> MTX-na</w:t>
      </w:r>
      <w:r w:rsidRPr="00E956C5">
        <w:rPr>
          <w:rFonts w:hint="eastAsia"/>
          <w:szCs w:val="22"/>
        </w:rPr>
        <w:t>ï</w:t>
      </w:r>
      <w:r w:rsidRPr="00E956C5">
        <w:rPr>
          <w:szCs w:val="22"/>
        </w:rPr>
        <w:t xml:space="preserve">ve patients with moderate to severe active </w:t>
      </w:r>
      <w:r w:rsidR="00940CEB">
        <w:rPr>
          <w:szCs w:val="22"/>
        </w:rPr>
        <w:t>RA</w:t>
      </w:r>
      <w:r w:rsidRPr="00E956C5">
        <w:rPr>
          <w:szCs w:val="22"/>
        </w:rPr>
        <w:t xml:space="preserve"> received</w:t>
      </w:r>
      <w:r>
        <w:rPr>
          <w:szCs w:val="22"/>
        </w:rPr>
        <w:t xml:space="preserve"> </w:t>
      </w:r>
      <w:r w:rsidRPr="00E956C5">
        <w:rPr>
          <w:szCs w:val="22"/>
        </w:rPr>
        <w:t xml:space="preserve">XELJANZ 5 </w:t>
      </w:r>
      <w:r>
        <w:rPr>
          <w:szCs w:val="22"/>
        </w:rPr>
        <w:t xml:space="preserve">mg </w:t>
      </w:r>
      <w:r w:rsidRPr="00E956C5">
        <w:rPr>
          <w:szCs w:val="22"/>
        </w:rPr>
        <w:t>or 10 mg twice daily or MTX dose-titrated over 8 weeks from 10</w:t>
      </w:r>
      <w:r>
        <w:rPr>
          <w:szCs w:val="22"/>
        </w:rPr>
        <w:t xml:space="preserve"> mg</w:t>
      </w:r>
      <w:r w:rsidRPr="00E956C5">
        <w:rPr>
          <w:szCs w:val="22"/>
        </w:rPr>
        <w:t xml:space="preserve"> to 20 mg</w:t>
      </w:r>
      <w:r>
        <w:rPr>
          <w:szCs w:val="22"/>
        </w:rPr>
        <w:t xml:space="preserve"> </w:t>
      </w:r>
      <w:r w:rsidRPr="00E956C5">
        <w:rPr>
          <w:szCs w:val="22"/>
        </w:rPr>
        <w:t xml:space="preserve">weekly. </w:t>
      </w:r>
      <w:r>
        <w:rPr>
          <w:szCs w:val="22"/>
        </w:rPr>
        <w:t xml:space="preserve"> </w:t>
      </w:r>
      <w:r w:rsidRPr="00E956C5">
        <w:rPr>
          <w:szCs w:val="22"/>
        </w:rPr>
        <w:t xml:space="preserve">The primary endpoints were mean change from baseline in van der </w:t>
      </w:r>
      <w:proofErr w:type="spellStart"/>
      <w:r w:rsidRPr="00E956C5">
        <w:rPr>
          <w:szCs w:val="22"/>
        </w:rPr>
        <w:t>Heijde</w:t>
      </w:r>
      <w:proofErr w:type="spellEnd"/>
      <w:r w:rsidRPr="00E956C5">
        <w:rPr>
          <w:szCs w:val="22"/>
        </w:rPr>
        <w:t xml:space="preserve"> </w:t>
      </w:r>
      <w:proofErr w:type="spellStart"/>
      <w:r w:rsidRPr="00E956C5">
        <w:rPr>
          <w:szCs w:val="22"/>
        </w:rPr>
        <w:t>mTSS</w:t>
      </w:r>
      <w:proofErr w:type="spellEnd"/>
      <w:r w:rsidRPr="00E956C5">
        <w:rPr>
          <w:szCs w:val="22"/>
        </w:rPr>
        <w:t xml:space="preserve"> at</w:t>
      </w:r>
      <w:r>
        <w:rPr>
          <w:szCs w:val="22"/>
        </w:rPr>
        <w:t xml:space="preserve"> </w:t>
      </w:r>
      <w:r w:rsidRPr="00E956C5">
        <w:rPr>
          <w:szCs w:val="22"/>
        </w:rPr>
        <w:t>Month 6 and the proportion of patients who achieved an ACR70 response at Month 6</w:t>
      </w:r>
      <w:r>
        <w:rPr>
          <w:szCs w:val="22"/>
        </w:rPr>
        <w:t>.</w:t>
      </w:r>
    </w:p>
    <w:p w:rsidR="005B3AF1" w:rsidRPr="0051061D" w:rsidRDefault="005B3AF1" w:rsidP="005B3AF1">
      <w:pPr>
        <w:pStyle w:val="PIHeading4"/>
      </w:pPr>
      <w:r w:rsidRPr="0051061D">
        <w:t>Clinical Response</w:t>
      </w:r>
    </w:p>
    <w:p w:rsidR="005B3AF1" w:rsidRPr="005B3AF1" w:rsidRDefault="005B3AF1" w:rsidP="00171E65">
      <w:pPr>
        <w:pStyle w:val="PIHeading5"/>
      </w:pPr>
      <w:r w:rsidRPr="005B3AF1">
        <w:t>ACR Response</w:t>
      </w:r>
    </w:p>
    <w:p w:rsidR="005B3AF1" w:rsidRPr="0051061D" w:rsidRDefault="005B3AF1" w:rsidP="005B3AF1">
      <w:pPr>
        <w:rPr>
          <w:szCs w:val="22"/>
        </w:rPr>
      </w:pPr>
      <w:r w:rsidRPr="0051061D">
        <w:rPr>
          <w:szCs w:val="22"/>
        </w:rPr>
        <w:t>The percentages of XELJANZ-treated patients achieving ACR20, ACR50 and ACR70 responses in Studies I, II, III</w:t>
      </w:r>
      <w:r w:rsidR="00284A99">
        <w:rPr>
          <w:szCs w:val="22"/>
        </w:rPr>
        <w:t>, IV, and V are shown in Table </w:t>
      </w:r>
      <w:r w:rsidR="001954B1">
        <w:rPr>
          <w:szCs w:val="22"/>
        </w:rPr>
        <w:t>6</w:t>
      </w:r>
      <w:r w:rsidRPr="0051061D">
        <w:rPr>
          <w:szCs w:val="22"/>
        </w:rPr>
        <w:t>.  Results are provided for XELJANZ 5 mg twice daily.</w:t>
      </w:r>
    </w:p>
    <w:p w:rsidR="005B3AF1" w:rsidRPr="0051061D" w:rsidRDefault="005B3AF1" w:rsidP="005B3AF1">
      <w:r w:rsidRPr="0051061D">
        <w:rPr>
          <w:rFonts w:eastAsia="TimesNewRoman,Bold"/>
          <w:lang w:val="en-CA"/>
        </w:rPr>
        <w:t xml:space="preserve">In Studies I and V, patients treated with 5 mg twice daily </w:t>
      </w:r>
      <w:r w:rsidRPr="0051061D">
        <w:t>XELJANZ</w:t>
      </w:r>
      <w:r w:rsidRPr="0051061D">
        <w:rPr>
          <w:rFonts w:eastAsia="TimesNewRoman,Bold"/>
          <w:lang w:val="en-CA"/>
        </w:rPr>
        <w:t xml:space="preserve"> had statistically superior ACR20, ACR50, and ACR70 response rates at Month 3 vs. placebo-treated patients.  In Studies II, III and IV, patients treated with 5 mg twice daily </w:t>
      </w:r>
      <w:r w:rsidRPr="0051061D">
        <w:t>XELJANZ</w:t>
      </w:r>
      <w:r w:rsidRPr="0051061D">
        <w:rPr>
          <w:rFonts w:eastAsia="TimesNewRoman,Bold"/>
          <w:lang w:val="en-CA"/>
        </w:rPr>
        <w:t xml:space="preserve"> had statistically </w:t>
      </w:r>
      <w:r w:rsidRPr="0051061D">
        <w:rPr>
          <w:rFonts w:eastAsia="TimesNewRoman,Bold"/>
          <w:lang w:val="en-CA"/>
        </w:rPr>
        <w:lastRenderedPageBreak/>
        <w:t>superior ACR20, ACR50, and ACR70 response rates at Month</w:t>
      </w:r>
      <w:r>
        <w:rPr>
          <w:rFonts w:eastAsia="TimesNewRoman,Bold"/>
          <w:lang w:val="en-CA"/>
        </w:rPr>
        <w:t>s</w:t>
      </w:r>
      <w:r w:rsidRPr="0051061D">
        <w:rPr>
          <w:rFonts w:eastAsia="TimesNewRoman,Bold"/>
          <w:lang w:val="en-CA"/>
        </w:rPr>
        <w:t> 3 and 6 vs p</w:t>
      </w:r>
      <w:r w:rsidR="00284A99">
        <w:rPr>
          <w:rFonts w:eastAsia="TimesNewRoman,Bold"/>
          <w:lang w:val="en-CA"/>
        </w:rPr>
        <w:t>lacebo-treated patients (Table </w:t>
      </w:r>
      <w:r w:rsidR="001954B1">
        <w:rPr>
          <w:rFonts w:eastAsia="TimesNewRoman,Bold"/>
          <w:lang w:val="en-CA"/>
        </w:rPr>
        <w:t>6</w:t>
      </w:r>
      <w:r w:rsidRPr="0051061D">
        <w:rPr>
          <w:rFonts w:eastAsia="TimesNewRoman,Bold"/>
          <w:lang w:val="en-CA"/>
        </w:rPr>
        <w:t>).</w:t>
      </w:r>
    </w:p>
    <w:p w:rsidR="005B3AF1" w:rsidRDefault="005B3AF1" w:rsidP="005B3AF1">
      <w:r>
        <w:t>In Study IV, ACR20/50/70 response rates at Month 12 were maintained through Month 24.</w:t>
      </w:r>
    </w:p>
    <w:p w:rsidR="005B3AF1" w:rsidRPr="0051061D" w:rsidRDefault="005B3AF1" w:rsidP="005B3AF1">
      <w:r w:rsidRPr="0051061D">
        <w:t>In Studies I, II and V, improvement in ACR20 response rate vs. placebo was observed within 2 weeks.  In Study III the proportion achieving an ACR20 response at Month 6; change in HAQ-DI at Month 3, and DAS28-4(ESR) &lt;2.6 at Month 6 were 51.5, 47.2 and 28.3%; -0.55, -0.49 and</w:t>
      </w:r>
      <w:r>
        <w:t xml:space="preserve"> </w:t>
      </w:r>
      <w:r w:rsidRPr="0051061D">
        <w:t xml:space="preserve">-0.24; and 6.2%, 6.7% and 1.1% for the 5 mg </w:t>
      </w:r>
      <w:r w:rsidRPr="0051061D">
        <w:rPr>
          <w:szCs w:val="22"/>
        </w:rPr>
        <w:t>twice daily</w:t>
      </w:r>
      <w:r w:rsidRPr="0051061D">
        <w:t xml:space="preserve"> XELJANZ, adalimumab 40 mg subcutaneously every other week and placebo groups, respectively.  For a pre-specified secondary endpoint, the ACR70 response rates at Month 6 for the 5 mg </w:t>
      </w:r>
      <w:r w:rsidRPr="0051061D">
        <w:rPr>
          <w:szCs w:val="22"/>
        </w:rPr>
        <w:t>twice daily</w:t>
      </w:r>
      <w:r w:rsidRPr="0051061D">
        <w:t xml:space="preserve"> XELJANZ group was significantly greater than adalimumab (19.9% and 9.1%, respectively).</w:t>
      </w:r>
    </w:p>
    <w:p w:rsidR="005B3AF1" w:rsidRPr="0051061D" w:rsidRDefault="005B3AF1" w:rsidP="005B3AF1">
      <w:pPr>
        <w:rPr>
          <w:b/>
          <w:szCs w:val="22"/>
          <w:vertAlign w:val="superscript"/>
        </w:rPr>
      </w:pPr>
      <w:r w:rsidRPr="0051061D">
        <w:rPr>
          <w:szCs w:val="22"/>
        </w:rPr>
        <w:t xml:space="preserve">The treatment effect was similar in patients independent of rheumatoid factor status, age, gender, </w:t>
      </w:r>
      <w:proofErr w:type="gramStart"/>
      <w:r w:rsidRPr="0051061D">
        <w:rPr>
          <w:szCs w:val="22"/>
        </w:rPr>
        <w:t>race</w:t>
      </w:r>
      <w:proofErr w:type="gramEnd"/>
      <w:r w:rsidRPr="0051061D">
        <w:rPr>
          <w:szCs w:val="22"/>
        </w:rPr>
        <w:t xml:space="preserve"> or disease status.  Time to onset was rapid (as early as Week 2 in Studies I, II and V) and the magnitude of response continued to improve with duration of treatment.  </w:t>
      </w:r>
      <w:r w:rsidRPr="0051061D">
        <w:t xml:space="preserve">As with the overall ACR response, each of the components of the ACR response was consistently improved from baseline, </w:t>
      </w:r>
      <w:r w:rsidRPr="0051061D">
        <w:rPr>
          <w:szCs w:val="22"/>
        </w:rPr>
        <w:t>including: tender and swollen joint counts; patient and physician global assessment; disability index scores; pain assessment and CRP compared to patients receiving placebo plus MTX or other DMARDs in all studies.</w:t>
      </w:r>
    </w:p>
    <w:p w:rsidR="005B3AF1" w:rsidRPr="0051061D" w:rsidRDefault="005B3AF1" w:rsidP="00171E65">
      <w:pPr>
        <w:pStyle w:val="PIHeading5"/>
      </w:pPr>
      <w:r>
        <w:t>DAS28-4 (ESR) Response</w:t>
      </w:r>
    </w:p>
    <w:p w:rsidR="005B3AF1" w:rsidRPr="0051061D" w:rsidRDefault="005B3AF1" w:rsidP="005B3AF1">
      <w:r w:rsidRPr="0051061D">
        <w:rPr>
          <w:szCs w:val="22"/>
        </w:rPr>
        <w:t xml:space="preserve">Patients in the Phase 3 studies had a mean Disease Activity Score (DAS28-4(ESR)) of 6.1–6.7 at baseline.  Significant reductions in DAS28-4(ESR) from baseline (mean improvement) of 1.8-2.0 were observed in 5 mg XELJANZ-treated patients compared to placebo-treated patients (0.7-1.1) at 3 months.  The proportion of patients achieving a DAS28 clinical remission (DAS28-4(ESR)&lt;2.6) in Studies II, III and IV was significantly higher in patients receiving 5 mg XELJANZ (6–9%) compared to placebo (1–3%) patients at 6 months.  In Study III, </w:t>
      </w:r>
      <w:r>
        <w:t>the</w:t>
      </w:r>
      <w:r w:rsidRPr="0051061D">
        <w:t xml:space="preserve"> percentages of patients achieving DAS28-4(ESR)&lt;2.6 observed for </w:t>
      </w:r>
      <w:r w:rsidRPr="0051061D">
        <w:rPr>
          <w:szCs w:val="22"/>
        </w:rPr>
        <w:t>XELJANZ</w:t>
      </w:r>
      <w:r w:rsidRPr="0051061D">
        <w:t xml:space="preserve"> 5 mg </w:t>
      </w:r>
      <w:r w:rsidRPr="0051061D">
        <w:rPr>
          <w:szCs w:val="22"/>
        </w:rPr>
        <w:t>twice daily</w:t>
      </w:r>
      <w:r w:rsidRPr="0051061D">
        <w:t xml:space="preserve"> </w:t>
      </w:r>
      <w:r>
        <w:t xml:space="preserve">and </w:t>
      </w:r>
      <w:r w:rsidRPr="0051061D">
        <w:t>adalimumab at Month 6</w:t>
      </w:r>
      <w:r>
        <w:t xml:space="preserve"> were 6.2% and 6.7%, respectively</w:t>
      </w:r>
      <w:r w:rsidRPr="0051061D">
        <w:t>.</w:t>
      </w:r>
    </w:p>
    <w:p w:rsidR="005B3AF1" w:rsidRPr="0051061D" w:rsidRDefault="005B3AF1" w:rsidP="005B3AF1">
      <w:pPr>
        <w:pStyle w:val="PINormal"/>
        <w:keepNext/>
        <w:spacing w:before="120" w:after="0"/>
        <w:rPr>
          <w:b/>
        </w:rPr>
      </w:pPr>
    </w:p>
    <w:p w:rsidR="005B3AF1" w:rsidRPr="0051061D" w:rsidRDefault="005B3AF1" w:rsidP="005B3AF1">
      <w:pPr>
        <w:rPr>
          <w:color w:val="000000"/>
          <w:szCs w:val="22"/>
        </w:rPr>
        <w:sectPr w:rsidR="005B3AF1" w:rsidRPr="0051061D" w:rsidSect="00B8627F">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6" w:h="16838" w:code="9"/>
          <w:pgMar w:top="1440" w:right="1440" w:bottom="1440" w:left="1440" w:header="567" w:footer="567" w:gutter="0"/>
          <w:cols w:space="708"/>
          <w:docGrid w:linePitch="326"/>
        </w:sectPr>
      </w:pPr>
    </w:p>
    <w:p w:rsidR="005B3AF1" w:rsidRPr="0051061D" w:rsidRDefault="005B3AF1" w:rsidP="005B3AF1">
      <w:pPr>
        <w:keepNext/>
        <w:tabs>
          <w:tab w:val="left" w:pos="1134"/>
        </w:tabs>
        <w:spacing w:after="0"/>
        <w:rPr>
          <w:b/>
        </w:rPr>
      </w:pPr>
      <w:r>
        <w:rPr>
          <w:b/>
        </w:rPr>
        <w:lastRenderedPageBreak/>
        <w:tab/>
      </w:r>
      <w:r w:rsidRPr="0051061D">
        <w:rPr>
          <w:b/>
        </w:rPr>
        <w:t xml:space="preserve">Table </w:t>
      </w:r>
      <w:r w:rsidR="001954B1">
        <w:rPr>
          <w:b/>
        </w:rPr>
        <w:t>6</w:t>
      </w:r>
      <w:r w:rsidRPr="0051061D">
        <w:rPr>
          <w:b/>
        </w:rPr>
        <w:t>:</w:t>
      </w:r>
      <w:r w:rsidRPr="0051061D">
        <w:rPr>
          <w:b/>
        </w:rPr>
        <w:tab/>
        <w:t xml:space="preserve">Proportion of Patients with an ACR Response </w:t>
      </w:r>
    </w:p>
    <w:tbl>
      <w:tblPr>
        <w:tblW w:w="436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988"/>
        <w:gridCol w:w="859"/>
        <w:gridCol w:w="1038"/>
        <w:gridCol w:w="993"/>
        <w:gridCol w:w="1132"/>
        <w:gridCol w:w="849"/>
        <w:gridCol w:w="1132"/>
        <w:gridCol w:w="1278"/>
        <w:gridCol w:w="852"/>
        <w:gridCol w:w="1134"/>
        <w:gridCol w:w="1045"/>
        <w:gridCol w:w="1082"/>
      </w:tblGrid>
      <w:tr w:rsidR="005B3AF1" w:rsidRPr="0051061D" w:rsidTr="00AC0EF9">
        <w:trPr>
          <w:trHeight w:val="203"/>
          <w:jc w:val="center"/>
        </w:trPr>
        <w:tc>
          <w:tcPr>
            <w:tcW w:w="399" w:type="pct"/>
            <w:vAlign w:val="center"/>
          </w:tcPr>
          <w:p w:rsidR="005B3AF1" w:rsidRPr="0051061D" w:rsidRDefault="005B3AF1" w:rsidP="00AC0EF9">
            <w:pPr>
              <w:keepNext/>
              <w:rPr>
                <w:sz w:val="22"/>
                <w:szCs w:val="22"/>
              </w:rPr>
            </w:pPr>
          </w:p>
        </w:tc>
        <w:tc>
          <w:tcPr>
            <w:tcW w:w="4601" w:type="pct"/>
            <w:gridSpan w:val="11"/>
            <w:vAlign w:val="center"/>
          </w:tcPr>
          <w:p w:rsidR="005B3AF1" w:rsidRPr="0051061D" w:rsidRDefault="005B3AF1" w:rsidP="00AC0EF9">
            <w:pPr>
              <w:pStyle w:val="TableText0"/>
              <w:keepNext/>
              <w:rPr>
                <w:rFonts w:cs="Times New Roman"/>
                <w:b/>
                <w:sz w:val="22"/>
                <w:szCs w:val="22"/>
              </w:rPr>
            </w:pPr>
            <w:r w:rsidRPr="0051061D">
              <w:rPr>
                <w:rFonts w:cs="Times New Roman"/>
                <w:b/>
                <w:sz w:val="22"/>
                <w:szCs w:val="22"/>
              </w:rPr>
              <w:t>Percent of Patients</w:t>
            </w:r>
          </w:p>
        </w:tc>
      </w:tr>
      <w:tr w:rsidR="005B3AF1" w:rsidRPr="0051061D" w:rsidTr="00AC0EF9">
        <w:trPr>
          <w:trHeight w:val="278"/>
          <w:jc w:val="center"/>
        </w:trPr>
        <w:tc>
          <w:tcPr>
            <w:tcW w:w="399" w:type="pct"/>
            <w:vAlign w:val="center"/>
          </w:tcPr>
          <w:p w:rsidR="005B3AF1" w:rsidRPr="0051061D" w:rsidRDefault="005B3AF1" w:rsidP="00AC0EF9">
            <w:pPr>
              <w:pStyle w:val="TableText0"/>
              <w:keepNext/>
              <w:rPr>
                <w:rFonts w:cs="Times New Roman"/>
                <w:sz w:val="22"/>
                <w:szCs w:val="22"/>
              </w:rPr>
            </w:pPr>
          </w:p>
        </w:tc>
        <w:tc>
          <w:tcPr>
            <w:tcW w:w="766" w:type="pct"/>
            <w:gridSpan w:val="2"/>
            <w:vAlign w:val="center"/>
          </w:tcPr>
          <w:p w:rsidR="005B3AF1" w:rsidRPr="0051061D" w:rsidRDefault="005B3AF1" w:rsidP="00AC0EF9">
            <w:pPr>
              <w:pStyle w:val="TableText0"/>
              <w:keepNext/>
              <w:tabs>
                <w:tab w:val="center" w:pos="1256"/>
                <w:tab w:val="right" w:pos="2513"/>
              </w:tabs>
              <w:rPr>
                <w:rFonts w:cs="Times New Roman"/>
                <w:b/>
                <w:sz w:val="22"/>
                <w:szCs w:val="22"/>
              </w:rPr>
            </w:pPr>
            <w:r w:rsidRPr="0051061D">
              <w:rPr>
                <w:rFonts w:cs="Times New Roman"/>
                <w:b/>
                <w:sz w:val="22"/>
                <w:szCs w:val="22"/>
              </w:rPr>
              <w:t>Monotherapy in DMARD Inadequate Responders</w:t>
            </w:r>
          </w:p>
        </w:tc>
        <w:tc>
          <w:tcPr>
            <w:tcW w:w="858" w:type="pct"/>
            <w:gridSpan w:val="2"/>
            <w:vAlign w:val="center"/>
          </w:tcPr>
          <w:p w:rsidR="005B3AF1" w:rsidRPr="0051061D" w:rsidRDefault="005B3AF1" w:rsidP="00AC0EF9">
            <w:pPr>
              <w:pStyle w:val="TableText0"/>
              <w:keepNext/>
              <w:rPr>
                <w:rFonts w:cs="Times New Roman"/>
                <w:b/>
                <w:sz w:val="22"/>
                <w:szCs w:val="22"/>
              </w:rPr>
            </w:pPr>
            <w:r w:rsidRPr="0051061D">
              <w:rPr>
                <w:rFonts w:cs="Times New Roman"/>
                <w:b/>
                <w:sz w:val="22"/>
                <w:szCs w:val="22"/>
              </w:rPr>
              <w:t>DMARD Inadequate</w:t>
            </w:r>
          </w:p>
          <w:p w:rsidR="005B3AF1" w:rsidRPr="0051061D" w:rsidRDefault="005B3AF1" w:rsidP="00AC0EF9">
            <w:pPr>
              <w:pStyle w:val="TableText0"/>
              <w:keepNext/>
              <w:rPr>
                <w:rFonts w:cs="Times New Roman"/>
                <w:b/>
                <w:sz w:val="22"/>
                <w:szCs w:val="22"/>
              </w:rPr>
            </w:pPr>
            <w:r w:rsidRPr="0051061D">
              <w:rPr>
                <w:rFonts w:cs="Times New Roman"/>
                <w:b/>
                <w:sz w:val="22"/>
                <w:szCs w:val="22"/>
              </w:rPr>
              <w:t>Responders</w:t>
            </w:r>
          </w:p>
        </w:tc>
        <w:tc>
          <w:tcPr>
            <w:tcW w:w="1316" w:type="pct"/>
            <w:gridSpan w:val="3"/>
            <w:vAlign w:val="center"/>
          </w:tcPr>
          <w:p w:rsidR="005B3AF1" w:rsidRPr="0051061D" w:rsidRDefault="005B3AF1" w:rsidP="00AC0EF9">
            <w:pPr>
              <w:pStyle w:val="TableText0"/>
              <w:keepNext/>
              <w:rPr>
                <w:rFonts w:cs="Times New Roman"/>
                <w:b/>
                <w:sz w:val="22"/>
                <w:szCs w:val="22"/>
              </w:rPr>
            </w:pPr>
            <w:r w:rsidRPr="0051061D">
              <w:rPr>
                <w:rFonts w:cs="Times New Roman"/>
                <w:b/>
                <w:sz w:val="22"/>
                <w:szCs w:val="22"/>
              </w:rPr>
              <w:t>MTX Inadequate Responders</w:t>
            </w:r>
          </w:p>
        </w:tc>
        <w:tc>
          <w:tcPr>
            <w:tcW w:w="802" w:type="pct"/>
            <w:gridSpan w:val="2"/>
            <w:vAlign w:val="center"/>
          </w:tcPr>
          <w:p w:rsidR="005B3AF1" w:rsidRPr="0051061D" w:rsidRDefault="005B3AF1" w:rsidP="00AC0EF9">
            <w:pPr>
              <w:pStyle w:val="TableText0"/>
              <w:keepNext/>
              <w:rPr>
                <w:rFonts w:cs="Times New Roman"/>
                <w:b/>
                <w:sz w:val="22"/>
                <w:szCs w:val="22"/>
              </w:rPr>
            </w:pPr>
            <w:r w:rsidRPr="0051061D">
              <w:rPr>
                <w:rFonts w:cs="Times New Roman"/>
                <w:b/>
                <w:sz w:val="22"/>
                <w:szCs w:val="22"/>
              </w:rPr>
              <w:t>MTX Inadequate Responders</w:t>
            </w:r>
          </w:p>
        </w:tc>
        <w:tc>
          <w:tcPr>
            <w:tcW w:w="859" w:type="pct"/>
            <w:gridSpan w:val="2"/>
            <w:vAlign w:val="center"/>
          </w:tcPr>
          <w:p w:rsidR="005B3AF1" w:rsidRPr="0051061D" w:rsidRDefault="005B3AF1" w:rsidP="00AC0EF9">
            <w:pPr>
              <w:pStyle w:val="TableText0"/>
              <w:keepNext/>
              <w:rPr>
                <w:rFonts w:cs="Times New Roman"/>
                <w:b/>
                <w:sz w:val="22"/>
                <w:szCs w:val="22"/>
              </w:rPr>
            </w:pPr>
            <w:r w:rsidRPr="0051061D">
              <w:rPr>
                <w:rFonts w:cs="Times New Roman"/>
                <w:b/>
                <w:sz w:val="22"/>
                <w:szCs w:val="22"/>
              </w:rPr>
              <w:t>TNF Inhibitor Inadequate Responders</w:t>
            </w:r>
          </w:p>
        </w:tc>
      </w:tr>
      <w:tr w:rsidR="005B3AF1" w:rsidRPr="0051061D" w:rsidTr="00AC0EF9">
        <w:trPr>
          <w:trHeight w:val="278"/>
          <w:jc w:val="center"/>
        </w:trPr>
        <w:tc>
          <w:tcPr>
            <w:tcW w:w="399" w:type="pct"/>
            <w:vAlign w:val="center"/>
          </w:tcPr>
          <w:p w:rsidR="005B3AF1" w:rsidRPr="0051061D" w:rsidRDefault="005B3AF1" w:rsidP="00AC0EF9">
            <w:pPr>
              <w:pStyle w:val="TableText0"/>
              <w:keepNext/>
              <w:rPr>
                <w:rFonts w:cs="Times New Roman"/>
                <w:sz w:val="22"/>
                <w:szCs w:val="22"/>
              </w:rPr>
            </w:pPr>
          </w:p>
        </w:tc>
        <w:tc>
          <w:tcPr>
            <w:tcW w:w="766" w:type="pct"/>
            <w:gridSpan w:val="2"/>
            <w:vAlign w:val="center"/>
          </w:tcPr>
          <w:p w:rsidR="005B3AF1" w:rsidRPr="0051061D" w:rsidRDefault="005B3AF1" w:rsidP="00AC0EF9">
            <w:pPr>
              <w:pStyle w:val="TableText0"/>
              <w:keepNext/>
              <w:rPr>
                <w:rFonts w:cs="Times New Roman"/>
                <w:b/>
                <w:sz w:val="22"/>
                <w:szCs w:val="22"/>
              </w:rPr>
            </w:pPr>
            <w:r w:rsidRPr="0051061D">
              <w:rPr>
                <w:rFonts w:cs="Times New Roman"/>
                <w:b/>
                <w:sz w:val="22"/>
                <w:szCs w:val="22"/>
              </w:rPr>
              <w:t>Study I (SOLO)</w:t>
            </w:r>
          </w:p>
        </w:tc>
        <w:tc>
          <w:tcPr>
            <w:tcW w:w="858" w:type="pct"/>
            <w:gridSpan w:val="2"/>
            <w:vAlign w:val="center"/>
          </w:tcPr>
          <w:p w:rsidR="005B3AF1" w:rsidRPr="0051061D" w:rsidRDefault="005B3AF1" w:rsidP="00AC0EF9">
            <w:pPr>
              <w:pStyle w:val="TableText0"/>
              <w:keepNext/>
              <w:rPr>
                <w:rFonts w:cs="Times New Roman"/>
                <w:b/>
                <w:sz w:val="22"/>
                <w:szCs w:val="22"/>
              </w:rPr>
            </w:pPr>
            <w:r w:rsidRPr="0051061D">
              <w:rPr>
                <w:rFonts w:cs="Times New Roman"/>
                <w:b/>
                <w:sz w:val="22"/>
                <w:szCs w:val="22"/>
              </w:rPr>
              <w:t>Study II (SYNC)</w:t>
            </w:r>
          </w:p>
        </w:tc>
        <w:tc>
          <w:tcPr>
            <w:tcW w:w="1316" w:type="pct"/>
            <w:gridSpan w:val="3"/>
            <w:vAlign w:val="center"/>
          </w:tcPr>
          <w:p w:rsidR="005B3AF1" w:rsidRPr="0051061D" w:rsidRDefault="005B3AF1" w:rsidP="00AC0EF9">
            <w:pPr>
              <w:pStyle w:val="TableText0"/>
              <w:keepNext/>
              <w:rPr>
                <w:rFonts w:cs="Times New Roman"/>
                <w:b/>
                <w:sz w:val="22"/>
                <w:szCs w:val="22"/>
              </w:rPr>
            </w:pPr>
            <w:r w:rsidRPr="0051061D">
              <w:rPr>
                <w:rFonts w:cs="Times New Roman"/>
                <w:b/>
                <w:sz w:val="22"/>
                <w:szCs w:val="22"/>
              </w:rPr>
              <w:t>Study III (Standard)</w:t>
            </w:r>
          </w:p>
        </w:tc>
        <w:tc>
          <w:tcPr>
            <w:tcW w:w="802" w:type="pct"/>
            <w:gridSpan w:val="2"/>
            <w:vAlign w:val="center"/>
          </w:tcPr>
          <w:p w:rsidR="005B3AF1" w:rsidRPr="0051061D" w:rsidRDefault="005B3AF1" w:rsidP="00AC0EF9">
            <w:pPr>
              <w:pStyle w:val="TableText0"/>
              <w:keepNext/>
              <w:rPr>
                <w:rFonts w:cs="Times New Roman"/>
                <w:b/>
                <w:sz w:val="22"/>
                <w:szCs w:val="22"/>
              </w:rPr>
            </w:pPr>
            <w:r w:rsidRPr="0051061D">
              <w:rPr>
                <w:rFonts w:cs="Times New Roman"/>
                <w:b/>
                <w:sz w:val="22"/>
                <w:szCs w:val="22"/>
              </w:rPr>
              <w:t>Study IV (SCAN)</w:t>
            </w:r>
          </w:p>
        </w:tc>
        <w:tc>
          <w:tcPr>
            <w:tcW w:w="859" w:type="pct"/>
            <w:gridSpan w:val="2"/>
            <w:vAlign w:val="center"/>
          </w:tcPr>
          <w:p w:rsidR="005B3AF1" w:rsidRPr="0051061D" w:rsidRDefault="005B3AF1" w:rsidP="00AC0EF9">
            <w:pPr>
              <w:pStyle w:val="TableText0"/>
              <w:keepNext/>
              <w:rPr>
                <w:rFonts w:cs="Times New Roman"/>
                <w:b/>
                <w:sz w:val="22"/>
                <w:szCs w:val="22"/>
              </w:rPr>
            </w:pPr>
            <w:r w:rsidRPr="0051061D">
              <w:rPr>
                <w:rFonts w:cs="Times New Roman"/>
                <w:b/>
                <w:sz w:val="22"/>
                <w:szCs w:val="22"/>
              </w:rPr>
              <w:t>Study V (STEP)</w:t>
            </w:r>
          </w:p>
        </w:tc>
      </w:tr>
      <w:tr w:rsidR="005B3AF1" w:rsidRPr="0051061D" w:rsidTr="00AC0EF9">
        <w:trPr>
          <w:trHeight w:val="278"/>
          <w:jc w:val="center"/>
        </w:trPr>
        <w:tc>
          <w:tcPr>
            <w:tcW w:w="399" w:type="pct"/>
          </w:tcPr>
          <w:p w:rsidR="005B3AF1" w:rsidRPr="0051061D" w:rsidRDefault="005B3AF1" w:rsidP="00AC0EF9">
            <w:pPr>
              <w:pStyle w:val="TableText0"/>
              <w:keepNext/>
              <w:rPr>
                <w:rFonts w:cs="Times New Roman"/>
                <w:sz w:val="18"/>
                <w:szCs w:val="18"/>
              </w:rPr>
            </w:pPr>
            <w:r w:rsidRPr="0051061D">
              <w:rPr>
                <w:rFonts w:cs="Times New Roman"/>
                <w:sz w:val="18"/>
                <w:szCs w:val="18"/>
              </w:rPr>
              <w:t>Response Rate</w:t>
            </w:r>
          </w:p>
        </w:tc>
        <w:tc>
          <w:tcPr>
            <w:tcW w:w="347" w:type="pct"/>
            <w:vAlign w:val="center"/>
          </w:tcPr>
          <w:p w:rsidR="005B3AF1" w:rsidRPr="0051061D" w:rsidRDefault="005B3AF1" w:rsidP="00AC0EF9">
            <w:pPr>
              <w:pStyle w:val="TableText0"/>
              <w:keepNext/>
              <w:rPr>
                <w:rFonts w:cs="Times New Roman"/>
                <w:sz w:val="18"/>
                <w:szCs w:val="18"/>
              </w:rPr>
            </w:pPr>
            <w:r w:rsidRPr="0051061D">
              <w:rPr>
                <w:rFonts w:cs="Times New Roman"/>
                <w:sz w:val="18"/>
                <w:szCs w:val="18"/>
              </w:rPr>
              <w:t>Placebo</w:t>
            </w: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N=120</w:t>
            </w:r>
          </w:p>
        </w:tc>
        <w:tc>
          <w:tcPr>
            <w:tcW w:w="419" w:type="pct"/>
            <w:vAlign w:val="center"/>
          </w:tcPr>
          <w:p w:rsidR="005B3AF1" w:rsidRPr="0051061D" w:rsidRDefault="005B3AF1" w:rsidP="00AC0EF9">
            <w:pPr>
              <w:pStyle w:val="TableText0"/>
              <w:keepNext/>
              <w:rPr>
                <w:rFonts w:cs="Times New Roman"/>
                <w:sz w:val="18"/>
                <w:szCs w:val="18"/>
                <w:lang w:val="en-GB"/>
              </w:rPr>
            </w:pPr>
            <w:r w:rsidRPr="0051061D">
              <w:rPr>
                <w:rFonts w:cs="Times New Roman"/>
                <w:sz w:val="18"/>
                <w:szCs w:val="18"/>
              </w:rPr>
              <w:t>XELJANZ</w:t>
            </w:r>
            <w:r w:rsidRPr="0051061D">
              <w:rPr>
                <w:rFonts w:eastAsia="TimesNewRoman,Bold" w:cs="Times New Roman"/>
                <w:sz w:val="18"/>
                <w:szCs w:val="18"/>
                <w:lang w:val="en-CA"/>
              </w:rPr>
              <w:t xml:space="preserve"> </w:t>
            </w:r>
            <w:r w:rsidRPr="0051061D">
              <w:rPr>
                <w:rFonts w:cs="Times New Roman"/>
                <w:sz w:val="18"/>
                <w:szCs w:val="18"/>
              </w:rPr>
              <w:t>5 mg Twice Daily</w:t>
            </w:r>
          </w:p>
          <w:p w:rsidR="005B3AF1" w:rsidRPr="0051061D" w:rsidRDefault="005B3AF1" w:rsidP="00AC0EF9">
            <w:pPr>
              <w:pStyle w:val="TableText0"/>
              <w:keepNext/>
              <w:rPr>
                <w:rFonts w:cs="Times New Roman"/>
                <w:sz w:val="18"/>
                <w:szCs w:val="18"/>
                <w:lang w:val="en-GB"/>
              </w:rPr>
            </w:pPr>
          </w:p>
          <w:p w:rsidR="005B3AF1" w:rsidRPr="0051061D" w:rsidRDefault="005B3AF1" w:rsidP="00AC0EF9">
            <w:pPr>
              <w:pStyle w:val="TableText0"/>
              <w:keepNext/>
              <w:rPr>
                <w:rFonts w:cs="Times New Roman"/>
                <w:sz w:val="18"/>
                <w:szCs w:val="18"/>
                <w:lang w:val="en-GB"/>
              </w:rPr>
            </w:pPr>
          </w:p>
          <w:p w:rsidR="005B3AF1" w:rsidRPr="0051061D" w:rsidRDefault="005B3AF1" w:rsidP="00AC0EF9">
            <w:pPr>
              <w:pStyle w:val="TableText0"/>
              <w:keepNext/>
              <w:rPr>
                <w:rFonts w:cs="Times New Roman"/>
                <w:sz w:val="18"/>
                <w:szCs w:val="18"/>
                <w:lang w:val="en-GB"/>
              </w:rPr>
            </w:pPr>
            <w:r w:rsidRPr="0051061D">
              <w:rPr>
                <w:rFonts w:cs="Times New Roman"/>
                <w:sz w:val="18"/>
                <w:szCs w:val="18"/>
                <w:lang w:val="en-GB"/>
              </w:rPr>
              <w:t>N=241</w:t>
            </w:r>
          </w:p>
        </w:tc>
        <w:tc>
          <w:tcPr>
            <w:tcW w:w="401" w:type="pct"/>
            <w:vAlign w:val="center"/>
          </w:tcPr>
          <w:p w:rsidR="005B3AF1" w:rsidRPr="0051061D" w:rsidRDefault="005B3AF1" w:rsidP="00AC0EF9">
            <w:pPr>
              <w:pStyle w:val="TableText0"/>
              <w:keepNext/>
              <w:rPr>
                <w:rFonts w:cs="Times New Roman"/>
                <w:sz w:val="18"/>
                <w:szCs w:val="18"/>
              </w:rPr>
            </w:pPr>
            <w:r w:rsidRPr="0051061D">
              <w:rPr>
                <w:rFonts w:cs="Times New Roman"/>
                <w:sz w:val="18"/>
                <w:szCs w:val="18"/>
              </w:rPr>
              <w:t>Placebo</w:t>
            </w:r>
          </w:p>
          <w:p w:rsidR="005B3AF1" w:rsidRPr="0051061D" w:rsidRDefault="005B3AF1" w:rsidP="00AC0EF9">
            <w:pPr>
              <w:pStyle w:val="TableText0"/>
              <w:keepNext/>
              <w:rPr>
                <w:rFonts w:cs="Times New Roman"/>
                <w:sz w:val="18"/>
                <w:szCs w:val="18"/>
              </w:rPr>
            </w:pPr>
            <w:r w:rsidRPr="0051061D">
              <w:rPr>
                <w:rFonts w:cs="Times New Roman"/>
                <w:sz w:val="18"/>
                <w:szCs w:val="18"/>
              </w:rPr>
              <w:t>+ DMARD</w:t>
            </w: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N=157</w:t>
            </w:r>
          </w:p>
        </w:tc>
        <w:tc>
          <w:tcPr>
            <w:tcW w:w="457" w:type="pct"/>
            <w:vAlign w:val="center"/>
          </w:tcPr>
          <w:p w:rsidR="005B3AF1" w:rsidRPr="0051061D" w:rsidRDefault="005B3AF1" w:rsidP="00AC0EF9">
            <w:pPr>
              <w:pStyle w:val="TableText0"/>
              <w:keepNext/>
              <w:rPr>
                <w:rFonts w:cs="Times New Roman"/>
                <w:sz w:val="18"/>
                <w:szCs w:val="18"/>
              </w:rPr>
            </w:pPr>
            <w:r w:rsidRPr="0051061D">
              <w:rPr>
                <w:rFonts w:cs="Times New Roman"/>
                <w:sz w:val="18"/>
                <w:szCs w:val="18"/>
              </w:rPr>
              <w:t>XELJANZ</w:t>
            </w:r>
            <w:r w:rsidRPr="0051061D">
              <w:rPr>
                <w:rFonts w:eastAsia="TimesNewRoman,Bold" w:cs="Times New Roman"/>
                <w:sz w:val="18"/>
                <w:szCs w:val="18"/>
                <w:lang w:val="en-CA"/>
              </w:rPr>
              <w:t xml:space="preserve"> </w:t>
            </w:r>
            <w:r w:rsidRPr="0051061D">
              <w:rPr>
                <w:rFonts w:cs="Times New Roman"/>
                <w:sz w:val="18"/>
                <w:szCs w:val="18"/>
              </w:rPr>
              <w:t>5 mg Twice Daily + DMARD</w:t>
            </w: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trike/>
                <w:sz w:val="18"/>
                <w:szCs w:val="18"/>
              </w:rPr>
            </w:pPr>
            <w:r w:rsidRPr="0051061D">
              <w:rPr>
                <w:rFonts w:cs="Times New Roman"/>
                <w:sz w:val="18"/>
                <w:szCs w:val="18"/>
              </w:rPr>
              <w:t>N=311</w:t>
            </w:r>
          </w:p>
        </w:tc>
        <w:tc>
          <w:tcPr>
            <w:tcW w:w="343" w:type="pct"/>
            <w:vAlign w:val="center"/>
          </w:tcPr>
          <w:p w:rsidR="005B3AF1" w:rsidRPr="0051061D" w:rsidRDefault="005B3AF1" w:rsidP="00AC0EF9">
            <w:pPr>
              <w:pStyle w:val="TableText0"/>
              <w:keepNext/>
              <w:rPr>
                <w:rFonts w:cs="Times New Roman"/>
                <w:sz w:val="18"/>
                <w:szCs w:val="18"/>
              </w:rPr>
            </w:pPr>
            <w:r w:rsidRPr="0051061D">
              <w:rPr>
                <w:rFonts w:cs="Times New Roman"/>
                <w:sz w:val="18"/>
                <w:szCs w:val="18"/>
              </w:rPr>
              <w:t>Placebo</w:t>
            </w:r>
          </w:p>
          <w:p w:rsidR="005B3AF1" w:rsidRPr="0051061D" w:rsidRDefault="005B3AF1" w:rsidP="00AC0EF9">
            <w:pPr>
              <w:pStyle w:val="TableText0"/>
              <w:keepNext/>
              <w:rPr>
                <w:rFonts w:cs="Times New Roman"/>
                <w:sz w:val="18"/>
                <w:szCs w:val="18"/>
              </w:rPr>
            </w:pPr>
            <w:r w:rsidRPr="0051061D">
              <w:rPr>
                <w:rFonts w:cs="Times New Roman"/>
                <w:sz w:val="18"/>
                <w:szCs w:val="18"/>
              </w:rPr>
              <w:t>+ MTX</w:t>
            </w: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N=106</w:t>
            </w:r>
          </w:p>
        </w:tc>
        <w:tc>
          <w:tcPr>
            <w:tcW w:w="457" w:type="pct"/>
            <w:vAlign w:val="center"/>
          </w:tcPr>
          <w:p w:rsidR="005B3AF1" w:rsidRPr="0051061D" w:rsidRDefault="005B3AF1" w:rsidP="00AC0EF9">
            <w:pPr>
              <w:pStyle w:val="TableText0"/>
              <w:keepNext/>
              <w:rPr>
                <w:rFonts w:cs="Times New Roman"/>
                <w:sz w:val="18"/>
                <w:szCs w:val="18"/>
              </w:rPr>
            </w:pPr>
            <w:r w:rsidRPr="0051061D">
              <w:rPr>
                <w:rFonts w:cs="Times New Roman"/>
                <w:sz w:val="18"/>
                <w:szCs w:val="18"/>
              </w:rPr>
              <w:t>XELJANZ</w:t>
            </w:r>
            <w:r w:rsidRPr="0051061D">
              <w:rPr>
                <w:rFonts w:eastAsia="TimesNewRoman,Bold" w:cs="Times New Roman"/>
                <w:sz w:val="18"/>
                <w:szCs w:val="18"/>
                <w:lang w:val="en-CA"/>
              </w:rPr>
              <w:t xml:space="preserve"> </w:t>
            </w:r>
            <w:r w:rsidRPr="0051061D">
              <w:rPr>
                <w:rFonts w:cs="Times New Roman"/>
                <w:sz w:val="18"/>
                <w:szCs w:val="18"/>
              </w:rPr>
              <w:t>5 mg Twice Daily + MTX</w:t>
            </w:r>
          </w:p>
          <w:p w:rsidR="005B3AF1"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trike/>
                <w:sz w:val="18"/>
                <w:szCs w:val="18"/>
              </w:rPr>
            </w:pPr>
            <w:r w:rsidRPr="0051061D">
              <w:rPr>
                <w:rFonts w:cs="Times New Roman"/>
                <w:sz w:val="18"/>
                <w:szCs w:val="18"/>
              </w:rPr>
              <w:t>N=196</w:t>
            </w:r>
          </w:p>
        </w:tc>
        <w:tc>
          <w:tcPr>
            <w:tcW w:w="515" w:type="pct"/>
            <w:vAlign w:val="center"/>
          </w:tcPr>
          <w:p w:rsidR="005B3AF1" w:rsidRPr="0051061D" w:rsidRDefault="005B3AF1" w:rsidP="00AC0EF9">
            <w:pPr>
              <w:pStyle w:val="TableText0"/>
              <w:keepNext/>
              <w:rPr>
                <w:rFonts w:cs="Times New Roman"/>
                <w:sz w:val="18"/>
                <w:szCs w:val="18"/>
                <w:lang w:val="pt-BR"/>
              </w:rPr>
            </w:pPr>
            <w:r w:rsidRPr="0051061D">
              <w:rPr>
                <w:rFonts w:cs="Times New Roman"/>
                <w:sz w:val="18"/>
                <w:szCs w:val="18"/>
                <w:lang w:val="pt-BR"/>
              </w:rPr>
              <w:t>Ada</w:t>
            </w:r>
            <w:proofErr w:type="spellStart"/>
            <w:r w:rsidRPr="0051061D">
              <w:rPr>
                <w:rFonts w:cs="Times New Roman"/>
                <w:sz w:val="18"/>
                <w:szCs w:val="18"/>
              </w:rPr>
              <w:t>limumab</w:t>
            </w:r>
            <w:proofErr w:type="spellEnd"/>
          </w:p>
          <w:p w:rsidR="005B3AF1" w:rsidRPr="0051061D" w:rsidRDefault="005B3AF1" w:rsidP="00AC0EF9">
            <w:pPr>
              <w:pStyle w:val="TableText0"/>
              <w:keepNext/>
              <w:rPr>
                <w:rFonts w:cs="Times New Roman"/>
                <w:sz w:val="18"/>
                <w:szCs w:val="18"/>
                <w:lang w:val="pt-BR"/>
              </w:rPr>
            </w:pPr>
            <w:r w:rsidRPr="0051061D">
              <w:rPr>
                <w:rFonts w:cs="Times New Roman"/>
                <w:sz w:val="18"/>
                <w:szCs w:val="18"/>
                <w:lang w:val="pt-BR"/>
              </w:rPr>
              <w:t>40 mg</w:t>
            </w:r>
          </w:p>
          <w:p w:rsidR="005B3AF1" w:rsidRPr="0051061D" w:rsidRDefault="005B3AF1" w:rsidP="00AC0EF9">
            <w:pPr>
              <w:pStyle w:val="TableText0"/>
              <w:keepNext/>
              <w:rPr>
                <w:rFonts w:cs="Times New Roman"/>
                <w:sz w:val="18"/>
                <w:szCs w:val="18"/>
                <w:lang w:val="pt-BR"/>
              </w:rPr>
            </w:pPr>
            <w:r w:rsidRPr="0051061D">
              <w:rPr>
                <w:rFonts w:cs="Times New Roman"/>
                <w:sz w:val="18"/>
                <w:szCs w:val="18"/>
                <w:lang w:val="pt-BR"/>
              </w:rPr>
              <w:t>q2 Weeks + MTX</w:t>
            </w:r>
          </w:p>
          <w:p w:rsidR="005B3AF1" w:rsidRDefault="005B3AF1" w:rsidP="00AC0EF9">
            <w:pPr>
              <w:pStyle w:val="TableText0"/>
              <w:keepNext/>
              <w:rPr>
                <w:rFonts w:cs="Times New Roman"/>
                <w:sz w:val="18"/>
                <w:szCs w:val="18"/>
                <w:lang w:val="pt-BR"/>
              </w:rPr>
            </w:pPr>
          </w:p>
          <w:p w:rsidR="005B3AF1" w:rsidRPr="0051061D" w:rsidRDefault="005B3AF1" w:rsidP="00AC0EF9">
            <w:pPr>
              <w:pStyle w:val="TableText0"/>
              <w:keepNext/>
              <w:rPr>
                <w:rFonts w:cs="Times New Roman"/>
                <w:sz w:val="18"/>
                <w:szCs w:val="18"/>
                <w:lang w:val="pt-BR"/>
              </w:rPr>
            </w:pPr>
          </w:p>
          <w:p w:rsidR="005B3AF1" w:rsidRPr="0051061D" w:rsidRDefault="005B3AF1" w:rsidP="00AC0EF9">
            <w:pPr>
              <w:pStyle w:val="TableText0"/>
              <w:keepNext/>
              <w:rPr>
                <w:rFonts w:cs="Times New Roman"/>
                <w:sz w:val="18"/>
                <w:szCs w:val="18"/>
                <w:lang w:val="pt-BR"/>
              </w:rPr>
            </w:pPr>
            <w:r w:rsidRPr="0051061D">
              <w:rPr>
                <w:rFonts w:cs="Times New Roman"/>
                <w:sz w:val="18"/>
                <w:szCs w:val="18"/>
                <w:lang w:val="pt-BR"/>
              </w:rPr>
              <w:t>N=199</w:t>
            </w:r>
          </w:p>
        </w:tc>
        <w:tc>
          <w:tcPr>
            <w:tcW w:w="344" w:type="pct"/>
            <w:vAlign w:val="center"/>
          </w:tcPr>
          <w:p w:rsidR="005B3AF1" w:rsidRPr="0051061D" w:rsidRDefault="005B3AF1" w:rsidP="00AC0EF9">
            <w:pPr>
              <w:pStyle w:val="TableText0"/>
              <w:keepNext/>
              <w:rPr>
                <w:rFonts w:cs="Times New Roman"/>
                <w:sz w:val="18"/>
                <w:szCs w:val="18"/>
              </w:rPr>
            </w:pPr>
            <w:r w:rsidRPr="0051061D">
              <w:rPr>
                <w:rFonts w:cs="Times New Roman"/>
                <w:sz w:val="18"/>
                <w:szCs w:val="18"/>
              </w:rPr>
              <w:t>Placebo</w:t>
            </w:r>
          </w:p>
          <w:p w:rsidR="005B3AF1" w:rsidRPr="0051061D" w:rsidRDefault="005B3AF1" w:rsidP="00AC0EF9">
            <w:pPr>
              <w:pStyle w:val="TableText0"/>
              <w:keepNext/>
              <w:rPr>
                <w:rFonts w:cs="Times New Roman"/>
                <w:sz w:val="18"/>
                <w:szCs w:val="18"/>
              </w:rPr>
            </w:pPr>
            <w:r w:rsidRPr="0051061D">
              <w:rPr>
                <w:rFonts w:cs="Times New Roman"/>
                <w:sz w:val="18"/>
                <w:szCs w:val="18"/>
              </w:rPr>
              <w:t>+ MTX</w:t>
            </w: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N=154</w:t>
            </w:r>
          </w:p>
        </w:tc>
        <w:tc>
          <w:tcPr>
            <w:tcW w:w="457" w:type="pct"/>
            <w:vAlign w:val="center"/>
          </w:tcPr>
          <w:p w:rsidR="005B3AF1" w:rsidRPr="0051061D" w:rsidRDefault="005B3AF1" w:rsidP="00AC0EF9">
            <w:pPr>
              <w:pStyle w:val="TableText0"/>
              <w:keepNext/>
              <w:rPr>
                <w:rFonts w:cs="Times New Roman"/>
                <w:sz w:val="18"/>
                <w:szCs w:val="18"/>
              </w:rPr>
            </w:pPr>
            <w:r w:rsidRPr="0051061D">
              <w:rPr>
                <w:rFonts w:cs="Times New Roman"/>
                <w:sz w:val="18"/>
                <w:szCs w:val="18"/>
              </w:rPr>
              <w:t>XELJANZ</w:t>
            </w:r>
            <w:r w:rsidRPr="0051061D">
              <w:rPr>
                <w:rFonts w:eastAsia="TimesNewRoman,Bold" w:cs="Times New Roman"/>
                <w:sz w:val="18"/>
                <w:szCs w:val="18"/>
                <w:lang w:val="en-CA"/>
              </w:rPr>
              <w:t xml:space="preserve"> </w:t>
            </w:r>
            <w:r w:rsidRPr="0051061D">
              <w:rPr>
                <w:rFonts w:cs="Times New Roman"/>
                <w:sz w:val="18"/>
                <w:szCs w:val="18"/>
              </w:rPr>
              <w:t>5 mg Twice Daily + MTX</w:t>
            </w: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trike/>
                <w:sz w:val="18"/>
                <w:szCs w:val="18"/>
              </w:rPr>
            </w:pPr>
            <w:r w:rsidRPr="0051061D">
              <w:rPr>
                <w:rFonts w:cs="Times New Roman"/>
                <w:sz w:val="18"/>
                <w:szCs w:val="18"/>
              </w:rPr>
              <w:t>N=309</w:t>
            </w:r>
          </w:p>
        </w:tc>
        <w:tc>
          <w:tcPr>
            <w:tcW w:w="422" w:type="pct"/>
            <w:vAlign w:val="center"/>
          </w:tcPr>
          <w:p w:rsidR="005B3AF1" w:rsidRPr="0051061D" w:rsidRDefault="005B3AF1" w:rsidP="00AC0EF9">
            <w:pPr>
              <w:pStyle w:val="TableText0"/>
              <w:keepNext/>
              <w:rPr>
                <w:rFonts w:cs="Times New Roman"/>
                <w:sz w:val="18"/>
                <w:szCs w:val="18"/>
              </w:rPr>
            </w:pPr>
            <w:r w:rsidRPr="0051061D">
              <w:rPr>
                <w:rFonts w:cs="Times New Roman"/>
                <w:sz w:val="18"/>
                <w:szCs w:val="18"/>
              </w:rPr>
              <w:t>Placebo</w:t>
            </w:r>
          </w:p>
          <w:p w:rsidR="005B3AF1" w:rsidRPr="0051061D" w:rsidRDefault="005B3AF1" w:rsidP="00AC0EF9">
            <w:pPr>
              <w:pStyle w:val="TableText0"/>
              <w:keepNext/>
              <w:rPr>
                <w:rFonts w:cs="Times New Roman"/>
                <w:sz w:val="18"/>
                <w:szCs w:val="18"/>
              </w:rPr>
            </w:pPr>
            <w:r w:rsidRPr="0051061D">
              <w:rPr>
                <w:rFonts w:cs="Times New Roman"/>
                <w:sz w:val="18"/>
                <w:szCs w:val="18"/>
              </w:rPr>
              <w:t>+ MTX</w:t>
            </w: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N=131</w:t>
            </w:r>
          </w:p>
        </w:tc>
        <w:tc>
          <w:tcPr>
            <w:tcW w:w="438" w:type="pct"/>
            <w:vAlign w:val="center"/>
          </w:tcPr>
          <w:p w:rsidR="005B3AF1" w:rsidRPr="0051061D" w:rsidRDefault="005B3AF1" w:rsidP="00AC0EF9">
            <w:pPr>
              <w:pStyle w:val="TableText0"/>
              <w:keepNext/>
              <w:rPr>
                <w:rFonts w:cs="Times New Roman"/>
                <w:sz w:val="18"/>
                <w:szCs w:val="18"/>
              </w:rPr>
            </w:pPr>
            <w:r w:rsidRPr="0051061D">
              <w:rPr>
                <w:rFonts w:cs="Times New Roman"/>
                <w:sz w:val="18"/>
                <w:szCs w:val="18"/>
              </w:rPr>
              <w:t>XELJANZ</w:t>
            </w:r>
            <w:r w:rsidRPr="0051061D">
              <w:rPr>
                <w:rFonts w:eastAsia="TimesNewRoman,Bold" w:cs="Times New Roman"/>
                <w:sz w:val="18"/>
                <w:szCs w:val="18"/>
                <w:lang w:val="en-CA"/>
              </w:rPr>
              <w:t xml:space="preserve"> </w:t>
            </w:r>
            <w:r w:rsidRPr="0051061D">
              <w:rPr>
                <w:rFonts w:cs="Times New Roman"/>
                <w:sz w:val="18"/>
                <w:szCs w:val="18"/>
              </w:rPr>
              <w:t>5 mg Twice Daily + MTX</w:t>
            </w: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trike/>
                <w:sz w:val="18"/>
                <w:szCs w:val="18"/>
              </w:rPr>
            </w:pPr>
            <w:r w:rsidRPr="0051061D">
              <w:rPr>
                <w:rFonts w:cs="Times New Roman"/>
                <w:sz w:val="18"/>
                <w:szCs w:val="18"/>
              </w:rPr>
              <w:t>N=132</w:t>
            </w:r>
          </w:p>
        </w:tc>
      </w:tr>
      <w:tr w:rsidR="005B3AF1" w:rsidRPr="0051061D" w:rsidTr="00AC0EF9">
        <w:trPr>
          <w:trHeight w:val="1275"/>
          <w:jc w:val="center"/>
        </w:trPr>
        <w:tc>
          <w:tcPr>
            <w:tcW w:w="399" w:type="pct"/>
          </w:tcPr>
          <w:p w:rsidR="005B3AF1" w:rsidRPr="0051061D" w:rsidRDefault="005B3AF1" w:rsidP="00AC0EF9">
            <w:pPr>
              <w:pStyle w:val="TableText0"/>
              <w:keepNext/>
              <w:rPr>
                <w:rFonts w:cs="Times New Roman"/>
                <w:b/>
                <w:sz w:val="18"/>
                <w:szCs w:val="18"/>
              </w:rPr>
            </w:pPr>
            <w:r w:rsidRPr="0051061D">
              <w:rPr>
                <w:rFonts w:cs="Times New Roman"/>
                <w:b/>
                <w:sz w:val="18"/>
                <w:szCs w:val="18"/>
              </w:rPr>
              <w:t>ACR20</w:t>
            </w:r>
          </w:p>
          <w:p w:rsidR="005B3AF1" w:rsidRPr="0051061D" w:rsidRDefault="005B3AF1" w:rsidP="00AC0EF9">
            <w:pPr>
              <w:pStyle w:val="TableText0"/>
              <w:keepNext/>
              <w:rPr>
                <w:rFonts w:cs="Times New Roman"/>
                <w:sz w:val="18"/>
                <w:szCs w:val="18"/>
              </w:rPr>
            </w:pPr>
            <w:r w:rsidRPr="0051061D">
              <w:rPr>
                <w:rFonts w:cs="Times New Roman"/>
                <w:sz w:val="18"/>
                <w:szCs w:val="18"/>
              </w:rPr>
              <w:t>Month 3</w:t>
            </w:r>
          </w:p>
          <w:p w:rsidR="005B3AF1" w:rsidRPr="0051061D" w:rsidRDefault="005B3AF1" w:rsidP="00AC0EF9">
            <w:pPr>
              <w:pStyle w:val="TableText0"/>
              <w:keepNext/>
              <w:rPr>
                <w:rFonts w:cs="Times New Roman"/>
                <w:sz w:val="18"/>
                <w:szCs w:val="18"/>
              </w:rPr>
            </w:pPr>
            <w:r w:rsidRPr="0051061D">
              <w:rPr>
                <w:rFonts w:cs="Times New Roman"/>
                <w:sz w:val="18"/>
                <w:szCs w:val="18"/>
              </w:rPr>
              <w:t>Month 6</w:t>
            </w:r>
          </w:p>
          <w:p w:rsidR="005B3AF1" w:rsidRDefault="005B3AF1" w:rsidP="00AC0EF9">
            <w:pPr>
              <w:pStyle w:val="TableText0"/>
              <w:keepNext/>
              <w:rPr>
                <w:rFonts w:cs="Times New Roman"/>
                <w:sz w:val="18"/>
                <w:szCs w:val="18"/>
              </w:rPr>
            </w:pPr>
            <w:r w:rsidRPr="0051061D">
              <w:rPr>
                <w:rFonts w:cs="Times New Roman"/>
                <w:sz w:val="18"/>
                <w:szCs w:val="18"/>
              </w:rPr>
              <w:t>Month 12</w:t>
            </w:r>
          </w:p>
          <w:p w:rsidR="005B3AF1" w:rsidRPr="0051061D" w:rsidRDefault="005B3AF1" w:rsidP="00AC0EF9">
            <w:pPr>
              <w:pStyle w:val="TableText0"/>
              <w:keepNext/>
              <w:rPr>
                <w:rFonts w:cs="Times New Roman"/>
                <w:sz w:val="18"/>
                <w:szCs w:val="18"/>
              </w:rPr>
            </w:pPr>
            <w:r>
              <w:rPr>
                <w:rFonts w:cs="Times New Roman"/>
                <w:sz w:val="18"/>
                <w:szCs w:val="18"/>
              </w:rPr>
              <w:t>Month 24</w:t>
            </w:r>
          </w:p>
          <w:p w:rsidR="005B3AF1" w:rsidRPr="0051061D" w:rsidRDefault="005B3AF1" w:rsidP="00AC0EF9">
            <w:pPr>
              <w:pStyle w:val="TableText0"/>
              <w:keepNext/>
              <w:rPr>
                <w:rFonts w:cs="Times New Roman"/>
                <w:strike/>
                <w:sz w:val="18"/>
                <w:szCs w:val="18"/>
              </w:rPr>
            </w:pPr>
          </w:p>
        </w:tc>
        <w:tc>
          <w:tcPr>
            <w:tcW w:w="347"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27%</w:t>
            </w:r>
          </w:p>
          <w:p w:rsidR="005B3AF1" w:rsidRPr="0051061D" w:rsidRDefault="005B3AF1" w:rsidP="00AC0EF9">
            <w:pPr>
              <w:pStyle w:val="TableText0"/>
              <w:keepNext/>
              <w:rPr>
                <w:rFonts w:cs="Times New Roman"/>
                <w:sz w:val="18"/>
                <w:szCs w:val="18"/>
              </w:rPr>
            </w:pPr>
            <w:r w:rsidRPr="0051061D">
              <w:rPr>
                <w:rFonts w:cs="Times New Roman"/>
                <w:sz w:val="18"/>
                <w:szCs w:val="18"/>
              </w:rPr>
              <w:t>NA</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419"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60%***</w:t>
            </w:r>
          </w:p>
          <w:p w:rsidR="005B3AF1" w:rsidRPr="0051061D" w:rsidRDefault="005B3AF1" w:rsidP="00AC0EF9">
            <w:pPr>
              <w:pStyle w:val="TableText0"/>
              <w:keepNext/>
              <w:rPr>
                <w:rFonts w:cs="Times New Roman"/>
                <w:sz w:val="18"/>
                <w:szCs w:val="18"/>
              </w:rPr>
            </w:pPr>
            <w:r w:rsidRPr="0051061D">
              <w:rPr>
                <w:rFonts w:cs="Times New Roman"/>
                <w:sz w:val="18"/>
                <w:szCs w:val="18"/>
              </w:rPr>
              <w:t>69%</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401"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27%</w:t>
            </w:r>
          </w:p>
          <w:p w:rsidR="005B3AF1" w:rsidRPr="0051061D" w:rsidRDefault="005B3AF1" w:rsidP="00AC0EF9">
            <w:pPr>
              <w:pStyle w:val="TableText0"/>
              <w:keepNext/>
              <w:rPr>
                <w:rFonts w:cs="Times New Roman"/>
                <w:sz w:val="18"/>
                <w:szCs w:val="18"/>
              </w:rPr>
            </w:pPr>
            <w:r w:rsidRPr="0051061D">
              <w:rPr>
                <w:rFonts w:cs="Times New Roman"/>
                <w:sz w:val="18"/>
                <w:szCs w:val="18"/>
              </w:rPr>
              <w:t>31%</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457"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56%***</w:t>
            </w:r>
          </w:p>
          <w:p w:rsidR="005B3AF1" w:rsidRPr="0051061D" w:rsidRDefault="005B3AF1" w:rsidP="00AC0EF9">
            <w:pPr>
              <w:pStyle w:val="TableText0"/>
              <w:keepNext/>
              <w:rPr>
                <w:rFonts w:cs="Times New Roman"/>
                <w:sz w:val="18"/>
                <w:szCs w:val="18"/>
              </w:rPr>
            </w:pPr>
            <w:r w:rsidRPr="0051061D">
              <w:rPr>
                <w:rFonts w:cs="Times New Roman"/>
                <w:sz w:val="18"/>
                <w:szCs w:val="18"/>
              </w:rPr>
              <w:t>53%***</w:t>
            </w:r>
          </w:p>
          <w:p w:rsidR="005B3AF1" w:rsidRDefault="005B3AF1" w:rsidP="00AC0EF9">
            <w:pPr>
              <w:pStyle w:val="TableText0"/>
              <w:keepNext/>
              <w:rPr>
                <w:rFonts w:cs="Times New Roman"/>
                <w:sz w:val="18"/>
                <w:szCs w:val="18"/>
              </w:rPr>
            </w:pPr>
            <w:r w:rsidRPr="0051061D">
              <w:rPr>
                <w:rFonts w:cs="Times New Roman"/>
                <w:sz w:val="18"/>
                <w:szCs w:val="18"/>
              </w:rPr>
              <w:t>51%</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343"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26%</w:t>
            </w:r>
          </w:p>
          <w:p w:rsidR="005B3AF1" w:rsidRPr="0051061D" w:rsidRDefault="005B3AF1" w:rsidP="00AC0EF9">
            <w:pPr>
              <w:pStyle w:val="TableText0"/>
              <w:keepNext/>
              <w:rPr>
                <w:rFonts w:cs="Times New Roman"/>
                <w:sz w:val="18"/>
                <w:szCs w:val="18"/>
              </w:rPr>
            </w:pPr>
            <w:r w:rsidRPr="0051061D">
              <w:rPr>
                <w:rFonts w:cs="Times New Roman"/>
                <w:sz w:val="18"/>
                <w:szCs w:val="18"/>
              </w:rPr>
              <w:t>28%</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457"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61%***</w:t>
            </w:r>
          </w:p>
          <w:p w:rsidR="005B3AF1" w:rsidRPr="0051061D" w:rsidRDefault="005B3AF1" w:rsidP="00AC0EF9">
            <w:pPr>
              <w:pStyle w:val="TableText0"/>
              <w:keepNext/>
              <w:rPr>
                <w:rFonts w:cs="Times New Roman"/>
                <w:sz w:val="18"/>
                <w:szCs w:val="18"/>
              </w:rPr>
            </w:pPr>
            <w:r w:rsidRPr="0051061D">
              <w:rPr>
                <w:rFonts w:cs="Times New Roman"/>
                <w:sz w:val="18"/>
                <w:szCs w:val="18"/>
              </w:rPr>
              <w:t>52%***</w:t>
            </w:r>
          </w:p>
          <w:p w:rsidR="005B3AF1" w:rsidRDefault="005B3AF1" w:rsidP="00AC0EF9">
            <w:pPr>
              <w:pStyle w:val="TableText0"/>
              <w:keepNext/>
              <w:rPr>
                <w:rFonts w:cs="Times New Roman"/>
                <w:sz w:val="18"/>
                <w:szCs w:val="18"/>
              </w:rPr>
            </w:pPr>
            <w:r w:rsidRPr="0051061D">
              <w:rPr>
                <w:rFonts w:cs="Times New Roman"/>
                <w:sz w:val="18"/>
                <w:szCs w:val="18"/>
              </w:rPr>
              <w:t>49%</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515"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56%***</w:t>
            </w:r>
          </w:p>
          <w:p w:rsidR="005B3AF1" w:rsidRPr="0051061D" w:rsidRDefault="005B3AF1" w:rsidP="00AC0EF9">
            <w:pPr>
              <w:pStyle w:val="TableText0"/>
              <w:keepNext/>
              <w:rPr>
                <w:rFonts w:cs="Times New Roman"/>
                <w:sz w:val="18"/>
                <w:szCs w:val="18"/>
              </w:rPr>
            </w:pPr>
            <w:r w:rsidRPr="0051061D">
              <w:rPr>
                <w:rFonts w:cs="Times New Roman"/>
                <w:sz w:val="18"/>
                <w:szCs w:val="18"/>
              </w:rPr>
              <w:t>47%**</w:t>
            </w:r>
          </w:p>
          <w:p w:rsidR="005B3AF1" w:rsidRDefault="005B3AF1" w:rsidP="00AC0EF9">
            <w:pPr>
              <w:pStyle w:val="TableText0"/>
              <w:keepNext/>
              <w:rPr>
                <w:rFonts w:cs="Times New Roman"/>
                <w:sz w:val="18"/>
                <w:szCs w:val="18"/>
              </w:rPr>
            </w:pPr>
            <w:r w:rsidRPr="0051061D">
              <w:rPr>
                <w:rFonts w:cs="Times New Roman"/>
                <w:sz w:val="18"/>
                <w:szCs w:val="18"/>
              </w:rPr>
              <w:t>49%</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344"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27%</w:t>
            </w:r>
          </w:p>
          <w:p w:rsidR="005B3AF1" w:rsidRPr="0051061D" w:rsidRDefault="005B3AF1" w:rsidP="00AC0EF9">
            <w:pPr>
              <w:pStyle w:val="TableText0"/>
              <w:keepNext/>
              <w:rPr>
                <w:rFonts w:cs="Times New Roman"/>
                <w:sz w:val="18"/>
                <w:szCs w:val="18"/>
              </w:rPr>
            </w:pPr>
            <w:r w:rsidRPr="0051061D">
              <w:rPr>
                <w:rFonts w:cs="Times New Roman"/>
                <w:sz w:val="18"/>
                <w:szCs w:val="18"/>
              </w:rPr>
              <w:t>25%</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trike/>
                <w:sz w:val="18"/>
                <w:szCs w:val="18"/>
              </w:rPr>
            </w:pPr>
            <w:r>
              <w:rPr>
                <w:rFonts w:cs="Times New Roman"/>
                <w:sz w:val="18"/>
                <w:szCs w:val="18"/>
              </w:rPr>
              <w:t>NA</w:t>
            </w:r>
          </w:p>
        </w:tc>
        <w:tc>
          <w:tcPr>
            <w:tcW w:w="457"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56%***</w:t>
            </w:r>
          </w:p>
          <w:p w:rsidR="005B3AF1" w:rsidRPr="0051061D" w:rsidRDefault="005B3AF1" w:rsidP="00AC0EF9">
            <w:pPr>
              <w:pStyle w:val="TableText0"/>
              <w:keepNext/>
              <w:rPr>
                <w:rFonts w:cs="Times New Roman"/>
                <w:sz w:val="18"/>
                <w:szCs w:val="18"/>
              </w:rPr>
            </w:pPr>
            <w:r w:rsidRPr="0051061D">
              <w:rPr>
                <w:rFonts w:cs="Times New Roman"/>
                <w:sz w:val="18"/>
                <w:szCs w:val="18"/>
              </w:rPr>
              <w:t>51%***</w:t>
            </w:r>
          </w:p>
          <w:p w:rsidR="005B3AF1" w:rsidRDefault="005B3AF1" w:rsidP="00AC0EF9">
            <w:pPr>
              <w:pStyle w:val="TableText0"/>
              <w:keepNext/>
              <w:rPr>
                <w:sz w:val="18"/>
                <w:szCs w:val="18"/>
              </w:rPr>
            </w:pPr>
            <w:r w:rsidRPr="0051061D">
              <w:rPr>
                <w:sz w:val="18"/>
                <w:szCs w:val="18"/>
              </w:rPr>
              <w:t>49%</w:t>
            </w:r>
          </w:p>
          <w:p w:rsidR="005B3AF1" w:rsidRPr="0051061D" w:rsidRDefault="005B3AF1" w:rsidP="00AC0EF9">
            <w:pPr>
              <w:pStyle w:val="TableText0"/>
              <w:keepNext/>
              <w:rPr>
                <w:rFonts w:cs="Times New Roman"/>
                <w:strike/>
                <w:sz w:val="18"/>
                <w:szCs w:val="18"/>
              </w:rPr>
            </w:pPr>
            <w:r>
              <w:rPr>
                <w:sz w:val="18"/>
                <w:szCs w:val="18"/>
              </w:rPr>
              <w:t>41%</w:t>
            </w:r>
          </w:p>
        </w:tc>
        <w:tc>
          <w:tcPr>
            <w:tcW w:w="422"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24%</w:t>
            </w:r>
          </w:p>
          <w:p w:rsidR="005B3AF1" w:rsidRPr="0051061D" w:rsidRDefault="005B3AF1" w:rsidP="00AC0EF9">
            <w:pPr>
              <w:pStyle w:val="TableText0"/>
              <w:keepNext/>
              <w:rPr>
                <w:rFonts w:cs="Times New Roman"/>
                <w:sz w:val="18"/>
                <w:szCs w:val="18"/>
              </w:rPr>
            </w:pPr>
            <w:r w:rsidRPr="0051061D">
              <w:rPr>
                <w:rFonts w:cs="Times New Roman"/>
                <w:sz w:val="18"/>
                <w:szCs w:val="18"/>
              </w:rPr>
              <w:t>NA</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438"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42%*</w:t>
            </w:r>
          </w:p>
          <w:p w:rsidR="005B3AF1" w:rsidRPr="0051061D" w:rsidRDefault="005B3AF1" w:rsidP="00AC0EF9">
            <w:pPr>
              <w:pStyle w:val="TableText0"/>
              <w:keepNext/>
              <w:rPr>
                <w:rFonts w:cs="Times New Roman"/>
                <w:sz w:val="18"/>
                <w:szCs w:val="18"/>
              </w:rPr>
            </w:pPr>
            <w:r w:rsidRPr="0051061D">
              <w:rPr>
                <w:rFonts w:cs="Times New Roman"/>
                <w:sz w:val="18"/>
                <w:szCs w:val="18"/>
              </w:rPr>
              <w:t>52%</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r>
      <w:tr w:rsidR="005B3AF1" w:rsidRPr="0051061D" w:rsidTr="00AC0EF9">
        <w:trPr>
          <w:trHeight w:val="1283"/>
          <w:jc w:val="center"/>
        </w:trPr>
        <w:tc>
          <w:tcPr>
            <w:tcW w:w="399" w:type="pct"/>
          </w:tcPr>
          <w:p w:rsidR="005B3AF1" w:rsidRPr="0051061D" w:rsidRDefault="005B3AF1" w:rsidP="00AC0EF9">
            <w:pPr>
              <w:pStyle w:val="TableText0"/>
              <w:keepNext/>
              <w:rPr>
                <w:rFonts w:cs="Times New Roman"/>
                <w:b/>
                <w:sz w:val="18"/>
                <w:szCs w:val="18"/>
              </w:rPr>
            </w:pPr>
            <w:r w:rsidRPr="0051061D">
              <w:rPr>
                <w:rFonts w:cs="Times New Roman"/>
                <w:b/>
                <w:sz w:val="18"/>
                <w:szCs w:val="18"/>
              </w:rPr>
              <w:t>ACR50</w:t>
            </w:r>
          </w:p>
          <w:p w:rsidR="005B3AF1" w:rsidRPr="0051061D" w:rsidRDefault="005B3AF1" w:rsidP="00AC0EF9">
            <w:pPr>
              <w:pStyle w:val="TableText0"/>
              <w:keepNext/>
              <w:rPr>
                <w:rFonts w:cs="Times New Roman"/>
                <w:sz w:val="18"/>
                <w:szCs w:val="18"/>
              </w:rPr>
            </w:pPr>
            <w:r w:rsidRPr="0051061D">
              <w:rPr>
                <w:rFonts w:cs="Times New Roman"/>
                <w:sz w:val="18"/>
                <w:szCs w:val="18"/>
              </w:rPr>
              <w:t>Month 3</w:t>
            </w:r>
          </w:p>
          <w:p w:rsidR="005B3AF1" w:rsidRPr="0051061D" w:rsidRDefault="005B3AF1" w:rsidP="00AC0EF9">
            <w:pPr>
              <w:pStyle w:val="TableText0"/>
              <w:keepNext/>
              <w:rPr>
                <w:rFonts w:cs="Times New Roman"/>
                <w:sz w:val="18"/>
                <w:szCs w:val="18"/>
              </w:rPr>
            </w:pPr>
            <w:r w:rsidRPr="0051061D">
              <w:rPr>
                <w:rFonts w:cs="Times New Roman"/>
                <w:sz w:val="18"/>
                <w:szCs w:val="18"/>
              </w:rPr>
              <w:t>Month 6</w:t>
            </w:r>
          </w:p>
          <w:p w:rsidR="005B3AF1" w:rsidRPr="0051061D" w:rsidRDefault="005B3AF1" w:rsidP="00AC0EF9">
            <w:pPr>
              <w:pStyle w:val="TableText0"/>
              <w:keepNext/>
              <w:rPr>
                <w:rFonts w:cs="Times New Roman"/>
                <w:sz w:val="18"/>
                <w:szCs w:val="18"/>
              </w:rPr>
            </w:pPr>
            <w:r w:rsidRPr="0051061D">
              <w:rPr>
                <w:rFonts w:cs="Times New Roman"/>
                <w:sz w:val="18"/>
                <w:szCs w:val="18"/>
              </w:rPr>
              <w:t>Month 12</w:t>
            </w:r>
          </w:p>
          <w:p w:rsidR="005B3AF1" w:rsidRPr="0051061D" w:rsidRDefault="005B3AF1" w:rsidP="00AC0EF9">
            <w:pPr>
              <w:pStyle w:val="TableText0"/>
              <w:keepNext/>
              <w:rPr>
                <w:rFonts w:cs="Times New Roman"/>
                <w:sz w:val="18"/>
                <w:szCs w:val="18"/>
              </w:rPr>
            </w:pPr>
            <w:r>
              <w:rPr>
                <w:rFonts w:cs="Times New Roman"/>
                <w:sz w:val="18"/>
                <w:szCs w:val="18"/>
              </w:rPr>
              <w:t>Month 24</w:t>
            </w:r>
          </w:p>
          <w:p w:rsidR="005B3AF1" w:rsidRPr="0051061D" w:rsidRDefault="005B3AF1" w:rsidP="00AC0EF9">
            <w:pPr>
              <w:pStyle w:val="TableText0"/>
              <w:keepNext/>
              <w:rPr>
                <w:rFonts w:cs="Times New Roman"/>
                <w:strike/>
                <w:sz w:val="18"/>
                <w:szCs w:val="18"/>
              </w:rPr>
            </w:pPr>
          </w:p>
        </w:tc>
        <w:tc>
          <w:tcPr>
            <w:tcW w:w="347"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13%</w:t>
            </w:r>
          </w:p>
          <w:p w:rsidR="005B3AF1" w:rsidRPr="0051061D" w:rsidRDefault="005B3AF1" w:rsidP="00AC0EF9">
            <w:pPr>
              <w:pStyle w:val="TableText0"/>
              <w:keepNext/>
              <w:rPr>
                <w:rFonts w:cs="Times New Roman"/>
                <w:sz w:val="18"/>
                <w:szCs w:val="18"/>
              </w:rPr>
            </w:pPr>
            <w:r w:rsidRPr="0051061D">
              <w:rPr>
                <w:rFonts w:cs="Times New Roman"/>
                <w:sz w:val="18"/>
                <w:szCs w:val="18"/>
              </w:rPr>
              <w:t>NA</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trike/>
                <w:sz w:val="18"/>
                <w:szCs w:val="18"/>
              </w:rPr>
            </w:pPr>
            <w:r>
              <w:rPr>
                <w:rFonts w:cs="Times New Roman"/>
                <w:sz w:val="18"/>
                <w:szCs w:val="18"/>
              </w:rPr>
              <w:t>NA</w:t>
            </w:r>
          </w:p>
        </w:tc>
        <w:tc>
          <w:tcPr>
            <w:tcW w:w="419"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31%***</w:t>
            </w:r>
          </w:p>
          <w:p w:rsidR="005B3AF1" w:rsidRPr="0051061D" w:rsidRDefault="005B3AF1" w:rsidP="00AC0EF9">
            <w:pPr>
              <w:pStyle w:val="TableText0"/>
              <w:keepNext/>
              <w:rPr>
                <w:rFonts w:cs="Times New Roman"/>
                <w:sz w:val="18"/>
                <w:szCs w:val="18"/>
              </w:rPr>
            </w:pPr>
            <w:r w:rsidRPr="0051061D">
              <w:rPr>
                <w:rFonts w:cs="Times New Roman"/>
                <w:sz w:val="18"/>
                <w:szCs w:val="18"/>
              </w:rPr>
              <w:t>42%</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trike/>
                <w:sz w:val="18"/>
                <w:szCs w:val="18"/>
              </w:rPr>
            </w:pPr>
            <w:r>
              <w:rPr>
                <w:rFonts w:cs="Times New Roman"/>
                <w:sz w:val="18"/>
                <w:szCs w:val="18"/>
              </w:rPr>
              <w:t>NA</w:t>
            </w:r>
          </w:p>
        </w:tc>
        <w:tc>
          <w:tcPr>
            <w:tcW w:w="401"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10%</w:t>
            </w:r>
          </w:p>
          <w:p w:rsidR="005B3AF1" w:rsidRPr="0051061D" w:rsidRDefault="005B3AF1" w:rsidP="00AC0EF9">
            <w:pPr>
              <w:pStyle w:val="TableText0"/>
              <w:keepNext/>
              <w:rPr>
                <w:rFonts w:cs="Times New Roman"/>
                <w:sz w:val="18"/>
                <w:szCs w:val="18"/>
              </w:rPr>
            </w:pPr>
            <w:r w:rsidRPr="0051061D">
              <w:rPr>
                <w:rFonts w:cs="Times New Roman"/>
                <w:sz w:val="18"/>
                <w:szCs w:val="18"/>
              </w:rPr>
              <w:t>13%</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457"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27%***</w:t>
            </w:r>
          </w:p>
          <w:p w:rsidR="005B3AF1" w:rsidRPr="0051061D" w:rsidRDefault="005B3AF1" w:rsidP="00AC0EF9">
            <w:pPr>
              <w:pStyle w:val="TableText0"/>
              <w:keepNext/>
              <w:rPr>
                <w:rFonts w:cs="Times New Roman"/>
                <w:sz w:val="18"/>
                <w:szCs w:val="18"/>
              </w:rPr>
            </w:pPr>
            <w:r w:rsidRPr="0051061D">
              <w:rPr>
                <w:rFonts w:cs="Times New Roman"/>
                <w:sz w:val="18"/>
                <w:szCs w:val="18"/>
              </w:rPr>
              <w:t>34%***</w:t>
            </w:r>
          </w:p>
          <w:p w:rsidR="005B3AF1" w:rsidRDefault="005B3AF1" w:rsidP="00AC0EF9">
            <w:pPr>
              <w:pStyle w:val="TableText0"/>
              <w:keepNext/>
              <w:rPr>
                <w:rFonts w:cs="Times New Roman"/>
                <w:sz w:val="18"/>
                <w:szCs w:val="18"/>
              </w:rPr>
            </w:pPr>
            <w:r w:rsidRPr="0051061D">
              <w:rPr>
                <w:rFonts w:cs="Times New Roman"/>
                <w:sz w:val="18"/>
                <w:szCs w:val="18"/>
              </w:rPr>
              <w:t>33%</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343"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7%</w:t>
            </w:r>
          </w:p>
          <w:p w:rsidR="005B3AF1" w:rsidRPr="0051061D" w:rsidRDefault="005B3AF1" w:rsidP="00AC0EF9">
            <w:pPr>
              <w:pStyle w:val="TableText0"/>
              <w:keepNext/>
              <w:rPr>
                <w:rFonts w:cs="Times New Roman"/>
                <w:sz w:val="18"/>
                <w:szCs w:val="18"/>
              </w:rPr>
            </w:pPr>
            <w:r w:rsidRPr="0051061D">
              <w:rPr>
                <w:rFonts w:cs="Times New Roman"/>
                <w:sz w:val="18"/>
                <w:szCs w:val="18"/>
              </w:rPr>
              <w:t>12%</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457"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34%***</w:t>
            </w:r>
          </w:p>
          <w:p w:rsidR="005B3AF1" w:rsidRPr="0051061D" w:rsidRDefault="005B3AF1" w:rsidP="00AC0EF9">
            <w:pPr>
              <w:pStyle w:val="TableText0"/>
              <w:keepNext/>
              <w:rPr>
                <w:rFonts w:cs="Times New Roman"/>
                <w:sz w:val="18"/>
                <w:szCs w:val="18"/>
              </w:rPr>
            </w:pPr>
            <w:r w:rsidRPr="0051061D">
              <w:rPr>
                <w:rFonts w:cs="Times New Roman"/>
                <w:sz w:val="18"/>
                <w:szCs w:val="18"/>
              </w:rPr>
              <w:t>37%***</w:t>
            </w:r>
          </w:p>
          <w:p w:rsidR="005B3AF1" w:rsidRDefault="005B3AF1" w:rsidP="00AC0EF9">
            <w:pPr>
              <w:pStyle w:val="TableText0"/>
              <w:keepNext/>
              <w:rPr>
                <w:rFonts w:cs="Times New Roman"/>
                <w:sz w:val="18"/>
                <w:szCs w:val="18"/>
              </w:rPr>
            </w:pPr>
            <w:r w:rsidRPr="0051061D">
              <w:rPr>
                <w:rFonts w:cs="Times New Roman"/>
                <w:sz w:val="18"/>
                <w:szCs w:val="18"/>
              </w:rPr>
              <w:t>37%</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515"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24%***</w:t>
            </w:r>
          </w:p>
          <w:p w:rsidR="005B3AF1" w:rsidRPr="0051061D" w:rsidRDefault="005B3AF1" w:rsidP="00AC0EF9">
            <w:pPr>
              <w:pStyle w:val="TableText0"/>
              <w:keepNext/>
              <w:rPr>
                <w:rFonts w:cs="Times New Roman"/>
                <w:sz w:val="18"/>
                <w:szCs w:val="18"/>
              </w:rPr>
            </w:pPr>
            <w:r w:rsidRPr="0051061D">
              <w:rPr>
                <w:rFonts w:cs="Times New Roman"/>
                <w:sz w:val="18"/>
                <w:szCs w:val="18"/>
              </w:rPr>
              <w:t>28%**</w:t>
            </w:r>
          </w:p>
          <w:p w:rsidR="005B3AF1" w:rsidRDefault="005B3AF1" w:rsidP="00AC0EF9">
            <w:pPr>
              <w:pStyle w:val="TableText0"/>
              <w:keepNext/>
              <w:rPr>
                <w:rFonts w:cs="Times New Roman"/>
                <w:sz w:val="18"/>
                <w:szCs w:val="18"/>
              </w:rPr>
            </w:pPr>
            <w:r w:rsidRPr="0051061D">
              <w:rPr>
                <w:rFonts w:cs="Times New Roman"/>
                <w:sz w:val="18"/>
                <w:szCs w:val="18"/>
              </w:rPr>
              <w:t>34%</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344"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8%</w:t>
            </w:r>
          </w:p>
          <w:p w:rsidR="005B3AF1" w:rsidRPr="0051061D" w:rsidRDefault="005B3AF1" w:rsidP="00AC0EF9">
            <w:pPr>
              <w:pStyle w:val="TableText0"/>
              <w:keepNext/>
              <w:rPr>
                <w:rFonts w:cs="Times New Roman"/>
                <w:sz w:val="18"/>
                <w:szCs w:val="18"/>
              </w:rPr>
            </w:pPr>
            <w:r w:rsidRPr="0051061D">
              <w:rPr>
                <w:rFonts w:cs="Times New Roman"/>
                <w:sz w:val="18"/>
                <w:szCs w:val="18"/>
              </w:rPr>
              <w:t>8%</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457"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29%***</w:t>
            </w:r>
          </w:p>
          <w:p w:rsidR="005B3AF1" w:rsidRPr="0051061D" w:rsidRDefault="005B3AF1" w:rsidP="00AC0EF9">
            <w:pPr>
              <w:pStyle w:val="TableText0"/>
              <w:keepNext/>
              <w:rPr>
                <w:rFonts w:cs="Times New Roman"/>
                <w:sz w:val="18"/>
                <w:szCs w:val="18"/>
              </w:rPr>
            </w:pPr>
            <w:r w:rsidRPr="0051061D">
              <w:rPr>
                <w:rFonts w:cs="Times New Roman"/>
                <w:sz w:val="18"/>
                <w:szCs w:val="18"/>
              </w:rPr>
              <w:t>32%***</w:t>
            </w:r>
          </w:p>
          <w:p w:rsidR="005B3AF1" w:rsidRDefault="005B3AF1" w:rsidP="00AC0EF9">
            <w:pPr>
              <w:pStyle w:val="TableText0"/>
              <w:keepNext/>
              <w:rPr>
                <w:rFonts w:cs="Times New Roman"/>
                <w:sz w:val="18"/>
                <w:szCs w:val="18"/>
              </w:rPr>
            </w:pPr>
            <w:r>
              <w:rPr>
                <w:rFonts w:cs="Times New Roman"/>
                <w:sz w:val="18"/>
                <w:szCs w:val="18"/>
              </w:rPr>
              <w:t>32</w:t>
            </w:r>
            <w:r w:rsidRPr="0051061D">
              <w:rPr>
                <w:rFonts w:cs="Times New Roman"/>
                <w:sz w:val="18"/>
                <w:szCs w:val="18"/>
              </w:rPr>
              <w:t>%</w:t>
            </w:r>
          </w:p>
          <w:p w:rsidR="005B3AF1" w:rsidRDefault="005B3AF1" w:rsidP="00AC0EF9">
            <w:pPr>
              <w:pStyle w:val="TableText0"/>
              <w:keepNext/>
              <w:rPr>
                <w:rFonts w:cs="Times New Roman"/>
                <w:sz w:val="18"/>
                <w:szCs w:val="18"/>
              </w:rPr>
            </w:pPr>
            <w:r>
              <w:rPr>
                <w:rFonts w:cs="Times New Roman"/>
                <w:sz w:val="18"/>
                <w:szCs w:val="18"/>
              </w:rPr>
              <w:t>29%</w:t>
            </w:r>
          </w:p>
          <w:p w:rsidR="005B3AF1" w:rsidRPr="0051061D" w:rsidRDefault="005B3AF1" w:rsidP="00AC0EF9">
            <w:pPr>
              <w:pStyle w:val="TableText0"/>
              <w:keepNext/>
              <w:rPr>
                <w:rFonts w:cs="Times New Roman"/>
                <w:sz w:val="18"/>
                <w:szCs w:val="18"/>
              </w:rPr>
            </w:pPr>
          </w:p>
        </w:tc>
        <w:tc>
          <w:tcPr>
            <w:tcW w:w="422"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8%</w:t>
            </w:r>
          </w:p>
          <w:p w:rsidR="005B3AF1" w:rsidRPr="0051061D" w:rsidRDefault="005B3AF1" w:rsidP="00AC0EF9">
            <w:pPr>
              <w:pStyle w:val="TableText0"/>
              <w:keepNext/>
              <w:rPr>
                <w:rFonts w:cs="Times New Roman"/>
                <w:sz w:val="18"/>
                <w:szCs w:val="18"/>
              </w:rPr>
            </w:pPr>
            <w:r w:rsidRPr="0051061D">
              <w:rPr>
                <w:rFonts w:cs="Times New Roman"/>
                <w:sz w:val="18"/>
                <w:szCs w:val="18"/>
              </w:rPr>
              <w:t>NA</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438"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27%***</w:t>
            </w:r>
          </w:p>
          <w:p w:rsidR="005B3AF1" w:rsidRPr="0051061D" w:rsidRDefault="005B3AF1" w:rsidP="00AC0EF9">
            <w:pPr>
              <w:pStyle w:val="TableText0"/>
              <w:keepNext/>
              <w:rPr>
                <w:rFonts w:cs="Times New Roman"/>
                <w:sz w:val="18"/>
                <w:szCs w:val="18"/>
              </w:rPr>
            </w:pPr>
            <w:r w:rsidRPr="0051061D">
              <w:rPr>
                <w:rFonts w:cs="Times New Roman"/>
                <w:sz w:val="18"/>
                <w:szCs w:val="18"/>
              </w:rPr>
              <w:t>37%</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r>
      <w:tr w:rsidR="005B3AF1" w:rsidRPr="0051061D" w:rsidTr="00AC0EF9">
        <w:trPr>
          <w:trHeight w:val="1259"/>
          <w:jc w:val="center"/>
        </w:trPr>
        <w:tc>
          <w:tcPr>
            <w:tcW w:w="399" w:type="pct"/>
          </w:tcPr>
          <w:p w:rsidR="005B3AF1" w:rsidRPr="0051061D" w:rsidRDefault="005B3AF1" w:rsidP="00AC0EF9">
            <w:pPr>
              <w:pStyle w:val="TableText0"/>
              <w:keepNext/>
              <w:rPr>
                <w:rFonts w:cs="Times New Roman"/>
                <w:b/>
                <w:sz w:val="18"/>
                <w:szCs w:val="18"/>
              </w:rPr>
            </w:pPr>
            <w:r w:rsidRPr="0051061D">
              <w:rPr>
                <w:rFonts w:cs="Times New Roman"/>
                <w:b/>
                <w:sz w:val="18"/>
                <w:szCs w:val="18"/>
              </w:rPr>
              <w:t>ACR70</w:t>
            </w:r>
          </w:p>
          <w:p w:rsidR="005B3AF1" w:rsidRPr="0051061D" w:rsidRDefault="005B3AF1" w:rsidP="00AC0EF9">
            <w:pPr>
              <w:pStyle w:val="TableText0"/>
              <w:keepNext/>
              <w:rPr>
                <w:rFonts w:cs="Times New Roman"/>
                <w:sz w:val="18"/>
                <w:szCs w:val="18"/>
              </w:rPr>
            </w:pPr>
            <w:r w:rsidRPr="0051061D">
              <w:rPr>
                <w:rFonts w:cs="Times New Roman"/>
                <w:sz w:val="18"/>
                <w:szCs w:val="18"/>
              </w:rPr>
              <w:t>Month 3</w:t>
            </w:r>
          </w:p>
          <w:p w:rsidR="005B3AF1" w:rsidRPr="0051061D" w:rsidRDefault="005B3AF1" w:rsidP="00AC0EF9">
            <w:pPr>
              <w:pStyle w:val="TableText0"/>
              <w:keepNext/>
              <w:rPr>
                <w:rFonts w:cs="Times New Roman"/>
                <w:sz w:val="18"/>
                <w:szCs w:val="18"/>
              </w:rPr>
            </w:pPr>
            <w:r w:rsidRPr="0051061D">
              <w:rPr>
                <w:rFonts w:cs="Times New Roman"/>
                <w:sz w:val="18"/>
                <w:szCs w:val="18"/>
              </w:rPr>
              <w:t>Month 6</w:t>
            </w:r>
          </w:p>
          <w:p w:rsidR="005B3AF1" w:rsidRPr="0051061D" w:rsidRDefault="005B3AF1" w:rsidP="00AC0EF9">
            <w:pPr>
              <w:pStyle w:val="TableText0"/>
              <w:keepNext/>
              <w:rPr>
                <w:rFonts w:cs="Times New Roman"/>
                <w:sz w:val="18"/>
                <w:szCs w:val="18"/>
              </w:rPr>
            </w:pPr>
            <w:r w:rsidRPr="0051061D">
              <w:rPr>
                <w:rFonts w:cs="Times New Roman"/>
                <w:sz w:val="18"/>
                <w:szCs w:val="18"/>
              </w:rPr>
              <w:t>Month 12</w:t>
            </w:r>
          </w:p>
          <w:p w:rsidR="005B3AF1" w:rsidRPr="0051061D" w:rsidRDefault="005B3AF1" w:rsidP="00AC0EF9">
            <w:pPr>
              <w:pStyle w:val="TableText0"/>
              <w:keepNext/>
              <w:rPr>
                <w:rFonts w:cs="Times New Roman"/>
                <w:sz w:val="18"/>
                <w:szCs w:val="18"/>
              </w:rPr>
            </w:pPr>
            <w:r>
              <w:rPr>
                <w:rFonts w:cs="Times New Roman"/>
                <w:sz w:val="18"/>
                <w:szCs w:val="18"/>
              </w:rPr>
              <w:t>Month 24</w:t>
            </w:r>
          </w:p>
          <w:p w:rsidR="005B3AF1" w:rsidRPr="0051061D" w:rsidRDefault="005B3AF1" w:rsidP="00AC0EF9">
            <w:pPr>
              <w:pStyle w:val="TableText0"/>
              <w:keepNext/>
              <w:rPr>
                <w:rFonts w:cs="Times New Roman"/>
                <w:strike/>
                <w:sz w:val="18"/>
                <w:szCs w:val="18"/>
              </w:rPr>
            </w:pPr>
          </w:p>
        </w:tc>
        <w:tc>
          <w:tcPr>
            <w:tcW w:w="347"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6%</w:t>
            </w:r>
          </w:p>
          <w:p w:rsidR="005B3AF1" w:rsidRPr="0051061D" w:rsidRDefault="005B3AF1" w:rsidP="00AC0EF9">
            <w:pPr>
              <w:pStyle w:val="TableText0"/>
              <w:keepNext/>
              <w:rPr>
                <w:rFonts w:cs="Times New Roman"/>
                <w:sz w:val="18"/>
                <w:szCs w:val="18"/>
              </w:rPr>
            </w:pPr>
            <w:r w:rsidRPr="0051061D">
              <w:rPr>
                <w:rFonts w:cs="Times New Roman"/>
                <w:sz w:val="18"/>
                <w:szCs w:val="18"/>
              </w:rPr>
              <w:t>NA</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419" w:type="pct"/>
          </w:tcPr>
          <w:p w:rsidR="005B3AF1" w:rsidRPr="0051061D" w:rsidRDefault="005B3AF1" w:rsidP="00AC0EF9">
            <w:pPr>
              <w:pStyle w:val="TableText0"/>
              <w:keepNext/>
              <w:rPr>
                <w:rFonts w:cs="Times New Roman"/>
                <w:sz w:val="18"/>
                <w:szCs w:val="18"/>
                <w:lang w:val="en-AU"/>
              </w:rPr>
            </w:pPr>
          </w:p>
          <w:p w:rsidR="005B3AF1" w:rsidRPr="0051061D" w:rsidRDefault="005B3AF1" w:rsidP="00AC0EF9">
            <w:pPr>
              <w:pStyle w:val="TableText0"/>
              <w:keepNext/>
              <w:rPr>
                <w:rFonts w:cs="Times New Roman"/>
                <w:sz w:val="18"/>
                <w:szCs w:val="18"/>
              </w:rPr>
            </w:pPr>
            <w:r w:rsidRPr="0051061D">
              <w:rPr>
                <w:rFonts w:cs="Times New Roman"/>
                <w:sz w:val="18"/>
                <w:szCs w:val="18"/>
              </w:rPr>
              <w:t>15%*</w:t>
            </w:r>
          </w:p>
          <w:p w:rsidR="005B3AF1" w:rsidRPr="0051061D" w:rsidRDefault="005B3AF1" w:rsidP="00AC0EF9">
            <w:pPr>
              <w:pStyle w:val="TableText0"/>
              <w:keepNext/>
              <w:rPr>
                <w:rFonts w:cs="Times New Roman"/>
                <w:sz w:val="18"/>
                <w:szCs w:val="18"/>
              </w:rPr>
            </w:pPr>
            <w:r w:rsidRPr="0051061D">
              <w:rPr>
                <w:rFonts w:cs="Times New Roman"/>
                <w:sz w:val="18"/>
                <w:szCs w:val="18"/>
              </w:rPr>
              <w:t>22%</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401"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2%</w:t>
            </w:r>
          </w:p>
          <w:p w:rsidR="005B3AF1" w:rsidRPr="0051061D" w:rsidRDefault="005B3AF1" w:rsidP="00AC0EF9">
            <w:pPr>
              <w:pStyle w:val="TableText0"/>
              <w:keepNext/>
              <w:rPr>
                <w:rFonts w:cs="Times New Roman"/>
                <w:sz w:val="18"/>
                <w:szCs w:val="18"/>
              </w:rPr>
            </w:pPr>
            <w:r w:rsidRPr="0051061D">
              <w:rPr>
                <w:rFonts w:cs="Times New Roman"/>
                <w:sz w:val="18"/>
                <w:szCs w:val="18"/>
              </w:rPr>
              <w:t>3%</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457"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8%**</w:t>
            </w:r>
          </w:p>
          <w:p w:rsidR="005B3AF1" w:rsidRPr="0051061D" w:rsidRDefault="005B3AF1" w:rsidP="00AC0EF9">
            <w:pPr>
              <w:pStyle w:val="TableText0"/>
              <w:keepNext/>
              <w:rPr>
                <w:rFonts w:cs="Times New Roman"/>
                <w:sz w:val="18"/>
                <w:szCs w:val="18"/>
              </w:rPr>
            </w:pPr>
            <w:r w:rsidRPr="0051061D">
              <w:rPr>
                <w:rFonts w:cs="Times New Roman"/>
                <w:sz w:val="18"/>
                <w:szCs w:val="18"/>
              </w:rPr>
              <w:t>13%***</w:t>
            </w:r>
          </w:p>
          <w:p w:rsidR="005B3AF1" w:rsidRDefault="005B3AF1" w:rsidP="00AC0EF9">
            <w:pPr>
              <w:pStyle w:val="TableText0"/>
              <w:keepNext/>
              <w:rPr>
                <w:rFonts w:cs="Times New Roman"/>
                <w:sz w:val="18"/>
                <w:szCs w:val="18"/>
              </w:rPr>
            </w:pPr>
            <w:r w:rsidRPr="0051061D">
              <w:rPr>
                <w:rFonts w:cs="Times New Roman"/>
                <w:sz w:val="18"/>
                <w:szCs w:val="18"/>
              </w:rPr>
              <w:t>19%</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343"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2%</w:t>
            </w:r>
          </w:p>
          <w:p w:rsidR="005B3AF1" w:rsidRPr="0051061D" w:rsidRDefault="005B3AF1" w:rsidP="00AC0EF9">
            <w:pPr>
              <w:pStyle w:val="TableText0"/>
              <w:keepNext/>
              <w:rPr>
                <w:rFonts w:cs="Times New Roman"/>
                <w:sz w:val="18"/>
                <w:szCs w:val="18"/>
              </w:rPr>
            </w:pPr>
            <w:r w:rsidRPr="0051061D">
              <w:rPr>
                <w:rFonts w:cs="Times New Roman"/>
                <w:sz w:val="18"/>
                <w:szCs w:val="18"/>
              </w:rPr>
              <w:t>2%</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457"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12%**</w:t>
            </w:r>
          </w:p>
          <w:p w:rsidR="005B3AF1" w:rsidRPr="0051061D" w:rsidRDefault="005B3AF1" w:rsidP="00AC0EF9">
            <w:pPr>
              <w:pStyle w:val="TableText0"/>
              <w:keepNext/>
              <w:rPr>
                <w:rFonts w:cs="Times New Roman"/>
                <w:sz w:val="18"/>
                <w:szCs w:val="18"/>
              </w:rPr>
            </w:pPr>
            <w:r w:rsidRPr="0051061D">
              <w:rPr>
                <w:rFonts w:cs="Times New Roman"/>
                <w:sz w:val="18"/>
                <w:szCs w:val="18"/>
              </w:rPr>
              <w:t>20%***</w:t>
            </w:r>
          </w:p>
          <w:p w:rsidR="005B3AF1" w:rsidRDefault="005B3AF1" w:rsidP="00AC0EF9">
            <w:pPr>
              <w:pStyle w:val="TableText0"/>
              <w:keepNext/>
              <w:rPr>
                <w:rFonts w:cs="Times New Roman"/>
                <w:sz w:val="18"/>
                <w:szCs w:val="18"/>
              </w:rPr>
            </w:pPr>
            <w:r w:rsidRPr="0051061D">
              <w:rPr>
                <w:rFonts w:cs="Times New Roman"/>
                <w:sz w:val="18"/>
                <w:szCs w:val="18"/>
              </w:rPr>
              <w:t>23%</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515"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9%*</w:t>
            </w:r>
          </w:p>
          <w:p w:rsidR="005B3AF1" w:rsidRPr="0051061D" w:rsidRDefault="005B3AF1" w:rsidP="00AC0EF9">
            <w:pPr>
              <w:pStyle w:val="TableText0"/>
              <w:keepNext/>
              <w:rPr>
                <w:rFonts w:cs="Times New Roman"/>
                <w:sz w:val="18"/>
                <w:szCs w:val="18"/>
              </w:rPr>
            </w:pPr>
            <w:r w:rsidRPr="0051061D">
              <w:rPr>
                <w:rFonts w:cs="Times New Roman"/>
                <w:sz w:val="18"/>
                <w:szCs w:val="18"/>
              </w:rPr>
              <w:t>9%*</w:t>
            </w:r>
          </w:p>
          <w:p w:rsidR="005B3AF1" w:rsidRDefault="005B3AF1" w:rsidP="00AC0EF9">
            <w:pPr>
              <w:pStyle w:val="TableText0"/>
              <w:keepNext/>
              <w:rPr>
                <w:rFonts w:cs="Times New Roman"/>
                <w:sz w:val="18"/>
                <w:szCs w:val="18"/>
              </w:rPr>
            </w:pPr>
            <w:r w:rsidRPr="0051061D">
              <w:rPr>
                <w:rFonts w:cs="Times New Roman"/>
                <w:sz w:val="18"/>
                <w:szCs w:val="18"/>
              </w:rPr>
              <w:t>17%</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344"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3%</w:t>
            </w:r>
          </w:p>
          <w:p w:rsidR="005B3AF1" w:rsidRPr="0051061D" w:rsidRDefault="005B3AF1" w:rsidP="00AC0EF9">
            <w:pPr>
              <w:pStyle w:val="TableText0"/>
              <w:keepNext/>
              <w:rPr>
                <w:rFonts w:cs="Times New Roman"/>
                <w:sz w:val="18"/>
                <w:szCs w:val="18"/>
              </w:rPr>
            </w:pPr>
            <w:r w:rsidRPr="0051061D">
              <w:rPr>
                <w:rFonts w:cs="Times New Roman"/>
                <w:sz w:val="18"/>
                <w:szCs w:val="18"/>
              </w:rPr>
              <w:t>1%</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457" w:type="pct"/>
          </w:tcPr>
          <w:p w:rsidR="005B3AF1" w:rsidRPr="0051061D" w:rsidRDefault="005B3AF1" w:rsidP="00AC0EF9">
            <w:pPr>
              <w:pStyle w:val="TableText0"/>
              <w:keepNext/>
              <w:rPr>
                <w:rFonts w:cs="Times New Roman"/>
                <w:sz w:val="18"/>
                <w:szCs w:val="18"/>
                <w:lang w:val="en-AU"/>
              </w:rPr>
            </w:pPr>
          </w:p>
          <w:p w:rsidR="005B3AF1" w:rsidRPr="0051061D" w:rsidRDefault="005B3AF1" w:rsidP="00AC0EF9">
            <w:pPr>
              <w:pStyle w:val="TableText0"/>
              <w:keepNext/>
              <w:rPr>
                <w:rFonts w:cs="Times New Roman"/>
                <w:sz w:val="18"/>
                <w:szCs w:val="18"/>
              </w:rPr>
            </w:pPr>
            <w:r w:rsidRPr="0051061D">
              <w:rPr>
                <w:rFonts w:cs="Times New Roman"/>
                <w:sz w:val="18"/>
                <w:szCs w:val="18"/>
              </w:rPr>
              <w:t>11%**</w:t>
            </w:r>
          </w:p>
          <w:p w:rsidR="005B3AF1" w:rsidRPr="0051061D" w:rsidRDefault="005B3AF1" w:rsidP="00AC0EF9">
            <w:pPr>
              <w:pStyle w:val="TableText0"/>
              <w:keepNext/>
              <w:rPr>
                <w:rFonts w:cs="Times New Roman"/>
                <w:sz w:val="18"/>
                <w:szCs w:val="18"/>
              </w:rPr>
            </w:pPr>
            <w:r w:rsidRPr="0051061D">
              <w:rPr>
                <w:rFonts w:cs="Times New Roman"/>
                <w:sz w:val="18"/>
                <w:szCs w:val="18"/>
              </w:rPr>
              <w:t>15%***</w:t>
            </w:r>
          </w:p>
          <w:p w:rsidR="005B3AF1" w:rsidRDefault="005B3AF1" w:rsidP="00AC0EF9">
            <w:pPr>
              <w:pStyle w:val="TableText0"/>
              <w:keepNext/>
              <w:rPr>
                <w:rFonts w:cs="Times New Roman"/>
                <w:sz w:val="18"/>
                <w:szCs w:val="18"/>
              </w:rPr>
            </w:pPr>
            <w:r w:rsidRPr="0051061D">
              <w:rPr>
                <w:rFonts w:cs="Times New Roman"/>
                <w:sz w:val="18"/>
                <w:szCs w:val="18"/>
              </w:rPr>
              <w:t>19%</w:t>
            </w:r>
          </w:p>
          <w:p w:rsidR="005B3AF1" w:rsidRPr="0051061D" w:rsidRDefault="005B3AF1" w:rsidP="00AC0EF9">
            <w:pPr>
              <w:pStyle w:val="TableText0"/>
              <w:keepNext/>
              <w:rPr>
                <w:rFonts w:cs="Times New Roman"/>
                <w:sz w:val="18"/>
                <w:szCs w:val="18"/>
              </w:rPr>
            </w:pPr>
            <w:r>
              <w:rPr>
                <w:rFonts w:cs="Times New Roman"/>
                <w:sz w:val="18"/>
                <w:szCs w:val="18"/>
              </w:rPr>
              <w:t>17%</w:t>
            </w:r>
          </w:p>
        </w:tc>
        <w:tc>
          <w:tcPr>
            <w:tcW w:w="422" w:type="pct"/>
          </w:tcPr>
          <w:p w:rsidR="005B3AF1" w:rsidRPr="0051061D" w:rsidRDefault="005B3AF1" w:rsidP="00AC0EF9">
            <w:pPr>
              <w:pStyle w:val="TableText0"/>
              <w:keepNext/>
              <w:rPr>
                <w:rFonts w:cs="Times New Roman"/>
                <w:sz w:val="18"/>
                <w:szCs w:val="18"/>
              </w:rPr>
            </w:pPr>
          </w:p>
          <w:p w:rsidR="005B3AF1" w:rsidRPr="0051061D" w:rsidRDefault="005B3AF1" w:rsidP="00AC0EF9">
            <w:pPr>
              <w:pStyle w:val="TableText0"/>
              <w:keepNext/>
              <w:rPr>
                <w:rFonts w:cs="Times New Roman"/>
                <w:sz w:val="18"/>
                <w:szCs w:val="18"/>
              </w:rPr>
            </w:pPr>
            <w:r w:rsidRPr="0051061D">
              <w:rPr>
                <w:rFonts w:cs="Times New Roman"/>
                <w:sz w:val="18"/>
                <w:szCs w:val="18"/>
              </w:rPr>
              <w:t>2%</w:t>
            </w:r>
          </w:p>
          <w:p w:rsidR="005B3AF1" w:rsidRPr="0051061D" w:rsidRDefault="005B3AF1" w:rsidP="00AC0EF9">
            <w:pPr>
              <w:pStyle w:val="TableText0"/>
              <w:keepNext/>
              <w:rPr>
                <w:rFonts w:cs="Times New Roman"/>
                <w:sz w:val="18"/>
                <w:szCs w:val="18"/>
              </w:rPr>
            </w:pPr>
            <w:r w:rsidRPr="0051061D">
              <w:rPr>
                <w:rFonts w:cs="Times New Roman"/>
                <w:sz w:val="18"/>
                <w:szCs w:val="18"/>
              </w:rPr>
              <w:t>NA</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c>
          <w:tcPr>
            <w:tcW w:w="438" w:type="pct"/>
          </w:tcPr>
          <w:p w:rsidR="005B3AF1" w:rsidRPr="0051061D" w:rsidRDefault="005B3AF1" w:rsidP="00AC0EF9">
            <w:pPr>
              <w:pStyle w:val="TableText0"/>
              <w:keepNext/>
              <w:rPr>
                <w:rFonts w:cs="Times New Roman"/>
                <w:sz w:val="18"/>
                <w:szCs w:val="18"/>
                <w:lang w:val="en-AU"/>
              </w:rPr>
            </w:pPr>
          </w:p>
          <w:p w:rsidR="005B3AF1" w:rsidRPr="0051061D" w:rsidRDefault="005B3AF1" w:rsidP="00AC0EF9">
            <w:pPr>
              <w:pStyle w:val="TableText0"/>
              <w:keepNext/>
              <w:rPr>
                <w:rFonts w:cs="Times New Roman"/>
                <w:sz w:val="18"/>
                <w:szCs w:val="18"/>
              </w:rPr>
            </w:pPr>
            <w:r w:rsidRPr="0051061D">
              <w:rPr>
                <w:rFonts w:cs="Times New Roman"/>
                <w:sz w:val="18"/>
                <w:szCs w:val="18"/>
              </w:rPr>
              <w:t>14%**</w:t>
            </w:r>
          </w:p>
          <w:p w:rsidR="005B3AF1" w:rsidRPr="0051061D" w:rsidRDefault="005B3AF1" w:rsidP="00AC0EF9">
            <w:pPr>
              <w:pStyle w:val="TableText0"/>
              <w:keepNext/>
              <w:rPr>
                <w:rFonts w:cs="Times New Roman"/>
                <w:sz w:val="18"/>
                <w:szCs w:val="18"/>
              </w:rPr>
            </w:pPr>
            <w:r w:rsidRPr="0051061D">
              <w:rPr>
                <w:rFonts w:cs="Times New Roman"/>
                <w:sz w:val="18"/>
                <w:szCs w:val="18"/>
              </w:rPr>
              <w:t>16%</w:t>
            </w:r>
          </w:p>
          <w:p w:rsidR="005B3AF1" w:rsidRDefault="005B3AF1" w:rsidP="00AC0EF9">
            <w:pPr>
              <w:pStyle w:val="TableText0"/>
              <w:keepNext/>
              <w:rPr>
                <w:rFonts w:cs="Times New Roman"/>
                <w:sz w:val="18"/>
                <w:szCs w:val="18"/>
              </w:rPr>
            </w:pPr>
            <w:r w:rsidRPr="0051061D">
              <w:rPr>
                <w:rFonts w:cs="Times New Roman"/>
                <w:sz w:val="18"/>
                <w:szCs w:val="18"/>
              </w:rPr>
              <w:t>NA</w:t>
            </w:r>
          </w:p>
          <w:p w:rsidR="005B3AF1" w:rsidRPr="0051061D" w:rsidRDefault="005B3AF1" w:rsidP="00AC0EF9">
            <w:pPr>
              <w:pStyle w:val="TableText0"/>
              <w:keepNext/>
              <w:rPr>
                <w:rFonts w:cs="Times New Roman"/>
                <w:sz w:val="18"/>
                <w:szCs w:val="18"/>
              </w:rPr>
            </w:pPr>
            <w:r>
              <w:rPr>
                <w:rFonts w:cs="Times New Roman"/>
                <w:sz w:val="18"/>
                <w:szCs w:val="18"/>
              </w:rPr>
              <w:t>NA</w:t>
            </w:r>
          </w:p>
        </w:tc>
      </w:tr>
    </w:tbl>
    <w:p w:rsidR="005B3AF1" w:rsidRPr="0051061D" w:rsidRDefault="005B3AF1" w:rsidP="005B3AF1">
      <w:pPr>
        <w:spacing w:after="0"/>
        <w:jc w:val="left"/>
        <w:rPr>
          <w:i/>
          <w:sz w:val="18"/>
          <w:szCs w:val="18"/>
        </w:rPr>
      </w:pPr>
      <w:r>
        <w:rPr>
          <w:sz w:val="18"/>
          <w:szCs w:val="18"/>
        </w:rPr>
        <w:tab/>
      </w:r>
      <w:r w:rsidRPr="0051061D">
        <w:rPr>
          <w:sz w:val="18"/>
          <w:szCs w:val="18"/>
        </w:rPr>
        <w:t xml:space="preserve">*       </w:t>
      </w:r>
      <w:r w:rsidRPr="0051061D">
        <w:rPr>
          <w:i/>
          <w:sz w:val="18"/>
          <w:szCs w:val="18"/>
        </w:rPr>
        <w:t xml:space="preserve">p&lt;0.05, </w:t>
      </w:r>
      <w:r w:rsidRPr="0051061D">
        <w:rPr>
          <w:sz w:val="18"/>
          <w:szCs w:val="18"/>
        </w:rPr>
        <w:t>XELJANZ</w:t>
      </w:r>
      <w:r w:rsidRPr="0051061D">
        <w:rPr>
          <w:i/>
          <w:sz w:val="18"/>
          <w:szCs w:val="18"/>
        </w:rPr>
        <w:t xml:space="preserve"> vs. placebo </w:t>
      </w:r>
    </w:p>
    <w:p w:rsidR="005B3AF1" w:rsidRPr="0051061D" w:rsidRDefault="005B3AF1" w:rsidP="005B3AF1">
      <w:pPr>
        <w:spacing w:after="0"/>
        <w:jc w:val="left"/>
        <w:rPr>
          <w:i/>
          <w:sz w:val="18"/>
          <w:szCs w:val="18"/>
        </w:rPr>
      </w:pPr>
      <w:r>
        <w:rPr>
          <w:sz w:val="18"/>
          <w:szCs w:val="18"/>
        </w:rPr>
        <w:tab/>
      </w:r>
      <w:r w:rsidRPr="0051061D">
        <w:rPr>
          <w:sz w:val="18"/>
          <w:szCs w:val="18"/>
        </w:rPr>
        <w:t xml:space="preserve">**     </w:t>
      </w:r>
      <w:r w:rsidRPr="0051061D">
        <w:rPr>
          <w:i/>
          <w:sz w:val="18"/>
          <w:szCs w:val="18"/>
        </w:rPr>
        <w:t xml:space="preserve">p&lt;0.001, </w:t>
      </w:r>
      <w:r w:rsidRPr="0051061D">
        <w:rPr>
          <w:sz w:val="18"/>
          <w:szCs w:val="18"/>
        </w:rPr>
        <w:t>XELJANZ</w:t>
      </w:r>
      <w:r w:rsidRPr="0051061D">
        <w:rPr>
          <w:i/>
          <w:sz w:val="18"/>
          <w:szCs w:val="18"/>
        </w:rPr>
        <w:t xml:space="preserve"> vs. placebo </w:t>
      </w:r>
    </w:p>
    <w:p w:rsidR="006748C0" w:rsidRDefault="005B3AF1" w:rsidP="005B3AF1">
      <w:pPr>
        <w:spacing w:after="0"/>
        <w:jc w:val="left"/>
        <w:rPr>
          <w:i/>
          <w:sz w:val="18"/>
          <w:szCs w:val="18"/>
        </w:rPr>
      </w:pPr>
      <w:r>
        <w:rPr>
          <w:sz w:val="18"/>
          <w:szCs w:val="18"/>
        </w:rPr>
        <w:tab/>
      </w:r>
      <w:r w:rsidRPr="0051061D">
        <w:rPr>
          <w:sz w:val="18"/>
          <w:szCs w:val="18"/>
        </w:rPr>
        <w:t xml:space="preserve">***   </w:t>
      </w:r>
      <w:r w:rsidRPr="0051061D">
        <w:rPr>
          <w:i/>
          <w:sz w:val="18"/>
          <w:szCs w:val="18"/>
        </w:rPr>
        <w:t xml:space="preserve">p&lt;0.0001, </w:t>
      </w:r>
      <w:r w:rsidRPr="0051061D">
        <w:rPr>
          <w:sz w:val="18"/>
          <w:szCs w:val="18"/>
        </w:rPr>
        <w:t>XELJANZ</w:t>
      </w:r>
      <w:r w:rsidRPr="0051061D">
        <w:rPr>
          <w:i/>
          <w:sz w:val="18"/>
          <w:szCs w:val="18"/>
        </w:rPr>
        <w:t xml:space="preserve"> vs. placebo</w:t>
      </w:r>
    </w:p>
    <w:p w:rsidR="005B3AF1" w:rsidRPr="005F4E4B" w:rsidRDefault="005F4E4B" w:rsidP="005F4E4B">
      <w:pPr>
        <w:spacing w:after="0"/>
        <w:ind w:left="720"/>
        <w:jc w:val="left"/>
        <w:rPr>
          <w:rFonts w:eastAsia="MS Mincho"/>
          <w:sz w:val="18"/>
          <w:lang w:eastAsia="ja-JP"/>
        </w:rPr>
      </w:pPr>
      <w:r w:rsidRPr="00F654E2">
        <w:rPr>
          <w:rFonts w:eastAsia="MS Mincho"/>
          <w:sz w:val="18"/>
          <w:lang w:eastAsia="ja-JP"/>
        </w:rPr>
        <w:lastRenderedPageBreak/>
        <w:t>Abbreviations:</w:t>
      </w:r>
      <w:r>
        <w:rPr>
          <w:rFonts w:eastAsia="MS Mincho"/>
          <w:sz w:val="18"/>
          <w:lang w:eastAsia="ja-JP"/>
        </w:rPr>
        <w:t xml:space="preserve"> </w:t>
      </w:r>
      <w:r w:rsidRPr="00F654E2">
        <w:rPr>
          <w:rFonts w:eastAsia="MS Mincho"/>
          <w:sz w:val="18"/>
          <w:lang w:eastAsia="ja-JP"/>
        </w:rPr>
        <w:t>ACR20/50/70=American College of Rheumatolo</w:t>
      </w:r>
      <w:r>
        <w:rPr>
          <w:rFonts w:eastAsia="MS Mincho"/>
          <w:sz w:val="18"/>
          <w:lang w:eastAsia="ja-JP"/>
        </w:rPr>
        <w:t xml:space="preserve">gy ≥ 20, 50, 70% improvement; </w:t>
      </w:r>
      <w:r w:rsidRPr="00F654E2">
        <w:rPr>
          <w:rFonts w:eastAsia="MS Mincho"/>
          <w:sz w:val="18"/>
          <w:lang w:eastAsia="ja-JP"/>
        </w:rPr>
        <w:t>DMARD=disease</w:t>
      </w:r>
      <w:r w:rsidRPr="00F654E2">
        <w:rPr>
          <w:rFonts w:eastAsia="MS Mincho"/>
          <w:sz w:val="18"/>
          <w:lang w:eastAsia="ja-JP"/>
        </w:rPr>
        <w:noBreakHyphen/>
        <w:t xml:space="preserve">modifying antirheumatic drug; </w:t>
      </w:r>
      <w:r w:rsidR="008A3432">
        <w:rPr>
          <w:rFonts w:eastAsia="MS Mincho"/>
          <w:sz w:val="18"/>
          <w:lang w:eastAsia="ja-JP"/>
        </w:rPr>
        <w:t>MTX=methotrexate; q2</w:t>
      </w:r>
      <w:r w:rsidR="00FC5C8F">
        <w:rPr>
          <w:rFonts w:eastAsia="MS Mincho"/>
          <w:sz w:val="18"/>
          <w:lang w:eastAsia="ja-JP"/>
        </w:rPr>
        <w:t xml:space="preserve"> Weeks</w:t>
      </w:r>
      <w:r w:rsidR="008A3432">
        <w:rPr>
          <w:rFonts w:eastAsia="MS Mincho"/>
          <w:sz w:val="18"/>
          <w:lang w:eastAsia="ja-JP"/>
        </w:rPr>
        <w:t>=</w:t>
      </w:r>
      <w:r w:rsidR="00FC5C8F">
        <w:rPr>
          <w:rFonts w:eastAsia="MS Mincho"/>
          <w:sz w:val="18"/>
          <w:lang w:eastAsia="ja-JP"/>
        </w:rPr>
        <w:t>once every 2 weeks</w:t>
      </w:r>
      <w:r w:rsidR="008A3432">
        <w:rPr>
          <w:rFonts w:eastAsia="MS Mincho"/>
          <w:sz w:val="18"/>
          <w:lang w:eastAsia="ja-JP"/>
        </w:rPr>
        <w:t>; NA=Not applicable</w:t>
      </w:r>
      <w:r w:rsidRPr="00616F73">
        <w:rPr>
          <w:rFonts w:eastAsia="MS Mincho"/>
          <w:sz w:val="18"/>
          <w:lang w:eastAsia="ja-JP"/>
        </w:rPr>
        <w:t>.</w:t>
      </w:r>
    </w:p>
    <w:p w:rsidR="005B3AF1" w:rsidRPr="0051061D" w:rsidRDefault="005B3AF1" w:rsidP="005B3AF1">
      <w:pPr>
        <w:spacing w:after="0"/>
        <w:jc w:val="left"/>
        <w:rPr>
          <w:color w:val="000000"/>
          <w:szCs w:val="22"/>
        </w:rPr>
        <w:sectPr w:rsidR="005B3AF1" w:rsidRPr="0051061D" w:rsidSect="00D34586">
          <w:footerReference w:type="default" r:id="rId20"/>
          <w:footnotePr>
            <w:numFmt w:val="chicago"/>
          </w:footnotePr>
          <w:pgSz w:w="16838" w:h="11906" w:orient="landscape" w:code="9"/>
          <w:pgMar w:top="1440" w:right="1440" w:bottom="1440" w:left="1440" w:header="567" w:footer="567" w:gutter="0"/>
          <w:cols w:space="708"/>
          <w:docGrid w:linePitch="326"/>
        </w:sectPr>
      </w:pPr>
    </w:p>
    <w:p w:rsidR="005B3AF1" w:rsidRPr="0051061D" w:rsidRDefault="005B3AF1" w:rsidP="005B3AF1">
      <w:pPr>
        <w:rPr>
          <w:color w:val="000000"/>
        </w:rPr>
      </w:pPr>
      <w:r w:rsidRPr="0051061D">
        <w:rPr>
          <w:color w:val="000000"/>
          <w:szCs w:val="22"/>
        </w:rPr>
        <w:lastRenderedPageBreak/>
        <w:t>The results of the components of the ACR response criteria for Studi</w:t>
      </w:r>
      <w:r w:rsidR="00284A99">
        <w:rPr>
          <w:color w:val="000000"/>
          <w:szCs w:val="22"/>
        </w:rPr>
        <w:t>es IV and V are shown in Table </w:t>
      </w:r>
      <w:r w:rsidR="001954B1">
        <w:rPr>
          <w:color w:val="000000"/>
          <w:szCs w:val="22"/>
        </w:rPr>
        <w:t>7</w:t>
      </w:r>
      <w:r w:rsidRPr="0051061D">
        <w:rPr>
          <w:color w:val="000000"/>
          <w:szCs w:val="22"/>
        </w:rPr>
        <w:t xml:space="preserve">.  </w:t>
      </w:r>
      <w:r w:rsidRPr="0051061D">
        <w:rPr>
          <w:color w:val="000000"/>
        </w:rPr>
        <w:t>Similar results were observed in Studies I, II and III.</w:t>
      </w:r>
    </w:p>
    <w:p w:rsidR="005B3AF1" w:rsidRPr="0051061D" w:rsidRDefault="00284A99" w:rsidP="005B3AF1">
      <w:pPr>
        <w:pStyle w:val="PINormal"/>
        <w:keepNext/>
        <w:spacing w:before="120" w:after="0"/>
        <w:rPr>
          <w:b/>
        </w:rPr>
      </w:pPr>
      <w:r>
        <w:rPr>
          <w:b/>
        </w:rPr>
        <w:t>Table </w:t>
      </w:r>
      <w:r w:rsidR="001954B1">
        <w:rPr>
          <w:b/>
        </w:rPr>
        <w:t>7</w:t>
      </w:r>
      <w:r w:rsidR="005B3AF1" w:rsidRPr="0051061D">
        <w:rPr>
          <w:b/>
        </w:rPr>
        <w:t>: Components of ACR Response at Month 3</w:t>
      </w:r>
    </w:p>
    <w:tbl>
      <w:tblPr>
        <w:tblW w:w="52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996"/>
        <w:gridCol w:w="1130"/>
        <w:gridCol w:w="994"/>
        <w:gridCol w:w="1134"/>
        <w:gridCol w:w="1132"/>
        <w:gridCol w:w="998"/>
        <w:gridCol w:w="1134"/>
        <w:gridCol w:w="1001"/>
      </w:tblGrid>
      <w:tr w:rsidR="005B3AF1" w:rsidRPr="0051061D" w:rsidTr="00AC0EF9">
        <w:tc>
          <w:tcPr>
            <w:tcW w:w="636" w:type="pct"/>
          </w:tcPr>
          <w:p w:rsidR="005B3AF1" w:rsidRPr="0051061D" w:rsidRDefault="005B3AF1" w:rsidP="00AC0EF9">
            <w:pPr>
              <w:pStyle w:val="TableText0"/>
              <w:keepNext/>
              <w:spacing w:before="60" w:after="60"/>
              <w:jc w:val="center"/>
              <w:rPr>
                <w:rFonts w:cs="Times New Roman"/>
              </w:rPr>
            </w:pPr>
          </w:p>
        </w:tc>
        <w:tc>
          <w:tcPr>
            <w:tcW w:w="2179" w:type="pct"/>
            <w:gridSpan w:val="4"/>
          </w:tcPr>
          <w:p w:rsidR="005B3AF1" w:rsidRPr="0051061D" w:rsidRDefault="005B3AF1" w:rsidP="00AC0EF9">
            <w:pPr>
              <w:pStyle w:val="TableText0"/>
              <w:keepNext/>
              <w:spacing w:before="60" w:after="60"/>
              <w:jc w:val="center"/>
              <w:rPr>
                <w:rFonts w:cs="Times New Roman"/>
                <w:b/>
              </w:rPr>
            </w:pPr>
            <w:r w:rsidRPr="0051061D">
              <w:rPr>
                <w:rFonts w:cs="Times New Roman"/>
                <w:b/>
              </w:rPr>
              <w:t>Study IV (SCAN)</w:t>
            </w:r>
          </w:p>
          <w:p w:rsidR="005B3AF1" w:rsidRPr="0051061D" w:rsidRDefault="005B3AF1" w:rsidP="00AC0EF9">
            <w:pPr>
              <w:pStyle w:val="TableText0"/>
              <w:keepNext/>
              <w:spacing w:before="60" w:after="60"/>
              <w:jc w:val="center"/>
              <w:rPr>
                <w:rFonts w:cs="Times New Roman"/>
                <w:b/>
              </w:rPr>
            </w:pPr>
            <w:r w:rsidRPr="0051061D">
              <w:rPr>
                <w:rFonts w:cs="Times New Roman"/>
                <w:b/>
              </w:rPr>
              <w:t>MTX Inadequate Responders</w:t>
            </w:r>
          </w:p>
        </w:tc>
        <w:tc>
          <w:tcPr>
            <w:tcW w:w="2185" w:type="pct"/>
            <w:gridSpan w:val="4"/>
          </w:tcPr>
          <w:p w:rsidR="005B3AF1" w:rsidRPr="0051061D" w:rsidRDefault="005B3AF1" w:rsidP="00AC0EF9">
            <w:pPr>
              <w:pStyle w:val="TableText0"/>
              <w:keepNext/>
              <w:spacing w:before="60" w:after="60"/>
              <w:jc w:val="center"/>
              <w:rPr>
                <w:rFonts w:cs="Times New Roman"/>
                <w:b/>
              </w:rPr>
            </w:pPr>
            <w:r w:rsidRPr="0051061D">
              <w:rPr>
                <w:rFonts w:cs="Times New Roman"/>
                <w:b/>
              </w:rPr>
              <w:t>Study V (STEP)</w:t>
            </w:r>
          </w:p>
          <w:p w:rsidR="005B3AF1" w:rsidRPr="0051061D" w:rsidRDefault="005B3AF1" w:rsidP="00AC0EF9">
            <w:pPr>
              <w:pStyle w:val="TableText0"/>
              <w:keepNext/>
              <w:spacing w:before="60" w:after="60"/>
              <w:jc w:val="center"/>
              <w:rPr>
                <w:rFonts w:cs="Times New Roman"/>
                <w:b/>
              </w:rPr>
            </w:pPr>
            <w:r w:rsidRPr="0051061D">
              <w:rPr>
                <w:rFonts w:cs="Times New Roman"/>
                <w:b/>
              </w:rPr>
              <w:t>TNF Inhibitor Inadequate Responders</w:t>
            </w:r>
          </w:p>
        </w:tc>
      </w:tr>
      <w:tr w:rsidR="005B3AF1" w:rsidRPr="0051061D" w:rsidTr="00AC0EF9">
        <w:tc>
          <w:tcPr>
            <w:tcW w:w="636" w:type="pct"/>
          </w:tcPr>
          <w:p w:rsidR="005B3AF1" w:rsidRPr="0051061D" w:rsidRDefault="005B3AF1" w:rsidP="00AC0EF9">
            <w:pPr>
              <w:pStyle w:val="TableText0"/>
              <w:keepNext/>
              <w:spacing w:before="60" w:after="60"/>
              <w:jc w:val="center"/>
              <w:rPr>
                <w:rFonts w:cs="Times New Roman"/>
              </w:rPr>
            </w:pPr>
          </w:p>
        </w:tc>
        <w:tc>
          <w:tcPr>
            <w:tcW w:w="1089" w:type="pct"/>
            <w:gridSpan w:val="2"/>
            <w:tcBorders>
              <w:bottom w:val="single" w:sz="4" w:space="0" w:color="000000"/>
            </w:tcBorders>
          </w:tcPr>
          <w:p w:rsidR="005B3AF1" w:rsidRPr="0051061D" w:rsidRDefault="005B3AF1" w:rsidP="00AC0EF9">
            <w:pPr>
              <w:pStyle w:val="TableText0"/>
              <w:keepNext/>
              <w:spacing w:before="60" w:after="60"/>
              <w:jc w:val="center"/>
              <w:rPr>
                <w:rFonts w:cs="Times New Roman"/>
                <w:b/>
              </w:rPr>
            </w:pPr>
            <w:r w:rsidRPr="0051061D">
              <w:rPr>
                <w:rFonts w:cs="Times New Roman"/>
                <w:b/>
              </w:rPr>
              <w:t>XELJANZ</w:t>
            </w:r>
          </w:p>
          <w:p w:rsidR="005B3AF1" w:rsidRPr="0051061D" w:rsidRDefault="005B3AF1" w:rsidP="00AC0EF9">
            <w:pPr>
              <w:pStyle w:val="TableText0"/>
              <w:keepNext/>
              <w:spacing w:before="60" w:after="60"/>
              <w:jc w:val="center"/>
              <w:rPr>
                <w:rFonts w:cs="Times New Roman"/>
                <w:b/>
              </w:rPr>
            </w:pPr>
            <w:r w:rsidRPr="0051061D">
              <w:rPr>
                <w:rFonts w:cs="Times New Roman"/>
                <w:b/>
              </w:rPr>
              <w:t>5 mg Twice Daily + MTX</w:t>
            </w:r>
          </w:p>
          <w:p w:rsidR="005B3AF1" w:rsidRPr="0051061D" w:rsidRDefault="005B3AF1" w:rsidP="00AC0EF9">
            <w:pPr>
              <w:pStyle w:val="TableText0"/>
              <w:keepNext/>
              <w:spacing w:before="60" w:after="60"/>
              <w:jc w:val="center"/>
              <w:rPr>
                <w:rFonts w:cs="Times New Roman"/>
                <w:b/>
              </w:rPr>
            </w:pPr>
            <w:r w:rsidRPr="0051061D">
              <w:rPr>
                <w:rFonts w:cs="Times New Roman"/>
                <w:b/>
              </w:rPr>
              <w:t>N=316</w:t>
            </w:r>
          </w:p>
        </w:tc>
        <w:tc>
          <w:tcPr>
            <w:tcW w:w="1090" w:type="pct"/>
            <w:gridSpan w:val="2"/>
            <w:tcBorders>
              <w:bottom w:val="single" w:sz="4" w:space="0" w:color="000000"/>
            </w:tcBorders>
          </w:tcPr>
          <w:p w:rsidR="005B3AF1" w:rsidRPr="0051061D" w:rsidRDefault="005B3AF1" w:rsidP="00AC0EF9">
            <w:pPr>
              <w:pStyle w:val="TableText0"/>
              <w:keepNext/>
              <w:spacing w:before="60" w:after="60"/>
              <w:jc w:val="center"/>
              <w:rPr>
                <w:rFonts w:cs="Times New Roman"/>
                <w:b/>
              </w:rPr>
            </w:pPr>
            <w:r w:rsidRPr="0051061D">
              <w:rPr>
                <w:rFonts w:cs="Times New Roman"/>
                <w:b/>
              </w:rPr>
              <w:t>Placebo + MTX</w:t>
            </w:r>
          </w:p>
          <w:p w:rsidR="005B3AF1" w:rsidRPr="0051061D" w:rsidRDefault="005B3AF1" w:rsidP="00AC0EF9">
            <w:pPr>
              <w:pStyle w:val="TableText0"/>
              <w:keepNext/>
              <w:spacing w:before="60" w:after="60"/>
              <w:jc w:val="center"/>
              <w:rPr>
                <w:rFonts w:cs="Times New Roman"/>
                <w:b/>
              </w:rPr>
            </w:pPr>
          </w:p>
          <w:p w:rsidR="005B3AF1" w:rsidRPr="0051061D" w:rsidRDefault="005B3AF1" w:rsidP="00AC0EF9">
            <w:pPr>
              <w:pStyle w:val="TableText0"/>
              <w:keepNext/>
              <w:spacing w:before="60" w:after="60"/>
              <w:jc w:val="center"/>
              <w:rPr>
                <w:rFonts w:cs="Times New Roman"/>
                <w:b/>
              </w:rPr>
            </w:pPr>
            <w:r w:rsidRPr="0051061D">
              <w:rPr>
                <w:rFonts w:cs="Times New Roman"/>
                <w:b/>
              </w:rPr>
              <w:t>N=156</w:t>
            </w:r>
          </w:p>
        </w:tc>
        <w:tc>
          <w:tcPr>
            <w:tcW w:w="1091" w:type="pct"/>
            <w:gridSpan w:val="2"/>
            <w:tcBorders>
              <w:bottom w:val="single" w:sz="4" w:space="0" w:color="000000"/>
            </w:tcBorders>
          </w:tcPr>
          <w:p w:rsidR="005B3AF1" w:rsidRPr="0051061D" w:rsidRDefault="005B3AF1" w:rsidP="00AC0EF9">
            <w:pPr>
              <w:pStyle w:val="TableText0"/>
              <w:keepNext/>
              <w:spacing w:before="60" w:after="60"/>
              <w:jc w:val="center"/>
              <w:rPr>
                <w:rFonts w:cs="Times New Roman"/>
                <w:b/>
              </w:rPr>
            </w:pPr>
            <w:r w:rsidRPr="0051061D">
              <w:rPr>
                <w:rFonts w:cs="Times New Roman"/>
                <w:b/>
              </w:rPr>
              <w:t>XELJANZ</w:t>
            </w:r>
          </w:p>
          <w:p w:rsidR="005B3AF1" w:rsidRPr="0051061D" w:rsidRDefault="005B3AF1" w:rsidP="00AC0EF9">
            <w:pPr>
              <w:pStyle w:val="TableText0"/>
              <w:keepNext/>
              <w:spacing w:before="60" w:after="60"/>
              <w:jc w:val="center"/>
              <w:rPr>
                <w:rFonts w:cs="Times New Roman"/>
                <w:b/>
              </w:rPr>
            </w:pPr>
            <w:r w:rsidRPr="0051061D">
              <w:rPr>
                <w:rFonts w:cs="Times New Roman"/>
                <w:b/>
              </w:rPr>
              <w:t>5 mg Twice Daily + MTX</w:t>
            </w:r>
          </w:p>
          <w:p w:rsidR="005B3AF1" w:rsidRPr="0051061D" w:rsidRDefault="005B3AF1" w:rsidP="00AC0EF9">
            <w:pPr>
              <w:pStyle w:val="TableText0"/>
              <w:keepNext/>
              <w:spacing w:before="60" w:after="60"/>
              <w:jc w:val="center"/>
              <w:rPr>
                <w:rFonts w:cs="Times New Roman"/>
                <w:b/>
              </w:rPr>
            </w:pPr>
            <w:r w:rsidRPr="0051061D">
              <w:rPr>
                <w:rFonts w:cs="Times New Roman"/>
                <w:b/>
              </w:rPr>
              <w:t>N=133</w:t>
            </w:r>
          </w:p>
        </w:tc>
        <w:tc>
          <w:tcPr>
            <w:tcW w:w="1094" w:type="pct"/>
            <w:gridSpan w:val="2"/>
            <w:tcBorders>
              <w:bottom w:val="single" w:sz="4" w:space="0" w:color="000000"/>
            </w:tcBorders>
          </w:tcPr>
          <w:p w:rsidR="005B3AF1" w:rsidRPr="0051061D" w:rsidRDefault="005B3AF1" w:rsidP="00AC0EF9">
            <w:pPr>
              <w:pStyle w:val="TableText0"/>
              <w:keepNext/>
              <w:spacing w:before="60" w:after="60"/>
              <w:jc w:val="center"/>
              <w:rPr>
                <w:rFonts w:cs="Times New Roman"/>
                <w:b/>
              </w:rPr>
            </w:pPr>
            <w:r w:rsidRPr="0051061D">
              <w:rPr>
                <w:rFonts w:cs="Times New Roman"/>
                <w:b/>
              </w:rPr>
              <w:t>Placebo + MTX</w:t>
            </w:r>
          </w:p>
          <w:p w:rsidR="005B3AF1" w:rsidRPr="0051061D" w:rsidRDefault="005B3AF1" w:rsidP="00AC0EF9">
            <w:pPr>
              <w:pStyle w:val="TableText0"/>
              <w:keepNext/>
              <w:spacing w:before="60" w:after="60"/>
              <w:jc w:val="center"/>
              <w:rPr>
                <w:rFonts w:cs="Times New Roman"/>
                <w:b/>
              </w:rPr>
            </w:pPr>
          </w:p>
          <w:p w:rsidR="005B3AF1" w:rsidRPr="0051061D" w:rsidRDefault="005B3AF1" w:rsidP="00AC0EF9">
            <w:pPr>
              <w:pStyle w:val="TableText0"/>
              <w:keepNext/>
              <w:spacing w:before="60" w:after="60"/>
              <w:jc w:val="center"/>
              <w:rPr>
                <w:rFonts w:cs="Times New Roman"/>
                <w:b/>
              </w:rPr>
            </w:pPr>
            <w:r w:rsidRPr="0051061D">
              <w:rPr>
                <w:rFonts w:cs="Times New Roman"/>
                <w:b/>
              </w:rPr>
              <w:t>N=132</w:t>
            </w:r>
          </w:p>
        </w:tc>
      </w:tr>
      <w:tr w:rsidR="005B3AF1" w:rsidRPr="0051061D" w:rsidTr="00AC0EF9">
        <w:tc>
          <w:tcPr>
            <w:tcW w:w="636" w:type="pct"/>
          </w:tcPr>
          <w:p w:rsidR="005B3AF1" w:rsidRPr="0051061D" w:rsidRDefault="005B3AF1" w:rsidP="00AC0EF9">
            <w:pPr>
              <w:pStyle w:val="TableText0"/>
              <w:keepNext/>
              <w:spacing w:before="60" w:after="60"/>
              <w:ind w:left="-18" w:firstLine="18"/>
              <w:rPr>
                <w:rFonts w:cs="Times New Roman"/>
              </w:rPr>
            </w:pPr>
            <w:r w:rsidRPr="0051061D">
              <w:rPr>
                <w:rFonts w:cs="Times New Roman"/>
              </w:rPr>
              <w:t>Component (mean)</w:t>
            </w:r>
          </w:p>
        </w:tc>
        <w:tc>
          <w:tcPr>
            <w:tcW w:w="510" w:type="pct"/>
            <w:tcBorders>
              <w:right w:val="single" w:sz="4" w:space="0" w:color="auto"/>
            </w:tcBorders>
          </w:tcPr>
          <w:p w:rsidR="005B3AF1" w:rsidRPr="0051061D" w:rsidRDefault="005B3AF1" w:rsidP="00AC0EF9">
            <w:pPr>
              <w:pStyle w:val="TableText0"/>
              <w:keepNext/>
              <w:spacing w:before="60" w:after="60"/>
              <w:ind w:left="-54"/>
              <w:jc w:val="center"/>
              <w:rPr>
                <w:rFonts w:cs="Times New Roman"/>
              </w:rPr>
            </w:pPr>
            <w:r w:rsidRPr="0051061D">
              <w:rPr>
                <w:rFonts w:cs="Times New Roman"/>
              </w:rPr>
              <w:t>Base-line</w:t>
            </w:r>
          </w:p>
        </w:tc>
        <w:tc>
          <w:tcPr>
            <w:tcW w:w="579" w:type="pct"/>
            <w:tcBorders>
              <w:left w:val="single" w:sz="4" w:space="0" w:color="auto"/>
            </w:tcBorders>
          </w:tcPr>
          <w:p w:rsidR="005B3AF1" w:rsidRPr="0051061D" w:rsidRDefault="005B3AF1" w:rsidP="00AC0EF9">
            <w:pPr>
              <w:pStyle w:val="TableText0"/>
              <w:keepNext/>
              <w:spacing w:before="60" w:after="60"/>
              <w:ind w:left="-94" w:right="-108"/>
              <w:jc w:val="center"/>
              <w:rPr>
                <w:rFonts w:cs="Times New Roman"/>
              </w:rPr>
            </w:pPr>
            <w:r w:rsidRPr="0051061D">
              <w:rPr>
                <w:rFonts w:cs="Times New Roman"/>
              </w:rPr>
              <w:t>Month 3</w:t>
            </w:r>
          </w:p>
        </w:tc>
        <w:tc>
          <w:tcPr>
            <w:tcW w:w="509" w:type="pct"/>
            <w:tcBorders>
              <w:right w:val="single" w:sz="4" w:space="0" w:color="auto"/>
            </w:tcBorders>
          </w:tcPr>
          <w:p w:rsidR="005B3AF1" w:rsidRPr="0051061D" w:rsidRDefault="005B3AF1" w:rsidP="00AC0EF9">
            <w:pPr>
              <w:pStyle w:val="TableText0"/>
              <w:keepNext/>
              <w:spacing w:before="60" w:after="60"/>
              <w:ind w:left="-42" w:right="-108"/>
              <w:jc w:val="center"/>
              <w:rPr>
                <w:rFonts w:cs="Times New Roman"/>
              </w:rPr>
            </w:pPr>
            <w:r w:rsidRPr="0051061D">
              <w:rPr>
                <w:rFonts w:cs="Times New Roman"/>
              </w:rPr>
              <w:t>Base-line</w:t>
            </w:r>
          </w:p>
        </w:tc>
        <w:tc>
          <w:tcPr>
            <w:tcW w:w="581" w:type="pct"/>
            <w:tcBorders>
              <w:left w:val="single" w:sz="4" w:space="0" w:color="auto"/>
            </w:tcBorders>
          </w:tcPr>
          <w:p w:rsidR="005B3AF1" w:rsidRPr="0051061D" w:rsidRDefault="005B3AF1" w:rsidP="00AC0EF9">
            <w:pPr>
              <w:pStyle w:val="TableText0"/>
              <w:keepNext/>
              <w:spacing w:before="60" w:after="60"/>
              <w:ind w:left="-138" w:right="-108"/>
              <w:jc w:val="center"/>
              <w:rPr>
                <w:rFonts w:cs="Times New Roman"/>
              </w:rPr>
            </w:pPr>
            <w:r w:rsidRPr="0051061D">
              <w:rPr>
                <w:rFonts w:cs="Times New Roman"/>
              </w:rPr>
              <w:t>Month 3</w:t>
            </w:r>
          </w:p>
        </w:tc>
        <w:tc>
          <w:tcPr>
            <w:tcW w:w="580" w:type="pct"/>
            <w:tcBorders>
              <w:right w:val="single" w:sz="4" w:space="0" w:color="auto"/>
            </w:tcBorders>
          </w:tcPr>
          <w:p w:rsidR="005B3AF1" w:rsidRPr="0051061D" w:rsidRDefault="005B3AF1" w:rsidP="00AC0EF9">
            <w:pPr>
              <w:pStyle w:val="TableText0"/>
              <w:keepNext/>
              <w:spacing w:before="60" w:after="60"/>
              <w:ind w:left="-42"/>
              <w:jc w:val="center"/>
              <w:rPr>
                <w:rFonts w:cs="Times New Roman"/>
              </w:rPr>
            </w:pPr>
            <w:r w:rsidRPr="0051061D">
              <w:rPr>
                <w:rFonts w:cs="Times New Roman"/>
              </w:rPr>
              <w:t>Base-line</w:t>
            </w:r>
          </w:p>
        </w:tc>
        <w:tc>
          <w:tcPr>
            <w:tcW w:w="511" w:type="pct"/>
            <w:tcBorders>
              <w:left w:val="single" w:sz="4" w:space="0" w:color="auto"/>
            </w:tcBorders>
          </w:tcPr>
          <w:p w:rsidR="005B3AF1" w:rsidRPr="0051061D" w:rsidRDefault="005B3AF1" w:rsidP="00AC0EF9">
            <w:pPr>
              <w:pStyle w:val="TableText0"/>
              <w:keepNext/>
              <w:spacing w:before="60" w:after="60"/>
              <w:ind w:left="-108"/>
              <w:jc w:val="center"/>
              <w:rPr>
                <w:rFonts w:cs="Times New Roman"/>
              </w:rPr>
            </w:pPr>
            <w:r w:rsidRPr="0051061D">
              <w:rPr>
                <w:rFonts w:cs="Times New Roman"/>
              </w:rPr>
              <w:t>Month 3</w:t>
            </w:r>
          </w:p>
        </w:tc>
        <w:tc>
          <w:tcPr>
            <w:tcW w:w="581" w:type="pct"/>
            <w:tcBorders>
              <w:right w:val="single" w:sz="4" w:space="0" w:color="auto"/>
            </w:tcBorders>
          </w:tcPr>
          <w:p w:rsidR="005B3AF1" w:rsidRPr="0051061D" w:rsidRDefault="005B3AF1" w:rsidP="00AC0EF9">
            <w:pPr>
              <w:pStyle w:val="TableText0"/>
              <w:keepNext/>
              <w:spacing w:before="60" w:after="60"/>
              <w:ind w:left="-108"/>
              <w:jc w:val="center"/>
              <w:rPr>
                <w:rFonts w:cs="Times New Roman"/>
              </w:rPr>
            </w:pPr>
            <w:r w:rsidRPr="0051061D">
              <w:rPr>
                <w:rFonts w:cs="Times New Roman"/>
              </w:rPr>
              <w:t>Base-line</w:t>
            </w:r>
          </w:p>
        </w:tc>
        <w:tc>
          <w:tcPr>
            <w:tcW w:w="513" w:type="pct"/>
            <w:tcBorders>
              <w:left w:val="single" w:sz="4" w:space="0" w:color="auto"/>
            </w:tcBorders>
          </w:tcPr>
          <w:p w:rsidR="005B3AF1" w:rsidRPr="0051061D" w:rsidRDefault="005B3AF1" w:rsidP="00AC0EF9">
            <w:pPr>
              <w:pStyle w:val="TableText0"/>
              <w:keepNext/>
              <w:spacing w:before="60" w:after="60"/>
              <w:ind w:left="-108" w:right="-108"/>
              <w:jc w:val="center"/>
              <w:rPr>
                <w:rFonts w:cs="Times New Roman"/>
              </w:rPr>
            </w:pPr>
            <w:r w:rsidRPr="0051061D">
              <w:rPr>
                <w:rFonts w:cs="Times New Roman"/>
              </w:rPr>
              <w:t>Month 3</w:t>
            </w:r>
          </w:p>
        </w:tc>
      </w:tr>
      <w:tr w:rsidR="005B3AF1" w:rsidRPr="0051061D" w:rsidTr="00AC0EF9">
        <w:trPr>
          <w:trHeight w:val="593"/>
        </w:trPr>
        <w:tc>
          <w:tcPr>
            <w:tcW w:w="636" w:type="pct"/>
          </w:tcPr>
          <w:p w:rsidR="005B3AF1" w:rsidRPr="0051061D" w:rsidRDefault="005B3AF1" w:rsidP="00AC0EF9">
            <w:pPr>
              <w:pStyle w:val="TableText0"/>
              <w:keepNext/>
              <w:spacing w:before="60" w:after="60"/>
              <w:ind w:left="-18" w:firstLine="18"/>
              <w:rPr>
                <w:rFonts w:cs="Times New Roman"/>
              </w:rPr>
            </w:pPr>
            <w:r w:rsidRPr="0051061D">
              <w:rPr>
                <w:rFonts w:cs="Times New Roman"/>
              </w:rPr>
              <w:t>Number of tender joints</w:t>
            </w:r>
          </w:p>
          <w:p w:rsidR="005B3AF1" w:rsidRPr="0051061D" w:rsidRDefault="005B3AF1" w:rsidP="00AC0EF9">
            <w:pPr>
              <w:pStyle w:val="TableText0"/>
              <w:keepNext/>
              <w:spacing w:before="60" w:after="60"/>
              <w:ind w:left="-18" w:firstLine="18"/>
              <w:rPr>
                <w:rFonts w:cs="Times New Roman"/>
              </w:rPr>
            </w:pPr>
            <w:r w:rsidRPr="0051061D">
              <w:rPr>
                <w:rFonts w:cs="Times New Roman"/>
              </w:rPr>
              <w:t>(0-68)</w:t>
            </w:r>
          </w:p>
        </w:tc>
        <w:tc>
          <w:tcPr>
            <w:tcW w:w="510" w:type="pct"/>
            <w:tcBorders>
              <w:right w:val="single" w:sz="4" w:space="0" w:color="auto"/>
            </w:tcBorders>
            <w:vAlign w:val="center"/>
          </w:tcPr>
          <w:p w:rsidR="005B3AF1" w:rsidRPr="0051061D" w:rsidRDefault="005B3AF1" w:rsidP="00AC0EF9">
            <w:pPr>
              <w:pStyle w:val="TableText0"/>
              <w:keepNext/>
              <w:spacing w:before="60" w:after="60"/>
              <w:ind w:left="-54"/>
              <w:jc w:val="center"/>
              <w:rPr>
                <w:rFonts w:cs="Times New Roman"/>
              </w:rPr>
            </w:pPr>
            <w:r w:rsidRPr="0051061D">
              <w:rPr>
                <w:rFonts w:cs="Times New Roman"/>
              </w:rPr>
              <w:t>24</w:t>
            </w:r>
          </w:p>
          <w:p w:rsidR="005B3AF1" w:rsidRPr="0051061D" w:rsidRDefault="005B3AF1" w:rsidP="00AC0EF9">
            <w:pPr>
              <w:pStyle w:val="TableText0"/>
              <w:keepNext/>
              <w:spacing w:before="60" w:after="60"/>
              <w:ind w:left="-54"/>
              <w:jc w:val="center"/>
              <w:rPr>
                <w:rFonts w:cs="Times New Roman"/>
              </w:rPr>
            </w:pPr>
          </w:p>
        </w:tc>
        <w:tc>
          <w:tcPr>
            <w:tcW w:w="579" w:type="pct"/>
            <w:tcBorders>
              <w:left w:val="single" w:sz="4" w:space="0" w:color="auto"/>
            </w:tcBorders>
            <w:vAlign w:val="center"/>
          </w:tcPr>
          <w:p w:rsidR="005B3AF1" w:rsidRPr="0051061D" w:rsidRDefault="005B3AF1" w:rsidP="00AC0EF9">
            <w:pPr>
              <w:pStyle w:val="TableText0"/>
              <w:keepNext/>
              <w:spacing w:before="60" w:after="60"/>
              <w:ind w:left="-101" w:right="-108"/>
              <w:jc w:val="center"/>
              <w:rPr>
                <w:rFonts w:cs="Times New Roman"/>
              </w:rPr>
            </w:pPr>
            <w:r w:rsidRPr="0051061D">
              <w:rPr>
                <w:rFonts w:cs="Times New Roman"/>
              </w:rPr>
              <w:t>13</w:t>
            </w:r>
          </w:p>
          <w:p w:rsidR="005B3AF1" w:rsidRPr="0051061D" w:rsidRDefault="005B3AF1" w:rsidP="00AC0EF9">
            <w:pPr>
              <w:pStyle w:val="TableText0"/>
              <w:keepNext/>
              <w:spacing w:before="60" w:after="60"/>
              <w:ind w:left="-94"/>
              <w:jc w:val="center"/>
              <w:rPr>
                <w:rFonts w:cs="Times New Roman"/>
              </w:rPr>
            </w:pPr>
          </w:p>
        </w:tc>
        <w:tc>
          <w:tcPr>
            <w:tcW w:w="509" w:type="pct"/>
            <w:tcBorders>
              <w:right w:val="single" w:sz="4" w:space="0" w:color="auto"/>
            </w:tcBorders>
            <w:vAlign w:val="center"/>
          </w:tcPr>
          <w:p w:rsidR="005B3AF1" w:rsidRPr="0051061D" w:rsidRDefault="005B3AF1" w:rsidP="00AC0EF9">
            <w:pPr>
              <w:pStyle w:val="TableText0"/>
              <w:keepNext/>
              <w:spacing w:before="60" w:after="60"/>
              <w:ind w:left="-42"/>
              <w:jc w:val="center"/>
              <w:rPr>
                <w:rFonts w:cs="Times New Roman"/>
              </w:rPr>
            </w:pPr>
            <w:r w:rsidRPr="0051061D">
              <w:rPr>
                <w:rFonts w:cs="Times New Roman"/>
              </w:rPr>
              <w:t>23</w:t>
            </w:r>
          </w:p>
          <w:p w:rsidR="005B3AF1" w:rsidRPr="0051061D" w:rsidRDefault="005B3AF1" w:rsidP="00AC0EF9">
            <w:pPr>
              <w:pStyle w:val="TableText0"/>
              <w:keepNext/>
              <w:spacing w:before="60" w:after="60"/>
              <w:ind w:left="-42"/>
              <w:jc w:val="center"/>
              <w:rPr>
                <w:rFonts w:cs="Times New Roman"/>
              </w:rPr>
            </w:pPr>
          </w:p>
        </w:tc>
        <w:tc>
          <w:tcPr>
            <w:tcW w:w="581" w:type="pct"/>
            <w:tcBorders>
              <w:left w:val="single" w:sz="4" w:space="0" w:color="auto"/>
            </w:tcBorders>
            <w:vAlign w:val="center"/>
          </w:tcPr>
          <w:p w:rsidR="005B3AF1" w:rsidRPr="0051061D" w:rsidRDefault="005B3AF1" w:rsidP="00AC0EF9">
            <w:pPr>
              <w:pStyle w:val="TableText0"/>
              <w:keepNext/>
              <w:spacing w:before="60" w:after="60"/>
              <w:ind w:left="-110"/>
              <w:jc w:val="center"/>
              <w:rPr>
                <w:rFonts w:cs="Times New Roman"/>
              </w:rPr>
            </w:pPr>
            <w:r w:rsidRPr="0051061D">
              <w:rPr>
                <w:rFonts w:cs="Times New Roman"/>
              </w:rPr>
              <w:t>18</w:t>
            </w:r>
          </w:p>
          <w:p w:rsidR="005B3AF1" w:rsidRPr="0051061D" w:rsidRDefault="005B3AF1" w:rsidP="00AC0EF9">
            <w:pPr>
              <w:pStyle w:val="TableText0"/>
              <w:keepNext/>
              <w:spacing w:before="60" w:after="60"/>
              <w:ind w:left="-110"/>
              <w:jc w:val="center"/>
              <w:rPr>
                <w:rFonts w:cs="Times New Roman"/>
              </w:rPr>
            </w:pPr>
          </w:p>
        </w:tc>
        <w:tc>
          <w:tcPr>
            <w:tcW w:w="580" w:type="pct"/>
            <w:tcBorders>
              <w:right w:val="single" w:sz="4" w:space="0" w:color="auto"/>
            </w:tcBorders>
            <w:vAlign w:val="center"/>
          </w:tcPr>
          <w:p w:rsidR="005B3AF1" w:rsidRPr="0051061D" w:rsidRDefault="005B3AF1" w:rsidP="00AC0EF9">
            <w:pPr>
              <w:pStyle w:val="TableText0"/>
              <w:keepNext/>
              <w:spacing w:before="60" w:after="60"/>
              <w:ind w:left="-42"/>
              <w:jc w:val="center"/>
              <w:rPr>
                <w:rFonts w:cs="Times New Roman"/>
              </w:rPr>
            </w:pPr>
            <w:r w:rsidRPr="0051061D">
              <w:rPr>
                <w:rFonts w:cs="Times New Roman"/>
              </w:rPr>
              <w:t>28</w:t>
            </w:r>
          </w:p>
          <w:p w:rsidR="005B3AF1" w:rsidRPr="0051061D" w:rsidRDefault="005B3AF1" w:rsidP="00AC0EF9">
            <w:pPr>
              <w:pStyle w:val="TableText0"/>
              <w:keepNext/>
              <w:spacing w:before="60" w:after="60"/>
              <w:ind w:left="-42"/>
              <w:jc w:val="center"/>
              <w:rPr>
                <w:rFonts w:cs="Times New Roman"/>
              </w:rPr>
            </w:pPr>
          </w:p>
        </w:tc>
        <w:tc>
          <w:tcPr>
            <w:tcW w:w="511" w:type="pct"/>
            <w:tcBorders>
              <w:left w:val="single" w:sz="4" w:space="0" w:color="auto"/>
            </w:tcBorders>
            <w:vAlign w:val="center"/>
          </w:tcPr>
          <w:p w:rsidR="005B3AF1" w:rsidRPr="0051061D" w:rsidRDefault="005B3AF1" w:rsidP="00AC0EF9">
            <w:pPr>
              <w:pStyle w:val="TableText0"/>
              <w:keepNext/>
              <w:spacing w:before="60" w:after="60"/>
              <w:ind w:left="-42" w:right="-108"/>
              <w:jc w:val="center"/>
              <w:rPr>
                <w:rFonts w:cs="Times New Roman"/>
              </w:rPr>
            </w:pPr>
            <w:r w:rsidRPr="0051061D">
              <w:rPr>
                <w:rFonts w:cs="Times New Roman"/>
              </w:rPr>
              <w:t>16</w:t>
            </w:r>
          </w:p>
          <w:p w:rsidR="005B3AF1" w:rsidRPr="0051061D" w:rsidRDefault="005B3AF1" w:rsidP="00AC0EF9">
            <w:pPr>
              <w:pStyle w:val="TableText0"/>
              <w:keepNext/>
              <w:spacing w:before="60" w:after="60"/>
              <w:ind w:left="-108" w:right="-108"/>
              <w:jc w:val="center"/>
              <w:rPr>
                <w:rFonts w:cs="Times New Roman"/>
              </w:rPr>
            </w:pPr>
          </w:p>
        </w:tc>
        <w:tc>
          <w:tcPr>
            <w:tcW w:w="581" w:type="pct"/>
            <w:tcBorders>
              <w:right w:val="single" w:sz="4" w:space="0" w:color="auto"/>
            </w:tcBorders>
            <w:vAlign w:val="center"/>
          </w:tcPr>
          <w:p w:rsidR="005B3AF1" w:rsidRPr="0051061D" w:rsidRDefault="005B3AF1" w:rsidP="00AC0EF9">
            <w:pPr>
              <w:pStyle w:val="TableText0"/>
              <w:keepNext/>
              <w:spacing w:before="60" w:after="60"/>
              <w:ind w:left="-108" w:right="-108"/>
              <w:jc w:val="center"/>
              <w:rPr>
                <w:rFonts w:cs="Times New Roman"/>
              </w:rPr>
            </w:pPr>
            <w:r w:rsidRPr="0051061D">
              <w:rPr>
                <w:rFonts w:cs="Times New Roman"/>
              </w:rPr>
              <w:t>28</w:t>
            </w:r>
          </w:p>
          <w:p w:rsidR="005B3AF1" w:rsidRPr="0051061D" w:rsidRDefault="005B3AF1" w:rsidP="00AC0EF9">
            <w:pPr>
              <w:pStyle w:val="TableText0"/>
              <w:keepNext/>
              <w:spacing w:before="60" w:after="60"/>
              <w:ind w:left="-108" w:right="-108"/>
              <w:jc w:val="center"/>
              <w:rPr>
                <w:rFonts w:cs="Times New Roman"/>
              </w:rPr>
            </w:pPr>
          </w:p>
        </w:tc>
        <w:tc>
          <w:tcPr>
            <w:tcW w:w="513" w:type="pct"/>
            <w:tcBorders>
              <w:left w:val="single" w:sz="4" w:space="0" w:color="auto"/>
            </w:tcBorders>
            <w:vAlign w:val="center"/>
          </w:tcPr>
          <w:p w:rsidR="005B3AF1" w:rsidRPr="0051061D" w:rsidRDefault="005B3AF1" w:rsidP="00AC0EF9">
            <w:pPr>
              <w:pStyle w:val="TableText0"/>
              <w:keepNext/>
              <w:spacing w:before="60" w:after="60"/>
              <w:ind w:left="-108" w:right="-108"/>
              <w:jc w:val="center"/>
              <w:rPr>
                <w:rFonts w:cs="Times New Roman"/>
              </w:rPr>
            </w:pPr>
            <w:r w:rsidRPr="0051061D">
              <w:rPr>
                <w:rFonts w:cs="Times New Roman"/>
              </w:rPr>
              <w:t>21</w:t>
            </w:r>
          </w:p>
          <w:p w:rsidR="005B3AF1" w:rsidRPr="0051061D" w:rsidRDefault="005B3AF1" w:rsidP="00AC0EF9">
            <w:pPr>
              <w:pStyle w:val="TableText0"/>
              <w:keepNext/>
              <w:spacing w:before="60" w:after="60"/>
              <w:ind w:left="-108" w:right="-108"/>
              <w:jc w:val="center"/>
              <w:rPr>
                <w:rFonts w:cs="Times New Roman"/>
              </w:rPr>
            </w:pPr>
          </w:p>
        </w:tc>
      </w:tr>
      <w:tr w:rsidR="005B3AF1" w:rsidRPr="0051061D" w:rsidTr="00AC0EF9">
        <w:tc>
          <w:tcPr>
            <w:tcW w:w="636" w:type="pct"/>
          </w:tcPr>
          <w:p w:rsidR="005B3AF1" w:rsidRPr="0051061D" w:rsidRDefault="005B3AF1" w:rsidP="00AC0EF9">
            <w:pPr>
              <w:pStyle w:val="TableText0"/>
              <w:keepNext/>
              <w:spacing w:before="60" w:after="60"/>
              <w:ind w:left="-18" w:firstLine="18"/>
              <w:rPr>
                <w:rFonts w:cs="Times New Roman"/>
              </w:rPr>
            </w:pPr>
            <w:r w:rsidRPr="0051061D">
              <w:rPr>
                <w:rFonts w:cs="Times New Roman"/>
              </w:rPr>
              <w:t>Number of swollen joints</w:t>
            </w:r>
          </w:p>
          <w:p w:rsidR="005B3AF1" w:rsidRPr="0051061D" w:rsidRDefault="005B3AF1" w:rsidP="00AC0EF9">
            <w:pPr>
              <w:pStyle w:val="TableText0"/>
              <w:keepNext/>
              <w:spacing w:before="60" w:after="60"/>
              <w:ind w:left="-18" w:firstLine="18"/>
              <w:rPr>
                <w:rFonts w:cs="Times New Roman"/>
              </w:rPr>
            </w:pPr>
            <w:r w:rsidRPr="0051061D">
              <w:rPr>
                <w:rFonts w:cs="Times New Roman"/>
              </w:rPr>
              <w:t>(0-66)</w:t>
            </w:r>
          </w:p>
        </w:tc>
        <w:tc>
          <w:tcPr>
            <w:tcW w:w="510" w:type="pct"/>
            <w:tcBorders>
              <w:right w:val="single" w:sz="4" w:space="0" w:color="auto"/>
            </w:tcBorders>
            <w:vAlign w:val="center"/>
          </w:tcPr>
          <w:p w:rsidR="005B3AF1" w:rsidRPr="0051061D" w:rsidRDefault="005B3AF1" w:rsidP="00AC0EF9">
            <w:pPr>
              <w:pStyle w:val="TableText0"/>
              <w:keepNext/>
              <w:spacing w:before="60" w:after="60"/>
              <w:ind w:left="-54"/>
              <w:jc w:val="center"/>
              <w:rPr>
                <w:rFonts w:cs="Times New Roman"/>
              </w:rPr>
            </w:pPr>
            <w:r w:rsidRPr="0051061D">
              <w:rPr>
                <w:rFonts w:cs="Times New Roman"/>
              </w:rPr>
              <w:t>14</w:t>
            </w:r>
          </w:p>
          <w:p w:rsidR="005B3AF1" w:rsidRPr="0051061D" w:rsidRDefault="005B3AF1" w:rsidP="00AC0EF9">
            <w:pPr>
              <w:pStyle w:val="TableText0"/>
              <w:keepNext/>
              <w:spacing w:before="60" w:after="60"/>
              <w:ind w:left="-54"/>
              <w:jc w:val="center"/>
              <w:rPr>
                <w:rFonts w:cs="Times New Roman"/>
              </w:rPr>
            </w:pPr>
          </w:p>
        </w:tc>
        <w:tc>
          <w:tcPr>
            <w:tcW w:w="579" w:type="pct"/>
            <w:tcBorders>
              <w:left w:val="single" w:sz="4" w:space="0" w:color="auto"/>
            </w:tcBorders>
            <w:vAlign w:val="center"/>
          </w:tcPr>
          <w:p w:rsidR="005B3AF1" w:rsidRPr="0051061D" w:rsidRDefault="005B3AF1" w:rsidP="00AC0EF9">
            <w:pPr>
              <w:pStyle w:val="TableText0"/>
              <w:keepNext/>
              <w:spacing w:before="60" w:after="60"/>
              <w:ind w:left="-101" w:right="-108"/>
              <w:jc w:val="center"/>
              <w:rPr>
                <w:rFonts w:cs="Times New Roman"/>
              </w:rPr>
            </w:pPr>
            <w:r w:rsidRPr="0051061D">
              <w:rPr>
                <w:rFonts w:cs="Times New Roman"/>
              </w:rPr>
              <w:t>6</w:t>
            </w:r>
          </w:p>
          <w:p w:rsidR="005B3AF1" w:rsidRPr="0051061D" w:rsidRDefault="005B3AF1" w:rsidP="00AC0EF9">
            <w:pPr>
              <w:pStyle w:val="TableText0"/>
              <w:keepNext/>
              <w:spacing w:before="60" w:after="60"/>
              <w:ind w:left="-94"/>
              <w:jc w:val="center"/>
              <w:rPr>
                <w:rFonts w:cs="Times New Roman"/>
              </w:rPr>
            </w:pPr>
          </w:p>
        </w:tc>
        <w:tc>
          <w:tcPr>
            <w:tcW w:w="509" w:type="pct"/>
            <w:tcBorders>
              <w:right w:val="single" w:sz="4" w:space="0" w:color="auto"/>
            </w:tcBorders>
            <w:vAlign w:val="center"/>
          </w:tcPr>
          <w:p w:rsidR="005B3AF1" w:rsidRPr="0051061D" w:rsidRDefault="005B3AF1" w:rsidP="00AC0EF9">
            <w:pPr>
              <w:pStyle w:val="TableText0"/>
              <w:keepNext/>
              <w:spacing w:before="60" w:after="60"/>
              <w:ind w:left="-42"/>
              <w:jc w:val="center"/>
              <w:rPr>
                <w:rFonts w:cs="Times New Roman"/>
              </w:rPr>
            </w:pPr>
            <w:r w:rsidRPr="0051061D">
              <w:rPr>
                <w:rFonts w:cs="Times New Roman"/>
              </w:rPr>
              <w:t>14</w:t>
            </w:r>
          </w:p>
          <w:p w:rsidR="005B3AF1" w:rsidRPr="0051061D" w:rsidRDefault="005B3AF1" w:rsidP="00AC0EF9">
            <w:pPr>
              <w:pStyle w:val="TableText0"/>
              <w:keepNext/>
              <w:spacing w:before="60" w:after="60"/>
              <w:ind w:left="-42"/>
              <w:jc w:val="center"/>
              <w:rPr>
                <w:rFonts w:cs="Times New Roman"/>
              </w:rPr>
            </w:pPr>
          </w:p>
        </w:tc>
        <w:tc>
          <w:tcPr>
            <w:tcW w:w="581" w:type="pct"/>
            <w:tcBorders>
              <w:left w:val="single" w:sz="4" w:space="0" w:color="auto"/>
            </w:tcBorders>
            <w:vAlign w:val="center"/>
          </w:tcPr>
          <w:p w:rsidR="005B3AF1" w:rsidRPr="0051061D" w:rsidRDefault="005B3AF1" w:rsidP="00AC0EF9">
            <w:pPr>
              <w:pStyle w:val="TableText0"/>
              <w:keepNext/>
              <w:spacing w:before="60" w:after="60"/>
              <w:ind w:left="-110"/>
              <w:jc w:val="center"/>
              <w:rPr>
                <w:rFonts w:cs="Times New Roman"/>
              </w:rPr>
            </w:pPr>
            <w:r w:rsidRPr="0051061D">
              <w:rPr>
                <w:rFonts w:cs="Times New Roman"/>
              </w:rPr>
              <w:t>10</w:t>
            </w:r>
          </w:p>
          <w:p w:rsidR="005B3AF1" w:rsidRPr="0051061D" w:rsidRDefault="005B3AF1" w:rsidP="00AC0EF9">
            <w:pPr>
              <w:pStyle w:val="TableText0"/>
              <w:keepNext/>
              <w:spacing w:before="60" w:after="60"/>
              <w:ind w:left="-110"/>
              <w:jc w:val="center"/>
              <w:rPr>
                <w:rFonts w:cs="Times New Roman"/>
              </w:rPr>
            </w:pPr>
          </w:p>
        </w:tc>
        <w:tc>
          <w:tcPr>
            <w:tcW w:w="580" w:type="pct"/>
            <w:tcBorders>
              <w:right w:val="single" w:sz="4" w:space="0" w:color="auto"/>
            </w:tcBorders>
            <w:vAlign w:val="center"/>
          </w:tcPr>
          <w:p w:rsidR="005B3AF1" w:rsidRPr="0051061D" w:rsidRDefault="005B3AF1" w:rsidP="00AC0EF9">
            <w:pPr>
              <w:pStyle w:val="TableText0"/>
              <w:keepNext/>
              <w:spacing w:before="60" w:after="60"/>
              <w:ind w:left="-42"/>
              <w:jc w:val="center"/>
              <w:rPr>
                <w:rFonts w:cs="Times New Roman"/>
              </w:rPr>
            </w:pPr>
            <w:r w:rsidRPr="0051061D">
              <w:rPr>
                <w:rFonts w:cs="Times New Roman"/>
              </w:rPr>
              <w:t>16</w:t>
            </w:r>
          </w:p>
          <w:p w:rsidR="005B3AF1" w:rsidRPr="0051061D" w:rsidRDefault="005B3AF1" w:rsidP="00AC0EF9">
            <w:pPr>
              <w:pStyle w:val="TableText0"/>
              <w:keepNext/>
              <w:spacing w:before="60" w:after="60"/>
              <w:ind w:left="-42"/>
              <w:jc w:val="center"/>
              <w:rPr>
                <w:rFonts w:cs="Times New Roman"/>
              </w:rPr>
            </w:pPr>
          </w:p>
        </w:tc>
        <w:tc>
          <w:tcPr>
            <w:tcW w:w="511" w:type="pct"/>
            <w:tcBorders>
              <w:left w:val="single" w:sz="4" w:space="0" w:color="auto"/>
            </w:tcBorders>
            <w:vAlign w:val="center"/>
          </w:tcPr>
          <w:p w:rsidR="005B3AF1" w:rsidRPr="0051061D" w:rsidRDefault="005B3AF1" w:rsidP="00AC0EF9">
            <w:pPr>
              <w:pStyle w:val="TableText0"/>
              <w:keepNext/>
              <w:spacing w:before="60" w:after="60"/>
              <w:ind w:left="-42" w:right="-108"/>
              <w:jc w:val="center"/>
              <w:rPr>
                <w:rFonts w:cs="Times New Roman"/>
              </w:rPr>
            </w:pPr>
            <w:r w:rsidRPr="0051061D">
              <w:rPr>
                <w:rFonts w:cs="Times New Roman"/>
              </w:rPr>
              <w:t>8</w:t>
            </w:r>
          </w:p>
          <w:p w:rsidR="005B3AF1" w:rsidRPr="0051061D" w:rsidRDefault="005B3AF1" w:rsidP="00AC0EF9">
            <w:pPr>
              <w:pStyle w:val="TableText0"/>
              <w:keepNext/>
              <w:spacing w:before="60" w:after="60"/>
              <w:ind w:left="-108" w:right="-108"/>
              <w:jc w:val="center"/>
              <w:rPr>
                <w:rFonts w:cs="Times New Roman"/>
              </w:rPr>
            </w:pPr>
          </w:p>
        </w:tc>
        <w:tc>
          <w:tcPr>
            <w:tcW w:w="581" w:type="pct"/>
            <w:tcBorders>
              <w:bottom w:val="single" w:sz="4" w:space="0" w:color="000000"/>
              <w:right w:val="single" w:sz="4" w:space="0" w:color="auto"/>
            </w:tcBorders>
            <w:vAlign w:val="center"/>
          </w:tcPr>
          <w:p w:rsidR="005B3AF1" w:rsidRPr="0051061D" w:rsidRDefault="005B3AF1" w:rsidP="00AC0EF9">
            <w:pPr>
              <w:pStyle w:val="TableText0"/>
              <w:keepNext/>
              <w:spacing w:before="60" w:after="60"/>
              <w:ind w:left="-108" w:right="-108"/>
              <w:jc w:val="center"/>
              <w:rPr>
                <w:rFonts w:cs="Times New Roman"/>
              </w:rPr>
            </w:pPr>
            <w:r w:rsidRPr="0051061D">
              <w:rPr>
                <w:rFonts w:cs="Times New Roman"/>
              </w:rPr>
              <w:t>17</w:t>
            </w:r>
          </w:p>
          <w:p w:rsidR="005B3AF1" w:rsidRPr="0051061D" w:rsidRDefault="005B3AF1" w:rsidP="00AC0EF9">
            <w:pPr>
              <w:pStyle w:val="TableText0"/>
              <w:keepNext/>
              <w:spacing w:before="60" w:after="60"/>
              <w:ind w:left="-108" w:right="-108"/>
              <w:jc w:val="center"/>
              <w:rPr>
                <w:rFonts w:cs="Times New Roman"/>
              </w:rPr>
            </w:pPr>
          </w:p>
        </w:tc>
        <w:tc>
          <w:tcPr>
            <w:tcW w:w="513" w:type="pct"/>
            <w:tcBorders>
              <w:left w:val="single" w:sz="4" w:space="0" w:color="auto"/>
              <w:bottom w:val="single" w:sz="4" w:space="0" w:color="000000"/>
            </w:tcBorders>
            <w:vAlign w:val="center"/>
          </w:tcPr>
          <w:p w:rsidR="005B3AF1" w:rsidRPr="0051061D" w:rsidRDefault="005B3AF1" w:rsidP="00AC0EF9">
            <w:pPr>
              <w:pStyle w:val="TableText0"/>
              <w:keepNext/>
              <w:spacing w:before="60" w:after="60"/>
              <w:ind w:left="-108" w:right="-108"/>
              <w:jc w:val="center"/>
              <w:rPr>
                <w:rFonts w:cs="Times New Roman"/>
              </w:rPr>
            </w:pPr>
            <w:r w:rsidRPr="0051061D">
              <w:rPr>
                <w:rFonts w:cs="Times New Roman"/>
              </w:rPr>
              <w:t>12</w:t>
            </w:r>
          </w:p>
          <w:p w:rsidR="005B3AF1" w:rsidRPr="0051061D" w:rsidRDefault="005B3AF1" w:rsidP="00AC0EF9">
            <w:pPr>
              <w:pStyle w:val="TableText0"/>
              <w:keepNext/>
              <w:spacing w:before="60" w:after="60"/>
              <w:ind w:left="-108" w:right="-108"/>
              <w:jc w:val="center"/>
              <w:rPr>
                <w:rFonts w:cs="Times New Roman"/>
              </w:rPr>
            </w:pPr>
          </w:p>
        </w:tc>
      </w:tr>
      <w:tr w:rsidR="005B3AF1" w:rsidRPr="0051061D" w:rsidTr="00AC0EF9">
        <w:tc>
          <w:tcPr>
            <w:tcW w:w="636" w:type="pct"/>
          </w:tcPr>
          <w:p w:rsidR="005B3AF1" w:rsidRPr="0051061D" w:rsidRDefault="005B3AF1" w:rsidP="00AC0EF9">
            <w:pPr>
              <w:pStyle w:val="TableText0"/>
              <w:keepNext/>
              <w:spacing w:before="60" w:after="60"/>
              <w:ind w:left="-18" w:firstLine="18"/>
              <w:rPr>
                <w:rFonts w:cs="Times New Roman"/>
              </w:rPr>
            </w:pPr>
            <w:proofErr w:type="spellStart"/>
            <w:r w:rsidRPr="0051061D">
              <w:rPr>
                <w:rFonts w:cs="Times New Roman"/>
              </w:rPr>
              <w:t>Pain</w:t>
            </w:r>
            <w:r w:rsidRPr="0051061D">
              <w:rPr>
                <w:rFonts w:cs="Times New Roman"/>
                <w:vertAlign w:val="superscript"/>
              </w:rPr>
              <w:t>a</w:t>
            </w:r>
            <w:proofErr w:type="spellEnd"/>
          </w:p>
        </w:tc>
        <w:tc>
          <w:tcPr>
            <w:tcW w:w="510" w:type="pct"/>
            <w:tcBorders>
              <w:right w:val="single" w:sz="4" w:space="0" w:color="auto"/>
            </w:tcBorders>
            <w:vAlign w:val="center"/>
          </w:tcPr>
          <w:p w:rsidR="005B3AF1" w:rsidRPr="0051061D" w:rsidRDefault="005B3AF1" w:rsidP="00AC0EF9">
            <w:pPr>
              <w:pStyle w:val="TableText0"/>
              <w:keepNext/>
              <w:spacing w:before="60" w:after="60"/>
              <w:ind w:left="-54"/>
              <w:jc w:val="center"/>
              <w:rPr>
                <w:rFonts w:cs="Times New Roman"/>
              </w:rPr>
            </w:pPr>
            <w:r w:rsidRPr="0051061D">
              <w:rPr>
                <w:rFonts w:cs="Times New Roman"/>
              </w:rPr>
              <w:t>58</w:t>
            </w:r>
          </w:p>
          <w:p w:rsidR="005B3AF1" w:rsidRPr="0051061D" w:rsidRDefault="005B3AF1" w:rsidP="00AC0EF9">
            <w:pPr>
              <w:pStyle w:val="TableText0"/>
              <w:keepNext/>
              <w:spacing w:before="60" w:after="60"/>
              <w:ind w:left="-54"/>
              <w:jc w:val="center"/>
              <w:rPr>
                <w:rFonts w:cs="Times New Roman"/>
              </w:rPr>
            </w:pPr>
          </w:p>
        </w:tc>
        <w:tc>
          <w:tcPr>
            <w:tcW w:w="579" w:type="pct"/>
            <w:tcBorders>
              <w:left w:val="single" w:sz="4" w:space="0" w:color="auto"/>
            </w:tcBorders>
            <w:vAlign w:val="center"/>
          </w:tcPr>
          <w:p w:rsidR="005B3AF1" w:rsidRPr="0051061D" w:rsidRDefault="005B3AF1" w:rsidP="00AC0EF9">
            <w:pPr>
              <w:pStyle w:val="TableText0"/>
              <w:keepNext/>
              <w:spacing w:before="60" w:after="60"/>
              <w:ind w:left="-101" w:right="-108"/>
              <w:jc w:val="center"/>
              <w:rPr>
                <w:rFonts w:cs="Times New Roman"/>
              </w:rPr>
            </w:pPr>
            <w:r w:rsidRPr="0051061D">
              <w:rPr>
                <w:rFonts w:cs="Times New Roman"/>
              </w:rPr>
              <w:t>35</w:t>
            </w:r>
          </w:p>
          <w:p w:rsidR="005B3AF1" w:rsidRPr="0051061D" w:rsidRDefault="005B3AF1" w:rsidP="00AC0EF9">
            <w:pPr>
              <w:pStyle w:val="TableText0"/>
              <w:keepNext/>
              <w:spacing w:before="60" w:after="60"/>
              <w:ind w:left="-94"/>
              <w:jc w:val="center"/>
              <w:rPr>
                <w:rFonts w:cs="Times New Roman"/>
              </w:rPr>
            </w:pPr>
          </w:p>
        </w:tc>
        <w:tc>
          <w:tcPr>
            <w:tcW w:w="509" w:type="pct"/>
            <w:tcBorders>
              <w:right w:val="single" w:sz="4" w:space="0" w:color="auto"/>
            </w:tcBorders>
            <w:vAlign w:val="center"/>
          </w:tcPr>
          <w:p w:rsidR="005B3AF1" w:rsidRPr="0051061D" w:rsidRDefault="005B3AF1" w:rsidP="00AC0EF9">
            <w:pPr>
              <w:pStyle w:val="TableText0"/>
              <w:keepNext/>
              <w:spacing w:before="60" w:after="60"/>
              <w:ind w:left="-42"/>
              <w:jc w:val="center"/>
              <w:rPr>
                <w:rFonts w:cs="Times New Roman"/>
              </w:rPr>
            </w:pPr>
            <w:r w:rsidRPr="0051061D">
              <w:rPr>
                <w:rFonts w:cs="Times New Roman"/>
              </w:rPr>
              <w:t>55</w:t>
            </w:r>
          </w:p>
          <w:p w:rsidR="005B3AF1" w:rsidRPr="0051061D" w:rsidRDefault="005B3AF1" w:rsidP="00AC0EF9">
            <w:pPr>
              <w:pStyle w:val="TableText0"/>
              <w:keepNext/>
              <w:spacing w:before="60" w:after="60"/>
              <w:ind w:left="-42"/>
              <w:jc w:val="center"/>
              <w:rPr>
                <w:rFonts w:cs="Times New Roman"/>
              </w:rPr>
            </w:pPr>
          </w:p>
        </w:tc>
        <w:tc>
          <w:tcPr>
            <w:tcW w:w="581" w:type="pct"/>
            <w:tcBorders>
              <w:left w:val="single" w:sz="4" w:space="0" w:color="auto"/>
            </w:tcBorders>
            <w:vAlign w:val="center"/>
          </w:tcPr>
          <w:p w:rsidR="005B3AF1" w:rsidRPr="0051061D" w:rsidRDefault="005B3AF1" w:rsidP="00AC0EF9">
            <w:pPr>
              <w:pStyle w:val="TableText0"/>
              <w:keepNext/>
              <w:spacing w:before="60" w:after="60"/>
              <w:ind w:left="-110"/>
              <w:jc w:val="center"/>
              <w:rPr>
                <w:rFonts w:cs="Times New Roman"/>
              </w:rPr>
            </w:pPr>
            <w:r w:rsidRPr="0051061D">
              <w:rPr>
                <w:rFonts w:cs="Times New Roman"/>
              </w:rPr>
              <w:t>47</w:t>
            </w:r>
          </w:p>
          <w:p w:rsidR="005B3AF1" w:rsidRPr="0051061D" w:rsidRDefault="005B3AF1" w:rsidP="00AC0EF9">
            <w:pPr>
              <w:pStyle w:val="TableText0"/>
              <w:keepNext/>
              <w:spacing w:before="60" w:after="60"/>
              <w:ind w:left="-110"/>
              <w:jc w:val="center"/>
              <w:rPr>
                <w:rFonts w:cs="Times New Roman"/>
              </w:rPr>
            </w:pPr>
          </w:p>
        </w:tc>
        <w:tc>
          <w:tcPr>
            <w:tcW w:w="580" w:type="pct"/>
            <w:tcBorders>
              <w:right w:val="single" w:sz="4" w:space="0" w:color="auto"/>
            </w:tcBorders>
            <w:vAlign w:val="center"/>
          </w:tcPr>
          <w:p w:rsidR="005B3AF1" w:rsidRPr="0051061D" w:rsidRDefault="005B3AF1" w:rsidP="00AC0EF9">
            <w:pPr>
              <w:pStyle w:val="TableText0"/>
              <w:keepNext/>
              <w:spacing w:before="60" w:after="60"/>
              <w:ind w:left="-42"/>
              <w:jc w:val="center"/>
              <w:rPr>
                <w:rFonts w:cs="Times New Roman"/>
              </w:rPr>
            </w:pPr>
            <w:r w:rsidRPr="0051061D">
              <w:rPr>
                <w:rFonts w:cs="Times New Roman"/>
              </w:rPr>
              <w:t>66</w:t>
            </w:r>
          </w:p>
          <w:p w:rsidR="005B3AF1" w:rsidRPr="0051061D" w:rsidRDefault="005B3AF1" w:rsidP="00AC0EF9">
            <w:pPr>
              <w:pStyle w:val="TableText0"/>
              <w:keepNext/>
              <w:spacing w:before="60" w:after="60"/>
              <w:ind w:left="-42"/>
              <w:jc w:val="center"/>
              <w:rPr>
                <w:rFonts w:cs="Times New Roman"/>
              </w:rPr>
            </w:pPr>
          </w:p>
        </w:tc>
        <w:tc>
          <w:tcPr>
            <w:tcW w:w="511" w:type="pct"/>
            <w:tcBorders>
              <w:left w:val="single" w:sz="4" w:space="0" w:color="auto"/>
            </w:tcBorders>
            <w:vAlign w:val="center"/>
          </w:tcPr>
          <w:p w:rsidR="005B3AF1" w:rsidRPr="0051061D" w:rsidRDefault="005B3AF1" w:rsidP="00AC0EF9">
            <w:pPr>
              <w:pStyle w:val="TableText0"/>
              <w:keepNext/>
              <w:spacing w:before="60" w:after="60"/>
              <w:ind w:left="-42" w:right="-108"/>
              <w:jc w:val="center"/>
              <w:rPr>
                <w:rFonts w:cs="Times New Roman"/>
              </w:rPr>
            </w:pPr>
            <w:r w:rsidRPr="0051061D">
              <w:rPr>
                <w:rFonts w:cs="Times New Roman"/>
              </w:rPr>
              <w:t>39</w:t>
            </w:r>
          </w:p>
          <w:p w:rsidR="005B3AF1" w:rsidRPr="0051061D" w:rsidRDefault="005B3AF1" w:rsidP="00AC0EF9">
            <w:pPr>
              <w:pStyle w:val="TableText0"/>
              <w:keepNext/>
              <w:spacing w:before="60" w:after="60"/>
              <w:ind w:left="-108" w:right="-108"/>
              <w:jc w:val="center"/>
              <w:rPr>
                <w:rFonts w:cs="Times New Roman"/>
              </w:rPr>
            </w:pPr>
          </w:p>
        </w:tc>
        <w:tc>
          <w:tcPr>
            <w:tcW w:w="581" w:type="pct"/>
            <w:tcBorders>
              <w:right w:val="single" w:sz="4" w:space="0" w:color="auto"/>
            </w:tcBorders>
            <w:vAlign w:val="center"/>
          </w:tcPr>
          <w:p w:rsidR="005B3AF1" w:rsidRPr="0051061D" w:rsidRDefault="005B3AF1" w:rsidP="00AC0EF9">
            <w:pPr>
              <w:pStyle w:val="TableText0"/>
              <w:keepNext/>
              <w:spacing w:before="60" w:after="60"/>
              <w:ind w:left="-108" w:right="-108"/>
              <w:jc w:val="center"/>
              <w:rPr>
                <w:rFonts w:cs="Times New Roman"/>
              </w:rPr>
            </w:pPr>
            <w:r w:rsidRPr="0051061D">
              <w:rPr>
                <w:rFonts w:cs="Times New Roman"/>
              </w:rPr>
              <w:t>61</w:t>
            </w:r>
          </w:p>
          <w:p w:rsidR="005B3AF1" w:rsidRPr="0051061D" w:rsidRDefault="005B3AF1" w:rsidP="00AC0EF9">
            <w:pPr>
              <w:pStyle w:val="TableText0"/>
              <w:keepNext/>
              <w:spacing w:before="60" w:after="60"/>
              <w:ind w:left="-108" w:right="-108"/>
              <w:jc w:val="center"/>
              <w:rPr>
                <w:rFonts w:cs="Times New Roman"/>
              </w:rPr>
            </w:pPr>
          </w:p>
        </w:tc>
        <w:tc>
          <w:tcPr>
            <w:tcW w:w="513" w:type="pct"/>
            <w:tcBorders>
              <w:left w:val="single" w:sz="4" w:space="0" w:color="auto"/>
            </w:tcBorders>
            <w:vAlign w:val="center"/>
          </w:tcPr>
          <w:p w:rsidR="005B3AF1" w:rsidRPr="0051061D" w:rsidRDefault="005B3AF1" w:rsidP="00AC0EF9">
            <w:pPr>
              <w:pStyle w:val="TableText0"/>
              <w:keepNext/>
              <w:spacing w:before="60" w:after="60"/>
              <w:ind w:left="-108" w:right="-108"/>
              <w:jc w:val="center"/>
              <w:rPr>
                <w:rFonts w:cs="Times New Roman"/>
              </w:rPr>
            </w:pPr>
            <w:r w:rsidRPr="0051061D">
              <w:rPr>
                <w:rFonts w:cs="Times New Roman"/>
              </w:rPr>
              <w:t>53</w:t>
            </w:r>
          </w:p>
          <w:p w:rsidR="005B3AF1" w:rsidRPr="0051061D" w:rsidRDefault="005B3AF1" w:rsidP="00AC0EF9">
            <w:pPr>
              <w:pStyle w:val="TableText0"/>
              <w:keepNext/>
              <w:spacing w:before="60" w:after="60"/>
              <w:ind w:left="-108" w:right="-108"/>
              <w:jc w:val="center"/>
              <w:rPr>
                <w:rFonts w:cs="Times New Roman"/>
              </w:rPr>
            </w:pPr>
          </w:p>
        </w:tc>
      </w:tr>
      <w:tr w:rsidR="005B3AF1" w:rsidRPr="0051061D" w:rsidTr="00AC0EF9">
        <w:tc>
          <w:tcPr>
            <w:tcW w:w="636" w:type="pct"/>
          </w:tcPr>
          <w:p w:rsidR="005B3AF1" w:rsidRPr="0051061D" w:rsidRDefault="005B3AF1" w:rsidP="00AC0EF9">
            <w:pPr>
              <w:pStyle w:val="TableText0"/>
              <w:keepNext/>
              <w:spacing w:before="60" w:after="60"/>
              <w:ind w:left="-18" w:firstLine="18"/>
              <w:rPr>
                <w:rFonts w:cs="Times New Roman"/>
              </w:rPr>
            </w:pPr>
            <w:r w:rsidRPr="0051061D">
              <w:rPr>
                <w:rFonts w:cs="Times New Roman"/>
              </w:rPr>
              <w:t xml:space="preserve">Patient global </w:t>
            </w:r>
            <w:proofErr w:type="spellStart"/>
            <w:r w:rsidRPr="0051061D">
              <w:rPr>
                <w:rFonts w:cs="Times New Roman"/>
              </w:rPr>
              <w:t>assessment</w:t>
            </w:r>
            <w:r w:rsidRPr="0051061D">
              <w:rPr>
                <w:rFonts w:cs="Times New Roman"/>
                <w:vertAlign w:val="superscript"/>
              </w:rPr>
              <w:t>a</w:t>
            </w:r>
            <w:proofErr w:type="spellEnd"/>
          </w:p>
        </w:tc>
        <w:tc>
          <w:tcPr>
            <w:tcW w:w="510" w:type="pct"/>
            <w:tcBorders>
              <w:right w:val="single" w:sz="4" w:space="0" w:color="auto"/>
            </w:tcBorders>
            <w:vAlign w:val="center"/>
          </w:tcPr>
          <w:p w:rsidR="005B3AF1" w:rsidRPr="0051061D" w:rsidRDefault="005B3AF1" w:rsidP="00AC0EF9">
            <w:pPr>
              <w:pStyle w:val="TableText0"/>
              <w:keepNext/>
              <w:spacing w:before="60" w:after="60"/>
              <w:ind w:left="-54"/>
              <w:jc w:val="center"/>
              <w:rPr>
                <w:rFonts w:cs="Times New Roman"/>
              </w:rPr>
            </w:pPr>
            <w:r w:rsidRPr="0051061D">
              <w:rPr>
                <w:rFonts w:cs="Times New Roman"/>
              </w:rPr>
              <w:t>58</w:t>
            </w:r>
          </w:p>
          <w:p w:rsidR="005B3AF1" w:rsidRPr="0051061D" w:rsidRDefault="005B3AF1" w:rsidP="00AC0EF9">
            <w:pPr>
              <w:pStyle w:val="TableText0"/>
              <w:keepNext/>
              <w:spacing w:before="60" w:after="60"/>
              <w:ind w:left="-54"/>
              <w:jc w:val="center"/>
              <w:rPr>
                <w:rFonts w:cs="Times New Roman"/>
              </w:rPr>
            </w:pPr>
          </w:p>
        </w:tc>
        <w:tc>
          <w:tcPr>
            <w:tcW w:w="579" w:type="pct"/>
            <w:tcBorders>
              <w:left w:val="single" w:sz="4" w:space="0" w:color="auto"/>
            </w:tcBorders>
            <w:vAlign w:val="center"/>
          </w:tcPr>
          <w:p w:rsidR="005B3AF1" w:rsidRPr="0051061D" w:rsidRDefault="005B3AF1" w:rsidP="00AC0EF9">
            <w:pPr>
              <w:pStyle w:val="TableText0"/>
              <w:keepNext/>
              <w:spacing w:before="60" w:after="60"/>
              <w:ind w:left="-101" w:right="-108"/>
              <w:jc w:val="center"/>
              <w:rPr>
                <w:rFonts w:cs="Times New Roman"/>
              </w:rPr>
            </w:pPr>
            <w:r w:rsidRPr="0051061D">
              <w:rPr>
                <w:rFonts w:cs="Times New Roman"/>
              </w:rPr>
              <w:t>35</w:t>
            </w:r>
          </w:p>
          <w:p w:rsidR="005B3AF1" w:rsidRPr="0051061D" w:rsidRDefault="005B3AF1" w:rsidP="00AC0EF9">
            <w:pPr>
              <w:pStyle w:val="TableText0"/>
              <w:keepNext/>
              <w:spacing w:before="60" w:after="60"/>
              <w:ind w:left="-94"/>
              <w:jc w:val="center"/>
              <w:rPr>
                <w:rFonts w:cs="Times New Roman"/>
              </w:rPr>
            </w:pPr>
          </w:p>
        </w:tc>
        <w:tc>
          <w:tcPr>
            <w:tcW w:w="509" w:type="pct"/>
            <w:tcBorders>
              <w:right w:val="single" w:sz="4" w:space="0" w:color="auto"/>
            </w:tcBorders>
            <w:vAlign w:val="center"/>
          </w:tcPr>
          <w:p w:rsidR="005B3AF1" w:rsidRPr="0051061D" w:rsidRDefault="005B3AF1" w:rsidP="00AC0EF9">
            <w:pPr>
              <w:pStyle w:val="TableText0"/>
              <w:keepNext/>
              <w:spacing w:before="60" w:after="60"/>
              <w:ind w:left="-42"/>
              <w:jc w:val="center"/>
              <w:rPr>
                <w:rFonts w:cs="Times New Roman"/>
              </w:rPr>
            </w:pPr>
            <w:r w:rsidRPr="0051061D">
              <w:rPr>
                <w:rFonts w:cs="Times New Roman"/>
              </w:rPr>
              <w:t>54</w:t>
            </w:r>
          </w:p>
          <w:p w:rsidR="005B3AF1" w:rsidRPr="0051061D" w:rsidRDefault="005B3AF1" w:rsidP="00AC0EF9">
            <w:pPr>
              <w:pStyle w:val="TableText0"/>
              <w:keepNext/>
              <w:spacing w:before="60" w:after="60"/>
              <w:ind w:left="-42"/>
              <w:jc w:val="center"/>
              <w:rPr>
                <w:rFonts w:cs="Times New Roman"/>
              </w:rPr>
            </w:pPr>
          </w:p>
        </w:tc>
        <w:tc>
          <w:tcPr>
            <w:tcW w:w="581" w:type="pct"/>
            <w:tcBorders>
              <w:left w:val="single" w:sz="4" w:space="0" w:color="auto"/>
            </w:tcBorders>
            <w:vAlign w:val="center"/>
          </w:tcPr>
          <w:p w:rsidR="005B3AF1" w:rsidRPr="0051061D" w:rsidRDefault="005B3AF1" w:rsidP="00AC0EF9">
            <w:pPr>
              <w:pStyle w:val="TableText0"/>
              <w:keepNext/>
              <w:spacing w:before="60" w:after="60"/>
              <w:ind w:left="-110"/>
              <w:jc w:val="center"/>
              <w:rPr>
                <w:rFonts w:cs="Times New Roman"/>
              </w:rPr>
            </w:pPr>
            <w:r w:rsidRPr="0051061D">
              <w:rPr>
                <w:rFonts w:cs="Times New Roman"/>
              </w:rPr>
              <w:t>47</w:t>
            </w:r>
          </w:p>
          <w:p w:rsidR="005B3AF1" w:rsidRPr="0051061D" w:rsidRDefault="005B3AF1" w:rsidP="00AC0EF9">
            <w:pPr>
              <w:pStyle w:val="TableText0"/>
              <w:keepNext/>
              <w:spacing w:before="60" w:after="60"/>
              <w:ind w:left="-110"/>
              <w:jc w:val="center"/>
              <w:rPr>
                <w:rFonts w:cs="Times New Roman"/>
              </w:rPr>
            </w:pPr>
          </w:p>
        </w:tc>
        <w:tc>
          <w:tcPr>
            <w:tcW w:w="580" w:type="pct"/>
            <w:tcBorders>
              <w:right w:val="single" w:sz="4" w:space="0" w:color="auto"/>
            </w:tcBorders>
            <w:vAlign w:val="center"/>
          </w:tcPr>
          <w:p w:rsidR="005B3AF1" w:rsidRPr="0051061D" w:rsidRDefault="005B3AF1" w:rsidP="00AC0EF9">
            <w:pPr>
              <w:pStyle w:val="TableText0"/>
              <w:keepNext/>
              <w:spacing w:before="60" w:after="60"/>
              <w:ind w:left="-42"/>
              <w:jc w:val="center"/>
              <w:rPr>
                <w:rFonts w:cs="Times New Roman"/>
              </w:rPr>
            </w:pPr>
            <w:r w:rsidRPr="0051061D">
              <w:rPr>
                <w:rFonts w:cs="Times New Roman"/>
              </w:rPr>
              <w:t>65</w:t>
            </w:r>
          </w:p>
          <w:p w:rsidR="005B3AF1" w:rsidRPr="0051061D" w:rsidRDefault="005B3AF1" w:rsidP="00AC0EF9">
            <w:pPr>
              <w:pStyle w:val="TableText0"/>
              <w:keepNext/>
              <w:spacing w:before="60" w:after="60"/>
              <w:ind w:left="-42"/>
              <w:jc w:val="center"/>
              <w:rPr>
                <w:rFonts w:cs="Times New Roman"/>
              </w:rPr>
            </w:pPr>
          </w:p>
        </w:tc>
        <w:tc>
          <w:tcPr>
            <w:tcW w:w="511" w:type="pct"/>
            <w:tcBorders>
              <w:left w:val="single" w:sz="4" w:space="0" w:color="auto"/>
            </w:tcBorders>
            <w:vAlign w:val="center"/>
          </w:tcPr>
          <w:p w:rsidR="005B3AF1" w:rsidRPr="0051061D" w:rsidRDefault="005B3AF1" w:rsidP="00AC0EF9">
            <w:pPr>
              <w:pStyle w:val="TableText0"/>
              <w:keepNext/>
              <w:spacing w:before="60" w:after="60"/>
              <w:ind w:left="-42" w:right="-108"/>
              <w:jc w:val="center"/>
              <w:rPr>
                <w:rFonts w:cs="Times New Roman"/>
              </w:rPr>
            </w:pPr>
            <w:r w:rsidRPr="0051061D">
              <w:rPr>
                <w:rFonts w:cs="Times New Roman"/>
              </w:rPr>
              <w:t>41.2</w:t>
            </w:r>
          </w:p>
          <w:p w:rsidR="005B3AF1" w:rsidRPr="0051061D" w:rsidRDefault="005B3AF1" w:rsidP="00AC0EF9">
            <w:pPr>
              <w:pStyle w:val="TableText0"/>
              <w:keepNext/>
              <w:spacing w:before="60" w:after="60"/>
              <w:ind w:left="-108" w:right="-108"/>
              <w:jc w:val="center"/>
              <w:rPr>
                <w:rFonts w:cs="Times New Roman"/>
              </w:rPr>
            </w:pPr>
          </w:p>
        </w:tc>
        <w:tc>
          <w:tcPr>
            <w:tcW w:w="581" w:type="pct"/>
            <w:tcBorders>
              <w:right w:val="single" w:sz="4" w:space="0" w:color="auto"/>
            </w:tcBorders>
            <w:vAlign w:val="center"/>
          </w:tcPr>
          <w:p w:rsidR="005B3AF1" w:rsidRPr="0051061D" w:rsidRDefault="005B3AF1" w:rsidP="00AC0EF9">
            <w:pPr>
              <w:pStyle w:val="TableText0"/>
              <w:keepNext/>
              <w:spacing w:before="60" w:after="60"/>
              <w:ind w:left="-108" w:right="-108"/>
              <w:jc w:val="center"/>
              <w:rPr>
                <w:rFonts w:cs="Times New Roman"/>
              </w:rPr>
            </w:pPr>
            <w:r w:rsidRPr="0051061D">
              <w:rPr>
                <w:rFonts w:cs="Times New Roman"/>
              </w:rPr>
              <w:t>62</w:t>
            </w:r>
          </w:p>
          <w:p w:rsidR="005B3AF1" w:rsidRPr="0051061D" w:rsidRDefault="005B3AF1" w:rsidP="00AC0EF9">
            <w:pPr>
              <w:pStyle w:val="TableText0"/>
              <w:keepNext/>
              <w:spacing w:before="60" w:after="60"/>
              <w:ind w:left="-108" w:right="-108"/>
              <w:jc w:val="center"/>
              <w:rPr>
                <w:rFonts w:cs="Times New Roman"/>
              </w:rPr>
            </w:pPr>
          </w:p>
        </w:tc>
        <w:tc>
          <w:tcPr>
            <w:tcW w:w="513" w:type="pct"/>
            <w:tcBorders>
              <w:left w:val="single" w:sz="4" w:space="0" w:color="auto"/>
            </w:tcBorders>
            <w:vAlign w:val="center"/>
          </w:tcPr>
          <w:p w:rsidR="005B3AF1" w:rsidRPr="0051061D" w:rsidRDefault="005B3AF1" w:rsidP="00AC0EF9">
            <w:pPr>
              <w:pStyle w:val="TableText0"/>
              <w:keepNext/>
              <w:spacing w:before="60" w:after="60"/>
              <w:ind w:left="-108" w:right="-108"/>
              <w:jc w:val="center"/>
              <w:rPr>
                <w:rFonts w:cs="Times New Roman"/>
              </w:rPr>
            </w:pPr>
            <w:r w:rsidRPr="0051061D">
              <w:rPr>
                <w:rFonts w:cs="Times New Roman"/>
              </w:rPr>
              <w:t>53</w:t>
            </w:r>
          </w:p>
          <w:p w:rsidR="005B3AF1" w:rsidRPr="0051061D" w:rsidRDefault="005B3AF1" w:rsidP="00AC0EF9">
            <w:pPr>
              <w:pStyle w:val="TableText0"/>
              <w:keepNext/>
              <w:spacing w:before="60" w:after="60"/>
              <w:ind w:left="-108" w:right="-108"/>
              <w:jc w:val="center"/>
              <w:rPr>
                <w:rFonts w:cs="Times New Roman"/>
              </w:rPr>
            </w:pPr>
          </w:p>
        </w:tc>
      </w:tr>
      <w:tr w:rsidR="005B3AF1" w:rsidRPr="0051061D" w:rsidTr="00AC0EF9">
        <w:tc>
          <w:tcPr>
            <w:tcW w:w="636" w:type="pct"/>
          </w:tcPr>
          <w:p w:rsidR="005B3AF1" w:rsidRPr="0051061D" w:rsidRDefault="005B3AF1" w:rsidP="00AC0EF9">
            <w:pPr>
              <w:pStyle w:val="TableText0"/>
              <w:keepNext/>
              <w:spacing w:before="60" w:after="60"/>
              <w:ind w:left="-18" w:firstLine="18"/>
              <w:rPr>
                <w:rFonts w:cs="Times New Roman"/>
              </w:rPr>
            </w:pPr>
            <w:r w:rsidRPr="0051061D">
              <w:rPr>
                <w:rFonts w:cs="Times New Roman"/>
              </w:rPr>
              <w:t>Disability index</w:t>
            </w:r>
          </w:p>
          <w:p w:rsidR="005B3AF1" w:rsidRPr="0051061D" w:rsidRDefault="005B3AF1" w:rsidP="00AC0EF9">
            <w:pPr>
              <w:pStyle w:val="TableText0"/>
              <w:keepNext/>
              <w:spacing w:before="60" w:after="60"/>
              <w:ind w:left="-18" w:firstLine="18"/>
              <w:rPr>
                <w:rFonts w:cs="Times New Roman"/>
              </w:rPr>
            </w:pPr>
            <w:r w:rsidRPr="0051061D">
              <w:rPr>
                <w:rFonts w:cs="Times New Roman"/>
              </w:rPr>
              <w:t>(HAQ-DI)</w:t>
            </w:r>
            <w:r w:rsidRPr="0051061D">
              <w:rPr>
                <w:rFonts w:cs="Times New Roman"/>
                <w:vertAlign w:val="superscript"/>
              </w:rPr>
              <w:t>b</w:t>
            </w:r>
          </w:p>
        </w:tc>
        <w:tc>
          <w:tcPr>
            <w:tcW w:w="510" w:type="pct"/>
            <w:tcBorders>
              <w:right w:val="single" w:sz="4" w:space="0" w:color="auto"/>
            </w:tcBorders>
            <w:vAlign w:val="center"/>
          </w:tcPr>
          <w:p w:rsidR="005B3AF1" w:rsidRPr="0051061D" w:rsidRDefault="005B3AF1" w:rsidP="00AC0EF9">
            <w:pPr>
              <w:pStyle w:val="TableText0"/>
              <w:keepNext/>
              <w:spacing w:before="60" w:after="60"/>
              <w:ind w:left="-54"/>
              <w:jc w:val="center"/>
              <w:rPr>
                <w:rFonts w:cs="Times New Roman"/>
              </w:rPr>
            </w:pPr>
            <w:r w:rsidRPr="0051061D">
              <w:rPr>
                <w:rFonts w:cs="Times New Roman"/>
              </w:rPr>
              <w:t>1.41</w:t>
            </w:r>
          </w:p>
          <w:p w:rsidR="005B3AF1" w:rsidRPr="0051061D" w:rsidRDefault="005B3AF1" w:rsidP="00AC0EF9">
            <w:pPr>
              <w:pStyle w:val="TableText0"/>
              <w:keepNext/>
              <w:spacing w:before="60" w:after="60"/>
              <w:ind w:left="-54"/>
              <w:jc w:val="center"/>
              <w:rPr>
                <w:rFonts w:cs="Times New Roman"/>
              </w:rPr>
            </w:pPr>
          </w:p>
        </w:tc>
        <w:tc>
          <w:tcPr>
            <w:tcW w:w="579" w:type="pct"/>
            <w:tcBorders>
              <w:left w:val="single" w:sz="4" w:space="0" w:color="auto"/>
            </w:tcBorders>
            <w:vAlign w:val="center"/>
          </w:tcPr>
          <w:p w:rsidR="005B3AF1" w:rsidRPr="0051061D" w:rsidRDefault="005B3AF1" w:rsidP="00AC0EF9">
            <w:pPr>
              <w:pStyle w:val="TableText0"/>
              <w:keepNext/>
              <w:spacing w:before="60" w:after="60"/>
              <w:ind w:left="-101" w:right="-108"/>
              <w:jc w:val="center"/>
              <w:rPr>
                <w:rFonts w:cs="Times New Roman"/>
              </w:rPr>
            </w:pPr>
            <w:r w:rsidRPr="0051061D">
              <w:rPr>
                <w:rFonts w:cs="Times New Roman"/>
              </w:rPr>
              <w:t>1.00</w:t>
            </w:r>
          </w:p>
          <w:p w:rsidR="005B3AF1" w:rsidRPr="0051061D" w:rsidRDefault="005B3AF1" w:rsidP="00AC0EF9">
            <w:pPr>
              <w:pStyle w:val="TableText0"/>
              <w:keepNext/>
              <w:spacing w:before="60" w:after="60"/>
              <w:ind w:left="-94"/>
              <w:jc w:val="center"/>
              <w:rPr>
                <w:rFonts w:cs="Times New Roman"/>
              </w:rPr>
            </w:pPr>
          </w:p>
        </w:tc>
        <w:tc>
          <w:tcPr>
            <w:tcW w:w="509" w:type="pct"/>
            <w:tcBorders>
              <w:right w:val="single" w:sz="4" w:space="0" w:color="auto"/>
            </w:tcBorders>
            <w:vAlign w:val="center"/>
          </w:tcPr>
          <w:p w:rsidR="005B3AF1" w:rsidRPr="0051061D" w:rsidRDefault="005B3AF1" w:rsidP="00AC0EF9">
            <w:pPr>
              <w:pStyle w:val="TableText0"/>
              <w:keepNext/>
              <w:spacing w:before="60" w:after="60"/>
              <w:ind w:left="-42"/>
              <w:jc w:val="center"/>
              <w:rPr>
                <w:rFonts w:cs="Times New Roman"/>
              </w:rPr>
            </w:pPr>
            <w:r w:rsidRPr="0051061D">
              <w:rPr>
                <w:rFonts w:cs="Times New Roman"/>
              </w:rPr>
              <w:t>1.31</w:t>
            </w:r>
          </w:p>
          <w:p w:rsidR="005B3AF1" w:rsidRPr="0051061D" w:rsidRDefault="005B3AF1" w:rsidP="00AC0EF9">
            <w:pPr>
              <w:pStyle w:val="TableText0"/>
              <w:keepNext/>
              <w:spacing w:before="60" w:after="60"/>
              <w:ind w:left="-42"/>
              <w:jc w:val="center"/>
              <w:rPr>
                <w:rFonts w:cs="Times New Roman"/>
              </w:rPr>
            </w:pPr>
          </w:p>
        </w:tc>
        <w:tc>
          <w:tcPr>
            <w:tcW w:w="581" w:type="pct"/>
            <w:tcBorders>
              <w:left w:val="single" w:sz="4" w:space="0" w:color="auto"/>
            </w:tcBorders>
            <w:vAlign w:val="center"/>
          </w:tcPr>
          <w:p w:rsidR="005B3AF1" w:rsidRPr="0051061D" w:rsidRDefault="005B3AF1" w:rsidP="00AC0EF9">
            <w:pPr>
              <w:pStyle w:val="TableText0"/>
              <w:keepNext/>
              <w:spacing w:before="60" w:after="60"/>
              <w:ind w:left="-110"/>
              <w:jc w:val="center"/>
              <w:rPr>
                <w:rFonts w:cs="Times New Roman"/>
              </w:rPr>
            </w:pPr>
            <w:r w:rsidRPr="0051061D">
              <w:rPr>
                <w:rFonts w:cs="Times New Roman"/>
              </w:rPr>
              <w:t>1.19</w:t>
            </w:r>
          </w:p>
          <w:p w:rsidR="005B3AF1" w:rsidRPr="0051061D" w:rsidRDefault="005B3AF1" w:rsidP="00AC0EF9">
            <w:pPr>
              <w:pStyle w:val="TableText0"/>
              <w:keepNext/>
              <w:spacing w:before="60" w:after="60"/>
              <w:ind w:left="-110"/>
              <w:jc w:val="center"/>
              <w:rPr>
                <w:rFonts w:cs="Times New Roman"/>
              </w:rPr>
            </w:pPr>
          </w:p>
        </w:tc>
        <w:tc>
          <w:tcPr>
            <w:tcW w:w="580" w:type="pct"/>
            <w:tcBorders>
              <w:bottom w:val="single" w:sz="4" w:space="0" w:color="000000"/>
              <w:right w:val="single" w:sz="4" w:space="0" w:color="auto"/>
            </w:tcBorders>
            <w:vAlign w:val="center"/>
          </w:tcPr>
          <w:p w:rsidR="005B3AF1" w:rsidRPr="0051061D" w:rsidRDefault="005B3AF1" w:rsidP="00AC0EF9">
            <w:pPr>
              <w:pStyle w:val="TableText0"/>
              <w:keepNext/>
              <w:spacing w:before="60" w:after="60"/>
              <w:ind w:left="-42"/>
              <w:jc w:val="center"/>
              <w:rPr>
                <w:rFonts w:cs="Times New Roman"/>
              </w:rPr>
            </w:pPr>
            <w:r w:rsidRPr="0051061D">
              <w:rPr>
                <w:rFonts w:cs="Times New Roman"/>
              </w:rPr>
              <w:t>1.60</w:t>
            </w:r>
          </w:p>
          <w:p w:rsidR="005B3AF1" w:rsidRPr="0051061D" w:rsidRDefault="005B3AF1" w:rsidP="00AC0EF9">
            <w:pPr>
              <w:pStyle w:val="TableText0"/>
              <w:keepNext/>
              <w:spacing w:before="60" w:after="60"/>
              <w:ind w:left="-42"/>
              <w:jc w:val="center"/>
              <w:rPr>
                <w:rFonts w:cs="Times New Roman"/>
              </w:rPr>
            </w:pPr>
          </w:p>
        </w:tc>
        <w:tc>
          <w:tcPr>
            <w:tcW w:w="511" w:type="pct"/>
            <w:tcBorders>
              <w:left w:val="single" w:sz="4" w:space="0" w:color="auto"/>
              <w:bottom w:val="single" w:sz="4" w:space="0" w:color="000000"/>
            </w:tcBorders>
            <w:vAlign w:val="center"/>
          </w:tcPr>
          <w:p w:rsidR="005B3AF1" w:rsidRPr="0051061D" w:rsidRDefault="005B3AF1" w:rsidP="00AC0EF9">
            <w:pPr>
              <w:pStyle w:val="TableText0"/>
              <w:keepNext/>
              <w:spacing w:before="60" w:after="60"/>
              <w:ind w:left="-42" w:right="-108"/>
              <w:jc w:val="center"/>
              <w:rPr>
                <w:rFonts w:cs="Times New Roman"/>
              </w:rPr>
            </w:pPr>
            <w:r w:rsidRPr="0051061D">
              <w:rPr>
                <w:rFonts w:cs="Times New Roman"/>
              </w:rPr>
              <w:t>1.20</w:t>
            </w:r>
          </w:p>
          <w:p w:rsidR="005B3AF1" w:rsidRPr="0051061D" w:rsidRDefault="005B3AF1" w:rsidP="00AC0EF9">
            <w:pPr>
              <w:pStyle w:val="TableText0"/>
              <w:keepNext/>
              <w:spacing w:before="60" w:after="60"/>
              <w:ind w:left="-108" w:right="-108"/>
              <w:jc w:val="center"/>
              <w:rPr>
                <w:rFonts w:cs="Times New Roman"/>
              </w:rPr>
            </w:pPr>
          </w:p>
        </w:tc>
        <w:tc>
          <w:tcPr>
            <w:tcW w:w="581" w:type="pct"/>
            <w:tcBorders>
              <w:right w:val="single" w:sz="4" w:space="0" w:color="auto"/>
            </w:tcBorders>
            <w:vAlign w:val="center"/>
          </w:tcPr>
          <w:p w:rsidR="005B3AF1" w:rsidRPr="0051061D" w:rsidRDefault="005B3AF1" w:rsidP="00AC0EF9">
            <w:pPr>
              <w:pStyle w:val="TableText0"/>
              <w:keepNext/>
              <w:spacing w:before="60" w:after="60"/>
              <w:ind w:left="-108" w:right="-108"/>
              <w:jc w:val="center"/>
              <w:rPr>
                <w:rFonts w:cs="Times New Roman"/>
              </w:rPr>
            </w:pPr>
            <w:r w:rsidRPr="0051061D">
              <w:rPr>
                <w:rFonts w:cs="Times New Roman"/>
              </w:rPr>
              <w:t>1.63</w:t>
            </w:r>
          </w:p>
          <w:p w:rsidR="005B3AF1" w:rsidRPr="0051061D" w:rsidRDefault="005B3AF1" w:rsidP="00AC0EF9">
            <w:pPr>
              <w:pStyle w:val="TableText0"/>
              <w:keepNext/>
              <w:spacing w:before="60" w:after="60"/>
              <w:ind w:left="-108" w:right="-108"/>
              <w:jc w:val="center"/>
              <w:rPr>
                <w:rFonts w:cs="Times New Roman"/>
              </w:rPr>
            </w:pPr>
          </w:p>
        </w:tc>
        <w:tc>
          <w:tcPr>
            <w:tcW w:w="513" w:type="pct"/>
            <w:tcBorders>
              <w:left w:val="single" w:sz="4" w:space="0" w:color="auto"/>
            </w:tcBorders>
            <w:vAlign w:val="center"/>
          </w:tcPr>
          <w:p w:rsidR="005B3AF1" w:rsidRPr="0051061D" w:rsidRDefault="005B3AF1" w:rsidP="00AC0EF9">
            <w:pPr>
              <w:pStyle w:val="TableText0"/>
              <w:keepNext/>
              <w:spacing w:before="60" w:after="60"/>
              <w:ind w:left="-108" w:right="-108"/>
              <w:jc w:val="center"/>
              <w:rPr>
                <w:rFonts w:cs="Times New Roman"/>
              </w:rPr>
            </w:pPr>
            <w:r w:rsidRPr="0051061D">
              <w:rPr>
                <w:rFonts w:cs="Times New Roman"/>
              </w:rPr>
              <w:t>1.44</w:t>
            </w:r>
          </w:p>
          <w:p w:rsidR="005B3AF1" w:rsidRPr="0051061D" w:rsidRDefault="005B3AF1" w:rsidP="00AC0EF9">
            <w:pPr>
              <w:pStyle w:val="TableText0"/>
              <w:keepNext/>
              <w:spacing w:before="60" w:after="60"/>
              <w:ind w:left="-108" w:right="-108"/>
              <w:jc w:val="center"/>
              <w:rPr>
                <w:rFonts w:cs="Times New Roman"/>
              </w:rPr>
            </w:pPr>
          </w:p>
        </w:tc>
      </w:tr>
      <w:tr w:rsidR="005B3AF1" w:rsidRPr="0051061D" w:rsidTr="00AC0EF9">
        <w:tc>
          <w:tcPr>
            <w:tcW w:w="636" w:type="pct"/>
            <w:tcBorders>
              <w:bottom w:val="single" w:sz="4" w:space="0" w:color="000000"/>
            </w:tcBorders>
          </w:tcPr>
          <w:p w:rsidR="005B3AF1" w:rsidRPr="0051061D" w:rsidRDefault="005B3AF1" w:rsidP="00AC0EF9">
            <w:pPr>
              <w:pStyle w:val="TableText0"/>
              <w:keepNext/>
              <w:spacing w:before="60" w:after="60"/>
              <w:ind w:left="-18" w:firstLine="18"/>
              <w:rPr>
                <w:rFonts w:cs="Times New Roman"/>
              </w:rPr>
            </w:pPr>
            <w:r w:rsidRPr="0051061D">
              <w:rPr>
                <w:rFonts w:cs="Times New Roman"/>
              </w:rPr>
              <w:t xml:space="preserve">Physician global </w:t>
            </w:r>
            <w:proofErr w:type="spellStart"/>
            <w:r w:rsidRPr="0051061D">
              <w:rPr>
                <w:rFonts w:cs="Times New Roman"/>
              </w:rPr>
              <w:t>assessment</w:t>
            </w:r>
            <w:r w:rsidRPr="0051061D">
              <w:rPr>
                <w:rFonts w:cs="Times New Roman"/>
                <w:vertAlign w:val="superscript"/>
              </w:rPr>
              <w:t>a</w:t>
            </w:r>
            <w:proofErr w:type="spellEnd"/>
          </w:p>
        </w:tc>
        <w:tc>
          <w:tcPr>
            <w:tcW w:w="510" w:type="pct"/>
            <w:tcBorders>
              <w:bottom w:val="single" w:sz="4" w:space="0" w:color="000000"/>
              <w:right w:val="single" w:sz="4" w:space="0" w:color="auto"/>
            </w:tcBorders>
            <w:vAlign w:val="center"/>
          </w:tcPr>
          <w:p w:rsidR="005B3AF1" w:rsidRPr="0051061D" w:rsidRDefault="005B3AF1" w:rsidP="00AC0EF9">
            <w:pPr>
              <w:pStyle w:val="TableText0"/>
              <w:keepNext/>
              <w:spacing w:before="60" w:after="60"/>
              <w:ind w:left="-54"/>
              <w:jc w:val="center"/>
              <w:rPr>
                <w:rFonts w:cs="Times New Roman"/>
              </w:rPr>
            </w:pPr>
            <w:r w:rsidRPr="0051061D">
              <w:rPr>
                <w:rFonts w:cs="Times New Roman"/>
              </w:rPr>
              <w:t>59</w:t>
            </w:r>
          </w:p>
          <w:p w:rsidR="005B3AF1" w:rsidRPr="0051061D" w:rsidRDefault="005B3AF1" w:rsidP="00AC0EF9">
            <w:pPr>
              <w:pStyle w:val="TableText0"/>
              <w:keepNext/>
              <w:spacing w:before="60" w:after="60"/>
              <w:ind w:left="-54"/>
              <w:jc w:val="center"/>
              <w:rPr>
                <w:rFonts w:cs="Times New Roman"/>
              </w:rPr>
            </w:pPr>
          </w:p>
        </w:tc>
        <w:tc>
          <w:tcPr>
            <w:tcW w:w="579" w:type="pct"/>
            <w:tcBorders>
              <w:left w:val="single" w:sz="4" w:space="0" w:color="auto"/>
              <w:bottom w:val="single" w:sz="4" w:space="0" w:color="000000"/>
            </w:tcBorders>
            <w:vAlign w:val="center"/>
          </w:tcPr>
          <w:p w:rsidR="005B3AF1" w:rsidRPr="0051061D" w:rsidRDefault="005B3AF1" w:rsidP="00AC0EF9">
            <w:pPr>
              <w:pStyle w:val="TableText0"/>
              <w:keepNext/>
              <w:spacing w:before="60" w:after="60"/>
              <w:ind w:left="-101" w:right="-108"/>
              <w:jc w:val="center"/>
              <w:rPr>
                <w:rFonts w:cs="Times New Roman"/>
              </w:rPr>
            </w:pPr>
            <w:r w:rsidRPr="0051061D">
              <w:rPr>
                <w:rFonts w:cs="Times New Roman"/>
              </w:rPr>
              <w:t>30</w:t>
            </w:r>
          </w:p>
          <w:p w:rsidR="005B3AF1" w:rsidRPr="0051061D" w:rsidRDefault="005B3AF1" w:rsidP="00AC0EF9">
            <w:pPr>
              <w:pStyle w:val="TableText0"/>
              <w:keepNext/>
              <w:spacing w:before="60" w:after="60"/>
              <w:ind w:left="-94"/>
              <w:jc w:val="center"/>
              <w:rPr>
                <w:rFonts w:cs="Times New Roman"/>
              </w:rPr>
            </w:pPr>
          </w:p>
        </w:tc>
        <w:tc>
          <w:tcPr>
            <w:tcW w:w="509" w:type="pct"/>
            <w:tcBorders>
              <w:bottom w:val="single" w:sz="4" w:space="0" w:color="000000"/>
              <w:right w:val="single" w:sz="4" w:space="0" w:color="auto"/>
            </w:tcBorders>
            <w:vAlign w:val="center"/>
          </w:tcPr>
          <w:p w:rsidR="005B3AF1" w:rsidRPr="0051061D" w:rsidRDefault="005B3AF1" w:rsidP="00AC0EF9">
            <w:pPr>
              <w:pStyle w:val="TableText0"/>
              <w:keepNext/>
              <w:spacing w:before="60" w:after="60"/>
              <w:ind w:left="-42"/>
              <w:jc w:val="center"/>
              <w:rPr>
                <w:rFonts w:cs="Times New Roman"/>
              </w:rPr>
            </w:pPr>
            <w:r w:rsidRPr="0051061D">
              <w:rPr>
                <w:rFonts w:cs="Times New Roman"/>
              </w:rPr>
              <w:t>56</w:t>
            </w:r>
          </w:p>
          <w:p w:rsidR="005B3AF1" w:rsidRPr="0051061D" w:rsidRDefault="005B3AF1" w:rsidP="00AC0EF9">
            <w:pPr>
              <w:pStyle w:val="TableText0"/>
              <w:keepNext/>
              <w:spacing w:before="60" w:after="60"/>
              <w:ind w:left="-42"/>
              <w:jc w:val="center"/>
              <w:rPr>
                <w:rFonts w:cs="Times New Roman"/>
              </w:rPr>
            </w:pPr>
          </w:p>
        </w:tc>
        <w:tc>
          <w:tcPr>
            <w:tcW w:w="581" w:type="pct"/>
            <w:tcBorders>
              <w:left w:val="single" w:sz="4" w:space="0" w:color="auto"/>
              <w:bottom w:val="single" w:sz="4" w:space="0" w:color="000000"/>
            </w:tcBorders>
            <w:vAlign w:val="center"/>
          </w:tcPr>
          <w:p w:rsidR="005B3AF1" w:rsidRPr="0051061D" w:rsidRDefault="005B3AF1" w:rsidP="00AC0EF9">
            <w:pPr>
              <w:pStyle w:val="TableText0"/>
              <w:keepNext/>
              <w:spacing w:before="60" w:after="60"/>
              <w:ind w:left="-110"/>
              <w:jc w:val="center"/>
              <w:rPr>
                <w:rFonts w:cs="Times New Roman"/>
              </w:rPr>
            </w:pPr>
            <w:r w:rsidRPr="0051061D">
              <w:rPr>
                <w:rFonts w:cs="Times New Roman"/>
              </w:rPr>
              <w:t>43</w:t>
            </w:r>
          </w:p>
          <w:p w:rsidR="005B3AF1" w:rsidRPr="0051061D" w:rsidRDefault="005B3AF1" w:rsidP="00AC0EF9">
            <w:pPr>
              <w:pStyle w:val="TableText0"/>
              <w:keepNext/>
              <w:spacing w:before="60" w:after="60"/>
              <w:ind w:left="-110"/>
              <w:jc w:val="center"/>
              <w:rPr>
                <w:rFonts w:cs="Times New Roman"/>
              </w:rPr>
            </w:pPr>
          </w:p>
        </w:tc>
        <w:tc>
          <w:tcPr>
            <w:tcW w:w="580" w:type="pct"/>
            <w:tcBorders>
              <w:bottom w:val="single" w:sz="4" w:space="0" w:color="000000"/>
              <w:right w:val="single" w:sz="4" w:space="0" w:color="auto"/>
            </w:tcBorders>
            <w:vAlign w:val="center"/>
          </w:tcPr>
          <w:p w:rsidR="005B3AF1" w:rsidRPr="0051061D" w:rsidRDefault="005B3AF1" w:rsidP="00AC0EF9">
            <w:pPr>
              <w:pStyle w:val="TableText0"/>
              <w:keepNext/>
              <w:spacing w:before="60" w:after="60"/>
              <w:ind w:left="-42"/>
              <w:jc w:val="center"/>
              <w:rPr>
                <w:rFonts w:cs="Times New Roman"/>
              </w:rPr>
            </w:pPr>
            <w:r w:rsidRPr="0051061D">
              <w:rPr>
                <w:rFonts w:cs="Times New Roman"/>
              </w:rPr>
              <w:t>65</w:t>
            </w:r>
          </w:p>
          <w:p w:rsidR="005B3AF1" w:rsidRPr="0051061D" w:rsidRDefault="005B3AF1" w:rsidP="00AC0EF9">
            <w:pPr>
              <w:pStyle w:val="TableText0"/>
              <w:keepNext/>
              <w:spacing w:before="60" w:after="60"/>
              <w:ind w:left="-42"/>
              <w:jc w:val="center"/>
              <w:rPr>
                <w:rFonts w:cs="Times New Roman"/>
              </w:rPr>
            </w:pPr>
          </w:p>
        </w:tc>
        <w:tc>
          <w:tcPr>
            <w:tcW w:w="511" w:type="pct"/>
            <w:tcBorders>
              <w:left w:val="single" w:sz="4" w:space="0" w:color="auto"/>
              <w:bottom w:val="single" w:sz="4" w:space="0" w:color="000000"/>
            </w:tcBorders>
            <w:vAlign w:val="center"/>
          </w:tcPr>
          <w:p w:rsidR="005B3AF1" w:rsidRPr="0051061D" w:rsidRDefault="005B3AF1" w:rsidP="00AC0EF9">
            <w:pPr>
              <w:pStyle w:val="TableText0"/>
              <w:keepNext/>
              <w:spacing w:before="60" w:after="60"/>
              <w:ind w:left="-42" w:right="-108"/>
              <w:jc w:val="center"/>
              <w:rPr>
                <w:rFonts w:cs="Times New Roman"/>
              </w:rPr>
            </w:pPr>
            <w:r w:rsidRPr="0051061D">
              <w:rPr>
                <w:rFonts w:cs="Times New Roman"/>
              </w:rPr>
              <w:t>35</w:t>
            </w:r>
          </w:p>
          <w:p w:rsidR="005B3AF1" w:rsidRPr="0051061D" w:rsidRDefault="005B3AF1" w:rsidP="00AC0EF9">
            <w:pPr>
              <w:pStyle w:val="TableText0"/>
              <w:keepNext/>
              <w:spacing w:before="60" w:after="60"/>
              <w:ind w:left="-108" w:right="-108"/>
              <w:jc w:val="center"/>
              <w:rPr>
                <w:rFonts w:cs="Times New Roman"/>
              </w:rPr>
            </w:pPr>
          </w:p>
        </w:tc>
        <w:tc>
          <w:tcPr>
            <w:tcW w:w="581" w:type="pct"/>
            <w:tcBorders>
              <w:bottom w:val="single" w:sz="4" w:space="0" w:color="000000"/>
              <w:right w:val="single" w:sz="4" w:space="0" w:color="auto"/>
            </w:tcBorders>
            <w:vAlign w:val="center"/>
          </w:tcPr>
          <w:p w:rsidR="005B3AF1" w:rsidRPr="0051061D" w:rsidRDefault="005B3AF1" w:rsidP="00AC0EF9">
            <w:pPr>
              <w:pStyle w:val="TableText0"/>
              <w:keepNext/>
              <w:spacing w:before="60" w:after="60"/>
              <w:ind w:left="-108" w:right="-108"/>
              <w:jc w:val="center"/>
              <w:rPr>
                <w:rFonts w:cs="Times New Roman"/>
              </w:rPr>
            </w:pPr>
            <w:r w:rsidRPr="0051061D">
              <w:rPr>
                <w:rFonts w:cs="Times New Roman"/>
              </w:rPr>
              <w:t>64</w:t>
            </w:r>
          </w:p>
          <w:p w:rsidR="005B3AF1" w:rsidRPr="0051061D" w:rsidRDefault="005B3AF1" w:rsidP="00AC0EF9">
            <w:pPr>
              <w:pStyle w:val="TableText0"/>
              <w:keepNext/>
              <w:spacing w:before="60" w:after="60"/>
              <w:ind w:left="-108" w:right="-108"/>
              <w:jc w:val="center"/>
              <w:rPr>
                <w:rFonts w:cs="Times New Roman"/>
              </w:rPr>
            </w:pPr>
          </w:p>
        </w:tc>
        <w:tc>
          <w:tcPr>
            <w:tcW w:w="513" w:type="pct"/>
            <w:tcBorders>
              <w:left w:val="single" w:sz="4" w:space="0" w:color="auto"/>
              <w:bottom w:val="single" w:sz="4" w:space="0" w:color="000000"/>
            </w:tcBorders>
            <w:vAlign w:val="center"/>
          </w:tcPr>
          <w:p w:rsidR="005B3AF1" w:rsidRPr="0051061D" w:rsidRDefault="005B3AF1" w:rsidP="00AC0EF9">
            <w:pPr>
              <w:pStyle w:val="TableText0"/>
              <w:keepNext/>
              <w:spacing w:before="60" w:after="60"/>
              <w:ind w:left="-108" w:right="-108"/>
              <w:jc w:val="center"/>
              <w:rPr>
                <w:rFonts w:cs="Times New Roman"/>
              </w:rPr>
            </w:pPr>
            <w:r w:rsidRPr="0051061D">
              <w:rPr>
                <w:rFonts w:cs="Times New Roman"/>
              </w:rPr>
              <w:t>44</w:t>
            </w:r>
          </w:p>
          <w:p w:rsidR="005B3AF1" w:rsidRPr="0051061D" w:rsidRDefault="005B3AF1" w:rsidP="00AC0EF9">
            <w:pPr>
              <w:pStyle w:val="TableText0"/>
              <w:keepNext/>
              <w:spacing w:before="60" w:after="60"/>
              <w:ind w:left="-108" w:right="-108"/>
              <w:jc w:val="center"/>
              <w:rPr>
                <w:rFonts w:cs="Times New Roman"/>
              </w:rPr>
            </w:pPr>
          </w:p>
        </w:tc>
      </w:tr>
      <w:tr w:rsidR="005B3AF1" w:rsidRPr="0051061D" w:rsidTr="00AC0EF9">
        <w:tc>
          <w:tcPr>
            <w:tcW w:w="636" w:type="pct"/>
            <w:tcBorders>
              <w:bottom w:val="single" w:sz="4" w:space="0" w:color="auto"/>
            </w:tcBorders>
          </w:tcPr>
          <w:p w:rsidR="005B3AF1" w:rsidRPr="0051061D" w:rsidRDefault="005B3AF1" w:rsidP="00AC0EF9">
            <w:pPr>
              <w:pStyle w:val="TableText0"/>
              <w:keepNext/>
              <w:spacing w:before="60" w:after="60"/>
              <w:ind w:left="-18" w:firstLine="18"/>
              <w:rPr>
                <w:rFonts w:cs="Times New Roman"/>
              </w:rPr>
            </w:pPr>
            <w:r w:rsidRPr="0051061D">
              <w:rPr>
                <w:rFonts w:cs="Times New Roman"/>
              </w:rPr>
              <w:t>CRP (mg/L)</w:t>
            </w:r>
          </w:p>
        </w:tc>
        <w:tc>
          <w:tcPr>
            <w:tcW w:w="510" w:type="pct"/>
            <w:tcBorders>
              <w:bottom w:val="single" w:sz="4" w:space="0" w:color="auto"/>
              <w:right w:val="single" w:sz="4" w:space="0" w:color="auto"/>
            </w:tcBorders>
            <w:vAlign w:val="center"/>
          </w:tcPr>
          <w:p w:rsidR="005B3AF1" w:rsidRPr="0051061D" w:rsidRDefault="005B3AF1" w:rsidP="00AC0EF9">
            <w:pPr>
              <w:pStyle w:val="TableText0"/>
              <w:keepNext/>
              <w:spacing w:before="60" w:after="60"/>
              <w:ind w:left="-54"/>
              <w:jc w:val="center"/>
              <w:rPr>
                <w:rFonts w:cs="Times New Roman"/>
              </w:rPr>
            </w:pPr>
            <w:r w:rsidRPr="0051061D">
              <w:rPr>
                <w:rFonts w:cs="Times New Roman"/>
              </w:rPr>
              <w:t>15.5</w:t>
            </w:r>
          </w:p>
          <w:p w:rsidR="005B3AF1" w:rsidRPr="0051061D" w:rsidRDefault="005B3AF1" w:rsidP="00AC0EF9">
            <w:pPr>
              <w:pStyle w:val="TableText0"/>
              <w:keepNext/>
              <w:spacing w:before="60" w:after="60"/>
              <w:ind w:left="-54"/>
              <w:jc w:val="center"/>
              <w:rPr>
                <w:rFonts w:cs="Times New Roman"/>
              </w:rPr>
            </w:pPr>
          </w:p>
        </w:tc>
        <w:tc>
          <w:tcPr>
            <w:tcW w:w="579" w:type="pct"/>
            <w:tcBorders>
              <w:left w:val="single" w:sz="4" w:space="0" w:color="auto"/>
              <w:bottom w:val="single" w:sz="4" w:space="0" w:color="auto"/>
            </w:tcBorders>
            <w:vAlign w:val="center"/>
          </w:tcPr>
          <w:p w:rsidR="005B3AF1" w:rsidRPr="0051061D" w:rsidRDefault="005B3AF1" w:rsidP="00AC0EF9">
            <w:pPr>
              <w:pStyle w:val="TableText0"/>
              <w:keepNext/>
              <w:spacing w:before="60" w:after="60"/>
              <w:ind w:left="-101" w:right="-108"/>
              <w:jc w:val="center"/>
              <w:rPr>
                <w:rFonts w:cs="Times New Roman"/>
              </w:rPr>
            </w:pPr>
            <w:r w:rsidRPr="0051061D">
              <w:rPr>
                <w:rFonts w:cs="Times New Roman"/>
              </w:rPr>
              <w:t>6.9</w:t>
            </w:r>
          </w:p>
          <w:p w:rsidR="005B3AF1" w:rsidRPr="0051061D" w:rsidRDefault="005B3AF1" w:rsidP="00AC0EF9">
            <w:pPr>
              <w:pStyle w:val="TableText0"/>
              <w:keepNext/>
              <w:spacing w:before="60" w:after="60"/>
              <w:ind w:left="-94"/>
              <w:jc w:val="center"/>
              <w:rPr>
                <w:rFonts w:cs="Times New Roman"/>
              </w:rPr>
            </w:pPr>
          </w:p>
        </w:tc>
        <w:tc>
          <w:tcPr>
            <w:tcW w:w="509" w:type="pct"/>
            <w:tcBorders>
              <w:bottom w:val="single" w:sz="4" w:space="0" w:color="auto"/>
              <w:right w:val="single" w:sz="4" w:space="0" w:color="auto"/>
            </w:tcBorders>
            <w:vAlign w:val="center"/>
          </w:tcPr>
          <w:p w:rsidR="005B3AF1" w:rsidRPr="0051061D" w:rsidRDefault="005B3AF1" w:rsidP="00AC0EF9">
            <w:pPr>
              <w:pStyle w:val="TableText0"/>
              <w:keepNext/>
              <w:spacing w:before="60" w:after="60"/>
              <w:ind w:left="-42"/>
              <w:jc w:val="center"/>
              <w:rPr>
                <w:rFonts w:cs="Times New Roman"/>
              </w:rPr>
            </w:pPr>
            <w:r w:rsidRPr="0051061D">
              <w:rPr>
                <w:rFonts w:cs="Times New Roman"/>
              </w:rPr>
              <w:t>13.7</w:t>
            </w:r>
          </w:p>
          <w:p w:rsidR="005B3AF1" w:rsidRPr="0051061D" w:rsidRDefault="005B3AF1" w:rsidP="00AC0EF9">
            <w:pPr>
              <w:pStyle w:val="TableText0"/>
              <w:keepNext/>
              <w:spacing w:before="60" w:after="60"/>
              <w:ind w:left="-42"/>
              <w:jc w:val="center"/>
              <w:rPr>
                <w:rFonts w:cs="Times New Roman"/>
              </w:rPr>
            </w:pPr>
          </w:p>
        </w:tc>
        <w:tc>
          <w:tcPr>
            <w:tcW w:w="581" w:type="pct"/>
            <w:tcBorders>
              <w:left w:val="single" w:sz="4" w:space="0" w:color="auto"/>
              <w:bottom w:val="single" w:sz="4" w:space="0" w:color="auto"/>
            </w:tcBorders>
            <w:vAlign w:val="center"/>
          </w:tcPr>
          <w:p w:rsidR="005B3AF1" w:rsidRPr="0051061D" w:rsidRDefault="005B3AF1" w:rsidP="00AC0EF9">
            <w:pPr>
              <w:pStyle w:val="TableText0"/>
              <w:keepNext/>
              <w:spacing w:before="60" w:after="60"/>
              <w:ind w:left="-110"/>
              <w:jc w:val="center"/>
              <w:rPr>
                <w:rFonts w:cs="Times New Roman"/>
              </w:rPr>
            </w:pPr>
            <w:r w:rsidRPr="0051061D">
              <w:rPr>
                <w:rFonts w:cs="Times New Roman"/>
              </w:rPr>
              <w:t>14.6</w:t>
            </w:r>
          </w:p>
          <w:p w:rsidR="005B3AF1" w:rsidRPr="0051061D" w:rsidRDefault="005B3AF1" w:rsidP="00AC0EF9">
            <w:pPr>
              <w:pStyle w:val="TableText0"/>
              <w:keepNext/>
              <w:spacing w:before="60" w:after="60"/>
              <w:ind w:left="-110"/>
              <w:jc w:val="center"/>
              <w:rPr>
                <w:rFonts w:cs="Times New Roman"/>
              </w:rPr>
            </w:pPr>
          </w:p>
        </w:tc>
        <w:tc>
          <w:tcPr>
            <w:tcW w:w="580" w:type="pct"/>
            <w:tcBorders>
              <w:bottom w:val="single" w:sz="4" w:space="0" w:color="auto"/>
              <w:right w:val="single" w:sz="4" w:space="0" w:color="auto"/>
            </w:tcBorders>
            <w:vAlign w:val="center"/>
          </w:tcPr>
          <w:p w:rsidR="005B3AF1" w:rsidRPr="0051061D" w:rsidRDefault="005B3AF1" w:rsidP="00AC0EF9">
            <w:pPr>
              <w:pStyle w:val="TableText0"/>
              <w:keepNext/>
              <w:spacing w:before="60" w:after="60"/>
              <w:ind w:left="-42"/>
              <w:jc w:val="center"/>
              <w:rPr>
                <w:rFonts w:cs="Times New Roman"/>
              </w:rPr>
            </w:pPr>
            <w:r w:rsidRPr="0051061D">
              <w:rPr>
                <w:rFonts w:cs="Times New Roman"/>
              </w:rPr>
              <w:t>19.3</w:t>
            </w:r>
          </w:p>
          <w:p w:rsidR="005B3AF1" w:rsidRPr="0051061D" w:rsidRDefault="005B3AF1" w:rsidP="00AC0EF9">
            <w:pPr>
              <w:pStyle w:val="TableText0"/>
              <w:keepNext/>
              <w:spacing w:before="60" w:after="60"/>
              <w:ind w:left="-42"/>
              <w:jc w:val="center"/>
              <w:rPr>
                <w:rFonts w:cs="Times New Roman"/>
              </w:rPr>
            </w:pPr>
          </w:p>
        </w:tc>
        <w:tc>
          <w:tcPr>
            <w:tcW w:w="511" w:type="pct"/>
            <w:tcBorders>
              <w:left w:val="single" w:sz="4" w:space="0" w:color="auto"/>
              <w:bottom w:val="single" w:sz="4" w:space="0" w:color="auto"/>
            </w:tcBorders>
            <w:vAlign w:val="center"/>
          </w:tcPr>
          <w:p w:rsidR="005B3AF1" w:rsidRPr="0051061D" w:rsidRDefault="005B3AF1" w:rsidP="00AC0EF9">
            <w:pPr>
              <w:pStyle w:val="TableText0"/>
              <w:keepNext/>
              <w:spacing w:before="60" w:after="60"/>
              <w:ind w:left="-42" w:right="-108"/>
              <w:jc w:val="center"/>
              <w:rPr>
                <w:rFonts w:cs="Times New Roman"/>
              </w:rPr>
            </w:pPr>
            <w:r w:rsidRPr="0051061D">
              <w:rPr>
                <w:rFonts w:cs="Times New Roman"/>
              </w:rPr>
              <w:t>6.2</w:t>
            </w:r>
          </w:p>
          <w:p w:rsidR="005B3AF1" w:rsidRPr="0051061D" w:rsidRDefault="005B3AF1" w:rsidP="00AC0EF9">
            <w:pPr>
              <w:pStyle w:val="TableText0"/>
              <w:keepNext/>
              <w:spacing w:before="60" w:after="60"/>
              <w:ind w:left="-108" w:right="-108"/>
              <w:jc w:val="center"/>
              <w:rPr>
                <w:rFonts w:cs="Times New Roman"/>
              </w:rPr>
            </w:pPr>
          </w:p>
        </w:tc>
        <w:tc>
          <w:tcPr>
            <w:tcW w:w="581" w:type="pct"/>
            <w:tcBorders>
              <w:bottom w:val="single" w:sz="4" w:space="0" w:color="auto"/>
              <w:right w:val="single" w:sz="4" w:space="0" w:color="auto"/>
            </w:tcBorders>
            <w:vAlign w:val="center"/>
          </w:tcPr>
          <w:p w:rsidR="005B3AF1" w:rsidRPr="0051061D" w:rsidRDefault="005B3AF1" w:rsidP="00AC0EF9">
            <w:pPr>
              <w:pStyle w:val="TableText0"/>
              <w:keepNext/>
              <w:spacing w:before="60" w:after="60"/>
              <w:ind w:left="-108" w:right="-108"/>
              <w:jc w:val="center"/>
              <w:rPr>
                <w:rFonts w:cs="Times New Roman"/>
              </w:rPr>
            </w:pPr>
            <w:r w:rsidRPr="0051061D">
              <w:rPr>
                <w:rFonts w:cs="Times New Roman"/>
              </w:rPr>
              <w:t>16.7</w:t>
            </w:r>
          </w:p>
          <w:p w:rsidR="005B3AF1" w:rsidRPr="0051061D" w:rsidRDefault="005B3AF1" w:rsidP="00AC0EF9">
            <w:pPr>
              <w:pStyle w:val="TableText0"/>
              <w:keepNext/>
              <w:spacing w:before="60" w:after="60"/>
              <w:ind w:left="-108" w:right="-108"/>
              <w:jc w:val="center"/>
              <w:rPr>
                <w:rFonts w:cs="Times New Roman"/>
              </w:rPr>
            </w:pPr>
          </w:p>
        </w:tc>
        <w:tc>
          <w:tcPr>
            <w:tcW w:w="513" w:type="pct"/>
            <w:tcBorders>
              <w:left w:val="single" w:sz="4" w:space="0" w:color="auto"/>
              <w:bottom w:val="single" w:sz="4" w:space="0" w:color="auto"/>
            </w:tcBorders>
            <w:vAlign w:val="center"/>
          </w:tcPr>
          <w:p w:rsidR="005B3AF1" w:rsidRPr="0051061D" w:rsidRDefault="005B3AF1" w:rsidP="00AC0EF9">
            <w:pPr>
              <w:pStyle w:val="TableText0"/>
              <w:keepNext/>
              <w:spacing w:before="60" w:after="60"/>
              <w:ind w:left="-108" w:right="-108"/>
              <w:jc w:val="center"/>
              <w:rPr>
                <w:rFonts w:cs="Times New Roman"/>
              </w:rPr>
            </w:pPr>
            <w:r w:rsidRPr="0051061D">
              <w:rPr>
                <w:rFonts w:cs="Times New Roman"/>
              </w:rPr>
              <w:t>18.2</w:t>
            </w:r>
          </w:p>
          <w:p w:rsidR="005B3AF1" w:rsidRPr="0051061D" w:rsidRDefault="005B3AF1" w:rsidP="00AC0EF9">
            <w:pPr>
              <w:pStyle w:val="TableText0"/>
              <w:keepNext/>
              <w:spacing w:before="60" w:after="60"/>
              <w:ind w:left="-108" w:right="-108"/>
              <w:jc w:val="center"/>
              <w:rPr>
                <w:rFonts w:cs="Times New Roman"/>
              </w:rPr>
            </w:pPr>
          </w:p>
        </w:tc>
      </w:tr>
      <w:tr w:rsidR="005B3AF1" w:rsidRPr="0051061D" w:rsidTr="00AC0EF9">
        <w:tc>
          <w:tcPr>
            <w:tcW w:w="5000" w:type="pct"/>
            <w:gridSpan w:val="9"/>
            <w:tcBorders>
              <w:top w:val="single" w:sz="4" w:space="0" w:color="auto"/>
              <w:left w:val="nil"/>
              <w:bottom w:val="nil"/>
              <w:right w:val="nil"/>
            </w:tcBorders>
          </w:tcPr>
          <w:p w:rsidR="00FC5C8F" w:rsidRDefault="00FC5C8F" w:rsidP="00AC0EF9">
            <w:pPr>
              <w:pStyle w:val="TableText0"/>
              <w:keepNext/>
              <w:spacing w:before="60" w:after="60"/>
              <w:rPr>
                <w:rFonts w:cs="Times New Roman"/>
                <w:vertAlign w:val="superscript"/>
              </w:rPr>
            </w:pPr>
            <w:r w:rsidRPr="00F654E2">
              <w:rPr>
                <w:rFonts w:eastAsia="MS Mincho"/>
                <w:sz w:val="18"/>
                <w:lang w:eastAsia="ja-JP"/>
              </w:rPr>
              <w:t>Abbreviations:</w:t>
            </w:r>
            <w:r>
              <w:rPr>
                <w:rFonts w:eastAsia="MS Mincho"/>
                <w:sz w:val="18"/>
                <w:lang w:eastAsia="ja-JP"/>
              </w:rPr>
              <w:t xml:space="preserve"> MTX=methotrexate; TNF=</w:t>
            </w:r>
            <w:proofErr w:type="spellStart"/>
            <w:r>
              <w:rPr>
                <w:rFonts w:eastAsia="MS Mincho"/>
                <w:sz w:val="18"/>
                <w:lang w:eastAsia="ja-JP"/>
              </w:rPr>
              <w:t>tumour</w:t>
            </w:r>
            <w:proofErr w:type="spellEnd"/>
            <w:r>
              <w:rPr>
                <w:rFonts w:eastAsia="MS Mincho"/>
                <w:sz w:val="18"/>
                <w:lang w:eastAsia="ja-JP"/>
              </w:rPr>
              <w:t xml:space="preserve"> necrosis factor; </w:t>
            </w:r>
            <w:r w:rsidRPr="002F260B">
              <w:rPr>
                <w:rFonts w:eastAsia="MS Mincho"/>
                <w:sz w:val="18"/>
                <w:lang w:eastAsia="ja-JP"/>
              </w:rPr>
              <w:t>CRP=C-reactive protein</w:t>
            </w:r>
            <w:r w:rsidRPr="00616F73">
              <w:rPr>
                <w:rFonts w:eastAsia="MS Mincho"/>
                <w:sz w:val="18"/>
                <w:lang w:eastAsia="ja-JP"/>
              </w:rPr>
              <w:t>.</w:t>
            </w:r>
          </w:p>
          <w:p w:rsidR="005B3AF1" w:rsidRPr="0051061D" w:rsidRDefault="005B3AF1" w:rsidP="00AC0EF9">
            <w:pPr>
              <w:pStyle w:val="TableText0"/>
              <w:keepNext/>
              <w:spacing w:before="60" w:after="60"/>
              <w:rPr>
                <w:rFonts w:cs="Times New Roman"/>
              </w:rPr>
            </w:pPr>
            <w:proofErr w:type="spellStart"/>
            <w:r w:rsidRPr="0051061D">
              <w:rPr>
                <w:rFonts w:cs="Times New Roman"/>
                <w:vertAlign w:val="superscript"/>
              </w:rPr>
              <w:t>a</w:t>
            </w:r>
            <w:r w:rsidRPr="0051061D">
              <w:rPr>
                <w:rFonts w:cs="Times New Roman"/>
              </w:rPr>
              <w:t>Visual</w:t>
            </w:r>
            <w:proofErr w:type="spellEnd"/>
            <w:r w:rsidRPr="0051061D">
              <w:rPr>
                <w:rFonts w:cs="Times New Roman"/>
              </w:rPr>
              <w:t xml:space="preserve"> analog scale: 0 = best, 100 = worst</w:t>
            </w:r>
          </w:p>
          <w:p w:rsidR="005B3AF1" w:rsidRPr="0051061D" w:rsidRDefault="005B3AF1" w:rsidP="00AC0EF9">
            <w:pPr>
              <w:pStyle w:val="TableText0"/>
              <w:keepNext/>
              <w:spacing w:before="60" w:after="60"/>
              <w:rPr>
                <w:rFonts w:cs="Times New Roman"/>
                <w:color w:val="00B050"/>
              </w:rPr>
            </w:pPr>
            <w:proofErr w:type="spellStart"/>
            <w:r w:rsidRPr="0051061D">
              <w:rPr>
                <w:rFonts w:cs="Times New Roman"/>
                <w:vertAlign w:val="superscript"/>
              </w:rPr>
              <w:t>b</w:t>
            </w:r>
            <w:r w:rsidRPr="0051061D">
              <w:rPr>
                <w:rFonts w:cs="Times New Roman"/>
              </w:rPr>
              <w:t>Health</w:t>
            </w:r>
            <w:proofErr w:type="spellEnd"/>
            <w:r w:rsidRPr="0051061D">
              <w:rPr>
                <w:rFonts w:cs="Times New Roman"/>
              </w:rPr>
              <w:t xml:space="preserve"> Assessment Questionnaire Disability Index: 0 = best, 3 = worst; 20 questions;  categories: dressing and grooming, arising, eating, walking, hygiene, reach, grip, and activities </w:t>
            </w:r>
          </w:p>
        </w:tc>
      </w:tr>
    </w:tbl>
    <w:p w:rsidR="005B3AF1" w:rsidRPr="0051061D" w:rsidRDefault="005B3AF1" w:rsidP="005B3AF1">
      <w:pPr>
        <w:pStyle w:val="PINormal"/>
        <w:rPr>
          <w:color w:val="000000"/>
          <w:sz w:val="23"/>
          <w:szCs w:val="23"/>
        </w:rPr>
      </w:pPr>
    </w:p>
    <w:p w:rsidR="005B3AF1" w:rsidRPr="0051061D" w:rsidRDefault="005B3AF1" w:rsidP="005B3AF1">
      <w:pPr>
        <w:pStyle w:val="PINormal"/>
        <w:rPr>
          <w:rFonts w:eastAsia="MS Mincho"/>
          <w:lang w:eastAsia="ja-JP"/>
        </w:rPr>
      </w:pPr>
      <w:r w:rsidRPr="0051061D">
        <w:rPr>
          <w:color w:val="000000"/>
          <w:sz w:val="23"/>
          <w:szCs w:val="23"/>
        </w:rPr>
        <w:t>The percent of ACR20 responders by visit f</w:t>
      </w:r>
      <w:r w:rsidR="00284A99">
        <w:rPr>
          <w:color w:val="000000"/>
          <w:sz w:val="23"/>
          <w:szCs w:val="23"/>
        </w:rPr>
        <w:t>or Study IV is shown in Figure 3</w:t>
      </w:r>
      <w:r w:rsidRPr="0051061D">
        <w:rPr>
          <w:color w:val="000000"/>
          <w:sz w:val="23"/>
          <w:szCs w:val="23"/>
        </w:rPr>
        <w:t>.  Similar responses were observed in Studies I, II, III and V.</w:t>
      </w:r>
    </w:p>
    <w:p w:rsidR="00B231D1" w:rsidRPr="0051061D" w:rsidRDefault="005B3AF1" w:rsidP="005B3AF1">
      <w:pPr>
        <w:pStyle w:val="PINormal"/>
        <w:keepNext/>
        <w:spacing w:before="120" w:after="0"/>
        <w:rPr>
          <w:b/>
        </w:rPr>
      </w:pPr>
      <w:r w:rsidRPr="0051061D">
        <w:rPr>
          <w:b/>
        </w:rPr>
        <w:br w:type="page"/>
      </w:r>
      <w:r w:rsidRPr="0051061D">
        <w:rPr>
          <w:b/>
        </w:rPr>
        <w:lastRenderedPageBreak/>
        <w:t>Fi</w:t>
      </w:r>
      <w:r w:rsidR="00284A99">
        <w:rPr>
          <w:b/>
        </w:rPr>
        <w:t>gure 3</w:t>
      </w:r>
      <w:r w:rsidRPr="0051061D">
        <w:rPr>
          <w:b/>
        </w:rPr>
        <w:t>: Percentage of ACR20 Responders by Visit for Study IV</w:t>
      </w:r>
    </w:p>
    <w:p w:rsidR="005B3AF1" w:rsidRPr="0051061D" w:rsidRDefault="005B3AF1" w:rsidP="00E67595">
      <w:pPr>
        <w:pStyle w:val="PINormal"/>
        <w:keepNext/>
        <w:spacing w:before="120" w:after="0"/>
      </w:pPr>
    </w:p>
    <w:p w:rsidR="005B3AF1" w:rsidRPr="0051061D" w:rsidRDefault="00C4360E" w:rsidP="005B3AF1">
      <w:pPr>
        <w:pStyle w:val="PINormal"/>
      </w:pPr>
      <w:r>
        <w:rPr>
          <w:noProof/>
          <w:szCs w:val="24"/>
          <w:lang w:eastAsia="en-AU"/>
        </w:rPr>
        <w:pict>
          <v:shape id="Picture 2" o:spid="_x0000_i1027" type="#_x0000_t75" style="width:430.65pt;height:353.2pt;visibility:visible">
            <v:imagedata r:id="rId21" o:title=""/>
          </v:shape>
        </w:pict>
      </w:r>
    </w:p>
    <w:p w:rsidR="00B231D1" w:rsidRPr="00B231D1" w:rsidRDefault="00B231D1" w:rsidP="00171E65">
      <w:pPr>
        <w:pStyle w:val="PIHeading4"/>
        <w:rPr>
          <w:rFonts w:eastAsia="MS Mincho"/>
          <w:i w:val="0"/>
          <w:sz w:val="18"/>
          <w:lang w:eastAsia="ja-JP"/>
        </w:rPr>
      </w:pPr>
      <w:r>
        <w:rPr>
          <w:rFonts w:eastAsia="MS Mincho"/>
          <w:i w:val="0"/>
          <w:sz w:val="18"/>
          <w:lang w:eastAsia="ja-JP"/>
        </w:rPr>
        <w:t xml:space="preserve">Abbreviations: </w:t>
      </w:r>
      <w:r w:rsidRPr="00B231D1">
        <w:rPr>
          <w:rFonts w:eastAsia="MS Mincho"/>
          <w:i w:val="0"/>
          <w:sz w:val="18"/>
          <w:lang w:eastAsia="ja-JP"/>
        </w:rPr>
        <w:t>ACR20=American College of Rheumatology ≥ 20% improvement</w:t>
      </w:r>
    </w:p>
    <w:p w:rsidR="00B231D1" w:rsidRDefault="00B231D1" w:rsidP="00171E65">
      <w:pPr>
        <w:pStyle w:val="PIHeading4"/>
      </w:pPr>
    </w:p>
    <w:p w:rsidR="005B3AF1" w:rsidRPr="001A5A79" w:rsidRDefault="005B3AF1" w:rsidP="00171E65">
      <w:pPr>
        <w:pStyle w:val="PIHeading4"/>
      </w:pPr>
      <w:r>
        <w:t>Radiographic</w:t>
      </w:r>
      <w:r w:rsidRPr="001A5A79">
        <w:t xml:space="preserve"> Response </w:t>
      </w:r>
    </w:p>
    <w:p w:rsidR="005B3AF1" w:rsidRDefault="005B3AF1" w:rsidP="005B3AF1">
      <w:pPr>
        <w:rPr>
          <w:szCs w:val="24"/>
        </w:rPr>
      </w:pPr>
      <w:r w:rsidRPr="00AA7E8F">
        <w:rPr>
          <w:szCs w:val="22"/>
        </w:rPr>
        <w:t xml:space="preserve">In Study IV, progression of structural joint damage was assessed radiographically and expressed as change from baseline in </w:t>
      </w:r>
      <w:proofErr w:type="spellStart"/>
      <w:r w:rsidRPr="00AA7E8F">
        <w:rPr>
          <w:szCs w:val="22"/>
        </w:rPr>
        <w:t>mTSS</w:t>
      </w:r>
      <w:proofErr w:type="spellEnd"/>
      <w:r w:rsidRPr="00AA7E8F">
        <w:rPr>
          <w:szCs w:val="22"/>
        </w:rPr>
        <w:t xml:space="preserve"> and its components, the erosion score and joint space narrowing </w:t>
      </w:r>
      <w:r>
        <w:rPr>
          <w:szCs w:val="22"/>
        </w:rPr>
        <w:t xml:space="preserve">(JSN) </w:t>
      </w:r>
      <w:r w:rsidRPr="00AA7E8F">
        <w:rPr>
          <w:szCs w:val="22"/>
        </w:rPr>
        <w:t>score, at Months 6 and 12.</w:t>
      </w:r>
      <w:r>
        <w:rPr>
          <w:szCs w:val="22"/>
        </w:rPr>
        <w:t xml:space="preserve"> </w:t>
      </w:r>
      <w:r w:rsidRPr="00AA7E8F">
        <w:rPr>
          <w:szCs w:val="22"/>
        </w:rPr>
        <w:t xml:space="preserve"> The proportion of patients with no radiographic progression (</w:t>
      </w:r>
      <w:proofErr w:type="spellStart"/>
      <w:r w:rsidRPr="00AA7E8F">
        <w:rPr>
          <w:szCs w:val="22"/>
        </w:rPr>
        <w:t>mTSS</w:t>
      </w:r>
      <w:proofErr w:type="spellEnd"/>
      <w:r w:rsidRPr="00AA7E8F">
        <w:rPr>
          <w:szCs w:val="22"/>
        </w:rPr>
        <w:t xml:space="preserve"> change less than or equal to 0</w:t>
      </w:r>
      <w:r>
        <w:rPr>
          <w:szCs w:val="22"/>
        </w:rPr>
        <w:t>.5</w:t>
      </w:r>
      <w:r w:rsidRPr="00AA7E8F">
        <w:rPr>
          <w:szCs w:val="22"/>
        </w:rPr>
        <w:t>) was also assessed.</w:t>
      </w:r>
      <w:r>
        <w:rPr>
          <w:szCs w:val="22"/>
        </w:rPr>
        <w:t xml:space="preserve"> </w:t>
      </w:r>
      <w:r w:rsidRPr="00242667">
        <w:rPr>
          <w:szCs w:val="22"/>
        </w:rPr>
        <w:t>XELJANZ 5</w:t>
      </w:r>
      <w:r w:rsidRPr="009F68DA">
        <w:rPr>
          <w:szCs w:val="22"/>
        </w:rPr>
        <w:t xml:space="preserve"> mg twice daily plus background MTX lead to a change of </w:t>
      </w:r>
      <w:r w:rsidRPr="00242667">
        <w:rPr>
          <w:szCs w:val="22"/>
        </w:rPr>
        <w:t xml:space="preserve">-0.3 </w:t>
      </w:r>
      <w:r w:rsidRPr="009F68DA">
        <w:rPr>
          <w:szCs w:val="22"/>
        </w:rPr>
        <w:t>in the</w:t>
      </w:r>
      <w:r w:rsidRPr="00AA7E8F">
        <w:rPr>
          <w:szCs w:val="22"/>
        </w:rPr>
        <w:t xml:space="preserve"> progression of structural damage compared t</w:t>
      </w:r>
      <w:r>
        <w:rPr>
          <w:szCs w:val="22"/>
        </w:rPr>
        <w:t xml:space="preserve">o placebo plus MTX at Month 6 </w:t>
      </w:r>
      <w:r w:rsidRPr="007E4BDA">
        <w:rPr>
          <w:szCs w:val="22"/>
        </w:rPr>
        <w:t>but the result was not statistically significant</w:t>
      </w:r>
      <w:r w:rsidRPr="00AA7E8F">
        <w:rPr>
          <w:szCs w:val="22"/>
        </w:rPr>
        <w:t xml:space="preserve">. </w:t>
      </w:r>
      <w:r>
        <w:rPr>
          <w:szCs w:val="24"/>
        </w:rPr>
        <w:t>I</w:t>
      </w:r>
      <w:r w:rsidRPr="00865AA8">
        <w:rPr>
          <w:szCs w:val="24"/>
        </w:rPr>
        <w:t>n the placebo plus MTX group</w:t>
      </w:r>
      <w:r>
        <w:rPr>
          <w:szCs w:val="24"/>
        </w:rPr>
        <w:t>, 78% of patients</w:t>
      </w:r>
      <w:r w:rsidRPr="00865AA8">
        <w:rPr>
          <w:szCs w:val="24"/>
        </w:rPr>
        <w:t xml:space="preserve"> experienced no radio</w:t>
      </w:r>
      <w:r>
        <w:rPr>
          <w:szCs w:val="24"/>
        </w:rPr>
        <w:t xml:space="preserve">graphic progression at Month 6 </w:t>
      </w:r>
      <w:r w:rsidRPr="00865AA8">
        <w:rPr>
          <w:szCs w:val="24"/>
        </w:rPr>
        <w:t xml:space="preserve">compared to </w:t>
      </w:r>
      <w:r>
        <w:rPr>
          <w:szCs w:val="24"/>
        </w:rPr>
        <w:t xml:space="preserve">89% of </w:t>
      </w:r>
      <w:r w:rsidRPr="00865AA8">
        <w:rPr>
          <w:szCs w:val="24"/>
        </w:rPr>
        <w:t xml:space="preserve">patients </w:t>
      </w:r>
      <w:r>
        <w:rPr>
          <w:szCs w:val="24"/>
        </w:rPr>
        <w:t>treated with</w:t>
      </w:r>
      <w:r w:rsidRPr="00865AA8">
        <w:rPr>
          <w:szCs w:val="24"/>
        </w:rPr>
        <w:t xml:space="preserve"> XELJANZ 5 mg twice daily</w:t>
      </w:r>
      <w:r>
        <w:rPr>
          <w:szCs w:val="24"/>
        </w:rPr>
        <w:t xml:space="preserve"> </w:t>
      </w:r>
      <w:r w:rsidRPr="00865AA8">
        <w:rPr>
          <w:szCs w:val="24"/>
        </w:rPr>
        <w:t>plus MTX</w:t>
      </w:r>
      <w:r>
        <w:rPr>
          <w:szCs w:val="24"/>
        </w:rPr>
        <w:t>.</w:t>
      </w:r>
    </w:p>
    <w:p w:rsidR="005B3AF1" w:rsidRDefault="005B3AF1" w:rsidP="005B3AF1">
      <w:pPr>
        <w:rPr>
          <w:szCs w:val="24"/>
        </w:rPr>
      </w:pPr>
      <w:r>
        <w:rPr>
          <w:szCs w:val="24"/>
        </w:rPr>
        <w:t>In</w:t>
      </w:r>
      <w:r w:rsidRPr="004C2C20">
        <w:rPr>
          <w:szCs w:val="24"/>
        </w:rPr>
        <w:t xml:space="preserve"> Study VI</w:t>
      </w:r>
      <w:r>
        <w:rPr>
          <w:szCs w:val="24"/>
        </w:rPr>
        <w:t xml:space="preserve">, </w:t>
      </w:r>
      <w:r w:rsidRPr="004C2C20">
        <w:rPr>
          <w:szCs w:val="24"/>
        </w:rPr>
        <w:t xml:space="preserve">XELJANZ monotherapy </w:t>
      </w:r>
      <w:r>
        <w:rPr>
          <w:szCs w:val="24"/>
        </w:rPr>
        <w:t xml:space="preserve">inhibited the </w:t>
      </w:r>
      <w:r w:rsidRPr="00AA7E8F">
        <w:rPr>
          <w:szCs w:val="22"/>
        </w:rPr>
        <w:t xml:space="preserve">progression of structural damage </w:t>
      </w:r>
      <w:r w:rsidRPr="004C2C20">
        <w:rPr>
          <w:szCs w:val="24"/>
        </w:rPr>
        <w:t xml:space="preserve">compared to MTX at Months 6 and 12 </w:t>
      </w:r>
      <w:r>
        <w:rPr>
          <w:szCs w:val="24"/>
        </w:rPr>
        <w:t xml:space="preserve">in MTX-naïve patients (mean difference in </w:t>
      </w:r>
      <w:proofErr w:type="spellStart"/>
      <w:r>
        <w:rPr>
          <w:szCs w:val="24"/>
        </w:rPr>
        <w:t>mTSS</w:t>
      </w:r>
      <w:proofErr w:type="spellEnd"/>
      <w:r>
        <w:rPr>
          <w:szCs w:val="24"/>
        </w:rPr>
        <w:t xml:space="preserve"> from MTX was -0.7 and -0.9 respectively</w:t>
      </w:r>
      <w:r w:rsidRPr="007E4BDA">
        <w:rPr>
          <w:szCs w:val="24"/>
        </w:rPr>
        <w:t>), which was maintained</w:t>
      </w:r>
      <w:r w:rsidRPr="004C2C20">
        <w:rPr>
          <w:szCs w:val="24"/>
        </w:rPr>
        <w:t xml:space="preserve"> </w:t>
      </w:r>
      <w:r>
        <w:rPr>
          <w:szCs w:val="24"/>
        </w:rPr>
        <w:t>at</w:t>
      </w:r>
      <w:r w:rsidRPr="004C2C20">
        <w:rPr>
          <w:szCs w:val="24"/>
        </w:rPr>
        <w:t xml:space="preserve"> Month 24. </w:t>
      </w:r>
      <w:r w:rsidRPr="00AA7E8F">
        <w:rPr>
          <w:szCs w:val="22"/>
        </w:rPr>
        <w:t xml:space="preserve">Analyses of erosion and </w:t>
      </w:r>
      <w:r>
        <w:rPr>
          <w:szCs w:val="22"/>
        </w:rPr>
        <w:t>JSN</w:t>
      </w:r>
      <w:r w:rsidRPr="00AA7E8F">
        <w:rPr>
          <w:szCs w:val="22"/>
        </w:rPr>
        <w:t xml:space="preserve"> scores were consistent with overall results</w:t>
      </w:r>
      <w:r>
        <w:rPr>
          <w:szCs w:val="22"/>
        </w:rPr>
        <w:t xml:space="preserve">. </w:t>
      </w:r>
      <w:r w:rsidRPr="004C2C20">
        <w:rPr>
          <w:szCs w:val="24"/>
        </w:rPr>
        <w:t xml:space="preserve">Significantly more patients in the </w:t>
      </w:r>
      <w:r w:rsidRPr="004C2C20">
        <w:rPr>
          <w:szCs w:val="24"/>
        </w:rPr>
        <w:lastRenderedPageBreak/>
        <w:t>XELJANZ 5 mg twice daily group experienced no radiographic progression at Month 6 (84%) compared to patients in the MTX group (70%).</w:t>
      </w:r>
      <w:r>
        <w:rPr>
          <w:szCs w:val="24"/>
        </w:rPr>
        <w:t xml:space="preserve"> XELJANZ is not approved for use in MTX-naïve patients.</w:t>
      </w:r>
    </w:p>
    <w:p w:rsidR="005B3AF1" w:rsidRPr="00AA7E8F" w:rsidRDefault="005B3AF1" w:rsidP="005B3AF1">
      <w:pPr>
        <w:rPr>
          <w:szCs w:val="22"/>
        </w:rPr>
      </w:pPr>
    </w:p>
    <w:p w:rsidR="005B3AF1" w:rsidRPr="001A5A79" w:rsidRDefault="005B3AF1" w:rsidP="00171E65">
      <w:pPr>
        <w:pStyle w:val="PIHeading4"/>
      </w:pPr>
      <w:r w:rsidRPr="001A5A79">
        <w:t>Physical Function Response and Health Related Outcomes</w:t>
      </w:r>
    </w:p>
    <w:p w:rsidR="005B3AF1" w:rsidRPr="0051061D" w:rsidRDefault="005B3AF1" w:rsidP="005B3AF1">
      <w:pPr>
        <w:rPr>
          <w:szCs w:val="22"/>
        </w:rPr>
      </w:pPr>
      <w:r w:rsidRPr="0051061D">
        <w:rPr>
          <w:szCs w:val="22"/>
        </w:rPr>
        <w:t>Improvements in physical function have been shown with and without MTX.</w:t>
      </w:r>
    </w:p>
    <w:p w:rsidR="005B3AF1" w:rsidRDefault="005B3AF1" w:rsidP="005B3AF1">
      <w:pPr>
        <w:rPr>
          <w:lang w:val="en-GB"/>
        </w:rPr>
      </w:pPr>
      <w:r w:rsidRPr="0051061D">
        <w:rPr>
          <w:szCs w:val="22"/>
        </w:rPr>
        <w:t xml:space="preserve">Improvement in physical functioning was measured by the HAQ-DI. Patients receiving XELJANZ 5 mg </w:t>
      </w:r>
      <w:r w:rsidRPr="0051061D">
        <w:rPr>
          <w:color w:val="000000"/>
          <w:szCs w:val="22"/>
        </w:rPr>
        <w:t>twice daily</w:t>
      </w:r>
      <w:r w:rsidRPr="0051061D">
        <w:rPr>
          <w:szCs w:val="22"/>
        </w:rPr>
        <w:t xml:space="preserve"> demonstrated significantly greater improvement from baseline in physical functioning compared to placebo at Month 3 (Studies I, II, III, and V) and Month 6 (Studies II and III).  XELJANZ 5 mg </w:t>
      </w:r>
      <w:r w:rsidRPr="0051061D">
        <w:rPr>
          <w:color w:val="000000"/>
          <w:szCs w:val="22"/>
        </w:rPr>
        <w:t>twice daily</w:t>
      </w:r>
      <w:r w:rsidRPr="0051061D">
        <w:rPr>
          <w:szCs w:val="22"/>
        </w:rPr>
        <w:t xml:space="preserve"> treated patients exhibited significantly greater improved physical functioning compared to placebo as early as Week 2 in Studies I and II.  </w:t>
      </w:r>
      <w:r w:rsidRPr="0051061D">
        <w:t xml:space="preserve">Compared with adalimumab-treated patients, at Month 3, patients in the XELJANZ 5 mg </w:t>
      </w:r>
      <w:r w:rsidRPr="0051061D">
        <w:rPr>
          <w:color w:val="000000"/>
          <w:szCs w:val="22"/>
        </w:rPr>
        <w:t>twice daily</w:t>
      </w:r>
      <w:r w:rsidRPr="0051061D">
        <w:t xml:space="preserve"> group had similar decreases from </w:t>
      </w:r>
      <w:r w:rsidRPr="00386BB6">
        <w:rPr>
          <w:szCs w:val="22"/>
        </w:rPr>
        <w:t xml:space="preserve">baseline in HAQ-DI values. </w:t>
      </w:r>
      <w:r>
        <w:rPr>
          <w:szCs w:val="22"/>
        </w:rPr>
        <w:t xml:space="preserve"> </w:t>
      </w:r>
      <w:r w:rsidRPr="009E276A">
        <w:rPr>
          <w:lang w:val="en-GB"/>
        </w:rPr>
        <w:t xml:space="preserve">The mean change in HAQ-DI </w:t>
      </w:r>
      <w:r>
        <w:rPr>
          <w:lang w:val="en-GB"/>
        </w:rPr>
        <w:t xml:space="preserve">from baseline </w:t>
      </w:r>
      <w:r w:rsidRPr="009E276A">
        <w:rPr>
          <w:lang w:val="en-GB"/>
        </w:rPr>
        <w:t xml:space="preserve">to Month 3 in </w:t>
      </w:r>
      <w:r>
        <w:rPr>
          <w:lang w:val="en-GB"/>
        </w:rPr>
        <w:t>Stu</w:t>
      </w:r>
      <w:r w:rsidR="00284A99">
        <w:rPr>
          <w:lang w:val="en-GB"/>
        </w:rPr>
        <w:t>dies I to V are shown in Table </w:t>
      </w:r>
      <w:r w:rsidR="006A1592">
        <w:rPr>
          <w:lang w:val="en-GB"/>
        </w:rPr>
        <w:t>8</w:t>
      </w:r>
      <w:r w:rsidRPr="009E276A">
        <w:rPr>
          <w:lang w:val="en-GB"/>
        </w:rPr>
        <w:t>.</w:t>
      </w:r>
    </w:p>
    <w:p w:rsidR="005B3AF1" w:rsidRPr="008B2548" w:rsidRDefault="00284A99" w:rsidP="005B3AF1">
      <w:pPr>
        <w:keepNext/>
        <w:rPr>
          <w:b/>
        </w:rPr>
      </w:pPr>
      <w:r>
        <w:rPr>
          <w:rFonts w:cs="Arial"/>
          <w:b/>
        </w:rPr>
        <w:lastRenderedPageBreak/>
        <w:t>Table </w:t>
      </w:r>
      <w:r w:rsidR="006A1592">
        <w:rPr>
          <w:rFonts w:cs="Arial"/>
          <w:b/>
        </w:rPr>
        <w:t>8</w:t>
      </w:r>
      <w:r w:rsidR="005B3AF1">
        <w:rPr>
          <w:rFonts w:cs="Arial"/>
          <w:b/>
        </w:rPr>
        <w:t xml:space="preserve">: </w:t>
      </w:r>
      <w:r w:rsidR="005B3AF1" w:rsidRPr="008B2548">
        <w:rPr>
          <w:rFonts w:cs="Arial"/>
          <w:b/>
        </w:rPr>
        <w:t>Mean Change from Baseline in HAQ-DI</w:t>
      </w:r>
    </w:p>
    <w:tbl>
      <w:tblPr>
        <w:tblW w:w="5000" w:type="pct"/>
        <w:tblLook w:val="0000" w:firstRow="0" w:lastRow="0" w:firstColumn="0" w:lastColumn="0" w:noHBand="0" w:noVBand="0"/>
      </w:tblPr>
      <w:tblGrid>
        <w:gridCol w:w="2088"/>
        <w:gridCol w:w="2969"/>
        <w:gridCol w:w="1996"/>
        <w:gridCol w:w="2189"/>
      </w:tblGrid>
      <w:tr w:rsidR="005B3AF1" w:rsidRPr="007D68D2" w:rsidTr="00AC0EF9">
        <w:trPr>
          <w:cantSplit/>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B3AF1" w:rsidRPr="007D68D2" w:rsidRDefault="005B3AF1" w:rsidP="00AC0EF9">
            <w:pPr>
              <w:pStyle w:val="TableTextCentered"/>
              <w:keepNext/>
              <w:rPr>
                <w:b/>
              </w:rPr>
            </w:pPr>
            <w:r>
              <w:rPr>
                <w:b/>
              </w:rPr>
              <w:t>Study </w:t>
            </w:r>
            <w:r w:rsidRPr="007D68D2">
              <w:rPr>
                <w:b/>
              </w:rPr>
              <w:t>I</w:t>
            </w:r>
            <w:r>
              <w:rPr>
                <w:b/>
              </w:rPr>
              <w:t>:</w:t>
            </w:r>
            <w:r w:rsidRPr="007D68D2">
              <w:rPr>
                <w:b/>
              </w:rPr>
              <w:t xml:space="preserve"> </w:t>
            </w:r>
            <w:r>
              <w:rPr>
                <w:b/>
              </w:rPr>
              <w:t xml:space="preserve"> </w:t>
            </w:r>
            <w:r w:rsidRPr="005F7350">
              <w:rPr>
                <w:b/>
                <w:lang w:val="en-GB"/>
              </w:rPr>
              <w:t xml:space="preserve">DMARD Inadequate Responders </w:t>
            </w:r>
          </w:p>
        </w:tc>
      </w:tr>
      <w:tr w:rsidR="005B3AF1" w:rsidRPr="007D68D2" w:rsidTr="00AC0EF9">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7D68D2" w:rsidRDefault="005B3AF1" w:rsidP="00AC0EF9">
            <w:pPr>
              <w:pStyle w:val="TableTextCentered"/>
              <w:keepNext/>
              <w:rPr>
                <w:b/>
              </w:rPr>
            </w:pPr>
            <w:r w:rsidRPr="007D68D2">
              <w:rPr>
                <w:b/>
              </w:rPr>
              <w:t>Time</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5431CF" w:rsidRDefault="005B3AF1" w:rsidP="00AC0EF9">
            <w:pPr>
              <w:pStyle w:val="TableTextCentered"/>
              <w:keepNext/>
            </w:pPr>
            <w:r w:rsidRPr="005431CF">
              <w:t>Placebo</w:t>
            </w:r>
          </w:p>
          <w:p w:rsidR="005B3AF1" w:rsidRPr="005431CF" w:rsidRDefault="005B3AF1" w:rsidP="00AC0EF9">
            <w:pPr>
              <w:pStyle w:val="TableTextCentered"/>
              <w:keepNext/>
            </w:pPr>
            <w:r w:rsidRPr="005431CF">
              <w:t>N=109</w:t>
            </w:r>
          </w:p>
        </w:tc>
        <w:tc>
          <w:tcPr>
            <w:tcW w:w="2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B3AF1" w:rsidRPr="005431CF" w:rsidRDefault="005B3AF1" w:rsidP="00AC0EF9">
            <w:pPr>
              <w:pStyle w:val="TableTextCentered"/>
              <w:keepNext/>
            </w:pPr>
            <w:r w:rsidRPr="005431CF">
              <w:t>XELJANZ 5 mg monotherapy Twice Daily</w:t>
            </w:r>
          </w:p>
          <w:p w:rsidR="005B3AF1" w:rsidRPr="005431CF" w:rsidRDefault="005B3AF1" w:rsidP="00AC0EF9">
            <w:pPr>
              <w:pStyle w:val="TableTextCentered"/>
              <w:keepNext/>
            </w:pPr>
            <w:r w:rsidRPr="005431CF">
              <w:t>N=237</w:t>
            </w:r>
          </w:p>
        </w:tc>
      </w:tr>
      <w:tr w:rsidR="005B3AF1" w:rsidRPr="00714C8A" w:rsidTr="00AC0EF9">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714C8A" w:rsidRDefault="005B3AF1" w:rsidP="00AC0EF9">
            <w:pPr>
              <w:pStyle w:val="TableText0"/>
              <w:keepNext/>
            </w:pPr>
            <w:r>
              <w:t>LS Mean Change in HAQ-DI at Month 3</w:t>
            </w:r>
            <w:r w:rsidRPr="00292B71">
              <w:rPr>
                <w:vertAlign w:val="superscript"/>
              </w:rPr>
              <w:t>a</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714C8A" w:rsidRDefault="005B3AF1" w:rsidP="00AC0EF9">
            <w:pPr>
              <w:pStyle w:val="TableText0"/>
              <w:keepNext/>
              <w:jc w:val="center"/>
            </w:pPr>
            <w:r>
              <w:t>-0.19</w:t>
            </w:r>
          </w:p>
        </w:tc>
        <w:tc>
          <w:tcPr>
            <w:tcW w:w="2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B3AF1" w:rsidRPr="00714C8A" w:rsidRDefault="005B3AF1" w:rsidP="00AC0EF9">
            <w:pPr>
              <w:pStyle w:val="TableText0"/>
              <w:keepNext/>
              <w:jc w:val="center"/>
            </w:pPr>
            <w:r>
              <w:t>-0.50</w:t>
            </w:r>
            <w:r w:rsidRPr="001409EF">
              <w:rPr>
                <w:vertAlign w:val="superscript"/>
              </w:rPr>
              <w:t>**</w:t>
            </w:r>
          </w:p>
        </w:tc>
      </w:tr>
      <w:tr w:rsidR="005B3AF1" w:rsidRPr="007D68D2" w:rsidTr="00AC0EF9">
        <w:trPr>
          <w:cantSplit/>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B3AF1" w:rsidRPr="007D68D2" w:rsidRDefault="005B3AF1" w:rsidP="00AC0EF9">
            <w:pPr>
              <w:pStyle w:val="TableTextCentered"/>
              <w:keepNext/>
              <w:rPr>
                <w:b/>
              </w:rPr>
            </w:pPr>
            <w:r>
              <w:rPr>
                <w:b/>
              </w:rPr>
              <w:t>Study </w:t>
            </w:r>
            <w:r w:rsidRPr="007D68D2">
              <w:rPr>
                <w:b/>
              </w:rPr>
              <w:t>II</w:t>
            </w:r>
            <w:r>
              <w:rPr>
                <w:b/>
              </w:rPr>
              <w:t>:</w:t>
            </w:r>
            <w:r w:rsidRPr="007D68D2">
              <w:rPr>
                <w:b/>
              </w:rPr>
              <w:t xml:space="preserve"> DMARD Inadequate Responders</w:t>
            </w:r>
          </w:p>
        </w:tc>
      </w:tr>
      <w:tr w:rsidR="005B3AF1" w:rsidRPr="007D68D2" w:rsidTr="00AC0EF9">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7D68D2" w:rsidRDefault="005B3AF1" w:rsidP="00AC0EF9">
            <w:pPr>
              <w:pStyle w:val="TableText0"/>
              <w:keepNext/>
              <w:rPr>
                <w:b/>
              </w:rPr>
            </w:pP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5431CF" w:rsidRDefault="005B3AF1" w:rsidP="00AC0EF9">
            <w:pPr>
              <w:pStyle w:val="TableTextCentered"/>
              <w:keepNext/>
            </w:pPr>
            <w:r w:rsidRPr="005431CF">
              <w:t>Placebo + DMARD/s</w:t>
            </w:r>
          </w:p>
          <w:p w:rsidR="005B3AF1" w:rsidRPr="005431CF" w:rsidRDefault="005B3AF1" w:rsidP="00AC0EF9">
            <w:pPr>
              <w:pStyle w:val="TableTextCentered"/>
              <w:keepNext/>
            </w:pPr>
            <w:r w:rsidRPr="005431CF">
              <w:t>N=147</w:t>
            </w:r>
          </w:p>
        </w:tc>
        <w:tc>
          <w:tcPr>
            <w:tcW w:w="2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B3AF1" w:rsidRPr="005431CF" w:rsidRDefault="005B3AF1" w:rsidP="00AC0EF9">
            <w:pPr>
              <w:pStyle w:val="TableTextCentered"/>
              <w:keepNext/>
            </w:pPr>
            <w:r w:rsidRPr="005431CF">
              <w:t>XELJANZ 5 mg Twice Daily + DMARD(s)</w:t>
            </w:r>
          </w:p>
          <w:p w:rsidR="005B3AF1" w:rsidRPr="005431CF" w:rsidRDefault="005B3AF1" w:rsidP="00AC0EF9">
            <w:pPr>
              <w:pStyle w:val="TableTextCentered"/>
              <w:keepNext/>
            </w:pPr>
            <w:r w:rsidRPr="005431CF">
              <w:t>N=292</w:t>
            </w:r>
          </w:p>
        </w:tc>
      </w:tr>
      <w:tr w:rsidR="005B3AF1" w:rsidRPr="00714C8A" w:rsidTr="00AC0EF9">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714C8A" w:rsidRDefault="005B3AF1" w:rsidP="00AC0EF9">
            <w:pPr>
              <w:pStyle w:val="TableText0"/>
              <w:keepNext/>
            </w:pPr>
            <w:r>
              <w:t>LS Mean Change in HAQ-DI at Month 3</w:t>
            </w:r>
            <w:r w:rsidRPr="00292B71">
              <w:rPr>
                <w:vertAlign w:val="superscript"/>
              </w:rPr>
              <w:t>a</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714C8A" w:rsidRDefault="005B3AF1" w:rsidP="00AC0EF9">
            <w:pPr>
              <w:pStyle w:val="TableText0"/>
              <w:keepNext/>
              <w:jc w:val="center"/>
            </w:pPr>
            <w:r>
              <w:t>-0.21</w:t>
            </w:r>
          </w:p>
        </w:tc>
        <w:tc>
          <w:tcPr>
            <w:tcW w:w="2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B3AF1" w:rsidRPr="00714C8A" w:rsidRDefault="005B3AF1" w:rsidP="00AC0EF9">
            <w:pPr>
              <w:pStyle w:val="TableText0"/>
              <w:keepNext/>
              <w:jc w:val="center"/>
            </w:pPr>
            <w:r>
              <w:t>-0.46</w:t>
            </w:r>
            <w:r w:rsidRPr="001409EF">
              <w:rPr>
                <w:vertAlign w:val="superscript"/>
              </w:rPr>
              <w:t>**</w:t>
            </w:r>
          </w:p>
        </w:tc>
      </w:tr>
      <w:tr w:rsidR="005B3AF1" w:rsidRPr="007D68D2" w:rsidTr="00AC0EF9">
        <w:trPr>
          <w:cantSplit/>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B3AF1" w:rsidRPr="007D68D2" w:rsidRDefault="005B3AF1" w:rsidP="00AC0EF9">
            <w:pPr>
              <w:pStyle w:val="TableTextCentered"/>
              <w:keepNext/>
              <w:rPr>
                <w:b/>
              </w:rPr>
            </w:pPr>
            <w:r>
              <w:rPr>
                <w:b/>
              </w:rPr>
              <w:t>Study </w:t>
            </w:r>
            <w:r w:rsidRPr="007D68D2">
              <w:rPr>
                <w:b/>
              </w:rPr>
              <w:t>III</w:t>
            </w:r>
            <w:r>
              <w:rPr>
                <w:b/>
              </w:rPr>
              <w:t xml:space="preserve">: </w:t>
            </w:r>
            <w:r w:rsidRPr="007D68D2">
              <w:rPr>
                <w:b/>
              </w:rPr>
              <w:t>MTX Inadequate Responders</w:t>
            </w:r>
          </w:p>
        </w:tc>
      </w:tr>
      <w:tr w:rsidR="005B3AF1" w:rsidRPr="007D68D2" w:rsidTr="00AC0EF9">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7D68D2" w:rsidRDefault="005B3AF1" w:rsidP="00AC0EF9">
            <w:pPr>
              <w:pStyle w:val="TableText0"/>
              <w:keepNext/>
              <w:rPr>
                <w:b/>
              </w:rPr>
            </w:pP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5431CF" w:rsidRDefault="005B3AF1" w:rsidP="00AC0EF9">
            <w:pPr>
              <w:pStyle w:val="TableTextCentered"/>
              <w:keepNext/>
            </w:pPr>
            <w:r w:rsidRPr="005431CF">
              <w:t>Placebo + MTX</w:t>
            </w:r>
          </w:p>
          <w:p w:rsidR="005B3AF1" w:rsidRPr="005431CF" w:rsidRDefault="005B3AF1" w:rsidP="00AC0EF9">
            <w:pPr>
              <w:pStyle w:val="TableTextCentered"/>
              <w:keepNext/>
            </w:pPr>
            <w:r w:rsidRPr="005431CF">
              <w:t>N=9</w:t>
            </w:r>
            <w:r>
              <w:t>6</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5431CF" w:rsidRDefault="005B3AF1" w:rsidP="00AC0EF9">
            <w:pPr>
              <w:pStyle w:val="TableTextCentered"/>
              <w:keepNext/>
            </w:pPr>
            <w:r w:rsidRPr="005431CF">
              <w:t xml:space="preserve">XELJANZ </w:t>
            </w:r>
          </w:p>
          <w:p w:rsidR="005B3AF1" w:rsidRPr="005431CF" w:rsidRDefault="005B3AF1" w:rsidP="00AC0EF9">
            <w:pPr>
              <w:pStyle w:val="TableTextCentered"/>
              <w:keepNext/>
            </w:pPr>
            <w:r w:rsidRPr="005431CF">
              <w:t>5 mg BID + MTX</w:t>
            </w:r>
          </w:p>
          <w:p w:rsidR="005B3AF1" w:rsidRPr="005431CF" w:rsidRDefault="005B3AF1" w:rsidP="00AC0EF9">
            <w:pPr>
              <w:pStyle w:val="TableTextCentered"/>
              <w:keepNext/>
            </w:pPr>
            <w:r w:rsidRPr="005431CF">
              <w:t>N=18</w:t>
            </w:r>
            <w:r>
              <w:t>5</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5431CF" w:rsidRDefault="005B3AF1" w:rsidP="00AC0EF9">
            <w:pPr>
              <w:pStyle w:val="TableTextCentered"/>
              <w:keepNext/>
            </w:pPr>
            <w:r w:rsidRPr="005431CF">
              <w:t xml:space="preserve">Adalimumab </w:t>
            </w:r>
          </w:p>
          <w:p w:rsidR="005B3AF1" w:rsidRPr="005431CF" w:rsidRDefault="005B3AF1" w:rsidP="00AC0EF9">
            <w:pPr>
              <w:pStyle w:val="TableTextCentered"/>
              <w:keepNext/>
            </w:pPr>
            <w:r w:rsidRPr="005431CF">
              <w:t>40 mg QOW + MTX</w:t>
            </w:r>
          </w:p>
          <w:p w:rsidR="005B3AF1" w:rsidRPr="005431CF" w:rsidRDefault="005B3AF1" w:rsidP="00AC0EF9">
            <w:pPr>
              <w:pStyle w:val="TableTextCentered"/>
              <w:keepNext/>
            </w:pPr>
            <w:r w:rsidRPr="005431CF">
              <w:t>N=1</w:t>
            </w:r>
            <w:r>
              <w:t>88</w:t>
            </w:r>
          </w:p>
        </w:tc>
      </w:tr>
      <w:tr w:rsidR="005B3AF1" w:rsidRPr="00714C8A" w:rsidTr="00AC0EF9">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714C8A" w:rsidRDefault="005B3AF1" w:rsidP="00AC0EF9">
            <w:pPr>
              <w:pStyle w:val="TableText0"/>
              <w:keepNext/>
            </w:pPr>
            <w:r>
              <w:t>LS Mean Change in HAQ-DI at Month 3</w:t>
            </w:r>
            <w:r w:rsidRPr="00292B71">
              <w:rPr>
                <w:vertAlign w:val="superscript"/>
              </w:rPr>
              <w:t>a</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714C8A" w:rsidRDefault="005B3AF1" w:rsidP="00AC0EF9">
            <w:pPr>
              <w:pStyle w:val="TableText0"/>
              <w:keepNext/>
              <w:jc w:val="center"/>
            </w:pPr>
            <w:r>
              <w:t>-0.24</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714C8A" w:rsidRDefault="005B3AF1" w:rsidP="00AC0EF9">
            <w:pPr>
              <w:pStyle w:val="TableText0"/>
              <w:keepNext/>
              <w:jc w:val="center"/>
            </w:pPr>
            <w:r>
              <w:t>-0.54</w:t>
            </w:r>
            <w:r w:rsidRPr="001409EF">
              <w:rPr>
                <w:vertAlign w:val="superscript"/>
              </w:rPr>
              <w:t>**</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Default="005B3AF1" w:rsidP="00AC0EF9">
            <w:pPr>
              <w:pStyle w:val="TableText0"/>
              <w:keepNext/>
              <w:jc w:val="center"/>
            </w:pPr>
            <w:r>
              <w:t>-0.50</w:t>
            </w:r>
            <w:r w:rsidRPr="001409EF">
              <w:rPr>
                <w:vertAlign w:val="superscript"/>
              </w:rPr>
              <w:t>**</w:t>
            </w:r>
          </w:p>
        </w:tc>
      </w:tr>
      <w:tr w:rsidR="005B3AF1" w:rsidRPr="007D68D2" w:rsidTr="00AC0EF9">
        <w:trPr>
          <w:cantSplit/>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B3AF1" w:rsidRPr="007D68D2" w:rsidRDefault="005B3AF1" w:rsidP="00AC0EF9">
            <w:pPr>
              <w:pStyle w:val="TableTextCentered"/>
              <w:keepNext/>
              <w:rPr>
                <w:b/>
              </w:rPr>
            </w:pPr>
            <w:r>
              <w:rPr>
                <w:b/>
              </w:rPr>
              <w:t>Study </w:t>
            </w:r>
            <w:r w:rsidRPr="007D68D2">
              <w:rPr>
                <w:b/>
              </w:rPr>
              <w:t>IV: MTX Inadequate Responders</w:t>
            </w:r>
          </w:p>
        </w:tc>
      </w:tr>
      <w:tr w:rsidR="005B3AF1" w:rsidRPr="007D68D2" w:rsidTr="00AC0EF9">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7D68D2" w:rsidRDefault="005B3AF1" w:rsidP="00AC0EF9">
            <w:pPr>
              <w:pStyle w:val="TableText0"/>
              <w:keepNext/>
              <w:rPr>
                <w:b/>
              </w:rPr>
            </w:pP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5431CF" w:rsidRDefault="005B3AF1" w:rsidP="00AC0EF9">
            <w:pPr>
              <w:pStyle w:val="TableTextCentered"/>
              <w:keepNext/>
            </w:pPr>
            <w:proofErr w:type="spellStart"/>
            <w:r w:rsidRPr="005431CF">
              <w:t>Placebo+MTX</w:t>
            </w:r>
            <w:proofErr w:type="spellEnd"/>
          </w:p>
          <w:p w:rsidR="005B3AF1" w:rsidRPr="005431CF" w:rsidRDefault="005B3AF1" w:rsidP="00AC0EF9">
            <w:pPr>
              <w:pStyle w:val="TableTextCentered"/>
              <w:keepNext/>
            </w:pPr>
            <w:r w:rsidRPr="005431CF">
              <w:t>N=146</w:t>
            </w:r>
          </w:p>
        </w:tc>
        <w:tc>
          <w:tcPr>
            <w:tcW w:w="2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B3AF1" w:rsidRPr="005431CF" w:rsidRDefault="005B3AF1" w:rsidP="00AC0EF9">
            <w:pPr>
              <w:pStyle w:val="TableTextCentered"/>
              <w:keepNext/>
            </w:pPr>
            <w:r w:rsidRPr="005431CF">
              <w:t>XELJANZ 5 mg Twice Daily + MTX</w:t>
            </w:r>
          </w:p>
          <w:p w:rsidR="005B3AF1" w:rsidRPr="005431CF" w:rsidRDefault="005B3AF1" w:rsidP="00AC0EF9">
            <w:pPr>
              <w:pStyle w:val="TableTextCentered"/>
              <w:keepNext/>
            </w:pPr>
            <w:r w:rsidRPr="005431CF">
              <w:t>N=294</w:t>
            </w:r>
          </w:p>
        </w:tc>
      </w:tr>
      <w:tr w:rsidR="005B3AF1" w:rsidRPr="00714C8A" w:rsidTr="00AC0EF9">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714C8A" w:rsidRDefault="005B3AF1" w:rsidP="00AC0EF9">
            <w:pPr>
              <w:pStyle w:val="TableText0"/>
              <w:keepNext/>
            </w:pPr>
            <w:r>
              <w:t>LS Mean Change in HAQ-DI at Month 3</w:t>
            </w:r>
            <w:r w:rsidRPr="00292B71">
              <w:rPr>
                <w:vertAlign w:val="superscript"/>
              </w:rPr>
              <w:t>a</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714C8A" w:rsidRDefault="005B3AF1" w:rsidP="00AC0EF9">
            <w:pPr>
              <w:pStyle w:val="TableText0"/>
              <w:keepNext/>
              <w:jc w:val="center"/>
            </w:pPr>
            <w:r>
              <w:t>-0.15</w:t>
            </w:r>
          </w:p>
        </w:tc>
        <w:tc>
          <w:tcPr>
            <w:tcW w:w="2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B3AF1" w:rsidRPr="00714C8A" w:rsidRDefault="005B3AF1" w:rsidP="00AC0EF9">
            <w:pPr>
              <w:pStyle w:val="TableText0"/>
              <w:keepNext/>
              <w:jc w:val="center"/>
            </w:pPr>
            <w:r>
              <w:t>-0.40</w:t>
            </w:r>
            <w:r>
              <w:rPr>
                <w:vertAlign w:val="superscript"/>
              </w:rPr>
              <w:t>b</w:t>
            </w:r>
          </w:p>
        </w:tc>
      </w:tr>
      <w:tr w:rsidR="005B3AF1" w:rsidRPr="007D68D2" w:rsidTr="00AC0EF9">
        <w:trPr>
          <w:cantSplit/>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B3AF1" w:rsidRPr="007D68D2" w:rsidRDefault="005B3AF1" w:rsidP="00AC0EF9">
            <w:pPr>
              <w:pStyle w:val="TableTextCentered"/>
              <w:keepNext/>
              <w:rPr>
                <w:b/>
              </w:rPr>
            </w:pPr>
            <w:r>
              <w:rPr>
                <w:b/>
              </w:rPr>
              <w:t>Study </w:t>
            </w:r>
            <w:r w:rsidRPr="007D68D2">
              <w:rPr>
                <w:b/>
              </w:rPr>
              <w:t xml:space="preserve">V: </w:t>
            </w:r>
            <w:r>
              <w:rPr>
                <w:b/>
              </w:rPr>
              <w:t xml:space="preserve"> </w:t>
            </w:r>
            <w:r w:rsidRPr="007D68D2">
              <w:rPr>
                <w:b/>
              </w:rPr>
              <w:t>TNF Inhibitor Inadequate Responders</w:t>
            </w:r>
          </w:p>
        </w:tc>
      </w:tr>
      <w:tr w:rsidR="005B3AF1" w:rsidRPr="007D68D2" w:rsidTr="00AC0EF9">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7D68D2" w:rsidRDefault="005B3AF1" w:rsidP="00AC0EF9">
            <w:pPr>
              <w:pStyle w:val="TableText0"/>
              <w:keepNext/>
              <w:rPr>
                <w:b/>
              </w:rPr>
            </w:pP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5431CF" w:rsidRDefault="005B3AF1" w:rsidP="00AC0EF9">
            <w:pPr>
              <w:pStyle w:val="TableTextCentered"/>
              <w:keepNext/>
            </w:pPr>
            <w:r w:rsidRPr="005431CF">
              <w:t>Placebo</w:t>
            </w:r>
          </w:p>
          <w:p w:rsidR="005B3AF1" w:rsidRPr="005431CF" w:rsidRDefault="005B3AF1" w:rsidP="00AC0EF9">
            <w:pPr>
              <w:pStyle w:val="TableTextCentered"/>
              <w:keepNext/>
            </w:pPr>
            <w:r w:rsidRPr="005431CF">
              <w:t>N=118</w:t>
            </w:r>
          </w:p>
        </w:tc>
        <w:tc>
          <w:tcPr>
            <w:tcW w:w="2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B3AF1" w:rsidRPr="005431CF" w:rsidRDefault="005B3AF1" w:rsidP="00AC0EF9">
            <w:pPr>
              <w:pStyle w:val="TableTextCentered"/>
              <w:keepNext/>
            </w:pPr>
            <w:r w:rsidRPr="005431CF">
              <w:t>XELJANZ 5 mg Twice Daily + MTX</w:t>
            </w:r>
          </w:p>
          <w:p w:rsidR="005B3AF1" w:rsidRPr="005431CF" w:rsidRDefault="005B3AF1" w:rsidP="00AC0EF9">
            <w:pPr>
              <w:pStyle w:val="TableTextCentered"/>
              <w:keepNext/>
            </w:pPr>
            <w:r w:rsidRPr="005431CF">
              <w:t>N=117</w:t>
            </w:r>
          </w:p>
        </w:tc>
      </w:tr>
      <w:tr w:rsidR="005B3AF1" w:rsidRPr="00714C8A" w:rsidTr="00AC0EF9">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714C8A" w:rsidRDefault="005B3AF1" w:rsidP="00AC0EF9">
            <w:pPr>
              <w:pStyle w:val="TableText0"/>
              <w:keepNext/>
            </w:pPr>
            <w:r>
              <w:t>LS Mean Change in HAQ-DI at Month 3</w:t>
            </w:r>
            <w:r w:rsidRPr="00292B71">
              <w:rPr>
                <w:vertAlign w:val="superscript"/>
              </w:rPr>
              <w:t>a</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5B3AF1" w:rsidRPr="00714C8A" w:rsidRDefault="005B3AF1" w:rsidP="00AC0EF9">
            <w:pPr>
              <w:pStyle w:val="TableText0"/>
              <w:keepNext/>
              <w:jc w:val="center"/>
            </w:pPr>
            <w:r>
              <w:t>-0.18</w:t>
            </w:r>
          </w:p>
        </w:tc>
        <w:tc>
          <w:tcPr>
            <w:tcW w:w="2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B3AF1" w:rsidRPr="00714C8A" w:rsidRDefault="005B3AF1" w:rsidP="00AC0EF9">
            <w:pPr>
              <w:pStyle w:val="TableText0"/>
              <w:keepNext/>
              <w:jc w:val="center"/>
            </w:pPr>
            <w:r>
              <w:t>-0.43</w:t>
            </w:r>
            <w:r w:rsidRPr="001409EF">
              <w:rPr>
                <w:vertAlign w:val="superscript"/>
              </w:rPr>
              <w:t>**</w:t>
            </w:r>
          </w:p>
        </w:tc>
      </w:tr>
      <w:tr w:rsidR="005B3AF1" w:rsidRPr="00714C8A" w:rsidTr="00AC0EF9">
        <w:trPr>
          <w:cantSplit/>
        </w:trPr>
        <w:tc>
          <w:tcPr>
            <w:tcW w:w="5000" w:type="pct"/>
            <w:gridSpan w:val="4"/>
            <w:tcBorders>
              <w:top w:val="single" w:sz="4" w:space="0" w:color="auto"/>
            </w:tcBorders>
            <w:shd w:val="clear" w:color="auto" w:fill="auto"/>
          </w:tcPr>
          <w:p w:rsidR="005B3AF1" w:rsidRDefault="005B3AF1" w:rsidP="00AC0EF9">
            <w:pPr>
              <w:pStyle w:val="TableText0"/>
              <w:keepNext/>
              <w:tabs>
                <w:tab w:val="left" w:pos="306"/>
              </w:tabs>
              <w:ind w:left="306" w:hanging="306"/>
            </w:pPr>
            <w:r w:rsidRPr="001409EF">
              <w:rPr>
                <w:vertAlign w:val="superscript"/>
              </w:rPr>
              <w:t>a.</w:t>
            </w:r>
            <w:r>
              <w:tab/>
              <w:t xml:space="preserve">Primary efficacy time point. </w:t>
            </w:r>
          </w:p>
          <w:p w:rsidR="005B3AF1" w:rsidRDefault="005B3AF1" w:rsidP="00AC0EF9">
            <w:pPr>
              <w:pStyle w:val="TableText0"/>
              <w:keepNext/>
              <w:tabs>
                <w:tab w:val="left" w:pos="306"/>
              </w:tabs>
              <w:ind w:left="306" w:hanging="306"/>
            </w:pPr>
            <w:r w:rsidRPr="001409EF">
              <w:rPr>
                <w:vertAlign w:val="superscript"/>
              </w:rPr>
              <w:t>b.</w:t>
            </w:r>
            <w:r>
              <w:tab/>
            </w:r>
            <w:r w:rsidRPr="00292B71">
              <w:t xml:space="preserve">Statistical significance could not be declared in Study IV due to </w:t>
            </w:r>
            <w:r>
              <w:t>s</w:t>
            </w:r>
            <w:r w:rsidRPr="00292B71">
              <w:t>tep-down procedure</w:t>
            </w:r>
            <w:r>
              <w:t>.</w:t>
            </w:r>
          </w:p>
          <w:p w:rsidR="005B3AF1" w:rsidRDefault="005B3AF1" w:rsidP="00AC0EF9">
            <w:pPr>
              <w:pStyle w:val="TableText0"/>
              <w:keepNext/>
              <w:tabs>
                <w:tab w:val="left" w:pos="306"/>
              </w:tabs>
              <w:ind w:left="306" w:hanging="306"/>
            </w:pPr>
            <w:r w:rsidRPr="001409EF">
              <w:rPr>
                <w:vertAlign w:val="superscript"/>
              </w:rPr>
              <w:t>**</w:t>
            </w:r>
            <w:r>
              <w:tab/>
            </w:r>
            <w:r w:rsidRPr="00292B71">
              <w:t xml:space="preserve">p&lt;0.0001, XELJANZ </w:t>
            </w:r>
            <w:r>
              <w:t xml:space="preserve">(or adalimumab in Study III) </w:t>
            </w:r>
            <w:r w:rsidRPr="00292B71">
              <w:t>vs. placebo + MTX/DMARD</w:t>
            </w:r>
          </w:p>
          <w:p w:rsidR="005B3AF1" w:rsidRDefault="005B3AF1" w:rsidP="00AC0EF9">
            <w:pPr>
              <w:pStyle w:val="TableText0"/>
              <w:keepNext/>
            </w:pPr>
            <w:r>
              <w:t>Results are obtained from a longitudinal linear model with change from baseline as a dependent variable and treatment, baseline, visit, region as fixed effects and patient as random effect.</w:t>
            </w:r>
          </w:p>
          <w:p w:rsidR="005B3AF1" w:rsidRPr="00714C8A" w:rsidRDefault="008633BF" w:rsidP="00AC0EF9">
            <w:pPr>
              <w:pStyle w:val="TableText0"/>
              <w:keepNext/>
            </w:pPr>
            <w:r>
              <w:t xml:space="preserve">Abbreviations: </w:t>
            </w:r>
            <w:r w:rsidR="005B3AF1">
              <w:t xml:space="preserve">BID=twice daily, CI = confidence interval, FAS = full analysis set, LS = least squares, N = number of patients, MTX = methotrexate, QOW = every other week, HAQ-DI = </w:t>
            </w:r>
            <w:r w:rsidR="005B3AF1" w:rsidRPr="00E024EF">
              <w:t>Health Assessment Questionnaire Disability Index</w:t>
            </w:r>
            <w:r w:rsidR="005B3AF1">
              <w:t xml:space="preserve">, DMARDs = disease-modifying anti-rheumatic drugs, TNF= </w:t>
            </w:r>
            <w:proofErr w:type="spellStart"/>
            <w:r w:rsidR="005B3AF1">
              <w:t>tumour</w:t>
            </w:r>
            <w:proofErr w:type="spellEnd"/>
            <w:r w:rsidR="005B3AF1">
              <w:t xml:space="preserve"> necrosis factor  </w:t>
            </w:r>
          </w:p>
        </w:tc>
      </w:tr>
    </w:tbl>
    <w:p w:rsidR="005B3AF1" w:rsidRPr="00386BB6" w:rsidRDefault="005B3AF1" w:rsidP="005B3AF1">
      <w:pPr>
        <w:rPr>
          <w:szCs w:val="22"/>
        </w:rPr>
      </w:pPr>
    </w:p>
    <w:p w:rsidR="005B3AF1" w:rsidRPr="0051061D" w:rsidRDefault="005B3AF1" w:rsidP="005B3AF1">
      <w:pPr>
        <w:rPr>
          <w:szCs w:val="22"/>
        </w:rPr>
      </w:pPr>
      <w:r w:rsidRPr="0051061D">
        <w:rPr>
          <w:szCs w:val="22"/>
        </w:rPr>
        <w:t>Health-related quality of life was assessed by the Short Form Health Survey (SF-36) in all 5 studies.  XELJANZ-treated patients exhibited significantly greater improvement from baseline compared to placebo in all 8 domains of the SF-36 as well as the Physical Component Summary (PCS) and the Mental Component Summary (MCS) at Month 3 in Studies I, IV, and V.  In Studies III and IV, mean SF-36 improvements were maintained to 12 months in XELJANZ-treated patients.</w:t>
      </w:r>
    </w:p>
    <w:p w:rsidR="005B3AF1" w:rsidRPr="0051061D" w:rsidRDefault="005B3AF1" w:rsidP="005B3AF1">
      <w:pPr>
        <w:rPr>
          <w:rFonts w:eastAsia="MS Mincho"/>
          <w:color w:val="000000"/>
          <w:lang w:eastAsia="ja-JP"/>
        </w:rPr>
      </w:pPr>
      <w:r w:rsidRPr="0051061D">
        <w:rPr>
          <w:szCs w:val="22"/>
        </w:rPr>
        <w:t xml:space="preserve">Improvement in fatigue was evaluated by the Functional Assessment of Chronic Illness Therapy-Fatigue (FACIT-F) scale at Month 3 in all studies.  Patients receiving XELJANZ 5 mg </w:t>
      </w:r>
      <w:r w:rsidRPr="0051061D">
        <w:rPr>
          <w:color w:val="000000"/>
          <w:szCs w:val="22"/>
        </w:rPr>
        <w:t>twice daily</w:t>
      </w:r>
      <w:r w:rsidRPr="0051061D">
        <w:rPr>
          <w:szCs w:val="22"/>
        </w:rPr>
        <w:t xml:space="preserve"> demonstrated significantly greater improvement from baseline in fatigue compared to placebo in all 5 studies. In Studies III and IV, mean FACIT-F improvements were maintained to 12 months in XELJANZ-treated patients.</w:t>
      </w:r>
    </w:p>
    <w:p w:rsidR="005B3AF1" w:rsidRDefault="005B3AF1" w:rsidP="005B3AF1">
      <w:pPr>
        <w:rPr>
          <w:szCs w:val="22"/>
        </w:rPr>
      </w:pPr>
      <w:r w:rsidRPr="0051061D">
        <w:rPr>
          <w:szCs w:val="22"/>
        </w:rPr>
        <w:lastRenderedPageBreak/>
        <w:t xml:space="preserve">Improvement in sleep was assessed using the Sleep Problems Index I and II summary scales of the Medical Outcomes Study Sleep (MOS-Sleep) measure at Month 3 in all studies.  Patients receiving XELJANZ 5 mg </w:t>
      </w:r>
      <w:r w:rsidRPr="0051061D">
        <w:rPr>
          <w:color w:val="000000"/>
          <w:szCs w:val="22"/>
        </w:rPr>
        <w:t>twice daily</w:t>
      </w:r>
      <w:r w:rsidRPr="0051061D">
        <w:rPr>
          <w:szCs w:val="22"/>
        </w:rPr>
        <w:t xml:space="preserve"> demonstrated significantly greater improvement from baseline in both scales compared to placebo in Studies II, III, and IV.  In Studies III and IV, mean improvements in both scales were maintained to 12 months in XELJANZ-treated patients.</w:t>
      </w:r>
    </w:p>
    <w:p w:rsidR="005B3AF1" w:rsidRPr="0051061D" w:rsidRDefault="005B3AF1" w:rsidP="00171E65">
      <w:pPr>
        <w:pStyle w:val="PIHeading4"/>
      </w:pPr>
      <w:r>
        <w:t>Durability of Clinical Responses</w:t>
      </w:r>
    </w:p>
    <w:p w:rsidR="005B3AF1" w:rsidRDefault="005B3AF1" w:rsidP="005B3AF1">
      <w:pPr>
        <w:rPr>
          <w:szCs w:val="22"/>
        </w:rPr>
      </w:pPr>
      <w:r w:rsidRPr="00D50A79">
        <w:rPr>
          <w:szCs w:val="22"/>
        </w:rPr>
        <w:t xml:space="preserve">Durability of effect was assessed </w:t>
      </w:r>
      <w:r w:rsidRPr="009968BB">
        <w:rPr>
          <w:szCs w:val="22"/>
        </w:rPr>
        <w:t>by ACR20, ACR50, ACR70 response rates, mean HAQ-DI, and mean DAS28-4(ESR) in the three Phase 3 DMARD IR studies with duration of at least one year</w:t>
      </w:r>
      <w:r>
        <w:rPr>
          <w:szCs w:val="22"/>
        </w:rPr>
        <w:t xml:space="preserve"> (studies II, III and IV)</w:t>
      </w:r>
      <w:r w:rsidRPr="009968BB">
        <w:rPr>
          <w:szCs w:val="22"/>
        </w:rPr>
        <w:t xml:space="preserve">. </w:t>
      </w:r>
      <w:r>
        <w:rPr>
          <w:szCs w:val="22"/>
        </w:rPr>
        <w:t xml:space="preserve"> </w:t>
      </w:r>
      <w:r w:rsidRPr="009968BB">
        <w:rPr>
          <w:szCs w:val="22"/>
        </w:rPr>
        <w:t>Efficacy was maintained thr</w:t>
      </w:r>
      <w:r>
        <w:rPr>
          <w:szCs w:val="22"/>
        </w:rPr>
        <w:t>ough to the end of the studies.</w:t>
      </w:r>
    </w:p>
    <w:p w:rsidR="000214C3" w:rsidRDefault="005B3AF1" w:rsidP="003A4144">
      <w:pPr>
        <w:rPr>
          <w:szCs w:val="22"/>
        </w:rPr>
      </w:pPr>
      <w:r w:rsidRPr="009968BB">
        <w:rPr>
          <w:szCs w:val="22"/>
        </w:rPr>
        <w:t>Evidence of persistence of efficacy with tofacitinib treatment for up to 7 years is also provided from data in the one ongoing and one completed open-label, long-term follow</w:t>
      </w:r>
      <w:r w:rsidRPr="009968BB">
        <w:rPr>
          <w:szCs w:val="22"/>
        </w:rPr>
        <w:noBreakHyphen/>
        <w:t>up studies</w:t>
      </w:r>
      <w:r>
        <w:rPr>
          <w:szCs w:val="22"/>
        </w:rPr>
        <w:t>.</w:t>
      </w:r>
    </w:p>
    <w:p w:rsidR="00F02665" w:rsidRPr="00CE6ECB" w:rsidRDefault="00F02665" w:rsidP="00F02665">
      <w:pPr>
        <w:pStyle w:val="PIHeading3"/>
      </w:pPr>
      <w:r w:rsidRPr="00CE6ECB">
        <w:t>Psoriatic arthritis</w:t>
      </w:r>
    </w:p>
    <w:p w:rsidR="00F02665" w:rsidRDefault="00F02665" w:rsidP="00F02665">
      <w:r>
        <w:t>The efficacy and safety of XELJANZ were assessed in 2 randomised, double-blind, placebo</w:t>
      </w:r>
      <w:r>
        <w:noBreakHyphen/>
        <w:t xml:space="preserve">controlled Phase 3 studies in adult patients with active </w:t>
      </w:r>
      <w:proofErr w:type="spellStart"/>
      <w:r>
        <w:t>PsA</w:t>
      </w:r>
      <w:proofErr w:type="spellEnd"/>
      <w:r>
        <w:t xml:space="preserve"> (≥ 3 swollen and ≥ 3 tender joints); patients received 1 </w:t>
      </w:r>
      <w:proofErr w:type="spellStart"/>
      <w:r>
        <w:t>csDMARD</w:t>
      </w:r>
      <w:proofErr w:type="spellEnd"/>
      <w:r>
        <w:t xml:space="preserve"> as concomitant therapy. Patients with each subtype of </w:t>
      </w:r>
      <w:proofErr w:type="spellStart"/>
      <w:r>
        <w:t>PsA</w:t>
      </w:r>
      <w:proofErr w:type="spellEnd"/>
      <w:r>
        <w:t xml:space="preserve"> were enrolled in these studies including: polyarticular arthritis, &lt; 5 joints or asymmetric involvement, </w:t>
      </w:r>
      <w:r w:rsidRPr="003C3F7E">
        <w:rPr>
          <w:szCs w:val="22"/>
        </w:rPr>
        <w:t xml:space="preserve">distal interphalangeal </w:t>
      </w:r>
      <w:r>
        <w:rPr>
          <w:szCs w:val="22"/>
        </w:rPr>
        <w:t>(</w:t>
      </w:r>
      <w:r>
        <w:t xml:space="preserve">DIP) joint involvement, arthritis </w:t>
      </w:r>
      <w:proofErr w:type="spellStart"/>
      <w:r>
        <w:t>mutilans</w:t>
      </w:r>
      <w:proofErr w:type="spellEnd"/>
      <w:r>
        <w:t xml:space="preserve"> and spondylitis with peripheral arthritis. The median </w:t>
      </w:r>
      <w:proofErr w:type="spellStart"/>
      <w:r>
        <w:t>PsA</w:t>
      </w:r>
      <w:proofErr w:type="spellEnd"/>
      <w:r>
        <w:t xml:space="preserve"> disease duration was 5.5 years. Patients were required to have active plaque psoriasis at the screening visit. At baseline, 80% and 53% of patients had </w:t>
      </w:r>
      <w:proofErr w:type="spellStart"/>
      <w:r>
        <w:t>enthesitis</w:t>
      </w:r>
      <w:proofErr w:type="spellEnd"/>
      <w:r>
        <w:t xml:space="preserve"> and </w:t>
      </w:r>
      <w:proofErr w:type="spellStart"/>
      <w:r>
        <w:t>dactylitis</w:t>
      </w:r>
      <w:proofErr w:type="spellEnd"/>
      <w:r>
        <w:t>, respectively. For both studies, the primary endpoints were ACR20 response rate and change from baseline in HAQ</w:t>
      </w:r>
      <w:r>
        <w:noBreakHyphen/>
        <w:t>DI at Month 3.</w:t>
      </w:r>
    </w:p>
    <w:p w:rsidR="00F02665" w:rsidRDefault="00F02665" w:rsidP="00F02665">
      <w:r>
        <w:t xml:space="preserve">Study </w:t>
      </w:r>
      <w:proofErr w:type="spellStart"/>
      <w:r>
        <w:t>PsA</w:t>
      </w:r>
      <w:proofErr w:type="spellEnd"/>
      <w:r>
        <w:noBreakHyphen/>
        <w:t xml:space="preserve">I (OPAL BROADEN) evaluated 422 patients who had a previous inadequate response (due to lack of efficacy or intolerance) to a </w:t>
      </w:r>
      <w:proofErr w:type="spellStart"/>
      <w:r>
        <w:t>csDMARD</w:t>
      </w:r>
      <w:proofErr w:type="spellEnd"/>
      <w:r>
        <w:t xml:space="preserve"> (MTX for 92.7% of patients); 32.7% of the patients in this study had a previous inadequate response to &gt; 1 </w:t>
      </w:r>
      <w:proofErr w:type="spellStart"/>
      <w:r>
        <w:t>csDMARD</w:t>
      </w:r>
      <w:proofErr w:type="spellEnd"/>
      <w:r w:rsidRPr="00781D9A">
        <w:t xml:space="preserve"> </w:t>
      </w:r>
      <w:r>
        <w:t xml:space="preserve">or 1 </w:t>
      </w:r>
      <w:proofErr w:type="spellStart"/>
      <w:r>
        <w:t>csDMARD</w:t>
      </w:r>
      <w:proofErr w:type="spellEnd"/>
      <w:r>
        <w:t xml:space="preserve"> and a targeted synthetic DMARD (</w:t>
      </w:r>
      <w:proofErr w:type="spellStart"/>
      <w:r>
        <w:t>tsDMARD</w:t>
      </w:r>
      <w:proofErr w:type="spellEnd"/>
      <w:r>
        <w:t xml:space="preserve">). In OPAL BROADEN, previous treatment with TNF inhibitor was not allowed. All patients were required to have 1 concomitant </w:t>
      </w:r>
      <w:proofErr w:type="spellStart"/>
      <w:r>
        <w:t>csDMARD</w:t>
      </w:r>
      <w:proofErr w:type="spellEnd"/>
      <w:r>
        <w:t>; 83.9% of patients received concomitant MTX. Patients randomised to XELJANZ received 5 mg twice daily or XELJANZ 10 mg twice daily for 12 months. Patients randomised to placebo were advanced in a blinded manner at Month 3 to either XELJANZ 5 mg twice daily or XELJANZ 10 mg twice daily and received treatment until Month 12. Patients randomised to adalimumab (active</w:t>
      </w:r>
      <w:r>
        <w:noBreakHyphen/>
        <w:t>control arm) received 40 mg subcutaneously every 2 weeks for 12 months.</w:t>
      </w:r>
    </w:p>
    <w:p w:rsidR="00F02665" w:rsidRDefault="00F02665" w:rsidP="00F02665">
      <w:r>
        <w:t xml:space="preserve">Study </w:t>
      </w:r>
      <w:proofErr w:type="spellStart"/>
      <w:r>
        <w:t>PsA</w:t>
      </w:r>
      <w:proofErr w:type="spellEnd"/>
      <w:r>
        <w:noBreakHyphen/>
        <w:t>II (OPAL BEYOND) evaluated 394 patients who had discontinued a TNF inhibitor due to lack of efficacy or intolerance; 36.0% had a previous inadequate response to &gt; 1</w:t>
      </w:r>
      <w:r w:rsidRPr="009C2651">
        <w:t xml:space="preserve"> </w:t>
      </w:r>
      <w:r>
        <w:t xml:space="preserve">biological DMARD. All patients were required to have 1 concomitant </w:t>
      </w:r>
      <w:proofErr w:type="spellStart"/>
      <w:r>
        <w:t>csDMARD</w:t>
      </w:r>
      <w:proofErr w:type="spellEnd"/>
      <w:r>
        <w:t xml:space="preserve">; 71.6% of patients received concomitant MTX. Patients randomised to XELJANZ received 5 mg twice daily or XELJANZ 10 mg twice daily for 6 months. Patients randomised to placebo were advanced in a blinded manner at Month 3 to either XELJANZ 5 mg twice daily or XELJANZ 10 mg twice daily and received treatment until Month 6. </w:t>
      </w:r>
    </w:p>
    <w:p w:rsidR="00F02665" w:rsidRPr="007B542B" w:rsidRDefault="00F02665" w:rsidP="005C01B8">
      <w:pPr>
        <w:pStyle w:val="PIHeading4"/>
      </w:pPr>
      <w:r w:rsidRPr="007B542B">
        <w:lastRenderedPageBreak/>
        <w:t xml:space="preserve">Signs and </w:t>
      </w:r>
      <w:r>
        <w:t>s</w:t>
      </w:r>
      <w:r w:rsidRPr="007B542B">
        <w:t>ymptoms</w:t>
      </w:r>
    </w:p>
    <w:p w:rsidR="00F02665" w:rsidRPr="00127147" w:rsidRDefault="00F02665" w:rsidP="00F02665">
      <w:r>
        <w:t xml:space="preserve">Treatment with XELJANZ resulted in significant improvements in the signs and symptoms of </w:t>
      </w:r>
      <w:proofErr w:type="spellStart"/>
      <w:r>
        <w:t>PsA</w:t>
      </w:r>
      <w:proofErr w:type="spellEnd"/>
      <w:r>
        <w:t xml:space="preserve">, as assessed by the ACR20 response criteria compared to placebo at Month 3. The efficacy results for other important endpoints assessed are shown </w:t>
      </w:r>
      <w:r w:rsidRPr="00127147">
        <w:t xml:space="preserve">in Table </w:t>
      </w:r>
      <w:r w:rsidR="006A1592">
        <w:t>9</w:t>
      </w:r>
      <w:r w:rsidRPr="00127147">
        <w:t>.</w:t>
      </w:r>
    </w:p>
    <w:p w:rsidR="00F02665" w:rsidRPr="00D43F78" w:rsidRDefault="00F02665" w:rsidP="00F02665">
      <w:pPr>
        <w:keepNext/>
        <w:tabs>
          <w:tab w:val="left" w:pos="1080"/>
        </w:tabs>
        <w:spacing w:after="0"/>
        <w:ind w:left="1077" w:hanging="1077"/>
        <w:jc w:val="left"/>
        <w:rPr>
          <w:b/>
          <w:bCs/>
          <w:szCs w:val="22"/>
        </w:rPr>
      </w:pPr>
      <w:r w:rsidRPr="00127147">
        <w:rPr>
          <w:b/>
          <w:bCs/>
          <w:szCs w:val="22"/>
        </w:rPr>
        <w:t>Table </w:t>
      </w:r>
      <w:r w:rsidR="006A1592">
        <w:rPr>
          <w:b/>
          <w:bCs/>
          <w:szCs w:val="22"/>
        </w:rPr>
        <w:t>9</w:t>
      </w:r>
      <w:r w:rsidRPr="00127147">
        <w:rPr>
          <w:b/>
          <w:bCs/>
          <w:szCs w:val="22"/>
        </w:rPr>
        <w:t>:</w:t>
      </w:r>
      <w:r w:rsidRPr="00127147">
        <w:rPr>
          <w:b/>
          <w:bCs/>
          <w:szCs w:val="22"/>
        </w:rPr>
        <w:tab/>
        <w:t>Proportion</w:t>
      </w:r>
      <w:r w:rsidRPr="00D43F78">
        <w:rPr>
          <w:b/>
          <w:bCs/>
          <w:szCs w:val="22"/>
        </w:rPr>
        <w:t xml:space="preserve"> </w:t>
      </w:r>
      <w:r w:rsidR="000D51DF">
        <w:rPr>
          <w:b/>
          <w:bCs/>
          <w:szCs w:val="22"/>
        </w:rPr>
        <w:t xml:space="preserve">(%) </w:t>
      </w:r>
      <w:r w:rsidRPr="00D43F78">
        <w:rPr>
          <w:b/>
          <w:bCs/>
          <w:szCs w:val="22"/>
        </w:rPr>
        <w:t xml:space="preserve">of </w:t>
      </w:r>
      <w:proofErr w:type="spellStart"/>
      <w:r w:rsidR="000D51DF">
        <w:rPr>
          <w:b/>
          <w:bCs/>
          <w:szCs w:val="22"/>
        </w:rPr>
        <w:t>PsA</w:t>
      </w:r>
      <w:proofErr w:type="spellEnd"/>
      <w:r w:rsidR="000D51DF">
        <w:rPr>
          <w:b/>
          <w:bCs/>
          <w:szCs w:val="22"/>
        </w:rPr>
        <w:t xml:space="preserve"> </w:t>
      </w:r>
      <w:r w:rsidRPr="00D43F78">
        <w:rPr>
          <w:b/>
          <w:bCs/>
          <w:szCs w:val="22"/>
        </w:rPr>
        <w:t>Patients Who Achieved Clinical Response</w:t>
      </w:r>
      <w:r w:rsidR="000D51DF">
        <w:rPr>
          <w:b/>
          <w:bCs/>
          <w:szCs w:val="22"/>
        </w:rPr>
        <w:t xml:space="preserve"> and Mean Change from Baseline</w:t>
      </w:r>
      <w:r w:rsidRPr="00D43F78">
        <w:rPr>
          <w:b/>
          <w:bCs/>
          <w:szCs w:val="22"/>
        </w:rPr>
        <w:t xml:space="preserve"> in OPAL BROADEN and OPAL BEYOND Studies</w:t>
      </w:r>
    </w:p>
    <w:tbl>
      <w:tblPr>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378"/>
        <w:gridCol w:w="1417"/>
        <w:gridCol w:w="1560"/>
        <w:gridCol w:w="1527"/>
        <w:gridCol w:w="1734"/>
      </w:tblGrid>
      <w:tr w:rsidR="0051514B" w:rsidRPr="001D1D0D" w:rsidTr="0051514B">
        <w:tc>
          <w:tcPr>
            <w:tcW w:w="651" w:type="pct"/>
            <w:vMerge w:val="restart"/>
            <w:shd w:val="clear" w:color="auto" w:fill="auto"/>
          </w:tcPr>
          <w:p w:rsidR="00F02665" w:rsidRPr="00D83F6A" w:rsidRDefault="00F02665" w:rsidP="00C84797">
            <w:pPr>
              <w:keepNext/>
              <w:overflowPunct w:val="0"/>
              <w:autoSpaceDE w:val="0"/>
              <w:autoSpaceDN w:val="0"/>
              <w:adjustRightInd w:val="0"/>
              <w:spacing w:after="0"/>
              <w:textAlignment w:val="baseline"/>
              <w:rPr>
                <w:rFonts w:eastAsia="MS Mincho"/>
                <w:b/>
                <w:sz w:val="20"/>
                <w:lang w:eastAsia="ja-JP"/>
              </w:rPr>
            </w:pPr>
          </w:p>
        </w:tc>
        <w:tc>
          <w:tcPr>
            <w:tcW w:w="2487" w:type="pct"/>
            <w:gridSpan w:val="3"/>
            <w:shd w:val="clear" w:color="auto" w:fill="auto"/>
          </w:tcPr>
          <w:p w:rsidR="00F02665" w:rsidRPr="00E64201" w:rsidRDefault="00F600FC" w:rsidP="00C84797">
            <w:pPr>
              <w:keepNext/>
              <w:overflowPunct w:val="0"/>
              <w:autoSpaceDE w:val="0"/>
              <w:autoSpaceDN w:val="0"/>
              <w:adjustRightInd w:val="0"/>
              <w:spacing w:after="0"/>
              <w:jc w:val="center"/>
              <w:textAlignment w:val="baseline"/>
              <w:rPr>
                <w:rFonts w:eastAsia="MS Mincho"/>
                <w:b/>
                <w:sz w:val="20"/>
                <w:lang w:eastAsia="ja-JP"/>
              </w:rPr>
            </w:pPr>
            <w:proofErr w:type="spellStart"/>
            <w:r>
              <w:rPr>
                <w:rFonts w:eastAsia="MS Mincho"/>
                <w:b/>
                <w:sz w:val="20"/>
                <w:lang w:eastAsia="ja-JP"/>
              </w:rPr>
              <w:t>cs</w:t>
            </w:r>
            <w:r w:rsidR="00F02665" w:rsidRPr="00FD5F03">
              <w:rPr>
                <w:rFonts w:eastAsia="MS Mincho"/>
                <w:b/>
                <w:sz w:val="20"/>
                <w:lang w:eastAsia="ja-JP"/>
              </w:rPr>
              <w:t>DMARD</w:t>
            </w:r>
            <w:proofErr w:type="spellEnd"/>
            <w:r w:rsidR="00F02665" w:rsidRPr="00FD5F03">
              <w:rPr>
                <w:rFonts w:eastAsia="MS Mincho"/>
                <w:b/>
                <w:sz w:val="20"/>
                <w:lang w:eastAsia="ja-JP"/>
              </w:rPr>
              <w:t xml:space="preserve"> Inadequate </w:t>
            </w:r>
            <w:proofErr w:type="spellStart"/>
            <w:r w:rsidR="00F02665" w:rsidRPr="00FD5F03">
              <w:rPr>
                <w:rFonts w:eastAsia="MS Mincho"/>
                <w:b/>
                <w:sz w:val="20"/>
                <w:lang w:eastAsia="ja-JP"/>
              </w:rPr>
              <w:t>Responders</w:t>
            </w:r>
            <w:r w:rsidR="00F02665">
              <w:rPr>
                <w:rFonts w:eastAsia="MS Mincho"/>
                <w:b/>
                <w:sz w:val="20"/>
                <w:vertAlign w:val="superscript"/>
                <w:lang w:eastAsia="ja-JP"/>
              </w:rPr>
              <w:t>a</w:t>
            </w:r>
            <w:proofErr w:type="spellEnd"/>
            <w:r w:rsidR="00F02665" w:rsidRPr="00E64201">
              <w:rPr>
                <w:rFonts w:eastAsia="MS Mincho"/>
                <w:b/>
                <w:sz w:val="20"/>
                <w:lang w:eastAsia="ja-JP"/>
              </w:rPr>
              <w:t xml:space="preserve"> (</w:t>
            </w:r>
            <w:proofErr w:type="spellStart"/>
            <w:r w:rsidR="00F02665" w:rsidRPr="00E64201">
              <w:rPr>
                <w:rFonts w:eastAsia="MS Mincho"/>
                <w:b/>
                <w:sz w:val="20"/>
                <w:lang w:eastAsia="ja-JP"/>
              </w:rPr>
              <w:t>TNFi</w:t>
            </w:r>
            <w:proofErr w:type="spellEnd"/>
            <w:r w:rsidR="00F02665" w:rsidRPr="00E64201">
              <w:rPr>
                <w:rFonts w:eastAsia="MS Mincho"/>
                <w:b/>
                <w:sz w:val="20"/>
                <w:lang w:eastAsia="ja-JP"/>
              </w:rPr>
              <w:t>-Naïve)</w:t>
            </w:r>
          </w:p>
        </w:tc>
        <w:tc>
          <w:tcPr>
            <w:tcW w:w="1862" w:type="pct"/>
            <w:gridSpan w:val="2"/>
            <w:shd w:val="clear" w:color="auto" w:fill="auto"/>
          </w:tcPr>
          <w:p w:rsidR="00F02665" w:rsidRPr="00E64201" w:rsidRDefault="00F02665" w:rsidP="00C84797">
            <w:pPr>
              <w:keepNext/>
              <w:overflowPunct w:val="0"/>
              <w:autoSpaceDE w:val="0"/>
              <w:autoSpaceDN w:val="0"/>
              <w:adjustRightInd w:val="0"/>
              <w:spacing w:after="0"/>
              <w:jc w:val="center"/>
              <w:textAlignment w:val="baseline"/>
              <w:rPr>
                <w:rFonts w:eastAsia="MS Mincho"/>
                <w:b/>
                <w:sz w:val="20"/>
                <w:lang w:eastAsia="ja-JP"/>
              </w:rPr>
            </w:pPr>
            <w:proofErr w:type="spellStart"/>
            <w:r w:rsidRPr="00E64201">
              <w:rPr>
                <w:rFonts w:eastAsia="MS Mincho"/>
                <w:b/>
                <w:sz w:val="20"/>
                <w:lang w:eastAsia="ja-JP"/>
              </w:rPr>
              <w:t>TNFi</w:t>
            </w:r>
            <w:proofErr w:type="spellEnd"/>
            <w:r w:rsidRPr="00E64201">
              <w:rPr>
                <w:rFonts w:eastAsia="MS Mincho"/>
                <w:b/>
                <w:sz w:val="20"/>
                <w:lang w:eastAsia="ja-JP"/>
              </w:rPr>
              <w:t xml:space="preserve"> Inadequate </w:t>
            </w:r>
            <w:proofErr w:type="spellStart"/>
            <w:r w:rsidRPr="00E64201">
              <w:rPr>
                <w:rFonts w:eastAsia="MS Mincho"/>
                <w:b/>
                <w:sz w:val="20"/>
                <w:lang w:eastAsia="ja-JP"/>
              </w:rPr>
              <w:t>Responders</w:t>
            </w:r>
            <w:r>
              <w:rPr>
                <w:rFonts w:eastAsia="MS Mincho"/>
                <w:b/>
                <w:sz w:val="20"/>
                <w:vertAlign w:val="superscript"/>
                <w:lang w:eastAsia="ja-JP"/>
              </w:rPr>
              <w:t>b</w:t>
            </w:r>
            <w:proofErr w:type="spellEnd"/>
          </w:p>
        </w:tc>
      </w:tr>
      <w:tr w:rsidR="0051514B" w:rsidRPr="001D1D0D" w:rsidTr="0051514B">
        <w:tc>
          <w:tcPr>
            <w:tcW w:w="651" w:type="pct"/>
            <w:vMerge/>
            <w:shd w:val="clear" w:color="auto" w:fill="auto"/>
          </w:tcPr>
          <w:p w:rsidR="00F02665" w:rsidRPr="00D83F6A" w:rsidRDefault="00F02665" w:rsidP="00C84797">
            <w:pPr>
              <w:keepNext/>
              <w:overflowPunct w:val="0"/>
              <w:autoSpaceDE w:val="0"/>
              <w:autoSpaceDN w:val="0"/>
              <w:adjustRightInd w:val="0"/>
              <w:spacing w:after="0"/>
              <w:textAlignment w:val="baseline"/>
              <w:rPr>
                <w:rFonts w:eastAsia="MS Mincho"/>
                <w:b/>
                <w:sz w:val="20"/>
                <w:lang w:eastAsia="ja-JP"/>
              </w:rPr>
            </w:pPr>
          </w:p>
        </w:tc>
        <w:tc>
          <w:tcPr>
            <w:tcW w:w="2487" w:type="pct"/>
            <w:gridSpan w:val="3"/>
            <w:shd w:val="clear" w:color="auto" w:fill="auto"/>
            <w:vAlign w:val="bottom"/>
          </w:tcPr>
          <w:p w:rsidR="00F02665" w:rsidRPr="004452B4" w:rsidRDefault="00F02665" w:rsidP="00C84797">
            <w:pPr>
              <w:keepNext/>
              <w:overflowPunct w:val="0"/>
              <w:autoSpaceDE w:val="0"/>
              <w:autoSpaceDN w:val="0"/>
              <w:adjustRightInd w:val="0"/>
              <w:spacing w:after="0"/>
              <w:jc w:val="center"/>
              <w:textAlignment w:val="baseline"/>
              <w:rPr>
                <w:rFonts w:eastAsia="MS Mincho"/>
                <w:b/>
                <w:sz w:val="20"/>
                <w:lang w:eastAsia="ja-JP"/>
              </w:rPr>
            </w:pPr>
            <w:r w:rsidRPr="004452B4">
              <w:rPr>
                <w:b/>
                <w:sz w:val="20"/>
              </w:rPr>
              <w:t xml:space="preserve">OPAL </w:t>
            </w:r>
            <w:r w:rsidRPr="004452B4">
              <w:rPr>
                <w:rFonts w:eastAsia="MS Mincho"/>
                <w:b/>
                <w:sz w:val="20"/>
                <w:lang w:eastAsia="ja-JP"/>
              </w:rPr>
              <w:t>BROADEN</w:t>
            </w:r>
          </w:p>
        </w:tc>
        <w:tc>
          <w:tcPr>
            <w:tcW w:w="1862" w:type="pct"/>
            <w:gridSpan w:val="2"/>
            <w:shd w:val="clear" w:color="auto" w:fill="auto"/>
            <w:vAlign w:val="bottom"/>
          </w:tcPr>
          <w:p w:rsidR="00F02665" w:rsidRPr="004452B4" w:rsidRDefault="00F02665" w:rsidP="00C84797">
            <w:pPr>
              <w:keepNext/>
              <w:overflowPunct w:val="0"/>
              <w:autoSpaceDE w:val="0"/>
              <w:autoSpaceDN w:val="0"/>
              <w:adjustRightInd w:val="0"/>
              <w:spacing w:after="0"/>
              <w:jc w:val="center"/>
              <w:textAlignment w:val="baseline"/>
              <w:rPr>
                <w:rFonts w:eastAsia="MS Mincho"/>
                <w:b/>
                <w:sz w:val="20"/>
                <w:lang w:eastAsia="ja-JP"/>
              </w:rPr>
            </w:pPr>
            <w:r w:rsidRPr="004452B4">
              <w:rPr>
                <w:b/>
                <w:sz w:val="20"/>
              </w:rPr>
              <w:t xml:space="preserve">OPAL </w:t>
            </w:r>
            <w:proofErr w:type="spellStart"/>
            <w:r w:rsidRPr="004452B4">
              <w:rPr>
                <w:rFonts w:eastAsia="MS Mincho"/>
                <w:b/>
                <w:sz w:val="20"/>
                <w:lang w:eastAsia="ja-JP"/>
              </w:rPr>
              <w:t>BEYOND</w:t>
            </w:r>
            <w:r w:rsidRPr="004452B4">
              <w:rPr>
                <w:rFonts w:eastAsia="MS Mincho"/>
                <w:sz w:val="20"/>
                <w:vertAlign w:val="superscript"/>
                <w:lang w:eastAsia="ja-JP"/>
              </w:rPr>
              <w:t>c</w:t>
            </w:r>
            <w:proofErr w:type="spellEnd"/>
          </w:p>
        </w:tc>
      </w:tr>
      <w:tr w:rsidR="0051514B" w:rsidRPr="001D1D0D" w:rsidTr="0051514B">
        <w:tc>
          <w:tcPr>
            <w:tcW w:w="651" w:type="pct"/>
            <w:shd w:val="clear" w:color="auto" w:fill="auto"/>
          </w:tcPr>
          <w:p w:rsidR="0051514B" w:rsidRPr="00B629DB" w:rsidRDefault="0051514B" w:rsidP="00C84797">
            <w:pPr>
              <w:keepNext/>
              <w:overflowPunct w:val="0"/>
              <w:autoSpaceDE w:val="0"/>
              <w:autoSpaceDN w:val="0"/>
              <w:adjustRightInd w:val="0"/>
              <w:spacing w:after="0"/>
              <w:textAlignment w:val="baseline"/>
              <w:rPr>
                <w:rFonts w:eastAsia="MS Mincho"/>
                <w:b/>
                <w:sz w:val="20"/>
                <w:lang w:eastAsia="ja-JP"/>
              </w:rPr>
            </w:pPr>
            <w:r w:rsidRPr="00B629DB">
              <w:rPr>
                <w:rFonts w:eastAsia="MS Mincho"/>
                <w:b/>
                <w:sz w:val="20"/>
                <w:lang w:eastAsia="ja-JP"/>
              </w:rPr>
              <w:t>Treatment Group</w:t>
            </w:r>
          </w:p>
        </w:tc>
        <w:tc>
          <w:tcPr>
            <w:tcW w:w="787" w:type="pct"/>
            <w:shd w:val="clear" w:color="auto" w:fill="auto"/>
          </w:tcPr>
          <w:p w:rsidR="0051514B" w:rsidRPr="00B629DB" w:rsidRDefault="0051514B" w:rsidP="00C84797">
            <w:pPr>
              <w:keepNext/>
              <w:overflowPunct w:val="0"/>
              <w:autoSpaceDE w:val="0"/>
              <w:autoSpaceDN w:val="0"/>
              <w:adjustRightInd w:val="0"/>
              <w:spacing w:after="0"/>
              <w:jc w:val="center"/>
              <w:textAlignment w:val="baseline"/>
              <w:rPr>
                <w:rFonts w:eastAsia="MS Mincho"/>
                <w:b/>
                <w:sz w:val="20"/>
                <w:lang w:eastAsia="ja-JP"/>
              </w:rPr>
            </w:pPr>
            <w:r w:rsidRPr="00B629DB">
              <w:rPr>
                <w:rFonts w:eastAsia="MS Mincho"/>
                <w:b/>
                <w:sz w:val="20"/>
                <w:lang w:eastAsia="ja-JP"/>
              </w:rPr>
              <w:t>Placebo</w:t>
            </w:r>
          </w:p>
        </w:tc>
        <w:tc>
          <w:tcPr>
            <w:tcW w:w="809" w:type="pct"/>
            <w:shd w:val="clear" w:color="auto" w:fill="auto"/>
          </w:tcPr>
          <w:p w:rsidR="0051514B" w:rsidRPr="00B629DB" w:rsidRDefault="0051514B" w:rsidP="00C84797">
            <w:pPr>
              <w:keepNext/>
              <w:overflowPunct w:val="0"/>
              <w:autoSpaceDE w:val="0"/>
              <w:autoSpaceDN w:val="0"/>
              <w:adjustRightInd w:val="0"/>
              <w:spacing w:after="0"/>
              <w:jc w:val="center"/>
              <w:textAlignment w:val="baseline"/>
              <w:rPr>
                <w:rFonts w:eastAsia="MS Mincho"/>
                <w:b/>
                <w:sz w:val="20"/>
                <w:lang w:eastAsia="ja-JP"/>
              </w:rPr>
            </w:pPr>
            <w:r w:rsidRPr="00B629DB">
              <w:rPr>
                <w:rFonts w:eastAsia="MS Mincho"/>
                <w:b/>
                <w:sz w:val="20"/>
                <w:lang w:eastAsia="ja-JP"/>
              </w:rPr>
              <w:t xml:space="preserve">XELJANZ 5 mg </w:t>
            </w:r>
            <w:r w:rsidRPr="00B629DB">
              <w:rPr>
                <w:rFonts w:eastAsia="Arial Unicode MS"/>
                <w:b/>
                <w:bCs/>
                <w:sz w:val="20"/>
              </w:rPr>
              <w:t>Twice Daily</w:t>
            </w:r>
          </w:p>
        </w:tc>
        <w:tc>
          <w:tcPr>
            <w:tcW w:w="891" w:type="pct"/>
            <w:shd w:val="clear" w:color="auto" w:fill="auto"/>
          </w:tcPr>
          <w:p w:rsidR="0051514B" w:rsidRPr="00B629DB" w:rsidRDefault="0051514B" w:rsidP="00C84797">
            <w:pPr>
              <w:keepNext/>
              <w:overflowPunct w:val="0"/>
              <w:autoSpaceDE w:val="0"/>
              <w:autoSpaceDN w:val="0"/>
              <w:adjustRightInd w:val="0"/>
              <w:spacing w:after="0"/>
              <w:jc w:val="center"/>
              <w:textAlignment w:val="baseline"/>
              <w:rPr>
                <w:rFonts w:eastAsia="MS Mincho"/>
                <w:b/>
                <w:sz w:val="20"/>
                <w:lang w:eastAsia="ja-JP"/>
              </w:rPr>
            </w:pPr>
            <w:r w:rsidRPr="00B629DB">
              <w:rPr>
                <w:rFonts w:eastAsia="MS Mincho"/>
                <w:b/>
                <w:sz w:val="20"/>
                <w:lang w:eastAsia="ja-JP"/>
              </w:rPr>
              <w:t>Adalimumab 40 mg SC q2W</w:t>
            </w:r>
          </w:p>
        </w:tc>
        <w:tc>
          <w:tcPr>
            <w:tcW w:w="872" w:type="pct"/>
            <w:shd w:val="clear" w:color="auto" w:fill="auto"/>
          </w:tcPr>
          <w:p w:rsidR="0051514B" w:rsidRPr="00B629DB" w:rsidRDefault="0051514B" w:rsidP="00C84797">
            <w:pPr>
              <w:keepNext/>
              <w:overflowPunct w:val="0"/>
              <w:autoSpaceDE w:val="0"/>
              <w:autoSpaceDN w:val="0"/>
              <w:adjustRightInd w:val="0"/>
              <w:spacing w:after="0"/>
              <w:jc w:val="center"/>
              <w:textAlignment w:val="baseline"/>
              <w:rPr>
                <w:rFonts w:eastAsia="MS Mincho"/>
                <w:b/>
                <w:sz w:val="20"/>
                <w:lang w:eastAsia="ja-JP"/>
              </w:rPr>
            </w:pPr>
            <w:r w:rsidRPr="00B629DB">
              <w:rPr>
                <w:rFonts w:eastAsia="MS Mincho"/>
                <w:b/>
                <w:sz w:val="20"/>
                <w:lang w:eastAsia="ja-JP"/>
              </w:rPr>
              <w:t>Placebo</w:t>
            </w:r>
          </w:p>
        </w:tc>
        <w:tc>
          <w:tcPr>
            <w:tcW w:w="990" w:type="pct"/>
            <w:shd w:val="clear" w:color="auto" w:fill="auto"/>
          </w:tcPr>
          <w:p w:rsidR="0051514B" w:rsidRPr="00B629DB" w:rsidRDefault="0051514B" w:rsidP="00C84797">
            <w:pPr>
              <w:keepNext/>
              <w:overflowPunct w:val="0"/>
              <w:autoSpaceDE w:val="0"/>
              <w:autoSpaceDN w:val="0"/>
              <w:adjustRightInd w:val="0"/>
              <w:spacing w:after="0"/>
              <w:jc w:val="center"/>
              <w:textAlignment w:val="baseline"/>
              <w:rPr>
                <w:rFonts w:eastAsia="MS Mincho"/>
                <w:b/>
                <w:sz w:val="20"/>
                <w:lang w:eastAsia="ja-JP"/>
              </w:rPr>
            </w:pPr>
            <w:r w:rsidRPr="00B629DB">
              <w:rPr>
                <w:rFonts w:eastAsia="MS Mincho"/>
                <w:b/>
                <w:sz w:val="20"/>
                <w:lang w:eastAsia="ja-JP"/>
              </w:rPr>
              <w:t xml:space="preserve">XELJANZ 5 mg </w:t>
            </w:r>
            <w:r w:rsidRPr="00B629DB">
              <w:rPr>
                <w:rFonts w:eastAsia="Arial Unicode MS"/>
                <w:b/>
                <w:bCs/>
                <w:sz w:val="20"/>
              </w:rPr>
              <w:t>Twice Daily</w:t>
            </w:r>
          </w:p>
        </w:tc>
      </w:tr>
      <w:tr w:rsidR="0051514B" w:rsidRPr="001D1D0D" w:rsidTr="0051514B">
        <w:tc>
          <w:tcPr>
            <w:tcW w:w="651" w:type="pct"/>
            <w:shd w:val="clear" w:color="auto" w:fill="auto"/>
            <w:vAlign w:val="center"/>
          </w:tcPr>
          <w:p w:rsidR="0051514B" w:rsidRPr="001D1D0D" w:rsidRDefault="0051514B" w:rsidP="00C84797">
            <w:pPr>
              <w:keepNext/>
              <w:overflowPunct w:val="0"/>
              <w:autoSpaceDE w:val="0"/>
              <w:autoSpaceDN w:val="0"/>
              <w:adjustRightInd w:val="0"/>
              <w:spacing w:after="0"/>
              <w:textAlignment w:val="baseline"/>
              <w:rPr>
                <w:rFonts w:eastAsia="MS Mincho"/>
                <w:sz w:val="20"/>
                <w:vertAlign w:val="superscript"/>
                <w:lang w:eastAsia="ja-JP"/>
              </w:rPr>
            </w:pPr>
            <w:r w:rsidRPr="001D1D0D">
              <w:rPr>
                <w:rFonts w:eastAsia="MS Mincho"/>
                <w:sz w:val="20"/>
                <w:lang w:eastAsia="ja-JP"/>
              </w:rPr>
              <w:t>N</w:t>
            </w:r>
          </w:p>
        </w:tc>
        <w:tc>
          <w:tcPr>
            <w:tcW w:w="787" w:type="pct"/>
            <w:shd w:val="clear" w:color="auto" w:fill="auto"/>
            <w:vAlign w:val="center"/>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105</w:t>
            </w:r>
          </w:p>
        </w:tc>
        <w:tc>
          <w:tcPr>
            <w:tcW w:w="809" w:type="pct"/>
            <w:shd w:val="clear" w:color="auto" w:fill="auto"/>
            <w:vAlign w:val="center"/>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107</w:t>
            </w:r>
          </w:p>
        </w:tc>
        <w:tc>
          <w:tcPr>
            <w:tcW w:w="891" w:type="pct"/>
            <w:shd w:val="clear" w:color="auto" w:fill="auto"/>
            <w:vAlign w:val="center"/>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106</w:t>
            </w:r>
          </w:p>
        </w:tc>
        <w:tc>
          <w:tcPr>
            <w:tcW w:w="872" w:type="pct"/>
            <w:shd w:val="clear" w:color="auto" w:fill="auto"/>
            <w:vAlign w:val="center"/>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131</w:t>
            </w:r>
          </w:p>
        </w:tc>
        <w:tc>
          <w:tcPr>
            <w:tcW w:w="990" w:type="pct"/>
            <w:shd w:val="clear" w:color="auto" w:fill="auto"/>
            <w:vAlign w:val="center"/>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131</w:t>
            </w:r>
          </w:p>
        </w:tc>
      </w:tr>
      <w:tr w:rsidR="0051514B" w:rsidRPr="001D1D0D" w:rsidTr="0051514B">
        <w:tc>
          <w:tcPr>
            <w:tcW w:w="651" w:type="pct"/>
            <w:shd w:val="clear" w:color="auto" w:fill="auto"/>
          </w:tcPr>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ACR20</w:t>
            </w:r>
          </w:p>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Month 3</w:t>
            </w:r>
          </w:p>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Month 6</w:t>
            </w:r>
          </w:p>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Month 12</w:t>
            </w:r>
          </w:p>
        </w:tc>
        <w:tc>
          <w:tcPr>
            <w:tcW w:w="787"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33%</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NA</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NA</w:t>
            </w:r>
          </w:p>
        </w:tc>
        <w:tc>
          <w:tcPr>
            <w:tcW w:w="809"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vertAlign w:val="superscript"/>
                <w:lang w:eastAsia="ja-JP"/>
              </w:rPr>
            </w:pPr>
            <w:r w:rsidRPr="001D1D0D">
              <w:rPr>
                <w:rFonts w:eastAsia="MS Mincho"/>
                <w:sz w:val="20"/>
                <w:lang w:eastAsia="ja-JP"/>
              </w:rPr>
              <w:t>50%</w:t>
            </w:r>
            <w:r>
              <w:rPr>
                <w:rFonts w:eastAsia="MS Mincho"/>
                <w:sz w:val="20"/>
                <w:vertAlign w:val="superscript"/>
                <w:lang w:eastAsia="ja-JP"/>
              </w:rPr>
              <w:t>d,*</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59%</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68%</w:t>
            </w:r>
          </w:p>
        </w:tc>
        <w:tc>
          <w:tcPr>
            <w:tcW w:w="891"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vertAlign w:val="superscript"/>
                <w:lang w:eastAsia="ja-JP"/>
              </w:rPr>
            </w:pPr>
            <w:r w:rsidRPr="001D1D0D">
              <w:rPr>
                <w:rFonts w:eastAsia="MS Mincho"/>
                <w:sz w:val="20"/>
                <w:lang w:eastAsia="ja-JP"/>
              </w:rPr>
              <w:t>52%</w:t>
            </w:r>
            <w:r w:rsidRPr="001D1D0D">
              <w:rPr>
                <w:rFonts w:eastAsia="MS Mincho"/>
                <w:sz w:val="20"/>
                <w:vertAlign w:val="superscript"/>
                <w:lang w:eastAsia="ja-JP"/>
              </w:rPr>
              <w:t>*</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64%</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60%</w:t>
            </w:r>
          </w:p>
        </w:tc>
        <w:tc>
          <w:tcPr>
            <w:tcW w:w="872"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24%</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NA</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w:t>
            </w:r>
          </w:p>
        </w:tc>
        <w:tc>
          <w:tcPr>
            <w:tcW w:w="990"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50%</w:t>
            </w:r>
            <w:r w:rsidRPr="00E64201">
              <w:rPr>
                <w:rFonts w:eastAsia="MS Mincho"/>
                <w:sz w:val="20"/>
                <w:vertAlign w:val="superscript"/>
                <w:lang w:eastAsia="ja-JP"/>
              </w:rPr>
              <w:t>d,</w:t>
            </w:r>
            <w:r w:rsidRPr="00BE5A56">
              <w:rPr>
                <w:rFonts w:eastAsia="MS Mincho"/>
                <w:sz w:val="20"/>
                <w:vertAlign w:val="superscript"/>
                <w:lang w:eastAsia="ja-JP"/>
              </w:rPr>
              <w:t>***</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60%</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w:t>
            </w:r>
          </w:p>
        </w:tc>
      </w:tr>
      <w:tr w:rsidR="0051514B" w:rsidRPr="001D1D0D" w:rsidTr="0051514B">
        <w:tc>
          <w:tcPr>
            <w:tcW w:w="651" w:type="pct"/>
            <w:shd w:val="clear" w:color="auto" w:fill="auto"/>
          </w:tcPr>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ACR50</w:t>
            </w:r>
          </w:p>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Month 3</w:t>
            </w:r>
          </w:p>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Month 6</w:t>
            </w:r>
          </w:p>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Month 12</w:t>
            </w:r>
          </w:p>
        </w:tc>
        <w:tc>
          <w:tcPr>
            <w:tcW w:w="787"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10%</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NA</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NA</w:t>
            </w:r>
          </w:p>
        </w:tc>
        <w:tc>
          <w:tcPr>
            <w:tcW w:w="809"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vertAlign w:val="superscript"/>
                <w:lang w:eastAsia="ja-JP"/>
              </w:rPr>
            </w:pPr>
            <w:r w:rsidRPr="001D1D0D">
              <w:rPr>
                <w:rFonts w:eastAsia="MS Mincho"/>
                <w:sz w:val="20"/>
                <w:lang w:eastAsia="ja-JP"/>
              </w:rPr>
              <w:t>28%</w:t>
            </w:r>
            <w:r w:rsidRPr="00E64201">
              <w:rPr>
                <w:rFonts w:eastAsia="MS Mincho"/>
                <w:sz w:val="20"/>
                <w:vertAlign w:val="superscript"/>
                <w:lang w:eastAsia="ja-JP"/>
              </w:rPr>
              <w:t>e,</w:t>
            </w:r>
            <w:r w:rsidRPr="001D1D0D">
              <w:rPr>
                <w:rFonts w:eastAsia="MS Mincho"/>
                <w:sz w:val="20"/>
                <w:vertAlign w:val="superscript"/>
                <w:lang w:eastAsia="ja-JP"/>
              </w:rPr>
              <w:t>*</w:t>
            </w:r>
            <w:r>
              <w:rPr>
                <w:rFonts w:eastAsia="MS Mincho"/>
                <w:sz w:val="20"/>
                <w:vertAlign w:val="superscript"/>
                <w:lang w:eastAsia="ja-JP"/>
              </w:rPr>
              <w:t>*</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38%</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45%</w:t>
            </w:r>
          </w:p>
        </w:tc>
        <w:tc>
          <w:tcPr>
            <w:tcW w:w="891"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vertAlign w:val="superscript"/>
                <w:lang w:eastAsia="ja-JP"/>
              </w:rPr>
            </w:pPr>
            <w:r w:rsidRPr="001D1D0D">
              <w:rPr>
                <w:rFonts w:eastAsia="MS Mincho"/>
                <w:sz w:val="20"/>
                <w:lang w:eastAsia="ja-JP"/>
              </w:rPr>
              <w:t>33%</w:t>
            </w:r>
            <w:r w:rsidRPr="001D1D0D">
              <w:rPr>
                <w:rFonts w:eastAsia="MS Mincho"/>
                <w:sz w:val="20"/>
                <w:vertAlign w:val="superscript"/>
                <w:lang w:eastAsia="ja-JP"/>
              </w:rPr>
              <w:t>*</w:t>
            </w:r>
            <w:r>
              <w:rPr>
                <w:rFonts w:eastAsia="MS Mincho"/>
                <w:sz w:val="20"/>
                <w:vertAlign w:val="superscript"/>
                <w:lang w:eastAsia="ja-JP"/>
              </w:rPr>
              <w:t>**</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42%</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41%</w:t>
            </w:r>
          </w:p>
        </w:tc>
        <w:tc>
          <w:tcPr>
            <w:tcW w:w="872"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15%</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NA</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w:t>
            </w:r>
          </w:p>
        </w:tc>
        <w:tc>
          <w:tcPr>
            <w:tcW w:w="990"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30%</w:t>
            </w:r>
            <w:r w:rsidRPr="00E64201">
              <w:rPr>
                <w:rFonts w:eastAsia="MS Mincho"/>
                <w:sz w:val="20"/>
                <w:vertAlign w:val="superscript"/>
                <w:lang w:eastAsia="ja-JP"/>
              </w:rPr>
              <w:t>e,</w:t>
            </w:r>
            <w:r w:rsidRPr="00BE5A56">
              <w:rPr>
                <w:rFonts w:eastAsia="MS Mincho"/>
                <w:sz w:val="20"/>
                <w:vertAlign w:val="superscript"/>
                <w:lang w:eastAsia="ja-JP"/>
              </w:rPr>
              <w:t>*</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38%</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w:t>
            </w:r>
          </w:p>
        </w:tc>
      </w:tr>
      <w:tr w:rsidR="0051514B" w:rsidRPr="001D1D0D" w:rsidTr="0051514B">
        <w:tc>
          <w:tcPr>
            <w:tcW w:w="651" w:type="pct"/>
            <w:shd w:val="clear" w:color="auto" w:fill="auto"/>
          </w:tcPr>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ACR70</w:t>
            </w:r>
          </w:p>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Month 3</w:t>
            </w:r>
          </w:p>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Month 6</w:t>
            </w:r>
          </w:p>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Month 12</w:t>
            </w:r>
          </w:p>
        </w:tc>
        <w:tc>
          <w:tcPr>
            <w:tcW w:w="787"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5%</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NA</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NA</w:t>
            </w:r>
          </w:p>
        </w:tc>
        <w:tc>
          <w:tcPr>
            <w:tcW w:w="809"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vertAlign w:val="superscript"/>
                <w:lang w:eastAsia="ja-JP"/>
              </w:rPr>
            </w:pPr>
            <w:r w:rsidRPr="001D1D0D">
              <w:rPr>
                <w:rFonts w:eastAsia="MS Mincho"/>
                <w:sz w:val="20"/>
                <w:lang w:eastAsia="ja-JP"/>
              </w:rPr>
              <w:t>17%</w:t>
            </w:r>
            <w:r w:rsidRPr="00E64201">
              <w:rPr>
                <w:rFonts w:eastAsia="MS Mincho"/>
                <w:sz w:val="20"/>
                <w:vertAlign w:val="superscript"/>
                <w:lang w:eastAsia="ja-JP"/>
              </w:rPr>
              <w:t>e,</w:t>
            </w:r>
            <w:r w:rsidRPr="001D1D0D">
              <w:rPr>
                <w:rFonts w:eastAsia="MS Mincho"/>
                <w:sz w:val="20"/>
                <w:vertAlign w:val="superscript"/>
                <w:lang w:eastAsia="ja-JP"/>
              </w:rPr>
              <w:t>*</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18%</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23%</w:t>
            </w:r>
          </w:p>
        </w:tc>
        <w:tc>
          <w:tcPr>
            <w:tcW w:w="891"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vertAlign w:val="superscript"/>
                <w:lang w:eastAsia="ja-JP"/>
              </w:rPr>
            </w:pPr>
            <w:r w:rsidRPr="001D1D0D">
              <w:rPr>
                <w:rFonts w:eastAsia="MS Mincho"/>
                <w:sz w:val="20"/>
                <w:lang w:eastAsia="ja-JP"/>
              </w:rPr>
              <w:t>19%</w:t>
            </w:r>
            <w:r w:rsidRPr="001D1D0D">
              <w:rPr>
                <w:rFonts w:eastAsia="MS Mincho"/>
                <w:sz w:val="20"/>
                <w:vertAlign w:val="superscript"/>
                <w:lang w:eastAsia="ja-JP"/>
              </w:rPr>
              <w:t>*</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30%</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29%</w:t>
            </w:r>
          </w:p>
        </w:tc>
        <w:tc>
          <w:tcPr>
            <w:tcW w:w="872"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10%</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NA</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w:t>
            </w:r>
          </w:p>
        </w:tc>
        <w:tc>
          <w:tcPr>
            <w:tcW w:w="990"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17%</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21%</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w:t>
            </w:r>
          </w:p>
        </w:tc>
      </w:tr>
      <w:tr w:rsidR="0051514B" w:rsidRPr="001D1D0D" w:rsidTr="0051514B">
        <w:tc>
          <w:tcPr>
            <w:tcW w:w="651" w:type="pct"/>
            <w:shd w:val="clear" w:color="auto" w:fill="auto"/>
          </w:tcPr>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Pr>
                <w:rFonts w:eastAsia="MS Mincho"/>
                <w:sz w:val="20"/>
                <w:lang w:eastAsia="ja-JP"/>
              </w:rPr>
              <w:t>∆</w:t>
            </w:r>
            <w:proofErr w:type="spellStart"/>
            <w:r>
              <w:rPr>
                <w:rFonts w:eastAsia="MS Mincho"/>
                <w:sz w:val="20"/>
                <w:lang w:eastAsia="ja-JP"/>
              </w:rPr>
              <w:t>LEI</w:t>
            </w:r>
            <w:r w:rsidR="006E2C7F" w:rsidRPr="006E2C7F">
              <w:rPr>
                <w:rFonts w:eastAsia="MS Mincho"/>
                <w:sz w:val="20"/>
                <w:vertAlign w:val="superscript"/>
                <w:lang w:eastAsia="ja-JP"/>
              </w:rPr>
              <w:t>f</w:t>
            </w:r>
            <w:proofErr w:type="spellEnd"/>
          </w:p>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Month 3</w:t>
            </w:r>
          </w:p>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Month 6</w:t>
            </w:r>
          </w:p>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Month 12</w:t>
            </w:r>
          </w:p>
        </w:tc>
        <w:tc>
          <w:tcPr>
            <w:tcW w:w="787"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Pr>
                <w:rFonts w:eastAsia="MS Mincho"/>
                <w:sz w:val="20"/>
                <w:lang w:eastAsia="ja-JP"/>
              </w:rPr>
              <w:t>-0.4</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NA</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NA</w:t>
            </w:r>
          </w:p>
        </w:tc>
        <w:tc>
          <w:tcPr>
            <w:tcW w:w="809"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vertAlign w:val="superscript"/>
                <w:lang w:eastAsia="ja-JP"/>
              </w:rPr>
            </w:pPr>
            <w:r>
              <w:rPr>
                <w:rFonts w:eastAsia="MS Mincho"/>
                <w:sz w:val="20"/>
                <w:lang w:eastAsia="ja-JP"/>
              </w:rPr>
              <w:t>-0.8</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Pr>
                <w:rFonts w:eastAsia="MS Mincho"/>
                <w:sz w:val="20"/>
                <w:lang w:eastAsia="ja-JP"/>
              </w:rPr>
              <w:t>-1.3</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Pr>
                <w:rFonts w:eastAsia="MS Mincho"/>
                <w:sz w:val="20"/>
                <w:lang w:eastAsia="ja-JP"/>
              </w:rPr>
              <w:t>-1.7</w:t>
            </w:r>
          </w:p>
        </w:tc>
        <w:tc>
          <w:tcPr>
            <w:tcW w:w="891"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vertAlign w:val="superscript"/>
                <w:lang w:eastAsia="ja-JP"/>
              </w:rPr>
            </w:pPr>
            <w:r>
              <w:rPr>
                <w:rFonts w:eastAsia="MS Mincho"/>
                <w:sz w:val="20"/>
                <w:lang w:eastAsia="ja-JP"/>
              </w:rPr>
              <w:t>-1.1</w:t>
            </w:r>
            <w:r w:rsidRPr="00E64201">
              <w:rPr>
                <w:rFonts w:eastAsia="MS Mincho"/>
                <w:sz w:val="20"/>
                <w:vertAlign w:val="superscript"/>
                <w:lang w:eastAsia="ja-JP"/>
              </w:rPr>
              <w:t>*</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Pr>
                <w:rFonts w:eastAsia="MS Mincho"/>
                <w:sz w:val="20"/>
                <w:lang w:eastAsia="ja-JP"/>
              </w:rPr>
              <w:t>-1.3</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Pr>
                <w:rFonts w:eastAsia="MS Mincho"/>
                <w:sz w:val="20"/>
                <w:lang w:eastAsia="ja-JP"/>
              </w:rPr>
              <w:t>-1.6</w:t>
            </w:r>
          </w:p>
        </w:tc>
        <w:tc>
          <w:tcPr>
            <w:tcW w:w="872"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Pr>
                <w:rFonts w:eastAsia="MS Mincho"/>
                <w:sz w:val="20"/>
                <w:lang w:eastAsia="ja-JP"/>
              </w:rPr>
              <w:t>-0.5</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NA</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w:t>
            </w:r>
          </w:p>
        </w:tc>
        <w:tc>
          <w:tcPr>
            <w:tcW w:w="990"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Pr>
                <w:rFonts w:eastAsia="MS Mincho"/>
                <w:sz w:val="20"/>
                <w:lang w:eastAsia="ja-JP"/>
              </w:rPr>
              <w:t>-1.3</w:t>
            </w:r>
            <w:r w:rsidRPr="00B955FF">
              <w:rPr>
                <w:rFonts w:eastAsia="MS Mincho"/>
                <w:sz w:val="20"/>
                <w:vertAlign w:val="superscript"/>
                <w:lang w:eastAsia="ja-JP"/>
              </w:rPr>
              <w:t>*</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Pr>
                <w:rFonts w:eastAsia="MS Mincho"/>
                <w:sz w:val="20"/>
                <w:lang w:eastAsia="ja-JP"/>
              </w:rPr>
              <w:t>-1.5</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w:t>
            </w:r>
          </w:p>
        </w:tc>
      </w:tr>
      <w:tr w:rsidR="0051514B" w:rsidRPr="001D1D0D" w:rsidTr="0051514B">
        <w:tc>
          <w:tcPr>
            <w:tcW w:w="651" w:type="pct"/>
            <w:shd w:val="clear" w:color="auto" w:fill="auto"/>
          </w:tcPr>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Pr>
                <w:rFonts w:eastAsia="MS Mincho"/>
                <w:sz w:val="20"/>
                <w:lang w:eastAsia="ja-JP"/>
              </w:rPr>
              <w:t>∆</w:t>
            </w:r>
            <w:proofErr w:type="spellStart"/>
            <w:r>
              <w:rPr>
                <w:rFonts w:eastAsia="MS Mincho"/>
                <w:sz w:val="20"/>
                <w:lang w:eastAsia="ja-JP"/>
              </w:rPr>
              <w:t>DSS</w:t>
            </w:r>
            <w:r w:rsidR="006E2C7F" w:rsidRPr="006E2C7F">
              <w:rPr>
                <w:rFonts w:eastAsia="MS Mincho"/>
                <w:sz w:val="20"/>
                <w:vertAlign w:val="superscript"/>
                <w:lang w:eastAsia="ja-JP"/>
              </w:rPr>
              <w:t>f</w:t>
            </w:r>
            <w:proofErr w:type="spellEnd"/>
          </w:p>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Month 3</w:t>
            </w:r>
          </w:p>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Month 6</w:t>
            </w:r>
          </w:p>
          <w:p w:rsidR="0051514B" w:rsidRPr="001D1D0D" w:rsidRDefault="0051514B" w:rsidP="00C84797">
            <w:pPr>
              <w:keepNext/>
              <w:overflowPunct w:val="0"/>
              <w:autoSpaceDE w:val="0"/>
              <w:autoSpaceDN w:val="0"/>
              <w:adjustRightInd w:val="0"/>
              <w:spacing w:after="0"/>
              <w:textAlignment w:val="baseline"/>
              <w:rPr>
                <w:rFonts w:eastAsia="MS Mincho"/>
                <w:sz w:val="20"/>
                <w:lang w:eastAsia="ja-JP"/>
              </w:rPr>
            </w:pPr>
            <w:r w:rsidRPr="001D1D0D">
              <w:rPr>
                <w:rFonts w:eastAsia="MS Mincho"/>
                <w:sz w:val="20"/>
                <w:lang w:eastAsia="ja-JP"/>
              </w:rPr>
              <w:t>Month 12</w:t>
            </w:r>
          </w:p>
        </w:tc>
        <w:tc>
          <w:tcPr>
            <w:tcW w:w="787"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Pr>
                <w:rFonts w:eastAsia="MS Mincho"/>
                <w:sz w:val="20"/>
                <w:lang w:eastAsia="ja-JP"/>
              </w:rPr>
              <w:t>-2.0</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NA</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NA</w:t>
            </w:r>
          </w:p>
        </w:tc>
        <w:tc>
          <w:tcPr>
            <w:tcW w:w="809"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vertAlign w:val="superscript"/>
                <w:lang w:eastAsia="ja-JP"/>
              </w:rPr>
            </w:pPr>
            <w:r>
              <w:rPr>
                <w:rFonts w:eastAsia="MS Mincho"/>
                <w:sz w:val="20"/>
                <w:lang w:eastAsia="ja-JP"/>
              </w:rPr>
              <w:t>-3.5</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Pr>
                <w:rFonts w:eastAsia="MS Mincho"/>
                <w:sz w:val="20"/>
                <w:lang w:eastAsia="ja-JP"/>
              </w:rPr>
              <w:t>-5.2</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Pr>
                <w:rFonts w:eastAsia="MS Mincho"/>
                <w:sz w:val="20"/>
                <w:lang w:eastAsia="ja-JP"/>
              </w:rPr>
              <w:t>-7.4</w:t>
            </w:r>
          </w:p>
        </w:tc>
        <w:tc>
          <w:tcPr>
            <w:tcW w:w="891"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vertAlign w:val="superscript"/>
                <w:lang w:eastAsia="ja-JP"/>
              </w:rPr>
            </w:pPr>
            <w:r>
              <w:rPr>
                <w:rFonts w:eastAsia="MS Mincho"/>
                <w:sz w:val="20"/>
                <w:lang w:eastAsia="ja-JP"/>
              </w:rPr>
              <w:t>-4.0</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Pr>
                <w:rFonts w:eastAsia="MS Mincho"/>
                <w:sz w:val="20"/>
                <w:lang w:eastAsia="ja-JP"/>
              </w:rPr>
              <w:t>-5.4</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Pr>
                <w:rFonts w:eastAsia="MS Mincho"/>
                <w:sz w:val="20"/>
                <w:lang w:eastAsia="ja-JP"/>
              </w:rPr>
              <w:t>-6.1</w:t>
            </w:r>
          </w:p>
        </w:tc>
        <w:tc>
          <w:tcPr>
            <w:tcW w:w="872"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Pr>
                <w:rFonts w:eastAsia="MS Mincho"/>
                <w:sz w:val="20"/>
                <w:lang w:eastAsia="ja-JP"/>
              </w:rPr>
              <w:t>-1.9</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NA</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w:t>
            </w:r>
          </w:p>
        </w:tc>
        <w:tc>
          <w:tcPr>
            <w:tcW w:w="990" w:type="pct"/>
            <w:shd w:val="clear" w:color="auto" w:fill="auto"/>
          </w:tcPr>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Pr>
                <w:rFonts w:eastAsia="MS Mincho"/>
                <w:sz w:val="20"/>
                <w:lang w:eastAsia="ja-JP"/>
              </w:rPr>
              <w:t>-5.2</w:t>
            </w:r>
            <w:r w:rsidRPr="00B955FF">
              <w:rPr>
                <w:rFonts w:eastAsia="MS Mincho"/>
                <w:sz w:val="20"/>
                <w:vertAlign w:val="superscript"/>
                <w:lang w:eastAsia="ja-JP"/>
              </w:rPr>
              <w:t>*</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Pr>
                <w:rFonts w:eastAsia="MS Mincho"/>
                <w:sz w:val="20"/>
                <w:lang w:eastAsia="ja-JP"/>
              </w:rPr>
              <w:t>-6.0</w:t>
            </w:r>
          </w:p>
          <w:p w:rsidR="0051514B" w:rsidRPr="001D1D0D" w:rsidRDefault="0051514B" w:rsidP="00C84797">
            <w:pPr>
              <w:keepNext/>
              <w:overflowPunct w:val="0"/>
              <w:autoSpaceDE w:val="0"/>
              <w:autoSpaceDN w:val="0"/>
              <w:adjustRightInd w:val="0"/>
              <w:spacing w:after="0"/>
              <w:jc w:val="center"/>
              <w:textAlignment w:val="baseline"/>
              <w:rPr>
                <w:rFonts w:eastAsia="MS Mincho"/>
                <w:sz w:val="20"/>
                <w:lang w:eastAsia="ja-JP"/>
              </w:rPr>
            </w:pPr>
            <w:r w:rsidRPr="001D1D0D">
              <w:rPr>
                <w:rFonts w:eastAsia="MS Mincho"/>
                <w:sz w:val="20"/>
                <w:lang w:eastAsia="ja-JP"/>
              </w:rPr>
              <w:t>-</w:t>
            </w:r>
          </w:p>
        </w:tc>
      </w:tr>
      <w:tr w:rsidR="006E2C7F" w:rsidRPr="00E67595" w:rsidTr="0051514B">
        <w:tc>
          <w:tcPr>
            <w:tcW w:w="651" w:type="pct"/>
            <w:shd w:val="clear" w:color="auto" w:fill="auto"/>
          </w:tcPr>
          <w:p w:rsidR="006E2C7F" w:rsidRPr="006E2C7F" w:rsidRDefault="006E2C7F" w:rsidP="006E2C7F">
            <w:pPr>
              <w:keepNext/>
              <w:overflowPunct w:val="0"/>
              <w:autoSpaceDE w:val="0"/>
              <w:autoSpaceDN w:val="0"/>
              <w:adjustRightInd w:val="0"/>
              <w:spacing w:after="0"/>
              <w:textAlignment w:val="baseline"/>
              <w:rPr>
                <w:rFonts w:eastAsia="MS Mincho"/>
                <w:sz w:val="20"/>
                <w:lang w:eastAsia="ja-JP"/>
              </w:rPr>
            </w:pPr>
            <w:r w:rsidRPr="006E2C7F">
              <w:rPr>
                <w:rFonts w:eastAsia="MS Mincho"/>
                <w:sz w:val="20"/>
                <w:lang w:eastAsia="ja-JP"/>
              </w:rPr>
              <w:t>PASI75</w:t>
            </w:r>
            <w:r w:rsidRPr="006E2C7F">
              <w:rPr>
                <w:rFonts w:eastAsia="MS Mincho"/>
                <w:sz w:val="20"/>
                <w:vertAlign w:val="superscript"/>
                <w:lang w:eastAsia="ja-JP"/>
              </w:rPr>
              <w:t>g</w:t>
            </w:r>
          </w:p>
          <w:p w:rsidR="006E2C7F" w:rsidRPr="006E2C7F" w:rsidRDefault="006E2C7F" w:rsidP="006E2C7F">
            <w:pPr>
              <w:keepNext/>
              <w:overflowPunct w:val="0"/>
              <w:autoSpaceDE w:val="0"/>
              <w:autoSpaceDN w:val="0"/>
              <w:adjustRightInd w:val="0"/>
              <w:spacing w:after="0"/>
              <w:textAlignment w:val="baseline"/>
              <w:rPr>
                <w:rFonts w:eastAsia="MS Mincho"/>
                <w:sz w:val="20"/>
                <w:lang w:eastAsia="ja-JP"/>
              </w:rPr>
            </w:pPr>
            <w:r w:rsidRPr="006E2C7F">
              <w:rPr>
                <w:rFonts w:eastAsia="MS Mincho"/>
                <w:sz w:val="20"/>
                <w:lang w:eastAsia="ja-JP"/>
              </w:rPr>
              <w:t>Month 3</w:t>
            </w:r>
          </w:p>
          <w:p w:rsidR="006E2C7F" w:rsidRPr="006E2C7F" w:rsidRDefault="006E2C7F" w:rsidP="006E2C7F">
            <w:pPr>
              <w:keepNext/>
              <w:overflowPunct w:val="0"/>
              <w:autoSpaceDE w:val="0"/>
              <w:autoSpaceDN w:val="0"/>
              <w:adjustRightInd w:val="0"/>
              <w:spacing w:after="0"/>
              <w:textAlignment w:val="baseline"/>
              <w:rPr>
                <w:rFonts w:eastAsia="MS Mincho"/>
                <w:sz w:val="20"/>
                <w:lang w:eastAsia="ja-JP"/>
              </w:rPr>
            </w:pPr>
            <w:r w:rsidRPr="006E2C7F">
              <w:rPr>
                <w:rFonts w:eastAsia="MS Mincho"/>
                <w:sz w:val="20"/>
                <w:lang w:eastAsia="ja-JP"/>
              </w:rPr>
              <w:t>Month 6</w:t>
            </w:r>
          </w:p>
          <w:p w:rsidR="006E2C7F" w:rsidRPr="006E2C7F" w:rsidRDefault="006E2C7F" w:rsidP="006E2C7F">
            <w:pPr>
              <w:keepNext/>
              <w:overflowPunct w:val="0"/>
              <w:autoSpaceDE w:val="0"/>
              <w:autoSpaceDN w:val="0"/>
              <w:adjustRightInd w:val="0"/>
              <w:spacing w:after="0"/>
              <w:textAlignment w:val="baseline"/>
              <w:rPr>
                <w:rFonts w:eastAsia="MS Mincho"/>
                <w:sz w:val="20"/>
                <w:lang w:eastAsia="ja-JP"/>
              </w:rPr>
            </w:pPr>
            <w:r w:rsidRPr="006E2C7F">
              <w:rPr>
                <w:rFonts w:eastAsia="MS Mincho"/>
                <w:sz w:val="20"/>
                <w:lang w:eastAsia="ja-JP"/>
              </w:rPr>
              <w:t>Month 12</w:t>
            </w:r>
          </w:p>
        </w:tc>
        <w:tc>
          <w:tcPr>
            <w:tcW w:w="787" w:type="pct"/>
            <w:shd w:val="clear" w:color="auto" w:fill="auto"/>
          </w:tcPr>
          <w:p w:rsidR="006E2C7F" w:rsidRDefault="006E2C7F" w:rsidP="006E2C7F">
            <w:pPr>
              <w:keepNext/>
              <w:tabs>
                <w:tab w:val="left" w:pos="311"/>
              </w:tabs>
              <w:overflowPunct w:val="0"/>
              <w:autoSpaceDE w:val="0"/>
              <w:autoSpaceDN w:val="0"/>
              <w:adjustRightInd w:val="0"/>
              <w:spacing w:after="0"/>
              <w:jc w:val="center"/>
              <w:textAlignment w:val="baseline"/>
              <w:rPr>
                <w:rFonts w:eastAsia="MS Mincho"/>
                <w:sz w:val="20"/>
                <w:lang w:eastAsia="ja-JP"/>
              </w:rPr>
            </w:pPr>
          </w:p>
          <w:p w:rsidR="006E2C7F" w:rsidRDefault="006E2C7F" w:rsidP="006E2C7F">
            <w:pPr>
              <w:keepNext/>
              <w:tabs>
                <w:tab w:val="left" w:pos="311"/>
              </w:tabs>
              <w:overflowPunct w:val="0"/>
              <w:autoSpaceDE w:val="0"/>
              <w:autoSpaceDN w:val="0"/>
              <w:adjustRightInd w:val="0"/>
              <w:spacing w:after="0"/>
              <w:jc w:val="center"/>
              <w:textAlignment w:val="baseline"/>
              <w:rPr>
                <w:rFonts w:eastAsia="MS Mincho"/>
                <w:sz w:val="20"/>
                <w:lang w:eastAsia="ja-JP"/>
              </w:rPr>
            </w:pPr>
            <w:r w:rsidRPr="006E2C7F">
              <w:rPr>
                <w:rFonts w:eastAsia="MS Mincho"/>
                <w:sz w:val="20"/>
                <w:lang w:eastAsia="ja-JP"/>
              </w:rPr>
              <w:t>15%</w:t>
            </w:r>
          </w:p>
          <w:p w:rsidR="006E2C7F" w:rsidRPr="006E2C7F" w:rsidRDefault="006E2C7F" w:rsidP="006E2C7F">
            <w:pPr>
              <w:keepNext/>
              <w:tabs>
                <w:tab w:val="left" w:pos="311"/>
              </w:tabs>
              <w:overflowPunct w:val="0"/>
              <w:autoSpaceDE w:val="0"/>
              <w:autoSpaceDN w:val="0"/>
              <w:adjustRightInd w:val="0"/>
              <w:spacing w:after="0"/>
              <w:jc w:val="center"/>
              <w:textAlignment w:val="baseline"/>
              <w:rPr>
                <w:rFonts w:eastAsia="MS Mincho"/>
                <w:sz w:val="20"/>
                <w:lang w:eastAsia="ja-JP"/>
              </w:rPr>
            </w:pPr>
            <w:r w:rsidRPr="006E2C7F">
              <w:rPr>
                <w:rFonts w:eastAsia="MS Mincho"/>
                <w:sz w:val="20"/>
                <w:lang w:eastAsia="ja-JP"/>
              </w:rPr>
              <w:t>NA</w:t>
            </w:r>
          </w:p>
          <w:p w:rsidR="006E2C7F" w:rsidRPr="006E2C7F" w:rsidRDefault="006E2C7F" w:rsidP="006E2C7F">
            <w:pPr>
              <w:keepNext/>
              <w:overflowPunct w:val="0"/>
              <w:autoSpaceDE w:val="0"/>
              <w:autoSpaceDN w:val="0"/>
              <w:adjustRightInd w:val="0"/>
              <w:spacing w:after="0"/>
              <w:jc w:val="center"/>
              <w:textAlignment w:val="baseline"/>
              <w:rPr>
                <w:rFonts w:eastAsia="MS Mincho"/>
                <w:sz w:val="20"/>
                <w:lang w:eastAsia="ja-JP"/>
              </w:rPr>
            </w:pPr>
            <w:r w:rsidRPr="006E2C7F">
              <w:rPr>
                <w:rFonts w:eastAsia="MS Mincho"/>
                <w:sz w:val="20"/>
                <w:lang w:eastAsia="ja-JP"/>
              </w:rPr>
              <w:t>NA</w:t>
            </w:r>
          </w:p>
        </w:tc>
        <w:tc>
          <w:tcPr>
            <w:tcW w:w="809" w:type="pct"/>
            <w:shd w:val="clear" w:color="auto" w:fill="auto"/>
          </w:tcPr>
          <w:p w:rsidR="006E2C7F" w:rsidRDefault="006E2C7F" w:rsidP="006E2C7F">
            <w:pPr>
              <w:keepNext/>
              <w:tabs>
                <w:tab w:val="left" w:pos="613"/>
              </w:tabs>
              <w:overflowPunct w:val="0"/>
              <w:autoSpaceDE w:val="0"/>
              <w:autoSpaceDN w:val="0"/>
              <w:adjustRightInd w:val="0"/>
              <w:spacing w:after="0"/>
              <w:jc w:val="center"/>
              <w:textAlignment w:val="baseline"/>
              <w:rPr>
                <w:rFonts w:eastAsia="MS Mincho"/>
                <w:sz w:val="20"/>
                <w:lang w:eastAsia="ja-JP"/>
              </w:rPr>
            </w:pPr>
          </w:p>
          <w:p w:rsidR="006E2C7F" w:rsidRPr="006E2C7F" w:rsidRDefault="006E2C7F" w:rsidP="006E2C7F">
            <w:pPr>
              <w:keepNext/>
              <w:tabs>
                <w:tab w:val="left" w:pos="613"/>
              </w:tabs>
              <w:overflowPunct w:val="0"/>
              <w:autoSpaceDE w:val="0"/>
              <w:autoSpaceDN w:val="0"/>
              <w:adjustRightInd w:val="0"/>
              <w:spacing w:after="0"/>
              <w:jc w:val="center"/>
              <w:textAlignment w:val="baseline"/>
              <w:rPr>
                <w:rFonts w:eastAsia="MS Mincho"/>
                <w:sz w:val="20"/>
                <w:lang w:eastAsia="ja-JP"/>
              </w:rPr>
            </w:pPr>
            <w:r w:rsidRPr="006E2C7F">
              <w:rPr>
                <w:rFonts w:eastAsia="MS Mincho"/>
                <w:sz w:val="20"/>
                <w:lang w:eastAsia="ja-JP"/>
              </w:rPr>
              <w:t>43%</w:t>
            </w:r>
            <w:r w:rsidRPr="006E2C7F">
              <w:rPr>
                <w:rFonts w:eastAsia="MS Mincho"/>
                <w:sz w:val="20"/>
                <w:vertAlign w:val="superscript"/>
                <w:lang w:eastAsia="ja-JP"/>
              </w:rPr>
              <w:t>d,***</w:t>
            </w:r>
          </w:p>
          <w:p w:rsidR="006E2C7F" w:rsidRPr="006E2C7F" w:rsidRDefault="006E2C7F" w:rsidP="006E2C7F">
            <w:pPr>
              <w:keepNext/>
              <w:tabs>
                <w:tab w:val="left" w:pos="613"/>
              </w:tabs>
              <w:overflowPunct w:val="0"/>
              <w:autoSpaceDE w:val="0"/>
              <w:autoSpaceDN w:val="0"/>
              <w:adjustRightInd w:val="0"/>
              <w:spacing w:after="0"/>
              <w:jc w:val="center"/>
              <w:textAlignment w:val="baseline"/>
              <w:rPr>
                <w:rFonts w:eastAsia="MS Mincho"/>
                <w:sz w:val="20"/>
                <w:lang w:eastAsia="ja-JP"/>
              </w:rPr>
            </w:pPr>
            <w:r w:rsidRPr="006E2C7F">
              <w:rPr>
                <w:rFonts w:eastAsia="MS Mincho"/>
                <w:sz w:val="20"/>
                <w:lang w:eastAsia="ja-JP"/>
              </w:rPr>
              <w:t>46%</w:t>
            </w:r>
          </w:p>
          <w:p w:rsidR="006E2C7F" w:rsidRPr="006E2C7F" w:rsidRDefault="006E2C7F" w:rsidP="006E2C7F">
            <w:pPr>
              <w:keepNext/>
              <w:overflowPunct w:val="0"/>
              <w:autoSpaceDE w:val="0"/>
              <w:autoSpaceDN w:val="0"/>
              <w:adjustRightInd w:val="0"/>
              <w:spacing w:after="0"/>
              <w:jc w:val="center"/>
              <w:textAlignment w:val="baseline"/>
              <w:rPr>
                <w:rFonts w:eastAsia="MS Mincho"/>
                <w:sz w:val="20"/>
                <w:lang w:eastAsia="ja-JP"/>
              </w:rPr>
            </w:pPr>
            <w:r w:rsidRPr="006E2C7F">
              <w:rPr>
                <w:rFonts w:eastAsia="MS Mincho"/>
                <w:sz w:val="20"/>
                <w:lang w:eastAsia="ja-JP"/>
              </w:rPr>
              <w:t>56%</w:t>
            </w:r>
          </w:p>
        </w:tc>
        <w:tc>
          <w:tcPr>
            <w:tcW w:w="891" w:type="pct"/>
            <w:shd w:val="clear" w:color="auto" w:fill="auto"/>
          </w:tcPr>
          <w:p w:rsidR="006E2C7F" w:rsidRDefault="006E2C7F" w:rsidP="006E2C7F">
            <w:pPr>
              <w:keepNext/>
              <w:tabs>
                <w:tab w:val="left" w:pos="702"/>
              </w:tabs>
              <w:overflowPunct w:val="0"/>
              <w:autoSpaceDE w:val="0"/>
              <w:autoSpaceDN w:val="0"/>
              <w:adjustRightInd w:val="0"/>
              <w:spacing w:after="0"/>
              <w:jc w:val="center"/>
              <w:textAlignment w:val="baseline"/>
              <w:rPr>
                <w:rFonts w:eastAsia="MS Mincho"/>
                <w:sz w:val="20"/>
                <w:lang w:eastAsia="ja-JP"/>
              </w:rPr>
            </w:pPr>
          </w:p>
          <w:p w:rsidR="006E2C7F" w:rsidRPr="006E2C7F" w:rsidRDefault="006E2C7F" w:rsidP="006E2C7F">
            <w:pPr>
              <w:keepNext/>
              <w:tabs>
                <w:tab w:val="left" w:pos="702"/>
              </w:tabs>
              <w:overflowPunct w:val="0"/>
              <w:autoSpaceDE w:val="0"/>
              <w:autoSpaceDN w:val="0"/>
              <w:adjustRightInd w:val="0"/>
              <w:spacing w:after="0"/>
              <w:jc w:val="center"/>
              <w:textAlignment w:val="baseline"/>
              <w:rPr>
                <w:rFonts w:eastAsia="MS Mincho"/>
                <w:sz w:val="20"/>
                <w:lang w:eastAsia="ja-JP"/>
              </w:rPr>
            </w:pPr>
            <w:r w:rsidRPr="006E2C7F">
              <w:rPr>
                <w:rFonts w:eastAsia="MS Mincho"/>
                <w:sz w:val="20"/>
                <w:lang w:eastAsia="ja-JP"/>
              </w:rPr>
              <w:t>39%</w:t>
            </w:r>
            <w:r w:rsidRPr="006E2C7F">
              <w:rPr>
                <w:rFonts w:eastAsia="MS Mincho"/>
                <w:sz w:val="20"/>
                <w:vertAlign w:val="superscript"/>
                <w:lang w:eastAsia="ja-JP"/>
              </w:rPr>
              <w:t>**</w:t>
            </w:r>
          </w:p>
          <w:p w:rsidR="006E2C7F" w:rsidRPr="006E2C7F" w:rsidRDefault="006E2C7F" w:rsidP="006E2C7F">
            <w:pPr>
              <w:keepNext/>
              <w:tabs>
                <w:tab w:val="left" w:pos="702"/>
              </w:tabs>
              <w:overflowPunct w:val="0"/>
              <w:autoSpaceDE w:val="0"/>
              <w:autoSpaceDN w:val="0"/>
              <w:adjustRightInd w:val="0"/>
              <w:spacing w:after="0"/>
              <w:jc w:val="center"/>
              <w:textAlignment w:val="baseline"/>
              <w:rPr>
                <w:rFonts w:eastAsia="MS Mincho"/>
                <w:sz w:val="20"/>
                <w:lang w:eastAsia="ja-JP"/>
              </w:rPr>
            </w:pPr>
            <w:r w:rsidRPr="006E2C7F">
              <w:rPr>
                <w:rFonts w:eastAsia="MS Mincho"/>
                <w:sz w:val="20"/>
                <w:lang w:eastAsia="ja-JP"/>
              </w:rPr>
              <w:t>55%</w:t>
            </w:r>
          </w:p>
          <w:p w:rsidR="006E2C7F" w:rsidRPr="006E2C7F" w:rsidRDefault="006E2C7F" w:rsidP="006E2C7F">
            <w:pPr>
              <w:keepNext/>
              <w:overflowPunct w:val="0"/>
              <w:autoSpaceDE w:val="0"/>
              <w:autoSpaceDN w:val="0"/>
              <w:adjustRightInd w:val="0"/>
              <w:spacing w:after="0"/>
              <w:jc w:val="center"/>
              <w:textAlignment w:val="baseline"/>
              <w:rPr>
                <w:rFonts w:eastAsia="MS Mincho"/>
                <w:sz w:val="20"/>
                <w:lang w:eastAsia="ja-JP"/>
              </w:rPr>
            </w:pPr>
            <w:r w:rsidRPr="006E2C7F">
              <w:rPr>
                <w:rFonts w:eastAsia="MS Mincho"/>
                <w:sz w:val="20"/>
                <w:lang w:eastAsia="ja-JP"/>
              </w:rPr>
              <w:t>56%</w:t>
            </w:r>
          </w:p>
        </w:tc>
        <w:tc>
          <w:tcPr>
            <w:tcW w:w="872" w:type="pct"/>
            <w:shd w:val="clear" w:color="auto" w:fill="auto"/>
          </w:tcPr>
          <w:p w:rsidR="006E2C7F" w:rsidRDefault="006E2C7F" w:rsidP="006E2C7F">
            <w:pPr>
              <w:keepNext/>
              <w:tabs>
                <w:tab w:val="left" w:pos="252"/>
              </w:tabs>
              <w:overflowPunct w:val="0"/>
              <w:autoSpaceDE w:val="0"/>
              <w:autoSpaceDN w:val="0"/>
              <w:adjustRightInd w:val="0"/>
              <w:spacing w:after="0"/>
              <w:jc w:val="center"/>
              <w:textAlignment w:val="baseline"/>
              <w:rPr>
                <w:rFonts w:eastAsia="MS Mincho"/>
                <w:sz w:val="20"/>
                <w:lang w:eastAsia="ja-JP"/>
              </w:rPr>
            </w:pPr>
          </w:p>
          <w:p w:rsidR="006E2C7F" w:rsidRPr="006E2C7F" w:rsidRDefault="006E2C7F" w:rsidP="006E2C7F">
            <w:pPr>
              <w:keepNext/>
              <w:tabs>
                <w:tab w:val="left" w:pos="252"/>
              </w:tabs>
              <w:overflowPunct w:val="0"/>
              <w:autoSpaceDE w:val="0"/>
              <w:autoSpaceDN w:val="0"/>
              <w:adjustRightInd w:val="0"/>
              <w:spacing w:after="0"/>
              <w:jc w:val="center"/>
              <w:textAlignment w:val="baseline"/>
              <w:rPr>
                <w:rFonts w:eastAsia="MS Mincho"/>
                <w:sz w:val="20"/>
                <w:lang w:eastAsia="ja-JP"/>
              </w:rPr>
            </w:pPr>
            <w:r w:rsidRPr="006E2C7F">
              <w:rPr>
                <w:rFonts w:eastAsia="MS Mincho"/>
                <w:sz w:val="20"/>
                <w:lang w:eastAsia="ja-JP"/>
              </w:rPr>
              <w:t>14%</w:t>
            </w:r>
          </w:p>
          <w:p w:rsidR="006E2C7F" w:rsidRPr="006E2C7F" w:rsidRDefault="006E2C7F" w:rsidP="006E2C7F">
            <w:pPr>
              <w:keepNext/>
              <w:tabs>
                <w:tab w:val="left" w:pos="252"/>
              </w:tabs>
              <w:overflowPunct w:val="0"/>
              <w:autoSpaceDE w:val="0"/>
              <w:autoSpaceDN w:val="0"/>
              <w:adjustRightInd w:val="0"/>
              <w:spacing w:after="0"/>
              <w:jc w:val="center"/>
              <w:textAlignment w:val="baseline"/>
              <w:rPr>
                <w:rFonts w:eastAsia="MS Mincho"/>
                <w:sz w:val="20"/>
                <w:lang w:eastAsia="ja-JP"/>
              </w:rPr>
            </w:pPr>
            <w:r w:rsidRPr="006E2C7F">
              <w:rPr>
                <w:rFonts w:eastAsia="MS Mincho"/>
                <w:sz w:val="20"/>
                <w:lang w:eastAsia="ja-JP"/>
              </w:rPr>
              <w:t>NA</w:t>
            </w:r>
          </w:p>
          <w:p w:rsidR="006E2C7F" w:rsidRPr="006E2C7F" w:rsidRDefault="006E2C7F" w:rsidP="006E2C7F">
            <w:pPr>
              <w:keepNext/>
              <w:overflowPunct w:val="0"/>
              <w:autoSpaceDE w:val="0"/>
              <w:autoSpaceDN w:val="0"/>
              <w:adjustRightInd w:val="0"/>
              <w:spacing w:after="0"/>
              <w:jc w:val="center"/>
              <w:textAlignment w:val="baseline"/>
              <w:rPr>
                <w:rFonts w:eastAsia="MS Mincho"/>
                <w:sz w:val="20"/>
                <w:lang w:eastAsia="ja-JP"/>
              </w:rPr>
            </w:pPr>
            <w:r w:rsidRPr="006E2C7F">
              <w:rPr>
                <w:rFonts w:eastAsia="MS Mincho"/>
                <w:sz w:val="20"/>
                <w:lang w:eastAsia="ja-JP"/>
              </w:rPr>
              <w:t>-</w:t>
            </w:r>
          </w:p>
        </w:tc>
        <w:tc>
          <w:tcPr>
            <w:tcW w:w="990" w:type="pct"/>
            <w:shd w:val="clear" w:color="auto" w:fill="auto"/>
          </w:tcPr>
          <w:p w:rsidR="006E2C7F" w:rsidRDefault="006E2C7F" w:rsidP="006E2C7F">
            <w:pPr>
              <w:keepNext/>
              <w:overflowPunct w:val="0"/>
              <w:autoSpaceDE w:val="0"/>
              <w:autoSpaceDN w:val="0"/>
              <w:adjustRightInd w:val="0"/>
              <w:spacing w:after="0"/>
              <w:jc w:val="center"/>
              <w:textAlignment w:val="baseline"/>
              <w:rPr>
                <w:rFonts w:eastAsia="MS Mincho"/>
                <w:sz w:val="20"/>
                <w:lang w:eastAsia="ja-JP"/>
              </w:rPr>
            </w:pPr>
          </w:p>
          <w:p w:rsidR="006E2C7F" w:rsidRPr="006E2C7F" w:rsidRDefault="006E2C7F" w:rsidP="006E2C7F">
            <w:pPr>
              <w:keepNext/>
              <w:overflowPunct w:val="0"/>
              <w:autoSpaceDE w:val="0"/>
              <w:autoSpaceDN w:val="0"/>
              <w:adjustRightInd w:val="0"/>
              <w:spacing w:after="0"/>
              <w:jc w:val="center"/>
              <w:textAlignment w:val="baseline"/>
              <w:rPr>
                <w:rFonts w:eastAsia="MS Mincho"/>
                <w:sz w:val="20"/>
                <w:lang w:eastAsia="ja-JP"/>
              </w:rPr>
            </w:pPr>
            <w:r w:rsidRPr="006E2C7F">
              <w:rPr>
                <w:rFonts w:eastAsia="MS Mincho"/>
                <w:sz w:val="20"/>
                <w:lang w:eastAsia="ja-JP"/>
              </w:rPr>
              <w:t>21%</w:t>
            </w:r>
          </w:p>
          <w:p w:rsidR="006E2C7F" w:rsidRPr="006E2C7F" w:rsidRDefault="006E2C7F" w:rsidP="006E2C7F">
            <w:pPr>
              <w:keepNext/>
              <w:overflowPunct w:val="0"/>
              <w:autoSpaceDE w:val="0"/>
              <w:autoSpaceDN w:val="0"/>
              <w:adjustRightInd w:val="0"/>
              <w:spacing w:after="0"/>
              <w:jc w:val="center"/>
              <w:textAlignment w:val="baseline"/>
              <w:rPr>
                <w:rFonts w:eastAsia="MS Mincho"/>
                <w:sz w:val="20"/>
                <w:lang w:eastAsia="ja-JP"/>
              </w:rPr>
            </w:pPr>
            <w:r w:rsidRPr="006E2C7F">
              <w:rPr>
                <w:rFonts w:eastAsia="MS Mincho"/>
                <w:sz w:val="20"/>
                <w:lang w:eastAsia="ja-JP"/>
              </w:rPr>
              <w:t>34%</w:t>
            </w:r>
          </w:p>
          <w:p w:rsidR="006E2C7F" w:rsidRPr="006E2C7F" w:rsidRDefault="006E2C7F" w:rsidP="006E2C7F">
            <w:pPr>
              <w:keepNext/>
              <w:overflowPunct w:val="0"/>
              <w:autoSpaceDE w:val="0"/>
              <w:autoSpaceDN w:val="0"/>
              <w:adjustRightInd w:val="0"/>
              <w:spacing w:after="0"/>
              <w:jc w:val="center"/>
              <w:textAlignment w:val="baseline"/>
              <w:rPr>
                <w:rFonts w:eastAsia="MS Mincho"/>
                <w:sz w:val="20"/>
                <w:lang w:eastAsia="ja-JP"/>
              </w:rPr>
            </w:pPr>
            <w:r w:rsidRPr="006E2C7F">
              <w:rPr>
                <w:rFonts w:eastAsia="MS Mincho"/>
                <w:sz w:val="20"/>
                <w:lang w:eastAsia="ja-JP"/>
              </w:rPr>
              <w:t>-</w:t>
            </w:r>
          </w:p>
        </w:tc>
      </w:tr>
    </w:tbl>
    <w:p w:rsidR="00F02665" w:rsidRPr="00F654E2" w:rsidRDefault="00F02665" w:rsidP="00F02665">
      <w:pPr>
        <w:pStyle w:val="Paragraph"/>
        <w:tabs>
          <w:tab w:val="left" w:pos="180"/>
        </w:tabs>
        <w:spacing w:after="0"/>
        <w:rPr>
          <w:sz w:val="18"/>
          <w:szCs w:val="18"/>
        </w:rPr>
      </w:pPr>
      <w:r w:rsidRPr="00F654E2">
        <w:rPr>
          <w:sz w:val="18"/>
          <w:szCs w:val="18"/>
          <w:vertAlign w:val="superscript"/>
        </w:rPr>
        <w:t xml:space="preserve">* </w:t>
      </w:r>
      <w:r w:rsidRPr="00F654E2">
        <w:rPr>
          <w:sz w:val="18"/>
          <w:szCs w:val="18"/>
          <w:vertAlign w:val="superscript"/>
        </w:rPr>
        <w:tab/>
      </w:r>
      <w:r w:rsidRPr="00F654E2">
        <w:rPr>
          <w:sz w:val="18"/>
          <w:szCs w:val="18"/>
        </w:rPr>
        <w:t xml:space="preserve">Nominal p≤0.05, </w:t>
      </w:r>
      <w:r w:rsidRPr="00F654E2">
        <w:rPr>
          <w:sz w:val="18"/>
          <w:szCs w:val="18"/>
          <w:vertAlign w:val="superscript"/>
        </w:rPr>
        <w:t xml:space="preserve">** </w:t>
      </w:r>
      <w:r w:rsidRPr="00F654E2">
        <w:rPr>
          <w:sz w:val="18"/>
          <w:szCs w:val="18"/>
        </w:rPr>
        <w:t xml:space="preserve">Nominal p&lt;0.001, </w:t>
      </w:r>
      <w:r w:rsidRPr="00F654E2">
        <w:rPr>
          <w:sz w:val="18"/>
          <w:szCs w:val="18"/>
          <w:vertAlign w:val="superscript"/>
        </w:rPr>
        <w:t>***</w:t>
      </w:r>
      <w:r w:rsidRPr="00F654E2">
        <w:rPr>
          <w:sz w:val="18"/>
          <w:szCs w:val="18"/>
        </w:rPr>
        <w:t>Nominal p&lt;0.0001 for active treatment versus placebo at Month 3.</w:t>
      </w:r>
    </w:p>
    <w:p w:rsidR="00F02665" w:rsidRPr="00F654E2" w:rsidRDefault="00F02665" w:rsidP="00F02665">
      <w:pPr>
        <w:keepNext/>
        <w:overflowPunct w:val="0"/>
        <w:autoSpaceDE w:val="0"/>
        <w:autoSpaceDN w:val="0"/>
        <w:adjustRightInd w:val="0"/>
        <w:spacing w:after="0"/>
        <w:textAlignment w:val="baseline"/>
        <w:rPr>
          <w:rFonts w:eastAsia="MS Mincho"/>
          <w:sz w:val="18"/>
          <w:lang w:eastAsia="ja-JP"/>
        </w:rPr>
      </w:pPr>
      <w:r w:rsidRPr="00F654E2">
        <w:rPr>
          <w:rFonts w:eastAsia="MS Mincho"/>
          <w:sz w:val="18"/>
          <w:lang w:eastAsia="ja-JP"/>
        </w:rPr>
        <w:t>Abbreviations:</w:t>
      </w:r>
      <w:r w:rsidR="00616F73">
        <w:rPr>
          <w:rFonts w:eastAsia="MS Mincho"/>
          <w:sz w:val="18"/>
          <w:lang w:eastAsia="ja-JP"/>
        </w:rPr>
        <w:t xml:space="preserve"> BSA=body surface area;</w:t>
      </w:r>
      <w:r w:rsidRPr="00F654E2">
        <w:rPr>
          <w:rFonts w:eastAsia="MS Mincho"/>
          <w:sz w:val="18"/>
          <w:lang w:eastAsia="ja-JP"/>
        </w:rPr>
        <w:t xml:space="preserve"> ∆L</w:t>
      </w:r>
      <w:r w:rsidR="00616F73">
        <w:rPr>
          <w:rFonts w:eastAsia="MS Mincho"/>
          <w:sz w:val="18"/>
          <w:lang w:eastAsia="ja-JP"/>
        </w:rPr>
        <w:t>EI=change from baseline in Leed</w:t>
      </w:r>
      <w:r w:rsidRPr="00F654E2">
        <w:rPr>
          <w:rFonts w:eastAsia="MS Mincho"/>
          <w:sz w:val="18"/>
          <w:lang w:eastAsia="ja-JP"/>
        </w:rPr>
        <w:t xml:space="preserve">s </w:t>
      </w:r>
      <w:proofErr w:type="spellStart"/>
      <w:r w:rsidRPr="00F654E2">
        <w:rPr>
          <w:rFonts w:eastAsia="MS Mincho"/>
          <w:sz w:val="18"/>
          <w:lang w:eastAsia="ja-JP"/>
        </w:rPr>
        <w:t>Enthesitis</w:t>
      </w:r>
      <w:proofErr w:type="spellEnd"/>
      <w:r w:rsidRPr="00F654E2">
        <w:rPr>
          <w:rFonts w:eastAsia="MS Mincho"/>
          <w:sz w:val="18"/>
          <w:lang w:eastAsia="ja-JP"/>
        </w:rPr>
        <w:t xml:space="preserve"> Index; ∆DSS=change from baseline in Dactylitis Severity Score; ACR20/50/70=American College of Rheumatology ≥ 20, 50, 70% improvement; </w:t>
      </w:r>
      <w:proofErr w:type="spellStart"/>
      <w:r w:rsidRPr="00F654E2">
        <w:rPr>
          <w:rFonts w:eastAsia="MS Mincho"/>
          <w:sz w:val="18"/>
          <w:lang w:eastAsia="ja-JP"/>
        </w:rPr>
        <w:t>csDMARD</w:t>
      </w:r>
      <w:proofErr w:type="spellEnd"/>
      <w:r w:rsidRPr="00F654E2">
        <w:rPr>
          <w:rFonts w:eastAsia="MS Mincho"/>
          <w:sz w:val="18"/>
          <w:lang w:eastAsia="ja-JP"/>
        </w:rPr>
        <w:t>=conventional synthetic disease</w:t>
      </w:r>
      <w:r w:rsidRPr="00F654E2">
        <w:rPr>
          <w:rFonts w:eastAsia="MS Mincho"/>
          <w:sz w:val="18"/>
          <w:lang w:eastAsia="ja-JP"/>
        </w:rPr>
        <w:noBreakHyphen/>
        <w:t xml:space="preserve">modifying </w:t>
      </w:r>
      <w:proofErr w:type="spellStart"/>
      <w:r w:rsidRPr="00F654E2">
        <w:rPr>
          <w:rFonts w:eastAsia="MS Mincho"/>
          <w:sz w:val="18"/>
          <w:lang w:eastAsia="ja-JP"/>
        </w:rPr>
        <w:t>antirheumatic</w:t>
      </w:r>
      <w:proofErr w:type="spellEnd"/>
      <w:r w:rsidRPr="00F654E2">
        <w:rPr>
          <w:rFonts w:eastAsia="MS Mincho"/>
          <w:sz w:val="18"/>
          <w:lang w:eastAsia="ja-JP"/>
        </w:rPr>
        <w:t xml:space="preserve"> drug; N=number of randomised and treated patients; NA=Not applicable, as data for placebo treatment is not available beyond Month 3 due to placebo advanced to XELJANZ 5 mg twice daily or XELJANZ 10 mg twice daily; </w:t>
      </w:r>
      <w:r w:rsidRPr="00F654E2">
        <w:rPr>
          <w:sz w:val="18"/>
          <w:lang w:eastAsia="ja-JP"/>
        </w:rPr>
        <w:t>SC q2w=subcutaneously once every 2 weeks;</w:t>
      </w:r>
      <w:r w:rsidRPr="00F654E2">
        <w:rPr>
          <w:rFonts w:eastAsia="MS Mincho"/>
          <w:sz w:val="18"/>
          <w:lang w:eastAsia="ja-JP"/>
        </w:rPr>
        <w:t xml:space="preserve"> </w:t>
      </w:r>
      <w:proofErr w:type="spellStart"/>
      <w:r w:rsidRPr="00F654E2">
        <w:rPr>
          <w:rFonts w:eastAsia="MS Mincho"/>
          <w:sz w:val="18"/>
          <w:lang w:eastAsia="ja-JP"/>
        </w:rPr>
        <w:t>TNFi</w:t>
      </w:r>
      <w:proofErr w:type="spellEnd"/>
      <w:r w:rsidRPr="00F654E2">
        <w:rPr>
          <w:rFonts w:eastAsia="MS Mincho"/>
          <w:sz w:val="18"/>
          <w:lang w:eastAsia="ja-JP"/>
        </w:rPr>
        <w:t>=t</w:t>
      </w:r>
      <w:r w:rsidR="00616F73">
        <w:rPr>
          <w:rFonts w:eastAsia="MS Mincho"/>
          <w:sz w:val="18"/>
          <w:lang w:eastAsia="ja-JP"/>
        </w:rPr>
        <w:t xml:space="preserve">umour necrosis factor inhibitor; </w:t>
      </w:r>
      <w:r w:rsidR="00616F73" w:rsidRPr="00616F73">
        <w:rPr>
          <w:rFonts w:eastAsia="MS Mincho"/>
          <w:sz w:val="18"/>
          <w:lang w:eastAsia="ja-JP"/>
        </w:rPr>
        <w:t>PASI=Psoriasis Area and Severity index; PASI75=≥ 75% improvement in PASI.</w:t>
      </w:r>
    </w:p>
    <w:p w:rsidR="00F02665" w:rsidRPr="00F654E2" w:rsidRDefault="00F02665" w:rsidP="00F02665">
      <w:pPr>
        <w:tabs>
          <w:tab w:val="left" w:pos="180"/>
        </w:tabs>
        <w:spacing w:after="0"/>
        <w:rPr>
          <w:sz w:val="18"/>
        </w:rPr>
      </w:pPr>
      <w:proofErr w:type="spellStart"/>
      <w:proofErr w:type="gramStart"/>
      <w:r w:rsidRPr="00F654E2">
        <w:rPr>
          <w:sz w:val="18"/>
          <w:vertAlign w:val="superscript"/>
        </w:rPr>
        <w:t>a</w:t>
      </w:r>
      <w:proofErr w:type="spellEnd"/>
      <w:proofErr w:type="gramEnd"/>
      <w:r w:rsidRPr="00F654E2">
        <w:rPr>
          <w:sz w:val="18"/>
          <w:vertAlign w:val="superscript"/>
        </w:rPr>
        <w:tab/>
      </w:r>
      <w:r w:rsidRPr="00F654E2">
        <w:rPr>
          <w:sz w:val="18"/>
        </w:rPr>
        <w:t xml:space="preserve">Inadequate response to at least 1 </w:t>
      </w:r>
      <w:proofErr w:type="spellStart"/>
      <w:r w:rsidRPr="00F654E2">
        <w:rPr>
          <w:sz w:val="18"/>
        </w:rPr>
        <w:t>csDMARD</w:t>
      </w:r>
      <w:proofErr w:type="spellEnd"/>
      <w:r w:rsidRPr="00F654E2">
        <w:rPr>
          <w:sz w:val="18"/>
        </w:rPr>
        <w:t xml:space="preserve"> due to lack of efficacy and/or intolerability.</w:t>
      </w:r>
    </w:p>
    <w:p w:rsidR="00F02665" w:rsidRPr="00F654E2" w:rsidRDefault="00F02665" w:rsidP="00F02665">
      <w:pPr>
        <w:tabs>
          <w:tab w:val="left" w:pos="180"/>
        </w:tabs>
        <w:spacing w:after="0"/>
        <w:rPr>
          <w:sz w:val="18"/>
        </w:rPr>
      </w:pPr>
      <w:proofErr w:type="gramStart"/>
      <w:r w:rsidRPr="00F654E2">
        <w:rPr>
          <w:sz w:val="18"/>
          <w:vertAlign w:val="superscript"/>
        </w:rPr>
        <w:t>b</w:t>
      </w:r>
      <w:proofErr w:type="gramEnd"/>
      <w:r w:rsidRPr="00F654E2">
        <w:rPr>
          <w:sz w:val="18"/>
          <w:vertAlign w:val="superscript"/>
        </w:rPr>
        <w:tab/>
      </w:r>
      <w:r w:rsidRPr="00F654E2">
        <w:rPr>
          <w:sz w:val="18"/>
        </w:rPr>
        <w:t>Inadequate response to</w:t>
      </w:r>
      <w:r w:rsidRPr="00F654E2">
        <w:rPr>
          <w:sz w:val="18"/>
          <w:szCs w:val="18"/>
        </w:rPr>
        <w:t xml:space="preserve"> </w:t>
      </w:r>
      <w:r w:rsidRPr="00F654E2">
        <w:rPr>
          <w:sz w:val="18"/>
        </w:rPr>
        <w:t>a</w:t>
      </w:r>
      <w:r w:rsidR="00AD2379">
        <w:rPr>
          <w:sz w:val="18"/>
        </w:rPr>
        <w:t>t</w:t>
      </w:r>
      <w:r w:rsidRPr="00F654E2">
        <w:rPr>
          <w:sz w:val="18"/>
        </w:rPr>
        <w:t xml:space="preserve"> least 1 </w:t>
      </w:r>
      <w:proofErr w:type="spellStart"/>
      <w:r w:rsidRPr="00F654E2">
        <w:rPr>
          <w:sz w:val="18"/>
        </w:rPr>
        <w:t>TNFi</w:t>
      </w:r>
      <w:proofErr w:type="spellEnd"/>
      <w:r w:rsidRPr="00F654E2">
        <w:rPr>
          <w:sz w:val="18"/>
        </w:rPr>
        <w:t xml:space="preserve"> due to lack of efficacy and/or intolerability.</w:t>
      </w:r>
    </w:p>
    <w:p w:rsidR="00F02665" w:rsidRPr="00F654E2" w:rsidRDefault="00F02665" w:rsidP="00F02665">
      <w:pPr>
        <w:tabs>
          <w:tab w:val="left" w:pos="180"/>
        </w:tabs>
        <w:spacing w:after="0"/>
        <w:rPr>
          <w:sz w:val="18"/>
        </w:rPr>
      </w:pPr>
      <w:proofErr w:type="gramStart"/>
      <w:r w:rsidRPr="00F654E2">
        <w:rPr>
          <w:sz w:val="18"/>
          <w:vertAlign w:val="superscript"/>
        </w:rPr>
        <w:t>c</w:t>
      </w:r>
      <w:proofErr w:type="gramEnd"/>
      <w:r w:rsidRPr="00F654E2">
        <w:rPr>
          <w:sz w:val="18"/>
        </w:rPr>
        <w:t xml:space="preserve"> </w:t>
      </w:r>
      <w:r w:rsidRPr="00F654E2">
        <w:rPr>
          <w:sz w:val="18"/>
        </w:rPr>
        <w:tab/>
        <w:t>OPAL BEYOND had a duration of 6 months.</w:t>
      </w:r>
    </w:p>
    <w:p w:rsidR="00F02665" w:rsidRPr="00F654E2" w:rsidRDefault="00F02665" w:rsidP="00F02665">
      <w:pPr>
        <w:pStyle w:val="TableTextFootnote"/>
        <w:tabs>
          <w:tab w:val="left" w:pos="180"/>
        </w:tabs>
        <w:rPr>
          <w:sz w:val="18"/>
        </w:rPr>
      </w:pPr>
      <w:proofErr w:type="gramStart"/>
      <w:r w:rsidRPr="00F654E2">
        <w:rPr>
          <w:sz w:val="18"/>
          <w:vertAlign w:val="superscript"/>
        </w:rPr>
        <w:t>d</w:t>
      </w:r>
      <w:proofErr w:type="gramEnd"/>
      <w:r w:rsidRPr="00F654E2">
        <w:rPr>
          <w:sz w:val="18"/>
          <w:vertAlign w:val="superscript"/>
        </w:rPr>
        <w:t xml:space="preserve"> </w:t>
      </w:r>
      <w:r w:rsidRPr="00F654E2">
        <w:rPr>
          <w:sz w:val="18"/>
          <w:vertAlign w:val="superscript"/>
        </w:rPr>
        <w:tab/>
      </w:r>
      <w:r w:rsidRPr="00F654E2">
        <w:rPr>
          <w:sz w:val="18"/>
        </w:rPr>
        <w:t>Achieved statistical significance globally at p≤ 0.05 per the pre-specified step-down testing procedure.</w:t>
      </w:r>
    </w:p>
    <w:p w:rsidR="00F02665" w:rsidRDefault="00F02665" w:rsidP="006E2C7F">
      <w:pPr>
        <w:tabs>
          <w:tab w:val="left" w:pos="180"/>
        </w:tabs>
        <w:spacing w:after="0"/>
        <w:ind w:left="181" w:hanging="181"/>
        <w:rPr>
          <w:sz w:val="18"/>
        </w:rPr>
      </w:pPr>
      <w:proofErr w:type="spellStart"/>
      <w:proofErr w:type="gramStart"/>
      <w:r w:rsidRPr="00F654E2">
        <w:rPr>
          <w:sz w:val="18"/>
          <w:vertAlign w:val="superscript"/>
        </w:rPr>
        <w:t>e</w:t>
      </w:r>
      <w:proofErr w:type="spellEnd"/>
      <w:proofErr w:type="gramEnd"/>
      <w:r w:rsidRPr="00F654E2">
        <w:rPr>
          <w:sz w:val="18"/>
          <w:vertAlign w:val="superscript"/>
        </w:rPr>
        <w:t xml:space="preserve"> </w:t>
      </w:r>
      <w:r w:rsidRPr="00F654E2">
        <w:rPr>
          <w:sz w:val="18"/>
          <w:vertAlign w:val="superscript"/>
        </w:rPr>
        <w:tab/>
      </w:r>
      <w:r w:rsidRPr="00F654E2">
        <w:rPr>
          <w:sz w:val="18"/>
        </w:rPr>
        <w:t>Achieved statistical significance within the ACR family (ACR50 and ACR70) at p≤ 0.05 per the pre</w:t>
      </w:r>
      <w:r w:rsidRPr="00F654E2">
        <w:rPr>
          <w:sz w:val="18"/>
        </w:rPr>
        <w:noBreakHyphen/>
        <w:t>specified step</w:t>
      </w:r>
      <w:r w:rsidRPr="00F654E2">
        <w:rPr>
          <w:sz w:val="18"/>
        </w:rPr>
        <w:noBreakHyphen/>
        <w:t>down testing procedure.</w:t>
      </w:r>
    </w:p>
    <w:p w:rsidR="006E2C7F" w:rsidRPr="006E2C7F" w:rsidRDefault="006E2C7F" w:rsidP="006E2C7F">
      <w:pPr>
        <w:keepNext/>
        <w:tabs>
          <w:tab w:val="left" w:pos="180"/>
        </w:tabs>
        <w:spacing w:after="0"/>
        <w:ind w:left="181" w:hanging="181"/>
        <w:rPr>
          <w:sz w:val="18"/>
          <w:lang w:val="en-US"/>
        </w:rPr>
      </w:pPr>
      <w:proofErr w:type="gramStart"/>
      <w:r w:rsidRPr="006E2C7F">
        <w:rPr>
          <w:sz w:val="18"/>
          <w:lang w:val="en-US"/>
        </w:rPr>
        <w:t>f</w:t>
      </w:r>
      <w:proofErr w:type="gramEnd"/>
      <w:r w:rsidRPr="006E2C7F">
        <w:rPr>
          <w:sz w:val="18"/>
          <w:lang w:val="en-US"/>
        </w:rPr>
        <w:t xml:space="preserve"> </w:t>
      </w:r>
      <w:r w:rsidRPr="006E2C7F">
        <w:rPr>
          <w:sz w:val="18"/>
          <w:lang w:val="en-US"/>
        </w:rPr>
        <w:tab/>
        <w:t>For patients with Baseline score &gt; 0.</w:t>
      </w:r>
    </w:p>
    <w:p w:rsidR="006E2C7F" w:rsidRPr="006E2C7F" w:rsidRDefault="006E2C7F" w:rsidP="006E2C7F">
      <w:pPr>
        <w:tabs>
          <w:tab w:val="left" w:pos="180"/>
        </w:tabs>
        <w:spacing w:after="0"/>
        <w:ind w:left="181" w:hanging="181"/>
        <w:rPr>
          <w:sz w:val="18"/>
          <w:lang w:val="en-US"/>
        </w:rPr>
      </w:pPr>
      <w:proofErr w:type="gramStart"/>
      <w:r w:rsidRPr="006E2C7F">
        <w:rPr>
          <w:sz w:val="18"/>
          <w:lang w:val="en-US"/>
        </w:rPr>
        <w:t>g</w:t>
      </w:r>
      <w:proofErr w:type="gramEnd"/>
      <w:r w:rsidRPr="006E2C7F">
        <w:rPr>
          <w:sz w:val="18"/>
          <w:lang w:val="en-US"/>
        </w:rPr>
        <w:t xml:space="preserve"> </w:t>
      </w:r>
      <w:r w:rsidRPr="006E2C7F">
        <w:rPr>
          <w:sz w:val="18"/>
          <w:lang w:val="en-US"/>
        </w:rPr>
        <w:tab/>
        <w:t>For patients with Baseline BSA ≥ 3% and PASI &gt; 0.</w:t>
      </w:r>
    </w:p>
    <w:p w:rsidR="00F02665" w:rsidRDefault="00F02665" w:rsidP="00F02665"/>
    <w:p w:rsidR="00F02665" w:rsidRDefault="00F02665" w:rsidP="00F02665">
      <w:r>
        <w:lastRenderedPageBreak/>
        <w:t>Both TNF inhibitor naïve and TNF inhibitor inadequate responder XELJANZ</w:t>
      </w:r>
      <w:r>
        <w:noBreakHyphen/>
        <w:t xml:space="preserve">treated patients had significantly higher ACR20 response rates compared to placebo at Month 3. </w:t>
      </w:r>
      <w:r w:rsidRPr="00337561">
        <w:t xml:space="preserve">Examination of age, sex, race, baseline disease activity and </w:t>
      </w:r>
      <w:proofErr w:type="spellStart"/>
      <w:r>
        <w:t>PsA</w:t>
      </w:r>
      <w:proofErr w:type="spellEnd"/>
      <w:r w:rsidRPr="00337561">
        <w:t xml:space="preserve"> subtype did not identify differences in response to XELJANZ</w:t>
      </w:r>
      <w:r>
        <w:t xml:space="preserve">. The number of patients with arthritis </w:t>
      </w:r>
      <w:proofErr w:type="spellStart"/>
      <w:r>
        <w:t>mutilans</w:t>
      </w:r>
      <w:proofErr w:type="spellEnd"/>
      <w:r>
        <w:t xml:space="preserve"> was too small to allow meaningful assessment. </w:t>
      </w:r>
    </w:p>
    <w:p w:rsidR="00F02665" w:rsidRPr="003C3F7E" w:rsidRDefault="00F02665" w:rsidP="00F02665">
      <w:pPr>
        <w:rPr>
          <w:szCs w:val="22"/>
        </w:rPr>
      </w:pPr>
      <w:r w:rsidRPr="003C3F7E">
        <w:t xml:space="preserve">As with the ACR responses, in patients treated with XELJANZ 5 mg twice daily in </w:t>
      </w:r>
      <w:r w:rsidRPr="005334E6">
        <w:t>OPAL BROADEN</w:t>
      </w:r>
      <w:r>
        <w:t xml:space="preserve"> and OPAL BEYOND</w:t>
      </w:r>
      <w:r w:rsidRPr="003C3F7E">
        <w:t>, each of the components of the ACR response was consistently improved from baseline at Month 3 including tender/painful and swollen joint counts, patient assessment of arthritis pain, patient and physician’s global assessment of arthritis, HAQ-DI, and CRP compared to patients receiving placebo (</w:t>
      </w:r>
      <w:r>
        <w:rPr>
          <w:szCs w:val="22"/>
        </w:rPr>
        <w:t xml:space="preserve">Table </w:t>
      </w:r>
      <w:r w:rsidR="006A1592">
        <w:rPr>
          <w:szCs w:val="22"/>
        </w:rPr>
        <w:t>10</w:t>
      </w:r>
      <w:r w:rsidRPr="003C3F7E">
        <w:rPr>
          <w:szCs w:val="22"/>
        </w:rPr>
        <w:t>).</w:t>
      </w:r>
    </w:p>
    <w:p w:rsidR="00F02665" w:rsidRPr="003C3F7E" w:rsidRDefault="00F02665" w:rsidP="00572DEB">
      <w:pPr>
        <w:rPr>
          <w:b/>
          <w:szCs w:val="22"/>
        </w:rPr>
      </w:pPr>
      <w:r w:rsidRPr="003C3F7E">
        <w:rPr>
          <w:b/>
          <w:szCs w:val="22"/>
        </w:rPr>
        <w:t xml:space="preserve">Table </w:t>
      </w:r>
      <w:r w:rsidR="006A1592">
        <w:rPr>
          <w:b/>
          <w:szCs w:val="22"/>
        </w:rPr>
        <w:t>10</w:t>
      </w:r>
      <w:r w:rsidRPr="003C3F7E">
        <w:rPr>
          <w:b/>
          <w:szCs w:val="22"/>
        </w:rPr>
        <w:t xml:space="preserve">: Components of ACR Response at Baseline and Month 3 in </w:t>
      </w:r>
      <w:r w:rsidRPr="00C952A9">
        <w:rPr>
          <w:b/>
          <w:szCs w:val="22"/>
        </w:rPr>
        <w:t>OPAL BROADEN and OPAL BEYOND</w:t>
      </w:r>
      <w:r>
        <w:rPr>
          <w:b/>
          <w:szCs w:val="22"/>
        </w:rPr>
        <w:t xml:space="preserve">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069"/>
        <w:gridCol w:w="1418"/>
        <w:gridCol w:w="1701"/>
        <w:gridCol w:w="1275"/>
        <w:gridCol w:w="1763"/>
      </w:tblGrid>
      <w:tr w:rsidR="00F02665" w:rsidRPr="003C3F7E" w:rsidTr="00B062A9">
        <w:tc>
          <w:tcPr>
            <w:tcW w:w="0" w:type="auto"/>
            <w:vMerge w:val="restart"/>
            <w:shd w:val="clear" w:color="auto" w:fill="auto"/>
          </w:tcPr>
          <w:p w:rsidR="00F02665" w:rsidRPr="003C3F7E" w:rsidRDefault="00F02665" w:rsidP="00572DEB">
            <w:pPr>
              <w:spacing w:after="0"/>
              <w:jc w:val="left"/>
              <w:rPr>
                <w:sz w:val="20"/>
              </w:rPr>
            </w:pPr>
          </w:p>
        </w:tc>
        <w:tc>
          <w:tcPr>
            <w:tcW w:w="4188" w:type="dxa"/>
            <w:gridSpan w:val="3"/>
            <w:shd w:val="clear" w:color="auto" w:fill="auto"/>
            <w:vAlign w:val="bottom"/>
          </w:tcPr>
          <w:p w:rsidR="00F02665" w:rsidRPr="003C3F7E" w:rsidRDefault="00F600FC" w:rsidP="00572DEB">
            <w:pPr>
              <w:spacing w:after="0"/>
              <w:jc w:val="center"/>
              <w:rPr>
                <w:sz w:val="20"/>
              </w:rPr>
            </w:pPr>
            <w:proofErr w:type="spellStart"/>
            <w:r>
              <w:rPr>
                <w:sz w:val="20"/>
              </w:rPr>
              <w:t>cs</w:t>
            </w:r>
            <w:r w:rsidR="00F02665" w:rsidRPr="003C3F7E">
              <w:rPr>
                <w:sz w:val="20"/>
              </w:rPr>
              <w:t>DMARD</w:t>
            </w:r>
            <w:proofErr w:type="spellEnd"/>
            <w:r w:rsidR="00F02665" w:rsidRPr="003C3F7E">
              <w:rPr>
                <w:sz w:val="20"/>
              </w:rPr>
              <w:t xml:space="preserve"> Inadequate </w:t>
            </w:r>
            <w:proofErr w:type="spellStart"/>
            <w:r w:rsidR="00F02665" w:rsidRPr="003C3F7E">
              <w:rPr>
                <w:sz w:val="20"/>
              </w:rPr>
              <w:t>Responders</w:t>
            </w:r>
            <w:r w:rsidR="007F02D1">
              <w:rPr>
                <w:sz w:val="20"/>
                <w:vertAlign w:val="superscript"/>
              </w:rPr>
              <w:t>d</w:t>
            </w:r>
            <w:proofErr w:type="spellEnd"/>
            <w:r w:rsidR="00F02665" w:rsidRPr="003C3F7E">
              <w:rPr>
                <w:sz w:val="20"/>
              </w:rPr>
              <w:t xml:space="preserve"> (</w:t>
            </w:r>
            <w:proofErr w:type="spellStart"/>
            <w:r w:rsidR="00F02665" w:rsidRPr="003C3F7E">
              <w:rPr>
                <w:sz w:val="20"/>
              </w:rPr>
              <w:t>TNFi</w:t>
            </w:r>
            <w:proofErr w:type="spellEnd"/>
            <w:r w:rsidR="00F02665" w:rsidRPr="003C3F7E">
              <w:rPr>
                <w:sz w:val="20"/>
              </w:rPr>
              <w:t>-Naïve)</w:t>
            </w:r>
          </w:p>
        </w:tc>
        <w:tc>
          <w:tcPr>
            <w:tcW w:w="3038" w:type="dxa"/>
            <w:gridSpan w:val="2"/>
            <w:shd w:val="clear" w:color="auto" w:fill="auto"/>
            <w:vAlign w:val="bottom"/>
          </w:tcPr>
          <w:p w:rsidR="00F02665" w:rsidRPr="003C3F7E" w:rsidRDefault="00F02665" w:rsidP="00572DEB">
            <w:pPr>
              <w:spacing w:after="0"/>
              <w:jc w:val="center"/>
              <w:rPr>
                <w:sz w:val="20"/>
              </w:rPr>
            </w:pPr>
            <w:proofErr w:type="spellStart"/>
            <w:r w:rsidRPr="003C3F7E">
              <w:rPr>
                <w:sz w:val="20"/>
              </w:rPr>
              <w:t>TNFi</w:t>
            </w:r>
            <w:proofErr w:type="spellEnd"/>
            <w:r w:rsidRPr="003C3F7E">
              <w:rPr>
                <w:sz w:val="20"/>
              </w:rPr>
              <w:t xml:space="preserve"> Inadequate </w:t>
            </w:r>
            <w:proofErr w:type="spellStart"/>
            <w:r w:rsidRPr="003C3F7E">
              <w:rPr>
                <w:sz w:val="20"/>
              </w:rPr>
              <w:t>Responders</w:t>
            </w:r>
            <w:r w:rsidR="007F02D1">
              <w:rPr>
                <w:sz w:val="20"/>
                <w:vertAlign w:val="superscript"/>
              </w:rPr>
              <w:t>e</w:t>
            </w:r>
            <w:proofErr w:type="spellEnd"/>
          </w:p>
        </w:tc>
      </w:tr>
      <w:tr w:rsidR="00F02665" w:rsidRPr="003C3F7E" w:rsidTr="00B062A9">
        <w:tc>
          <w:tcPr>
            <w:tcW w:w="0" w:type="auto"/>
            <w:vMerge/>
            <w:shd w:val="clear" w:color="auto" w:fill="auto"/>
          </w:tcPr>
          <w:p w:rsidR="00F02665" w:rsidRPr="003C3F7E" w:rsidRDefault="00F02665" w:rsidP="00E67595">
            <w:pPr>
              <w:spacing w:after="0"/>
              <w:jc w:val="left"/>
              <w:rPr>
                <w:sz w:val="20"/>
              </w:rPr>
            </w:pPr>
          </w:p>
        </w:tc>
        <w:tc>
          <w:tcPr>
            <w:tcW w:w="4188" w:type="dxa"/>
            <w:gridSpan w:val="3"/>
            <w:shd w:val="clear" w:color="auto" w:fill="auto"/>
            <w:vAlign w:val="bottom"/>
          </w:tcPr>
          <w:p w:rsidR="00F02665" w:rsidRPr="003C3F7E" w:rsidRDefault="00F02665" w:rsidP="00E67595">
            <w:pPr>
              <w:spacing w:after="0"/>
              <w:jc w:val="center"/>
              <w:rPr>
                <w:sz w:val="20"/>
              </w:rPr>
            </w:pPr>
            <w:r w:rsidRPr="005334E6">
              <w:t>OPAL BROADEN</w:t>
            </w:r>
          </w:p>
        </w:tc>
        <w:tc>
          <w:tcPr>
            <w:tcW w:w="3038" w:type="dxa"/>
            <w:gridSpan w:val="2"/>
            <w:shd w:val="clear" w:color="auto" w:fill="auto"/>
            <w:vAlign w:val="bottom"/>
          </w:tcPr>
          <w:p w:rsidR="00F02665" w:rsidRPr="003C3F7E" w:rsidRDefault="00F02665" w:rsidP="00E67595">
            <w:pPr>
              <w:spacing w:after="0"/>
              <w:jc w:val="center"/>
              <w:rPr>
                <w:sz w:val="20"/>
              </w:rPr>
            </w:pPr>
            <w:r>
              <w:t>OPAL BEYOND</w:t>
            </w:r>
          </w:p>
        </w:tc>
      </w:tr>
      <w:tr w:rsidR="00B062A9" w:rsidRPr="003C3F7E" w:rsidTr="00B062A9">
        <w:tc>
          <w:tcPr>
            <w:tcW w:w="0" w:type="auto"/>
            <w:shd w:val="clear" w:color="auto" w:fill="auto"/>
            <w:vAlign w:val="center"/>
          </w:tcPr>
          <w:p w:rsidR="00B062A9" w:rsidRPr="003C3F7E" w:rsidRDefault="00B062A9" w:rsidP="00572DEB">
            <w:pPr>
              <w:spacing w:after="0"/>
              <w:jc w:val="left"/>
              <w:rPr>
                <w:sz w:val="20"/>
              </w:rPr>
            </w:pPr>
            <w:r w:rsidRPr="003C3F7E">
              <w:rPr>
                <w:sz w:val="20"/>
              </w:rPr>
              <w:t>Treatment Group</w:t>
            </w:r>
          </w:p>
        </w:tc>
        <w:tc>
          <w:tcPr>
            <w:tcW w:w="1069" w:type="dxa"/>
            <w:shd w:val="clear" w:color="auto" w:fill="auto"/>
          </w:tcPr>
          <w:p w:rsidR="00B062A9" w:rsidRPr="003C3F7E" w:rsidRDefault="00B062A9" w:rsidP="00572DEB">
            <w:pPr>
              <w:spacing w:after="0"/>
              <w:jc w:val="center"/>
              <w:rPr>
                <w:sz w:val="20"/>
              </w:rPr>
            </w:pPr>
            <w:r w:rsidRPr="003C3F7E">
              <w:rPr>
                <w:sz w:val="20"/>
              </w:rPr>
              <w:t>Placebo</w:t>
            </w:r>
          </w:p>
        </w:tc>
        <w:tc>
          <w:tcPr>
            <w:tcW w:w="1418" w:type="dxa"/>
            <w:shd w:val="clear" w:color="auto" w:fill="auto"/>
          </w:tcPr>
          <w:p w:rsidR="00B062A9" w:rsidRPr="0071083A" w:rsidRDefault="00B062A9" w:rsidP="00572DEB">
            <w:pPr>
              <w:spacing w:after="0"/>
              <w:jc w:val="center"/>
              <w:rPr>
                <w:sz w:val="20"/>
              </w:rPr>
            </w:pPr>
            <w:r w:rsidRPr="0071083A">
              <w:rPr>
                <w:sz w:val="20"/>
              </w:rPr>
              <w:t xml:space="preserve">XELJANZ 5 mg </w:t>
            </w:r>
            <w:r w:rsidRPr="0071083A">
              <w:rPr>
                <w:rFonts w:eastAsia="Arial Unicode MS"/>
                <w:bCs/>
                <w:sz w:val="20"/>
              </w:rPr>
              <w:t>Twice Daily</w:t>
            </w:r>
          </w:p>
        </w:tc>
        <w:tc>
          <w:tcPr>
            <w:tcW w:w="1701" w:type="dxa"/>
            <w:shd w:val="clear" w:color="auto" w:fill="auto"/>
          </w:tcPr>
          <w:p w:rsidR="00B062A9" w:rsidRPr="0071083A" w:rsidRDefault="00B062A9" w:rsidP="00572DEB">
            <w:pPr>
              <w:spacing w:after="0"/>
              <w:jc w:val="center"/>
              <w:rPr>
                <w:sz w:val="20"/>
              </w:rPr>
            </w:pPr>
            <w:r w:rsidRPr="0071083A">
              <w:rPr>
                <w:sz w:val="20"/>
              </w:rPr>
              <w:t>Adalimumab 40 mg SC q2W</w:t>
            </w:r>
          </w:p>
        </w:tc>
        <w:tc>
          <w:tcPr>
            <w:tcW w:w="1275" w:type="dxa"/>
            <w:shd w:val="clear" w:color="auto" w:fill="auto"/>
          </w:tcPr>
          <w:p w:rsidR="00B062A9" w:rsidRPr="0071083A" w:rsidRDefault="00B062A9" w:rsidP="00572DEB">
            <w:pPr>
              <w:spacing w:after="0"/>
              <w:jc w:val="center"/>
              <w:rPr>
                <w:sz w:val="20"/>
              </w:rPr>
            </w:pPr>
            <w:r w:rsidRPr="0071083A">
              <w:rPr>
                <w:sz w:val="20"/>
              </w:rPr>
              <w:t>Placebo</w:t>
            </w:r>
          </w:p>
        </w:tc>
        <w:tc>
          <w:tcPr>
            <w:tcW w:w="1763" w:type="dxa"/>
            <w:shd w:val="clear" w:color="auto" w:fill="auto"/>
          </w:tcPr>
          <w:p w:rsidR="00B062A9" w:rsidRPr="0071083A" w:rsidRDefault="00B062A9" w:rsidP="00572DEB">
            <w:pPr>
              <w:spacing w:after="0"/>
              <w:jc w:val="center"/>
              <w:rPr>
                <w:sz w:val="20"/>
              </w:rPr>
            </w:pPr>
            <w:r w:rsidRPr="0071083A">
              <w:rPr>
                <w:sz w:val="20"/>
              </w:rPr>
              <w:t xml:space="preserve">XELJANZ 5 mg </w:t>
            </w:r>
            <w:r w:rsidRPr="0071083A">
              <w:rPr>
                <w:rFonts w:eastAsia="Arial Unicode MS"/>
                <w:bCs/>
                <w:sz w:val="20"/>
              </w:rPr>
              <w:t>Twice Daily</w:t>
            </w:r>
          </w:p>
        </w:tc>
      </w:tr>
      <w:tr w:rsidR="00B062A9" w:rsidRPr="003C3F7E" w:rsidTr="00B062A9">
        <w:tc>
          <w:tcPr>
            <w:tcW w:w="0" w:type="auto"/>
            <w:shd w:val="clear" w:color="auto" w:fill="auto"/>
            <w:vAlign w:val="center"/>
          </w:tcPr>
          <w:p w:rsidR="00B062A9" w:rsidRPr="003C3F7E" w:rsidRDefault="00B062A9" w:rsidP="00572DEB">
            <w:pPr>
              <w:spacing w:after="0"/>
              <w:jc w:val="left"/>
              <w:rPr>
                <w:sz w:val="20"/>
              </w:rPr>
            </w:pPr>
            <w:r w:rsidRPr="003C3F7E">
              <w:rPr>
                <w:sz w:val="20"/>
              </w:rPr>
              <w:t>N at Baseline</w:t>
            </w:r>
          </w:p>
        </w:tc>
        <w:tc>
          <w:tcPr>
            <w:tcW w:w="1069" w:type="dxa"/>
            <w:shd w:val="clear" w:color="auto" w:fill="auto"/>
          </w:tcPr>
          <w:p w:rsidR="00B062A9" w:rsidRPr="003C3F7E" w:rsidRDefault="00B062A9" w:rsidP="00572DEB">
            <w:pPr>
              <w:spacing w:after="0"/>
              <w:jc w:val="center"/>
              <w:rPr>
                <w:sz w:val="20"/>
              </w:rPr>
            </w:pPr>
            <w:r w:rsidRPr="003C3F7E">
              <w:rPr>
                <w:sz w:val="20"/>
              </w:rPr>
              <w:t>105</w:t>
            </w:r>
          </w:p>
        </w:tc>
        <w:tc>
          <w:tcPr>
            <w:tcW w:w="1418" w:type="dxa"/>
            <w:shd w:val="clear" w:color="auto" w:fill="auto"/>
          </w:tcPr>
          <w:p w:rsidR="00B062A9" w:rsidRPr="003C3F7E" w:rsidRDefault="00B062A9" w:rsidP="00572DEB">
            <w:pPr>
              <w:spacing w:after="0"/>
              <w:jc w:val="center"/>
              <w:rPr>
                <w:sz w:val="20"/>
              </w:rPr>
            </w:pPr>
            <w:r w:rsidRPr="003C3F7E">
              <w:rPr>
                <w:sz w:val="20"/>
              </w:rPr>
              <w:t>107</w:t>
            </w:r>
          </w:p>
        </w:tc>
        <w:tc>
          <w:tcPr>
            <w:tcW w:w="1701" w:type="dxa"/>
            <w:shd w:val="clear" w:color="auto" w:fill="auto"/>
          </w:tcPr>
          <w:p w:rsidR="00B062A9" w:rsidRPr="003C3F7E" w:rsidRDefault="00B062A9" w:rsidP="00572DEB">
            <w:pPr>
              <w:spacing w:after="0"/>
              <w:jc w:val="center"/>
              <w:rPr>
                <w:sz w:val="20"/>
              </w:rPr>
            </w:pPr>
            <w:r w:rsidRPr="003C3F7E">
              <w:rPr>
                <w:sz w:val="20"/>
              </w:rPr>
              <w:t>106</w:t>
            </w:r>
          </w:p>
        </w:tc>
        <w:tc>
          <w:tcPr>
            <w:tcW w:w="1275" w:type="dxa"/>
            <w:shd w:val="clear" w:color="auto" w:fill="auto"/>
          </w:tcPr>
          <w:p w:rsidR="00B062A9" w:rsidRPr="003C3F7E" w:rsidRDefault="00B062A9" w:rsidP="00572DEB">
            <w:pPr>
              <w:spacing w:after="0"/>
              <w:jc w:val="center"/>
              <w:rPr>
                <w:sz w:val="20"/>
              </w:rPr>
            </w:pPr>
            <w:r w:rsidRPr="003C3F7E">
              <w:rPr>
                <w:sz w:val="20"/>
              </w:rPr>
              <w:t>131</w:t>
            </w:r>
          </w:p>
        </w:tc>
        <w:tc>
          <w:tcPr>
            <w:tcW w:w="1763" w:type="dxa"/>
            <w:shd w:val="clear" w:color="auto" w:fill="auto"/>
          </w:tcPr>
          <w:p w:rsidR="00B062A9" w:rsidRPr="003C3F7E" w:rsidRDefault="00B062A9" w:rsidP="00572DEB">
            <w:pPr>
              <w:spacing w:after="0"/>
              <w:jc w:val="center"/>
              <w:rPr>
                <w:sz w:val="20"/>
              </w:rPr>
            </w:pPr>
            <w:r w:rsidRPr="003C3F7E">
              <w:rPr>
                <w:sz w:val="20"/>
              </w:rPr>
              <w:t>131</w:t>
            </w:r>
          </w:p>
        </w:tc>
      </w:tr>
      <w:tr w:rsidR="00B062A9" w:rsidRPr="003C3F7E" w:rsidTr="00B062A9">
        <w:tc>
          <w:tcPr>
            <w:tcW w:w="0" w:type="auto"/>
            <w:shd w:val="clear" w:color="auto" w:fill="auto"/>
          </w:tcPr>
          <w:p w:rsidR="00B062A9" w:rsidRPr="003C3F7E" w:rsidRDefault="00B062A9" w:rsidP="00572DEB">
            <w:pPr>
              <w:spacing w:after="0"/>
              <w:jc w:val="left"/>
              <w:rPr>
                <w:sz w:val="20"/>
              </w:rPr>
            </w:pPr>
            <w:r w:rsidRPr="003C3F7E">
              <w:rPr>
                <w:sz w:val="20"/>
              </w:rPr>
              <w:t>ACR Component</w:t>
            </w:r>
            <w:r w:rsidRPr="003C3F7E">
              <w:rPr>
                <w:sz w:val="20"/>
                <w:vertAlign w:val="superscript"/>
              </w:rPr>
              <w:t>a</w:t>
            </w:r>
          </w:p>
        </w:tc>
        <w:tc>
          <w:tcPr>
            <w:tcW w:w="1069" w:type="dxa"/>
            <w:shd w:val="clear" w:color="auto" w:fill="auto"/>
          </w:tcPr>
          <w:p w:rsidR="00B062A9" w:rsidRPr="003C3F7E" w:rsidRDefault="00B062A9" w:rsidP="00572DEB">
            <w:pPr>
              <w:spacing w:after="0"/>
              <w:jc w:val="center"/>
              <w:rPr>
                <w:sz w:val="20"/>
              </w:rPr>
            </w:pPr>
          </w:p>
        </w:tc>
        <w:tc>
          <w:tcPr>
            <w:tcW w:w="1418" w:type="dxa"/>
            <w:shd w:val="clear" w:color="auto" w:fill="auto"/>
          </w:tcPr>
          <w:p w:rsidR="00B062A9" w:rsidRPr="003C3F7E" w:rsidRDefault="00B062A9" w:rsidP="00572DEB">
            <w:pPr>
              <w:spacing w:after="0"/>
              <w:jc w:val="center"/>
              <w:rPr>
                <w:sz w:val="20"/>
              </w:rPr>
            </w:pPr>
          </w:p>
        </w:tc>
        <w:tc>
          <w:tcPr>
            <w:tcW w:w="1701" w:type="dxa"/>
            <w:shd w:val="clear" w:color="auto" w:fill="auto"/>
          </w:tcPr>
          <w:p w:rsidR="00B062A9" w:rsidRPr="003C3F7E" w:rsidRDefault="00B062A9" w:rsidP="00572DEB">
            <w:pPr>
              <w:spacing w:after="0"/>
              <w:jc w:val="center"/>
              <w:rPr>
                <w:sz w:val="20"/>
              </w:rPr>
            </w:pPr>
          </w:p>
        </w:tc>
        <w:tc>
          <w:tcPr>
            <w:tcW w:w="1275" w:type="dxa"/>
            <w:shd w:val="clear" w:color="auto" w:fill="auto"/>
          </w:tcPr>
          <w:p w:rsidR="00B062A9" w:rsidRPr="003C3F7E" w:rsidRDefault="00B062A9" w:rsidP="00572DEB">
            <w:pPr>
              <w:spacing w:after="0"/>
              <w:jc w:val="center"/>
              <w:rPr>
                <w:sz w:val="20"/>
              </w:rPr>
            </w:pPr>
          </w:p>
        </w:tc>
        <w:tc>
          <w:tcPr>
            <w:tcW w:w="1763" w:type="dxa"/>
            <w:shd w:val="clear" w:color="auto" w:fill="auto"/>
          </w:tcPr>
          <w:p w:rsidR="00B062A9" w:rsidRPr="003C3F7E" w:rsidRDefault="00B062A9" w:rsidP="00572DEB">
            <w:pPr>
              <w:spacing w:after="0"/>
              <w:jc w:val="center"/>
              <w:rPr>
                <w:sz w:val="20"/>
              </w:rPr>
            </w:pPr>
          </w:p>
        </w:tc>
      </w:tr>
      <w:tr w:rsidR="00B062A9" w:rsidRPr="003C3F7E" w:rsidTr="00B062A9">
        <w:tc>
          <w:tcPr>
            <w:tcW w:w="0" w:type="auto"/>
            <w:shd w:val="clear" w:color="auto" w:fill="auto"/>
          </w:tcPr>
          <w:p w:rsidR="00B062A9" w:rsidRPr="003C3F7E" w:rsidRDefault="00B062A9" w:rsidP="00572DEB">
            <w:pPr>
              <w:spacing w:after="0"/>
              <w:jc w:val="left"/>
              <w:rPr>
                <w:sz w:val="20"/>
              </w:rPr>
            </w:pPr>
            <w:r w:rsidRPr="003C3F7E">
              <w:rPr>
                <w:sz w:val="20"/>
              </w:rPr>
              <w:t>Number of tender/painful joints (0-68)</w:t>
            </w:r>
          </w:p>
          <w:p w:rsidR="00B062A9" w:rsidRPr="003C3F7E" w:rsidRDefault="00B062A9" w:rsidP="00572DEB">
            <w:pPr>
              <w:spacing w:after="0"/>
              <w:jc w:val="left"/>
              <w:rPr>
                <w:sz w:val="20"/>
              </w:rPr>
            </w:pPr>
            <w:r w:rsidRPr="003C3F7E">
              <w:rPr>
                <w:sz w:val="20"/>
              </w:rPr>
              <w:t xml:space="preserve">  Baseline</w:t>
            </w:r>
          </w:p>
          <w:p w:rsidR="00B062A9" w:rsidRPr="003C3F7E" w:rsidRDefault="00B062A9" w:rsidP="00572DEB">
            <w:pPr>
              <w:spacing w:after="0"/>
              <w:jc w:val="left"/>
              <w:rPr>
                <w:sz w:val="20"/>
              </w:rPr>
            </w:pPr>
            <w:r w:rsidRPr="003C3F7E">
              <w:rPr>
                <w:sz w:val="20"/>
              </w:rPr>
              <w:t xml:space="preserve">  Month 3</w:t>
            </w:r>
          </w:p>
        </w:tc>
        <w:tc>
          <w:tcPr>
            <w:tcW w:w="1069"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20.6</w:t>
            </w:r>
          </w:p>
          <w:p w:rsidR="00B062A9" w:rsidRPr="003C3F7E" w:rsidRDefault="00B062A9" w:rsidP="00572DEB">
            <w:pPr>
              <w:spacing w:after="0"/>
              <w:jc w:val="center"/>
              <w:rPr>
                <w:sz w:val="20"/>
              </w:rPr>
            </w:pPr>
            <w:r w:rsidRPr="003C3F7E">
              <w:rPr>
                <w:sz w:val="20"/>
              </w:rPr>
              <w:t>14.6</w:t>
            </w:r>
          </w:p>
        </w:tc>
        <w:tc>
          <w:tcPr>
            <w:tcW w:w="1418"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20.5</w:t>
            </w:r>
          </w:p>
          <w:p w:rsidR="00B062A9" w:rsidRPr="003C3F7E" w:rsidRDefault="00B062A9" w:rsidP="00572DEB">
            <w:pPr>
              <w:spacing w:after="0"/>
              <w:jc w:val="center"/>
              <w:rPr>
                <w:sz w:val="20"/>
              </w:rPr>
            </w:pPr>
            <w:r w:rsidRPr="003C3F7E">
              <w:rPr>
                <w:sz w:val="20"/>
              </w:rPr>
              <w:t>12.2</w:t>
            </w:r>
          </w:p>
        </w:tc>
        <w:tc>
          <w:tcPr>
            <w:tcW w:w="1701"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17.1</w:t>
            </w:r>
          </w:p>
          <w:p w:rsidR="00B062A9" w:rsidRPr="003C3F7E" w:rsidRDefault="00B062A9" w:rsidP="00572DEB">
            <w:pPr>
              <w:spacing w:after="0"/>
              <w:jc w:val="center"/>
              <w:rPr>
                <w:sz w:val="20"/>
              </w:rPr>
            </w:pPr>
            <w:r w:rsidRPr="003C3F7E">
              <w:rPr>
                <w:sz w:val="20"/>
              </w:rPr>
              <w:t>10.8</w:t>
            </w:r>
          </w:p>
        </w:tc>
        <w:tc>
          <w:tcPr>
            <w:tcW w:w="1275"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19.8</w:t>
            </w:r>
          </w:p>
          <w:p w:rsidR="00B062A9" w:rsidRPr="003C3F7E" w:rsidRDefault="00B062A9" w:rsidP="00572DEB">
            <w:pPr>
              <w:spacing w:after="0"/>
              <w:jc w:val="center"/>
              <w:rPr>
                <w:sz w:val="20"/>
              </w:rPr>
            </w:pPr>
            <w:r w:rsidRPr="003C3F7E">
              <w:rPr>
                <w:sz w:val="20"/>
              </w:rPr>
              <w:t>15.1</w:t>
            </w:r>
          </w:p>
        </w:tc>
        <w:tc>
          <w:tcPr>
            <w:tcW w:w="1763"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20.5</w:t>
            </w:r>
          </w:p>
          <w:p w:rsidR="00B062A9" w:rsidRPr="003C3F7E" w:rsidRDefault="00B062A9" w:rsidP="00572DEB">
            <w:pPr>
              <w:spacing w:after="0"/>
              <w:jc w:val="center"/>
              <w:rPr>
                <w:sz w:val="20"/>
              </w:rPr>
            </w:pPr>
            <w:r w:rsidRPr="003C3F7E">
              <w:rPr>
                <w:sz w:val="20"/>
              </w:rPr>
              <w:t>11.5</w:t>
            </w:r>
          </w:p>
        </w:tc>
      </w:tr>
      <w:tr w:rsidR="00B062A9" w:rsidRPr="003C3F7E" w:rsidTr="00B062A9">
        <w:tc>
          <w:tcPr>
            <w:tcW w:w="0" w:type="auto"/>
            <w:shd w:val="clear" w:color="auto" w:fill="auto"/>
          </w:tcPr>
          <w:p w:rsidR="00B062A9" w:rsidRPr="003C3F7E" w:rsidRDefault="00B062A9" w:rsidP="00572DEB">
            <w:pPr>
              <w:spacing w:after="0"/>
              <w:jc w:val="left"/>
              <w:rPr>
                <w:sz w:val="20"/>
              </w:rPr>
            </w:pPr>
            <w:r w:rsidRPr="003C3F7E">
              <w:rPr>
                <w:sz w:val="20"/>
              </w:rPr>
              <w:t>Number of swollen joints (0-66)</w:t>
            </w:r>
          </w:p>
          <w:p w:rsidR="00B062A9" w:rsidRPr="003C3F7E" w:rsidRDefault="00B062A9" w:rsidP="00572DEB">
            <w:pPr>
              <w:spacing w:after="0"/>
              <w:jc w:val="left"/>
              <w:rPr>
                <w:sz w:val="20"/>
              </w:rPr>
            </w:pPr>
            <w:r w:rsidRPr="003C3F7E">
              <w:rPr>
                <w:sz w:val="20"/>
              </w:rPr>
              <w:t xml:space="preserve">  Baseline</w:t>
            </w:r>
          </w:p>
          <w:p w:rsidR="00B062A9" w:rsidRPr="003C3F7E" w:rsidRDefault="00B062A9" w:rsidP="00572DEB">
            <w:pPr>
              <w:spacing w:after="0"/>
              <w:jc w:val="left"/>
              <w:rPr>
                <w:sz w:val="20"/>
              </w:rPr>
            </w:pPr>
            <w:r w:rsidRPr="003C3F7E">
              <w:rPr>
                <w:sz w:val="20"/>
              </w:rPr>
              <w:t xml:space="preserve">  Month 3</w:t>
            </w:r>
          </w:p>
        </w:tc>
        <w:tc>
          <w:tcPr>
            <w:tcW w:w="1069"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11.5</w:t>
            </w:r>
          </w:p>
          <w:p w:rsidR="00B062A9" w:rsidRPr="003C3F7E" w:rsidRDefault="00B062A9" w:rsidP="00572DEB">
            <w:pPr>
              <w:spacing w:after="0"/>
              <w:jc w:val="center"/>
              <w:rPr>
                <w:sz w:val="20"/>
              </w:rPr>
            </w:pPr>
            <w:r w:rsidRPr="003C3F7E">
              <w:rPr>
                <w:sz w:val="20"/>
              </w:rPr>
              <w:t>7.1</w:t>
            </w:r>
          </w:p>
        </w:tc>
        <w:tc>
          <w:tcPr>
            <w:tcW w:w="1418"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12.9</w:t>
            </w:r>
          </w:p>
          <w:p w:rsidR="00B062A9" w:rsidRPr="003C3F7E" w:rsidRDefault="00B062A9" w:rsidP="00572DEB">
            <w:pPr>
              <w:spacing w:after="0"/>
              <w:jc w:val="center"/>
              <w:rPr>
                <w:sz w:val="20"/>
              </w:rPr>
            </w:pPr>
            <w:r w:rsidRPr="003C3F7E">
              <w:rPr>
                <w:sz w:val="20"/>
              </w:rPr>
              <w:t>6.3</w:t>
            </w:r>
          </w:p>
        </w:tc>
        <w:tc>
          <w:tcPr>
            <w:tcW w:w="1701"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9.8</w:t>
            </w:r>
          </w:p>
          <w:p w:rsidR="00B062A9" w:rsidRPr="003C3F7E" w:rsidRDefault="00B062A9" w:rsidP="00572DEB">
            <w:pPr>
              <w:spacing w:after="0"/>
              <w:jc w:val="center"/>
              <w:rPr>
                <w:sz w:val="20"/>
              </w:rPr>
            </w:pPr>
            <w:r w:rsidRPr="003C3F7E">
              <w:rPr>
                <w:sz w:val="20"/>
              </w:rPr>
              <w:t>4.0</w:t>
            </w:r>
          </w:p>
        </w:tc>
        <w:tc>
          <w:tcPr>
            <w:tcW w:w="1275"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10.5</w:t>
            </w:r>
          </w:p>
          <w:p w:rsidR="00B062A9" w:rsidRPr="003C3F7E" w:rsidRDefault="00B062A9" w:rsidP="00572DEB">
            <w:pPr>
              <w:spacing w:after="0"/>
              <w:jc w:val="center"/>
              <w:rPr>
                <w:sz w:val="20"/>
              </w:rPr>
            </w:pPr>
            <w:r w:rsidRPr="003C3F7E">
              <w:rPr>
                <w:sz w:val="20"/>
              </w:rPr>
              <w:t>7.7</w:t>
            </w:r>
          </w:p>
        </w:tc>
        <w:tc>
          <w:tcPr>
            <w:tcW w:w="1763"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12.1</w:t>
            </w:r>
          </w:p>
          <w:p w:rsidR="00B062A9" w:rsidRPr="003C3F7E" w:rsidRDefault="00B062A9" w:rsidP="00572DEB">
            <w:pPr>
              <w:spacing w:after="0"/>
              <w:jc w:val="center"/>
              <w:rPr>
                <w:sz w:val="20"/>
              </w:rPr>
            </w:pPr>
            <w:r w:rsidRPr="003C3F7E">
              <w:rPr>
                <w:sz w:val="20"/>
              </w:rPr>
              <w:t>4.8</w:t>
            </w:r>
          </w:p>
        </w:tc>
      </w:tr>
      <w:tr w:rsidR="00B062A9" w:rsidRPr="003C3F7E" w:rsidTr="00B062A9">
        <w:tc>
          <w:tcPr>
            <w:tcW w:w="0" w:type="auto"/>
            <w:shd w:val="clear" w:color="auto" w:fill="auto"/>
          </w:tcPr>
          <w:p w:rsidR="00B062A9" w:rsidRPr="003C3F7E" w:rsidRDefault="00B062A9" w:rsidP="00572DEB">
            <w:pPr>
              <w:spacing w:after="0"/>
              <w:jc w:val="left"/>
              <w:rPr>
                <w:sz w:val="20"/>
              </w:rPr>
            </w:pPr>
            <w:r w:rsidRPr="003C3F7E">
              <w:rPr>
                <w:sz w:val="20"/>
              </w:rPr>
              <w:t xml:space="preserve">Patient assessment of arthritis </w:t>
            </w:r>
            <w:proofErr w:type="spellStart"/>
            <w:r w:rsidRPr="003C3F7E">
              <w:rPr>
                <w:sz w:val="20"/>
              </w:rPr>
              <w:t>pain</w:t>
            </w:r>
            <w:r w:rsidRPr="003C3F7E">
              <w:rPr>
                <w:sz w:val="20"/>
                <w:vertAlign w:val="superscript"/>
              </w:rPr>
              <w:t>b</w:t>
            </w:r>
            <w:proofErr w:type="spellEnd"/>
          </w:p>
          <w:p w:rsidR="00B062A9" w:rsidRPr="003C3F7E" w:rsidRDefault="00B062A9" w:rsidP="00572DEB">
            <w:pPr>
              <w:spacing w:after="0"/>
              <w:jc w:val="left"/>
              <w:rPr>
                <w:sz w:val="20"/>
              </w:rPr>
            </w:pPr>
            <w:r w:rsidRPr="003C3F7E">
              <w:rPr>
                <w:sz w:val="20"/>
              </w:rPr>
              <w:t xml:space="preserve">  Baseline</w:t>
            </w:r>
          </w:p>
          <w:p w:rsidR="00B062A9" w:rsidRPr="003C3F7E" w:rsidRDefault="00B062A9" w:rsidP="00572DEB">
            <w:pPr>
              <w:spacing w:after="0"/>
              <w:jc w:val="left"/>
              <w:rPr>
                <w:sz w:val="20"/>
              </w:rPr>
            </w:pPr>
            <w:r w:rsidRPr="003C3F7E">
              <w:rPr>
                <w:sz w:val="20"/>
              </w:rPr>
              <w:t xml:space="preserve">  Month 3</w:t>
            </w:r>
          </w:p>
        </w:tc>
        <w:tc>
          <w:tcPr>
            <w:tcW w:w="1069"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53.2</w:t>
            </w:r>
          </w:p>
          <w:p w:rsidR="00B062A9" w:rsidRPr="003C3F7E" w:rsidRDefault="00B062A9" w:rsidP="00572DEB">
            <w:pPr>
              <w:spacing w:after="0"/>
              <w:jc w:val="center"/>
              <w:rPr>
                <w:sz w:val="20"/>
              </w:rPr>
            </w:pPr>
            <w:r w:rsidRPr="003C3F7E">
              <w:rPr>
                <w:sz w:val="20"/>
              </w:rPr>
              <w:t>44.7</w:t>
            </w:r>
          </w:p>
        </w:tc>
        <w:tc>
          <w:tcPr>
            <w:tcW w:w="1418"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55.7</w:t>
            </w:r>
          </w:p>
          <w:p w:rsidR="00B062A9" w:rsidRPr="003C3F7E" w:rsidRDefault="00B062A9" w:rsidP="00572DEB">
            <w:pPr>
              <w:spacing w:after="0"/>
              <w:jc w:val="center"/>
              <w:rPr>
                <w:sz w:val="20"/>
              </w:rPr>
            </w:pPr>
            <w:r w:rsidRPr="003C3F7E">
              <w:rPr>
                <w:sz w:val="20"/>
              </w:rPr>
              <w:t>34.7</w:t>
            </w:r>
          </w:p>
        </w:tc>
        <w:tc>
          <w:tcPr>
            <w:tcW w:w="1701"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50.7</w:t>
            </w:r>
          </w:p>
          <w:p w:rsidR="00B062A9" w:rsidRPr="003C3F7E" w:rsidRDefault="00B062A9" w:rsidP="00572DEB">
            <w:pPr>
              <w:spacing w:after="0"/>
              <w:jc w:val="center"/>
              <w:rPr>
                <w:sz w:val="20"/>
              </w:rPr>
            </w:pPr>
            <w:r w:rsidRPr="003C3F7E">
              <w:rPr>
                <w:sz w:val="20"/>
              </w:rPr>
              <w:t>32.5</w:t>
            </w:r>
          </w:p>
        </w:tc>
        <w:tc>
          <w:tcPr>
            <w:tcW w:w="1275"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54.9</w:t>
            </w:r>
          </w:p>
          <w:p w:rsidR="00B062A9" w:rsidRPr="003C3F7E" w:rsidRDefault="00B062A9" w:rsidP="00572DEB">
            <w:pPr>
              <w:spacing w:after="0"/>
              <w:jc w:val="center"/>
              <w:rPr>
                <w:sz w:val="20"/>
              </w:rPr>
            </w:pPr>
            <w:r w:rsidRPr="003C3F7E">
              <w:rPr>
                <w:sz w:val="20"/>
              </w:rPr>
              <w:t>48.0</w:t>
            </w:r>
          </w:p>
        </w:tc>
        <w:tc>
          <w:tcPr>
            <w:tcW w:w="1763"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56.4</w:t>
            </w:r>
          </w:p>
          <w:p w:rsidR="00B062A9" w:rsidRPr="003C3F7E" w:rsidRDefault="00B062A9" w:rsidP="00572DEB">
            <w:pPr>
              <w:spacing w:after="0"/>
              <w:jc w:val="center"/>
              <w:rPr>
                <w:sz w:val="20"/>
              </w:rPr>
            </w:pPr>
            <w:r w:rsidRPr="003C3F7E">
              <w:rPr>
                <w:sz w:val="20"/>
              </w:rPr>
              <w:t>36.1</w:t>
            </w:r>
          </w:p>
        </w:tc>
      </w:tr>
      <w:tr w:rsidR="00B062A9" w:rsidRPr="003C3F7E" w:rsidTr="00B062A9">
        <w:tc>
          <w:tcPr>
            <w:tcW w:w="0" w:type="auto"/>
            <w:shd w:val="clear" w:color="auto" w:fill="auto"/>
          </w:tcPr>
          <w:p w:rsidR="00B062A9" w:rsidRPr="003C3F7E" w:rsidRDefault="00B062A9" w:rsidP="00572DEB">
            <w:pPr>
              <w:spacing w:after="0"/>
              <w:jc w:val="left"/>
              <w:rPr>
                <w:sz w:val="20"/>
              </w:rPr>
            </w:pPr>
            <w:r w:rsidRPr="003C3F7E">
              <w:rPr>
                <w:sz w:val="20"/>
              </w:rPr>
              <w:t xml:space="preserve">Patient global assessment of </w:t>
            </w:r>
            <w:proofErr w:type="spellStart"/>
            <w:r w:rsidRPr="003C3F7E">
              <w:rPr>
                <w:sz w:val="20"/>
              </w:rPr>
              <w:t>arthritis</w:t>
            </w:r>
            <w:r w:rsidRPr="003C3F7E">
              <w:rPr>
                <w:sz w:val="20"/>
                <w:vertAlign w:val="superscript"/>
              </w:rPr>
              <w:t>b</w:t>
            </w:r>
            <w:proofErr w:type="spellEnd"/>
          </w:p>
          <w:p w:rsidR="00B062A9" w:rsidRPr="003C3F7E" w:rsidRDefault="00B062A9" w:rsidP="00572DEB">
            <w:pPr>
              <w:spacing w:after="0"/>
              <w:jc w:val="left"/>
              <w:rPr>
                <w:sz w:val="20"/>
              </w:rPr>
            </w:pPr>
            <w:r w:rsidRPr="003C3F7E">
              <w:rPr>
                <w:sz w:val="20"/>
              </w:rPr>
              <w:t xml:space="preserve">  Baseline</w:t>
            </w:r>
          </w:p>
          <w:p w:rsidR="00B062A9" w:rsidRPr="003C3F7E" w:rsidRDefault="00B062A9" w:rsidP="00572DEB">
            <w:pPr>
              <w:spacing w:after="0"/>
              <w:jc w:val="left"/>
              <w:rPr>
                <w:sz w:val="20"/>
              </w:rPr>
            </w:pPr>
            <w:r w:rsidRPr="003C3F7E">
              <w:rPr>
                <w:sz w:val="20"/>
              </w:rPr>
              <w:t xml:space="preserve">  Month 3</w:t>
            </w:r>
          </w:p>
        </w:tc>
        <w:tc>
          <w:tcPr>
            <w:tcW w:w="1069"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53.9</w:t>
            </w:r>
          </w:p>
          <w:p w:rsidR="00B062A9" w:rsidRPr="003C3F7E" w:rsidRDefault="00B062A9" w:rsidP="00572DEB">
            <w:pPr>
              <w:spacing w:after="0"/>
              <w:jc w:val="center"/>
              <w:rPr>
                <w:sz w:val="20"/>
              </w:rPr>
            </w:pPr>
            <w:r w:rsidRPr="003C3F7E">
              <w:rPr>
                <w:sz w:val="20"/>
              </w:rPr>
              <w:t>44.4</w:t>
            </w:r>
          </w:p>
        </w:tc>
        <w:tc>
          <w:tcPr>
            <w:tcW w:w="1418"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54.7</w:t>
            </w:r>
          </w:p>
          <w:p w:rsidR="00B062A9" w:rsidRPr="003C3F7E" w:rsidRDefault="00B062A9" w:rsidP="00572DEB">
            <w:pPr>
              <w:spacing w:after="0"/>
              <w:jc w:val="center"/>
              <w:rPr>
                <w:sz w:val="20"/>
              </w:rPr>
            </w:pPr>
            <w:r w:rsidRPr="003C3F7E">
              <w:rPr>
                <w:sz w:val="20"/>
              </w:rPr>
              <w:t>35.5</w:t>
            </w:r>
          </w:p>
        </w:tc>
        <w:tc>
          <w:tcPr>
            <w:tcW w:w="1701"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50.6</w:t>
            </w:r>
          </w:p>
          <w:p w:rsidR="00B062A9" w:rsidRPr="003C3F7E" w:rsidRDefault="00B062A9" w:rsidP="00572DEB">
            <w:pPr>
              <w:spacing w:after="0"/>
              <w:jc w:val="center"/>
              <w:rPr>
                <w:sz w:val="20"/>
              </w:rPr>
            </w:pPr>
            <w:r w:rsidRPr="003C3F7E">
              <w:rPr>
                <w:sz w:val="20"/>
              </w:rPr>
              <w:t>32.9</w:t>
            </w:r>
          </w:p>
        </w:tc>
        <w:tc>
          <w:tcPr>
            <w:tcW w:w="1275"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55.8</w:t>
            </w:r>
          </w:p>
          <w:p w:rsidR="00B062A9" w:rsidRPr="003C3F7E" w:rsidRDefault="00B062A9" w:rsidP="00572DEB">
            <w:pPr>
              <w:spacing w:after="0"/>
              <w:jc w:val="center"/>
              <w:rPr>
                <w:sz w:val="20"/>
              </w:rPr>
            </w:pPr>
            <w:r w:rsidRPr="003C3F7E">
              <w:rPr>
                <w:sz w:val="20"/>
              </w:rPr>
              <w:t>49.2</w:t>
            </w:r>
          </w:p>
        </w:tc>
        <w:tc>
          <w:tcPr>
            <w:tcW w:w="1763"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57.4</w:t>
            </w:r>
          </w:p>
          <w:p w:rsidR="00B062A9" w:rsidRPr="003C3F7E" w:rsidRDefault="00B062A9" w:rsidP="00572DEB">
            <w:pPr>
              <w:spacing w:after="0"/>
              <w:jc w:val="center"/>
              <w:rPr>
                <w:sz w:val="20"/>
              </w:rPr>
            </w:pPr>
            <w:r w:rsidRPr="003C3F7E">
              <w:rPr>
                <w:sz w:val="20"/>
              </w:rPr>
              <w:t>36.9</w:t>
            </w:r>
          </w:p>
        </w:tc>
      </w:tr>
      <w:tr w:rsidR="00B062A9" w:rsidRPr="003C3F7E" w:rsidTr="00B062A9">
        <w:tc>
          <w:tcPr>
            <w:tcW w:w="0" w:type="auto"/>
            <w:shd w:val="clear" w:color="auto" w:fill="auto"/>
          </w:tcPr>
          <w:p w:rsidR="00B062A9" w:rsidRPr="003C3F7E" w:rsidRDefault="00B062A9" w:rsidP="00572DEB">
            <w:pPr>
              <w:spacing w:after="0"/>
              <w:jc w:val="left"/>
              <w:rPr>
                <w:sz w:val="20"/>
              </w:rPr>
            </w:pPr>
            <w:r w:rsidRPr="003C3F7E">
              <w:rPr>
                <w:sz w:val="20"/>
              </w:rPr>
              <w:t>HAQ-</w:t>
            </w:r>
            <w:proofErr w:type="spellStart"/>
            <w:r w:rsidRPr="003C3F7E">
              <w:rPr>
                <w:sz w:val="20"/>
              </w:rPr>
              <w:t>DI</w:t>
            </w:r>
            <w:r w:rsidRPr="003C3F7E">
              <w:rPr>
                <w:sz w:val="20"/>
                <w:vertAlign w:val="superscript"/>
              </w:rPr>
              <w:t>c</w:t>
            </w:r>
            <w:proofErr w:type="spellEnd"/>
          </w:p>
          <w:p w:rsidR="00B062A9" w:rsidRPr="003C3F7E" w:rsidRDefault="00B062A9" w:rsidP="00572DEB">
            <w:pPr>
              <w:spacing w:after="0"/>
              <w:jc w:val="left"/>
              <w:rPr>
                <w:sz w:val="20"/>
              </w:rPr>
            </w:pPr>
            <w:r w:rsidRPr="003C3F7E">
              <w:rPr>
                <w:sz w:val="20"/>
              </w:rPr>
              <w:t xml:space="preserve">  Baseline</w:t>
            </w:r>
          </w:p>
          <w:p w:rsidR="00B062A9" w:rsidRPr="003C3F7E" w:rsidRDefault="00B062A9" w:rsidP="00572DEB">
            <w:pPr>
              <w:spacing w:after="0"/>
              <w:jc w:val="left"/>
              <w:rPr>
                <w:sz w:val="20"/>
              </w:rPr>
            </w:pPr>
            <w:r w:rsidRPr="003C3F7E">
              <w:rPr>
                <w:sz w:val="20"/>
              </w:rPr>
              <w:t xml:space="preserve">  Month 3</w:t>
            </w:r>
          </w:p>
        </w:tc>
        <w:tc>
          <w:tcPr>
            <w:tcW w:w="1069"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1.11</w:t>
            </w:r>
          </w:p>
          <w:p w:rsidR="00B062A9" w:rsidRPr="003C3F7E" w:rsidRDefault="00B062A9" w:rsidP="00572DEB">
            <w:pPr>
              <w:spacing w:after="0"/>
              <w:jc w:val="center"/>
              <w:rPr>
                <w:sz w:val="20"/>
              </w:rPr>
            </w:pPr>
            <w:r w:rsidRPr="003C3F7E">
              <w:rPr>
                <w:sz w:val="20"/>
              </w:rPr>
              <w:t>0.95</w:t>
            </w:r>
          </w:p>
        </w:tc>
        <w:tc>
          <w:tcPr>
            <w:tcW w:w="1418"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1.16</w:t>
            </w:r>
          </w:p>
          <w:p w:rsidR="00B062A9" w:rsidRPr="003C3F7E" w:rsidRDefault="00B062A9" w:rsidP="00572DEB">
            <w:pPr>
              <w:spacing w:after="0"/>
              <w:jc w:val="center"/>
              <w:rPr>
                <w:sz w:val="20"/>
              </w:rPr>
            </w:pPr>
            <w:r w:rsidRPr="003C3F7E">
              <w:rPr>
                <w:sz w:val="20"/>
              </w:rPr>
              <w:t>0.81</w:t>
            </w:r>
          </w:p>
        </w:tc>
        <w:tc>
          <w:tcPr>
            <w:tcW w:w="1701"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1.10</w:t>
            </w:r>
          </w:p>
          <w:p w:rsidR="00B062A9" w:rsidRPr="003C3F7E" w:rsidRDefault="00B062A9" w:rsidP="00572DEB">
            <w:pPr>
              <w:spacing w:after="0"/>
              <w:jc w:val="center"/>
              <w:rPr>
                <w:sz w:val="20"/>
              </w:rPr>
            </w:pPr>
            <w:r w:rsidRPr="003C3F7E">
              <w:rPr>
                <w:sz w:val="20"/>
              </w:rPr>
              <w:t>0.75</w:t>
            </w:r>
          </w:p>
        </w:tc>
        <w:tc>
          <w:tcPr>
            <w:tcW w:w="1275"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1.25</w:t>
            </w:r>
          </w:p>
          <w:p w:rsidR="00B062A9" w:rsidRPr="003C3F7E" w:rsidRDefault="00B062A9" w:rsidP="00572DEB">
            <w:pPr>
              <w:spacing w:after="0"/>
              <w:jc w:val="center"/>
              <w:rPr>
                <w:sz w:val="20"/>
              </w:rPr>
            </w:pPr>
            <w:r w:rsidRPr="003C3F7E">
              <w:rPr>
                <w:sz w:val="20"/>
              </w:rPr>
              <w:t>1.09</w:t>
            </w:r>
          </w:p>
        </w:tc>
        <w:tc>
          <w:tcPr>
            <w:tcW w:w="1763"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1.26</w:t>
            </w:r>
          </w:p>
          <w:p w:rsidR="00B062A9" w:rsidRPr="003C3F7E" w:rsidRDefault="00B062A9" w:rsidP="00572DEB">
            <w:pPr>
              <w:spacing w:after="0"/>
              <w:jc w:val="center"/>
              <w:rPr>
                <w:sz w:val="20"/>
              </w:rPr>
            </w:pPr>
            <w:r w:rsidRPr="003C3F7E">
              <w:rPr>
                <w:sz w:val="20"/>
              </w:rPr>
              <w:t>0.88</w:t>
            </w:r>
          </w:p>
        </w:tc>
      </w:tr>
      <w:tr w:rsidR="00B062A9" w:rsidRPr="003C3F7E" w:rsidTr="00B062A9">
        <w:tc>
          <w:tcPr>
            <w:tcW w:w="0" w:type="auto"/>
            <w:shd w:val="clear" w:color="auto" w:fill="auto"/>
          </w:tcPr>
          <w:p w:rsidR="00B062A9" w:rsidRPr="003C3F7E" w:rsidRDefault="00B062A9" w:rsidP="00572DEB">
            <w:pPr>
              <w:spacing w:after="0"/>
              <w:jc w:val="left"/>
              <w:rPr>
                <w:sz w:val="20"/>
              </w:rPr>
            </w:pPr>
            <w:r w:rsidRPr="003C3F7E">
              <w:rPr>
                <w:sz w:val="20"/>
              </w:rPr>
              <w:t xml:space="preserve">Physician’s Global Assessment of </w:t>
            </w:r>
            <w:proofErr w:type="spellStart"/>
            <w:r w:rsidRPr="003C3F7E">
              <w:rPr>
                <w:sz w:val="20"/>
              </w:rPr>
              <w:t>Arthritis</w:t>
            </w:r>
            <w:r w:rsidRPr="003C3F7E">
              <w:rPr>
                <w:sz w:val="20"/>
                <w:vertAlign w:val="superscript"/>
              </w:rPr>
              <w:t>b</w:t>
            </w:r>
            <w:proofErr w:type="spellEnd"/>
          </w:p>
          <w:p w:rsidR="00B062A9" w:rsidRPr="003C3F7E" w:rsidRDefault="00B062A9" w:rsidP="00572DEB">
            <w:pPr>
              <w:spacing w:after="0"/>
              <w:jc w:val="left"/>
              <w:rPr>
                <w:sz w:val="20"/>
              </w:rPr>
            </w:pPr>
            <w:r w:rsidRPr="003C3F7E">
              <w:rPr>
                <w:sz w:val="20"/>
              </w:rPr>
              <w:t xml:space="preserve">  Baseline</w:t>
            </w:r>
          </w:p>
          <w:p w:rsidR="00B062A9" w:rsidRPr="003C3F7E" w:rsidRDefault="00B062A9" w:rsidP="00572DEB">
            <w:pPr>
              <w:spacing w:after="0"/>
              <w:jc w:val="left"/>
              <w:rPr>
                <w:sz w:val="20"/>
              </w:rPr>
            </w:pPr>
            <w:r w:rsidRPr="003C3F7E">
              <w:rPr>
                <w:sz w:val="20"/>
              </w:rPr>
              <w:t xml:space="preserve">  Month 3</w:t>
            </w:r>
          </w:p>
        </w:tc>
        <w:tc>
          <w:tcPr>
            <w:tcW w:w="1069"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53.8</w:t>
            </w:r>
          </w:p>
          <w:p w:rsidR="00B062A9" w:rsidRPr="003C3F7E" w:rsidRDefault="00B062A9" w:rsidP="00572DEB">
            <w:pPr>
              <w:spacing w:after="0"/>
              <w:jc w:val="center"/>
              <w:rPr>
                <w:sz w:val="20"/>
              </w:rPr>
            </w:pPr>
            <w:r w:rsidRPr="003C3F7E">
              <w:rPr>
                <w:sz w:val="20"/>
              </w:rPr>
              <w:t>35.4</w:t>
            </w:r>
          </w:p>
        </w:tc>
        <w:tc>
          <w:tcPr>
            <w:tcW w:w="1418"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54.6</w:t>
            </w:r>
          </w:p>
          <w:p w:rsidR="00B062A9" w:rsidRPr="003C3F7E" w:rsidRDefault="00B062A9" w:rsidP="00572DEB">
            <w:pPr>
              <w:spacing w:after="0"/>
              <w:jc w:val="center"/>
              <w:rPr>
                <w:sz w:val="20"/>
              </w:rPr>
            </w:pPr>
            <w:r w:rsidRPr="003C3F7E">
              <w:rPr>
                <w:sz w:val="20"/>
              </w:rPr>
              <w:t>29.5</w:t>
            </w:r>
          </w:p>
        </w:tc>
        <w:tc>
          <w:tcPr>
            <w:tcW w:w="1701"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50.5</w:t>
            </w:r>
          </w:p>
          <w:p w:rsidR="00B062A9" w:rsidRPr="003C3F7E" w:rsidRDefault="00B062A9" w:rsidP="00572DEB">
            <w:pPr>
              <w:spacing w:after="0"/>
              <w:jc w:val="center"/>
              <w:rPr>
                <w:sz w:val="20"/>
              </w:rPr>
            </w:pPr>
            <w:r w:rsidRPr="003C3F7E">
              <w:rPr>
                <w:sz w:val="20"/>
              </w:rPr>
              <w:t>26.3</w:t>
            </w:r>
          </w:p>
        </w:tc>
        <w:tc>
          <w:tcPr>
            <w:tcW w:w="1275"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53.7</w:t>
            </w:r>
          </w:p>
          <w:p w:rsidR="00B062A9" w:rsidRPr="003C3F7E" w:rsidRDefault="00B062A9" w:rsidP="00572DEB">
            <w:pPr>
              <w:spacing w:after="0"/>
              <w:jc w:val="center"/>
              <w:rPr>
                <w:sz w:val="20"/>
              </w:rPr>
            </w:pPr>
            <w:r w:rsidRPr="003C3F7E">
              <w:rPr>
                <w:sz w:val="20"/>
              </w:rPr>
              <w:t>36.4</w:t>
            </w:r>
          </w:p>
        </w:tc>
        <w:tc>
          <w:tcPr>
            <w:tcW w:w="1763"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53.5</w:t>
            </w:r>
          </w:p>
          <w:p w:rsidR="00B062A9" w:rsidRPr="003C3F7E" w:rsidRDefault="00B062A9" w:rsidP="00572DEB">
            <w:pPr>
              <w:spacing w:after="0"/>
              <w:jc w:val="center"/>
              <w:rPr>
                <w:sz w:val="20"/>
              </w:rPr>
            </w:pPr>
            <w:r w:rsidRPr="003C3F7E">
              <w:rPr>
                <w:sz w:val="20"/>
              </w:rPr>
              <w:t>27.0</w:t>
            </w:r>
          </w:p>
        </w:tc>
      </w:tr>
      <w:tr w:rsidR="00B062A9" w:rsidRPr="003C3F7E" w:rsidTr="00B062A9">
        <w:tc>
          <w:tcPr>
            <w:tcW w:w="0" w:type="auto"/>
            <w:shd w:val="clear" w:color="auto" w:fill="auto"/>
          </w:tcPr>
          <w:p w:rsidR="00B062A9" w:rsidRPr="003C3F7E" w:rsidRDefault="00B062A9" w:rsidP="00572DEB">
            <w:pPr>
              <w:spacing w:after="0"/>
              <w:jc w:val="left"/>
              <w:rPr>
                <w:sz w:val="20"/>
              </w:rPr>
            </w:pPr>
            <w:r w:rsidRPr="003C3F7E">
              <w:rPr>
                <w:sz w:val="20"/>
              </w:rPr>
              <w:t>CRP (mg/L)</w:t>
            </w:r>
          </w:p>
          <w:p w:rsidR="00B062A9" w:rsidRPr="003C3F7E" w:rsidRDefault="00B062A9" w:rsidP="00572DEB">
            <w:pPr>
              <w:spacing w:after="0"/>
              <w:jc w:val="left"/>
              <w:rPr>
                <w:sz w:val="20"/>
              </w:rPr>
            </w:pPr>
            <w:r w:rsidRPr="003C3F7E">
              <w:rPr>
                <w:sz w:val="20"/>
              </w:rPr>
              <w:t xml:space="preserve">  Baseline</w:t>
            </w:r>
          </w:p>
          <w:p w:rsidR="00B062A9" w:rsidRPr="003C3F7E" w:rsidRDefault="00B062A9" w:rsidP="00572DEB">
            <w:pPr>
              <w:spacing w:after="0"/>
              <w:jc w:val="left"/>
              <w:rPr>
                <w:sz w:val="20"/>
              </w:rPr>
            </w:pPr>
            <w:r w:rsidRPr="003C3F7E">
              <w:rPr>
                <w:sz w:val="20"/>
              </w:rPr>
              <w:t xml:space="preserve">  Month 3</w:t>
            </w:r>
          </w:p>
        </w:tc>
        <w:tc>
          <w:tcPr>
            <w:tcW w:w="1069"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7E7349">
              <w:rPr>
                <w:sz w:val="20"/>
              </w:rPr>
              <w:t>10.4</w:t>
            </w:r>
          </w:p>
          <w:p w:rsidR="00B062A9" w:rsidRPr="003C3F7E" w:rsidRDefault="00B062A9" w:rsidP="00572DEB">
            <w:pPr>
              <w:spacing w:after="0"/>
              <w:jc w:val="center"/>
              <w:rPr>
                <w:sz w:val="20"/>
              </w:rPr>
            </w:pPr>
            <w:r w:rsidRPr="003C3F7E">
              <w:rPr>
                <w:sz w:val="20"/>
              </w:rPr>
              <w:t>8.60</w:t>
            </w:r>
          </w:p>
        </w:tc>
        <w:tc>
          <w:tcPr>
            <w:tcW w:w="1418"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10.</w:t>
            </w:r>
            <w:r>
              <w:rPr>
                <w:sz w:val="20"/>
              </w:rPr>
              <w:t>5</w:t>
            </w:r>
          </w:p>
          <w:p w:rsidR="00B062A9" w:rsidRPr="003C3F7E" w:rsidRDefault="00B062A9" w:rsidP="00572DEB">
            <w:pPr>
              <w:spacing w:after="0"/>
              <w:jc w:val="center"/>
              <w:rPr>
                <w:sz w:val="20"/>
              </w:rPr>
            </w:pPr>
            <w:r w:rsidRPr="003C3F7E">
              <w:rPr>
                <w:sz w:val="20"/>
              </w:rPr>
              <w:t>4.02</w:t>
            </w:r>
          </w:p>
        </w:tc>
        <w:tc>
          <w:tcPr>
            <w:tcW w:w="1701"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14.</w:t>
            </w:r>
            <w:r>
              <w:rPr>
                <w:sz w:val="20"/>
              </w:rPr>
              <w:t>3</w:t>
            </w:r>
          </w:p>
          <w:p w:rsidR="00B062A9" w:rsidRPr="003C3F7E" w:rsidRDefault="00B062A9" w:rsidP="00572DEB">
            <w:pPr>
              <w:spacing w:after="0"/>
              <w:jc w:val="center"/>
              <w:rPr>
                <w:sz w:val="20"/>
              </w:rPr>
            </w:pPr>
            <w:r w:rsidRPr="003C3F7E">
              <w:rPr>
                <w:sz w:val="20"/>
              </w:rPr>
              <w:t>3.10</w:t>
            </w:r>
          </w:p>
        </w:tc>
        <w:tc>
          <w:tcPr>
            <w:tcW w:w="1275"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12.1</w:t>
            </w:r>
          </w:p>
          <w:p w:rsidR="00B062A9" w:rsidRPr="003C3F7E" w:rsidRDefault="00B062A9" w:rsidP="00572DEB">
            <w:pPr>
              <w:spacing w:after="0"/>
              <w:jc w:val="center"/>
              <w:rPr>
                <w:sz w:val="20"/>
              </w:rPr>
            </w:pPr>
            <w:r w:rsidRPr="003C3F7E">
              <w:rPr>
                <w:sz w:val="20"/>
              </w:rPr>
              <w:t>11.44</w:t>
            </w:r>
          </w:p>
        </w:tc>
        <w:tc>
          <w:tcPr>
            <w:tcW w:w="1763" w:type="dxa"/>
            <w:shd w:val="clear" w:color="auto" w:fill="auto"/>
          </w:tcPr>
          <w:p w:rsidR="00B062A9" w:rsidRPr="003C3F7E" w:rsidRDefault="00B062A9" w:rsidP="00572DEB">
            <w:pPr>
              <w:spacing w:after="0"/>
              <w:jc w:val="center"/>
              <w:rPr>
                <w:sz w:val="20"/>
              </w:rPr>
            </w:pPr>
          </w:p>
          <w:p w:rsidR="00B062A9" w:rsidRPr="003C3F7E" w:rsidRDefault="00B062A9" w:rsidP="00572DEB">
            <w:pPr>
              <w:spacing w:after="0"/>
              <w:jc w:val="center"/>
              <w:rPr>
                <w:sz w:val="20"/>
              </w:rPr>
            </w:pPr>
            <w:r w:rsidRPr="003C3F7E">
              <w:rPr>
                <w:sz w:val="20"/>
              </w:rPr>
              <w:t>13.</w:t>
            </w:r>
            <w:r>
              <w:rPr>
                <w:sz w:val="20"/>
              </w:rPr>
              <w:t>8</w:t>
            </w:r>
          </w:p>
          <w:p w:rsidR="00B062A9" w:rsidRPr="003C3F7E" w:rsidRDefault="00B062A9" w:rsidP="00572DEB">
            <w:pPr>
              <w:spacing w:after="0"/>
              <w:jc w:val="center"/>
              <w:rPr>
                <w:sz w:val="20"/>
              </w:rPr>
            </w:pPr>
            <w:r w:rsidRPr="003C3F7E">
              <w:rPr>
                <w:sz w:val="20"/>
              </w:rPr>
              <w:t>7.72</w:t>
            </w:r>
          </w:p>
        </w:tc>
      </w:tr>
    </w:tbl>
    <w:p w:rsidR="002D0B87" w:rsidRDefault="002D0B87" w:rsidP="00572DEB">
      <w:pPr>
        <w:spacing w:after="0"/>
        <w:rPr>
          <w:sz w:val="20"/>
          <w:vertAlign w:val="superscript"/>
        </w:rPr>
      </w:pPr>
      <w:r w:rsidRPr="00F654E2">
        <w:rPr>
          <w:rFonts w:eastAsia="MS Mincho"/>
          <w:sz w:val="18"/>
          <w:lang w:eastAsia="ja-JP"/>
        </w:rPr>
        <w:lastRenderedPageBreak/>
        <w:t>Abbreviations:</w:t>
      </w:r>
      <w:r>
        <w:rPr>
          <w:rFonts w:eastAsia="MS Mincho"/>
          <w:sz w:val="18"/>
          <w:lang w:eastAsia="ja-JP"/>
        </w:rPr>
        <w:t xml:space="preserve"> </w:t>
      </w:r>
      <w:r w:rsidRPr="002F260B">
        <w:rPr>
          <w:rFonts w:eastAsia="MS Mincho"/>
          <w:sz w:val="18"/>
          <w:lang w:eastAsia="ja-JP"/>
        </w:rPr>
        <w:t>ACR=American College of Rheumatology;</w:t>
      </w:r>
      <w:r w:rsidRPr="00F654E2">
        <w:rPr>
          <w:rFonts w:eastAsia="MS Mincho"/>
          <w:sz w:val="18"/>
          <w:lang w:eastAsia="ja-JP"/>
        </w:rPr>
        <w:t xml:space="preserve"> </w:t>
      </w:r>
      <w:proofErr w:type="spellStart"/>
      <w:r w:rsidRPr="002F260B">
        <w:rPr>
          <w:rFonts w:eastAsia="MS Mincho"/>
          <w:sz w:val="18"/>
          <w:lang w:eastAsia="ja-JP"/>
        </w:rPr>
        <w:t>csDMARD</w:t>
      </w:r>
      <w:proofErr w:type="spellEnd"/>
      <w:r w:rsidRPr="002F260B">
        <w:rPr>
          <w:rFonts w:eastAsia="MS Mincho"/>
          <w:sz w:val="18"/>
          <w:lang w:eastAsia="ja-JP"/>
        </w:rPr>
        <w:t>=conventional synthetic disease</w:t>
      </w:r>
      <w:r w:rsidRPr="002F260B">
        <w:rPr>
          <w:rFonts w:eastAsia="MS Mincho"/>
          <w:sz w:val="18"/>
          <w:lang w:eastAsia="ja-JP"/>
        </w:rPr>
        <w:noBreakHyphen/>
        <w:t xml:space="preserve">modifying </w:t>
      </w:r>
      <w:proofErr w:type="spellStart"/>
      <w:r w:rsidRPr="002F260B">
        <w:rPr>
          <w:rFonts w:eastAsia="MS Mincho"/>
          <w:sz w:val="18"/>
          <w:lang w:eastAsia="ja-JP"/>
        </w:rPr>
        <w:t>antirheumatic</w:t>
      </w:r>
      <w:proofErr w:type="spellEnd"/>
      <w:r w:rsidRPr="002F260B">
        <w:rPr>
          <w:rFonts w:eastAsia="MS Mincho"/>
          <w:sz w:val="18"/>
          <w:lang w:eastAsia="ja-JP"/>
        </w:rPr>
        <w:t xml:space="preserve"> drug;</w:t>
      </w:r>
      <w:r w:rsidRPr="00F654E2">
        <w:rPr>
          <w:rFonts w:eastAsia="MS Mincho"/>
          <w:sz w:val="18"/>
          <w:lang w:eastAsia="ja-JP"/>
        </w:rPr>
        <w:t xml:space="preserve"> </w:t>
      </w:r>
      <w:r w:rsidRPr="002F260B">
        <w:rPr>
          <w:rFonts w:eastAsia="MS Mincho"/>
          <w:sz w:val="18"/>
          <w:lang w:eastAsia="ja-JP"/>
        </w:rPr>
        <w:t>N=number of randomised and treated patients</w:t>
      </w:r>
      <w:r w:rsidRPr="00F654E2">
        <w:rPr>
          <w:rFonts w:eastAsia="MS Mincho"/>
          <w:sz w:val="18"/>
          <w:lang w:eastAsia="ja-JP"/>
        </w:rPr>
        <w:t xml:space="preserve">; </w:t>
      </w:r>
      <w:r w:rsidRPr="002F260B">
        <w:rPr>
          <w:sz w:val="18"/>
          <w:lang w:eastAsia="ja-JP"/>
        </w:rPr>
        <w:t>SC q2w=subcutaneously once every 2 weeks;</w:t>
      </w:r>
      <w:r w:rsidRPr="00F654E2">
        <w:rPr>
          <w:rFonts w:eastAsia="MS Mincho"/>
          <w:sz w:val="18"/>
          <w:lang w:eastAsia="ja-JP"/>
        </w:rPr>
        <w:t xml:space="preserve"> </w:t>
      </w:r>
      <w:proofErr w:type="spellStart"/>
      <w:r w:rsidRPr="002F260B">
        <w:rPr>
          <w:rFonts w:eastAsia="MS Mincho"/>
          <w:sz w:val="18"/>
          <w:lang w:eastAsia="ja-JP"/>
        </w:rPr>
        <w:t>TNFi</w:t>
      </w:r>
      <w:proofErr w:type="spellEnd"/>
      <w:r w:rsidRPr="002F260B">
        <w:rPr>
          <w:rFonts w:eastAsia="MS Mincho"/>
          <w:sz w:val="18"/>
          <w:lang w:eastAsia="ja-JP"/>
        </w:rPr>
        <w:t>=tumour necrosis factor inhibitor</w:t>
      </w:r>
      <w:r>
        <w:rPr>
          <w:rFonts w:eastAsia="MS Mincho"/>
          <w:sz w:val="18"/>
          <w:lang w:eastAsia="ja-JP"/>
        </w:rPr>
        <w:t xml:space="preserve">; </w:t>
      </w:r>
      <w:r w:rsidRPr="002F260B">
        <w:rPr>
          <w:rFonts w:eastAsia="MS Mincho"/>
          <w:sz w:val="18"/>
          <w:lang w:eastAsia="ja-JP"/>
        </w:rPr>
        <w:t>CRP=C-reactive protein</w:t>
      </w:r>
    </w:p>
    <w:p w:rsidR="00F02665" w:rsidRPr="003C3F7E" w:rsidRDefault="00F02665" w:rsidP="00572DEB">
      <w:pPr>
        <w:spacing w:after="0"/>
        <w:rPr>
          <w:sz w:val="20"/>
        </w:rPr>
      </w:pPr>
      <w:proofErr w:type="gramStart"/>
      <w:r w:rsidRPr="003C3F7E">
        <w:rPr>
          <w:sz w:val="20"/>
          <w:vertAlign w:val="superscript"/>
        </w:rPr>
        <w:t>a</w:t>
      </w:r>
      <w:proofErr w:type="gramEnd"/>
      <w:r w:rsidRPr="003C3F7E">
        <w:rPr>
          <w:sz w:val="20"/>
        </w:rPr>
        <w:t xml:space="preserve"> Data shown are mean value at baseline and at Month 3</w:t>
      </w:r>
    </w:p>
    <w:p w:rsidR="00F02665" w:rsidRPr="003C3F7E" w:rsidRDefault="00F02665" w:rsidP="00572DEB">
      <w:pPr>
        <w:spacing w:after="0"/>
        <w:rPr>
          <w:sz w:val="20"/>
        </w:rPr>
      </w:pPr>
      <w:proofErr w:type="gramStart"/>
      <w:r w:rsidRPr="003C3F7E">
        <w:rPr>
          <w:sz w:val="20"/>
          <w:vertAlign w:val="superscript"/>
        </w:rPr>
        <w:t>b</w:t>
      </w:r>
      <w:proofErr w:type="gramEnd"/>
      <w:r w:rsidRPr="003C3F7E">
        <w:rPr>
          <w:sz w:val="20"/>
        </w:rPr>
        <w:t xml:space="preserve"> Visual </w:t>
      </w:r>
      <w:proofErr w:type="spellStart"/>
      <w:r w:rsidRPr="003C3F7E">
        <w:rPr>
          <w:sz w:val="20"/>
        </w:rPr>
        <w:t>analog</w:t>
      </w:r>
      <w:proofErr w:type="spellEnd"/>
      <w:r w:rsidRPr="003C3F7E">
        <w:rPr>
          <w:sz w:val="20"/>
        </w:rPr>
        <w:t xml:space="preserve"> scale (VAS): 0 = best, 100 = worst</w:t>
      </w:r>
    </w:p>
    <w:p w:rsidR="00F02665" w:rsidRDefault="00F02665" w:rsidP="00572DEB">
      <w:pPr>
        <w:spacing w:after="0"/>
        <w:rPr>
          <w:sz w:val="20"/>
        </w:rPr>
      </w:pPr>
      <w:proofErr w:type="gramStart"/>
      <w:r w:rsidRPr="003C3F7E">
        <w:rPr>
          <w:sz w:val="20"/>
          <w:vertAlign w:val="superscript"/>
        </w:rPr>
        <w:t>c</w:t>
      </w:r>
      <w:proofErr w:type="gramEnd"/>
      <w:r w:rsidRPr="003C3F7E">
        <w:rPr>
          <w:sz w:val="20"/>
        </w:rPr>
        <w:t xml:space="preserve"> HAQ-DI = Health Assessment Questionnaire – Disability Index: 0 = best, 3 = worst; 20 questions; categories: dressing and grooming, arising, eating, walking, hygie</w:t>
      </w:r>
      <w:r>
        <w:rPr>
          <w:sz w:val="20"/>
        </w:rPr>
        <w:t>ne, reach, grip, and activities</w:t>
      </w:r>
    </w:p>
    <w:p w:rsidR="007F02D1" w:rsidRPr="00572DEB" w:rsidRDefault="007F02D1" w:rsidP="00572DEB">
      <w:pPr>
        <w:tabs>
          <w:tab w:val="left" w:pos="180"/>
        </w:tabs>
        <w:spacing w:after="0"/>
        <w:rPr>
          <w:sz w:val="20"/>
        </w:rPr>
      </w:pPr>
      <w:proofErr w:type="gramStart"/>
      <w:r w:rsidRPr="00572DEB">
        <w:rPr>
          <w:sz w:val="20"/>
          <w:vertAlign w:val="superscript"/>
        </w:rPr>
        <w:t>d</w:t>
      </w:r>
      <w:proofErr w:type="gramEnd"/>
      <w:r w:rsidRPr="00572DEB">
        <w:rPr>
          <w:sz w:val="20"/>
          <w:vertAlign w:val="superscript"/>
        </w:rPr>
        <w:tab/>
      </w:r>
      <w:r w:rsidRPr="00572DEB">
        <w:rPr>
          <w:sz w:val="20"/>
        </w:rPr>
        <w:t xml:space="preserve">Inadequate response to at least 1 </w:t>
      </w:r>
      <w:proofErr w:type="spellStart"/>
      <w:r w:rsidRPr="00572DEB">
        <w:rPr>
          <w:sz w:val="20"/>
        </w:rPr>
        <w:t>csDMARD</w:t>
      </w:r>
      <w:proofErr w:type="spellEnd"/>
      <w:r w:rsidRPr="00572DEB">
        <w:rPr>
          <w:sz w:val="20"/>
        </w:rPr>
        <w:t xml:space="preserve"> due to lack of efficacy and/or intolerability.</w:t>
      </w:r>
    </w:p>
    <w:p w:rsidR="007F02D1" w:rsidRPr="007F02D1" w:rsidRDefault="007F02D1" w:rsidP="00572DEB">
      <w:pPr>
        <w:tabs>
          <w:tab w:val="left" w:pos="180"/>
        </w:tabs>
        <w:spacing w:after="0"/>
        <w:rPr>
          <w:sz w:val="20"/>
        </w:rPr>
      </w:pPr>
      <w:proofErr w:type="gramStart"/>
      <w:r w:rsidRPr="00572DEB">
        <w:rPr>
          <w:sz w:val="20"/>
          <w:vertAlign w:val="superscript"/>
        </w:rPr>
        <w:t>e</w:t>
      </w:r>
      <w:proofErr w:type="gramEnd"/>
      <w:r w:rsidRPr="00572DEB">
        <w:rPr>
          <w:sz w:val="20"/>
          <w:vertAlign w:val="superscript"/>
        </w:rPr>
        <w:tab/>
      </w:r>
      <w:r w:rsidRPr="00572DEB">
        <w:rPr>
          <w:sz w:val="20"/>
        </w:rPr>
        <w:t xml:space="preserve">Inadequate response to at least 1 </w:t>
      </w:r>
      <w:proofErr w:type="spellStart"/>
      <w:r w:rsidRPr="00572DEB">
        <w:rPr>
          <w:sz w:val="20"/>
        </w:rPr>
        <w:t>TNFi</w:t>
      </w:r>
      <w:proofErr w:type="spellEnd"/>
      <w:r w:rsidRPr="00572DEB">
        <w:rPr>
          <w:sz w:val="20"/>
        </w:rPr>
        <w:t xml:space="preserve"> due to lack of efficacy and/or intolerability.</w:t>
      </w:r>
    </w:p>
    <w:p w:rsidR="007F02D1" w:rsidRDefault="007F02D1" w:rsidP="00F02665">
      <w:pPr>
        <w:keepNext/>
        <w:rPr>
          <w:sz w:val="20"/>
        </w:rPr>
      </w:pPr>
    </w:p>
    <w:p w:rsidR="00F02665" w:rsidRPr="00D35150" w:rsidRDefault="001E7379" w:rsidP="00F02665">
      <w:r>
        <w:rPr>
          <w:lang w:val="en-US"/>
        </w:rPr>
        <w:t>ACR20 response rates for patients receiving tofacitinib 5 mg twice daily were statistically significantly higher than those receiving placebo as early as Week 2 (first post-baseline assessment)</w:t>
      </w:r>
      <w:r w:rsidR="00F02665">
        <w:t>.</w:t>
      </w:r>
    </w:p>
    <w:p w:rsidR="00F02665" w:rsidRPr="00E15B1A" w:rsidRDefault="00F02665" w:rsidP="00F02665">
      <w:pPr>
        <w:rPr>
          <w:szCs w:val="24"/>
        </w:rPr>
      </w:pPr>
      <w:r w:rsidRPr="004569AC">
        <w:rPr>
          <w:szCs w:val="24"/>
        </w:rPr>
        <w:t xml:space="preserve">ACR response rates, as well as </w:t>
      </w:r>
      <w:r w:rsidRPr="00601222">
        <w:rPr>
          <w:szCs w:val="24"/>
        </w:rPr>
        <w:t>effects on other endpoints (</w:t>
      </w:r>
      <w:r w:rsidR="00A36797">
        <w:rPr>
          <w:szCs w:val="24"/>
        </w:rPr>
        <w:t>skin manifestation</w:t>
      </w:r>
      <w:r w:rsidR="001E7379">
        <w:rPr>
          <w:szCs w:val="24"/>
        </w:rPr>
        <w:t>s</w:t>
      </w:r>
      <w:r w:rsidR="00A36797">
        <w:rPr>
          <w:szCs w:val="24"/>
        </w:rPr>
        <w:t xml:space="preserve">, </w:t>
      </w:r>
      <w:proofErr w:type="spellStart"/>
      <w:r w:rsidRPr="00601222">
        <w:rPr>
          <w:szCs w:val="24"/>
        </w:rPr>
        <w:t>enthesitis</w:t>
      </w:r>
      <w:proofErr w:type="spellEnd"/>
      <w:r w:rsidRPr="00601222">
        <w:rPr>
          <w:szCs w:val="24"/>
        </w:rPr>
        <w:t xml:space="preserve"> and </w:t>
      </w:r>
      <w:proofErr w:type="spellStart"/>
      <w:r w:rsidRPr="00601222">
        <w:rPr>
          <w:szCs w:val="24"/>
        </w:rPr>
        <w:t>dactylitis</w:t>
      </w:r>
      <w:proofErr w:type="spellEnd"/>
      <w:r w:rsidRPr="00601222">
        <w:rPr>
          <w:szCs w:val="24"/>
        </w:rPr>
        <w:t>) continued to improve or were maintained through Month 6 (</w:t>
      </w:r>
      <w:r w:rsidRPr="00E15B1A">
        <w:rPr>
          <w:szCs w:val="24"/>
        </w:rPr>
        <w:t>OPAL BROADEN and OPAL BEYOND) and Month 12 (OPAL BROADEN).</w:t>
      </w:r>
    </w:p>
    <w:p w:rsidR="00F02665" w:rsidRPr="000C5433" w:rsidRDefault="00F02665" w:rsidP="00F02665">
      <w:pPr>
        <w:rPr>
          <w:szCs w:val="22"/>
        </w:rPr>
      </w:pPr>
      <w:r w:rsidRPr="008D6AC1">
        <w:rPr>
          <w:szCs w:val="22"/>
        </w:rPr>
        <w:t xml:space="preserve">In </w:t>
      </w:r>
      <w:r>
        <w:t>OPAL BROADEN</w:t>
      </w:r>
      <w:r w:rsidRPr="008D6AC1">
        <w:rPr>
          <w:szCs w:val="22"/>
        </w:rPr>
        <w:t xml:space="preserve">, resolution of </w:t>
      </w:r>
      <w:proofErr w:type="spellStart"/>
      <w:r w:rsidRPr="008D6AC1">
        <w:rPr>
          <w:szCs w:val="22"/>
        </w:rPr>
        <w:t>enthesitis</w:t>
      </w:r>
      <w:proofErr w:type="spellEnd"/>
      <w:r w:rsidRPr="008D6AC1">
        <w:rPr>
          <w:szCs w:val="22"/>
        </w:rPr>
        <w:t xml:space="preserve"> at Month 3 occurred in 33.3%, 47.4%, and 21.5% of patients on XELJANZ 5 mg twice daily, adalimumab 40 mg subcutaneously once every 2 weeks, and placebo, respectively.</w:t>
      </w:r>
      <w:r w:rsidRPr="002F1916">
        <w:t xml:space="preserve"> </w:t>
      </w:r>
      <w:r w:rsidRPr="008D6AC1">
        <w:rPr>
          <w:szCs w:val="22"/>
        </w:rPr>
        <w:t xml:space="preserve">In </w:t>
      </w:r>
      <w:r w:rsidRPr="00E15B1A">
        <w:rPr>
          <w:szCs w:val="24"/>
        </w:rPr>
        <w:t>OPAL BEYOND</w:t>
      </w:r>
      <w:r w:rsidRPr="008D6AC1">
        <w:rPr>
          <w:szCs w:val="22"/>
        </w:rPr>
        <w:t xml:space="preserve">, resolution of </w:t>
      </w:r>
      <w:proofErr w:type="spellStart"/>
      <w:r w:rsidRPr="008D6AC1">
        <w:rPr>
          <w:szCs w:val="22"/>
        </w:rPr>
        <w:t>enthesitis</w:t>
      </w:r>
      <w:proofErr w:type="spellEnd"/>
      <w:r w:rsidRPr="008D6AC1">
        <w:rPr>
          <w:szCs w:val="22"/>
        </w:rPr>
        <w:t xml:space="preserve"> </w:t>
      </w:r>
      <w:r>
        <w:rPr>
          <w:szCs w:val="22"/>
        </w:rPr>
        <w:t xml:space="preserve">at Month 3 </w:t>
      </w:r>
      <w:r w:rsidRPr="008D6AC1">
        <w:rPr>
          <w:szCs w:val="22"/>
        </w:rPr>
        <w:t xml:space="preserve">occurred in </w:t>
      </w:r>
      <w:r>
        <w:rPr>
          <w:szCs w:val="22"/>
        </w:rPr>
        <w:t>39.8</w:t>
      </w:r>
      <w:r w:rsidRPr="008D6AC1">
        <w:rPr>
          <w:szCs w:val="22"/>
        </w:rPr>
        <w:t xml:space="preserve">% and </w:t>
      </w:r>
      <w:r>
        <w:rPr>
          <w:szCs w:val="22"/>
        </w:rPr>
        <w:t>21.6</w:t>
      </w:r>
      <w:r w:rsidRPr="008D6AC1">
        <w:rPr>
          <w:szCs w:val="22"/>
        </w:rPr>
        <w:t>% of patients on XELJANZ 5 mg twice daily</w:t>
      </w:r>
      <w:r w:rsidR="004F17C1">
        <w:rPr>
          <w:szCs w:val="22"/>
        </w:rPr>
        <w:t xml:space="preserve"> </w:t>
      </w:r>
      <w:r w:rsidRPr="008D6AC1">
        <w:rPr>
          <w:szCs w:val="22"/>
        </w:rPr>
        <w:t>and placebo, respectively.</w:t>
      </w:r>
    </w:p>
    <w:p w:rsidR="00F02665" w:rsidRPr="000C5433" w:rsidRDefault="00F02665" w:rsidP="00F02665">
      <w:pPr>
        <w:rPr>
          <w:szCs w:val="22"/>
        </w:rPr>
      </w:pPr>
      <w:r w:rsidRPr="008D6AC1">
        <w:rPr>
          <w:szCs w:val="22"/>
        </w:rPr>
        <w:t xml:space="preserve">In Study </w:t>
      </w:r>
      <w:r>
        <w:t>OPAL BROADEN</w:t>
      </w:r>
      <w:r w:rsidRPr="008D6AC1">
        <w:rPr>
          <w:szCs w:val="22"/>
        </w:rPr>
        <w:t xml:space="preserve">, resolution of dactylitis at </w:t>
      </w:r>
      <w:r w:rsidRPr="005D293F">
        <w:rPr>
          <w:szCs w:val="22"/>
        </w:rPr>
        <w:t>Month 3 occurred in 34.4%, 46.6%, and 32.8% of patients on XELJANZ 5 mg twice daily</w:t>
      </w:r>
      <w:r w:rsidRPr="008D6AC1">
        <w:rPr>
          <w:szCs w:val="22"/>
        </w:rPr>
        <w:t xml:space="preserve">, adalimumab 40 mg subcutaneously once every 2 weeks, and placebo, respectively. In </w:t>
      </w:r>
      <w:r w:rsidRPr="00E15B1A">
        <w:rPr>
          <w:szCs w:val="24"/>
        </w:rPr>
        <w:t>OPAL BEYOND</w:t>
      </w:r>
      <w:r w:rsidRPr="008D6AC1">
        <w:rPr>
          <w:szCs w:val="22"/>
        </w:rPr>
        <w:t xml:space="preserve">, resolution of dactylitis at Month 3 occurred in </w:t>
      </w:r>
      <w:r>
        <w:rPr>
          <w:szCs w:val="22"/>
        </w:rPr>
        <w:t>51.5</w:t>
      </w:r>
      <w:r w:rsidRPr="008D6AC1">
        <w:rPr>
          <w:szCs w:val="22"/>
        </w:rPr>
        <w:t xml:space="preserve">% and </w:t>
      </w:r>
      <w:r>
        <w:rPr>
          <w:szCs w:val="22"/>
        </w:rPr>
        <w:t>28.6</w:t>
      </w:r>
      <w:r w:rsidRPr="008D6AC1">
        <w:rPr>
          <w:szCs w:val="22"/>
        </w:rPr>
        <w:t>% of patients on XELJANZ 5 mg twice daily and placebo, respectively</w:t>
      </w:r>
      <w:r>
        <w:rPr>
          <w:szCs w:val="22"/>
        </w:rPr>
        <w:t>.</w:t>
      </w:r>
    </w:p>
    <w:p w:rsidR="00F02665" w:rsidRPr="004A72AF" w:rsidRDefault="00F02665" w:rsidP="00F02665">
      <w:pPr>
        <w:rPr>
          <w:szCs w:val="24"/>
        </w:rPr>
      </w:pPr>
      <w:r w:rsidRPr="00A5584D">
        <w:rPr>
          <w:szCs w:val="24"/>
        </w:rPr>
        <w:t>Improvements were observed after treatment with XELJANZ on the Minimum Dis</w:t>
      </w:r>
      <w:r w:rsidRPr="004A72AF">
        <w:rPr>
          <w:szCs w:val="24"/>
        </w:rPr>
        <w:t>ease Activity (MDA) response rate and the Psoriatic Arthritis Disease Activity Score (PASDAS).</w:t>
      </w:r>
    </w:p>
    <w:p w:rsidR="00F02665" w:rsidRPr="003148DE" w:rsidRDefault="00F02665" w:rsidP="00DF0E86">
      <w:pPr>
        <w:pStyle w:val="PIHeading4"/>
      </w:pPr>
      <w:r w:rsidRPr="003148DE">
        <w:t xml:space="preserve">Radiographic response </w:t>
      </w:r>
    </w:p>
    <w:p w:rsidR="00F02665" w:rsidRPr="004569AC" w:rsidRDefault="00F02665" w:rsidP="00F02665">
      <w:pPr>
        <w:pStyle w:val="Paragraph"/>
        <w:jc w:val="both"/>
        <w:rPr>
          <w:lang w:val="en-GB"/>
        </w:rPr>
      </w:pPr>
      <w:r w:rsidRPr="004569AC">
        <w:rPr>
          <w:lang w:val="en-GB"/>
        </w:rPr>
        <w:t xml:space="preserve">In Study OPAL BROADEN, the progression of structural joint damage was assessed radiographically utilising the van der </w:t>
      </w:r>
      <w:proofErr w:type="spellStart"/>
      <w:r w:rsidRPr="004569AC">
        <w:rPr>
          <w:lang w:val="en-GB"/>
        </w:rPr>
        <w:t>Heijde</w:t>
      </w:r>
      <w:proofErr w:type="spellEnd"/>
      <w:r w:rsidRPr="004569AC">
        <w:rPr>
          <w:lang w:val="en-GB"/>
        </w:rPr>
        <w:t xml:space="preserve"> modified Total Sharp Score (</w:t>
      </w:r>
      <w:proofErr w:type="spellStart"/>
      <w:r w:rsidRPr="004569AC">
        <w:rPr>
          <w:lang w:val="en-GB"/>
        </w:rPr>
        <w:t>mTSS</w:t>
      </w:r>
      <w:proofErr w:type="spellEnd"/>
      <w:r w:rsidRPr="004569AC">
        <w:rPr>
          <w:lang w:val="en-GB"/>
        </w:rPr>
        <w:t>) and the proportion of patients with radiographic progression (</w:t>
      </w:r>
      <w:proofErr w:type="spellStart"/>
      <w:r w:rsidRPr="004569AC">
        <w:rPr>
          <w:lang w:val="en-GB"/>
        </w:rPr>
        <w:t>mTSS</w:t>
      </w:r>
      <w:proofErr w:type="spellEnd"/>
      <w:r w:rsidRPr="004569AC">
        <w:rPr>
          <w:lang w:val="en-GB"/>
        </w:rPr>
        <w:t xml:space="preserve"> increase from baseline greater than 0.5) was assessed at Month 12. At Month 12, 96% and 98% of patients receiving XELJANZ 5 mg twice daily and adalimumab 40 mg subcutaneously every 2 weeks, respectively, did not have radiographic progression (</w:t>
      </w:r>
      <w:proofErr w:type="spellStart"/>
      <w:r w:rsidRPr="004569AC">
        <w:rPr>
          <w:lang w:val="en-GB"/>
        </w:rPr>
        <w:t>mTSS</w:t>
      </w:r>
      <w:proofErr w:type="spellEnd"/>
      <w:r w:rsidRPr="004569AC">
        <w:rPr>
          <w:lang w:val="en-GB"/>
        </w:rPr>
        <w:t xml:space="preserve"> increase from baseline less than or equal to 0.5).</w:t>
      </w:r>
    </w:p>
    <w:p w:rsidR="00F02665" w:rsidRPr="004569AC" w:rsidRDefault="00F02665" w:rsidP="00572DEB">
      <w:pPr>
        <w:pStyle w:val="PIHeading4"/>
        <w:keepNext w:val="0"/>
        <w:rPr>
          <w:lang w:val="en-GB"/>
        </w:rPr>
      </w:pPr>
      <w:r w:rsidRPr="004569AC">
        <w:rPr>
          <w:lang w:val="en-GB"/>
        </w:rPr>
        <w:t>Physical function and health-related quality of life</w:t>
      </w:r>
    </w:p>
    <w:p w:rsidR="00F02665" w:rsidRPr="00BD176C" w:rsidRDefault="00F02665" w:rsidP="00572DEB">
      <w:pPr>
        <w:pStyle w:val="Paragraph"/>
        <w:jc w:val="both"/>
        <w:rPr>
          <w:lang w:val="en-GB"/>
        </w:rPr>
      </w:pPr>
      <w:r w:rsidRPr="004569AC">
        <w:rPr>
          <w:lang w:val="en-GB"/>
        </w:rPr>
        <w:t xml:space="preserve">Improvement in physical functioning was measured by the HAQ-DI. Patients receiving XELJANZ 5 mg twice daily demonstrated greater improvement (p≤0.05) from baseline in physical functioning compared to </w:t>
      </w:r>
      <w:r>
        <w:rPr>
          <w:lang w:val="en-GB"/>
        </w:rPr>
        <w:t xml:space="preserve">placebo at Month 3 (see </w:t>
      </w:r>
      <w:r w:rsidRPr="00127147">
        <w:rPr>
          <w:lang w:val="en-GB"/>
        </w:rPr>
        <w:t xml:space="preserve">Table </w:t>
      </w:r>
      <w:r w:rsidR="006A1592">
        <w:rPr>
          <w:lang w:val="en-GB"/>
        </w:rPr>
        <w:t>11</w:t>
      </w:r>
      <w:r w:rsidRPr="00127147">
        <w:rPr>
          <w:lang w:val="en-GB"/>
        </w:rPr>
        <w:t>). HAQ-DI improvement from baseline in XELJANZ-treated patients was maintained or improved through Month 6 (</w:t>
      </w:r>
      <w:r w:rsidRPr="00BD176C">
        <w:t>OPAL BROADEN and OPAL BEYOND</w:t>
      </w:r>
      <w:r w:rsidRPr="00BD176C">
        <w:rPr>
          <w:lang w:val="en-GB"/>
        </w:rPr>
        <w:t>) and Month 12 (</w:t>
      </w:r>
      <w:r w:rsidRPr="00BD176C">
        <w:t>OPAL BROADEN</w:t>
      </w:r>
      <w:r w:rsidRPr="00BD176C">
        <w:rPr>
          <w:lang w:val="en-GB"/>
        </w:rPr>
        <w:t>).</w:t>
      </w:r>
    </w:p>
    <w:p w:rsidR="001D70F4" w:rsidRPr="001D70F4" w:rsidRDefault="001D70F4" w:rsidP="001D70F4">
      <w:pPr>
        <w:keepNext/>
        <w:tabs>
          <w:tab w:val="left" w:pos="1080"/>
        </w:tabs>
        <w:spacing w:after="0" w:line="260" w:lineRule="exact"/>
        <w:ind w:left="1077" w:hanging="1077"/>
        <w:rPr>
          <w:b/>
          <w:bCs/>
          <w:szCs w:val="22"/>
        </w:rPr>
      </w:pPr>
      <w:r w:rsidRPr="00BD176C">
        <w:rPr>
          <w:b/>
          <w:bCs/>
          <w:szCs w:val="22"/>
        </w:rPr>
        <w:lastRenderedPageBreak/>
        <w:t xml:space="preserve">Table </w:t>
      </w:r>
      <w:r w:rsidR="006A1592">
        <w:rPr>
          <w:b/>
          <w:bCs/>
          <w:szCs w:val="22"/>
        </w:rPr>
        <w:t>11</w:t>
      </w:r>
      <w:r w:rsidRPr="00127147">
        <w:rPr>
          <w:b/>
          <w:bCs/>
          <w:szCs w:val="22"/>
        </w:rPr>
        <w:t>:</w:t>
      </w:r>
      <w:r w:rsidRPr="00127147">
        <w:rPr>
          <w:b/>
          <w:bCs/>
          <w:szCs w:val="22"/>
        </w:rPr>
        <w:tab/>
      </w:r>
      <w:r w:rsidRPr="00BD176C">
        <w:rPr>
          <w:b/>
          <w:bCs/>
          <w:szCs w:val="22"/>
        </w:rPr>
        <w:t>Change</w:t>
      </w:r>
      <w:r w:rsidRPr="00D43F78">
        <w:rPr>
          <w:b/>
          <w:bCs/>
          <w:szCs w:val="22"/>
        </w:rPr>
        <w:t xml:space="preserve"> </w:t>
      </w:r>
      <w:proofErr w:type="gramStart"/>
      <w:r w:rsidRPr="00D43F78">
        <w:rPr>
          <w:b/>
          <w:bCs/>
          <w:szCs w:val="22"/>
        </w:rPr>
        <w:t>From</w:t>
      </w:r>
      <w:proofErr w:type="gramEnd"/>
      <w:r w:rsidRPr="00D43F78">
        <w:rPr>
          <w:b/>
          <w:bCs/>
          <w:szCs w:val="22"/>
        </w:rPr>
        <w:t xml:space="preserve"> Baseline in HAQ-DI in</w:t>
      </w:r>
      <w:r>
        <w:rPr>
          <w:b/>
          <w:bCs/>
          <w:szCs w:val="22"/>
        </w:rPr>
        <w:t xml:space="preserve"> </w:t>
      </w:r>
      <w:proofErr w:type="spellStart"/>
      <w:r>
        <w:rPr>
          <w:b/>
          <w:bCs/>
          <w:szCs w:val="22"/>
        </w:rPr>
        <w:t>PsA</w:t>
      </w:r>
      <w:proofErr w:type="spellEnd"/>
      <w:r w:rsidRPr="00D43F78">
        <w:rPr>
          <w:b/>
          <w:bCs/>
          <w:szCs w:val="22"/>
        </w:rPr>
        <w:t xml:space="preserve"> Studies OPAL BROADEN and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825"/>
        <w:gridCol w:w="2088"/>
        <w:gridCol w:w="964"/>
        <w:gridCol w:w="1825"/>
      </w:tblGrid>
      <w:tr w:rsidR="001D70F4" w:rsidTr="006A0DBE">
        <w:tc>
          <w:tcPr>
            <w:tcW w:w="1531" w:type="dxa"/>
            <w:vMerge w:val="restart"/>
            <w:shd w:val="clear" w:color="auto" w:fill="auto"/>
          </w:tcPr>
          <w:p w:rsidR="001D70F4" w:rsidRPr="007A2169" w:rsidRDefault="001D70F4" w:rsidP="001D70F4">
            <w:pPr>
              <w:keepNext/>
              <w:spacing w:after="0" w:line="260" w:lineRule="exact"/>
              <w:rPr>
                <w:szCs w:val="22"/>
                <w:lang w:eastAsia="ja-JP"/>
              </w:rPr>
            </w:pPr>
          </w:p>
        </w:tc>
        <w:tc>
          <w:tcPr>
            <w:tcW w:w="7756" w:type="dxa"/>
            <w:gridSpan w:val="5"/>
            <w:shd w:val="clear" w:color="auto" w:fill="auto"/>
            <w:vAlign w:val="bottom"/>
          </w:tcPr>
          <w:p w:rsidR="001D70F4" w:rsidRPr="003A03C0" w:rsidRDefault="001D70F4" w:rsidP="001D70F4">
            <w:pPr>
              <w:keepNext/>
              <w:spacing w:after="0" w:line="260" w:lineRule="exact"/>
              <w:jc w:val="center"/>
              <w:rPr>
                <w:b/>
                <w:sz w:val="20"/>
                <w:lang w:eastAsia="ja-JP"/>
              </w:rPr>
            </w:pPr>
            <w:r w:rsidRPr="003A03C0">
              <w:rPr>
                <w:b/>
                <w:sz w:val="20"/>
                <w:lang w:eastAsia="ja-JP"/>
              </w:rPr>
              <w:t>Least Squares Mean Change From Baseline in HAQ-DI</w:t>
            </w:r>
          </w:p>
        </w:tc>
      </w:tr>
      <w:tr w:rsidR="001D70F4" w:rsidTr="006A0DBE">
        <w:tc>
          <w:tcPr>
            <w:tcW w:w="1531" w:type="dxa"/>
            <w:vMerge/>
            <w:shd w:val="clear" w:color="auto" w:fill="auto"/>
          </w:tcPr>
          <w:p w:rsidR="001D70F4" w:rsidRPr="007A2169" w:rsidRDefault="001D70F4" w:rsidP="00E67595">
            <w:pPr>
              <w:keepNext/>
              <w:spacing w:after="0" w:line="260" w:lineRule="exact"/>
              <w:rPr>
                <w:szCs w:val="22"/>
                <w:lang w:eastAsia="ja-JP"/>
              </w:rPr>
            </w:pPr>
          </w:p>
        </w:tc>
        <w:tc>
          <w:tcPr>
            <w:tcW w:w="4967" w:type="dxa"/>
            <w:gridSpan w:val="3"/>
            <w:shd w:val="clear" w:color="auto" w:fill="auto"/>
          </w:tcPr>
          <w:p w:rsidR="001D70F4" w:rsidRPr="003A03C0" w:rsidRDefault="00BF40F3" w:rsidP="00E67595">
            <w:pPr>
              <w:keepNext/>
              <w:spacing w:after="0" w:line="260" w:lineRule="exact"/>
              <w:jc w:val="center"/>
              <w:rPr>
                <w:b/>
                <w:sz w:val="20"/>
                <w:lang w:eastAsia="ja-JP"/>
              </w:rPr>
            </w:pPr>
            <w:proofErr w:type="spellStart"/>
            <w:r>
              <w:rPr>
                <w:b/>
                <w:sz w:val="20"/>
                <w:lang w:eastAsia="ja-JP"/>
              </w:rPr>
              <w:t>cs</w:t>
            </w:r>
            <w:r w:rsidR="001D70F4" w:rsidRPr="003A03C0">
              <w:rPr>
                <w:b/>
                <w:sz w:val="20"/>
                <w:lang w:eastAsia="ja-JP"/>
              </w:rPr>
              <w:t>DMARD</w:t>
            </w:r>
            <w:proofErr w:type="spellEnd"/>
          </w:p>
          <w:p w:rsidR="001D70F4" w:rsidRPr="003A03C0" w:rsidRDefault="001D70F4" w:rsidP="00E67595">
            <w:pPr>
              <w:keepNext/>
              <w:spacing w:after="0" w:line="260" w:lineRule="exact"/>
              <w:jc w:val="center"/>
              <w:rPr>
                <w:b/>
                <w:sz w:val="20"/>
                <w:lang w:eastAsia="ja-JP"/>
              </w:rPr>
            </w:pPr>
            <w:r w:rsidRPr="003A03C0">
              <w:rPr>
                <w:b/>
                <w:sz w:val="20"/>
                <w:lang w:eastAsia="ja-JP"/>
              </w:rPr>
              <w:t xml:space="preserve">Inadequate </w:t>
            </w:r>
            <w:proofErr w:type="spellStart"/>
            <w:r w:rsidRPr="003A03C0">
              <w:rPr>
                <w:b/>
                <w:sz w:val="20"/>
                <w:lang w:eastAsia="ja-JP"/>
              </w:rPr>
              <w:t>Responders</w:t>
            </w:r>
            <w:r w:rsidRPr="003A03C0">
              <w:rPr>
                <w:b/>
                <w:sz w:val="20"/>
                <w:vertAlign w:val="superscript"/>
                <w:lang w:eastAsia="ja-JP"/>
              </w:rPr>
              <w:t>a</w:t>
            </w:r>
            <w:proofErr w:type="spellEnd"/>
            <w:r w:rsidRPr="003A03C0">
              <w:rPr>
                <w:b/>
                <w:sz w:val="20"/>
                <w:lang w:eastAsia="ja-JP"/>
              </w:rPr>
              <w:t xml:space="preserve"> (</w:t>
            </w:r>
            <w:proofErr w:type="spellStart"/>
            <w:r w:rsidRPr="003A03C0">
              <w:rPr>
                <w:b/>
                <w:sz w:val="20"/>
                <w:lang w:eastAsia="ja-JP"/>
              </w:rPr>
              <w:t>TNFi</w:t>
            </w:r>
            <w:proofErr w:type="spellEnd"/>
            <w:r w:rsidRPr="003A03C0">
              <w:rPr>
                <w:b/>
                <w:sz w:val="20"/>
                <w:lang w:eastAsia="ja-JP"/>
              </w:rPr>
              <w:t>-Naïve)</w:t>
            </w:r>
          </w:p>
        </w:tc>
        <w:tc>
          <w:tcPr>
            <w:tcW w:w="2789" w:type="dxa"/>
            <w:gridSpan w:val="2"/>
            <w:shd w:val="clear" w:color="auto" w:fill="auto"/>
          </w:tcPr>
          <w:p w:rsidR="001D70F4" w:rsidRPr="003A03C0" w:rsidRDefault="001D70F4" w:rsidP="00E67595">
            <w:pPr>
              <w:keepNext/>
              <w:spacing w:after="0" w:line="260" w:lineRule="exact"/>
              <w:jc w:val="center"/>
              <w:rPr>
                <w:b/>
                <w:sz w:val="20"/>
                <w:lang w:eastAsia="ja-JP"/>
              </w:rPr>
            </w:pPr>
            <w:proofErr w:type="spellStart"/>
            <w:r w:rsidRPr="003A03C0">
              <w:rPr>
                <w:b/>
                <w:sz w:val="20"/>
                <w:lang w:eastAsia="ja-JP"/>
              </w:rPr>
              <w:t>TNFi</w:t>
            </w:r>
            <w:proofErr w:type="spellEnd"/>
          </w:p>
          <w:p w:rsidR="001D70F4" w:rsidRPr="003A03C0" w:rsidRDefault="001D70F4" w:rsidP="00E67595">
            <w:pPr>
              <w:keepNext/>
              <w:spacing w:after="0" w:line="260" w:lineRule="exact"/>
              <w:jc w:val="center"/>
              <w:rPr>
                <w:b/>
                <w:sz w:val="20"/>
                <w:lang w:eastAsia="ja-JP"/>
              </w:rPr>
            </w:pPr>
            <w:r w:rsidRPr="003A03C0">
              <w:rPr>
                <w:b/>
                <w:sz w:val="20"/>
                <w:lang w:eastAsia="ja-JP"/>
              </w:rPr>
              <w:t xml:space="preserve">Inadequate </w:t>
            </w:r>
            <w:proofErr w:type="spellStart"/>
            <w:r w:rsidRPr="003A03C0">
              <w:rPr>
                <w:b/>
                <w:sz w:val="20"/>
                <w:lang w:eastAsia="ja-JP"/>
              </w:rPr>
              <w:t>Responders</w:t>
            </w:r>
            <w:r w:rsidRPr="003A03C0">
              <w:rPr>
                <w:b/>
                <w:sz w:val="20"/>
                <w:vertAlign w:val="superscript"/>
                <w:lang w:eastAsia="ja-JP"/>
              </w:rPr>
              <w:t>b</w:t>
            </w:r>
            <w:proofErr w:type="spellEnd"/>
          </w:p>
        </w:tc>
      </w:tr>
      <w:tr w:rsidR="001D70F4" w:rsidTr="006A0DBE">
        <w:tc>
          <w:tcPr>
            <w:tcW w:w="1531" w:type="dxa"/>
            <w:vMerge/>
            <w:shd w:val="clear" w:color="auto" w:fill="auto"/>
          </w:tcPr>
          <w:p w:rsidR="001D70F4" w:rsidRPr="007A2169" w:rsidRDefault="001D70F4" w:rsidP="00E67595">
            <w:pPr>
              <w:keepNext/>
              <w:spacing w:after="0" w:line="260" w:lineRule="exact"/>
              <w:rPr>
                <w:szCs w:val="22"/>
                <w:lang w:eastAsia="ja-JP"/>
              </w:rPr>
            </w:pPr>
          </w:p>
        </w:tc>
        <w:tc>
          <w:tcPr>
            <w:tcW w:w="4967" w:type="dxa"/>
            <w:gridSpan w:val="3"/>
            <w:shd w:val="clear" w:color="auto" w:fill="auto"/>
          </w:tcPr>
          <w:p w:rsidR="001D70F4" w:rsidRPr="003A03C0" w:rsidRDefault="001D70F4" w:rsidP="00E67595">
            <w:pPr>
              <w:keepNext/>
              <w:spacing w:after="0" w:line="260" w:lineRule="exact"/>
              <w:jc w:val="center"/>
              <w:rPr>
                <w:b/>
                <w:sz w:val="20"/>
                <w:lang w:eastAsia="ja-JP"/>
              </w:rPr>
            </w:pPr>
            <w:r w:rsidRPr="003A03C0">
              <w:rPr>
                <w:b/>
                <w:sz w:val="20"/>
              </w:rPr>
              <w:t>OPAL BROADEN</w:t>
            </w:r>
          </w:p>
        </w:tc>
        <w:tc>
          <w:tcPr>
            <w:tcW w:w="2789" w:type="dxa"/>
            <w:gridSpan w:val="2"/>
            <w:shd w:val="clear" w:color="auto" w:fill="auto"/>
          </w:tcPr>
          <w:p w:rsidR="001D70F4" w:rsidRPr="003A03C0" w:rsidRDefault="001D70F4" w:rsidP="00E67595">
            <w:pPr>
              <w:keepNext/>
              <w:spacing w:after="0" w:line="260" w:lineRule="exact"/>
              <w:jc w:val="center"/>
              <w:rPr>
                <w:b/>
                <w:sz w:val="20"/>
                <w:lang w:eastAsia="ja-JP"/>
              </w:rPr>
            </w:pPr>
            <w:r w:rsidRPr="003A03C0">
              <w:rPr>
                <w:b/>
                <w:sz w:val="20"/>
              </w:rPr>
              <w:t>OPAL BEYOND</w:t>
            </w:r>
          </w:p>
        </w:tc>
      </w:tr>
      <w:tr w:rsidR="001D70F4" w:rsidTr="006A0DBE">
        <w:tc>
          <w:tcPr>
            <w:tcW w:w="1531" w:type="dxa"/>
            <w:shd w:val="clear" w:color="auto" w:fill="auto"/>
          </w:tcPr>
          <w:p w:rsidR="001D70F4" w:rsidRPr="003A03C0" w:rsidRDefault="001D70F4" w:rsidP="001D70F4">
            <w:pPr>
              <w:keepNext/>
              <w:spacing w:after="0" w:line="260" w:lineRule="exact"/>
              <w:rPr>
                <w:b/>
                <w:sz w:val="20"/>
                <w:lang w:eastAsia="ja-JP"/>
              </w:rPr>
            </w:pPr>
            <w:r w:rsidRPr="003A03C0">
              <w:rPr>
                <w:b/>
                <w:sz w:val="20"/>
                <w:lang w:eastAsia="ja-JP"/>
              </w:rPr>
              <w:t>Treatment Group</w:t>
            </w:r>
          </w:p>
        </w:tc>
        <w:tc>
          <w:tcPr>
            <w:tcW w:w="1054" w:type="dxa"/>
            <w:shd w:val="clear" w:color="auto" w:fill="auto"/>
          </w:tcPr>
          <w:p w:rsidR="001D70F4" w:rsidRPr="003A03C0" w:rsidRDefault="001D70F4" w:rsidP="001D70F4">
            <w:pPr>
              <w:keepNext/>
              <w:spacing w:after="0" w:line="260" w:lineRule="exact"/>
              <w:jc w:val="center"/>
              <w:rPr>
                <w:b/>
                <w:sz w:val="20"/>
                <w:lang w:eastAsia="ja-JP"/>
              </w:rPr>
            </w:pPr>
            <w:r w:rsidRPr="003A03C0">
              <w:rPr>
                <w:rFonts w:eastAsia="Arial Unicode MS"/>
                <w:b/>
                <w:bCs/>
                <w:sz w:val="20"/>
              </w:rPr>
              <w:t>Placebo</w:t>
            </w:r>
          </w:p>
        </w:tc>
        <w:tc>
          <w:tcPr>
            <w:tcW w:w="1825" w:type="dxa"/>
            <w:shd w:val="clear" w:color="auto" w:fill="auto"/>
          </w:tcPr>
          <w:p w:rsidR="001D70F4" w:rsidRPr="003A03C0" w:rsidRDefault="001D70F4" w:rsidP="001D70F4">
            <w:pPr>
              <w:keepNext/>
              <w:spacing w:after="0" w:line="260" w:lineRule="exact"/>
              <w:jc w:val="center"/>
              <w:rPr>
                <w:b/>
                <w:sz w:val="20"/>
                <w:lang w:eastAsia="ja-JP"/>
              </w:rPr>
            </w:pPr>
            <w:r w:rsidRPr="003A03C0">
              <w:rPr>
                <w:b/>
                <w:sz w:val="20"/>
                <w:lang w:eastAsia="ja-JP"/>
              </w:rPr>
              <w:t xml:space="preserve">XELJANZ 5 mg </w:t>
            </w:r>
            <w:r w:rsidRPr="003A03C0">
              <w:rPr>
                <w:rFonts w:eastAsia="Arial Unicode MS"/>
                <w:b/>
                <w:bCs/>
                <w:sz w:val="20"/>
              </w:rPr>
              <w:t>Twice Daily</w:t>
            </w:r>
            <w:r w:rsidRPr="003A03C0">
              <w:rPr>
                <w:b/>
                <w:sz w:val="20"/>
                <w:lang w:eastAsia="ja-JP"/>
              </w:rPr>
              <w:t xml:space="preserve"> </w:t>
            </w:r>
          </w:p>
        </w:tc>
        <w:tc>
          <w:tcPr>
            <w:tcW w:w="2088" w:type="dxa"/>
            <w:shd w:val="clear" w:color="auto" w:fill="auto"/>
          </w:tcPr>
          <w:p w:rsidR="001D70F4" w:rsidRPr="003A03C0" w:rsidRDefault="001D70F4" w:rsidP="001D70F4">
            <w:pPr>
              <w:keepNext/>
              <w:spacing w:after="0" w:line="260" w:lineRule="exact"/>
              <w:jc w:val="center"/>
              <w:rPr>
                <w:b/>
                <w:sz w:val="20"/>
                <w:lang w:eastAsia="ja-JP"/>
              </w:rPr>
            </w:pPr>
            <w:r w:rsidRPr="003A03C0">
              <w:rPr>
                <w:b/>
                <w:sz w:val="20"/>
                <w:lang w:eastAsia="ja-JP"/>
              </w:rPr>
              <w:t>Adalimumab 40 mg SC q2W</w:t>
            </w:r>
          </w:p>
        </w:tc>
        <w:tc>
          <w:tcPr>
            <w:tcW w:w="964" w:type="dxa"/>
            <w:shd w:val="clear" w:color="auto" w:fill="auto"/>
          </w:tcPr>
          <w:p w:rsidR="001D70F4" w:rsidRPr="003A03C0" w:rsidRDefault="001D70F4" w:rsidP="001D70F4">
            <w:pPr>
              <w:keepNext/>
              <w:spacing w:after="0" w:line="260" w:lineRule="exact"/>
              <w:jc w:val="center"/>
              <w:rPr>
                <w:b/>
                <w:sz w:val="20"/>
                <w:lang w:eastAsia="ja-JP"/>
              </w:rPr>
            </w:pPr>
            <w:r w:rsidRPr="003A03C0">
              <w:rPr>
                <w:rFonts w:eastAsia="Arial Unicode MS"/>
                <w:b/>
                <w:bCs/>
                <w:sz w:val="20"/>
              </w:rPr>
              <w:t>Placebo</w:t>
            </w:r>
          </w:p>
        </w:tc>
        <w:tc>
          <w:tcPr>
            <w:tcW w:w="1825" w:type="dxa"/>
            <w:shd w:val="clear" w:color="auto" w:fill="auto"/>
          </w:tcPr>
          <w:p w:rsidR="001D70F4" w:rsidRPr="003A03C0" w:rsidRDefault="001D70F4" w:rsidP="001D70F4">
            <w:pPr>
              <w:keepNext/>
              <w:spacing w:after="0" w:line="260" w:lineRule="exact"/>
              <w:jc w:val="center"/>
              <w:rPr>
                <w:b/>
                <w:sz w:val="20"/>
                <w:lang w:eastAsia="ja-JP"/>
              </w:rPr>
            </w:pPr>
            <w:r w:rsidRPr="003A03C0">
              <w:rPr>
                <w:b/>
                <w:sz w:val="20"/>
                <w:lang w:eastAsia="ja-JP"/>
              </w:rPr>
              <w:t xml:space="preserve">XELJANZ 5 mg </w:t>
            </w:r>
            <w:r w:rsidRPr="003A03C0">
              <w:rPr>
                <w:rFonts w:eastAsia="Arial Unicode MS"/>
                <w:b/>
                <w:bCs/>
                <w:sz w:val="20"/>
              </w:rPr>
              <w:t>Twice Daily</w:t>
            </w:r>
          </w:p>
        </w:tc>
      </w:tr>
      <w:tr w:rsidR="001D70F4" w:rsidTr="006A0DBE">
        <w:tc>
          <w:tcPr>
            <w:tcW w:w="1531" w:type="dxa"/>
            <w:shd w:val="clear" w:color="auto" w:fill="auto"/>
            <w:vAlign w:val="center"/>
          </w:tcPr>
          <w:p w:rsidR="001D70F4" w:rsidRPr="003A03C0" w:rsidRDefault="001D70F4" w:rsidP="001D70F4">
            <w:pPr>
              <w:keepNext/>
              <w:spacing w:after="0" w:line="260" w:lineRule="exact"/>
              <w:rPr>
                <w:sz w:val="20"/>
                <w:vertAlign w:val="superscript"/>
                <w:lang w:eastAsia="ja-JP"/>
              </w:rPr>
            </w:pPr>
            <w:r w:rsidRPr="003A03C0">
              <w:rPr>
                <w:sz w:val="20"/>
                <w:lang w:eastAsia="ja-JP"/>
              </w:rPr>
              <w:t>N</w:t>
            </w:r>
          </w:p>
        </w:tc>
        <w:tc>
          <w:tcPr>
            <w:tcW w:w="1054" w:type="dxa"/>
            <w:shd w:val="clear" w:color="auto" w:fill="auto"/>
            <w:vAlign w:val="center"/>
          </w:tcPr>
          <w:p w:rsidR="001D70F4" w:rsidRPr="003A03C0" w:rsidRDefault="001D70F4" w:rsidP="001D70F4">
            <w:pPr>
              <w:keepNext/>
              <w:tabs>
                <w:tab w:val="left" w:pos="199"/>
              </w:tabs>
              <w:spacing w:after="0" w:line="260" w:lineRule="exact"/>
              <w:rPr>
                <w:sz w:val="20"/>
                <w:lang w:eastAsia="ja-JP"/>
              </w:rPr>
            </w:pPr>
            <w:r w:rsidRPr="003A03C0">
              <w:rPr>
                <w:sz w:val="20"/>
                <w:lang w:eastAsia="ja-JP"/>
              </w:rPr>
              <w:tab/>
              <w:t>104</w:t>
            </w:r>
          </w:p>
        </w:tc>
        <w:tc>
          <w:tcPr>
            <w:tcW w:w="1825" w:type="dxa"/>
            <w:shd w:val="clear" w:color="auto" w:fill="auto"/>
            <w:vAlign w:val="center"/>
          </w:tcPr>
          <w:p w:rsidR="001D70F4" w:rsidRPr="003A03C0" w:rsidRDefault="001D70F4" w:rsidP="001D70F4">
            <w:pPr>
              <w:keepNext/>
              <w:spacing w:after="0" w:line="260" w:lineRule="exact"/>
              <w:rPr>
                <w:sz w:val="20"/>
                <w:lang w:eastAsia="ja-JP"/>
              </w:rPr>
            </w:pPr>
            <w:r w:rsidRPr="003A03C0">
              <w:rPr>
                <w:sz w:val="20"/>
                <w:lang w:eastAsia="ja-JP"/>
              </w:rPr>
              <w:tab/>
              <w:t>107</w:t>
            </w:r>
          </w:p>
        </w:tc>
        <w:tc>
          <w:tcPr>
            <w:tcW w:w="2088" w:type="dxa"/>
            <w:shd w:val="clear" w:color="auto" w:fill="auto"/>
            <w:vAlign w:val="center"/>
          </w:tcPr>
          <w:p w:rsidR="001D70F4" w:rsidRPr="003A03C0" w:rsidRDefault="001D70F4" w:rsidP="001D70F4">
            <w:pPr>
              <w:keepNext/>
              <w:tabs>
                <w:tab w:val="left" w:pos="647"/>
              </w:tabs>
              <w:spacing w:after="0" w:line="260" w:lineRule="exact"/>
              <w:rPr>
                <w:sz w:val="20"/>
                <w:lang w:eastAsia="ja-JP"/>
              </w:rPr>
            </w:pPr>
            <w:r w:rsidRPr="003A03C0">
              <w:rPr>
                <w:sz w:val="20"/>
                <w:lang w:eastAsia="ja-JP"/>
              </w:rPr>
              <w:tab/>
              <w:t>106</w:t>
            </w:r>
          </w:p>
        </w:tc>
        <w:tc>
          <w:tcPr>
            <w:tcW w:w="964" w:type="dxa"/>
            <w:shd w:val="clear" w:color="auto" w:fill="auto"/>
            <w:vAlign w:val="center"/>
          </w:tcPr>
          <w:p w:rsidR="001D70F4" w:rsidRPr="003A03C0" w:rsidRDefault="001D70F4" w:rsidP="001D70F4">
            <w:pPr>
              <w:keepNext/>
              <w:tabs>
                <w:tab w:val="left" w:pos="254"/>
              </w:tabs>
              <w:spacing w:after="0" w:line="260" w:lineRule="exact"/>
              <w:rPr>
                <w:sz w:val="20"/>
                <w:lang w:eastAsia="ja-JP"/>
              </w:rPr>
            </w:pPr>
            <w:r w:rsidRPr="003A03C0">
              <w:rPr>
                <w:sz w:val="20"/>
                <w:lang w:eastAsia="ja-JP"/>
              </w:rPr>
              <w:tab/>
              <w:t>131</w:t>
            </w:r>
          </w:p>
        </w:tc>
        <w:tc>
          <w:tcPr>
            <w:tcW w:w="1825" w:type="dxa"/>
            <w:shd w:val="clear" w:color="auto" w:fill="auto"/>
            <w:vAlign w:val="center"/>
          </w:tcPr>
          <w:p w:rsidR="001D70F4" w:rsidRPr="003A03C0" w:rsidRDefault="001D70F4" w:rsidP="001D70F4">
            <w:pPr>
              <w:keepNext/>
              <w:spacing w:after="0" w:line="260" w:lineRule="exact"/>
              <w:rPr>
                <w:sz w:val="20"/>
                <w:lang w:eastAsia="ja-JP"/>
              </w:rPr>
            </w:pPr>
            <w:r w:rsidRPr="003A03C0">
              <w:rPr>
                <w:sz w:val="20"/>
                <w:lang w:eastAsia="ja-JP"/>
              </w:rPr>
              <w:tab/>
              <w:t>129</w:t>
            </w:r>
          </w:p>
        </w:tc>
      </w:tr>
      <w:tr w:rsidR="001D70F4" w:rsidTr="006A0DBE">
        <w:tc>
          <w:tcPr>
            <w:tcW w:w="1531" w:type="dxa"/>
            <w:shd w:val="clear" w:color="auto" w:fill="auto"/>
          </w:tcPr>
          <w:p w:rsidR="001D70F4" w:rsidRPr="003A03C0" w:rsidRDefault="001D70F4" w:rsidP="001D70F4">
            <w:pPr>
              <w:keepNext/>
              <w:spacing w:after="0" w:line="260" w:lineRule="exact"/>
              <w:rPr>
                <w:sz w:val="20"/>
                <w:lang w:eastAsia="ja-JP"/>
              </w:rPr>
            </w:pPr>
            <w:r w:rsidRPr="003A03C0">
              <w:rPr>
                <w:sz w:val="20"/>
                <w:lang w:eastAsia="ja-JP"/>
              </w:rPr>
              <w:t>Month 3</w:t>
            </w:r>
          </w:p>
        </w:tc>
        <w:tc>
          <w:tcPr>
            <w:tcW w:w="1054" w:type="dxa"/>
            <w:shd w:val="clear" w:color="auto" w:fill="auto"/>
          </w:tcPr>
          <w:p w:rsidR="001D70F4" w:rsidRPr="003A03C0" w:rsidRDefault="001D70F4" w:rsidP="001D70F4">
            <w:pPr>
              <w:keepNext/>
              <w:tabs>
                <w:tab w:val="left" w:pos="199"/>
              </w:tabs>
              <w:spacing w:after="0" w:line="260" w:lineRule="exact"/>
              <w:rPr>
                <w:sz w:val="20"/>
                <w:lang w:eastAsia="ja-JP"/>
              </w:rPr>
            </w:pPr>
            <w:r w:rsidRPr="003A03C0">
              <w:rPr>
                <w:sz w:val="20"/>
                <w:lang w:eastAsia="ja-JP"/>
              </w:rPr>
              <w:tab/>
              <w:t>-0.18</w:t>
            </w:r>
          </w:p>
        </w:tc>
        <w:tc>
          <w:tcPr>
            <w:tcW w:w="1825" w:type="dxa"/>
            <w:shd w:val="clear" w:color="auto" w:fill="auto"/>
          </w:tcPr>
          <w:p w:rsidR="001D70F4" w:rsidRPr="003A03C0" w:rsidRDefault="001D70F4" w:rsidP="001D70F4">
            <w:pPr>
              <w:keepNext/>
              <w:spacing w:after="0" w:line="260" w:lineRule="exact"/>
              <w:rPr>
                <w:sz w:val="20"/>
                <w:lang w:eastAsia="ja-JP"/>
              </w:rPr>
            </w:pPr>
            <w:r w:rsidRPr="003A03C0">
              <w:rPr>
                <w:sz w:val="20"/>
                <w:lang w:eastAsia="ja-JP"/>
              </w:rPr>
              <w:tab/>
              <w:t>-0.35</w:t>
            </w:r>
            <w:r w:rsidRPr="003A03C0">
              <w:rPr>
                <w:sz w:val="20"/>
                <w:vertAlign w:val="superscript"/>
                <w:lang w:eastAsia="ja-JP"/>
              </w:rPr>
              <w:t>c,*</w:t>
            </w:r>
          </w:p>
        </w:tc>
        <w:tc>
          <w:tcPr>
            <w:tcW w:w="2088" w:type="dxa"/>
            <w:shd w:val="clear" w:color="auto" w:fill="auto"/>
          </w:tcPr>
          <w:p w:rsidR="001D70F4" w:rsidRPr="003A03C0" w:rsidRDefault="001D70F4" w:rsidP="001D70F4">
            <w:pPr>
              <w:keepNext/>
              <w:tabs>
                <w:tab w:val="left" w:pos="647"/>
              </w:tabs>
              <w:spacing w:after="0" w:line="260" w:lineRule="exact"/>
              <w:rPr>
                <w:sz w:val="20"/>
                <w:lang w:eastAsia="ja-JP"/>
              </w:rPr>
            </w:pPr>
            <w:r w:rsidRPr="003A03C0">
              <w:rPr>
                <w:sz w:val="20"/>
                <w:lang w:eastAsia="ja-JP"/>
              </w:rPr>
              <w:tab/>
              <w:t>-0.38</w:t>
            </w:r>
            <w:r w:rsidRPr="003A03C0">
              <w:rPr>
                <w:sz w:val="20"/>
                <w:vertAlign w:val="superscript"/>
                <w:lang w:eastAsia="ja-JP"/>
              </w:rPr>
              <w:t>*</w:t>
            </w:r>
          </w:p>
        </w:tc>
        <w:tc>
          <w:tcPr>
            <w:tcW w:w="964" w:type="dxa"/>
            <w:shd w:val="clear" w:color="auto" w:fill="auto"/>
          </w:tcPr>
          <w:p w:rsidR="001D70F4" w:rsidRPr="003A03C0" w:rsidRDefault="001D70F4" w:rsidP="001D70F4">
            <w:pPr>
              <w:keepNext/>
              <w:tabs>
                <w:tab w:val="left" w:pos="254"/>
              </w:tabs>
              <w:spacing w:after="0" w:line="260" w:lineRule="exact"/>
              <w:rPr>
                <w:sz w:val="20"/>
                <w:lang w:eastAsia="ja-JP"/>
              </w:rPr>
            </w:pPr>
            <w:r w:rsidRPr="003A03C0">
              <w:rPr>
                <w:sz w:val="20"/>
                <w:lang w:eastAsia="ja-JP"/>
              </w:rPr>
              <w:tab/>
              <w:t>-0.14</w:t>
            </w:r>
          </w:p>
        </w:tc>
        <w:tc>
          <w:tcPr>
            <w:tcW w:w="1825" w:type="dxa"/>
            <w:shd w:val="clear" w:color="auto" w:fill="auto"/>
          </w:tcPr>
          <w:p w:rsidR="001D70F4" w:rsidRPr="003A03C0" w:rsidRDefault="001D70F4" w:rsidP="001D70F4">
            <w:pPr>
              <w:keepNext/>
              <w:spacing w:after="0" w:line="260" w:lineRule="exact"/>
              <w:rPr>
                <w:sz w:val="20"/>
                <w:lang w:eastAsia="ja-JP"/>
              </w:rPr>
            </w:pPr>
            <w:r w:rsidRPr="003A03C0">
              <w:rPr>
                <w:sz w:val="20"/>
                <w:lang w:eastAsia="ja-JP"/>
              </w:rPr>
              <w:tab/>
              <w:t>-0.39</w:t>
            </w:r>
            <w:r w:rsidRPr="003A03C0">
              <w:rPr>
                <w:sz w:val="20"/>
                <w:vertAlign w:val="superscript"/>
                <w:lang w:eastAsia="ja-JP"/>
              </w:rPr>
              <w:t>c,***</w:t>
            </w:r>
          </w:p>
        </w:tc>
      </w:tr>
      <w:tr w:rsidR="001D70F4" w:rsidTr="006A0DBE">
        <w:tc>
          <w:tcPr>
            <w:tcW w:w="1531" w:type="dxa"/>
            <w:shd w:val="clear" w:color="auto" w:fill="auto"/>
          </w:tcPr>
          <w:p w:rsidR="001D70F4" w:rsidRPr="003A03C0" w:rsidRDefault="001D70F4" w:rsidP="001D70F4">
            <w:pPr>
              <w:keepNext/>
              <w:spacing w:after="0" w:line="260" w:lineRule="exact"/>
              <w:rPr>
                <w:sz w:val="20"/>
                <w:lang w:eastAsia="ja-JP"/>
              </w:rPr>
            </w:pPr>
            <w:r w:rsidRPr="003A03C0">
              <w:rPr>
                <w:sz w:val="20"/>
                <w:lang w:eastAsia="ja-JP"/>
              </w:rPr>
              <w:t>Month 6</w:t>
            </w:r>
          </w:p>
        </w:tc>
        <w:tc>
          <w:tcPr>
            <w:tcW w:w="1054" w:type="dxa"/>
            <w:shd w:val="clear" w:color="auto" w:fill="auto"/>
          </w:tcPr>
          <w:p w:rsidR="001D70F4" w:rsidRPr="003A03C0" w:rsidRDefault="001D70F4" w:rsidP="001D70F4">
            <w:pPr>
              <w:keepNext/>
              <w:tabs>
                <w:tab w:val="left" w:pos="199"/>
              </w:tabs>
              <w:spacing w:after="0" w:line="260" w:lineRule="exact"/>
              <w:rPr>
                <w:sz w:val="20"/>
                <w:lang w:eastAsia="ja-JP"/>
              </w:rPr>
            </w:pPr>
            <w:r w:rsidRPr="003A03C0">
              <w:rPr>
                <w:sz w:val="20"/>
                <w:lang w:eastAsia="ja-JP"/>
              </w:rPr>
              <w:tab/>
              <w:t>NA</w:t>
            </w:r>
          </w:p>
        </w:tc>
        <w:tc>
          <w:tcPr>
            <w:tcW w:w="1825" w:type="dxa"/>
            <w:shd w:val="clear" w:color="auto" w:fill="auto"/>
          </w:tcPr>
          <w:p w:rsidR="001D70F4" w:rsidRPr="003A03C0" w:rsidRDefault="001D70F4" w:rsidP="001D70F4">
            <w:pPr>
              <w:keepNext/>
              <w:spacing w:after="0" w:line="260" w:lineRule="exact"/>
              <w:rPr>
                <w:sz w:val="20"/>
                <w:lang w:eastAsia="ja-JP"/>
              </w:rPr>
            </w:pPr>
            <w:r w:rsidRPr="003A03C0">
              <w:rPr>
                <w:sz w:val="20"/>
                <w:lang w:eastAsia="ja-JP"/>
              </w:rPr>
              <w:tab/>
              <w:t>-0.45</w:t>
            </w:r>
          </w:p>
        </w:tc>
        <w:tc>
          <w:tcPr>
            <w:tcW w:w="2088" w:type="dxa"/>
            <w:shd w:val="clear" w:color="auto" w:fill="auto"/>
          </w:tcPr>
          <w:p w:rsidR="001D70F4" w:rsidRPr="003A03C0" w:rsidRDefault="001D70F4" w:rsidP="001D70F4">
            <w:pPr>
              <w:keepNext/>
              <w:tabs>
                <w:tab w:val="left" w:pos="647"/>
              </w:tabs>
              <w:spacing w:after="0" w:line="260" w:lineRule="exact"/>
              <w:rPr>
                <w:sz w:val="20"/>
                <w:lang w:eastAsia="ja-JP"/>
              </w:rPr>
            </w:pPr>
            <w:r w:rsidRPr="003A03C0">
              <w:rPr>
                <w:sz w:val="20"/>
                <w:lang w:eastAsia="ja-JP"/>
              </w:rPr>
              <w:tab/>
              <w:t>-0.43</w:t>
            </w:r>
          </w:p>
        </w:tc>
        <w:tc>
          <w:tcPr>
            <w:tcW w:w="964" w:type="dxa"/>
            <w:shd w:val="clear" w:color="auto" w:fill="auto"/>
          </w:tcPr>
          <w:p w:rsidR="001D70F4" w:rsidRPr="003A03C0" w:rsidRDefault="001D70F4" w:rsidP="001D70F4">
            <w:pPr>
              <w:keepNext/>
              <w:tabs>
                <w:tab w:val="left" w:pos="254"/>
              </w:tabs>
              <w:spacing w:after="0" w:line="260" w:lineRule="exact"/>
              <w:rPr>
                <w:sz w:val="20"/>
                <w:lang w:eastAsia="ja-JP"/>
              </w:rPr>
            </w:pPr>
            <w:r w:rsidRPr="003A03C0">
              <w:rPr>
                <w:sz w:val="20"/>
                <w:lang w:eastAsia="ja-JP"/>
              </w:rPr>
              <w:tab/>
              <w:t>NA</w:t>
            </w:r>
          </w:p>
        </w:tc>
        <w:tc>
          <w:tcPr>
            <w:tcW w:w="1825" w:type="dxa"/>
            <w:shd w:val="clear" w:color="auto" w:fill="auto"/>
          </w:tcPr>
          <w:p w:rsidR="001D70F4" w:rsidRPr="003A03C0" w:rsidRDefault="001D70F4" w:rsidP="001D70F4">
            <w:pPr>
              <w:keepNext/>
              <w:spacing w:after="0" w:line="260" w:lineRule="exact"/>
              <w:rPr>
                <w:sz w:val="20"/>
                <w:lang w:eastAsia="ja-JP"/>
              </w:rPr>
            </w:pPr>
            <w:r w:rsidRPr="003A03C0">
              <w:rPr>
                <w:sz w:val="20"/>
                <w:lang w:eastAsia="ja-JP"/>
              </w:rPr>
              <w:tab/>
              <w:t>-0.44</w:t>
            </w:r>
          </w:p>
        </w:tc>
      </w:tr>
      <w:tr w:rsidR="001D70F4" w:rsidTr="006A0DBE">
        <w:tc>
          <w:tcPr>
            <w:tcW w:w="1531" w:type="dxa"/>
            <w:tcBorders>
              <w:bottom w:val="single" w:sz="4" w:space="0" w:color="auto"/>
            </w:tcBorders>
            <w:shd w:val="clear" w:color="auto" w:fill="auto"/>
          </w:tcPr>
          <w:p w:rsidR="001D70F4" w:rsidRPr="003A03C0" w:rsidRDefault="001D70F4" w:rsidP="001D70F4">
            <w:pPr>
              <w:keepNext/>
              <w:spacing w:after="0" w:line="260" w:lineRule="exact"/>
              <w:rPr>
                <w:sz w:val="20"/>
                <w:lang w:eastAsia="ja-JP"/>
              </w:rPr>
            </w:pPr>
            <w:r w:rsidRPr="003A03C0">
              <w:rPr>
                <w:sz w:val="20"/>
                <w:lang w:eastAsia="ja-JP"/>
              </w:rPr>
              <w:t>Month 12</w:t>
            </w:r>
          </w:p>
        </w:tc>
        <w:tc>
          <w:tcPr>
            <w:tcW w:w="1054" w:type="dxa"/>
            <w:tcBorders>
              <w:bottom w:val="single" w:sz="4" w:space="0" w:color="auto"/>
            </w:tcBorders>
            <w:shd w:val="clear" w:color="auto" w:fill="auto"/>
          </w:tcPr>
          <w:p w:rsidR="001D70F4" w:rsidRPr="003A03C0" w:rsidRDefault="001D70F4" w:rsidP="001D70F4">
            <w:pPr>
              <w:keepNext/>
              <w:tabs>
                <w:tab w:val="left" w:pos="199"/>
              </w:tabs>
              <w:spacing w:after="0" w:line="260" w:lineRule="exact"/>
              <w:rPr>
                <w:sz w:val="20"/>
                <w:lang w:eastAsia="ja-JP"/>
              </w:rPr>
            </w:pPr>
            <w:r w:rsidRPr="003A03C0">
              <w:rPr>
                <w:sz w:val="20"/>
                <w:lang w:eastAsia="ja-JP"/>
              </w:rPr>
              <w:tab/>
              <w:t>NA</w:t>
            </w:r>
          </w:p>
        </w:tc>
        <w:tc>
          <w:tcPr>
            <w:tcW w:w="1825" w:type="dxa"/>
            <w:tcBorders>
              <w:bottom w:val="single" w:sz="4" w:space="0" w:color="auto"/>
            </w:tcBorders>
            <w:shd w:val="clear" w:color="auto" w:fill="auto"/>
          </w:tcPr>
          <w:p w:rsidR="001D70F4" w:rsidRPr="003A03C0" w:rsidRDefault="001D70F4" w:rsidP="001D70F4">
            <w:pPr>
              <w:keepNext/>
              <w:spacing w:after="0" w:line="260" w:lineRule="exact"/>
              <w:rPr>
                <w:sz w:val="20"/>
                <w:lang w:eastAsia="ja-JP"/>
              </w:rPr>
            </w:pPr>
            <w:r w:rsidRPr="003A03C0">
              <w:rPr>
                <w:sz w:val="20"/>
                <w:lang w:eastAsia="ja-JP"/>
              </w:rPr>
              <w:tab/>
              <w:t>-0.54</w:t>
            </w:r>
          </w:p>
        </w:tc>
        <w:tc>
          <w:tcPr>
            <w:tcW w:w="2088" w:type="dxa"/>
            <w:tcBorders>
              <w:bottom w:val="single" w:sz="4" w:space="0" w:color="auto"/>
            </w:tcBorders>
            <w:shd w:val="clear" w:color="auto" w:fill="auto"/>
          </w:tcPr>
          <w:p w:rsidR="001D70F4" w:rsidRPr="003A03C0" w:rsidRDefault="001D70F4" w:rsidP="001D70F4">
            <w:pPr>
              <w:keepNext/>
              <w:tabs>
                <w:tab w:val="left" w:pos="647"/>
              </w:tabs>
              <w:spacing w:after="0" w:line="260" w:lineRule="exact"/>
              <w:rPr>
                <w:sz w:val="20"/>
                <w:lang w:eastAsia="ja-JP"/>
              </w:rPr>
            </w:pPr>
            <w:r w:rsidRPr="003A03C0">
              <w:rPr>
                <w:sz w:val="20"/>
                <w:lang w:eastAsia="ja-JP"/>
              </w:rPr>
              <w:tab/>
              <w:t>-0.45</w:t>
            </w:r>
          </w:p>
        </w:tc>
        <w:tc>
          <w:tcPr>
            <w:tcW w:w="964" w:type="dxa"/>
            <w:tcBorders>
              <w:bottom w:val="single" w:sz="4" w:space="0" w:color="auto"/>
            </w:tcBorders>
            <w:shd w:val="clear" w:color="auto" w:fill="auto"/>
          </w:tcPr>
          <w:p w:rsidR="001D70F4" w:rsidRPr="003A03C0" w:rsidRDefault="001D70F4" w:rsidP="001D70F4">
            <w:pPr>
              <w:keepNext/>
              <w:tabs>
                <w:tab w:val="left" w:pos="254"/>
              </w:tabs>
              <w:spacing w:after="0" w:line="260" w:lineRule="exact"/>
              <w:rPr>
                <w:sz w:val="20"/>
                <w:lang w:eastAsia="ja-JP"/>
              </w:rPr>
            </w:pPr>
            <w:r w:rsidRPr="003A03C0">
              <w:rPr>
                <w:sz w:val="20"/>
                <w:lang w:eastAsia="ja-JP"/>
              </w:rPr>
              <w:tab/>
              <w:t>NA</w:t>
            </w:r>
          </w:p>
        </w:tc>
        <w:tc>
          <w:tcPr>
            <w:tcW w:w="1825" w:type="dxa"/>
            <w:tcBorders>
              <w:bottom w:val="single" w:sz="4" w:space="0" w:color="auto"/>
            </w:tcBorders>
            <w:shd w:val="clear" w:color="auto" w:fill="auto"/>
          </w:tcPr>
          <w:p w:rsidR="001D70F4" w:rsidRPr="003A03C0" w:rsidRDefault="001D70F4" w:rsidP="001D70F4">
            <w:pPr>
              <w:keepNext/>
              <w:spacing w:after="0" w:line="260" w:lineRule="exact"/>
              <w:rPr>
                <w:sz w:val="20"/>
                <w:lang w:eastAsia="ja-JP"/>
              </w:rPr>
            </w:pPr>
            <w:r w:rsidRPr="003A03C0">
              <w:rPr>
                <w:sz w:val="20"/>
                <w:lang w:eastAsia="ja-JP"/>
              </w:rPr>
              <w:tab/>
              <w:t>NA</w:t>
            </w:r>
          </w:p>
        </w:tc>
      </w:tr>
      <w:tr w:rsidR="001D70F4" w:rsidTr="006A0DBE">
        <w:tc>
          <w:tcPr>
            <w:tcW w:w="9287" w:type="dxa"/>
            <w:gridSpan w:val="6"/>
            <w:tcBorders>
              <w:left w:val="nil"/>
              <w:bottom w:val="nil"/>
              <w:right w:val="nil"/>
            </w:tcBorders>
            <w:shd w:val="clear" w:color="auto" w:fill="auto"/>
          </w:tcPr>
          <w:p w:rsidR="001D70F4" w:rsidRPr="001D70F4" w:rsidRDefault="001D70F4" w:rsidP="001D70F4">
            <w:pPr>
              <w:tabs>
                <w:tab w:val="left" w:pos="180"/>
              </w:tabs>
              <w:spacing w:after="0"/>
              <w:rPr>
                <w:sz w:val="18"/>
                <w:szCs w:val="18"/>
                <w:vertAlign w:val="superscript"/>
              </w:rPr>
            </w:pPr>
            <w:r w:rsidRPr="001D70F4">
              <w:rPr>
                <w:sz w:val="18"/>
                <w:szCs w:val="18"/>
                <w:vertAlign w:val="superscript"/>
              </w:rPr>
              <w:t xml:space="preserve">* </w:t>
            </w:r>
            <w:r w:rsidRPr="001D70F4">
              <w:rPr>
                <w:sz w:val="18"/>
                <w:szCs w:val="18"/>
              </w:rPr>
              <w:t xml:space="preserve">Nominal p≤0.05; </w:t>
            </w:r>
            <w:r w:rsidRPr="001D70F4">
              <w:rPr>
                <w:sz w:val="18"/>
                <w:szCs w:val="18"/>
                <w:vertAlign w:val="superscript"/>
              </w:rPr>
              <w:t xml:space="preserve">*** </w:t>
            </w:r>
            <w:r w:rsidRPr="001D70F4">
              <w:rPr>
                <w:sz w:val="18"/>
                <w:szCs w:val="18"/>
              </w:rPr>
              <w:t>Nominal p&lt;0.0001 for active treatment versus placebo at Month 3.</w:t>
            </w:r>
          </w:p>
          <w:p w:rsidR="001D70F4" w:rsidRPr="001D70F4" w:rsidRDefault="001D70F4" w:rsidP="001D70F4">
            <w:pPr>
              <w:spacing w:after="0"/>
              <w:rPr>
                <w:sz w:val="18"/>
                <w:szCs w:val="18"/>
                <w:vertAlign w:val="superscript"/>
              </w:rPr>
            </w:pPr>
            <w:r w:rsidRPr="001D70F4">
              <w:rPr>
                <w:sz w:val="18"/>
                <w:szCs w:val="18"/>
              </w:rPr>
              <w:t>Abbreviations: DMARD=disease</w:t>
            </w:r>
            <w:r w:rsidRPr="001D70F4">
              <w:rPr>
                <w:sz w:val="18"/>
                <w:szCs w:val="18"/>
              </w:rPr>
              <w:noBreakHyphen/>
              <w:t>modifying antirheumatic drug; HAQ-DI=Health Assessment Questionnaire Disability Index;</w:t>
            </w:r>
            <w:r w:rsidRPr="001D70F4">
              <w:rPr>
                <w:rFonts w:eastAsia="MS Mincho"/>
                <w:sz w:val="18"/>
                <w:szCs w:val="18"/>
              </w:rPr>
              <w:t xml:space="preserve"> </w:t>
            </w:r>
            <w:r w:rsidRPr="001D70F4">
              <w:rPr>
                <w:rFonts w:eastAsia="MS Mincho"/>
                <w:sz w:val="18"/>
                <w:szCs w:val="18"/>
                <w:lang w:eastAsia="ja-JP"/>
              </w:rPr>
              <w:t xml:space="preserve">N=total number of patients in the statistical analysis; SC q2w=subcutaneously once every 2 weeks; </w:t>
            </w:r>
            <w:proofErr w:type="spellStart"/>
            <w:r w:rsidRPr="001D70F4">
              <w:rPr>
                <w:rFonts w:eastAsia="MS Mincho"/>
                <w:sz w:val="18"/>
                <w:szCs w:val="18"/>
                <w:lang w:eastAsia="ja-JP"/>
              </w:rPr>
              <w:t>TNFi</w:t>
            </w:r>
            <w:proofErr w:type="spellEnd"/>
            <w:r w:rsidRPr="001D70F4">
              <w:rPr>
                <w:rFonts w:eastAsia="MS Mincho"/>
                <w:sz w:val="18"/>
                <w:szCs w:val="18"/>
                <w:lang w:eastAsia="ja-JP"/>
              </w:rPr>
              <w:t>=tumour necrosis factor inhibitor.</w:t>
            </w:r>
          </w:p>
          <w:p w:rsidR="001D70F4" w:rsidRPr="001D70F4" w:rsidRDefault="001D70F4" w:rsidP="001D70F4">
            <w:pPr>
              <w:tabs>
                <w:tab w:val="left" w:pos="180"/>
              </w:tabs>
              <w:spacing w:after="0"/>
              <w:ind w:left="180" w:hanging="180"/>
              <w:rPr>
                <w:sz w:val="18"/>
                <w:szCs w:val="18"/>
              </w:rPr>
            </w:pPr>
            <w:proofErr w:type="spellStart"/>
            <w:proofErr w:type="gramStart"/>
            <w:r w:rsidRPr="001D70F4">
              <w:rPr>
                <w:sz w:val="18"/>
                <w:szCs w:val="18"/>
                <w:vertAlign w:val="superscript"/>
              </w:rPr>
              <w:t>a</w:t>
            </w:r>
            <w:proofErr w:type="spellEnd"/>
            <w:proofErr w:type="gramEnd"/>
            <w:r w:rsidRPr="001D70F4">
              <w:rPr>
                <w:sz w:val="18"/>
                <w:szCs w:val="18"/>
                <w:vertAlign w:val="superscript"/>
              </w:rPr>
              <w:t xml:space="preserve"> </w:t>
            </w:r>
            <w:r w:rsidRPr="001D70F4">
              <w:rPr>
                <w:sz w:val="18"/>
                <w:szCs w:val="18"/>
                <w:vertAlign w:val="superscript"/>
              </w:rPr>
              <w:tab/>
            </w:r>
            <w:r w:rsidRPr="001D70F4">
              <w:rPr>
                <w:sz w:val="18"/>
                <w:szCs w:val="18"/>
              </w:rPr>
              <w:t>Inadequate response to at least one conventional synthetic DMARD (</w:t>
            </w:r>
            <w:proofErr w:type="spellStart"/>
            <w:r w:rsidRPr="001D70F4">
              <w:rPr>
                <w:sz w:val="18"/>
                <w:szCs w:val="18"/>
              </w:rPr>
              <w:t>csDMARD</w:t>
            </w:r>
            <w:proofErr w:type="spellEnd"/>
            <w:r w:rsidRPr="001D70F4">
              <w:rPr>
                <w:sz w:val="18"/>
                <w:szCs w:val="18"/>
              </w:rPr>
              <w:t>) due to lack of efficacy and/or intolerability.</w:t>
            </w:r>
          </w:p>
          <w:p w:rsidR="001D70F4" w:rsidRPr="001D70F4" w:rsidRDefault="001D70F4" w:rsidP="001D70F4">
            <w:pPr>
              <w:tabs>
                <w:tab w:val="left" w:pos="180"/>
              </w:tabs>
              <w:spacing w:after="0"/>
              <w:rPr>
                <w:sz w:val="18"/>
                <w:szCs w:val="18"/>
              </w:rPr>
            </w:pPr>
            <w:proofErr w:type="gramStart"/>
            <w:r w:rsidRPr="001D70F4">
              <w:rPr>
                <w:sz w:val="18"/>
                <w:szCs w:val="18"/>
                <w:vertAlign w:val="superscript"/>
              </w:rPr>
              <w:t>b</w:t>
            </w:r>
            <w:proofErr w:type="gramEnd"/>
            <w:r w:rsidRPr="001D70F4">
              <w:rPr>
                <w:sz w:val="18"/>
                <w:szCs w:val="18"/>
                <w:vertAlign w:val="superscript"/>
              </w:rPr>
              <w:t xml:space="preserve"> </w:t>
            </w:r>
            <w:r w:rsidRPr="001D70F4">
              <w:rPr>
                <w:sz w:val="18"/>
                <w:szCs w:val="18"/>
                <w:vertAlign w:val="superscript"/>
              </w:rPr>
              <w:tab/>
            </w:r>
            <w:r w:rsidRPr="001D70F4">
              <w:rPr>
                <w:sz w:val="18"/>
                <w:szCs w:val="18"/>
              </w:rPr>
              <w:t>Inadequate response to a least one TNF inhibitor (</w:t>
            </w:r>
            <w:proofErr w:type="spellStart"/>
            <w:r w:rsidRPr="001D70F4">
              <w:rPr>
                <w:sz w:val="18"/>
                <w:szCs w:val="18"/>
              </w:rPr>
              <w:t>TNFi</w:t>
            </w:r>
            <w:proofErr w:type="spellEnd"/>
            <w:r w:rsidRPr="001D70F4">
              <w:rPr>
                <w:sz w:val="18"/>
                <w:szCs w:val="18"/>
              </w:rPr>
              <w:t>) due to lack of efficacy and/or intolerability.</w:t>
            </w:r>
          </w:p>
          <w:p w:rsidR="001D70F4" w:rsidRPr="001D70F4" w:rsidRDefault="001D70F4" w:rsidP="001D70F4">
            <w:pPr>
              <w:tabs>
                <w:tab w:val="left" w:pos="180"/>
              </w:tabs>
              <w:spacing w:after="0"/>
              <w:rPr>
                <w:sz w:val="18"/>
                <w:szCs w:val="18"/>
                <w:lang w:eastAsia="ja-JP"/>
              </w:rPr>
            </w:pPr>
            <w:proofErr w:type="gramStart"/>
            <w:r w:rsidRPr="001D70F4">
              <w:rPr>
                <w:sz w:val="18"/>
                <w:szCs w:val="18"/>
                <w:vertAlign w:val="superscript"/>
              </w:rPr>
              <w:t>c</w:t>
            </w:r>
            <w:proofErr w:type="gramEnd"/>
            <w:r w:rsidRPr="001D70F4">
              <w:rPr>
                <w:sz w:val="18"/>
                <w:szCs w:val="18"/>
                <w:vertAlign w:val="superscript"/>
              </w:rPr>
              <w:tab/>
            </w:r>
            <w:r w:rsidRPr="001D70F4">
              <w:rPr>
                <w:sz w:val="18"/>
                <w:szCs w:val="18"/>
              </w:rPr>
              <w:t>Achieved statistical significance globally at p≤ 0.05 per the pre-specified step-down testing procedure.</w:t>
            </w:r>
          </w:p>
        </w:tc>
      </w:tr>
    </w:tbl>
    <w:p w:rsidR="001D70F4" w:rsidRDefault="001D70F4" w:rsidP="00DF0E86">
      <w:pPr>
        <w:pStyle w:val="Paragraph"/>
        <w:jc w:val="both"/>
      </w:pPr>
    </w:p>
    <w:p w:rsidR="00DF0E86" w:rsidRPr="004569AC" w:rsidRDefault="00DF0E86" w:rsidP="00DF0E86">
      <w:pPr>
        <w:pStyle w:val="Paragraph"/>
        <w:jc w:val="both"/>
      </w:pPr>
      <w:r w:rsidRPr="004569AC">
        <w:t>The HAQ-DI responder rate (response defined as having decrease from baseline of ≥ 0.35) at Month 3 in Studies OPAL BROADEN and OPAL BEYOND was 53% and 50%, respectively in patients rece</w:t>
      </w:r>
      <w:r w:rsidR="009E1CEA">
        <w:t>iving XELJANZ 5 mg twice daily</w:t>
      </w:r>
      <w:r w:rsidRPr="004569AC">
        <w:t>, 31% and 28%, respectively in patients receiving placebo, and 53% in patients receiving adalimumab 40 mg subcutaneously once every 2 weeks (OPAL BROADEN only).</w:t>
      </w:r>
    </w:p>
    <w:p w:rsidR="00DF0E86" w:rsidRPr="004569AC" w:rsidRDefault="00DF0E86" w:rsidP="00DF0E86">
      <w:pPr>
        <w:pStyle w:val="Paragraph"/>
        <w:jc w:val="both"/>
        <w:rPr>
          <w:lang w:val="en-GB"/>
        </w:rPr>
      </w:pPr>
      <w:r w:rsidRPr="004569AC">
        <w:rPr>
          <w:lang w:val="en-GB"/>
        </w:rPr>
        <w:t>Health-related quality of life was assessed by SF-36v2. Patients receiving XELJANZ 5 mg twice daily demonstrated greater improvement from baseline compared to placebo in the physical functioning domain and the physical component summary score at Month 3 in Studies </w:t>
      </w:r>
      <w:r w:rsidRPr="004569AC">
        <w:t>OPAL BROADEN and OPAL BEYOND</w:t>
      </w:r>
      <w:r w:rsidRPr="004569AC">
        <w:rPr>
          <w:lang w:val="en-GB"/>
        </w:rPr>
        <w:t xml:space="preserve"> (nominal p≤ 0.05). Improvements from baseline in SF-36v2 were maintained</w:t>
      </w:r>
      <w:r w:rsidR="00F53109">
        <w:rPr>
          <w:lang w:val="en-GB"/>
        </w:rPr>
        <w:t xml:space="preserve"> or improved</w:t>
      </w:r>
      <w:r w:rsidRPr="004569AC">
        <w:rPr>
          <w:lang w:val="en-GB"/>
        </w:rPr>
        <w:t xml:space="preserve"> through Month 6 (</w:t>
      </w:r>
      <w:r w:rsidRPr="004569AC">
        <w:t>OPAL BROADEN and OPAL BEYOND</w:t>
      </w:r>
      <w:r w:rsidRPr="004569AC">
        <w:rPr>
          <w:lang w:val="en-GB"/>
        </w:rPr>
        <w:t>) and Month 12 (</w:t>
      </w:r>
      <w:r w:rsidRPr="004569AC">
        <w:t>OPAL BROADEN</w:t>
      </w:r>
      <w:r w:rsidRPr="004569AC">
        <w:rPr>
          <w:lang w:val="en-GB"/>
        </w:rPr>
        <w:t>).</w:t>
      </w:r>
    </w:p>
    <w:p w:rsidR="00DF0E86" w:rsidRPr="004569AC" w:rsidRDefault="00DF0E86" w:rsidP="00DF0E86">
      <w:pPr>
        <w:pStyle w:val="Paragraph"/>
        <w:jc w:val="both"/>
        <w:rPr>
          <w:lang w:val="en-GB"/>
        </w:rPr>
      </w:pPr>
      <w:r w:rsidRPr="004569AC">
        <w:rPr>
          <w:lang w:val="en-GB"/>
        </w:rPr>
        <w:t xml:space="preserve">Improvement in fatigue was evaluated by the FACIT-F. Patients receiving XELJANZ 5 mg twice daily demonstrated greater improvements from baseline in FACIT-F scores compared to placebo at Month 3 in Studies </w:t>
      </w:r>
      <w:r w:rsidRPr="004569AC">
        <w:t>OPAL BROADEN and OPAL BEYOND</w:t>
      </w:r>
      <w:r w:rsidRPr="004569AC">
        <w:rPr>
          <w:lang w:val="en-GB"/>
        </w:rPr>
        <w:t xml:space="preserve"> (nominal p≤ 0.05). Improvements from baseline in FACIT-F scores were maintained or improved up to Month 6 (</w:t>
      </w:r>
      <w:r w:rsidRPr="004569AC">
        <w:t>OPAL BROADEN and OPAL BEYOND</w:t>
      </w:r>
      <w:r w:rsidRPr="004569AC">
        <w:rPr>
          <w:lang w:val="en-GB"/>
        </w:rPr>
        <w:t>) and Month 12 (</w:t>
      </w:r>
      <w:r w:rsidRPr="004569AC">
        <w:t>OPAL BROADEN</w:t>
      </w:r>
      <w:r w:rsidRPr="004569AC">
        <w:rPr>
          <w:lang w:val="en-GB"/>
        </w:rPr>
        <w:t>).</w:t>
      </w:r>
    </w:p>
    <w:p w:rsidR="00F02665" w:rsidRDefault="00DF0E86" w:rsidP="00DF0E86">
      <w:pPr>
        <w:pStyle w:val="Paragraph"/>
        <w:jc w:val="both"/>
        <w:rPr>
          <w:lang w:val="en-GB"/>
        </w:rPr>
      </w:pPr>
      <w:r w:rsidRPr="004569AC">
        <w:rPr>
          <w:lang w:val="en-GB"/>
        </w:rPr>
        <w:t>Improvement in pain was assessed by the Patient’s Assessment of Arthritis Pain on a 0 to 100 Visual Analogue Scale (PAAP VAS). Patients receiving XELJANZ 5 mg twice daily demonstrated a greater reduction in pain from baseline in the PAAP VAS score compared to placebo at Month 3; this was seen as early as Week 2 in Studies OPAL BROADEN and OPAL BEYOND (nominal p≤ 0.05). Improvement from baseline in PAAP VAS scores was maintained up to Month 6 (OPAL BROADEN and OPAL BEYOND) and Month 12 (OPAL BROADEN).</w:t>
      </w:r>
    </w:p>
    <w:p w:rsidR="00ED620C" w:rsidRPr="0042478B" w:rsidRDefault="00ED620C" w:rsidP="00ED620C">
      <w:pPr>
        <w:pStyle w:val="PIHeading3"/>
      </w:pPr>
      <w:r>
        <w:lastRenderedPageBreak/>
        <w:t>Ulcerative Colitis</w:t>
      </w:r>
    </w:p>
    <w:p w:rsidR="00563091" w:rsidRDefault="00563091" w:rsidP="00563091">
      <w:pPr>
        <w:pStyle w:val="PIHeading4"/>
        <w:rPr>
          <w:rFonts w:eastAsia="Calibri"/>
        </w:rPr>
      </w:pPr>
      <w:r w:rsidRPr="00754A8C">
        <w:rPr>
          <w:rFonts w:eastAsia="Calibri"/>
        </w:rPr>
        <w:t xml:space="preserve">Induction </w:t>
      </w:r>
      <w:r>
        <w:rPr>
          <w:rFonts w:eastAsia="Calibri"/>
        </w:rPr>
        <w:t xml:space="preserve">Studies </w:t>
      </w:r>
      <w:r w:rsidRPr="00754A8C">
        <w:rPr>
          <w:rFonts w:eastAsia="Calibri"/>
        </w:rPr>
        <w:t>(OCTAVE Induction 1 and OCTAVE Induction 2</w:t>
      </w:r>
      <w:r w:rsidR="00C34E0E">
        <w:rPr>
          <w:rFonts w:eastAsia="Calibri"/>
        </w:rPr>
        <w:t>)</w:t>
      </w:r>
    </w:p>
    <w:p w:rsidR="00ED620C" w:rsidRDefault="00ED620C" w:rsidP="00ED620C">
      <w:pPr>
        <w:autoSpaceDE w:val="0"/>
        <w:autoSpaceDN w:val="0"/>
        <w:adjustRightInd w:val="0"/>
        <w:rPr>
          <w:szCs w:val="24"/>
          <w:lang w:val="en-GB"/>
        </w:rPr>
      </w:pPr>
      <w:r w:rsidRPr="00ED620C">
        <w:rPr>
          <w:szCs w:val="24"/>
          <w:lang w:val="en-GB"/>
        </w:rPr>
        <w:t>In two identical induction trials</w:t>
      </w:r>
      <w:r w:rsidR="00F01C9C">
        <w:rPr>
          <w:szCs w:val="24"/>
          <w:lang w:val="en-GB"/>
        </w:rPr>
        <w:t xml:space="preserve"> </w:t>
      </w:r>
      <w:r w:rsidR="00F01C9C" w:rsidRPr="00754A8C">
        <w:rPr>
          <w:rFonts w:eastAsia="Calibri"/>
        </w:rPr>
        <w:t>(OCTAVE Induction 1</w:t>
      </w:r>
      <w:r w:rsidR="00F01C9C">
        <w:rPr>
          <w:rFonts w:eastAsia="Calibri"/>
        </w:rPr>
        <w:t xml:space="preserve"> / Study UC-I</w:t>
      </w:r>
      <w:r w:rsidR="00F01C9C" w:rsidRPr="00754A8C">
        <w:rPr>
          <w:rFonts w:eastAsia="Calibri"/>
        </w:rPr>
        <w:t xml:space="preserve"> and OCTAVE Induction 2</w:t>
      </w:r>
      <w:r w:rsidR="00F01C9C">
        <w:rPr>
          <w:rFonts w:eastAsia="Calibri"/>
        </w:rPr>
        <w:t xml:space="preserve"> / Study UC-II)</w:t>
      </w:r>
      <w:r w:rsidRPr="00ED620C">
        <w:rPr>
          <w:szCs w:val="24"/>
          <w:lang w:val="en-GB"/>
        </w:rPr>
        <w:t>, 1139 patients were randomised (598 and</w:t>
      </w:r>
      <w:r w:rsidR="00242E3D">
        <w:rPr>
          <w:szCs w:val="24"/>
          <w:lang w:val="en-GB"/>
        </w:rPr>
        <w:t xml:space="preserve"> </w:t>
      </w:r>
      <w:r w:rsidRPr="00ED620C">
        <w:rPr>
          <w:szCs w:val="24"/>
          <w:lang w:val="en-GB"/>
        </w:rPr>
        <w:t xml:space="preserve">541 patients, respectively) to XELJANZ 10 mg twice daily or placebo with a 4:1 treatment allocation ratio. </w:t>
      </w:r>
      <w:r w:rsidR="00242E3D">
        <w:rPr>
          <w:szCs w:val="24"/>
          <w:lang w:val="en-GB"/>
        </w:rPr>
        <w:t xml:space="preserve"> </w:t>
      </w:r>
      <w:r w:rsidRPr="00ED620C">
        <w:rPr>
          <w:szCs w:val="24"/>
          <w:lang w:val="en-GB"/>
        </w:rPr>
        <w:t>A total of 52%, 73% and 72% of patients had previously failed or were i</w:t>
      </w:r>
      <w:r w:rsidR="00563091">
        <w:rPr>
          <w:szCs w:val="24"/>
          <w:lang w:val="en-GB"/>
        </w:rPr>
        <w:t>ntolerant to TNF blockers, corticosteroids</w:t>
      </w:r>
      <w:r w:rsidRPr="00ED620C">
        <w:rPr>
          <w:szCs w:val="24"/>
          <w:lang w:val="en-GB"/>
        </w:rPr>
        <w:t>, and/or immunosuppressants</w:t>
      </w:r>
      <w:r w:rsidR="00242E3D">
        <w:rPr>
          <w:szCs w:val="24"/>
          <w:lang w:val="en-GB"/>
        </w:rPr>
        <w:t>,</w:t>
      </w:r>
      <w:r w:rsidRPr="00ED620C">
        <w:rPr>
          <w:szCs w:val="24"/>
          <w:lang w:val="en-GB"/>
        </w:rPr>
        <w:t xml:space="preserve"> respectively. Oral corticosteroids were received as concomitant treatment for UC by 47% of patients and 71% were receiving concomitant </w:t>
      </w:r>
      <w:proofErr w:type="spellStart"/>
      <w:r w:rsidRPr="00ED620C">
        <w:rPr>
          <w:szCs w:val="24"/>
          <w:lang w:val="en-GB"/>
        </w:rPr>
        <w:t>aminosalicylates</w:t>
      </w:r>
      <w:proofErr w:type="spellEnd"/>
      <w:r w:rsidRPr="00ED620C">
        <w:rPr>
          <w:szCs w:val="24"/>
          <w:lang w:val="en-GB"/>
        </w:rPr>
        <w:t xml:space="preserve"> as treatment for UC. </w:t>
      </w:r>
      <w:r w:rsidR="00242E3D">
        <w:rPr>
          <w:szCs w:val="24"/>
          <w:lang w:val="en-GB"/>
        </w:rPr>
        <w:t xml:space="preserve"> </w:t>
      </w:r>
      <w:r w:rsidRPr="00ED620C">
        <w:rPr>
          <w:szCs w:val="24"/>
          <w:lang w:val="en-GB"/>
        </w:rPr>
        <w:t>The baseline clinical characteristics were generally similar between the XELJANZ treated patients and patients receiving placebo.</w:t>
      </w:r>
    </w:p>
    <w:p w:rsidR="00DF2B43" w:rsidRPr="00ED620C" w:rsidRDefault="00DF2B43" w:rsidP="00DF2B43">
      <w:pPr>
        <w:autoSpaceDE w:val="0"/>
        <w:autoSpaceDN w:val="0"/>
        <w:adjustRightInd w:val="0"/>
        <w:rPr>
          <w:szCs w:val="24"/>
          <w:lang w:val="en-GB"/>
        </w:rPr>
      </w:pPr>
      <w:r w:rsidRPr="00DF2B43">
        <w:rPr>
          <w:szCs w:val="24"/>
          <w:lang w:val="en-GB"/>
        </w:rPr>
        <w:t>The disease activity was assessed by Mayo scoring index (0 to 12) which consists of four</w:t>
      </w:r>
      <w:r>
        <w:rPr>
          <w:szCs w:val="24"/>
          <w:lang w:val="en-GB"/>
        </w:rPr>
        <w:t xml:space="preserve"> </w:t>
      </w:r>
      <w:proofErr w:type="spellStart"/>
      <w:r w:rsidRPr="00DF2B43">
        <w:rPr>
          <w:szCs w:val="24"/>
          <w:lang w:val="en-GB"/>
        </w:rPr>
        <w:t>subscores</w:t>
      </w:r>
      <w:proofErr w:type="spellEnd"/>
      <w:r w:rsidRPr="00DF2B43">
        <w:rPr>
          <w:szCs w:val="24"/>
          <w:lang w:val="en-GB"/>
        </w:rPr>
        <w:t xml:space="preserve"> (0 to 3 for each </w:t>
      </w:r>
      <w:proofErr w:type="spellStart"/>
      <w:r w:rsidRPr="00DF2B43">
        <w:rPr>
          <w:szCs w:val="24"/>
          <w:lang w:val="en-GB"/>
        </w:rPr>
        <w:t>subscore</w:t>
      </w:r>
      <w:proofErr w:type="spellEnd"/>
      <w:r w:rsidRPr="00DF2B43">
        <w:rPr>
          <w:szCs w:val="24"/>
          <w:lang w:val="en-GB"/>
        </w:rPr>
        <w:t>): stool frequency, rectal b</w:t>
      </w:r>
      <w:r>
        <w:rPr>
          <w:szCs w:val="24"/>
          <w:lang w:val="en-GB"/>
        </w:rPr>
        <w:t xml:space="preserve">leeding, findings on endoscopy, and </w:t>
      </w:r>
      <w:r w:rsidRPr="00DF2B43">
        <w:rPr>
          <w:szCs w:val="24"/>
          <w:lang w:val="en-GB"/>
        </w:rPr>
        <w:t xml:space="preserve">physician global assessment. An endoscopy </w:t>
      </w:r>
      <w:proofErr w:type="spellStart"/>
      <w:r w:rsidRPr="00DF2B43">
        <w:rPr>
          <w:szCs w:val="24"/>
          <w:lang w:val="en-GB"/>
        </w:rPr>
        <w:t>subscore</w:t>
      </w:r>
      <w:proofErr w:type="spellEnd"/>
      <w:r w:rsidRPr="00DF2B43">
        <w:rPr>
          <w:szCs w:val="24"/>
          <w:lang w:val="en-GB"/>
        </w:rPr>
        <w:t xml:space="preserve"> of 2 </w:t>
      </w:r>
      <w:r>
        <w:rPr>
          <w:szCs w:val="24"/>
          <w:lang w:val="en-GB"/>
        </w:rPr>
        <w:t xml:space="preserve">was defined by marked erythema, </w:t>
      </w:r>
      <w:r w:rsidRPr="00DF2B43">
        <w:rPr>
          <w:szCs w:val="24"/>
          <w:lang w:val="en-GB"/>
        </w:rPr>
        <w:t>absent vascular pattern, any friability, and erosions; an endosco</w:t>
      </w:r>
      <w:r>
        <w:rPr>
          <w:szCs w:val="24"/>
          <w:lang w:val="en-GB"/>
        </w:rPr>
        <w:t xml:space="preserve">py </w:t>
      </w:r>
      <w:proofErr w:type="spellStart"/>
      <w:r>
        <w:rPr>
          <w:szCs w:val="24"/>
          <w:lang w:val="en-GB"/>
        </w:rPr>
        <w:t>subscore</w:t>
      </w:r>
      <w:proofErr w:type="spellEnd"/>
      <w:r>
        <w:rPr>
          <w:szCs w:val="24"/>
          <w:lang w:val="en-GB"/>
        </w:rPr>
        <w:t xml:space="preserve"> of 3 was defined by </w:t>
      </w:r>
      <w:r w:rsidRPr="00DF2B43">
        <w:rPr>
          <w:szCs w:val="24"/>
          <w:lang w:val="en-GB"/>
        </w:rPr>
        <w:t>spontaneous bleeding and ulceration.</w:t>
      </w:r>
    </w:p>
    <w:p w:rsidR="00382571" w:rsidRDefault="00ED620C" w:rsidP="00ED620C">
      <w:pPr>
        <w:rPr>
          <w:rFonts w:eastAsia="Calibri"/>
        </w:rPr>
      </w:pPr>
      <w:r w:rsidRPr="00D05F01">
        <w:rPr>
          <w:rFonts w:eastAsia="Calibri"/>
        </w:rPr>
        <w:t>The primary endpoint of OCTAVE Induction 1 and OCTAVE In</w:t>
      </w:r>
      <w:r w:rsidRPr="00BE1589">
        <w:rPr>
          <w:rFonts w:eastAsia="Calibri"/>
        </w:rPr>
        <w:t xml:space="preserve">duction </w:t>
      </w:r>
      <w:r w:rsidRPr="00F97BC4">
        <w:rPr>
          <w:rFonts w:eastAsia="Calibri"/>
        </w:rPr>
        <w:t>2</w:t>
      </w:r>
      <w:r w:rsidRPr="00681109">
        <w:rPr>
          <w:rFonts w:eastAsia="Calibri"/>
        </w:rPr>
        <w:t xml:space="preserve"> was the proportion of patients in remission at Week</w:t>
      </w:r>
      <w:r w:rsidRPr="00547E22">
        <w:rPr>
          <w:rFonts w:eastAsia="Calibri"/>
        </w:rPr>
        <w:t> </w:t>
      </w:r>
      <w:r w:rsidRPr="00335D78">
        <w:rPr>
          <w:rFonts w:eastAsia="Calibri"/>
        </w:rPr>
        <w:t>8, and the key secondary endpoint was the proportion of patients with improvement of endoscopic a</w:t>
      </w:r>
      <w:r w:rsidRPr="00741969">
        <w:rPr>
          <w:rFonts w:eastAsia="Calibri"/>
        </w:rPr>
        <w:t>ppearance of the mucosa at Week</w:t>
      </w:r>
      <w:r w:rsidRPr="005D411A">
        <w:rPr>
          <w:rFonts w:eastAsia="Calibri"/>
        </w:rPr>
        <w:t> </w:t>
      </w:r>
      <w:r w:rsidRPr="004644F1">
        <w:rPr>
          <w:rFonts w:eastAsia="Calibri"/>
        </w:rPr>
        <w:t>8. Remission was defined as clinical remission (a total Mayo score ≤</w:t>
      </w:r>
      <w:r>
        <w:rPr>
          <w:rFonts w:eastAsia="Calibri"/>
        </w:rPr>
        <w:t> </w:t>
      </w:r>
      <w:r w:rsidRPr="004644F1">
        <w:rPr>
          <w:rFonts w:eastAsia="Calibri"/>
        </w:rPr>
        <w:t xml:space="preserve">2 with no individual </w:t>
      </w:r>
      <w:proofErr w:type="spellStart"/>
      <w:r w:rsidRPr="004644F1">
        <w:rPr>
          <w:rFonts w:eastAsia="Calibri"/>
        </w:rPr>
        <w:t>subscore</w:t>
      </w:r>
      <w:proofErr w:type="spellEnd"/>
      <w:r w:rsidRPr="004644F1">
        <w:rPr>
          <w:rFonts w:eastAsia="Calibri"/>
        </w:rPr>
        <w:t xml:space="preserve"> &gt;</w:t>
      </w:r>
      <w:r>
        <w:rPr>
          <w:rFonts w:eastAsia="Calibri"/>
        </w:rPr>
        <w:t> </w:t>
      </w:r>
      <w:r w:rsidRPr="004644F1">
        <w:rPr>
          <w:rFonts w:eastAsia="Calibri"/>
        </w:rPr>
        <w:t xml:space="preserve">1) and rectal bleeding </w:t>
      </w:r>
      <w:proofErr w:type="spellStart"/>
      <w:r w:rsidRPr="004644F1">
        <w:rPr>
          <w:rFonts w:eastAsia="Calibri"/>
        </w:rPr>
        <w:t>subscore</w:t>
      </w:r>
      <w:proofErr w:type="spellEnd"/>
      <w:r w:rsidRPr="004644F1">
        <w:rPr>
          <w:rFonts w:eastAsia="Calibri"/>
        </w:rPr>
        <w:t xml:space="preserve"> of 0. Improvement of endoscopic appearance of the mucosa was defined as endoscopy </w:t>
      </w:r>
      <w:proofErr w:type="spellStart"/>
      <w:r w:rsidRPr="004644F1">
        <w:rPr>
          <w:rFonts w:eastAsia="Calibri"/>
        </w:rPr>
        <w:t>subscore</w:t>
      </w:r>
      <w:proofErr w:type="spellEnd"/>
      <w:r w:rsidRPr="004644F1">
        <w:rPr>
          <w:rFonts w:eastAsia="Calibri"/>
        </w:rPr>
        <w:t xml:space="preserve"> </w:t>
      </w:r>
      <w:r w:rsidRPr="008A7562">
        <w:rPr>
          <w:rFonts w:eastAsia="Calibri"/>
        </w:rPr>
        <w:t>of 0 or 1.</w:t>
      </w:r>
    </w:p>
    <w:p w:rsidR="00ED620C" w:rsidRPr="00382571" w:rsidRDefault="00382571" w:rsidP="00382571">
      <w:pPr>
        <w:autoSpaceDE w:val="0"/>
        <w:autoSpaceDN w:val="0"/>
        <w:adjustRightInd w:val="0"/>
        <w:jc w:val="left"/>
        <w:rPr>
          <w:rFonts w:eastAsia="TimesNewRoman"/>
          <w:szCs w:val="24"/>
          <w:lang w:eastAsia="en-AU"/>
        </w:rPr>
      </w:pPr>
      <w:r w:rsidRPr="00382571">
        <w:rPr>
          <w:rFonts w:eastAsia="Calibri"/>
          <w:szCs w:val="24"/>
        </w:rPr>
        <w:t xml:space="preserve">The other secondary efficacy endpoints were clinical response at Week 8 and </w:t>
      </w:r>
      <w:r w:rsidR="00BE5DDA">
        <w:rPr>
          <w:rFonts w:eastAsia="Calibri"/>
          <w:szCs w:val="24"/>
        </w:rPr>
        <w:t>n</w:t>
      </w:r>
      <w:r w:rsidR="00BE5DDA" w:rsidRPr="00BE5DDA">
        <w:rPr>
          <w:rFonts w:eastAsia="Calibri"/>
          <w:szCs w:val="24"/>
        </w:rPr>
        <w:t>ormalisation of endoscopic appearance of the mucosa</w:t>
      </w:r>
      <w:r w:rsidRPr="00382571">
        <w:rPr>
          <w:rFonts w:eastAsia="Calibri"/>
          <w:szCs w:val="24"/>
        </w:rPr>
        <w:t xml:space="preserve"> at Week 8. </w:t>
      </w:r>
      <w:r w:rsidR="00ED620C" w:rsidRPr="00382571">
        <w:rPr>
          <w:rFonts w:eastAsia="Calibri"/>
          <w:szCs w:val="24"/>
        </w:rPr>
        <w:t xml:space="preserve"> </w:t>
      </w:r>
      <w:r w:rsidRPr="00382571">
        <w:rPr>
          <w:rFonts w:eastAsia="Calibri"/>
          <w:szCs w:val="24"/>
        </w:rPr>
        <w:t xml:space="preserve">Clinical response was defined as a decrease from baseline in Mayo score of ≥ 3 points and ≥ 30%, with an accompanying decrease in the </w:t>
      </w:r>
      <w:proofErr w:type="spellStart"/>
      <w:r w:rsidRPr="00382571">
        <w:rPr>
          <w:rFonts w:eastAsia="Calibri"/>
          <w:szCs w:val="24"/>
        </w:rPr>
        <w:t>subscore</w:t>
      </w:r>
      <w:proofErr w:type="spellEnd"/>
      <w:r w:rsidRPr="00382571">
        <w:rPr>
          <w:rFonts w:eastAsia="Calibri"/>
          <w:szCs w:val="24"/>
        </w:rPr>
        <w:t xml:space="preserve"> for rectal bleeding of ≥ 1 point or absolute </w:t>
      </w:r>
      <w:proofErr w:type="spellStart"/>
      <w:r w:rsidRPr="00382571">
        <w:rPr>
          <w:rFonts w:eastAsia="Calibri"/>
          <w:szCs w:val="24"/>
        </w:rPr>
        <w:t>subscore</w:t>
      </w:r>
      <w:proofErr w:type="spellEnd"/>
      <w:r w:rsidRPr="00382571">
        <w:rPr>
          <w:rFonts w:eastAsia="Calibri"/>
          <w:szCs w:val="24"/>
        </w:rPr>
        <w:t xml:space="preserve"> for rectal bleeding of 0 or 1.  </w:t>
      </w:r>
      <w:r w:rsidR="00BE5DDA" w:rsidRPr="00BE5DDA">
        <w:rPr>
          <w:rFonts w:eastAsia="Calibri"/>
          <w:szCs w:val="24"/>
        </w:rPr>
        <w:t>Normalisation of endoscopic appearance of the mucosa</w:t>
      </w:r>
      <w:r w:rsidRPr="00BE5DDA">
        <w:rPr>
          <w:rFonts w:eastAsia="Calibri"/>
          <w:szCs w:val="24"/>
        </w:rPr>
        <w:t xml:space="preserve"> was defined as a Mayo endoscopic</w:t>
      </w:r>
      <w:r>
        <w:rPr>
          <w:rFonts w:eastAsia="TimesNewRoman"/>
          <w:szCs w:val="24"/>
          <w:lang w:eastAsia="en-AU"/>
        </w:rPr>
        <w:t xml:space="preserve"> </w:t>
      </w:r>
      <w:proofErr w:type="spellStart"/>
      <w:r>
        <w:rPr>
          <w:rFonts w:eastAsia="TimesNewRoman"/>
          <w:szCs w:val="24"/>
          <w:lang w:eastAsia="en-AU"/>
        </w:rPr>
        <w:t>subscore</w:t>
      </w:r>
      <w:proofErr w:type="spellEnd"/>
      <w:r>
        <w:rPr>
          <w:rFonts w:eastAsia="TimesNewRoman"/>
          <w:szCs w:val="24"/>
          <w:lang w:eastAsia="en-AU"/>
        </w:rPr>
        <w:t xml:space="preserve"> of 0.</w:t>
      </w:r>
    </w:p>
    <w:p w:rsidR="00ED620C" w:rsidRPr="00836256" w:rsidRDefault="00ED620C" w:rsidP="00ED620C">
      <w:pPr>
        <w:rPr>
          <w:rStyle w:val="BlueText"/>
          <w:szCs w:val="22"/>
        </w:rPr>
      </w:pPr>
      <w:r w:rsidRPr="000F665C">
        <w:rPr>
          <w:rFonts w:eastAsia="Calibri"/>
        </w:rPr>
        <w:t>A significantly greater proportion of p</w:t>
      </w:r>
      <w:r>
        <w:rPr>
          <w:rFonts w:eastAsia="Calibri"/>
        </w:rPr>
        <w:t>atients treated with XELJANZ 10 </w:t>
      </w:r>
      <w:r w:rsidRPr="000F665C">
        <w:rPr>
          <w:rFonts w:eastAsia="Calibri"/>
        </w:rPr>
        <w:t>mg twice daily achieved remission, improvement of endoscopic appearance of the mucosa, and clinical response at Week</w:t>
      </w:r>
      <w:r>
        <w:rPr>
          <w:rFonts w:eastAsia="Calibri"/>
        </w:rPr>
        <w:t> </w:t>
      </w:r>
      <w:r w:rsidRPr="000F665C">
        <w:rPr>
          <w:rFonts w:eastAsia="Calibri"/>
        </w:rPr>
        <w:t>8</w:t>
      </w:r>
      <w:r>
        <w:rPr>
          <w:rFonts w:eastAsia="Calibri"/>
        </w:rPr>
        <w:t xml:space="preserve"> </w:t>
      </w:r>
      <w:r w:rsidRPr="000F665C">
        <w:rPr>
          <w:rFonts w:eastAsia="Calibri"/>
        </w:rPr>
        <w:t>compared to placebo in both studies, a</w:t>
      </w:r>
      <w:r>
        <w:rPr>
          <w:rFonts w:eastAsia="Calibri"/>
        </w:rPr>
        <w:t xml:space="preserve">s shown in Table </w:t>
      </w:r>
      <w:r w:rsidR="006A1592">
        <w:rPr>
          <w:rFonts w:eastAsia="Calibri"/>
        </w:rPr>
        <w:t>12</w:t>
      </w:r>
      <w:r w:rsidRPr="00836256">
        <w:rPr>
          <w:rFonts w:eastAsia="Calibri"/>
        </w:rPr>
        <w:t xml:space="preserve">. </w:t>
      </w:r>
    </w:p>
    <w:p w:rsidR="00ED620C" w:rsidRDefault="00ED620C" w:rsidP="00ED620C">
      <w:pPr>
        <w:rPr>
          <w:rFonts w:eastAsia="Calibri"/>
        </w:rPr>
      </w:pPr>
      <w:r w:rsidRPr="000F665C">
        <w:rPr>
          <w:rFonts w:eastAsia="Calibri"/>
        </w:rPr>
        <w:t>The efficacy results based on the endoscopic readings at the study sites were consistent with the results based on the central endoscopy readings</w:t>
      </w:r>
      <w:r w:rsidRPr="00C33C9E">
        <w:rPr>
          <w:rFonts w:eastAsia="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30"/>
        <w:gridCol w:w="1620"/>
        <w:gridCol w:w="1620"/>
        <w:gridCol w:w="1440"/>
      </w:tblGrid>
      <w:tr w:rsidR="00ED620C" w:rsidRPr="000F665C" w:rsidTr="007B760C">
        <w:trPr>
          <w:trHeight w:val="250"/>
        </w:trPr>
        <w:tc>
          <w:tcPr>
            <w:tcW w:w="9198" w:type="dxa"/>
            <w:gridSpan w:val="5"/>
            <w:tcBorders>
              <w:top w:val="nil"/>
              <w:left w:val="nil"/>
              <w:bottom w:val="single" w:sz="4" w:space="0" w:color="auto"/>
              <w:right w:val="nil"/>
            </w:tcBorders>
          </w:tcPr>
          <w:p w:rsidR="00ED620C" w:rsidRPr="000F665C" w:rsidRDefault="00ED620C" w:rsidP="006A1592">
            <w:pPr>
              <w:tabs>
                <w:tab w:val="left" w:pos="990"/>
              </w:tabs>
              <w:ind w:left="990" w:hanging="990"/>
              <w:rPr>
                <w:rFonts w:eastAsia="Calibri"/>
                <w:szCs w:val="22"/>
              </w:rPr>
            </w:pPr>
            <w:r>
              <w:rPr>
                <w:rFonts w:eastAsia="Calibri"/>
                <w:b/>
                <w:bCs/>
                <w:szCs w:val="22"/>
              </w:rPr>
              <w:t xml:space="preserve">Table </w:t>
            </w:r>
            <w:r w:rsidR="006A1592">
              <w:rPr>
                <w:rFonts w:eastAsia="Calibri"/>
                <w:b/>
                <w:bCs/>
                <w:szCs w:val="22"/>
              </w:rPr>
              <w:t>12</w:t>
            </w:r>
            <w:r>
              <w:rPr>
                <w:rFonts w:eastAsia="Calibri"/>
                <w:b/>
                <w:bCs/>
                <w:szCs w:val="22"/>
              </w:rPr>
              <w:t>:</w:t>
            </w:r>
            <w:r w:rsidRPr="000F665C">
              <w:rPr>
                <w:rFonts w:eastAsia="Calibri"/>
                <w:b/>
                <w:bCs/>
                <w:szCs w:val="22"/>
              </w:rPr>
              <w:tab/>
              <w:t>Proportion of Patients Meeting Efficacy Endpoints at Week 8 (</w:t>
            </w:r>
            <w:r>
              <w:rPr>
                <w:rFonts w:eastAsia="Calibri"/>
                <w:b/>
                <w:bCs/>
                <w:szCs w:val="22"/>
              </w:rPr>
              <w:t>OCTAVE Induction Study 1 and OCTAVE Induction Study 2)</w:t>
            </w:r>
          </w:p>
        </w:tc>
      </w:tr>
      <w:tr w:rsidR="00ED620C" w:rsidRPr="000F665C" w:rsidTr="007B760C">
        <w:trPr>
          <w:trHeight w:val="251"/>
        </w:trPr>
        <w:tc>
          <w:tcPr>
            <w:tcW w:w="2988" w:type="dxa"/>
            <w:vMerge w:val="restart"/>
            <w:tcBorders>
              <w:top w:val="single" w:sz="4" w:space="0" w:color="auto"/>
              <w:left w:val="single" w:sz="4" w:space="0" w:color="auto"/>
              <w:right w:val="single" w:sz="4" w:space="0" w:color="auto"/>
            </w:tcBorders>
          </w:tcPr>
          <w:p w:rsidR="00ED620C" w:rsidRPr="000F665C" w:rsidRDefault="00ED620C" w:rsidP="007B760C">
            <w:pPr>
              <w:rPr>
                <w:rFonts w:eastAsia="Calibri"/>
                <w:szCs w:val="22"/>
              </w:rPr>
            </w:pPr>
          </w:p>
        </w:tc>
        <w:tc>
          <w:tcPr>
            <w:tcW w:w="6210" w:type="dxa"/>
            <w:gridSpan w:val="4"/>
            <w:tcBorders>
              <w:top w:val="single" w:sz="4" w:space="0" w:color="auto"/>
              <w:left w:val="single" w:sz="4" w:space="0" w:color="auto"/>
              <w:right w:val="single" w:sz="4" w:space="0" w:color="auto"/>
            </w:tcBorders>
          </w:tcPr>
          <w:p w:rsidR="00ED620C" w:rsidRPr="000F665C" w:rsidRDefault="00ED620C" w:rsidP="007B760C">
            <w:pPr>
              <w:jc w:val="center"/>
              <w:rPr>
                <w:rFonts w:eastAsia="Calibri"/>
                <w:szCs w:val="22"/>
              </w:rPr>
            </w:pPr>
            <w:r>
              <w:rPr>
                <w:rFonts w:eastAsia="Calibri"/>
                <w:b/>
                <w:bCs/>
                <w:szCs w:val="22"/>
              </w:rPr>
              <w:t>OCTAVE Induction Study 1</w:t>
            </w:r>
          </w:p>
        </w:tc>
      </w:tr>
      <w:tr w:rsidR="00ED620C" w:rsidRPr="000F665C" w:rsidTr="007B760C">
        <w:trPr>
          <w:trHeight w:val="220"/>
        </w:trPr>
        <w:tc>
          <w:tcPr>
            <w:tcW w:w="2988" w:type="dxa"/>
            <w:vMerge/>
            <w:tcBorders>
              <w:left w:val="single" w:sz="4" w:space="0" w:color="auto"/>
              <w:right w:val="single" w:sz="4" w:space="0" w:color="auto"/>
            </w:tcBorders>
          </w:tcPr>
          <w:p w:rsidR="00ED620C" w:rsidRPr="000F665C" w:rsidRDefault="00ED620C" w:rsidP="007B760C">
            <w:pPr>
              <w:rPr>
                <w:rFonts w:eastAsia="Calibri"/>
                <w:szCs w:val="22"/>
              </w:rPr>
            </w:pPr>
          </w:p>
        </w:tc>
        <w:tc>
          <w:tcPr>
            <w:tcW w:w="3150" w:type="dxa"/>
            <w:gridSpan w:val="2"/>
            <w:tcBorders>
              <w:left w:val="single" w:sz="4" w:space="0" w:color="auto"/>
            </w:tcBorders>
            <w:vAlign w:val="center"/>
          </w:tcPr>
          <w:p w:rsidR="00ED620C" w:rsidRPr="000F665C" w:rsidRDefault="00ED620C" w:rsidP="007B760C">
            <w:pPr>
              <w:jc w:val="center"/>
              <w:rPr>
                <w:rFonts w:eastAsia="Calibri"/>
                <w:b/>
                <w:szCs w:val="22"/>
              </w:rPr>
            </w:pPr>
            <w:r w:rsidRPr="000F665C">
              <w:rPr>
                <w:rFonts w:eastAsia="Calibri"/>
                <w:b/>
                <w:szCs w:val="22"/>
              </w:rPr>
              <w:t>Central Endoscopy Read</w:t>
            </w:r>
          </w:p>
        </w:tc>
        <w:tc>
          <w:tcPr>
            <w:tcW w:w="3060" w:type="dxa"/>
            <w:gridSpan w:val="2"/>
            <w:vAlign w:val="center"/>
          </w:tcPr>
          <w:p w:rsidR="00ED620C" w:rsidRPr="000F665C" w:rsidRDefault="00ED620C" w:rsidP="007B760C">
            <w:pPr>
              <w:jc w:val="center"/>
              <w:rPr>
                <w:rFonts w:eastAsia="Calibri"/>
                <w:b/>
                <w:bCs/>
                <w:szCs w:val="22"/>
              </w:rPr>
            </w:pPr>
            <w:r w:rsidRPr="000F665C">
              <w:rPr>
                <w:rFonts w:eastAsia="Calibri"/>
                <w:b/>
                <w:bCs/>
                <w:szCs w:val="22"/>
              </w:rPr>
              <w:t>Local Endoscopy Read</w:t>
            </w:r>
          </w:p>
        </w:tc>
      </w:tr>
      <w:tr w:rsidR="00ED620C" w:rsidRPr="000F665C" w:rsidTr="007B760C">
        <w:trPr>
          <w:trHeight w:val="220"/>
        </w:trPr>
        <w:tc>
          <w:tcPr>
            <w:tcW w:w="2988" w:type="dxa"/>
          </w:tcPr>
          <w:p w:rsidR="00ED620C" w:rsidRPr="000F665C" w:rsidRDefault="00ED620C" w:rsidP="007B760C">
            <w:pPr>
              <w:rPr>
                <w:rFonts w:eastAsia="Calibri"/>
                <w:szCs w:val="22"/>
              </w:rPr>
            </w:pPr>
          </w:p>
          <w:p w:rsidR="00ED620C" w:rsidRPr="000F665C" w:rsidRDefault="00ED620C" w:rsidP="007B760C">
            <w:pPr>
              <w:rPr>
                <w:rFonts w:eastAsia="Calibri"/>
                <w:b/>
                <w:szCs w:val="22"/>
              </w:rPr>
            </w:pPr>
            <w:r w:rsidRPr="000F665C">
              <w:rPr>
                <w:rFonts w:eastAsia="Calibri"/>
                <w:b/>
                <w:szCs w:val="22"/>
              </w:rPr>
              <w:lastRenderedPageBreak/>
              <w:t>Endpoint</w:t>
            </w:r>
          </w:p>
        </w:tc>
        <w:tc>
          <w:tcPr>
            <w:tcW w:w="1530" w:type="dxa"/>
            <w:vAlign w:val="center"/>
          </w:tcPr>
          <w:p w:rsidR="00ED620C" w:rsidRPr="000F665C" w:rsidRDefault="00ED620C" w:rsidP="007B760C">
            <w:pPr>
              <w:jc w:val="center"/>
              <w:rPr>
                <w:rFonts w:eastAsia="Calibri"/>
                <w:b/>
                <w:szCs w:val="22"/>
              </w:rPr>
            </w:pPr>
            <w:r w:rsidRPr="000F665C">
              <w:rPr>
                <w:rFonts w:eastAsia="Calibri"/>
                <w:b/>
                <w:bCs/>
                <w:szCs w:val="22"/>
              </w:rPr>
              <w:lastRenderedPageBreak/>
              <w:t>Placebo</w:t>
            </w:r>
          </w:p>
        </w:tc>
        <w:tc>
          <w:tcPr>
            <w:tcW w:w="1620" w:type="dxa"/>
            <w:vAlign w:val="center"/>
          </w:tcPr>
          <w:p w:rsidR="00ED620C" w:rsidRPr="000F665C" w:rsidRDefault="00ED620C" w:rsidP="007B760C">
            <w:pPr>
              <w:jc w:val="center"/>
              <w:rPr>
                <w:rFonts w:eastAsia="Calibri"/>
                <w:b/>
                <w:szCs w:val="22"/>
              </w:rPr>
            </w:pPr>
            <w:r w:rsidRPr="000F665C">
              <w:rPr>
                <w:rFonts w:eastAsia="Calibri"/>
                <w:b/>
                <w:szCs w:val="22"/>
              </w:rPr>
              <w:t>XELJANZ</w:t>
            </w:r>
          </w:p>
          <w:p w:rsidR="00ED620C" w:rsidRPr="000F665C" w:rsidRDefault="00ED620C" w:rsidP="007B760C">
            <w:pPr>
              <w:jc w:val="center"/>
              <w:rPr>
                <w:rFonts w:eastAsia="Calibri"/>
                <w:b/>
                <w:bCs/>
                <w:szCs w:val="22"/>
              </w:rPr>
            </w:pPr>
            <w:r>
              <w:rPr>
                <w:rFonts w:eastAsia="Calibri"/>
                <w:b/>
                <w:bCs/>
                <w:szCs w:val="22"/>
              </w:rPr>
              <w:lastRenderedPageBreak/>
              <w:t>10 </w:t>
            </w:r>
            <w:r w:rsidRPr="000F665C">
              <w:rPr>
                <w:rFonts w:eastAsia="Calibri"/>
                <w:b/>
                <w:bCs/>
                <w:szCs w:val="22"/>
              </w:rPr>
              <w:t>mg</w:t>
            </w:r>
          </w:p>
          <w:p w:rsidR="00ED620C" w:rsidRPr="000F665C" w:rsidRDefault="00ED620C" w:rsidP="007B760C">
            <w:pPr>
              <w:jc w:val="center"/>
              <w:rPr>
                <w:rFonts w:eastAsia="Calibri"/>
                <w:b/>
                <w:szCs w:val="22"/>
              </w:rPr>
            </w:pPr>
            <w:r w:rsidRPr="000F665C">
              <w:rPr>
                <w:rFonts w:eastAsia="Calibri"/>
                <w:b/>
                <w:bCs/>
                <w:szCs w:val="22"/>
              </w:rPr>
              <w:t>Twice daily</w:t>
            </w:r>
          </w:p>
        </w:tc>
        <w:tc>
          <w:tcPr>
            <w:tcW w:w="1620" w:type="dxa"/>
            <w:vAlign w:val="center"/>
          </w:tcPr>
          <w:p w:rsidR="00ED620C" w:rsidRPr="000F665C" w:rsidRDefault="00ED620C" w:rsidP="007B760C">
            <w:pPr>
              <w:jc w:val="center"/>
              <w:rPr>
                <w:rFonts w:eastAsia="Calibri"/>
                <w:b/>
                <w:szCs w:val="22"/>
              </w:rPr>
            </w:pPr>
            <w:r w:rsidRPr="000F665C">
              <w:rPr>
                <w:rFonts w:eastAsia="Calibri"/>
                <w:b/>
                <w:bCs/>
                <w:szCs w:val="22"/>
              </w:rPr>
              <w:lastRenderedPageBreak/>
              <w:t>Placebo</w:t>
            </w:r>
          </w:p>
        </w:tc>
        <w:tc>
          <w:tcPr>
            <w:tcW w:w="1440" w:type="dxa"/>
            <w:vAlign w:val="center"/>
          </w:tcPr>
          <w:p w:rsidR="00ED620C" w:rsidRPr="000F665C" w:rsidRDefault="00ED620C" w:rsidP="007B760C">
            <w:pPr>
              <w:jc w:val="center"/>
              <w:rPr>
                <w:rFonts w:eastAsia="Calibri"/>
                <w:b/>
                <w:szCs w:val="22"/>
              </w:rPr>
            </w:pPr>
            <w:r w:rsidRPr="000F665C">
              <w:rPr>
                <w:rFonts w:eastAsia="Calibri"/>
                <w:b/>
                <w:szCs w:val="22"/>
              </w:rPr>
              <w:t>XELJANZ</w:t>
            </w:r>
          </w:p>
          <w:p w:rsidR="00ED620C" w:rsidRPr="000F665C" w:rsidRDefault="00ED620C" w:rsidP="007B760C">
            <w:pPr>
              <w:jc w:val="center"/>
              <w:rPr>
                <w:rFonts w:eastAsia="Calibri"/>
                <w:b/>
                <w:bCs/>
                <w:szCs w:val="22"/>
              </w:rPr>
            </w:pPr>
            <w:r>
              <w:rPr>
                <w:rFonts w:eastAsia="Calibri"/>
                <w:b/>
                <w:bCs/>
                <w:szCs w:val="22"/>
              </w:rPr>
              <w:lastRenderedPageBreak/>
              <w:t>10 </w:t>
            </w:r>
            <w:r w:rsidRPr="000F665C">
              <w:rPr>
                <w:rFonts w:eastAsia="Calibri"/>
                <w:b/>
                <w:bCs/>
                <w:szCs w:val="22"/>
              </w:rPr>
              <w:t>mg</w:t>
            </w:r>
          </w:p>
          <w:p w:rsidR="00ED620C" w:rsidRPr="000F665C" w:rsidRDefault="00ED620C" w:rsidP="007B760C">
            <w:pPr>
              <w:jc w:val="center"/>
              <w:rPr>
                <w:rFonts w:eastAsia="Calibri"/>
                <w:b/>
                <w:bCs/>
                <w:szCs w:val="22"/>
              </w:rPr>
            </w:pPr>
            <w:r w:rsidRPr="000F665C">
              <w:rPr>
                <w:rFonts w:eastAsia="Calibri"/>
                <w:b/>
                <w:bCs/>
                <w:szCs w:val="22"/>
              </w:rPr>
              <w:t>Twice daily</w:t>
            </w:r>
          </w:p>
        </w:tc>
      </w:tr>
      <w:tr w:rsidR="00ED620C" w:rsidRPr="000F665C" w:rsidTr="007B760C">
        <w:trPr>
          <w:trHeight w:val="306"/>
        </w:trPr>
        <w:tc>
          <w:tcPr>
            <w:tcW w:w="2988" w:type="dxa"/>
          </w:tcPr>
          <w:p w:rsidR="00ED620C" w:rsidRPr="000F665C" w:rsidRDefault="00ED620C" w:rsidP="007B760C">
            <w:pPr>
              <w:rPr>
                <w:rFonts w:eastAsia="Calibri"/>
                <w:szCs w:val="22"/>
              </w:rPr>
            </w:pPr>
          </w:p>
        </w:tc>
        <w:tc>
          <w:tcPr>
            <w:tcW w:w="1530" w:type="dxa"/>
            <w:vAlign w:val="center"/>
          </w:tcPr>
          <w:p w:rsidR="00ED620C" w:rsidRPr="000F665C" w:rsidRDefault="00ED620C" w:rsidP="007B760C">
            <w:pPr>
              <w:jc w:val="center"/>
              <w:rPr>
                <w:rFonts w:eastAsia="Calibri"/>
                <w:szCs w:val="22"/>
              </w:rPr>
            </w:pPr>
            <w:r w:rsidRPr="000F665C">
              <w:rPr>
                <w:rFonts w:eastAsia="Calibri"/>
                <w:b/>
                <w:bCs/>
                <w:szCs w:val="22"/>
              </w:rPr>
              <w:t>N=122</w:t>
            </w:r>
          </w:p>
        </w:tc>
        <w:tc>
          <w:tcPr>
            <w:tcW w:w="1620" w:type="dxa"/>
            <w:vAlign w:val="center"/>
          </w:tcPr>
          <w:p w:rsidR="00ED620C" w:rsidRPr="000F665C" w:rsidRDefault="00ED620C" w:rsidP="007B760C">
            <w:pPr>
              <w:jc w:val="center"/>
              <w:rPr>
                <w:rFonts w:eastAsia="Calibri"/>
                <w:szCs w:val="22"/>
              </w:rPr>
            </w:pPr>
            <w:r w:rsidRPr="000F665C">
              <w:rPr>
                <w:rFonts w:eastAsia="Calibri"/>
                <w:b/>
                <w:bCs/>
                <w:szCs w:val="22"/>
              </w:rPr>
              <w:t>N=476</w:t>
            </w:r>
          </w:p>
        </w:tc>
        <w:tc>
          <w:tcPr>
            <w:tcW w:w="1620" w:type="dxa"/>
            <w:vAlign w:val="center"/>
          </w:tcPr>
          <w:p w:rsidR="00ED620C" w:rsidRPr="000F665C" w:rsidRDefault="00ED620C" w:rsidP="007B760C">
            <w:pPr>
              <w:jc w:val="center"/>
              <w:rPr>
                <w:rFonts w:eastAsia="Calibri"/>
                <w:szCs w:val="22"/>
              </w:rPr>
            </w:pPr>
            <w:r w:rsidRPr="000F665C">
              <w:rPr>
                <w:rFonts w:eastAsia="Calibri"/>
                <w:b/>
                <w:bCs/>
                <w:szCs w:val="22"/>
              </w:rPr>
              <w:t>N=122</w:t>
            </w:r>
          </w:p>
        </w:tc>
        <w:tc>
          <w:tcPr>
            <w:tcW w:w="1440" w:type="dxa"/>
            <w:vAlign w:val="center"/>
          </w:tcPr>
          <w:p w:rsidR="00ED620C" w:rsidRPr="000F665C" w:rsidRDefault="00ED620C" w:rsidP="007B760C">
            <w:pPr>
              <w:jc w:val="center"/>
              <w:rPr>
                <w:rFonts w:eastAsia="Calibri"/>
                <w:b/>
                <w:bCs/>
                <w:szCs w:val="22"/>
              </w:rPr>
            </w:pPr>
            <w:r w:rsidRPr="000F665C">
              <w:rPr>
                <w:rFonts w:eastAsia="Calibri"/>
                <w:b/>
                <w:bCs/>
                <w:szCs w:val="22"/>
              </w:rPr>
              <w:t>N=476</w:t>
            </w:r>
          </w:p>
        </w:tc>
      </w:tr>
      <w:tr w:rsidR="00ED620C" w:rsidRPr="000F665C" w:rsidTr="007B760C">
        <w:trPr>
          <w:trHeight w:val="250"/>
        </w:trPr>
        <w:tc>
          <w:tcPr>
            <w:tcW w:w="2988" w:type="dxa"/>
          </w:tcPr>
          <w:p w:rsidR="00ED620C" w:rsidRPr="000F665C" w:rsidRDefault="00ED620C" w:rsidP="007B760C">
            <w:pPr>
              <w:rPr>
                <w:rFonts w:eastAsia="Calibri"/>
                <w:szCs w:val="22"/>
              </w:rPr>
            </w:pPr>
            <w:proofErr w:type="spellStart"/>
            <w:r w:rsidRPr="000F665C">
              <w:rPr>
                <w:rFonts w:eastAsia="Calibri"/>
                <w:szCs w:val="22"/>
              </w:rPr>
              <w:t>Remission</w:t>
            </w:r>
            <w:r>
              <w:rPr>
                <w:rFonts w:eastAsia="Calibri"/>
                <w:szCs w:val="22"/>
                <w:vertAlign w:val="superscript"/>
              </w:rPr>
              <w:t>a</w:t>
            </w:r>
            <w:proofErr w:type="spellEnd"/>
          </w:p>
        </w:tc>
        <w:tc>
          <w:tcPr>
            <w:tcW w:w="1530" w:type="dxa"/>
          </w:tcPr>
          <w:p w:rsidR="00ED620C" w:rsidRPr="000F665C" w:rsidRDefault="00ED620C" w:rsidP="007B760C">
            <w:pPr>
              <w:jc w:val="center"/>
              <w:rPr>
                <w:rFonts w:eastAsia="Calibri"/>
                <w:szCs w:val="22"/>
              </w:rPr>
            </w:pPr>
            <w:r w:rsidRPr="000F665C">
              <w:rPr>
                <w:rFonts w:eastAsia="Calibri"/>
                <w:szCs w:val="22"/>
              </w:rPr>
              <w:t>8.2%</w:t>
            </w:r>
          </w:p>
        </w:tc>
        <w:tc>
          <w:tcPr>
            <w:tcW w:w="1620" w:type="dxa"/>
          </w:tcPr>
          <w:p w:rsidR="00ED620C" w:rsidRPr="000F665C" w:rsidRDefault="00ED620C" w:rsidP="007B760C">
            <w:pPr>
              <w:jc w:val="center"/>
              <w:rPr>
                <w:rFonts w:eastAsia="Calibri"/>
                <w:szCs w:val="22"/>
              </w:rPr>
            </w:pPr>
            <w:r w:rsidRPr="000F665C">
              <w:rPr>
                <w:rFonts w:eastAsia="Calibri"/>
                <w:szCs w:val="22"/>
              </w:rPr>
              <w:t>18.5%</w:t>
            </w:r>
            <w:r w:rsidRPr="000F665C">
              <w:rPr>
                <w:rFonts w:eastAsia="Calibri"/>
                <w:szCs w:val="22"/>
                <w:vertAlign w:val="superscript"/>
              </w:rPr>
              <w:t>‡</w:t>
            </w:r>
          </w:p>
        </w:tc>
        <w:tc>
          <w:tcPr>
            <w:tcW w:w="1620" w:type="dxa"/>
          </w:tcPr>
          <w:p w:rsidR="00ED620C" w:rsidRPr="000F665C" w:rsidRDefault="00ED620C" w:rsidP="007B760C">
            <w:pPr>
              <w:jc w:val="center"/>
              <w:rPr>
                <w:rFonts w:eastAsia="Calibri"/>
                <w:szCs w:val="22"/>
              </w:rPr>
            </w:pPr>
            <w:r w:rsidRPr="000F665C">
              <w:rPr>
                <w:rFonts w:eastAsia="Calibri"/>
                <w:szCs w:val="22"/>
              </w:rPr>
              <w:t>11.5%</w:t>
            </w:r>
          </w:p>
        </w:tc>
        <w:tc>
          <w:tcPr>
            <w:tcW w:w="1440" w:type="dxa"/>
          </w:tcPr>
          <w:p w:rsidR="00ED620C" w:rsidRPr="000F665C" w:rsidRDefault="00ED620C" w:rsidP="007B760C">
            <w:pPr>
              <w:jc w:val="center"/>
              <w:rPr>
                <w:rFonts w:eastAsia="Calibri"/>
                <w:szCs w:val="22"/>
              </w:rPr>
            </w:pPr>
            <w:r w:rsidRPr="000F665C">
              <w:rPr>
                <w:rFonts w:eastAsia="Calibri"/>
                <w:szCs w:val="22"/>
              </w:rPr>
              <w:t>24.8%</w:t>
            </w:r>
            <w:r w:rsidRPr="000F665C">
              <w:rPr>
                <w:rFonts w:eastAsia="Calibri"/>
                <w:szCs w:val="22"/>
                <w:vertAlign w:val="superscript"/>
              </w:rPr>
              <w:t>‡</w:t>
            </w:r>
          </w:p>
        </w:tc>
      </w:tr>
      <w:tr w:rsidR="00ED620C" w:rsidRPr="000F665C" w:rsidTr="007B760C">
        <w:trPr>
          <w:trHeight w:val="250"/>
        </w:trPr>
        <w:tc>
          <w:tcPr>
            <w:tcW w:w="2988" w:type="dxa"/>
          </w:tcPr>
          <w:p w:rsidR="00ED620C" w:rsidRPr="000F665C" w:rsidRDefault="00ED620C" w:rsidP="007B760C">
            <w:pPr>
              <w:rPr>
                <w:rFonts w:eastAsia="Calibri"/>
                <w:szCs w:val="22"/>
              </w:rPr>
            </w:pPr>
            <w:r w:rsidRPr="000F665C">
              <w:rPr>
                <w:rFonts w:eastAsia="Calibri"/>
                <w:szCs w:val="22"/>
              </w:rPr>
              <w:t xml:space="preserve">Improvement of endoscopic appearance of the </w:t>
            </w:r>
            <w:proofErr w:type="spellStart"/>
            <w:r w:rsidRPr="000F665C">
              <w:rPr>
                <w:rFonts w:eastAsia="Calibri"/>
                <w:szCs w:val="22"/>
              </w:rPr>
              <w:t>mucosa</w:t>
            </w:r>
            <w:r>
              <w:rPr>
                <w:rFonts w:eastAsia="Calibri"/>
                <w:szCs w:val="22"/>
                <w:vertAlign w:val="superscript"/>
              </w:rPr>
              <w:t>b</w:t>
            </w:r>
            <w:proofErr w:type="spellEnd"/>
          </w:p>
        </w:tc>
        <w:tc>
          <w:tcPr>
            <w:tcW w:w="1530" w:type="dxa"/>
          </w:tcPr>
          <w:p w:rsidR="00ED620C" w:rsidRPr="000F665C" w:rsidRDefault="00ED620C" w:rsidP="007B760C">
            <w:pPr>
              <w:jc w:val="center"/>
              <w:rPr>
                <w:rFonts w:eastAsia="Calibri"/>
                <w:szCs w:val="22"/>
              </w:rPr>
            </w:pPr>
            <w:r w:rsidRPr="000F665C">
              <w:rPr>
                <w:rFonts w:eastAsia="Calibri"/>
                <w:szCs w:val="22"/>
              </w:rPr>
              <w:t>15.6%</w:t>
            </w:r>
          </w:p>
        </w:tc>
        <w:tc>
          <w:tcPr>
            <w:tcW w:w="1620" w:type="dxa"/>
          </w:tcPr>
          <w:p w:rsidR="00ED620C" w:rsidRPr="000F665C" w:rsidRDefault="00ED620C" w:rsidP="007B760C">
            <w:pPr>
              <w:jc w:val="center"/>
              <w:rPr>
                <w:rFonts w:eastAsia="Calibri"/>
                <w:szCs w:val="22"/>
              </w:rPr>
            </w:pPr>
            <w:r w:rsidRPr="000F665C">
              <w:rPr>
                <w:rFonts w:eastAsia="Calibri"/>
                <w:szCs w:val="22"/>
              </w:rPr>
              <w:t>31.3%</w:t>
            </w:r>
            <w:r w:rsidRPr="000F665C">
              <w:rPr>
                <w:rFonts w:eastAsia="Calibri"/>
                <w:szCs w:val="22"/>
                <w:vertAlign w:val="superscript"/>
              </w:rPr>
              <w:t>†</w:t>
            </w:r>
          </w:p>
        </w:tc>
        <w:tc>
          <w:tcPr>
            <w:tcW w:w="1620" w:type="dxa"/>
          </w:tcPr>
          <w:p w:rsidR="00ED620C" w:rsidRPr="000F665C" w:rsidRDefault="00ED620C" w:rsidP="007B760C">
            <w:pPr>
              <w:jc w:val="center"/>
              <w:rPr>
                <w:rFonts w:eastAsia="Calibri"/>
                <w:szCs w:val="22"/>
              </w:rPr>
            </w:pPr>
            <w:r w:rsidRPr="000F665C">
              <w:rPr>
                <w:rFonts w:eastAsia="Calibri"/>
                <w:szCs w:val="22"/>
              </w:rPr>
              <w:t>23.0%</w:t>
            </w:r>
          </w:p>
        </w:tc>
        <w:tc>
          <w:tcPr>
            <w:tcW w:w="1440" w:type="dxa"/>
          </w:tcPr>
          <w:p w:rsidR="00ED620C" w:rsidRPr="000F665C" w:rsidRDefault="00ED620C" w:rsidP="007B760C">
            <w:pPr>
              <w:jc w:val="center"/>
              <w:rPr>
                <w:rFonts w:eastAsia="Calibri"/>
                <w:szCs w:val="22"/>
              </w:rPr>
            </w:pPr>
            <w:r w:rsidRPr="000F665C">
              <w:rPr>
                <w:rFonts w:eastAsia="Calibri"/>
                <w:szCs w:val="22"/>
              </w:rPr>
              <w:t>42.</w:t>
            </w:r>
            <w:r>
              <w:rPr>
                <w:rFonts w:eastAsia="Calibri"/>
                <w:szCs w:val="22"/>
              </w:rPr>
              <w:t>4</w:t>
            </w:r>
            <w:r w:rsidRPr="000F665C">
              <w:rPr>
                <w:rFonts w:eastAsia="Calibri"/>
                <w:szCs w:val="22"/>
              </w:rPr>
              <w:t>%*</w:t>
            </w:r>
          </w:p>
        </w:tc>
      </w:tr>
      <w:tr w:rsidR="00ED620C" w:rsidRPr="000F665C" w:rsidTr="007B760C">
        <w:trPr>
          <w:trHeight w:val="220"/>
        </w:trPr>
        <w:tc>
          <w:tcPr>
            <w:tcW w:w="2988" w:type="dxa"/>
          </w:tcPr>
          <w:p w:rsidR="00ED620C" w:rsidRPr="000F665C" w:rsidRDefault="00BE5DDA" w:rsidP="00382571">
            <w:pPr>
              <w:jc w:val="left"/>
              <w:rPr>
                <w:rFonts w:eastAsia="Calibri"/>
                <w:szCs w:val="22"/>
              </w:rPr>
            </w:pPr>
            <w:r>
              <w:rPr>
                <w:szCs w:val="22"/>
              </w:rPr>
              <w:t>Normalis</w:t>
            </w:r>
            <w:r w:rsidR="00382571">
              <w:rPr>
                <w:szCs w:val="22"/>
              </w:rPr>
              <w:t xml:space="preserve">ation </w:t>
            </w:r>
            <w:r w:rsidR="00ED620C" w:rsidRPr="000F665C">
              <w:rPr>
                <w:szCs w:val="22"/>
              </w:rPr>
              <w:t xml:space="preserve">of endoscopic appearance of the </w:t>
            </w:r>
            <w:proofErr w:type="spellStart"/>
            <w:r w:rsidR="00ED620C" w:rsidRPr="000F665C">
              <w:rPr>
                <w:szCs w:val="22"/>
              </w:rPr>
              <w:t>mucosa</w:t>
            </w:r>
            <w:r w:rsidR="00ED620C">
              <w:rPr>
                <w:szCs w:val="22"/>
                <w:vertAlign w:val="superscript"/>
              </w:rPr>
              <w:t>c</w:t>
            </w:r>
            <w:proofErr w:type="spellEnd"/>
          </w:p>
        </w:tc>
        <w:tc>
          <w:tcPr>
            <w:tcW w:w="1530" w:type="dxa"/>
          </w:tcPr>
          <w:p w:rsidR="00ED620C" w:rsidRPr="000F665C" w:rsidRDefault="00ED620C" w:rsidP="007B760C">
            <w:pPr>
              <w:jc w:val="center"/>
              <w:rPr>
                <w:rFonts w:eastAsia="Calibri"/>
                <w:szCs w:val="22"/>
              </w:rPr>
            </w:pPr>
            <w:r w:rsidRPr="000F665C">
              <w:rPr>
                <w:rFonts w:eastAsia="Calibri"/>
                <w:szCs w:val="22"/>
              </w:rPr>
              <w:t>1.6%</w:t>
            </w:r>
          </w:p>
        </w:tc>
        <w:tc>
          <w:tcPr>
            <w:tcW w:w="1620" w:type="dxa"/>
          </w:tcPr>
          <w:p w:rsidR="00ED620C" w:rsidRPr="000F665C" w:rsidRDefault="00ED620C" w:rsidP="007B760C">
            <w:pPr>
              <w:jc w:val="center"/>
              <w:rPr>
                <w:rFonts w:eastAsia="Calibri"/>
                <w:szCs w:val="22"/>
              </w:rPr>
            </w:pPr>
            <w:r w:rsidRPr="000F665C">
              <w:rPr>
                <w:rFonts w:eastAsia="Calibri"/>
                <w:szCs w:val="22"/>
              </w:rPr>
              <w:t>6.7%</w:t>
            </w:r>
            <w:r w:rsidRPr="000F665C">
              <w:rPr>
                <w:rFonts w:eastAsia="Calibri"/>
                <w:szCs w:val="22"/>
                <w:vertAlign w:val="superscript"/>
              </w:rPr>
              <w:t>‡</w:t>
            </w:r>
          </w:p>
        </w:tc>
        <w:tc>
          <w:tcPr>
            <w:tcW w:w="1620" w:type="dxa"/>
          </w:tcPr>
          <w:p w:rsidR="00ED620C" w:rsidRPr="000F665C" w:rsidRDefault="00ED620C" w:rsidP="007B760C">
            <w:pPr>
              <w:jc w:val="center"/>
              <w:rPr>
                <w:rFonts w:eastAsia="Calibri"/>
                <w:szCs w:val="22"/>
              </w:rPr>
            </w:pPr>
            <w:r w:rsidRPr="000F665C">
              <w:rPr>
                <w:rFonts w:eastAsia="Calibri"/>
                <w:szCs w:val="22"/>
              </w:rPr>
              <w:t>2.5%</w:t>
            </w:r>
          </w:p>
        </w:tc>
        <w:tc>
          <w:tcPr>
            <w:tcW w:w="1440" w:type="dxa"/>
          </w:tcPr>
          <w:p w:rsidR="00ED620C" w:rsidRPr="000F665C" w:rsidRDefault="00ED620C" w:rsidP="007B760C">
            <w:pPr>
              <w:jc w:val="center"/>
              <w:rPr>
                <w:rFonts w:eastAsia="Calibri"/>
                <w:szCs w:val="22"/>
              </w:rPr>
            </w:pPr>
            <w:r w:rsidRPr="000F665C">
              <w:rPr>
                <w:rFonts w:eastAsia="Calibri"/>
                <w:szCs w:val="22"/>
              </w:rPr>
              <w:t>10.9%</w:t>
            </w:r>
            <w:r w:rsidRPr="000F665C">
              <w:rPr>
                <w:rFonts w:eastAsia="Calibri"/>
                <w:szCs w:val="22"/>
                <w:vertAlign w:val="superscript"/>
              </w:rPr>
              <w:t>‡</w:t>
            </w:r>
          </w:p>
        </w:tc>
      </w:tr>
      <w:tr w:rsidR="00ED620C" w:rsidRPr="000F665C" w:rsidTr="007B760C">
        <w:trPr>
          <w:trHeight w:val="220"/>
        </w:trPr>
        <w:tc>
          <w:tcPr>
            <w:tcW w:w="2988" w:type="dxa"/>
          </w:tcPr>
          <w:p w:rsidR="00ED620C" w:rsidRPr="000F665C" w:rsidRDefault="00ED620C" w:rsidP="007B760C">
            <w:pPr>
              <w:rPr>
                <w:rFonts w:eastAsia="Calibri"/>
                <w:szCs w:val="22"/>
              </w:rPr>
            </w:pPr>
            <w:r w:rsidRPr="000F665C">
              <w:rPr>
                <w:rFonts w:eastAsia="Calibri"/>
                <w:szCs w:val="22"/>
              </w:rPr>
              <w:t xml:space="preserve">Clinical </w:t>
            </w:r>
            <w:proofErr w:type="spellStart"/>
            <w:r w:rsidRPr="000F665C">
              <w:rPr>
                <w:rFonts w:eastAsia="Calibri"/>
                <w:szCs w:val="22"/>
              </w:rPr>
              <w:t>response</w:t>
            </w:r>
            <w:r>
              <w:rPr>
                <w:rFonts w:eastAsia="Calibri"/>
                <w:szCs w:val="22"/>
                <w:vertAlign w:val="superscript"/>
              </w:rPr>
              <w:t>d</w:t>
            </w:r>
            <w:proofErr w:type="spellEnd"/>
          </w:p>
        </w:tc>
        <w:tc>
          <w:tcPr>
            <w:tcW w:w="1530" w:type="dxa"/>
          </w:tcPr>
          <w:p w:rsidR="00ED620C" w:rsidRPr="000F665C" w:rsidRDefault="00ED620C" w:rsidP="007B760C">
            <w:pPr>
              <w:jc w:val="center"/>
              <w:rPr>
                <w:rFonts w:eastAsia="Calibri"/>
                <w:szCs w:val="22"/>
              </w:rPr>
            </w:pPr>
            <w:r w:rsidRPr="000F665C">
              <w:rPr>
                <w:rFonts w:eastAsia="Calibri"/>
                <w:szCs w:val="22"/>
              </w:rPr>
              <w:t>32.8%</w:t>
            </w:r>
          </w:p>
        </w:tc>
        <w:tc>
          <w:tcPr>
            <w:tcW w:w="1620" w:type="dxa"/>
          </w:tcPr>
          <w:p w:rsidR="00ED620C" w:rsidRPr="000F665C" w:rsidRDefault="00ED620C" w:rsidP="007B760C">
            <w:pPr>
              <w:jc w:val="center"/>
              <w:rPr>
                <w:rFonts w:eastAsia="Calibri"/>
                <w:szCs w:val="22"/>
              </w:rPr>
            </w:pPr>
            <w:r w:rsidRPr="000F665C">
              <w:rPr>
                <w:rFonts w:eastAsia="Calibri"/>
                <w:szCs w:val="22"/>
              </w:rPr>
              <w:t>59.9%*</w:t>
            </w:r>
          </w:p>
        </w:tc>
        <w:tc>
          <w:tcPr>
            <w:tcW w:w="1620" w:type="dxa"/>
          </w:tcPr>
          <w:p w:rsidR="00ED620C" w:rsidRPr="000F665C" w:rsidRDefault="00ED620C" w:rsidP="007B760C">
            <w:pPr>
              <w:jc w:val="center"/>
              <w:rPr>
                <w:rFonts w:eastAsia="Calibri"/>
                <w:szCs w:val="22"/>
              </w:rPr>
            </w:pPr>
            <w:r w:rsidRPr="000F665C">
              <w:rPr>
                <w:rFonts w:eastAsia="Calibri"/>
                <w:szCs w:val="22"/>
              </w:rPr>
              <w:t>34.4%</w:t>
            </w:r>
          </w:p>
        </w:tc>
        <w:tc>
          <w:tcPr>
            <w:tcW w:w="1440" w:type="dxa"/>
          </w:tcPr>
          <w:p w:rsidR="00ED620C" w:rsidRPr="000F665C" w:rsidRDefault="00ED620C" w:rsidP="007B760C">
            <w:pPr>
              <w:jc w:val="center"/>
              <w:rPr>
                <w:rFonts w:eastAsia="Calibri"/>
                <w:szCs w:val="22"/>
              </w:rPr>
            </w:pPr>
            <w:r w:rsidRPr="000F665C">
              <w:rPr>
                <w:rFonts w:eastAsia="Calibri"/>
                <w:szCs w:val="22"/>
              </w:rPr>
              <w:t>60.7%*</w:t>
            </w:r>
          </w:p>
        </w:tc>
      </w:tr>
      <w:tr w:rsidR="00ED620C" w:rsidRPr="000F665C" w:rsidTr="007B760C">
        <w:trPr>
          <w:trHeight w:val="220"/>
        </w:trPr>
        <w:tc>
          <w:tcPr>
            <w:tcW w:w="2988" w:type="dxa"/>
            <w:vMerge w:val="restart"/>
          </w:tcPr>
          <w:p w:rsidR="00ED620C" w:rsidRPr="000F665C" w:rsidRDefault="00ED620C" w:rsidP="007B760C">
            <w:pPr>
              <w:rPr>
                <w:rFonts w:eastAsia="Calibri"/>
                <w:b/>
                <w:szCs w:val="22"/>
              </w:rPr>
            </w:pPr>
          </w:p>
        </w:tc>
        <w:tc>
          <w:tcPr>
            <w:tcW w:w="6210" w:type="dxa"/>
            <w:gridSpan w:val="4"/>
          </w:tcPr>
          <w:p w:rsidR="00ED620C" w:rsidRPr="000F665C" w:rsidRDefault="00ED620C" w:rsidP="007B760C">
            <w:pPr>
              <w:jc w:val="center"/>
              <w:rPr>
                <w:rFonts w:eastAsia="Calibri"/>
                <w:szCs w:val="22"/>
              </w:rPr>
            </w:pPr>
            <w:r>
              <w:rPr>
                <w:rFonts w:eastAsia="Calibri"/>
                <w:b/>
                <w:szCs w:val="22"/>
              </w:rPr>
              <w:t>OCTAVE Induction Study 2</w:t>
            </w:r>
          </w:p>
        </w:tc>
      </w:tr>
      <w:tr w:rsidR="00ED620C" w:rsidRPr="000F665C" w:rsidTr="007B760C">
        <w:trPr>
          <w:trHeight w:val="220"/>
        </w:trPr>
        <w:tc>
          <w:tcPr>
            <w:tcW w:w="2988" w:type="dxa"/>
            <w:vMerge/>
          </w:tcPr>
          <w:p w:rsidR="00ED620C" w:rsidRPr="000F665C" w:rsidRDefault="00ED620C" w:rsidP="007B760C">
            <w:pPr>
              <w:rPr>
                <w:rFonts w:eastAsia="Calibri"/>
                <w:strike/>
                <w:szCs w:val="22"/>
              </w:rPr>
            </w:pPr>
          </w:p>
        </w:tc>
        <w:tc>
          <w:tcPr>
            <w:tcW w:w="3150" w:type="dxa"/>
            <w:gridSpan w:val="2"/>
            <w:vAlign w:val="center"/>
          </w:tcPr>
          <w:p w:rsidR="00ED620C" w:rsidRPr="000F665C" w:rsidRDefault="00ED620C" w:rsidP="007B760C">
            <w:pPr>
              <w:jc w:val="center"/>
              <w:rPr>
                <w:rFonts w:eastAsia="Calibri"/>
                <w:b/>
                <w:szCs w:val="22"/>
              </w:rPr>
            </w:pPr>
            <w:r w:rsidRPr="000F665C">
              <w:rPr>
                <w:rFonts w:eastAsia="Calibri"/>
                <w:b/>
                <w:szCs w:val="22"/>
              </w:rPr>
              <w:t>Central Endoscopy Read</w:t>
            </w:r>
          </w:p>
        </w:tc>
        <w:tc>
          <w:tcPr>
            <w:tcW w:w="3060" w:type="dxa"/>
            <w:gridSpan w:val="2"/>
            <w:vAlign w:val="center"/>
          </w:tcPr>
          <w:p w:rsidR="00ED620C" w:rsidRPr="000F665C" w:rsidRDefault="00ED620C" w:rsidP="007B760C">
            <w:pPr>
              <w:jc w:val="center"/>
              <w:rPr>
                <w:rFonts w:eastAsia="Calibri"/>
                <w:b/>
                <w:szCs w:val="22"/>
              </w:rPr>
            </w:pPr>
            <w:r w:rsidRPr="000F665C">
              <w:rPr>
                <w:rFonts w:eastAsia="Calibri"/>
                <w:b/>
                <w:bCs/>
                <w:szCs w:val="22"/>
              </w:rPr>
              <w:t>Local Endoscopy Read</w:t>
            </w:r>
          </w:p>
        </w:tc>
      </w:tr>
      <w:tr w:rsidR="00ED620C" w:rsidRPr="000F665C" w:rsidTr="007B760C">
        <w:trPr>
          <w:trHeight w:val="220"/>
        </w:trPr>
        <w:tc>
          <w:tcPr>
            <w:tcW w:w="2988" w:type="dxa"/>
          </w:tcPr>
          <w:p w:rsidR="00ED620C" w:rsidRPr="000F665C" w:rsidRDefault="00ED620C" w:rsidP="007B760C">
            <w:pPr>
              <w:rPr>
                <w:rFonts w:eastAsia="Calibri"/>
                <w:strike/>
                <w:szCs w:val="22"/>
              </w:rPr>
            </w:pPr>
          </w:p>
          <w:p w:rsidR="00ED620C" w:rsidRPr="000F665C" w:rsidRDefault="00ED620C" w:rsidP="007B760C">
            <w:pPr>
              <w:rPr>
                <w:rFonts w:eastAsia="Calibri"/>
                <w:strike/>
                <w:szCs w:val="22"/>
              </w:rPr>
            </w:pPr>
            <w:r w:rsidRPr="000F665C">
              <w:rPr>
                <w:rFonts w:eastAsia="Calibri"/>
                <w:b/>
                <w:szCs w:val="22"/>
              </w:rPr>
              <w:t>Endpoint</w:t>
            </w:r>
          </w:p>
        </w:tc>
        <w:tc>
          <w:tcPr>
            <w:tcW w:w="1530" w:type="dxa"/>
            <w:vAlign w:val="center"/>
          </w:tcPr>
          <w:p w:rsidR="00ED620C" w:rsidRPr="000F665C" w:rsidRDefault="00ED620C" w:rsidP="007B760C">
            <w:pPr>
              <w:jc w:val="center"/>
              <w:rPr>
                <w:rFonts w:eastAsia="Calibri"/>
                <w:b/>
                <w:szCs w:val="22"/>
              </w:rPr>
            </w:pPr>
            <w:r w:rsidRPr="000F665C">
              <w:rPr>
                <w:rFonts w:eastAsia="Calibri"/>
                <w:b/>
                <w:szCs w:val="22"/>
              </w:rPr>
              <w:t>Placebo</w:t>
            </w:r>
          </w:p>
        </w:tc>
        <w:tc>
          <w:tcPr>
            <w:tcW w:w="1620" w:type="dxa"/>
            <w:vAlign w:val="center"/>
          </w:tcPr>
          <w:p w:rsidR="00ED620C" w:rsidRPr="000F665C" w:rsidRDefault="00ED620C" w:rsidP="007B760C">
            <w:pPr>
              <w:jc w:val="center"/>
              <w:rPr>
                <w:rFonts w:eastAsia="Calibri"/>
                <w:b/>
                <w:szCs w:val="22"/>
              </w:rPr>
            </w:pPr>
            <w:r w:rsidRPr="000F665C">
              <w:rPr>
                <w:rFonts w:eastAsia="Calibri"/>
                <w:b/>
                <w:szCs w:val="22"/>
              </w:rPr>
              <w:t>XELJANZ</w:t>
            </w:r>
          </w:p>
          <w:p w:rsidR="00ED620C" w:rsidRPr="000F665C" w:rsidRDefault="00ED620C" w:rsidP="007B760C">
            <w:pPr>
              <w:jc w:val="center"/>
              <w:rPr>
                <w:rFonts w:eastAsia="Calibri"/>
                <w:b/>
                <w:szCs w:val="22"/>
              </w:rPr>
            </w:pPr>
            <w:r>
              <w:rPr>
                <w:rFonts w:eastAsia="Calibri"/>
                <w:b/>
                <w:szCs w:val="22"/>
              </w:rPr>
              <w:t>10 </w:t>
            </w:r>
            <w:r w:rsidRPr="000F665C">
              <w:rPr>
                <w:rFonts w:eastAsia="Calibri"/>
                <w:b/>
                <w:szCs w:val="22"/>
              </w:rPr>
              <w:t>mg</w:t>
            </w:r>
          </w:p>
          <w:p w:rsidR="00ED620C" w:rsidRPr="000F665C" w:rsidRDefault="00ED620C" w:rsidP="007B760C">
            <w:pPr>
              <w:jc w:val="center"/>
              <w:rPr>
                <w:rFonts w:eastAsia="Calibri"/>
                <w:b/>
                <w:szCs w:val="22"/>
              </w:rPr>
            </w:pPr>
            <w:r w:rsidRPr="000F665C">
              <w:rPr>
                <w:rFonts w:eastAsia="Calibri"/>
                <w:b/>
                <w:bCs/>
                <w:szCs w:val="22"/>
              </w:rPr>
              <w:t>Twice daily</w:t>
            </w:r>
          </w:p>
        </w:tc>
        <w:tc>
          <w:tcPr>
            <w:tcW w:w="1620" w:type="dxa"/>
            <w:vAlign w:val="center"/>
          </w:tcPr>
          <w:p w:rsidR="00ED620C" w:rsidRPr="000F665C" w:rsidRDefault="00ED620C" w:rsidP="007B760C">
            <w:pPr>
              <w:jc w:val="center"/>
              <w:rPr>
                <w:rFonts w:eastAsia="Calibri"/>
                <w:b/>
                <w:szCs w:val="22"/>
              </w:rPr>
            </w:pPr>
            <w:r w:rsidRPr="000F665C">
              <w:rPr>
                <w:rFonts w:eastAsia="Calibri"/>
                <w:b/>
                <w:bCs/>
                <w:szCs w:val="22"/>
              </w:rPr>
              <w:t>Placebo</w:t>
            </w:r>
          </w:p>
        </w:tc>
        <w:tc>
          <w:tcPr>
            <w:tcW w:w="1440" w:type="dxa"/>
            <w:vAlign w:val="center"/>
          </w:tcPr>
          <w:p w:rsidR="00ED620C" w:rsidRPr="000F665C" w:rsidRDefault="00ED620C" w:rsidP="007B760C">
            <w:pPr>
              <w:jc w:val="center"/>
              <w:rPr>
                <w:rFonts w:eastAsia="Calibri"/>
                <w:b/>
                <w:szCs w:val="22"/>
              </w:rPr>
            </w:pPr>
            <w:r w:rsidRPr="000F665C">
              <w:rPr>
                <w:rFonts w:eastAsia="Calibri"/>
                <w:b/>
                <w:szCs w:val="22"/>
              </w:rPr>
              <w:t>XELJANZ</w:t>
            </w:r>
          </w:p>
          <w:p w:rsidR="00ED620C" w:rsidRPr="000F665C" w:rsidRDefault="00ED620C" w:rsidP="007B760C">
            <w:pPr>
              <w:jc w:val="center"/>
              <w:rPr>
                <w:rFonts w:eastAsia="Calibri"/>
                <w:b/>
                <w:bCs/>
                <w:szCs w:val="22"/>
              </w:rPr>
            </w:pPr>
            <w:r>
              <w:rPr>
                <w:rFonts w:eastAsia="Calibri"/>
                <w:b/>
                <w:bCs/>
                <w:szCs w:val="22"/>
              </w:rPr>
              <w:t>10 </w:t>
            </w:r>
            <w:r w:rsidRPr="000F665C">
              <w:rPr>
                <w:rFonts w:eastAsia="Calibri"/>
                <w:b/>
                <w:bCs/>
                <w:szCs w:val="22"/>
              </w:rPr>
              <w:t>mg</w:t>
            </w:r>
          </w:p>
          <w:p w:rsidR="00ED620C" w:rsidRPr="000F665C" w:rsidRDefault="00ED620C" w:rsidP="007B760C">
            <w:pPr>
              <w:jc w:val="center"/>
              <w:rPr>
                <w:rFonts w:eastAsia="Calibri"/>
                <w:b/>
                <w:szCs w:val="22"/>
              </w:rPr>
            </w:pPr>
            <w:r w:rsidRPr="000F665C">
              <w:rPr>
                <w:rFonts w:eastAsia="Calibri"/>
                <w:b/>
                <w:bCs/>
                <w:szCs w:val="22"/>
              </w:rPr>
              <w:t>Twice daily</w:t>
            </w:r>
          </w:p>
        </w:tc>
      </w:tr>
      <w:tr w:rsidR="00ED620C" w:rsidRPr="000F665C" w:rsidTr="007B760C">
        <w:trPr>
          <w:trHeight w:val="220"/>
        </w:trPr>
        <w:tc>
          <w:tcPr>
            <w:tcW w:w="2988" w:type="dxa"/>
          </w:tcPr>
          <w:p w:rsidR="00ED620C" w:rsidRPr="000F665C" w:rsidRDefault="00ED620C" w:rsidP="007B760C">
            <w:pPr>
              <w:rPr>
                <w:rFonts w:eastAsia="Calibri"/>
                <w:strike/>
                <w:szCs w:val="22"/>
              </w:rPr>
            </w:pPr>
          </w:p>
        </w:tc>
        <w:tc>
          <w:tcPr>
            <w:tcW w:w="1530" w:type="dxa"/>
          </w:tcPr>
          <w:p w:rsidR="00ED620C" w:rsidRPr="000F665C" w:rsidRDefault="00ED620C" w:rsidP="007B760C">
            <w:pPr>
              <w:jc w:val="center"/>
              <w:rPr>
                <w:rFonts w:eastAsia="Calibri"/>
                <w:szCs w:val="22"/>
              </w:rPr>
            </w:pPr>
            <w:r w:rsidRPr="000F665C">
              <w:rPr>
                <w:rFonts w:eastAsia="Calibri"/>
                <w:b/>
                <w:bCs/>
                <w:szCs w:val="22"/>
              </w:rPr>
              <w:t>N=112</w:t>
            </w:r>
          </w:p>
        </w:tc>
        <w:tc>
          <w:tcPr>
            <w:tcW w:w="1620" w:type="dxa"/>
          </w:tcPr>
          <w:p w:rsidR="00ED620C" w:rsidRPr="000F665C" w:rsidRDefault="00ED620C" w:rsidP="007B760C">
            <w:pPr>
              <w:jc w:val="center"/>
              <w:rPr>
                <w:rFonts w:eastAsia="Calibri"/>
                <w:szCs w:val="22"/>
              </w:rPr>
            </w:pPr>
            <w:r w:rsidRPr="000F665C">
              <w:rPr>
                <w:rFonts w:eastAsia="Calibri"/>
                <w:b/>
                <w:bCs/>
                <w:szCs w:val="22"/>
              </w:rPr>
              <w:t>N=429</w:t>
            </w:r>
          </w:p>
        </w:tc>
        <w:tc>
          <w:tcPr>
            <w:tcW w:w="1620" w:type="dxa"/>
          </w:tcPr>
          <w:p w:rsidR="00ED620C" w:rsidRPr="000F665C" w:rsidRDefault="00ED620C" w:rsidP="007B760C">
            <w:pPr>
              <w:jc w:val="center"/>
              <w:rPr>
                <w:rFonts w:eastAsia="Calibri"/>
                <w:szCs w:val="22"/>
              </w:rPr>
            </w:pPr>
            <w:r w:rsidRPr="000F665C">
              <w:rPr>
                <w:rFonts w:eastAsia="Calibri"/>
                <w:b/>
                <w:bCs/>
                <w:szCs w:val="22"/>
              </w:rPr>
              <w:t>N=112</w:t>
            </w:r>
          </w:p>
        </w:tc>
        <w:tc>
          <w:tcPr>
            <w:tcW w:w="1440" w:type="dxa"/>
          </w:tcPr>
          <w:p w:rsidR="00ED620C" w:rsidRPr="000F665C" w:rsidRDefault="00ED620C" w:rsidP="007B760C">
            <w:pPr>
              <w:jc w:val="center"/>
              <w:rPr>
                <w:rFonts w:eastAsia="Calibri"/>
                <w:szCs w:val="22"/>
              </w:rPr>
            </w:pPr>
            <w:r w:rsidRPr="000F665C">
              <w:rPr>
                <w:rFonts w:eastAsia="Calibri"/>
                <w:b/>
                <w:bCs/>
                <w:szCs w:val="22"/>
              </w:rPr>
              <w:t>N=429</w:t>
            </w:r>
          </w:p>
        </w:tc>
      </w:tr>
      <w:tr w:rsidR="00ED620C" w:rsidRPr="000F665C" w:rsidTr="007B760C">
        <w:trPr>
          <w:trHeight w:val="220"/>
        </w:trPr>
        <w:tc>
          <w:tcPr>
            <w:tcW w:w="2988" w:type="dxa"/>
          </w:tcPr>
          <w:p w:rsidR="00ED620C" w:rsidRPr="000F665C" w:rsidRDefault="00ED620C" w:rsidP="007B760C">
            <w:pPr>
              <w:rPr>
                <w:rFonts w:eastAsia="Calibri"/>
                <w:szCs w:val="22"/>
              </w:rPr>
            </w:pPr>
            <w:proofErr w:type="spellStart"/>
            <w:r w:rsidRPr="000F665C">
              <w:rPr>
                <w:rFonts w:eastAsia="Calibri"/>
                <w:szCs w:val="22"/>
              </w:rPr>
              <w:t>Remission</w:t>
            </w:r>
            <w:r>
              <w:rPr>
                <w:rFonts w:eastAsia="Calibri"/>
                <w:szCs w:val="22"/>
                <w:vertAlign w:val="superscript"/>
              </w:rPr>
              <w:t>a</w:t>
            </w:r>
            <w:proofErr w:type="spellEnd"/>
          </w:p>
        </w:tc>
        <w:tc>
          <w:tcPr>
            <w:tcW w:w="1530" w:type="dxa"/>
          </w:tcPr>
          <w:p w:rsidR="00ED620C" w:rsidRPr="000F665C" w:rsidRDefault="00ED620C" w:rsidP="007B760C">
            <w:pPr>
              <w:jc w:val="center"/>
              <w:rPr>
                <w:rFonts w:eastAsia="Calibri"/>
                <w:szCs w:val="22"/>
              </w:rPr>
            </w:pPr>
            <w:r w:rsidRPr="000F665C">
              <w:rPr>
                <w:rFonts w:eastAsia="Calibri"/>
                <w:szCs w:val="22"/>
              </w:rPr>
              <w:t>3.6%</w:t>
            </w:r>
          </w:p>
        </w:tc>
        <w:tc>
          <w:tcPr>
            <w:tcW w:w="1620" w:type="dxa"/>
          </w:tcPr>
          <w:p w:rsidR="00ED620C" w:rsidRPr="000F665C" w:rsidRDefault="00ED620C" w:rsidP="007B760C">
            <w:pPr>
              <w:jc w:val="center"/>
              <w:rPr>
                <w:rFonts w:eastAsia="Calibri"/>
                <w:szCs w:val="22"/>
              </w:rPr>
            </w:pPr>
            <w:r w:rsidRPr="000F665C">
              <w:rPr>
                <w:rFonts w:eastAsia="Calibri"/>
                <w:szCs w:val="22"/>
              </w:rPr>
              <w:t>16.6%</w:t>
            </w:r>
            <w:r w:rsidRPr="000F665C">
              <w:rPr>
                <w:rFonts w:eastAsia="Calibri"/>
                <w:szCs w:val="22"/>
                <w:vertAlign w:val="superscript"/>
              </w:rPr>
              <w:t>†</w:t>
            </w:r>
          </w:p>
        </w:tc>
        <w:tc>
          <w:tcPr>
            <w:tcW w:w="1620" w:type="dxa"/>
          </w:tcPr>
          <w:p w:rsidR="00ED620C" w:rsidRPr="000F665C" w:rsidRDefault="00ED620C" w:rsidP="007B760C">
            <w:pPr>
              <w:jc w:val="center"/>
              <w:rPr>
                <w:rFonts w:eastAsia="Calibri"/>
                <w:szCs w:val="22"/>
              </w:rPr>
            </w:pPr>
            <w:r w:rsidRPr="000F665C">
              <w:rPr>
                <w:rFonts w:eastAsia="Calibri"/>
                <w:szCs w:val="22"/>
              </w:rPr>
              <w:t>5.4%</w:t>
            </w:r>
          </w:p>
        </w:tc>
        <w:tc>
          <w:tcPr>
            <w:tcW w:w="1440" w:type="dxa"/>
          </w:tcPr>
          <w:p w:rsidR="00ED620C" w:rsidRPr="000F665C" w:rsidRDefault="00ED620C" w:rsidP="007B760C">
            <w:pPr>
              <w:jc w:val="center"/>
              <w:rPr>
                <w:rFonts w:eastAsia="Calibri"/>
                <w:szCs w:val="22"/>
              </w:rPr>
            </w:pPr>
            <w:r w:rsidRPr="000F665C">
              <w:rPr>
                <w:rFonts w:eastAsia="Calibri"/>
                <w:szCs w:val="22"/>
              </w:rPr>
              <w:t>20.7%</w:t>
            </w:r>
            <w:r w:rsidRPr="000F665C">
              <w:rPr>
                <w:rFonts w:eastAsia="Calibri"/>
                <w:szCs w:val="22"/>
                <w:vertAlign w:val="superscript"/>
              </w:rPr>
              <w:t>†</w:t>
            </w:r>
          </w:p>
        </w:tc>
      </w:tr>
      <w:tr w:rsidR="00ED620C" w:rsidRPr="000F665C" w:rsidTr="007B760C">
        <w:trPr>
          <w:trHeight w:val="220"/>
        </w:trPr>
        <w:tc>
          <w:tcPr>
            <w:tcW w:w="2988" w:type="dxa"/>
          </w:tcPr>
          <w:p w:rsidR="00ED620C" w:rsidRPr="000F665C" w:rsidRDefault="00ED620C" w:rsidP="007B760C">
            <w:pPr>
              <w:rPr>
                <w:rFonts w:eastAsia="Calibri"/>
                <w:szCs w:val="22"/>
              </w:rPr>
            </w:pPr>
            <w:r w:rsidRPr="000F665C">
              <w:rPr>
                <w:rFonts w:eastAsia="Calibri"/>
                <w:szCs w:val="22"/>
              </w:rPr>
              <w:t xml:space="preserve">Improvement of endoscopic appearance of the </w:t>
            </w:r>
            <w:proofErr w:type="spellStart"/>
            <w:r w:rsidRPr="000F665C">
              <w:rPr>
                <w:rFonts w:eastAsia="Calibri"/>
                <w:szCs w:val="22"/>
              </w:rPr>
              <w:t>mucosa</w:t>
            </w:r>
            <w:r>
              <w:rPr>
                <w:rFonts w:eastAsia="Calibri"/>
                <w:szCs w:val="22"/>
                <w:vertAlign w:val="superscript"/>
              </w:rPr>
              <w:t>b</w:t>
            </w:r>
            <w:proofErr w:type="spellEnd"/>
          </w:p>
        </w:tc>
        <w:tc>
          <w:tcPr>
            <w:tcW w:w="1530" w:type="dxa"/>
          </w:tcPr>
          <w:p w:rsidR="00ED620C" w:rsidRPr="000F665C" w:rsidRDefault="00ED620C" w:rsidP="007B760C">
            <w:pPr>
              <w:jc w:val="center"/>
              <w:rPr>
                <w:rFonts w:eastAsia="Calibri"/>
                <w:szCs w:val="22"/>
              </w:rPr>
            </w:pPr>
            <w:r w:rsidRPr="000F665C">
              <w:rPr>
                <w:rFonts w:eastAsia="Calibri"/>
                <w:szCs w:val="22"/>
              </w:rPr>
              <w:t>11.6%</w:t>
            </w:r>
          </w:p>
        </w:tc>
        <w:tc>
          <w:tcPr>
            <w:tcW w:w="1620" w:type="dxa"/>
          </w:tcPr>
          <w:p w:rsidR="00ED620C" w:rsidRPr="000F665C" w:rsidRDefault="00ED620C" w:rsidP="007B760C">
            <w:pPr>
              <w:jc w:val="center"/>
              <w:rPr>
                <w:rFonts w:eastAsia="Calibri"/>
                <w:szCs w:val="22"/>
              </w:rPr>
            </w:pPr>
            <w:r w:rsidRPr="000F665C">
              <w:rPr>
                <w:rFonts w:eastAsia="Calibri"/>
                <w:szCs w:val="22"/>
              </w:rPr>
              <w:t>28.4%</w:t>
            </w:r>
            <w:r w:rsidRPr="000F665C">
              <w:rPr>
                <w:rFonts w:eastAsia="Calibri"/>
                <w:szCs w:val="22"/>
                <w:vertAlign w:val="superscript"/>
              </w:rPr>
              <w:t>†</w:t>
            </w:r>
          </w:p>
        </w:tc>
        <w:tc>
          <w:tcPr>
            <w:tcW w:w="1620" w:type="dxa"/>
          </w:tcPr>
          <w:p w:rsidR="00ED620C" w:rsidRPr="000F665C" w:rsidRDefault="00ED620C" w:rsidP="007B760C">
            <w:pPr>
              <w:jc w:val="center"/>
              <w:rPr>
                <w:rFonts w:eastAsia="Calibri"/>
                <w:szCs w:val="22"/>
              </w:rPr>
            </w:pPr>
            <w:r w:rsidRPr="000F665C">
              <w:rPr>
                <w:rFonts w:eastAsia="Calibri"/>
                <w:szCs w:val="22"/>
              </w:rPr>
              <w:t>15.2%</w:t>
            </w:r>
          </w:p>
        </w:tc>
        <w:tc>
          <w:tcPr>
            <w:tcW w:w="1440" w:type="dxa"/>
          </w:tcPr>
          <w:p w:rsidR="00ED620C" w:rsidRPr="000F665C" w:rsidRDefault="00ED620C" w:rsidP="007B760C">
            <w:pPr>
              <w:jc w:val="center"/>
              <w:rPr>
                <w:rFonts w:eastAsia="Calibri"/>
                <w:szCs w:val="22"/>
              </w:rPr>
            </w:pPr>
            <w:r w:rsidRPr="000F665C">
              <w:rPr>
                <w:rFonts w:eastAsia="Calibri"/>
                <w:szCs w:val="22"/>
              </w:rPr>
              <w:t>36.4%*</w:t>
            </w:r>
          </w:p>
        </w:tc>
      </w:tr>
      <w:tr w:rsidR="00ED620C" w:rsidRPr="000F665C" w:rsidTr="007B760C">
        <w:trPr>
          <w:trHeight w:val="220"/>
        </w:trPr>
        <w:tc>
          <w:tcPr>
            <w:tcW w:w="2988" w:type="dxa"/>
          </w:tcPr>
          <w:p w:rsidR="00ED620C" w:rsidRPr="000F665C" w:rsidRDefault="00BE5DDA" w:rsidP="00382571">
            <w:pPr>
              <w:jc w:val="left"/>
              <w:rPr>
                <w:rFonts w:eastAsia="Calibri"/>
                <w:szCs w:val="22"/>
              </w:rPr>
            </w:pPr>
            <w:r>
              <w:rPr>
                <w:szCs w:val="22"/>
              </w:rPr>
              <w:t>Normalis</w:t>
            </w:r>
            <w:r w:rsidR="00ED620C" w:rsidRPr="000F665C">
              <w:rPr>
                <w:szCs w:val="22"/>
              </w:rPr>
              <w:t xml:space="preserve">ation of endoscopic appearance of the </w:t>
            </w:r>
            <w:proofErr w:type="spellStart"/>
            <w:r w:rsidR="00ED620C" w:rsidRPr="000F665C">
              <w:rPr>
                <w:szCs w:val="22"/>
              </w:rPr>
              <w:t>mucosa</w:t>
            </w:r>
            <w:r w:rsidR="00ED620C">
              <w:rPr>
                <w:szCs w:val="22"/>
                <w:vertAlign w:val="superscript"/>
              </w:rPr>
              <w:t>c</w:t>
            </w:r>
            <w:proofErr w:type="spellEnd"/>
          </w:p>
        </w:tc>
        <w:tc>
          <w:tcPr>
            <w:tcW w:w="1530" w:type="dxa"/>
          </w:tcPr>
          <w:p w:rsidR="00ED620C" w:rsidRPr="000F665C" w:rsidRDefault="00ED620C" w:rsidP="007B760C">
            <w:pPr>
              <w:jc w:val="center"/>
              <w:rPr>
                <w:rFonts w:eastAsia="Calibri"/>
                <w:szCs w:val="22"/>
              </w:rPr>
            </w:pPr>
            <w:r w:rsidRPr="000F665C">
              <w:rPr>
                <w:rFonts w:eastAsia="Calibri"/>
                <w:szCs w:val="22"/>
              </w:rPr>
              <w:t>1.8%</w:t>
            </w:r>
          </w:p>
        </w:tc>
        <w:tc>
          <w:tcPr>
            <w:tcW w:w="1620" w:type="dxa"/>
          </w:tcPr>
          <w:p w:rsidR="00ED620C" w:rsidRPr="000F665C" w:rsidRDefault="00ED620C" w:rsidP="007B760C">
            <w:pPr>
              <w:jc w:val="center"/>
              <w:rPr>
                <w:rFonts w:eastAsia="Calibri"/>
                <w:szCs w:val="22"/>
              </w:rPr>
            </w:pPr>
            <w:r w:rsidRPr="000F665C">
              <w:rPr>
                <w:rFonts w:eastAsia="Calibri"/>
                <w:szCs w:val="22"/>
              </w:rPr>
              <w:t>7.0%</w:t>
            </w:r>
            <w:r w:rsidRPr="000F665C">
              <w:rPr>
                <w:rFonts w:eastAsia="Calibri"/>
                <w:szCs w:val="22"/>
                <w:vertAlign w:val="superscript"/>
              </w:rPr>
              <w:t>‡</w:t>
            </w:r>
          </w:p>
        </w:tc>
        <w:tc>
          <w:tcPr>
            <w:tcW w:w="1620" w:type="dxa"/>
          </w:tcPr>
          <w:p w:rsidR="00ED620C" w:rsidRPr="000F665C" w:rsidRDefault="00ED620C" w:rsidP="007B760C">
            <w:pPr>
              <w:jc w:val="center"/>
              <w:rPr>
                <w:rFonts w:eastAsia="Calibri"/>
                <w:szCs w:val="22"/>
              </w:rPr>
            </w:pPr>
            <w:r w:rsidRPr="000F665C">
              <w:rPr>
                <w:rFonts w:eastAsia="Calibri"/>
                <w:szCs w:val="22"/>
              </w:rPr>
              <w:t>0.0%</w:t>
            </w:r>
          </w:p>
        </w:tc>
        <w:tc>
          <w:tcPr>
            <w:tcW w:w="1440" w:type="dxa"/>
          </w:tcPr>
          <w:p w:rsidR="00ED620C" w:rsidRPr="000F665C" w:rsidRDefault="00ED620C" w:rsidP="007B760C">
            <w:pPr>
              <w:jc w:val="center"/>
              <w:rPr>
                <w:rFonts w:eastAsia="Calibri"/>
                <w:szCs w:val="22"/>
              </w:rPr>
            </w:pPr>
            <w:r w:rsidRPr="000F665C">
              <w:rPr>
                <w:rFonts w:eastAsia="Calibri"/>
                <w:szCs w:val="22"/>
              </w:rPr>
              <w:t>9.1%</w:t>
            </w:r>
            <w:r w:rsidRPr="000F665C">
              <w:rPr>
                <w:rFonts w:eastAsia="Calibri"/>
                <w:szCs w:val="22"/>
                <w:vertAlign w:val="superscript"/>
              </w:rPr>
              <w:t>‡</w:t>
            </w:r>
          </w:p>
        </w:tc>
      </w:tr>
      <w:tr w:rsidR="00ED620C" w:rsidRPr="000F665C" w:rsidTr="007B760C">
        <w:trPr>
          <w:trHeight w:val="220"/>
        </w:trPr>
        <w:tc>
          <w:tcPr>
            <w:tcW w:w="2988" w:type="dxa"/>
            <w:tcBorders>
              <w:bottom w:val="single" w:sz="4" w:space="0" w:color="auto"/>
            </w:tcBorders>
          </w:tcPr>
          <w:p w:rsidR="00ED620C" w:rsidRPr="000F665C" w:rsidRDefault="00ED620C" w:rsidP="007B760C">
            <w:pPr>
              <w:rPr>
                <w:rFonts w:eastAsia="Calibri"/>
                <w:szCs w:val="22"/>
              </w:rPr>
            </w:pPr>
            <w:r w:rsidRPr="000F665C">
              <w:rPr>
                <w:rFonts w:eastAsia="Calibri"/>
                <w:szCs w:val="22"/>
              </w:rPr>
              <w:t xml:space="preserve">Clinical </w:t>
            </w:r>
            <w:proofErr w:type="spellStart"/>
            <w:r w:rsidRPr="000F665C">
              <w:rPr>
                <w:rFonts w:eastAsia="Calibri"/>
                <w:szCs w:val="22"/>
              </w:rPr>
              <w:t>response</w:t>
            </w:r>
            <w:r>
              <w:rPr>
                <w:rFonts w:eastAsia="Calibri"/>
                <w:szCs w:val="22"/>
                <w:vertAlign w:val="superscript"/>
              </w:rPr>
              <w:t>d</w:t>
            </w:r>
            <w:proofErr w:type="spellEnd"/>
          </w:p>
        </w:tc>
        <w:tc>
          <w:tcPr>
            <w:tcW w:w="1530" w:type="dxa"/>
            <w:tcBorders>
              <w:bottom w:val="single" w:sz="4" w:space="0" w:color="auto"/>
            </w:tcBorders>
          </w:tcPr>
          <w:p w:rsidR="00ED620C" w:rsidRPr="000F665C" w:rsidRDefault="00ED620C" w:rsidP="007B760C">
            <w:pPr>
              <w:jc w:val="center"/>
              <w:rPr>
                <w:rFonts w:eastAsia="Calibri"/>
                <w:szCs w:val="22"/>
              </w:rPr>
            </w:pPr>
            <w:r w:rsidRPr="000F665C">
              <w:rPr>
                <w:rFonts w:eastAsia="Calibri"/>
                <w:szCs w:val="22"/>
              </w:rPr>
              <w:t>28.6%</w:t>
            </w:r>
          </w:p>
        </w:tc>
        <w:tc>
          <w:tcPr>
            <w:tcW w:w="1620" w:type="dxa"/>
            <w:tcBorders>
              <w:bottom w:val="single" w:sz="4" w:space="0" w:color="auto"/>
            </w:tcBorders>
          </w:tcPr>
          <w:p w:rsidR="00ED620C" w:rsidRPr="000F665C" w:rsidRDefault="00ED620C" w:rsidP="007B760C">
            <w:pPr>
              <w:jc w:val="center"/>
              <w:rPr>
                <w:rFonts w:eastAsia="Calibri"/>
                <w:szCs w:val="22"/>
              </w:rPr>
            </w:pPr>
            <w:r w:rsidRPr="000F665C">
              <w:rPr>
                <w:rFonts w:eastAsia="Calibri"/>
                <w:szCs w:val="22"/>
              </w:rPr>
              <w:t>55.0%*</w:t>
            </w:r>
          </w:p>
        </w:tc>
        <w:tc>
          <w:tcPr>
            <w:tcW w:w="1620" w:type="dxa"/>
            <w:tcBorders>
              <w:bottom w:val="single" w:sz="4" w:space="0" w:color="auto"/>
            </w:tcBorders>
          </w:tcPr>
          <w:p w:rsidR="00ED620C" w:rsidRPr="000F665C" w:rsidRDefault="00ED620C" w:rsidP="007B760C">
            <w:pPr>
              <w:jc w:val="center"/>
              <w:rPr>
                <w:rFonts w:eastAsia="Calibri"/>
                <w:szCs w:val="22"/>
              </w:rPr>
            </w:pPr>
            <w:r w:rsidRPr="000F665C">
              <w:rPr>
                <w:rFonts w:eastAsia="Calibri"/>
                <w:szCs w:val="22"/>
              </w:rPr>
              <w:t>29.5%</w:t>
            </w:r>
          </w:p>
        </w:tc>
        <w:tc>
          <w:tcPr>
            <w:tcW w:w="1440" w:type="dxa"/>
            <w:tcBorders>
              <w:bottom w:val="single" w:sz="4" w:space="0" w:color="auto"/>
            </w:tcBorders>
          </w:tcPr>
          <w:p w:rsidR="00ED620C" w:rsidRPr="000F665C" w:rsidRDefault="00ED620C" w:rsidP="007B760C">
            <w:pPr>
              <w:jc w:val="center"/>
              <w:rPr>
                <w:rFonts w:eastAsia="Calibri"/>
                <w:szCs w:val="22"/>
              </w:rPr>
            </w:pPr>
            <w:r w:rsidRPr="000F665C">
              <w:rPr>
                <w:rFonts w:eastAsia="Calibri"/>
                <w:szCs w:val="22"/>
              </w:rPr>
              <w:t>58.0%*</w:t>
            </w:r>
          </w:p>
        </w:tc>
      </w:tr>
      <w:tr w:rsidR="00ED620C" w:rsidRPr="000F665C" w:rsidTr="007B760C">
        <w:trPr>
          <w:trHeight w:val="220"/>
        </w:trPr>
        <w:tc>
          <w:tcPr>
            <w:tcW w:w="9198" w:type="dxa"/>
            <w:gridSpan w:val="5"/>
            <w:tcBorders>
              <w:left w:val="nil"/>
              <w:bottom w:val="nil"/>
              <w:right w:val="nil"/>
            </w:tcBorders>
          </w:tcPr>
          <w:p w:rsidR="00ED620C" w:rsidRPr="00252730" w:rsidRDefault="00ED620C" w:rsidP="007B760C">
            <w:pPr>
              <w:rPr>
                <w:rFonts w:eastAsia="Calibri"/>
                <w:sz w:val="18"/>
                <w:szCs w:val="18"/>
              </w:rPr>
            </w:pPr>
            <w:r w:rsidRPr="00252730">
              <w:rPr>
                <w:rFonts w:eastAsia="Calibri"/>
                <w:sz w:val="18"/>
                <w:szCs w:val="18"/>
              </w:rPr>
              <w:t>* p&lt;0.0001; † p&lt;0.001; ‡ p&lt;0.05.</w:t>
            </w:r>
          </w:p>
          <w:p w:rsidR="00ED620C" w:rsidRPr="00252730" w:rsidRDefault="00ED620C" w:rsidP="007B760C">
            <w:pPr>
              <w:rPr>
                <w:rFonts w:eastAsia="Calibri"/>
                <w:sz w:val="18"/>
                <w:szCs w:val="18"/>
              </w:rPr>
            </w:pPr>
            <w:r w:rsidRPr="00252730">
              <w:rPr>
                <w:rFonts w:eastAsia="Calibri"/>
                <w:sz w:val="18"/>
                <w:szCs w:val="18"/>
              </w:rPr>
              <w:t>N=number of patients in the analysis set.</w:t>
            </w:r>
          </w:p>
          <w:p w:rsidR="00ED620C" w:rsidRPr="00252730" w:rsidRDefault="00ED620C" w:rsidP="007B760C">
            <w:pPr>
              <w:tabs>
                <w:tab w:val="left" w:pos="270"/>
              </w:tabs>
              <w:ind w:left="270" w:hanging="270"/>
              <w:rPr>
                <w:rFonts w:eastAsia="Calibri"/>
                <w:sz w:val="18"/>
                <w:szCs w:val="18"/>
              </w:rPr>
            </w:pPr>
            <w:r w:rsidRPr="00252730">
              <w:rPr>
                <w:rFonts w:eastAsia="Calibri"/>
                <w:sz w:val="18"/>
                <w:szCs w:val="18"/>
                <w:vertAlign w:val="superscript"/>
              </w:rPr>
              <w:t>a.</w:t>
            </w:r>
            <w:r w:rsidRPr="00252730">
              <w:rPr>
                <w:rFonts w:eastAsia="Calibri"/>
                <w:sz w:val="18"/>
                <w:szCs w:val="18"/>
              </w:rPr>
              <w:tab/>
              <w:t>Primary endpoint: Remission was defined as clinical remission (a Mayo score ≤</w:t>
            </w:r>
            <w:r>
              <w:rPr>
                <w:rFonts w:eastAsia="Calibri"/>
                <w:sz w:val="18"/>
                <w:szCs w:val="18"/>
              </w:rPr>
              <w:t> </w:t>
            </w:r>
            <w:r w:rsidRPr="00252730">
              <w:rPr>
                <w:rFonts w:eastAsia="Calibri"/>
                <w:sz w:val="18"/>
                <w:szCs w:val="18"/>
              </w:rPr>
              <w:t xml:space="preserve">2 with no individual </w:t>
            </w:r>
            <w:proofErr w:type="spellStart"/>
            <w:r w:rsidRPr="00252730">
              <w:rPr>
                <w:rFonts w:eastAsia="Calibri"/>
                <w:sz w:val="18"/>
                <w:szCs w:val="18"/>
              </w:rPr>
              <w:t>subscore</w:t>
            </w:r>
            <w:proofErr w:type="spellEnd"/>
            <w:r w:rsidRPr="00252730">
              <w:rPr>
                <w:rFonts w:eastAsia="Calibri"/>
                <w:sz w:val="18"/>
                <w:szCs w:val="18"/>
              </w:rPr>
              <w:t xml:space="preserve"> &gt;</w:t>
            </w:r>
            <w:r>
              <w:rPr>
                <w:rFonts w:eastAsia="Calibri"/>
                <w:sz w:val="18"/>
                <w:szCs w:val="18"/>
              </w:rPr>
              <w:t> </w:t>
            </w:r>
            <w:r w:rsidRPr="00252730">
              <w:rPr>
                <w:rFonts w:eastAsia="Calibri"/>
                <w:sz w:val="18"/>
                <w:szCs w:val="18"/>
              </w:rPr>
              <w:t xml:space="preserve">1) and rectal bleeding </w:t>
            </w:r>
            <w:proofErr w:type="spellStart"/>
            <w:r w:rsidRPr="00252730">
              <w:rPr>
                <w:rFonts w:eastAsia="Calibri"/>
                <w:sz w:val="18"/>
                <w:szCs w:val="18"/>
              </w:rPr>
              <w:t>subscore</w:t>
            </w:r>
            <w:proofErr w:type="spellEnd"/>
            <w:r w:rsidRPr="00252730">
              <w:rPr>
                <w:rFonts w:eastAsia="Calibri"/>
                <w:sz w:val="18"/>
                <w:szCs w:val="18"/>
              </w:rPr>
              <w:t xml:space="preserve"> of 0. </w:t>
            </w:r>
          </w:p>
          <w:p w:rsidR="00ED620C" w:rsidRPr="00252730" w:rsidRDefault="00ED620C" w:rsidP="007B760C">
            <w:pPr>
              <w:tabs>
                <w:tab w:val="left" w:pos="270"/>
              </w:tabs>
              <w:ind w:left="270" w:hanging="270"/>
              <w:rPr>
                <w:rFonts w:eastAsia="Calibri"/>
                <w:sz w:val="18"/>
                <w:szCs w:val="18"/>
              </w:rPr>
            </w:pPr>
            <w:r w:rsidRPr="00252730">
              <w:rPr>
                <w:rFonts w:eastAsia="Calibri"/>
                <w:sz w:val="18"/>
                <w:szCs w:val="18"/>
                <w:vertAlign w:val="superscript"/>
              </w:rPr>
              <w:t>b.</w:t>
            </w:r>
            <w:r w:rsidRPr="00252730">
              <w:rPr>
                <w:rFonts w:eastAsia="Calibri"/>
                <w:sz w:val="18"/>
                <w:szCs w:val="18"/>
              </w:rPr>
              <w:tab/>
              <w:t xml:space="preserve">Key secondary endpoint: </w:t>
            </w:r>
            <w:r>
              <w:rPr>
                <w:rFonts w:eastAsia="Calibri"/>
                <w:sz w:val="18"/>
                <w:szCs w:val="18"/>
              </w:rPr>
              <w:t>I</w:t>
            </w:r>
            <w:r w:rsidRPr="00252730">
              <w:rPr>
                <w:rFonts w:eastAsia="Calibri"/>
                <w:sz w:val="18"/>
                <w:szCs w:val="18"/>
              </w:rPr>
              <w:t xml:space="preserve">mprovement of endoscopic appearance of the mucosa was defined as Mayo endoscopy </w:t>
            </w:r>
            <w:proofErr w:type="spellStart"/>
            <w:r w:rsidRPr="00252730">
              <w:rPr>
                <w:rFonts w:eastAsia="Calibri"/>
                <w:sz w:val="18"/>
                <w:szCs w:val="18"/>
              </w:rPr>
              <w:t>subscore</w:t>
            </w:r>
            <w:proofErr w:type="spellEnd"/>
            <w:r w:rsidRPr="00252730">
              <w:rPr>
                <w:rFonts w:eastAsia="Calibri"/>
                <w:sz w:val="18"/>
                <w:szCs w:val="18"/>
              </w:rPr>
              <w:t xml:space="preserve"> of 0 (normal or inactive disease) or 1 (erythema, decreased vascular pattern).</w:t>
            </w:r>
          </w:p>
          <w:p w:rsidR="00ED620C" w:rsidRPr="00252730" w:rsidRDefault="00ED620C" w:rsidP="007B760C">
            <w:pPr>
              <w:tabs>
                <w:tab w:val="left" w:pos="270"/>
              </w:tabs>
              <w:ind w:left="270" w:hanging="270"/>
              <w:rPr>
                <w:rFonts w:eastAsia="Calibri"/>
                <w:sz w:val="18"/>
                <w:szCs w:val="18"/>
              </w:rPr>
            </w:pPr>
            <w:r w:rsidRPr="00252730">
              <w:rPr>
                <w:rFonts w:eastAsia="Calibri"/>
                <w:sz w:val="18"/>
                <w:szCs w:val="18"/>
                <w:vertAlign w:val="superscript"/>
              </w:rPr>
              <w:lastRenderedPageBreak/>
              <w:t>c.</w:t>
            </w:r>
            <w:r w:rsidR="00BE5DDA">
              <w:rPr>
                <w:rFonts w:eastAsia="Calibri"/>
                <w:sz w:val="18"/>
                <w:szCs w:val="18"/>
              </w:rPr>
              <w:tab/>
              <w:t>Normalis</w:t>
            </w:r>
            <w:r w:rsidRPr="00252730">
              <w:rPr>
                <w:rFonts w:eastAsia="Calibri"/>
                <w:sz w:val="18"/>
                <w:szCs w:val="18"/>
              </w:rPr>
              <w:t xml:space="preserve">ation of endoscopic appearance of the mucosa was defined as a Mayo endoscopic </w:t>
            </w:r>
            <w:proofErr w:type="spellStart"/>
            <w:r w:rsidRPr="00252730">
              <w:rPr>
                <w:rFonts w:eastAsia="Calibri"/>
                <w:sz w:val="18"/>
                <w:szCs w:val="18"/>
              </w:rPr>
              <w:t>subscore</w:t>
            </w:r>
            <w:proofErr w:type="spellEnd"/>
            <w:r w:rsidRPr="00252730">
              <w:rPr>
                <w:rFonts w:eastAsia="Calibri"/>
                <w:sz w:val="18"/>
                <w:szCs w:val="18"/>
              </w:rPr>
              <w:t xml:space="preserve"> of 0.</w:t>
            </w:r>
          </w:p>
          <w:p w:rsidR="00ED620C" w:rsidRPr="000F665C" w:rsidRDefault="00ED620C" w:rsidP="007B760C">
            <w:pPr>
              <w:tabs>
                <w:tab w:val="left" w:pos="270"/>
              </w:tabs>
              <w:ind w:left="270" w:hanging="270"/>
              <w:rPr>
                <w:rFonts w:eastAsia="Calibri"/>
                <w:szCs w:val="22"/>
              </w:rPr>
            </w:pPr>
            <w:r w:rsidRPr="00252730">
              <w:rPr>
                <w:rFonts w:eastAsia="Calibri"/>
                <w:sz w:val="18"/>
                <w:szCs w:val="18"/>
                <w:vertAlign w:val="superscript"/>
              </w:rPr>
              <w:t>d.</w:t>
            </w:r>
            <w:r w:rsidRPr="00252730">
              <w:rPr>
                <w:rFonts w:eastAsia="Calibri"/>
                <w:sz w:val="18"/>
                <w:szCs w:val="18"/>
              </w:rPr>
              <w:tab/>
              <w:t>Clinical response was defined as a decrease from baseline in Mayo score of ≥</w:t>
            </w:r>
            <w:r>
              <w:rPr>
                <w:rFonts w:eastAsia="Calibri"/>
                <w:sz w:val="18"/>
                <w:szCs w:val="18"/>
              </w:rPr>
              <w:t> </w:t>
            </w:r>
            <w:r w:rsidRPr="00252730">
              <w:rPr>
                <w:rFonts w:eastAsia="Calibri"/>
                <w:sz w:val="18"/>
                <w:szCs w:val="18"/>
              </w:rPr>
              <w:t>3 points and ≥</w:t>
            </w:r>
            <w:r>
              <w:rPr>
                <w:rFonts w:eastAsia="Calibri"/>
                <w:sz w:val="18"/>
                <w:szCs w:val="18"/>
              </w:rPr>
              <w:t> </w:t>
            </w:r>
            <w:r w:rsidRPr="00252730">
              <w:rPr>
                <w:rFonts w:eastAsia="Calibri"/>
                <w:sz w:val="18"/>
                <w:szCs w:val="18"/>
              </w:rPr>
              <w:t xml:space="preserve">30%, with an accompanying decrease in the </w:t>
            </w:r>
            <w:proofErr w:type="spellStart"/>
            <w:r w:rsidRPr="00252730">
              <w:rPr>
                <w:rFonts w:eastAsia="Calibri"/>
                <w:sz w:val="18"/>
                <w:szCs w:val="18"/>
              </w:rPr>
              <w:t>subscore</w:t>
            </w:r>
            <w:proofErr w:type="spellEnd"/>
            <w:r w:rsidRPr="00252730">
              <w:rPr>
                <w:rFonts w:eastAsia="Calibri"/>
                <w:sz w:val="18"/>
                <w:szCs w:val="18"/>
              </w:rPr>
              <w:t xml:space="preserve"> for rectal bleeding of ≥</w:t>
            </w:r>
            <w:r>
              <w:rPr>
                <w:rFonts w:eastAsia="Calibri"/>
                <w:sz w:val="18"/>
                <w:szCs w:val="18"/>
              </w:rPr>
              <w:t> </w:t>
            </w:r>
            <w:r w:rsidRPr="00252730">
              <w:rPr>
                <w:rFonts w:eastAsia="Calibri"/>
                <w:sz w:val="18"/>
                <w:szCs w:val="18"/>
              </w:rPr>
              <w:t xml:space="preserve">1 point or absolute </w:t>
            </w:r>
            <w:proofErr w:type="spellStart"/>
            <w:r w:rsidRPr="00252730">
              <w:rPr>
                <w:rFonts w:eastAsia="Calibri"/>
                <w:sz w:val="18"/>
                <w:szCs w:val="18"/>
              </w:rPr>
              <w:t>subscore</w:t>
            </w:r>
            <w:proofErr w:type="spellEnd"/>
            <w:r w:rsidRPr="00252730">
              <w:rPr>
                <w:rFonts w:eastAsia="Calibri"/>
                <w:sz w:val="18"/>
                <w:szCs w:val="18"/>
              </w:rPr>
              <w:t xml:space="preserve"> for rectal bleeding of 0 or 1.</w:t>
            </w:r>
          </w:p>
        </w:tc>
      </w:tr>
    </w:tbl>
    <w:p w:rsidR="00ED620C" w:rsidRDefault="00ED620C" w:rsidP="00ED620C">
      <w:pPr>
        <w:rPr>
          <w:rFonts w:eastAsia="Calibri"/>
          <w:szCs w:val="22"/>
        </w:rPr>
      </w:pPr>
    </w:p>
    <w:p w:rsidR="00722BC3" w:rsidRDefault="00ED620C" w:rsidP="00ED620C">
      <w:pPr>
        <w:rPr>
          <w:rFonts w:eastAsia="Calibri"/>
          <w:szCs w:val="22"/>
        </w:rPr>
      </w:pPr>
      <w:r w:rsidRPr="000F665C">
        <w:rPr>
          <w:rFonts w:eastAsia="Calibri"/>
          <w:szCs w:val="22"/>
        </w:rPr>
        <w:t>In both subgroups of patients with or without prior TNF inhibitor failure, a greater proportion of patients treated with</w:t>
      </w:r>
      <w:r>
        <w:rPr>
          <w:rFonts w:eastAsia="Calibri"/>
          <w:szCs w:val="22"/>
        </w:rPr>
        <w:t xml:space="preserve"> XELJANZ 10 </w:t>
      </w:r>
      <w:r w:rsidRPr="000F665C">
        <w:rPr>
          <w:rFonts w:eastAsia="Calibri"/>
          <w:szCs w:val="22"/>
        </w:rPr>
        <w:t>mg twice daily achieved remission and improvement of endoscopic app</w:t>
      </w:r>
      <w:r>
        <w:rPr>
          <w:rFonts w:eastAsia="Calibri"/>
          <w:szCs w:val="22"/>
        </w:rPr>
        <w:t>earance of the mucosa at Week 8 </w:t>
      </w:r>
      <w:r w:rsidRPr="000F665C">
        <w:rPr>
          <w:rFonts w:eastAsia="Calibri"/>
          <w:szCs w:val="22"/>
        </w:rPr>
        <w:t>as compared to placebo. This treatment difference was consistent</w:t>
      </w:r>
      <w:r>
        <w:rPr>
          <w:rFonts w:eastAsia="Calibri"/>
          <w:szCs w:val="22"/>
        </w:rPr>
        <w:t xml:space="preserve"> between the 2 subgroups (Table </w:t>
      </w:r>
      <w:r w:rsidR="006A1592">
        <w:rPr>
          <w:rFonts w:eastAsia="Calibri"/>
          <w:szCs w:val="22"/>
        </w:rPr>
        <w:t>13</w:t>
      </w:r>
      <w:r w:rsidRPr="00836256">
        <w:rPr>
          <w:rFonts w:eastAsia="Calibr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445"/>
        <w:gridCol w:w="1446"/>
        <w:gridCol w:w="1445"/>
        <w:gridCol w:w="1446"/>
      </w:tblGrid>
      <w:tr w:rsidR="00722BC3" w:rsidRPr="002243D7" w:rsidTr="002243D7">
        <w:tc>
          <w:tcPr>
            <w:tcW w:w="9242" w:type="dxa"/>
            <w:gridSpan w:val="5"/>
            <w:tcBorders>
              <w:top w:val="nil"/>
              <w:left w:val="nil"/>
              <w:bottom w:val="single" w:sz="4" w:space="0" w:color="auto"/>
              <w:right w:val="nil"/>
            </w:tcBorders>
            <w:shd w:val="clear" w:color="auto" w:fill="auto"/>
          </w:tcPr>
          <w:p w:rsidR="00722BC3" w:rsidRPr="002243D7" w:rsidRDefault="00722BC3" w:rsidP="006A1592">
            <w:pPr>
              <w:rPr>
                <w:szCs w:val="22"/>
              </w:rPr>
            </w:pPr>
            <w:r w:rsidRPr="002243D7">
              <w:rPr>
                <w:rFonts w:eastAsia="Calibri"/>
                <w:b/>
                <w:szCs w:val="22"/>
              </w:rPr>
              <w:t xml:space="preserve">Table </w:t>
            </w:r>
            <w:r w:rsidR="006A1592" w:rsidRPr="002243D7">
              <w:rPr>
                <w:rFonts w:eastAsia="Calibri"/>
                <w:b/>
                <w:szCs w:val="22"/>
              </w:rPr>
              <w:t>13</w:t>
            </w:r>
            <w:r w:rsidRPr="002243D7">
              <w:rPr>
                <w:rFonts w:eastAsia="Calibri"/>
                <w:b/>
                <w:szCs w:val="22"/>
              </w:rPr>
              <w:t xml:space="preserve">. </w:t>
            </w:r>
            <w:r w:rsidRPr="002243D7">
              <w:rPr>
                <w:rFonts w:eastAsia="Calibri"/>
                <w:b/>
                <w:szCs w:val="22"/>
              </w:rPr>
              <w:tab/>
              <w:t xml:space="preserve">Proportion of Patients Meeting Primary and Key Secondary Efficacy </w:t>
            </w:r>
            <w:r w:rsidRPr="002243D7">
              <w:rPr>
                <w:rFonts w:eastAsia="Calibri"/>
                <w:b/>
                <w:szCs w:val="22"/>
              </w:rPr>
              <w:tab/>
            </w:r>
            <w:r w:rsidRPr="002243D7">
              <w:rPr>
                <w:rFonts w:eastAsia="Calibri"/>
                <w:b/>
                <w:szCs w:val="22"/>
              </w:rPr>
              <w:tab/>
              <w:t xml:space="preserve">Endpoints at Week 8 by TNF Inhibitor Therapy Subgroups (OCTAVE </w:t>
            </w:r>
            <w:r w:rsidRPr="002243D7">
              <w:rPr>
                <w:rFonts w:eastAsia="Calibri"/>
                <w:b/>
                <w:szCs w:val="22"/>
              </w:rPr>
              <w:tab/>
              <w:t>Induction Study 1 and OCTAVE Induction Study 2, Central Endoscopy Read)</w:t>
            </w:r>
          </w:p>
        </w:tc>
      </w:tr>
      <w:tr w:rsidR="007B7E9A" w:rsidRPr="002243D7" w:rsidTr="002243D7">
        <w:tc>
          <w:tcPr>
            <w:tcW w:w="3460" w:type="dxa"/>
            <w:shd w:val="clear" w:color="auto" w:fill="auto"/>
          </w:tcPr>
          <w:p w:rsidR="007B7E9A" w:rsidRPr="002243D7" w:rsidRDefault="007B7E9A" w:rsidP="000367FA">
            <w:pPr>
              <w:rPr>
                <w:rFonts w:eastAsia="Calibri"/>
                <w:b/>
                <w:szCs w:val="22"/>
              </w:rPr>
            </w:pPr>
          </w:p>
        </w:tc>
        <w:tc>
          <w:tcPr>
            <w:tcW w:w="2891" w:type="dxa"/>
            <w:gridSpan w:val="2"/>
            <w:shd w:val="clear" w:color="auto" w:fill="auto"/>
          </w:tcPr>
          <w:p w:rsidR="007B7E9A" w:rsidRPr="002243D7" w:rsidRDefault="007B7E9A" w:rsidP="002243D7">
            <w:pPr>
              <w:keepNext/>
              <w:jc w:val="center"/>
              <w:rPr>
                <w:rFonts w:eastAsia="Calibri"/>
                <w:b/>
                <w:szCs w:val="22"/>
              </w:rPr>
            </w:pPr>
            <w:r w:rsidRPr="002243D7">
              <w:rPr>
                <w:rFonts w:eastAsia="Calibri"/>
                <w:b/>
                <w:bCs/>
                <w:szCs w:val="22"/>
              </w:rPr>
              <w:t>OCTAVE Induction Study 1</w:t>
            </w:r>
          </w:p>
        </w:tc>
        <w:tc>
          <w:tcPr>
            <w:tcW w:w="2891" w:type="dxa"/>
            <w:gridSpan w:val="2"/>
            <w:shd w:val="clear" w:color="auto" w:fill="auto"/>
          </w:tcPr>
          <w:p w:rsidR="007B7E9A" w:rsidRPr="002243D7" w:rsidRDefault="007B7E9A" w:rsidP="002243D7">
            <w:pPr>
              <w:jc w:val="center"/>
              <w:rPr>
                <w:szCs w:val="22"/>
              </w:rPr>
            </w:pPr>
            <w:r w:rsidRPr="002243D7">
              <w:rPr>
                <w:rFonts w:eastAsia="Calibri"/>
                <w:b/>
                <w:szCs w:val="22"/>
              </w:rPr>
              <w:t>OCTAVE Induction Study 2</w:t>
            </w:r>
          </w:p>
        </w:tc>
      </w:tr>
      <w:tr w:rsidR="007B7E9A" w:rsidRPr="002243D7" w:rsidTr="002243D7">
        <w:tc>
          <w:tcPr>
            <w:tcW w:w="3460" w:type="dxa"/>
            <w:shd w:val="clear" w:color="auto" w:fill="auto"/>
          </w:tcPr>
          <w:p w:rsidR="007B7E9A" w:rsidRPr="002243D7" w:rsidRDefault="007B7E9A" w:rsidP="000367FA">
            <w:pPr>
              <w:rPr>
                <w:szCs w:val="22"/>
              </w:rPr>
            </w:pPr>
            <w:r w:rsidRPr="002243D7">
              <w:rPr>
                <w:rFonts w:eastAsia="Calibri"/>
                <w:b/>
                <w:szCs w:val="22"/>
              </w:rPr>
              <w:t>Endpoint</w:t>
            </w:r>
          </w:p>
        </w:tc>
        <w:tc>
          <w:tcPr>
            <w:tcW w:w="1445" w:type="dxa"/>
            <w:shd w:val="clear" w:color="auto" w:fill="auto"/>
            <w:vAlign w:val="center"/>
          </w:tcPr>
          <w:p w:rsidR="007B7E9A" w:rsidRPr="002243D7" w:rsidRDefault="007B7E9A" w:rsidP="002243D7">
            <w:pPr>
              <w:keepNext/>
              <w:jc w:val="center"/>
              <w:rPr>
                <w:rFonts w:eastAsia="Calibri"/>
                <w:b/>
                <w:bCs/>
                <w:szCs w:val="22"/>
              </w:rPr>
            </w:pPr>
            <w:r w:rsidRPr="002243D7">
              <w:rPr>
                <w:rFonts w:eastAsia="Calibri"/>
                <w:b/>
                <w:bCs/>
                <w:szCs w:val="22"/>
              </w:rPr>
              <w:t>Placebo</w:t>
            </w:r>
          </w:p>
          <w:p w:rsidR="007B7E9A" w:rsidRPr="002243D7" w:rsidRDefault="007B7E9A" w:rsidP="002243D7">
            <w:pPr>
              <w:jc w:val="center"/>
              <w:rPr>
                <w:szCs w:val="22"/>
              </w:rPr>
            </w:pPr>
            <w:r w:rsidRPr="002243D7">
              <w:rPr>
                <w:rFonts w:eastAsia="Calibri"/>
                <w:b/>
                <w:bCs/>
                <w:szCs w:val="22"/>
              </w:rPr>
              <w:t>N=122</w:t>
            </w:r>
          </w:p>
        </w:tc>
        <w:tc>
          <w:tcPr>
            <w:tcW w:w="1446" w:type="dxa"/>
            <w:shd w:val="clear" w:color="auto" w:fill="auto"/>
          </w:tcPr>
          <w:p w:rsidR="007B7E9A" w:rsidRPr="002243D7" w:rsidRDefault="007B7E9A" w:rsidP="002243D7">
            <w:pPr>
              <w:keepNext/>
              <w:jc w:val="center"/>
              <w:rPr>
                <w:rFonts w:eastAsia="Calibri"/>
                <w:b/>
                <w:szCs w:val="22"/>
              </w:rPr>
            </w:pPr>
            <w:r w:rsidRPr="002243D7">
              <w:rPr>
                <w:rFonts w:eastAsia="Calibri"/>
                <w:b/>
                <w:szCs w:val="22"/>
              </w:rPr>
              <w:t>XELJANZ</w:t>
            </w:r>
          </w:p>
          <w:p w:rsidR="007B7E9A" w:rsidRPr="002243D7" w:rsidRDefault="007B7E9A" w:rsidP="002243D7">
            <w:pPr>
              <w:keepNext/>
              <w:jc w:val="center"/>
              <w:rPr>
                <w:rFonts w:eastAsia="Calibri"/>
                <w:b/>
                <w:bCs/>
                <w:szCs w:val="22"/>
              </w:rPr>
            </w:pPr>
            <w:r w:rsidRPr="002243D7">
              <w:rPr>
                <w:rFonts w:eastAsia="Calibri"/>
                <w:b/>
                <w:bCs/>
                <w:szCs w:val="22"/>
              </w:rPr>
              <w:t>10 mg</w:t>
            </w:r>
          </w:p>
          <w:p w:rsidR="007B7E9A" w:rsidRPr="002243D7" w:rsidRDefault="007B7E9A" w:rsidP="002243D7">
            <w:pPr>
              <w:keepNext/>
              <w:jc w:val="center"/>
              <w:rPr>
                <w:rFonts w:eastAsia="Calibri"/>
                <w:b/>
                <w:bCs/>
                <w:szCs w:val="22"/>
              </w:rPr>
            </w:pPr>
            <w:r w:rsidRPr="002243D7">
              <w:rPr>
                <w:rFonts w:eastAsia="Calibri"/>
                <w:b/>
                <w:bCs/>
                <w:szCs w:val="22"/>
              </w:rPr>
              <w:t>twice daily</w:t>
            </w:r>
          </w:p>
          <w:p w:rsidR="007B7E9A" w:rsidRPr="002243D7" w:rsidRDefault="007B7E9A" w:rsidP="002243D7">
            <w:pPr>
              <w:jc w:val="center"/>
              <w:rPr>
                <w:szCs w:val="22"/>
              </w:rPr>
            </w:pPr>
            <w:r w:rsidRPr="002243D7">
              <w:rPr>
                <w:rFonts w:eastAsia="Calibri"/>
                <w:b/>
                <w:bCs/>
                <w:szCs w:val="22"/>
              </w:rPr>
              <w:t>N=476</w:t>
            </w:r>
          </w:p>
        </w:tc>
        <w:tc>
          <w:tcPr>
            <w:tcW w:w="1445" w:type="dxa"/>
            <w:shd w:val="clear" w:color="auto" w:fill="auto"/>
            <w:vAlign w:val="center"/>
          </w:tcPr>
          <w:p w:rsidR="007B7E9A" w:rsidRPr="002243D7" w:rsidRDefault="007B7E9A" w:rsidP="002243D7">
            <w:pPr>
              <w:keepNext/>
              <w:jc w:val="center"/>
              <w:rPr>
                <w:rFonts w:eastAsia="Calibri"/>
                <w:b/>
                <w:bCs/>
                <w:szCs w:val="22"/>
              </w:rPr>
            </w:pPr>
            <w:r w:rsidRPr="002243D7">
              <w:rPr>
                <w:rFonts w:eastAsia="Calibri"/>
                <w:b/>
                <w:bCs/>
                <w:szCs w:val="22"/>
              </w:rPr>
              <w:t>Placebo</w:t>
            </w:r>
          </w:p>
          <w:p w:rsidR="007B7E9A" w:rsidRPr="002243D7" w:rsidRDefault="007B7E9A" w:rsidP="002243D7">
            <w:pPr>
              <w:jc w:val="center"/>
              <w:rPr>
                <w:rFonts w:eastAsia="Calibri"/>
                <w:b/>
                <w:bCs/>
                <w:szCs w:val="22"/>
              </w:rPr>
            </w:pPr>
            <w:r w:rsidRPr="002243D7">
              <w:rPr>
                <w:rFonts w:eastAsia="Calibri"/>
                <w:b/>
                <w:bCs/>
                <w:szCs w:val="22"/>
              </w:rPr>
              <w:t>N=112</w:t>
            </w:r>
          </w:p>
        </w:tc>
        <w:tc>
          <w:tcPr>
            <w:tcW w:w="1446" w:type="dxa"/>
            <w:shd w:val="clear" w:color="auto" w:fill="auto"/>
          </w:tcPr>
          <w:p w:rsidR="007B7E9A" w:rsidRPr="002243D7" w:rsidRDefault="007B7E9A" w:rsidP="002243D7">
            <w:pPr>
              <w:keepNext/>
              <w:jc w:val="center"/>
              <w:rPr>
                <w:rFonts w:eastAsia="Calibri"/>
                <w:b/>
                <w:szCs w:val="22"/>
              </w:rPr>
            </w:pPr>
            <w:r w:rsidRPr="002243D7">
              <w:rPr>
                <w:rFonts w:eastAsia="Calibri"/>
                <w:b/>
                <w:szCs w:val="22"/>
              </w:rPr>
              <w:t>XELJANZ</w:t>
            </w:r>
          </w:p>
          <w:p w:rsidR="007B7E9A" w:rsidRPr="002243D7" w:rsidRDefault="007B7E9A" w:rsidP="002243D7">
            <w:pPr>
              <w:keepNext/>
              <w:jc w:val="center"/>
              <w:rPr>
                <w:rFonts w:eastAsia="Calibri"/>
                <w:b/>
                <w:bCs/>
                <w:szCs w:val="22"/>
              </w:rPr>
            </w:pPr>
            <w:r w:rsidRPr="002243D7">
              <w:rPr>
                <w:rFonts w:eastAsia="Calibri"/>
                <w:b/>
                <w:bCs/>
                <w:szCs w:val="22"/>
              </w:rPr>
              <w:t>10 mg</w:t>
            </w:r>
          </w:p>
          <w:p w:rsidR="007B7E9A" w:rsidRPr="002243D7" w:rsidRDefault="007B7E9A" w:rsidP="002243D7">
            <w:pPr>
              <w:keepNext/>
              <w:jc w:val="center"/>
              <w:rPr>
                <w:rFonts w:eastAsia="Calibri"/>
                <w:b/>
                <w:bCs/>
                <w:szCs w:val="22"/>
              </w:rPr>
            </w:pPr>
            <w:r w:rsidRPr="002243D7">
              <w:rPr>
                <w:rFonts w:eastAsia="Calibri"/>
                <w:b/>
                <w:bCs/>
                <w:szCs w:val="22"/>
              </w:rPr>
              <w:t>twice daily</w:t>
            </w:r>
          </w:p>
          <w:p w:rsidR="007B7E9A" w:rsidRPr="002243D7" w:rsidRDefault="007B7E9A" w:rsidP="002243D7">
            <w:pPr>
              <w:jc w:val="center"/>
              <w:rPr>
                <w:szCs w:val="22"/>
              </w:rPr>
            </w:pPr>
            <w:r w:rsidRPr="002243D7">
              <w:rPr>
                <w:rFonts w:eastAsia="Calibri"/>
                <w:b/>
                <w:bCs/>
                <w:szCs w:val="22"/>
              </w:rPr>
              <w:t>N=429</w:t>
            </w:r>
          </w:p>
        </w:tc>
      </w:tr>
      <w:tr w:rsidR="007B7E9A" w:rsidRPr="002243D7" w:rsidTr="002243D7">
        <w:tc>
          <w:tcPr>
            <w:tcW w:w="9242" w:type="dxa"/>
            <w:gridSpan w:val="5"/>
            <w:shd w:val="clear" w:color="auto" w:fill="auto"/>
          </w:tcPr>
          <w:p w:rsidR="007B7E9A" w:rsidRPr="002243D7" w:rsidRDefault="007B7E9A" w:rsidP="002243D7">
            <w:pPr>
              <w:jc w:val="left"/>
              <w:rPr>
                <w:szCs w:val="22"/>
              </w:rPr>
            </w:pPr>
            <w:proofErr w:type="spellStart"/>
            <w:r w:rsidRPr="002243D7">
              <w:rPr>
                <w:rFonts w:eastAsia="Calibri"/>
                <w:szCs w:val="22"/>
              </w:rPr>
              <w:t>Remission</w:t>
            </w:r>
            <w:r w:rsidRPr="002243D7">
              <w:rPr>
                <w:rFonts w:eastAsia="Calibri"/>
                <w:szCs w:val="22"/>
                <w:vertAlign w:val="superscript"/>
              </w:rPr>
              <w:t>a</w:t>
            </w:r>
            <w:proofErr w:type="spellEnd"/>
          </w:p>
        </w:tc>
      </w:tr>
      <w:tr w:rsidR="007B7E9A" w:rsidRPr="002243D7" w:rsidTr="002243D7">
        <w:tc>
          <w:tcPr>
            <w:tcW w:w="3460" w:type="dxa"/>
            <w:shd w:val="clear" w:color="auto" w:fill="auto"/>
          </w:tcPr>
          <w:p w:rsidR="007B7E9A" w:rsidRPr="002243D7" w:rsidRDefault="007B7E9A" w:rsidP="002243D7">
            <w:pPr>
              <w:jc w:val="left"/>
              <w:rPr>
                <w:szCs w:val="22"/>
              </w:rPr>
            </w:pPr>
            <w:r w:rsidRPr="002243D7">
              <w:rPr>
                <w:rFonts w:eastAsia="Calibri"/>
                <w:szCs w:val="22"/>
              </w:rPr>
              <w:t>With prior TNF inhibitor failure</w:t>
            </w:r>
          </w:p>
        </w:tc>
        <w:tc>
          <w:tcPr>
            <w:tcW w:w="1445" w:type="dxa"/>
            <w:shd w:val="clear" w:color="auto" w:fill="auto"/>
          </w:tcPr>
          <w:p w:rsidR="007B7E9A" w:rsidRPr="002243D7" w:rsidRDefault="007B7E9A" w:rsidP="002243D7">
            <w:pPr>
              <w:jc w:val="center"/>
              <w:rPr>
                <w:rFonts w:eastAsia="Calibri"/>
                <w:szCs w:val="22"/>
              </w:rPr>
            </w:pPr>
            <w:r w:rsidRPr="002243D7">
              <w:rPr>
                <w:rFonts w:eastAsia="Calibri"/>
                <w:szCs w:val="22"/>
              </w:rPr>
              <w:t>1.6%</w:t>
            </w:r>
          </w:p>
          <w:p w:rsidR="007B7E9A" w:rsidRPr="002243D7" w:rsidRDefault="007B7E9A" w:rsidP="002243D7">
            <w:pPr>
              <w:jc w:val="center"/>
              <w:rPr>
                <w:szCs w:val="22"/>
              </w:rPr>
            </w:pPr>
            <w:r w:rsidRPr="002243D7">
              <w:rPr>
                <w:rFonts w:eastAsia="Calibri"/>
                <w:szCs w:val="22"/>
              </w:rPr>
              <w:t>(1/64)</w:t>
            </w:r>
          </w:p>
        </w:tc>
        <w:tc>
          <w:tcPr>
            <w:tcW w:w="1446" w:type="dxa"/>
            <w:shd w:val="clear" w:color="auto" w:fill="auto"/>
          </w:tcPr>
          <w:p w:rsidR="007B7E9A" w:rsidRPr="002243D7" w:rsidRDefault="007B7E9A" w:rsidP="002243D7">
            <w:pPr>
              <w:jc w:val="center"/>
              <w:rPr>
                <w:rFonts w:eastAsia="Calibri"/>
                <w:szCs w:val="22"/>
              </w:rPr>
            </w:pPr>
            <w:r w:rsidRPr="002243D7">
              <w:rPr>
                <w:rFonts w:eastAsia="Calibri"/>
                <w:szCs w:val="22"/>
              </w:rPr>
              <w:t>11.1%</w:t>
            </w:r>
          </w:p>
          <w:p w:rsidR="007B7E9A" w:rsidRPr="002243D7" w:rsidRDefault="007B7E9A" w:rsidP="002243D7">
            <w:pPr>
              <w:jc w:val="center"/>
              <w:rPr>
                <w:szCs w:val="22"/>
              </w:rPr>
            </w:pPr>
            <w:r w:rsidRPr="002243D7">
              <w:rPr>
                <w:rFonts w:eastAsia="Calibri"/>
                <w:szCs w:val="22"/>
              </w:rPr>
              <w:t>(27/243)</w:t>
            </w:r>
          </w:p>
        </w:tc>
        <w:tc>
          <w:tcPr>
            <w:tcW w:w="1445" w:type="dxa"/>
            <w:shd w:val="clear" w:color="auto" w:fill="auto"/>
          </w:tcPr>
          <w:p w:rsidR="007B7E9A" w:rsidRPr="002243D7" w:rsidRDefault="007B7E9A" w:rsidP="002243D7">
            <w:pPr>
              <w:keepNext/>
              <w:jc w:val="center"/>
              <w:rPr>
                <w:rFonts w:eastAsia="Calibri"/>
                <w:szCs w:val="22"/>
              </w:rPr>
            </w:pPr>
            <w:r w:rsidRPr="002243D7">
              <w:rPr>
                <w:rFonts w:eastAsia="Calibri"/>
                <w:szCs w:val="22"/>
              </w:rPr>
              <w:t>0.0%</w:t>
            </w:r>
          </w:p>
          <w:p w:rsidR="007B7E9A" w:rsidRPr="002243D7" w:rsidRDefault="007B7E9A" w:rsidP="002243D7">
            <w:pPr>
              <w:jc w:val="center"/>
              <w:rPr>
                <w:szCs w:val="22"/>
              </w:rPr>
            </w:pPr>
            <w:r w:rsidRPr="002243D7">
              <w:rPr>
                <w:rFonts w:eastAsia="Calibri"/>
                <w:szCs w:val="22"/>
              </w:rPr>
              <w:t>(0/60)</w:t>
            </w:r>
          </w:p>
        </w:tc>
        <w:tc>
          <w:tcPr>
            <w:tcW w:w="1446" w:type="dxa"/>
            <w:shd w:val="clear" w:color="auto" w:fill="auto"/>
          </w:tcPr>
          <w:p w:rsidR="007B7E9A" w:rsidRPr="002243D7" w:rsidRDefault="007B7E9A" w:rsidP="002243D7">
            <w:pPr>
              <w:keepNext/>
              <w:jc w:val="center"/>
              <w:rPr>
                <w:rFonts w:eastAsia="Calibri"/>
                <w:szCs w:val="22"/>
              </w:rPr>
            </w:pPr>
            <w:r w:rsidRPr="002243D7">
              <w:rPr>
                <w:rFonts w:eastAsia="Calibri"/>
                <w:szCs w:val="22"/>
              </w:rPr>
              <w:t>11.7%</w:t>
            </w:r>
          </w:p>
          <w:p w:rsidR="007B7E9A" w:rsidRPr="002243D7" w:rsidRDefault="007B7E9A" w:rsidP="002243D7">
            <w:pPr>
              <w:jc w:val="center"/>
              <w:rPr>
                <w:szCs w:val="22"/>
              </w:rPr>
            </w:pPr>
            <w:r w:rsidRPr="002243D7">
              <w:rPr>
                <w:rFonts w:eastAsia="Calibri"/>
                <w:szCs w:val="22"/>
              </w:rPr>
              <w:t>(26/222)</w:t>
            </w:r>
          </w:p>
        </w:tc>
      </w:tr>
      <w:tr w:rsidR="007B7E9A" w:rsidRPr="002243D7" w:rsidTr="002243D7">
        <w:tc>
          <w:tcPr>
            <w:tcW w:w="3460" w:type="dxa"/>
            <w:shd w:val="clear" w:color="auto" w:fill="auto"/>
          </w:tcPr>
          <w:p w:rsidR="007B7E9A" w:rsidRPr="002243D7" w:rsidRDefault="007B7E9A" w:rsidP="002243D7">
            <w:pPr>
              <w:jc w:val="left"/>
              <w:rPr>
                <w:szCs w:val="22"/>
              </w:rPr>
            </w:pPr>
            <w:r w:rsidRPr="002243D7">
              <w:rPr>
                <w:rFonts w:eastAsia="Calibri"/>
                <w:szCs w:val="22"/>
              </w:rPr>
              <w:t xml:space="preserve">Without prior TNF inhibitor </w:t>
            </w:r>
            <w:proofErr w:type="spellStart"/>
            <w:r w:rsidRPr="002243D7">
              <w:rPr>
                <w:rFonts w:eastAsia="Calibri"/>
                <w:szCs w:val="22"/>
              </w:rPr>
              <w:t>failure</w:t>
            </w:r>
            <w:r w:rsidRPr="002243D7">
              <w:rPr>
                <w:rFonts w:eastAsia="Calibri"/>
                <w:szCs w:val="22"/>
                <w:vertAlign w:val="superscript"/>
              </w:rPr>
              <w:t>b</w:t>
            </w:r>
            <w:proofErr w:type="spellEnd"/>
          </w:p>
        </w:tc>
        <w:tc>
          <w:tcPr>
            <w:tcW w:w="1445" w:type="dxa"/>
            <w:shd w:val="clear" w:color="auto" w:fill="auto"/>
          </w:tcPr>
          <w:p w:rsidR="007B7E9A" w:rsidRPr="002243D7" w:rsidRDefault="007B7E9A" w:rsidP="002243D7">
            <w:pPr>
              <w:jc w:val="center"/>
              <w:rPr>
                <w:rFonts w:eastAsia="Calibri"/>
                <w:szCs w:val="22"/>
              </w:rPr>
            </w:pPr>
            <w:r w:rsidRPr="002243D7">
              <w:rPr>
                <w:rFonts w:eastAsia="Calibri"/>
                <w:szCs w:val="22"/>
              </w:rPr>
              <w:t>15.5%</w:t>
            </w:r>
          </w:p>
          <w:p w:rsidR="007B7E9A" w:rsidRPr="002243D7" w:rsidRDefault="007B7E9A" w:rsidP="002243D7">
            <w:pPr>
              <w:jc w:val="center"/>
              <w:rPr>
                <w:szCs w:val="22"/>
              </w:rPr>
            </w:pPr>
            <w:r w:rsidRPr="002243D7">
              <w:rPr>
                <w:rFonts w:eastAsia="Calibri"/>
                <w:szCs w:val="22"/>
              </w:rPr>
              <w:t>(9/58)</w:t>
            </w:r>
          </w:p>
        </w:tc>
        <w:tc>
          <w:tcPr>
            <w:tcW w:w="1446" w:type="dxa"/>
            <w:shd w:val="clear" w:color="auto" w:fill="auto"/>
          </w:tcPr>
          <w:p w:rsidR="007B7E9A" w:rsidRPr="002243D7" w:rsidRDefault="007B7E9A" w:rsidP="002243D7">
            <w:pPr>
              <w:jc w:val="center"/>
              <w:rPr>
                <w:rFonts w:eastAsia="Calibri"/>
                <w:szCs w:val="22"/>
              </w:rPr>
            </w:pPr>
            <w:r w:rsidRPr="002243D7">
              <w:rPr>
                <w:rFonts w:eastAsia="Calibri"/>
                <w:szCs w:val="22"/>
              </w:rPr>
              <w:t>26.2%</w:t>
            </w:r>
          </w:p>
          <w:p w:rsidR="007B7E9A" w:rsidRPr="002243D7" w:rsidRDefault="007B7E9A" w:rsidP="002243D7">
            <w:pPr>
              <w:jc w:val="center"/>
              <w:rPr>
                <w:szCs w:val="22"/>
              </w:rPr>
            </w:pPr>
            <w:r w:rsidRPr="002243D7">
              <w:rPr>
                <w:rFonts w:eastAsia="Calibri"/>
                <w:szCs w:val="22"/>
              </w:rPr>
              <w:t>(61/233)</w:t>
            </w:r>
          </w:p>
        </w:tc>
        <w:tc>
          <w:tcPr>
            <w:tcW w:w="1445" w:type="dxa"/>
            <w:shd w:val="clear" w:color="auto" w:fill="auto"/>
          </w:tcPr>
          <w:p w:rsidR="007B7E9A" w:rsidRPr="002243D7" w:rsidRDefault="007B7E9A" w:rsidP="002243D7">
            <w:pPr>
              <w:keepNext/>
              <w:jc w:val="center"/>
              <w:rPr>
                <w:rFonts w:eastAsia="Calibri"/>
                <w:szCs w:val="22"/>
              </w:rPr>
            </w:pPr>
            <w:r w:rsidRPr="002243D7">
              <w:rPr>
                <w:rFonts w:eastAsia="Calibri"/>
                <w:szCs w:val="22"/>
              </w:rPr>
              <w:t>7.7%</w:t>
            </w:r>
          </w:p>
          <w:p w:rsidR="007B7E9A" w:rsidRPr="002243D7" w:rsidRDefault="007B7E9A" w:rsidP="002243D7">
            <w:pPr>
              <w:jc w:val="center"/>
              <w:rPr>
                <w:szCs w:val="22"/>
              </w:rPr>
            </w:pPr>
            <w:r w:rsidRPr="002243D7">
              <w:rPr>
                <w:rFonts w:eastAsia="Calibri"/>
                <w:szCs w:val="22"/>
              </w:rPr>
              <w:t>(4/52)</w:t>
            </w:r>
          </w:p>
        </w:tc>
        <w:tc>
          <w:tcPr>
            <w:tcW w:w="1446" w:type="dxa"/>
            <w:shd w:val="clear" w:color="auto" w:fill="auto"/>
          </w:tcPr>
          <w:p w:rsidR="007B7E9A" w:rsidRPr="002243D7" w:rsidRDefault="007B7E9A" w:rsidP="002243D7">
            <w:pPr>
              <w:keepNext/>
              <w:jc w:val="center"/>
              <w:rPr>
                <w:rFonts w:eastAsia="Calibri"/>
                <w:szCs w:val="22"/>
              </w:rPr>
            </w:pPr>
            <w:r w:rsidRPr="002243D7">
              <w:rPr>
                <w:rFonts w:eastAsia="Calibri"/>
                <w:szCs w:val="22"/>
              </w:rPr>
              <w:t>21.7%</w:t>
            </w:r>
          </w:p>
          <w:p w:rsidR="007B7E9A" w:rsidRPr="002243D7" w:rsidRDefault="007B7E9A" w:rsidP="002243D7">
            <w:pPr>
              <w:jc w:val="center"/>
              <w:rPr>
                <w:szCs w:val="22"/>
              </w:rPr>
            </w:pPr>
            <w:r w:rsidRPr="002243D7">
              <w:rPr>
                <w:rFonts w:eastAsia="Calibri"/>
                <w:szCs w:val="22"/>
              </w:rPr>
              <w:t>(45/207)</w:t>
            </w:r>
          </w:p>
        </w:tc>
      </w:tr>
      <w:tr w:rsidR="007B7E9A" w:rsidRPr="002243D7" w:rsidTr="002243D7">
        <w:tc>
          <w:tcPr>
            <w:tcW w:w="9242" w:type="dxa"/>
            <w:gridSpan w:val="5"/>
            <w:shd w:val="clear" w:color="auto" w:fill="auto"/>
          </w:tcPr>
          <w:p w:rsidR="007B7E9A" w:rsidRPr="002243D7" w:rsidRDefault="007B7E9A" w:rsidP="002243D7">
            <w:pPr>
              <w:jc w:val="left"/>
              <w:rPr>
                <w:szCs w:val="22"/>
              </w:rPr>
            </w:pPr>
            <w:r w:rsidRPr="002243D7">
              <w:rPr>
                <w:rFonts w:eastAsia="Calibri"/>
                <w:szCs w:val="22"/>
                <w:lang w:eastAsia="zh-CN"/>
              </w:rPr>
              <w:t xml:space="preserve">Improvement of endoscopic appearance of the </w:t>
            </w:r>
            <w:proofErr w:type="spellStart"/>
            <w:r w:rsidRPr="002243D7">
              <w:rPr>
                <w:rFonts w:eastAsia="Calibri"/>
                <w:szCs w:val="22"/>
                <w:lang w:eastAsia="zh-CN"/>
              </w:rPr>
              <w:t>mucosa</w:t>
            </w:r>
            <w:r w:rsidRPr="002243D7">
              <w:rPr>
                <w:rFonts w:eastAsia="Calibri"/>
                <w:szCs w:val="22"/>
                <w:vertAlign w:val="superscript"/>
              </w:rPr>
              <w:t>c</w:t>
            </w:r>
            <w:proofErr w:type="spellEnd"/>
          </w:p>
        </w:tc>
      </w:tr>
      <w:tr w:rsidR="007B7E9A" w:rsidRPr="002243D7" w:rsidTr="002243D7">
        <w:tc>
          <w:tcPr>
            <w:tcW w:w="3460" w:type="dxa"/>
            <w:tcBorders>
              <w:bottom w:val="single" w:sz="4" w:space="0" w:color="auto"/>
            </w:tcBorders>
            <w:shd w:val="clear" w:color="auto" w:fill="auto"/>
          </w:tcPr>
          <w:p w:rsidR="007B7E9A" w:rsidRPr="002243D7" w:rsidRDefault="007B7E9A" w:rsidP="002243D7">
            <w:pPr>
              <w:jc w:val="left"/>
              <w:rPr>
                <w:szCs w:val="22"/>
              </w:rPr>
            </w:pPr>
            <w:r w:rsidRPr="002243D7">
              <w:rPr>
                <w:rFonts w:eastAsia="Calibri"/>
                <w:szCs w:val="22"/>
              </w:rPr>
              <w:t>With prior TNF inhibitor failure</w:t>
            </w:r>
          </w:p>
        </w:tc>
        <w:tc>
          <w:tcPr>
            <w:tcW w:w="1445" w:type="dxa"/>
            <w:tcBorders>
              <w:bottom w:val="single" w:sz="4" w:space="0" w:color="auto"/>
            </w:tcBorders>
            <w:shd w:val="clear" w:color="auto" w:fill="auto"/>
          </w:tcPr>
          <w:p w:rsidR="007B7E9A" w:rsidRPr="002243D7" w:rsidRDefault="007B7E9A" w:rsidP="002243D7">
            <w:pPr>
              <w:jc w:val="center"/>
              <w:rPr>
                <w:rFonts w:eastAsia="Calibri"/>
                <w:szCs w:val="22"/>
              </w:rPr>
            </w:pPr>
            <w:r w:rsidRPr="002243D7">
              <w:rPr>
                <w:rFonts w:eastAsia="Calibri"/>
                <w:szCs w:val="22"/>
              </w:rPr>
              <w:t>6.3%</w:t>
            </w:r>
          </w:p>
          <w:p w:rsidR="007B7E9A" w:rsidRPr="002243D7" w:rsidRDefault="007B7E9A" w:rsidP="002243D7">
            <w:pPr>
              <w:jc w:val="center"/>
              <w:rPr>
                <w:szCs w:val="22"/>
              </w:rPr>
            </w:pPr>
            <w:r w:rsidRPr="002243D7">
              <w:rPr>
                <w:rFonts w:eastAsia="Calibri"/>
                <w:szCs w:val="22"/>
              </w:rPr>
              <w:t>(4/64)</w:t>
            </w:r>
          </w:p>
        </w:tc>
        <w:tc>
          <w:tcPr>
            <w:tcW w:w="1446" w:type="dxa"/>
            <w:tcBorders>
              <w:bottom w:val="single" w:sz="4" w:space="0" w:color="auto"/>
            </w:tcBorders>
            <w:shd w:val="clear" w:color="auto" w:fill="auto"/>
          </w:tcPr>
          <w:p w:rsidR="007B7E9A" w:rsidRPr="002243D7" w:rsidRDefault="007B7E9A" w:rsidP="002243D7">
            <w:pPr>
              <w:jc w:val="center"/>
              <w:rPr>
                <w:rFonts w:eastAsia="Calibri"/>
                <w:szCs w:val="22"/>
              </w:rPr>
            </w:pPr>
            <w:r w:rsidRPr="002243D7">
              <w:rPr>
                <w:rFonts w:eastAsia="Calibri"/>
                <w:szCs w:val="22"/>
              </w:rPr>
              <w:t>22.6%</w:t>
            </w:r>
          </w:p>
          <w:p w:rsidR="007B7E9A" w:rsidRPr="002243D7" w:rsidRDefault="007B7E9A" w:rsidP="002243D7">
            <w:pPr>
              <w:jc w:val="center"/>
              <w:rPr>
                <w:szCs w:val="22"/>
              </w:rPr>
            </w:pPr>
            <w:r w:rsidRPr="002243D7">
              <w:rPr>
                <w:rFonts w:eastAsia="Calibri"/>
                <w:szCs w:val="22"/>
              </w:rPr>
              <w:t>(55/243)</w:t>
            </w:r>
          </w:p>
        </w:tc>
        <w:tc>
          <w:tcPr>
            <w:tcW w:w="1445" w:type="dxa"/>
            <w:tcBorders>
              <w:bottom w:val="single" w:sz="4" w:space="0" w:color="auto"/>
            </w:tcBorders>
            <w:shd w:val="clear" w:color="auto" w:fill="auto"/>
          </w:tcPr>
          <w:p w:rsidR="007B7E9A" w:rsidRPr="002243D7" w:rsidRDefault="007B7E9A" w:rsidP="002243D7">
            <w:pPr>
              <w:keepNext/>
              <w:jc w:val="center"/>
              <w:rPr>
                <w:rFonts w:eastAsia="Calibri"/>
                <w:szCs w:val="22"/>
              </w:rPr>
            </w:pPr>
            <w:r w:rsidRPr="002243D7">
              <w:rPr>
                <w:rFonts w:eastAsia="Calibri"/>
                <w:szCs w:val="22"/>
              </w:rPr>
              <w:t>6.7%</w:t>
            </w:r>
          </w:p>
          <w:p w:rsidR="007B7E9A" w:rsidRPr="002243D7" w:rsidRDefault="007B7E9A" w:rsidP="002243D7">
            <w:pPr>
              <w:jc w:val="center"/>
              <w:rPr>
                <w:szCs w:val="22"/>
              </w:rPr>
            </w:pPr>
            <w:r w:rsidRPr="002243D7">
              <w:rPr>
                <w:rFonts w:eastAsia="Calibri"/>
                <w:szCs w:val="22"/>
              </w:rPr>
              <w:t>(4/60)</w:t>
            </w:r>
          </w:p>
        </w:tc>
        <w:tc>
          <w:tcPr>
            <w:tcW w:w="1446" w:type="dxa"/>
            <w:tcBorders>
              <w:bottom w:val="single" w:sz="4" w:space="0" w:color="auto"/>
            </w:tcBorders>
            <w:shd w:val="clear" w:color="auto" w:fill="auto"/>
          </w:tcPr>
          <w:p w:rsidR="007B7E9A" w:rsidRPr="002243D7" w:rsidRDefault="007B7E9A" w:rsidP="002243D7">
            <w:pPr>
              <w:keepNext/>
              <w:jc w:val="center"/>
              <w:rPr>
                <w:rFonts w:eastAsia="Calibri"/>
                <w:szCs w:val="22"/>
              </w:rPr>
            </w:pPr>
            <w:r w:rsidRPr="002243D7">
              <w:rPr>
                <w:rFonts w:eastAsia="Calibri"/>
                <w:szCs w:val="22"/>
              </w:rPr>
              <w:t>21.6%</w:t>
            </w:r>
          </w:p>
          <w:p w:rsidR="007B7E9A" w:rsidRPr="002243D7" w:rsidRDefault="007B7E9A" w:rsidP="002243D7">
            <w:pPr>
              <w:jc w:val="center"/>
              <w:rPr>
                <w:szCs w:val="22"/>
              </w:rPr>
            </w:pPr>
            <w:r w:rsidRPr="002243D7">
              <w:rPr>
                <w:rFonts w:eastAsia="Calibri"/>
                <w:szCs w:val="22"/>
              </w:rPr>
              <w:t>(48/222)</w:t>
            </w:r>
          </w:p>
        </w:tc>
      </w:tr>
      <w:tr w:rsidR="007B7E9A" w:rsidRPr="002243D7" w:rsidTr="002243D7">
        <w:tc>
          <w:tcPr>
            <w:tcW w:w="3460" w:type="dxa"/>
            <w:tcBorders>
              <w:bottom w:val="single" w:sz="4" w:space="0" w:color="auto"/>
            </w:tcBorders>
            <w:shd w:val="clear" w:color="auto" w:fill="auto"/>
          </w:tcPr>
          <w:p w:rsidR="007B7E9A" w:rsidRPr="002243D7" w:rsidRDefault="007B7E9A" w:rsidP="002243D7">
            <w:pPr>
              <w:jc w:val="left"/>
              <w:rPr>
                <w:szCs w:val="22"/>
              </w:rPr>
            </w:pPr>
            <w:r w:rsidRPr="002243D7">
              <w:rPr>
                <w:rFonts w:eastAsia="Calibri"/>
                <w:szCs w:val="22"/>
              </w:rPr>
              <w:t xml:space="preserve">Without prior TNF inhibitor </w:t>
            </w:r>
            <w:proofErr w:type="spellStart"/>
            <w:r w:rsidRPr="002243D7">
              <w:rPr>
                <w:rFonts w:eastAsia="Calibri"/>
                <w:szCs w:val="22"/>
              </w:rPr>
              <w:t>failure</w:t>
            </w:r>
            <w:r w:rsidRPr="002243D7">
              <w:rPr>
                <w:rFonts w:eastAsia="Calibri"/>
                <w:szCs w:val="22"/>
                <w:vertAlign w:val="superscript"/>
              </w:rPr>
              <w:t>b</w:t>
            </w:r>
            <w:proofErr w:type="spellEnd"/>
          </w:p>
        </w:tc>
        <w:tc>
          <w:tcPr>
            <w:tcW w:w="1445" w:type="dxa"/>
            <w:tcBorders>
              <w:bottom w:val="single" w:sz="4" w:space="0" w:color="auto"/>
            </w:tcBorders>
            <w:shd w:val="clear" w:color="auto" w:fill="auto"/>
          </w:tcPr>
          <w:p w:rsidR="007B7E9A" w:rsidRPr="002243D7" w:rsidRDefault="007B7E9A" w:rsidP="002243D7">
            <w:pPr>
              <w:jc w:val="center"/>
              <w:rPr>
                <w:rFonts w:eastAsia="Calibri"/>
                <w:szCs w:val="22"/>
              </w:rPr>
            </w:pPr>
            <w:r w:rsidRPr="002243D7">
              <w:rPr>
                <w:rFonts w:eastAsia="Calibri"/>
                <w:szCs w:val="22"/>
              </w:rPr>
              <w:t>25.9%</w:t>
            </w:r>
          </w:p>
          <w:p w:rsidR="007B7E9A" w:rsidRPr="002243D7" w:rsidRDefault="007B7E9A" w:rsidP="002243D7">
            <w:pPr>
              <w:jc w:val="center"/>
              <w:rPr>
                <w:szCs w:val="22"/>
              </w:rPr>
            </w:pPr>
            <w:r w:rsidRPr="002243D7">
              <w:rPr>
                <w:rFonts w:eastAsia="Calibri"/>
                <w:szCs w:val="22"/>
              </w:rPr>
              <w:t>(15/58)</w:t>
            </w:r>
          </w:p>
        </w:tc>
        <w:tc>
          <w:tcPr>
            <w:tcW w:w="1446" w:type="dxa"/>
            <w:tcBorders>
              <w:bottom w:val="single" w:sz="4" w:space="0" w:color="auto"/>
            </w:tcBorders>
            <w:shd w:val="clear" w:color="auto" w:fill="auto"/>
          </w:tcPr>
          <w:p w:rsidR="007B7E9A" w:rsidRPr="002243D7" w:rsidRDefault="007B7E9A" w:rsidP="002243D7">
            <w:pPr>
              <w:jc w:val="center"/>
              <w:rPr>
                <w:rFonts w:eastAsia="Calibri"/>
                <w:szCs w:val="22"/>
              </w:rPr>
            </w:pPr>
            <w:r w:rsidRPr="002243D7">
              <w:rPr>
                <w:rFonts w:eastAsia="Calibri"/>
                <w:szCs w:val="22"/>
              </w:rPr>
              <w:t>40.3%</w:t>
            </w:r>
          </w:p>
          <w:p w:rsidR="007B7E9A" w:rsidRPr="002243D7" w:rsidRDefault="007B7E9A" w:rsidP="002243D7">
            <w:pPr>
              <w:jc w:val="center"/>
              <w:rPr>
                <w:szCs w:val="22"/>
              </w:rPr>
            </w:pPr>
            <w:r w:rsidRPr="002243D7">
              <w:rPr>
                <w:rFonts w:eastAsia="Calibri"/>
                <w:szCs w:val="22"/>
              </w:rPr>
              <w:t>(94/233)</w:t>
            </w:r>
          </w:p>
        </w:tc>
        <w:tc>
          <w:tcPr>
            <w:tcW w:w="1445" w:type="dxa"/>
            <w:tcBorders>
              <w:bottom w:val="single" w:sz="4" w:space="0" w:color="auto"/>
            </w:tcBorders>
            <w:shd w:val="clear" w:color="auto" w:fill="auto"/>
          </w:tcPr>
          <w:p w:rsidR="007B7E9A" w:rsidRPr="002243D7" w:rsidRDefault="007B7E9A" w:rsidP="002243D7">
            <w:pPr>
              <w:keepNext/>
              <w:jc w:val="center"/>
              <w:rPr>
                <w:rFonts w:eastAsia="Calibri"/>
                <w:szCs w:val="22"/>
              </w:rPr>
            </w:pPr>
            <w:r w:rsidRPr="002243D7">
              <w:rPr>
                <w:rFonts w:eastAsia="Calibri"/>
                <w:szCs w:val="22"/>
              </w:rPr>
              <w:t>17.3%</w:t>
            </w:r>
          </w:p>
          <w:p w:rsidR="007B7E9A" w:rsidRPr="002243D7" w:rsidRDefault="007B7E9A" w:rsidP="002243D7">
            <w:pPr>
              <w:jc w:val="center"/>
              <w:rPr>
                <w:szCs w:val="22"/>
              </w:rPr>
            </w:pPr>
            <w:r w:rsidRPr="002243D7">
              <w:rPr>
                <w:rFonts w:eastAsia="Calibri"/>
                <w:szCs w:val="22"/>
              </w:rPr>
              <w:t>(9/52)</w:t>
            </w:r>
          </w:p>
        </w:tc>
        <w:tc>
          <w:tcPr>
            <w:tcW w:w="1446" w:type="dxa"/>
            <w:tcBorders>
              <w:bottom w:val="single" w:sz="4" w:space="0" w:color="auto"/>
            </w:tcBorders>
            <w:shd w:val="clear" w:color="auto" w:fill="auto"/>
          </w:tcPr>
          <w:p w:rsidR="007B7E9A" w:rsidRPr="002243D7" w:rsidRDefault="007B7E9A" w:rsidP="002243D7">
            <w:pPr>
              <w:keepNext/>
              <w:jc w:val="center"/>
              <w:rPr>
                <w:rFonts w:eastAsia="Calibri"/>
                <w:szCs w:val="22"/>
              </w:rPr>
            </w:pPr>
            <w:r w:rsidRPr="002243D7">
              <w:rPr>
                <w:rFonts w:eastAsia="Calibri"/>
                <w:szCs w:val="22"/>
              </w:rPr>
              <w:t>35.7%</w:t>
            </w:r>
          </w:p>
          <w:p w:rsidR="007B7E9A" w:rsidRPr="002243D7" w:rsidRDefault="007B7E9A" w:rsidP="002243D7">
            <w:pPr>
              <w:jc w:val="center"/>
              <w:rPr>
                <w:szCs w:val="22"/>
              </w:rPr>
            </w:pPr>
            <w:r w:rsidRPr="002243D7">
              <w:rPr>
                <w:rFonts w:eastAsia="Calibri"/>
                <w:szCs w:val="22"/>
              </w:rPr>
              <w:t>(74/207)</w:t>
            </w:r>
          </w:p>
        </w:tc>
      </w:tr>
      <w:tr w:rsidR="003C5809" w:rsidRPr="002243D7" w:rsidTr="002243D7">
        <w:tc>
          <w:tcPr>
            <w:tcW w:w="9242" w:type="dxa"/>
            <w:gridSpan w:val="5"/>
            <w:tcBorders>
              <w:top w:val="single" w:sz="4" w:space="0" w:color="auto"/>
              <w:left w:val="nil"/>
              <w:bottom w:val="nil"/>
              <w:right w:val="nil"/>
            </w:tcBorders>
            <w:shd w:val="clear" w:color="auto" w:fill="auto"/>
          </w:tcPr>
          <w:p w:rsidR="003C5809" w:rsidRPr="002243D7" w:rsidRDefault="003C5809" w:rsidP="000367FA">
            <w:pPr>
              <w:rPr>
                <w:rFonts w:eastAsia="Calibri"/>
                <w:sz w:val="18"/>
                <w:szCs w:val="18"/>
              </w:rPr>
            </w:pPr>
            <w:r w:rsidRPr="002243D7">
              <w:rPr>
                <w:rFonts w:eastAsia="Calibri"/>
                <w:sz w:val="18"/>
                <w:szCs w:val="18"/>
              </w:rPr>
              <w:t>TNF=tumour necrosis factor; N=number of patients in the analysis set.</w:t>
            </w:r>
          </w:p>
          <w:p w:rsidR="003C5809" w:rsidRPr="002243D7" w:rsidRDefault="003C5809" w:rsidP="002243D7">
            <w:pPr>
              <w:tabs>
                <w:tab w:val="left" w:pos="270"/>
              </w:tabs>
              <w:ind w:left="270" w:hanging="270"/>
              <w:rPr>
                <w:rFonts w:eastAsia="Calibri"/>
                <w:sz w:val="18"/>
                <w:szCs w:val="18"/>
              </w:rPr>
            </w:pPr>
            <w:r w:rsidRPr="002243D7">
              <w:rPr>
                <w:rFonts w:eastAsia="Calibri"/>
                <w:sz w:val="18"/>
                <w:szCs w:val="18"/>
                <w:vertAlign w:val="superscript"/>
              </w:rPr>
              <w:t>a.</w:t>
            </w:r>
            <w:r w:rsidRPr="002243D7">
              <w:rPr>
                <w:rFonts w:eastAsia="Calibri"/>
                <w:sz w:val="18"/>
                <w:szCs w:val="18"/>
              </w:rPr>
              <w:tab/>
              <w:t xml:space="preserve">Remission was defined as clinical remission (a Mayo score ≤ 2 with no individual </w:t>
            </w:r>
            <w:proofErr w:type="spellStart"/>
            <w:r w:rsidRPr="002243D7">
              <w:rPr>
                <w:rFonts w:eastAsia="Calibri"/>
                <w:sz w:val="18"/>
                <w:szCs w:val="18"/>
              </w:rPr>
              <w:t>subscore</w:t>
            </w:r>
            <w:proofErr w:type="spellEnd"/>
            <w:r w:rsidRPr="002243D7">
              <w:rPr>
                <w:rFonts w:eastAsia="Calibri"/>
                <w:sz w:val="18"/>
                <w:szCs w:val="18"/>
              </w:rPr>
              <w:t xml:space="preserve"> &gt; 1) and rectal bleeding </w:t>
            </w:r>
            <w:proofErr w:type="spellStart"/>
            <w:r w:rsidRPr="002243D7">
              <w:rPr>
                <w:rFonts w:eastAsia="Calibri"/>
                <w:sz w:val="18"/>
                <w:szCs w:val="18"/>
              </w:rPr>
              <w:lastRenderedPageBreak/>
              <w:t>subscore</w:t>
            </w:r>
            <w:proofErr w:type="spellEnd"/>
            <w:r w:rsidRPr="002243D7">
              <w:rPr>
                <w:rFonts w:eastAsia="Calibri"/>
                <w:sz w:val="18"/>
                <w:szCs w:val="18"/>
              </w:rPr>
              <w:t xml:space="preserve"> of 0.</w:t>
            </w:r>
          </w:p>
          <w:p w:rsidR="003C5809" w:rsidRPr="002243D7" w:rsidRDefault="003C5809" w:rsidP="002243D7">
            <w:pPr>
              <w:tabs>
                <w:tab w:val="left" w:pos="270"/>
              </w:tabs>
              <w:rPr>
                <w:rFonts w:eastAsia="Calibri"/>
                <w:sz w:val="18"/>
                <w:szCs w:val="18"/>
              </w:rPr>
            </w:pPr>
            <w:r w:rsidRPr="002243D7">
              <w:rPr>
                <w:rFonts w:eastAsia="Calibri"/>
                <w:sz w:val="18"/>
                <w:szCs w:val="18"/>
                <w:vertAlign w:val="superscript"/>
              </w:rPr>
              <w:t>b.</w:t>
            </w:r>
            <w:r w:rsidRPr="002243D7">
              <w:rPr>
                <w:rFonts w:eastAsia="Calibri"/>
                <w:sz w:val="18"/>
                <w:szCs w:val="18"/>
              </w:rPr>
              <w:tab/>
              <w:t xml:space="preserve">Included TNF Inhibitor naïve patients </w:t>
            </w:r>
          </w:p>
          <w:p w:rsidR="003C5809" w:rsidRPr="002243D7" w:rsidRDefault="003C5809" w:rsidP="002243D7">
            <w:pPr>
              <w:ind w:left="284" w:hanging="284"/>
              <w:rPr>
                <w:szCs w:val="22"/>
              </w:rPr>
            </w:pPr>
            <w:r w:rsidRPr="002243D7">
              <w:rPr>
                <w:rFonts w:eastAsia="Calibri"/>
                <w:sz w:val="18"/>
                <w:szCs w:val="18"/>
                <w:vertAlign w:val="superscript"/>
              </w:rPr>
              <w:t>c.</w:t>
            </w:r>
            <w:r w:rsidRPr="002243D7">
              <w:rPr>
                <w:rFonts w:eastAsia="Calibri"/>
                <w:sz w:val="18"/>
                <w:szCs w:val="18"/>
              </w:rPr>
              <w:tab/>
              <w:t xml:space="preserve">Improvement of endoscopic appearance of the mucosa was defined as Mayo endoscopy </w:t>
            </w:r>
            <w:proofErr w:type="spellStart"/>
            <w:r w:rsidRPr="002243D7">
              <w:rPr>
                <w:rFonts w:eastAsia="Calibri"/>
                <w:sz w:val="18"/>
                <w:szCs w:val="18"/>
              </w:rPr>
              <w:t>subscore</w:t>
            </w:r>
            <w:proofErr w:type="spellEnd"/>
            <w:r w:rsidRPr="002243D7">
              <w:rPr>
                <w:rFonts w:eastAsia="Calibri"/>
                <w:sz w:val="18"/>
                <w:szCs w:val="18"/>
              </w:rPr>
              <w:t xml:space="preserve"> of 0 (normal or inactive disease) or 1 (erythema, decreased vascular pattern).</w:t>
            </w:r>
          </w:p>
        </w:tc>
      </w:tr>
    </w:tbl>
    <w:p w:rsidR="00722BC3" w:rsidRDefault="00722BC3" w:rsidP="00ED620C">
      <w:pPr>
        <w:rPr>
          <w:szCs w:val="22"/>
        </w:rPr>
      </w:pPr>
    </w:p>
    <w:p w:rsidR="003C5809" w:rsidRDefault="003C5809" w:rsidP="00ED620C">
      <w:pPr>
        <w:rPr>
          <w:szCs w:val="22"/>
        </w:rPr>
      </w:pPr>
    </w:p>
    <w:p w:rsidR="005C2BB5" w:rsidRPr="005C2BB5" w:rsidRDefault="005C2BB5" w:rsidP="005C2BB5">
      <w:pPr>
        <w:autoSpaceDE w:val="0"/>
        <w:autoSpaceDN w:val="0"/>
        <w:adjustRightInd w:val="0"/>
        <w:spacing w:after="0"/>
        <w:jc w:val="left"/>
        <w:rPr>
          <w:rFonts w:ascii="Cambria" w:hAnsi="Cambria" w:cs="Cambria"/>
          <w:color w:val="000000"/>
          <w:szCs w:val="24"/>
          <w:lang w:eastAsia="en-AU"/>
        </w:rPr>
      </w:pPr>
    </w:p>
    <w:p w:rsidR="00ED620C" w:rsidRDefault="005C2BB5" w:rsidP="00ED620C">
      <w:pPr>
        <w:rPr>
          <w:szCs w:val="22"/>
        </w:rPr>
      </w:pPr>
      <w:r w:rsidRPr="005C2BB5">
        <w:rPr>
          <w:rFonts w:eastAsia="Calibri"/>
          <w:szCs w:val="22"/>
        </w:rPr>
        <w:t xml:space="preserve">Decreases in rectal bleeding and stool frequency </w:t>
      </w:r>
      <w:proofErr w:type="spellStart"/>
      <w:r w:rsidRPr="005C2BB5">
        <w:rPr>
          <w:rFonts w:eastAsia="Calibri"/>
          <w:szCs w:val="22"/>
        </w:rPr>
        <w:t>subscores</w:t>
      </w:r>
      <w:proofErr w:type="spellEnd"/>
      <w:r w:rsidRPr="005C2BB5">
        <w:rPr>
          <w:rFonts w:eastAsia="Calibri"/>
          <w:szCs w:val="22"/>
        </w:rPr>
        <w:t xml:space="preserve"> were observed by Week 2 in</w:t>
      </w:r>
      <w:r>
        <w:rPr>
          <w:rFonts w:eastAsia="Calibri"/>
          <w:szCs w:val="22"/>
        </w:rPr>
        <w:t xml:space="preserve"> patients treated with XELJANZ.</w:t>
      </w:r>
    </w:p>
    <w:p w:rsidR="00ED620C" w:rsidRPr="00754A8C" w:rsidRDefault="00ED620C" w:rsidP="00ED620C">
      <w:pPr>
        <w:pStyle w:val="PIHeading4"/>
        <w:rPr>
          <w:rFonts w:eastAsia="Calibri"/>
        </w:rPr>
      </w:pPr>
      <w:r w:rsidRPr="00754A8C">
        <w:rPr>
          <w:rFonts w:eastAsia="Calibri"/>
        </w:rPr>
        <w:t>Maintenance (OCTAVE Sustain)</w:t>
      </w:r>
    </w:p>
    <w:p w:rsidR="00ED620C" w:rsidRPr="000F665C" w:rsidRDefault="00ED620C" w:rsidP="00ED620C">
      <w:pPr>
        <w:rPr>
          <w:rFonts w:eastAsia="Calibri"/>
          <w:szCs w:val="22"/>
        </w:rPr>
      </w:pPr>
      <w:r w:rsidRPr="000F665C">
        <w:rPr>
          <w:rFonts w:eastAsia="Calibri"/>
          <w:szCs w:val="22"/>
        </w:rPr>
        <w:t>Patients who completed 8 weeks in 1 of the induction studies and achieved clinical response were re</w:t>
      </w:r>
      <w:r>
        <w:rPr>
          <w:rFonts w:eastAsia="Calibri"/>
          <w:szCs w:val="22"/>
        </w:rPr>
        <w:noBreakHyphen/>
      </w:r>
      <w:r w:rsidRPr="000F665C">
        <w:rPr>
          <w:rFonts w:eastAsia="Calibri"/>
          <w:szCs w:val="22"/>
        </w:rPr>
        <w:t>randomi</w:t>
      </w:r>
      <w:r>
        <w:rPr>
          <w:rFonts w:eastAsia="Calibri"/>
          <w:szCs w:val="22"/>
        </w:rPr>
        <w:t>s</w:t>
      </w:r>
      <w:r w:rsidRPr="000F665C">
        <w:rPr>
          <w:rFonts w:eastAsia="Calibri"/>
          <w:szCs w:val="22"/>
        </w:rPr>
        <w:t xml:space="preserve">ed into </w:t>
      </w:r>
      <w:r>
        <w:rPr>
          <w:rFonts w:eastAsia="Calibri"/>
          <w:szCs w:val="22"/>
        </w:rPr>
        <w:t>OCTAVE Sustain</w:t>
      </w:r>
      <w:r w:rsidR="00A86CA2">
        <w:rPr>
          <w:rFonts w:eastAsia="Calibri"/>
          <w:szCs w:val="22"/>
        </w:rPr>
        <w:t xml:space="preserve"> (</w:t>
      </w:r>
      <w:r w:rsidR="00A86CA2">
        <w:rPr>
          <w:rFonts w:eastAsia="Calibri"/>
        </w:rPr>
        <w:t>Study UC-III</w:t>
      </w:r>
      <w:r w:rsidR="00A86CA2">
        <w:rPr>
          <w:rFonts w:eastAsia="Calibri"/>
          <w:szCs w:val="22"/>
        </w:rPr>
        <w:t>)</w:t>
      </w:r>
      <w:r w:rsidRPr="000F665C">
        <w:rPr>
          <w:rFonts w:eastAsia="Calibri"/>
          <w:szCs w:val="22"/>
        </w:rPr>
        <w:t xml:space="preserve">; 179 out of 593 (30.2%) patients were in remission at baseline of </w:t>
      </w:r>
      <w:r>
        <w:rPr>
          <w:rFonts w:eastAsia="Calibri"/>
          <w:szCs w:val="22"/>
        </w:rPr>
        <w:t xml:space="preserve">OCTAVE Sustain. </w:t>
      </w:r>
    </w:p>
    <w:p w:rsidR="00ED620C" w:rsidRDefault="00ED620C" w:rsidP="00ED620C">
      <w:pPr>
        <w:rPr>
          <w:rFonts w:eastAsia="Calibri"/>
          <w:szCs w:val="22"/>
        </w:rPr>
      </w:pPr>
      <w:r w:rsidRPr="000F665C">
        <w:rPr>
          <w:rFonts w:eastAsia="Calibri"/>
          <w:szCs w:val="22"/>
        </w:rPr>
        <w:t xml:space="preserve">The primary endpoint in </w:t>
      </w:r>
      <w:r>
        <w:rPr>
          <w:rFonts w:eastAsia="Calibri"/>
          <w:szCs w:val="22"/>
        </w:rPr>
        <w:t>OCTAVE Sustain</w:t>
      </w:r>
      <w:r w:rsidRPr="000F665C">
        <w:rPr>
          <w:rFonts w:eastAsia="Calibri"/>
          <w:szCs w:val="22"/>
        </w:rPr>
        <w:t xml:space="preserve"> was the proportion of patients in remission at Week 52. The 2 key secondary endpoints were the proportion of patients with improvement of endoscopic appearance at Week 52, and the proportion of patients with sustained corticosteroid</w:t>
      </w:r>
      <w:r w:rsidRPr="000F665C">
        <w:rPr>
          <w:rFonts w:eastAsia="Calibri"/>
          <w:szCs w:val="22"/>
        </w:rPr>
        <w:noBreakHyphen/>
        <w:t xml:space="preserve">free remission at both Week 24 and Week 52 among patients in remission at baseline of </w:t>
      </w:r>
      <w:r>
        <w:rPr>
          <w:rFonts w:eastAsia="Calibri"/>
          <w:szCs w:val="22"/>
        </w:rPr>
        <w:t>OCTAVE Sustain</w:t>
      </w:r>
      <w:r w:rsidRPr="00836256">
        <w:rPr>
          <w:rFonts w:eastAsia="Calibri"/>
          <w:szCs w:val="22"/>
        </w:rPr>
        <w:t xml:space="preserve">. </w:t>
      </w:r>
    </w:p>
    <w:p w:rsidR="000367FA" w:rsidRDefault="000367FA" w:rsidP="000367FA">
      <w:pPr>
        <w:rPr>
          <w:rFonts w:eastAsia="Calibri"/>
          <w:szCs w:val="22"/>
        </w:rPr>
      </w:pPr>
      <w:r w:rsidRPr="000F665C">
        <w:rPr>
          <w:rFonts w:eastAsia="Calibri"/>
          <w:szCs w:val="22"/>
        </w:rPr>
        <w:t xml:space="preserve">A significantly greater proportion of patients in both the XELJANZ </w:t>
      </w:r>
      <w:r>
        <w:rPr>
          <w:rFonts w:eastAsia="Calibri"/>
          <w:szCs w:val="22"/>
        </w:rPr>
        <w:t>5 mg twice daily and XELJANZ 10 </w:t>
      </w:r>
      <w:r w:rsidRPr="000F665C">
        <w:rPr>
          <w:rFonts w:eastAsia="Calibri"/>
          <w:szCs w:val="22"/>
        </w:rPr>
        <w:t>mg twice daily treatment groups</w:t>
      </w:r>
      <w:r w:rsidRPr="000F665C">
        <w:rPr>
          <w:szCs w:val="22"/>
        </w:rPr>
        <w:t xml:space="preserve"> </w:t>
      </w:r>
      <w:r w:rsidRPr="000F665C">
        <w:rPr>
          <w:rFonts w:eastAsia="Calibri"/>
          <w:szCs w:val="22"/>
        </w:rPr>
        <w:t xml:space="preserve">achieved </w:t>
      </w:r>
      <w:r>
        <w:rPr>
          <w:rFonts w:eastAsia="Calibri"/>
          <w:szCs w:val="22"/>
        </w:rPr>
        <w:t>the following endpoints at Week </w:t>
      </w:r>
      <w:r w:rsidRPr="000F665C">
        <w:rPr>
          <w:rFonts w:eastAsia="Calibri"/>
          <w:szCs w:val="22"/>
        </w:rPr>
        <w:t>52 as compared to placebo: remission, improvement of endoscopic appearance of the mucosa, normalization of endoscopic appearance of the mucosa, maintenance of clinical response, remission among patients in remission at baseline, and sustained corticoster</w:t>
      </w:r>
      <w:r>
        <w:rPr>
          <w:rFonts w:eastAsia="Calibri"/>
          <w:szCs w:val="22"/>
        </w:rPr>
        <w:t>oid-free remission at both Week </w:t>
      </w:r>
      <w:r w:rsidRPr="000F665C">
        <w:rPr>
          <w:rFonts w:eastAsia="Calibri"/>
          <w:szCs w:val="22"/>
        </w:rPr>
        <w:t>24 and We</w:t>
      </w:r>
      <w:r>
        <w:rPr>
          <w:rFonts w:eastAsia="Calibri"/>
          <w:szCs w:val="22"/>
        </w:rPr>
        <w:t>ek </w:t>
      </w:r>
      <w:r w:rsidRPr="000F665C">
        <w:rPr>
          <w:rFonts w:eastAsia="Calibri"/>
          <w:szCs w:val="22"/>
        </w:rPr>
        <w:t>52 among patients in remission at baseline.</w:t>
      </w:r>
      <w:r w:rsidRPr="000F665C" w:rsidDel="006622FB">
        <w:rPr>
          <w:rFonts w:eastAsia="Calibri"/>
          <w:szCs w:val="22"/>
        </w:rPr>
        <w:t xml:space="preserve"> </w:t>
      </w:r>
    </w:p>
    <w:p w:rsidR="00ED620C" w:rsidRDefault="00ED620C" w:rsidP="00ED620C">
      <w:pPr>
        <w:rPr>
          <w:rFonts w:eastAsia="Calibri"/>
          <w:szCs w:val="22"/>
        </w:rPr>
      </w:pPr>
      <w:r w:rsidRPr="000F665C">
        <w:rPr>
          <w:rFonts w:eastAsia="Calibri"/>
          <w:szCs w:val="22"/>
        </w:rPr>
        <w:t>In both subgroups of patients with or without prior TNF inhibitor failure, a greater proportion of patients treated with either XELJANZ</w:t>
      </w:r>
      <w:r>
        <w:rPr>
          <w:rFonts w:eastAsia="Calibri"/>
          <w:szCs w:val="22"/>
        </w:rPr>
        <w:t xml:space="preserve"> 5 mg twice daily or XELJANZ 10 </w:t>
      </w:r>
      <w:r w:rsidRPr="000F665C">
        <w:rPr>
          <w:rFonts w:eastAsia="Calibri"/>
          <w:szCs w:val="22"/>
        </w:rPr>
        <w:t xml:space="preserve">mg twice daily achieved </w:t>
      </w:r>
      <w:r>
        <w:rPr>
          <w:rFonts w:eastAsia="Calibri"/>
          <w:szCs w:val="22"/>
        </w:rPr>
        <w:t>the following endpoints at Week </w:t>
      </w:r>
      <w:r w:rsidRPr="000F665C">
        <w:rPr>
          <w:rFonts w:eastAsia="Calibri"/>
          <w:szCs w:val="22"/>
        </w:rPr>
        <w:t xml:space="preserve">52 of </w:t>
      </w:r>
      <w:r>
        <w:rPr>
          <w:rFonts w:eastAsia="Calibri"/>
          <w:szCs w:val="22"/>
        </w:rPr>
        <w:t xml:space="preserve">OCTAVE Sustain </w:t>
      </w:r>
      <w:r w:rsidRPr="000F665C">
        <w:rPr>
          <w:rFonts w:eastAsia="Calibri"/>
          <w:szCs w:val="22"/>
        </w:rPr>
        <w:t>as compared to placebo: remission, improvement of endoscopic appearance of the mucosa, or sustained corticosteroid-free rem</w:t>
      </w:r>
      <w:r>
        <w:rPr>
          <w:rFonts w:eastAsia="Calibri"/>
          <w:szCs w:val="22"/>
        </w:rPr>
        <w:t>ission at both Week 24 and Week </w:t>
      </w:r>
      <w:r w:rsidRPr="000F665C">
        <w:rPr>
          <w:rFonts w:eastAsia="Calibri"/>
          <w:szCs w:val="22"/>
        </w:rPr>
        <w:t>52 among patients i</w:t>
      </w:r>
      <w:r>
        <w:rPr>
          <w:rFonts w:eastAsia="Calibri"/>
          <w:szCs w:val="22"/>
        </w:rPr>
        <w:t xml:space="preserve">n remission at baseline (Table </w:t>
      </w:r>
      <w:r w:rsidR="006A1592">
        <w:rPr>
          <w:rFonts w:eastAsia="Calibri"/>
          <w:szCs w:val="22"/>
        </w:rPr>
        <w:t>14</w:t>
      </w:r>
      <w:r w:rsidRPr="000F665C">
        <w:rPr>
          <w:rFonts w:eastAsia="Calibri"/>
          <w:szCs w:val="22"/>
        </w:rPr>
        <w:t>). This treatment difference from placeb</w:t>
      </w:r>
      <w:r>
        <w:rPr>
          <w:rFonts w:eastAsia="Calibri"/>
          <w:szCs w:val="22"/>
        </w:rPr>
        <w:t>o was similar between XELJANZ 5 mg twice daily and XELJANZ 10 </w:t>
      </w:r>
      <w:r w:rsidRPr="000F665C">
        <w:rPr>
          <w:rFonts w:eastAsia="Calibri"/>
          <w:szCs w:val="22"/>
        </w:rPr>
        <w:t>mg twice daily in the subgroup of patients without prior TNF inhibitor failure. In the subgroup of patients with prior TNF inhibitor failure, the observed treatment difference from placebo was num</w:t>
      </w:r>
      <w:r>
        <w:rPr>
          <w:rFonts w:eastAsia="Calibri"/>
          <w:szCs w:val="22"/>
        </w:rPr>
        <w:t>erically greater for XELJANZ 10 mg twice daily than XELJANZ 5 </w:t>
      </w:r>
      <w:r w:rsidRPr="000F665C">
        <w:rPr>
          <w:rFonts w:eastAsia="Calibri"/>
          <w:szCs w:val="22"/>
        </w:rPr>
        <w:t xml:space="preserve">mg twice daily by 9.7 to 16.7 percentage points across the primary and key secondary endpoints.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097"/>
        <w:gridCol w:w="1469"/>
        <w:gridCol w:w="1469"/>
        <w:gridCol w:w="1543"/>
        <w:gridCol w:w="1543"/>
      </w:tblGrid>
      <w:tr w:rsidR="009F104D" w:rsidRPr="00B4580B" w:rsidTr="009F104D">
        <w:trPr>
          <w:trHeight w:val="260"/>
        </w:trPr>
        <w:tc>
          <w:tcPr>
            <w:tcW w:w="0" w:type="auto"/>
            <w:gridSpan w:val="6"/>
            <w:tcBorders>
              <w:top w:val="nil"/>
              <w:left w:val="nil"/>
              <w:bottom w:val="single" w:sz="4" w:space="0" w:color="auto"/>
              <w:right w:val="nil"/>
            </w:tcBorders>
            <w:shd w:val="clear" w:color="auto" w:fill="auto"/>
            <w:vAlign w:val="center"/>
          </w:tcPr>
          <w:p w:rsidR="009F104D" w:rsidRPr="009F104D" w:rsidRDefault="009F104D" w:rsidP="006A1592">
            <w:pPr>
              <w:tabs>
                <w:tab w:val="left" w:pos="990"/>
              </w:tabs>
              <w:ind w:left="990" w:hanging="990"/>
              <w:rPr>
                <w:b/>
                <w:szCs w:val="22"/>
              </w:rPr>
            </w:pPr>
            <w:r w:rsidRPr="009F104D">
              <w:rPr>
                <w:b/>
                <w:szCs w:val="22"/>
              </w:rPr>
              <w:t xml:space="preserve">Table </w:t>
            </w:r>
            <w:r w:rsidR="006A1592">
              <w:rPr>
                <w:b/>
                <w:szCs w:val="22"/>
              </w:rPr>
              <w:t>14</w:t>
            </w:r>
            <w:r w:rsidRPr="009F104D">
              <w:rPr>
                <w:b/>
                <w:szCs w:val="22"/>
              </w:rPr>
              <w:t>. Proportion of Patients Meeting Primary and Key Secondary Efficacy Endpoints in Maintenance OCTAVE Sustain (Central Endoscopy Read)</w:t>
            </w:r>
          </w:p>
        </w:tc>
      </w:tr>
      <w:tr w:rsidR="009F104D" w:rsidRPr="00B4580B" w:rsidTr="000367FA">
        <w:tc>
          <w:tcPr>
            <w:tcW w:w="0" w:type="auto"/>
            <w:gridSpan w:val="4"/>
            <w:shd w:val="clear" w:color="auto" w:fill="auto"/>
          </w:tcPr>
          <w:p w:rsidR="009F104D" w:rsidRPr="00B4580B" w:rsidRDefault="009F104D" w:rsidP="000367FA"/>
        </w:tc>
        <w:tc>
          <w:tcPr>
            <w:tcW w:w="0" w:type="auto"/>
            <w:gridSpan w:val="2"/>
            <w:shd w:val="clear" w:color="auto" w:fill="auto"/>
          </w:tcPr>
          <w:p w:rsidR="009F104D" w:rsidRPr="00B4580B" w:rsidRDefault="009F104D" w:rsidP="000367FA">
            <w:pPr>
              <w:jc w:val="center"/>
              <w:rPr>
                <w:b/>
              </w:rPr>
            </w:pPr>
            <w:r w:rsidRPr="00B4580B">
              <w:rPr>
                <w:b/>
              </w:rPr>
              <w:t>Treatment Difference versus Placebo (95% CI)</w:t>
            </w:r>
          </w:p>
        </w:tc>
      </w:tr>
      <w:tr w:rsidR="009F104D" w:rsidRPr="00B4580B" w:rsidTr="000367FA">
        <w:tc>
          <w:tcPr>
            <w:tcW w:w="0" w:type="auto"/>
            <w:shd w:val="clear" w:color="auto" w:fill="auto"/>
          </w:tcPr>
          <w:p w:rsidR="009F104D" w:rsidRPr="00B4580B" w:rsidRDefault="009F104D" w:rsidP="000367FA">
            <w:pPr>
              <w:spacing w:after="0"/>
              <w:rPr>
                <w:rFonts w:eastAsia="Calibri"/>
                <w:b/>
              </w:rPr>
            </w:pPr>
          </w:p>
          <w:p w:rsidR="009F104D" w:rsidRPr="00B4580B" w:rsidRDefault="009F104D" w:rsidP="000367FA">
            <w:pPr>
              <w:spacing w:after="0"/>
              <w:rPr>
                <w:b/>
              </w:rPr>
            </w:pPr>
            <w:r w:rsidRPr="00B4580B">
              <w:rPr>
                <w:rFonts w:eastAsia="Calibri"/>
                <w:b/>
              </w:rPr>
              <w:t>Endpoint</w:t>
            </w:r>
          </w:p>
        </w:tc>
        <w:tc>
          <w:tcPr>
            <w:tcW w:w="0" w:type="auto"/>
            <w:shd w:val="clear" w:color="auto" w:fill="auto"/>
          </w:tcPr>
          <w:p w:rsidR="009F104D" w:rsidRPr="00B4580B" w:rsidRDefault="009F104D" w:rsidP="000367FA">
            <w:pPr>
              <w:autoSpaceDE w:val="0"/>
              <w:autoSpaceDN w:val="0"/>
              <w:adjustRightInd w:val="0"/>
              <w:spacing w:after="0"/>
              <w:jc w:val="center"/>
              <w:rPr>
                <w:rFonts w:eastAsia="Calibri"/>
                <w:b/>
              </w:rPr>
            </w:pPr>
          </w:p>
          <w:p w:rsidR="009F104D" w:rsidRPr="00B4580B" w:rsidRDefault="009F104D" w:rsidP="000367FA">
            <w:pPr>
              <w:autoSpaceDE w:val="0"/>
              <w:autoSpaceDN w:val="0"/>
              <w:adjustRightInd w:val="0"/>
              <w:spacing w:after="0"/>
              <w:jc w:val="center"/>
              <w:rPr>
                <w:rFonts w:eastAsia="Calibri"/>
                <w:b/>
              </w:rPr>
            </w:pPr>
            <w:r w:rsidRPr="00B4580B">
              <w:rPr>
                <w:rFonts w:eastAsia="Calibri"/>
                <w:b/>
              </w:rPr>
              <w:t>Placebo</w:t>
            </w:r>
          </w:p>
        </w:tc>
        <w:tc>
          <w:tcPr>
            <w:tcW w:w="0" w:type="auto"/>
            <w:shd w:val="clear" w:color="auto" w:fill="auto"/>
          </w:tcPr>
          <w:p w:rsidR="009F104D" w:rsidRPr="00B4580B" w:rsidRDefault="009F104D" w:rsidP="000367FA">
            <w:pPr>
              <w:autoSpaceDE w:val="0"/>
              <w:autoSpaceDN w:val="0"/>
              <w:adjustRightInd w:val="0"/>
              <w:spacing w:after="0"/>
              <w:jc w:val="center"/>
              <w:rPr>
                <w:rFonts w:eastAsia="Calibri"/>
                <w:b/>
              </w:rPr>
            </w:pPr>
            <w:r w:rsidRPr="00B4580B">
              <w:rPr>
                <w:rFonts w:eastAsia="Calibri"/>
                <w:b/>
              </w:rPr>
              <w:t>XELJANZ</w:t>
            </w:r>
          </w:p>
          <w:p w:rsidR="009F104D" w:rsidRPr="00B4580B" w:rsidRDefault="009F104D" w:rsidP="000367FA">
            <w:pPr>
              <w:autoSpaceDE w:val="0"/>
              <w:autoSpaceDN w:val="0"/>
              <w:adjustRightInd w:val="0"/>
              <w:spacing w:after="0"/>
              <w:jc w:val="center"/>
              <w:rPr>
                <w:rFonts w:eastAsia="Calibri"/>
                <w:b/>
              </w:rPr>
            </w:pPr>
            <w:r w:rsidRPr="00B4580B">
              <w:rPr>
                <w:rFonts w:eastAsia="Calibri"/>
                <w:b/>
              </w:rPr>
              <w:t>5 mg</w:t>
            </w:r>
          </w:p>
          <w:p w:rsidR="009F104D" w:rsidRPr="00B4580B" w:rsidRDefault="009F104D" w:rsidP="000367FA">
            <w:pPr>
              <w:autoSpaceDE w:val="0"/>
              <w:autoSpaceDN w:val="0"/>
              <w:adjustRightInd w:val="0"/>
              <w:spacing w:after="0"/>
              <w:jc w:val="center"/>
              <w:rPr>
                <w:rFonts w:eastAsia="Calibri"/>
                <w:b/>
              </w:rPr>
            </w:pPr>
            <w:r>
              <w:rPr>
                <w:rFonts w:eastAsia="Calibri"/>
                <w:b/>
              </w:rPr>
              <w:t>Twice D</w:t>
            </w:r>
            <w:r w:rsidRPr="00B4580B">
              <w:rPr>
                <w:rFonts w:eastAsia="Calibri"/>
                <w:b/>
              </w:rPr>
              <w:t>aily</w:t>
            </w:r>
          </w:p>
        </w:tc>
        <w:tc>
          <w:tcPr>
            <w:tcW w:w="0" w:type="auto"/>
            <w:shd w:val="clear" w:color="auto" w:fill="auto"/>
          </w:tcPr>
          <w:p w:rsidR="009F104D" w:rsidRPr="00B4580B" w:rsidRDefault="009F104D" w:rsidP="000367FA">
            <w:pPr>
              <w:autoSpaceDE w:val="0"/>
              <w:autoSpaceDN w:val="0"/>
              <w:adjustRightInd w:val="0"/>
              <w:spacing w:after="0"/>
              <w:jc w:val="center"/>
              <w:rPr>
                <w:rFonts w:eastAsia="Calibri"/>
                <w:b/>
              </w:rPr>
            </w:pPr>
            <w:r w:rsidRPr="00B4580B">
              <w:rPr>
                <w:rFonts w:eastAsia="Calibri"/>
                <w:b/>
              </w:rPr>
              <w:t>XELJANZ</w:t>
            </w:r>
          </w:p>
          <w:p w:rsidR="009F104D" w:rsidRPr="00B4580B" w:rsidRDefault="009F104D" w:rsidP="000367FA">
            <w:pPr>
              <w:autoSpaceDE w:val="0"/>
              <w:autoSpaceDN w:val="0"/>
              <w:adjustRightInd w:val="0"/>
              <w:spacing w:after="0"/>
              <w:jc w:val="center"/>
              <w:rPr>
                <w:rFonts w:eastAsia="Calibri"/>
                <w:b/>
              </w:rPr>
            </w:pPr>
            <w:r w:rsidRPr="00B4580B">
              <w:rPr>
                <w:rFonts w:eastAsia="Calibri"/>
                <w:b/>
              </w:rPr>
              <w:t>10 mg</w:t>
            </w:r>
          </w:p>
          <w:p w:rsidR="009F104D" w:rsidRPr="00B4580B" w:rsidRDefault="009F104D" w:rsidP="000367FA">
            <w:pPr>
              <w:autoSpaceDE w:val="0"/>
              <w:autoSpaceDN w:val="0"/>
              <w:adjustRightInd w:val="0"/>
              <w:spacing w:after="0"/>
              <w:jc w:val="center"/>
              <w:rPr>
                <w:rFonts w:eastAsia="Calibri"/>
                <w:b/>
              </w:rPr>
            </w:pPr>
            <w:r>
              <w:rPr>
                <w:rFonts w:eastAsia="Calibri"/>
                <w:b/>
              </w:rPr>
              <w:t>Twice D</w:t>
            </w:r>
            <w:r w:rsidRPr="00B4580B">
              <w:rPr>
                <w:rFonts w:eastAsia="Calibri"/>
                <w:b/>
              </w:rPr>
              <w:t>aily</w:t>
            </w:r>
          </w:p>
        </w:tc>
        <w:tc>
          <w:tcPr>
            <w:tcW w:w="0" w:type="auto"/>
            <w:shd w:val="clear" w:color="auto" w:fill="auto"/>
          </w:tcPr>
          <w:p w:rsidR="009F104D" w:rsidRPr="00B4580B" w:rsidRDefault="009F104D" w:rsidP="000367FA">
            <w:pPr>
              <w:autoSpaceDE w:val="0"/>
              <w:autoSpaceDN w:val="0"/>
              <w:adjustRightInd w:val="0"/>
              <w:spacing w:after="0"/>
              <w:jc w:val="center"/>
              <w:rPr>
                <w:rFonts w:eastAsia="Calibri"/>
                <w:b/>
              </w:rPr>
            </w:pPr>
            <w:r w:rsidRPr="00B4580B">
              <w:rPr>
                <w:rFonts w:eastAsia="Calibri"/>
                <w:b/>
              </w:rPr>
              <w:t>XELJANZ</w:t>
            </w:r>
          </w:p>
          <w:p w:rsidR="009F104D" w:rsidRPr="00B4580B" w:rsidRDefault="009F104D" w:rsidP="000367FA">
            <w:pPr>
              <w:spacing w:after="0"/>
              <w:jc w:val="center"/>
              <w:rPr>
                <w:rFonts w:eastAsia="Calibri"/>
                <w:b/>
                <w:bCs/>
              </w:rPr>
            </w:pPr>
            <w:r w:rsidRPr="00B4580B">
              <w:rPr>
                <w:rFonts w:eastAsia="Calibri"/>
                <w:b/>
                <w:bCs/>
              </w:rPr>
              <w:t>5 mg</w:t>
            </w:r>
          </w:p>
          <w:p w:rsidR="009F104D" w:rsidRPr="00B4580B" w:rsidRDefault="009F104D" w:rsidP="000367FA">
            <w:pPr>
              <w:spacing w:after="0"/>
              <w:jc w:val="center"/>
              <w:rPr>
                <w:b/>
              </w:rPr>
            </w:pPr>
            <w:r>
              <w:rPr>
                <w:rFonts w:eastAsia="Calibri"/>
                <w:b/>
              </w:rPr>
              <w:t>Twice D</w:t>
            </w:r>
            <w:r w:rsidRPr="00B4580B">
              <w:rPr>
                <w:rFonts w:eastAsia="Calibri"/>
                <w:b/>
              </w:rPr>
              <w:t>aily</w:t>
            </w:r>
          </w:p>
        </w:tc>
        <w:tc>
          <w:tcPr>
            <w:tcW w:w="0" w:type="auto"/>
            <w:shd w:val="clear" w:color="auto" w:fill="auto"/>
          </w:tcPr>
          <w:p w:rsidR="009F104D" w:rsidRPr="00B4580B" w:rsidRDefault="009F104D" w:rsidP="000367FA">
            <w:pPr>
              <w:autoSpaceDE w:val="0"/>
              <w:autoSpaceDN w:val="0"/>
              <w:adjustRightInd w:val="0"/>
              <w:spacing w:after="0"/>
              <w:jc w:val="center"/>
              <w:rPr>
                <w:rFonts w:eastAsia="Calibri"/>
                <w:b/>
              </w:rPr>
            </w:pPr>
            <w:r w:rsidRPr="00B4580B">
              <w:rPr>
                <w:rFonts w:eastAsia="Calibri"/>
                <w:b/>
              </w:rPr>
              <w:t>XELJANZ</w:t>
            </w:r>
          </w:p>
          <w:p w:rsidR="009F104D" w:rsidRPr="00B4580B" w:rsidRDefault="009F104D" w:rsidP="000367FA">
            <w:pPr>
              <w:spacing w:after="0"/>
              <w:jc w:val="center"/>
              <w:rPr>
                <w:rFonts w:eastAsia="Calibri"/>
                <w:b/>
                <w:bCs/>
              </w:rPr>
            </w:pPr>
            <w:r w:rsidRPr="00B4580B">
              <w:rPr>
                <w:rFonts w:eastAsia="Calibri"/>
                <w:b/>
                <w:bCs/>
              </w:rPr>
              <w:t>10 mg</w:t>
            </w:r>
          </w:p>
          <w:p w:rsidR="009F104D" w:rsidRPr="00B4580B" w:rsidRDefault="009F104D" w:rsidP="000367FA">
            <w:pPr>
              <w:spacing w:after="0"/>
              <w:jc w:val="center"/>
              <w:rPr>
                <w:b/>
              </w:rPr>
            </w:pPr>
            <w:r>
              <w:rPr>
                <w:rFonts w:eastAsia="Calibri"/>
                <w:b/>
              </w:rPr>
              <w:t>Twice D</w:t>
            </w:r>
            <w:r w:rsidRPr="00B4580B">
              <w:rPr>
                <w:rFonts w:eastAsia="Calibri"/>
                <w:b/>
              </w:rPr>
              <w:t>aily</w:t>
            </w:r>
          </w:p>
        </w:tc>
      </w:tr>
      <w:tr w:rsidR="009F104D" w:rsidRPr="008D2708" w:rsidTr="000367FA">
        <w:tc>
          <w:tcPr>
            <w:tcW w:w="0" w:type="auto"/>
            <w:gridSpan w:val="6"/>
            <w:tcBorders>
              <w:top w:val="single" w:sz="4" w:space="0" w:color="auto"/>
              <w:left w:val="single" w:sz="4" w:space="0" w:color="auto"/>
              <w:bottom w:val="single" w:sz="4" w:space="0" w:color="auto"/>
              <w:right w:val="single" w:sz="4" w:space="0" w:color="auto"/>
            </w:tcBorders>
            <w:shd w:val="clear" w:color="auto" w:fill="auto"/>
          </w:tcPr>
          <w:p w:rsidR="009F104D" w:rsidRPr="008D2708" w:rsidRDefault="009F104D" w:rsidP="000367FA">
            <w:pPr>
              <w:spacing w:after="0"/>
              <w:jc w:val="left"/>
              <w:rPr>
                <w:b/>
              </w:rPr>
            </w:pPr>
            <w:r w:rsidRPr="008D2708">
              <w:rPr>
                <w:rFonts w:eastAsia="Calibri"/>
                <w:b/>
              </w:rPr>
              <w:t>Remission at Week 52</w:t>
            </w:r>
            <w:r>
              <w:rPr>
                <w:rFonts w:eastAsia="Calibri"/>
                <w:b/>
                <w:vertAlign w:val="superscript"/>
              </w:rPr>
              <w:t>a</w:t>
            </w:r>
          </w:p>
        </w:tc>
      </w:tr>
      <w:tr w:rsidR="009F104D" w:rsidRPr="00B4580B" w:rsidTr="000367FA">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B4580B" w:rsidRDefault="009F104D" w:rsidP="000367FA">
            <w:pPr>
              <w:autoSpaceDE w:val="0"/>
              <w:autoSpaceDN w:val="0"/>
              <w:adjustRightInd w:val="0"/>
              <w:spacing w:after="0"/>
              <w:jc w:val="left"/>
              <w:rPr>
                <w:rFonts w:eastAsia="Calibri"/>
              </w:rPr>
            </w:pPr>
            <w:r>
              <w:rPr>
                <w:rFonts w:eastAsia="Calibri"/>
              </w:rPr>
              <w:t>Total Population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N=198</w:t>
            </w:r>
          </w:p>
          <w:p w:rsidR="009F104D" w:rsidRPr="008D2708"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rFonts w:eastAsia="Calibri"/>
                <w:szCs w:val="24"/>
              </w:rPr>
            </w:pPr>
            <w:r w:rsidRPr="008D2708">
              <w:rPr>
                <w:rFonts w:eastAsia="TimesNewRoman"/>
                <w:szCs w:val="24"/>
                <w:lang w:eastAsia="en-AU"/>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N=198</w:t>
            </w:r>
          </w:p>
          <w:p w:rsidR="009F104D" w:rsidRPr="008D2708"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szCs w:val="24"/>
              </w:rPr>
            </w:pPr>
            <w:r w:rsidRPr="008D2708">
              <w:rPr>
                <w:rFonts w:eastAsia="TimesNewRoman"/>
                <w:szCs w:val="24"/>
                <w:lang w:eastAsia="en-AU"/>
              </w:rPr>
              <w:t>34%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N=197</w:t>
            </w:r>
          </w:p>
          <w:p w:rsidR="009F104D" w:rsidRPr="008D2708"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szCs w:val="24"/>
              </w:rPr>
            </w:pPr>
            <w:r w:rsidRPr="008D2708">
              <w:rPr>
                <w:rFonts w:eastAsia="TimesNewRoman"/>
                <w:szCs w:val="24"/>
                <w:lang w:eastAsia="en-AU"/>
              </w:rPr>
              <w:t>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8D2708"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23%*</w:t>
            </w:r>
          </w:p>
          <w:p w:rsidR="009F104D" w:rsidRPr="008D2708" w:rsidRDefault="009F104D" w:rsidP="000367FA">
            <w:pPr>
              <w:spacing w:after="0"/>
              <w:jc w:val="center"/>
              <w:rPr>
                <w:szCs w:val="24"/>
              </w:rPr>
            </w:pPr>
            <w:r w:rsidRPr="008D2708">
              <w:rPr>
                <w:rFonts w:eastAsia="TimesNewRoman"/>
                <w:szCs w:val="24"/>
                <w:lang w:eastAsia="en-AU"/>
              </w:rPr>
              <w:t>(15.3, 31.2)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8D2708"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30%*</w:t>
            </w:r>
          </w:p>
          <w:p w:rsidR="009F104D" w:rsidRPr="008D2708" w:rsidRDefault="009F104D" w:rsidP="000367FA">
            <w:pPr>
              <w:spacing w:after="0"/>
              <w:jc w:val="center"/>
              <w:rPr>
                <w:szCs w:val="24"/>
              </w:rPr>
            </w:pPr>
            <w:r w:rsidRPr="008D2708">
              <w:rPr>
                <w:rFonts w:eastAsia="TimesNewRoman"/>
                <w:szCs w:val="24"/>
                <w:lang w:eastAsia="en-AU"/>
              </w:rPr>
              <w:t>(21.4, 37.6)</w:t>
            </w:r>
          </w:p>
        </w:tc>
      </w:tr>
      <w:tr w:rsidR="009F104D" w:rsidRPr="00B4580B" w:rsidTr="000367FA">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B4580B" w:rsidRDefault="009F104D" w:rsidP="00B93931">
            <w:pPr>
              <w:autoSpaceDE w:val="0"/>
              <w:autoSpaceDN w:val="0"/>
              <w:adjustRightInd w:val="0"/>
              <w:spacing w:after="0"/>
              <w:ind w:left="270"/>
              <w:jc w:val="left"/>
              <w:rPr>
                <w:rFonts w:eastAsia="Calibri"/>
              </w:rPr>
            </w:pPr>
            <w:r w:rsidRPr="00B4580B">
              <w:rPr>
                <w:rFonts w:eastAsia="Calibri"/>
              </w:rPr>
              <w:t xml:space="preserve">With Prior TNF </w:t>
            </w:r>
            <w:r w:rsidR="00B93931">
              <w:rPr>
                <w:rFonts w:eastAsia="Calibri"/>
              </w:rPr>
              <w:t>Inhibitor</w:t>
            </w:r>
            <w:r w:rsidRPr="00B4580B">
              <w:rPr>
                <w:rFonts w:eastAsia="Calibri"/>
              </w:rPr>
              <w:t xml:space="preserve"> </w:t>
            </w:r>
            <w:proofErr w:type="spellStart"/>
            <w:r w:rsidRPr="00B4580B">
              <w:rPr>
                <w:rFonts w:eastAsia="Calibri"/>
              </w:rPr>
              <w:t>Failure</w:t>
            </w:r>
            <w:r w:rsidRPr="00A86753">
              <w:rPr>
                <w:rFonts w:eastAsia="Calibri"/>
                <w:vertAlign w:val="superscript"/>
              </w:rPr>
              <w:t>b</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N=89</w:t>
            </w:r>
          </w:p>
          <w:p w:rsidR="009F104D" w:rsidRPr="008D2708"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rFonts w:eastAsia="Calibri"/>
                <w:szCs w:val="24"/>
              </w:rPr>
            </w:pPr>
            <w:r w:rsidRPr="008D2708">
              <w:rPr>
                <w:rFonts w:eastAsia="TimesNewRoman"/>
                <w:szCs w:val="24"/>
                <w:lang w:eastAsia="en-AU"/>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N=83</w:t>
            </w:r>
          </w:p>
          <w:p w:rsidR="009F104D" w:rsidRPr="008D2708"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rFonts w:eastAsia="Calibri"/>
                <w:szCs w:val="24"/>
              </w:rPr>
            </w:pPr>
            <w:r w:rsidRPr="008D2708">
              <w:rPr>
                <w:rFonts w:eastAsia="TimesNewRoman"/>
                <w:szCs w:val="24"/>
                <w:lang w:eastAsia="en-AU"/>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N=93</w:t>
            </w:r>
          </w:p>
          <w:p w:rsidR="009F104D" w:rsidRPr="008D2708"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rFonts w:eastAsia="Calibri"/>
                <w:szCs w:val="24"/>
              </w:rPr>
            </w:pPr>
            <w:r w:rsidRPr="008D2708">
              <w:rPr>
                <w:rFonts w:eastAsia="TimesNewRoman"/>
                <w:szCs w:val="24"/>
                <w:lang w:eastAsia="en-AU"/>
              </w:rPr>
              <w:t>37%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8D2708" w:rsidRDefault="009F104D" w:rsidP="000367FA">
            <w:pPr>
              <w:spacing w:after="0"/>
              <w:jc w:val="center"/>
              <w:rPr>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8D2708" w:rsidRDefault="009F104D" w:rsidP="000367FA">
            <w:pPr>
              <w:spacing w:after="0"/>
              <w:jc w:val="center"/>
              <w:rPr>
                <w:szCs w:val="24"/>
              </w:rPr>
            </w:pPr>
          </w:p>
        </w:tc>
      </w:tr>
      <w:tr w:rsidR="009F104D" w:rsidRPr="00B4580B" w:rsidTr="000367FA">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B4580B" w:rsidRDefault="009F104D" w:rsidP="000367FA">
            <w:pPr>
              <w:autoSpaceDE w:val="0"/>
              <w:autoSpaceDN w:val="0"/>
              <w:adjustRightInd w:val="0"/>
              <w:spacing w:after="0"/>
              <w:ind w:left="270"/>
              <w:jc w:val="left"/>
              <w:rPr>
                <w:rFonts w:eastAsia="Calibri"/>
              </w:rPr>
            </w:pPr>
            <w:r w:rsidRPr="00B4580B">
              <w:rPr>
                <w:rFonts w:eastAsia="Calibri"/>
              </w:rPr>
              <w:t xml:space="preserve">Without Prior TNF </w:t>
            </w:r>
            <w:r w:rsidR="00B93931">
              <w:rPr>
                <w:rFonts w:eastAsia="Calibri"/>
              </w:rPr>
              <w:t>Inhibitor</w:t>
            </w:r>
            <w:r w:rsidRPr="00B4580B">
              <w:rPr>
                <w:rFonts w:eastAsia="Calibri"/>
              </w:rPr>
              <w:t xml:space="preserve"> </w:t>
            </w:r>
            <w:proofErr w:type="spellStart"/>
            <w:r w:rsidRPr="00B4580B">
              <w:rPr>
                <w:rFonts w:eastAsia="Calibri"/>
              </w:rPr>
              <w:t>Failure</w:t>
            </w:r>
            <w:r>
              <w:rPr>
                <w:rFonts w:eastAsia="Calibri"/>
                <w:vertAlign w:val="superscript"/>
              </w:rPr>
              <w:t>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N=109</w:t>
            </w:r>
          </w:p>
          <w:p w:rsidR="009F104D" w:rsidRPr="008D2708"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rFonts w:eastAsia="Calibri"/>
                <w:szCs w:val="24"/>
              </w:rPr>
            </w:pPr>
            <w:r w:rsidRPr="008D2708">
              <w:rPr>
                <w:rFonts w:eastAsia="TimesNewRoman"/>
                <w:szCs w:val="24"/>
                <w:lang w:eastAsia="en-AU"/>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N=115</w:t>
            </w:r>
          </w:p>
          <w:p w:rsidR="009F104D" w:rsidRPr="008D2708"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rFonts w:eastAsia="Calibri"/>
                <w:szCs w:val="24"/>
              </w:rPr>
            </w:pPr>
            <w:r w:rsidRPr="008D2708">
              <w:rPr>
                <w:rFonts w:eastAsia="TimesNewRoman"/>
                <w:szCs w:val="24"/>
                <w:lang w:eastAsia="en-AU"/>
              </w:rPr>
              <w:t>42%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N=104</w:t>
            </w:r>
          </w:p>
          <w:p w:rsidR="009F104D" w:rsidRPr="008D2708"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szCs w:val="24"/>
              </w:rPr>
            </w:pPr>
            <w:r w:rsidRPr="008D2708">
              <w:rPr>
                <w:rFonts w:eastAsia="TimesNewRoman"/>
                <w:szCs w:val="24"/>
                <w:lang w:eastAsia="en-AU"/>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8D2708" w:rsidRDefault="009F104D" w:rsidP="000367FA">
            <w:pPr>
              <w:spacing w:after="0"/>
              <w:jc w:val="center"/>
              <w:rPr>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8D2708" w:rsidRDefault="009F104D" w:rsidP="000367FA">
            <w:pPr>
              <w:spacing w:after="0"/>
              <w:jc w:val="center"/>
              <w:rPr>
                <w:szCs w:val="24"/>
              </w:rPr>
            </w:pPr>
          </w:p>
        </w:tc>
      </w:tr>
      <w:tr w:rsidR="009F104D" w:rsidRPr="008D2708" w:rsidTr="000367FA">
        <w:tc>
          <w:tcPr>
            <w:tcW w:w="0" w:type="auto"/>
            <w:gridSpan w:val="6"/>
            <w:tcBorders>
              <w:top w:val="single" w:sz="4" w:space="0" w:color="auto"/>
              <w:left w:val="single" w:sz="4" w:space="0" w:color="auto"/>
              <w:bottom w:val="single" w:sz="4" w:space="0" w:color="auto"/>
              <w:right w:val="single" w:sz="4" w:space="0" w:color="auto"/>
            </w:tcBorders>
            <w:shd w:val="clear" w:color="auto" w:fill="auto"/>
          </w:tcPr>
          <w:p w:rsidR="009F104D" w:rsidRPr="008D2708" w:rsidRDefault="009F104D" w:rsidP="000367FA">
            <w:pPr>
              <w:spacing w:after="0"/>
              <w:jc w:val="left"/>
              <w:rPr>
                <w:b/>
              </w:rPr>
            </w:pPr>
            <w:r w:rsidRPr="008D2708">
              <w:rPr>
                <w:rFonts w:eastAsia="Calibri"/>
                <w:b/>
              </w:rPr>
              <w:t>Improvement of endoscopic appearance of the mucosa at Week 52</w:t>
            </w:r>
            <w:r>
              <w:rPr>
                <w:rFonts w:eastAsia="Calibri"/>
                <w:b/>
                <w:vertAlign w:val="superscript"/>
              </w:rPr>
              <w:t>d</w:t>
            </w:r>
          </w:p>
        </w:tc>
      </w:tr>
      <w:tr w:rsidR="009F104D" w:rsidRPr="00B4580B" w:rsidTr="000367FA">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B4580B" w:rsidRDefault="009F104D" w:rsidP="000367FA">
            <w:pPr>
              <w:autoSpaceDE w:val="0"/>
              <w:autoSpaceDN w:val="0"/>
              <w:adjustRightInd w:val="0"/>
              <w:spacing w:after="0"/>
              <w:rPr>
                <w:rFonts w:eastAsia="Calibri"/>
              </w:rPr>
            </w:pPr>
            <w:r>
              <w:rPr>
                <w:rFonts w:eastAsia="Calibri"/>
              </w:rPr>
              <w:t>Total Population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N=198</w:t>
            </w:r>
          </w:p>
          <w:p w:rsidR="009F104D" w:rsidRPr="008D2708"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szCs w:val="24"/>
              </w:rPr>
            </w:pPr>
            <w:r w:rsidRPr="008D2708">
              <w:rPr>
                <w:rFonts w:eastAsia="TimesNewRoman"/>
                <w:szCs w:val="24"/>
                <w:lang w:eastAsia="en-AU"/>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N=198</w:t>
            </w:r>
          </w:p>
          <w:p w:rsidR="009F104D"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szCs w:val="24"/>
              </w:rPr>
            </w:pPr>
            <w:r w:rsidRPr="008D2708">
              <w:rPr>
                <w:rFonts w:eastAsia="TimesNewRoman"/>
                <w:szCs w:val="24"/>
                <w:lang w:eastAsia="en-AU"/>
              </w:rPr>
              <w:t>37%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N=197</w:t>
            </w:r>
          </w:p>
          <w:p w:rsidR="009F104D" w:rsidRPr="008D2708"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szCs w:val="24"/>
              </w:rPr>
            </w:pPr>
            <w:r w:rsidRPr="008D2708">
              <w:rPr>
                <w:rFonts w:eastAsia="TimesNewRoman"/>
                <w:szCs w:val="24"/>
                <w:lang w:eastAsia="en-AU"/>
              </w:rPr>
              <w:t>46%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8D2708"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24%*</w:t>
            </w:r>
          </w:p>
          <w:p w:rsidR="009F104D" w:rsidRPr="008D2708" w:rsidRDefault="009F104D" w:rsidP="000367FA">
            <w:pPr>
              <w:spacing w:after="0"/>
              <w:jc w:val="center"/>
              <w:rPr>
                <w:szCs w:val="24"/>
              </w:rPr>
            </w:pPr>
            <w:r w:rsidRPr="008D2708">
              <w:rPr>
                <w:rFonts w:eastAsia="TimesNewRoman"/>
                <w:szCs w:val="24"/>
                <w:lang w:eastAsia="en-AU"/>
              </w:rPr>
              <w:t>(16.0, 32.5)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8D2708"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33%*</w:t>
            </w:r>
          </w:p>
          <w:p w:rsidR="009F104D" w:rsidRPr="008D2708" w:rsidRDefault="009F104D" w:rsidP="000367FA">
            <w:pPr>
              <w:spacing w:after="0"/>
              <w:jc w:val="center"/>
              <w:rPr>
                <w:szCs w:val="24"/>
              </w:rPr>
            </w:pPr>
            <w:r w:rsidRPr="008D2708">
              <w:rPr>
                <w:rFonts w:eastAsia="TimesNewRoman"/>
                <w:szCs w:val="24"/>
                <w:lang w:eastAsia="en-AU"/>
              </w:rPr>
              <w:t>(24.2, 41.0)</w:t>
            </w:r>
          </w:p>
        </w:tc>
      </w:tr>
      <w:tr w:rsidR="009F104D" w:rsidRPr="00B4580B" w:rsidTr="000367FA">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B4580B" w:rsidRDefault="009F104D" w:rsidP="000367FA">
            <w:pPr>
              <w:autoSpaceDE w:val="0"/>
              <w:autoSpaceDN w:val="0"/>
              <w:adjustRightInd w:val="0"/>
              <w:spacing w:after="0"/>
              <w:ind w:left="270"/>
              <w:jc w:val="left"/>
              <w:rPr>
                <w:rFonts w:eastAsia="Calibri"/>
              </w:rPr>
            </w:pPr>
            <w:r w:rsidRPr="00B4580B">
              <w:rPr>
                <w:rFonts w:eastAsia="Calibri"/>
              </w:rPr>
              <w:t xml:space="preserve">With Prior TNF </w:t>
            </w:r>
            <w:r w:rsidR="00B93931">
              <w:rPr>
                <w:rFonts w:eastAsia="Calibri"/>
              </w:rPr>
              <w:t>Inhibitor</w:t>
            </w:r>
            <w:r w:rsidRPr="00B4580B">
              <w:rPr>
                <w:rFonts w:eastAsia="Calibri"/>
              </w:rPr>
              <w:t xml:space="preserve"> </w:t>
            </w:r>
            <w:proofErr w:type="spellStart"/>
            <w:r w:rsidRPr="00B4580B">
              <w:rPr>
                <w:rFonts w:eastAsia="Calibri"/>
              </w:rPr>
              <w:t>Failure</w:t>
            </w:r>
            <w:r w:rsidRPr="00A86753">
              <w:rPr>
                <w:rFonts w:eastAsia="Calibri"/>
                <w:vertAlign w:val="superscript"/>
              </w:rPr>
              <w:t>b</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N=89</w:t>
            </w:r>
          </w:p>
          <w:p w:rsidR="009F104D" w:rsidRPr="008D2708"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rFonts w:eastAsia="Calibri"/>
                <w:szCs w:val="24"/>
              </w:rPr>
            </w:pPr>
            <w:r w:rsidRPr="008D2708">
              <w:rPr>
                <w:rFonts w:eastAsia="TimesNewRoman"/>
                <w:szCs w:val="24"/>
                <w:lang w:eastAsia="en-AU"/>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N=83</w:t>
            </w:r>
          </w:p>
          <w:p w:rsidR="009F104D" w:rsidRPr="008D2708"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rFonts w:eastAsia="Calibri"/>
                <w:szCs w:val="24"/>
              </w:rPr>
            </w:pPr>
            <w:r w:rsidRPr="008D2708">
              <w:rPr>
                <w:rFonts w:eastAsia="TimesNewRoman"/>
                <w:szCs w:val="24"/>
                <w:lang w:eastAsia="en-AU"/>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N=93</w:t>
            </w:r>
          </w:p>
          <w:p w:rsidR="009F104D" w:rsidRPr="008D2708"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rFonts w:eastAsia="Calibri"/>
                <w:szCs w:val="24"/>
              </w:rPr>
            </w:pPr>
            <w:r w:rsidRPr="008D2708">
              <w:rPr>
                <w:rFonts w:eastAsia="TimesNewRoman"/>
                <w:szCs w:val="24"/>
                <w:lang w:eastAsia="en-AU"/>
              </w:rPr>
              <w:t>40%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8D2708" w:rsidRDefault="009F104D" w:rsidP="000367FA">
            <w:pPr>
              <w:spacing w:after="0"/>
              <w:jc w:val="center"/>
              <w:rPr>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8D2708" w:rsidRDefault="009F104D" w:rsidP="000367FA">
            <w:pPr>
              <w:spacing w:after="0"/>
              <w:jc w:val="center"/>
              <w:rPr>
                <w:szCs w:val="24"/>
              </w:rPr>
            </w:pPr>
          </w:p>
        </w:tc>
      </w:tr>
      <w:tr w:rsidR="009F104D" w:rsidRPr="00B4580B" w:rsidTr="000367FA">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B4580B" w:rsidRDefault="009F104D" w:rsidP="000367FA">
            <w:pPr>
              <w:autoSpaceDE w:val="0"/>
              <w:autoSpaceDN w:val="0"/>
              <w:adjustRightInd w:val="0"/>
              <w:spacing w:after="0"/>
              <w:ind w:left="270"/>
              <w:jc w:val="left"/>
              <w:rPr>
                <w:rFonts w:eastAsia="Calibri"/>
              </w:rPr>
            </w:pPr>
            <w:r w:rsidRPr="00B4580B">
              <w:rPr>
                <w:rFonts w:eastAsia="Calibri"/>
              </w:rPr>
              <w:t xml:space="preserve">Without Prior TNF </w:t>
            </w:r>
            <w:r w:rsidR="00B93931">
              <w:rPr>
                <w:rFonts w:eastAsia="Calibri"/>
              </w:rPr>
              <w:t>Inhibitor</w:t>
            </w:r>
            <w:r w:rsidRPr="00B4580B">
              <w:rPr>
                <w:rFonts w:eastAsia="Calibri"/>
              </w:rPr>
              <w:t xml:space="preserve"> </w:t>
            </w:r>
            <w:proofErr w:type="spellStart"/>
            <w:r w:rsidRPr="00B4580B">
              <w:rPr>
                <w:rFonts w:eastAsia="Calibri"/>
              </w:rPr>
              <w:t>Failure</w:t>
            </w:r>
            <w:r>
              <w:rPr>
                <w:rFonts w:eastAsia="Calibri"/>
                <w:vertAlign w:val="superscript"/>
              </w:rPr>
              <w:t>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N=109</w:t>
            </w:r>
          </w:p>
          <w:p w:rsidR="009F104D"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rFonts w:eastAsia="Calibri"/>
                <w:szCs w:val="24"/>
              </w:rPr>
            </w:pPr>
            <w:r w:rsidRPr="008D2708">
              <w:rPr>
                <w:rFonts w:eastAsia="TimesNewRoman"/>
                <w:szCs w:val="24"/>
                <w:lang w:eastAsia="en-AU"/>
              </w:rPr>
              <w:t>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N=115</w:t>
            </w:r>
          </w:p>
          <w:p w:rsidR="009F104D"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rFonts w:eastAsia="Calibri"/>
                <w:szCs w:val="24"/>
              </w:rPr>
            </w:pPr>
            <w:r w:rsidRPr="008D2708">
              <w:rPr>
                <w:rFonts w:eastAsia="TimesNewRoman"/>
                <w:szCs w:val="24"/>
                <w:lang w:eastAsia="en-AU"/>
              </w:rPr>
              <w:t>43%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8D2708">
              <w:rPr>
                <w:rFonts w:eastAsia="TimesNewRoman"/>
                <w:szCs w:val="24"/>
                <w:lang w:eastAsia="en-AU"/>
              </w:rPr>
              <w:t>N=104</w:t>
            </w:r>
          </w:p>
          <w:p w:rsidR="009F104D" w:rsidRPr="008D2708" w:rsidRDefault="009F104D" w:rsidP="000367FA">
            <w:pPr>
              <w:autoSpaceDE w:val="0"/>
              <w:autoSpaceDN w:val="0"/>
              <w:adjustRightInd w:val="0"/>
              <w:spacing w:after="0"/>
              <w:jc w:val="center"/>
              <w:rPr>
                <w:rFonts w:eastAsia="TimesNewRoman"/>
                <w:szCs w:val="24"/>
                <w:lang w:eastAsia="en-AU"/>
              </w:rPr>
            </w:pPr>
          </w:p>
          <w:p w:rsidR="009F104D" w:rsidRPr="008D2708" w:rsidRDefault="009F104D" w:rsidP="000367FA">
            <w:pPr>
              <w:autoSpaceDE w:val="0"/>
              <w:autoSpaceDN w:val="0"/>
              <w:adjustRightInd w:val="0"/>
              <w:spacing w:after="0"/>
              <w:jc w:val="center"/>
              <w:rPr>
                <w:rFonts w:eastAsia="Calibri"/>
                <w:szCs w:val="24"/>
              </w:rPr>
            </w:pPr>
            <w:r w:rsidRPr="008D2708">
              <w:rPr>
                <w:rFonts w:eastAsia="TimesNewRoman"/>
                <w:szCs w:val="24"/>
                <w:lang w:eastAsia="en-AU"/>
              </w:rPr>
              <w:t>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8D2708" w:rsidRDefault="009F104D" w:rsidP="000367FA">
            <w:pPr>
              <w:spacing w:after="0"/>
              <w:jc w:val="center"/>
              <w:rPr>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8D2708" w:rsidRDefault="009F104D" w:rsidP="000367FA">
            <w:pPr>
              <w:spacing w:after="0"/>
              <w:jc w:val="center"/>
              <w:rPr>
                <w:szCs w:val="24"/>
              </w:rPr>
            </w:pPr>
          </w:p>
        </w:tc>
      </w:tr>
      <w:tr w:rsidR="009F104D" w:rsidRPr="00B4580B" w:rsidTr="000367FA">
        <w:tc>
          <w:tcPr>
            <w:tcW w:w="0" w:type="auto"/>
            <w:gridSpan w:val="6"/>
            <w:tcBorders>
              <w:top w:val="single" w:sz="4" w:space="0" w:color="auto"/>
              <w:left w:val="single" w:sz="4" w:space="0" w:color="auto"/>
              <w:bottom w:val="single" w:sz="4" w:space="0" w:color="auto"/>
              <w:right w:val="single" w:sz="4" w:space="0" w:color="auto"/>
            </w:tcBorders>
            <w:shd w:val="clear" w:color="auto" w:fill="auto"/>
          </w:tcPr>
          <w:p w:rsidR="009F104D" w:rsidRPr="006F1A1E" w:rsidRDefault="009F104D" w:rsidP="000367FA">
            <w:pPr>
              <w:spacing w:after="0"/>
              <w:jc w:val="left"/>
              <w:rPr>
                <w:b/>
              </w:rPr>
            </w:pPr>
            <w:r w:rsidRPr="006F1A1E">
              <w:rPr>
                <w:rFonts w:eastAsia="Calibri"/>
                <w:b/>
              </w:rPr>
              <w:t xml:space="preserve">Sustained corticosteroid-free remission at both Week 24 and Week 52 among patients in remission at </w:t>
            </w:r>
            <w:proofErr w:type="spellStart"/>
            <w:r w:rsidRPr="006F1A1E">
              <w:rPr>
                <w:rFonts w:eastAsia="Calibri"/>
                <w:b/>
              </w:rPr>
              <w:t>baseline</w:t>
            </w:r>
            <w:r>
              <w:rPr>
                <w:rFonts w:eastAsia="Calibri"/>
                <w:b/>
                <w:vertAlign w:val="superscript"/>
              </w:rPr>
              <w:t>e</w:t>
            </w:r>
            <w:proofErr w:type="spellEnd"/>
          </w:p>
        </w:tc>
      </w:tr>
      <w:tr w:rsidR="009F104D" w:rsidRPr="00B4580B" w:rsidTr="000367FA">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B4580B" w:rsidRDefault="009F104D" w:rsidP="000367FA">
            <w:pPr>
              <w:autoSpaceDE w:val="0"/>
              <w:autoSpaceDN w:val="0"/>
              <w:adjustRightInd w:val="0"/>
              <w:spacing w:after="0"/>
              <w:rPr>
                <w:rFonts w:eastAsia="Calibri"/>
              </w:rPr>
            </w:pPr>
            <w:r>
              <w:rPr>
                <w:rFonts w:eastAsia="Calibri"/>
              </w:rPr>
              <w:t>Total Population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C33472">
              <w:rPr>
                <w:rFonts w:eastAsia="TimesNewRoman"/>
                <w:szCs w:val="24"/>
                <w:lang w:eastAsia="en-AU"/>
              </w:rPr>
              <w:t>N=59</w:t>
            </w:r>
          </w:p>
          <w:p w:rsidR="009F104D" w:rsidRDefault="009F104D" w:rsidP="000367FA">
            <w:pPr>
              <w:autoSpaceDE w:val="0"/>
              <w:autoSpaceDN w:val="0"/>
              <w:adjustRightInd w:val="0"/>
              <w:spacing w:after="0"/>
              <w:jc w:val="center"/>
              <w:rPr>
                <w:rFonts w:eastAsia="TimesNewRoman"/>
                <w:szCs w:val="24"/>
                <w:lang w:eastAsia="en-AU"/>
              </w:rPr>
            </w:pPr>
          </w:p>
          <w:p w:rsidR="009F104D" w:rsidRPr="00C33472" w:rsidRDefault="009F104D" w:rsidP="000367FA">
            <w:pPr>
              <w:autoSpaceDE w:val="0"/>
              <w:autoSpaceDN w:val="0"/>
              <w:adjustRightInd w:val="0"/>
              <w:spacing w:after="0"/>
              <w:jc w:val="center"/>
              <w:rPr>
                <w:szCs w:val="24"/>
              </w:rPr>
            </w:pPr>
            <w:r w:rsidRPr="00C33472">
              <w:rPr>
                <w:rFonts w:eastAsia="TimesNewRoman"/>
                <w:szCs w:val="24"/>
                <w:lang w:eastAsia="en-A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C33472">
              <w:rPr>
                <w:rFonts w:eastAsia="TimesNewRoman"/>
                <w:szCs w:val="24"/>
                <w:lang w:eastAsia="en-AU"/>
              </w:rPr>
              <w:t>N=65</w:t>
            </w:r>
          </w:p>
          <w:p w:rsidR="009F104D" w:rsidRPr="00C33472" w:rsidRDefault="009F104D" w:rsidP="000367FA">
            <w:pPr>
              <w:autoSpaceDE w:val="0"/>
              <w:autoSpaceDN w:val="0"/>
              <w:adjustRightInd w:val="0"/>
              <w:spacing w:after="0"/>
              <w:jc w:val="center"/>
              <w:rPr>
                <w:rFonts w:eastAsia="TimesNewRoman"/>
                <w:szCs w:val="24"/>
                <w:lang w:eastAsia="en-AU"/>
              </w:rPr>
            </w:pPr>
          </w:p>
          <w:p w:rsidR="009F104D" w:rsidRPr="00C33472" w:rsidRDefault="009F104D" w:rsidP="000367FA">
            <w:pPr>
              <w:autoSpaceDE w:val="0"/>
              <w:autoSpaceDN w:val="0"/>
              <w:adjustRightInd w:val="0"/>
              <w:spacing w:after="0"/>
              <w:jc w:val="center"/>
              <w:rPr>
                <w:szCs w:val="24"/>
              </w:rPr>
            </w:pPr>
            <w:r w:rsidRPr="00C33472">
              <w:rPr>
                <w:rFonts w:eastAsia="TimesNewRoman"/>
                <w:szCs w:val="24"/>
                <w:lang w:eastAsia="en-AU"/>
              </w:rPr>
              <w:t>35%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C33472">
              <w:rPr>
                <w:rFonts w:eastAsia="TimesNewRoman"/>
                <w:szCs w:val="24"/>
                <w:lang w:eastAsia="en-AU"/>
              </w:rPr>
              <w:t>N=55</w:t>
            </w:r>
          </w:p>
          <w:p w:rsidR="009F104D" w:rsidRPr="00C33472" w:rsidRDefault="009F104D" w:rsidP="000367FA">
            <w:pPr>
              <w:autoSpaceDE w:val="0"/>
              <w:autoSpaceDN w:val="0"/>
              <w:adjustRightInd w:val="0"/>
              <w:spacing w:after="0"/>
              <w:jc w:val="center"/>
              <w:rPr>
                <w:rFonts w:eastAsia="TimesNewRoman"/>
                <w:szCs w:val="24"/>
                <w:lang w:eastAsia="en-AU"/>
              </w:rPr>
            </w:pPr>
          </w:p>
          <w:p w:rsidR="009F104D" w:rsidRPr="00C33472" w:rsidRDefault="009F104D" w:rsidP="000367FA">
            <w:pPr>
              <w:autoSpaceDE w:val="0"/>
              <w:autoSpaceDN w:val="0"/>
              <w:adjustRightInd w:val="0"/>
              <w:spacing w:after="0"/>
              <w:jc w:val="center"/>
              <w:rPr>
                <w:szCs w:val="24"/>
              </w:rPr>
            </w:pPr>
            <w:r w:rsidRPr="00C33472">
              <w:rPr>
                <w:rFonts w:eastAsia="TimesNewRoman"/>
                <w:szCs w:val="24"/>
                <w:lang w:eastAsia="en-AU"/>
              </w:rPr>
              <w:t>47%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C33472" w:rsidRDefault="009F104D" w:rsidP="000367FA">
            <w:pPr>
              <w:autoSpaceDE w:val="0"/>
              <w:autoSpaceDN w:val="0"/>
              <w:adjustRightInd w:val="0"/>
              <w:spacing w:after="0"/>
              <w:jc w:val="center"/>
              <w:rPr>
                <w:rFonts w:eastAsia="TimesNewRoman"/>
                <w:szCs w:val="24"/>
                <w:lang w:eastAsia="en-AU"/>
              </w:rPr>
            </w:pPr>
            <w:r w:rsidRPr="00C33472">
              <w:rPr>
                <w:rFonts w:eastAsia="TimesNewRoman"/>
                <w:szCs w:val="24"/>
                <w:lang w:eastAsia="en-AU"/>
              </w:rPr>
              <w:t>30%*</w:t>
            </w:r>
          </w:p>
          <w:p w:rsidR="009F104D" w:rsidRPr="00C33472" w:rsidRDefault="009F104D" w:rsidP="000367FA">
            <w:pPr>
              <w:spacing w:after="0"/>
              <w:jc w:val="center"/>
              <w:rPr>
                <w:szCs w:val="24"/>
              </w:rPr>
            </w:pPr>
            <w:r w:rsidRPr="00C33472">
              <w:rPr>
                <w:rFonts w:eastAsia="TimesNewRoman"/>
                <w:szCs w:val="24"/>
                <w:lang w:eastAsia="en-AU"/>
              </w:rPr>
              <w:t>(17.4, 43.2)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C33472" w:rsidRDefault="009F104D" w:rsidP="000367FA">
            <w:pPr>
              <w:autoSpaceDE w:val="0"/>
              <w:autoSpaceDN w:val="0"/>
              <w:adjustRightInd w:val="0"/>
              <w:spacing w:after="0"/>
              <w:jc w:val="center"/>
              <w:rPr>
                <w:rFonts w:eastAsia="TimesNewRoman"/>
                <w:szCs w:val="24"/>
                <w:lang w:eastAsia="en-AU"/>
              </w:rPr>
            </w:pPr>
            <w:r w:rsidRPr="00C33472">
              <w:rPr>
                <w:rFonts w:eastAsia="TimesNewRoman"/>
                <w:szCs w:val="24"/>
                <w:lang w:eastAsia="en-AU"/>
              </w:rPr>
              <w:t>42%*</w:t>
            </w:r>
          </w:p>
          <w:p w:rsidR="009F104D" w:rsidRPr="00C33472" w:rsidRDefault="009F104D" w:rsidP="000367FA">
            <w:pPr>
              <w:spacing w:after="0"/>
              <w:jc w:val="center"/>
              <w:rPr>
                <w:szCs w:val="24"/>
              </w:rPr>
            </w:pPr>
            <w:r w:rsidRPr="00C33472">
              <w:rPr>
                <w:rFonts w:eastAsia="TimesNewRoman"/>
                <w:szCs w:val="24"/>
                <w:lang w:eastAsia="en-AU"/>
              </w:rPr>
              <w:t>(27.9, 56.5)</w:t>
            </w:r>
          </w:p>
        </w:tc>
      </w:tr>
      <w:tr w:rsidR="009F104D" w:rsidRPr="00B4580B" w:rsidTr="000367FA">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B4580B" w:rsidRDefault="009F104D" w:rsidP="000367FA">
            <w:pPr>
              <w:autoSpaceDE w:val="0"/>
              <w:autoSpaceDN w:val="0"/>
              <w:adjustRightInd w:val="0"/>
              <w:spacing w:after="0"/>
              <w:ind w:left="270"/>
              <w:jc w:val="left"/>
              <w:rPr>
                <w:rFonts w:eastAsia="Calibri"/>
              </w:rPr>
            </w:pPr>
            <w:r w:rsidRPr="00B4580B">
              <w:rPr>
                <w:rFonts w:eastAsia="Calibri"/>
              </w:rPr>
              <w:t xml:space="preserve">With Prior TNF </w:t>
            </w:r>
            <w:r w:rsidR="00B93931">
              <w:rPr>
                <w:rFonts w:eastAsia="Calibri"/>
              </w:rPr>
              <w:t>Inhibitor</w:t>
            </w:r>
            <w:r w:rsidRPr="00B4580B">
              <w:rPr>
                <w:rFonts w:eastAsia="Calibri"/>
              </w:rPr>
              <w:t xml:space="preserve"> </w:t>
            </w:r>
            <w:proofErr w:type="spellStart"/>
            <w:r w:rsidRPr="00B4580B">
              <w:rPr>
                <w:rFonts w:eastAsia="Calibri"/>
              </w:rPr>
              <w:t>Failure</w:t>
            </w:r>
            <w:r w:rsidRPr="00A86753">
              <w:rPr>
                <w:rFonts w:eastAsia="Calibri"/>
                <w:vertAlign w:val="superscript"/>
              </w:rPr>
              <w:t>b</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C33472">
              <w:rPr>
                <w:rFonts w:eastAsia="TimesNewRoman"/>
                <w:szCs w:val="24"/>
                <w:lang w:eastAsia="en-AU"/>
              </w:rPr>
              <w:t>N=21</w:t>
            </w:r>
          </w:p>
          <w:p w:rsidR="009F104D" w:rsidRPr="00C33472" w:rsidRDefault="009F104D" w:rsidP="000367FA">
            <w:pPr>
              <w:autoSpaceDE w:val="0"/>
              <w:autoSpaceDN w:val="0"/>
              <w:adjustRightInd w:val="0"/>
              <w:spacing w:after="0"/>
              <w:jc w:val="center"/>
              <w:rPr>
                <w:rFonts w:eastAsia="TimesNewRoman"/>
                <w:szCs w:val="24"/>
                <w:lang w:eastAsia="en-AU"/>
              </w:rPr>
            </w:pPr>
          </w:p>
          <w:p w:rsidR="009F104D" w:rsidRPr="00C33472" w:rsidRDefault="009F104D" w:rsidP="000367FA">
            <w:pPr>
              <w:autoSpaceDE w:val="0"/>
              <w:autoSpaceDN w:val="0"/>
              <w:adjustRightInd w:val="0"/>
              <w:spacing w:after="0"/>
              <w:jc w:val="center"/>
              <w:rPr>
                <w:rFonts w:eastAsia="Calibri"/>
                <w:szCs w:val="24"/>
              </w:rPr>
            </w:pPr>
            <w:r w:rsidRPr="00C33472">
              <w:rPr>
                <w:rFonts w:eastAsia="TimesNewRoman"/>
                <w:szCs w:val="24"/>
                <w:lang w:eastAsia="en-A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C33472">
              <w:rPr>
                <w:rFonts w:eastAsia="TimesNewRoman"/>
                <w:szCs w:val="24"/>
                <w:lang w:eastAsia="en-AU"/>
              </w:rPr>
              <w:t>N=18</w:t>
            </w:r>
          </w:p>
          <w:p w:rsidR="009F104D" w:rsidRPr="00C33472" w:rsidRDefault="009F104D" w:rsidP="000367FA">
            <w:pPr>
              <w:autoSpaceDE w:val="0"/>
              <w:autoSpaceDN w:val="0"/>
              <w:adjustRightInd w:val="0"/>
              <w:spacing w:after="0"/>
              <w:jc w:val="center"/>
              <w:rPr>
                <w:rFonts w:eastAsia="TimesNewRoman"/>
                <w:szCs w:val="24"/>
                <w:lang w:eastAsia="en-AU"/>
              </w:rPr>
            </w:pPr>
          </w:p>
          <w:p w:rsidR="009F104D" w:rsidRPr="00C33472" w:rsidRDefault="009F104D" w:rsidP="000367FA">
            <w:pPr>
              <w:autoSpaceDE w:val="0"/>
              <w:autoSpaceDN w:val="0"/>
              <w:adjustRightInd w:val="0"/>
              <w:spacing w:after="0"/>
              <w:jc w:val="center"/>
              <w:rPr>
                <w:rFonts w:eastAsia="Calibri"/>
                <w:szCs w:val="24"/>
              </w:rPr>
            </w:pPr>
            <w:r w:rsidRPr="00C33472">
              <w:rPr>
                <w:rFonts w:eastAsia="TimesNewRoman"/>
                <w:szCs w:val="24"/>
                <w:lang w:eastAsia="en-AU"/>
              </w:rPr>
              <w:t>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C33472">
              <w:rPr>
                <w:rFonts w:eastAsia="TimesNewRoman"/>
                <w:szCs w:val="24"/>
                <w:lang w:eastAsia="en-AU"/>
              </w:rPr>
              <w:t>N=18</w:t>
            </w:r>
          </w:p>
          <w:p w:rsidR="009F104D" w:rsidRPr="00C33472" w:rsidRDefault="009F104D" w:rsidP="000367FA">
            <w:pPr>
              <w:autoSpaceDE w:val="0"/>
              <w:autoSpaceDN w:val="0"/>
              <w:adjustRightInd w:val="0"/>
              <w:spacing w:after="0"/>
              <w:jc w:val="center"/>
              <w:rPr>
                <w:rFonts w:eastAsia="TimesNewRoman"/>
                <w:szCs w:val="24"/>
                <w:lang w:eastAsia="en-AU"/>
              </w:rPr>
            </w:pPr>
          </w:p>
          <w:p w:rsidR="009F104D" w:rsidRPr="00C33472" w:rsidRDefault="009F104D" w:rsidP="000367FA">
            <w:pPr>
              <w:autoSpaceDE w:val="0"/>
              <w:autoSpaceDN w:val="0"/>
              <w:adjustRightInd w:val="0"/>
              <w:spacing w:after="0"/>
              <w:jc w:val="center"/>
              <w:rPr>
                <w:rFonts w:eastAsia="Calibri"/>
                <w:szCs w:val="24"/>
              </w:rPr>
            </w:pPr>
            <w:r w:rsidRPr="00C33472">
              <w:rPr>
                <w:rFonts w:eastAsia="TimesNewRoman"/>
                <w:szCs w:val="24"/>
                <w:lang w:eastAsia="en-AU"/>
              </w:rPr>
              <w:t>39%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C33472" w:rsidRDefault="009F104D" w:rsidP="000367FA">
            <w:pPr>
              <w:spacing w:after="0"/>
              <w:jc w:val="center"/>
              <w:rPr>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C33472" w:rsidRDefault="009F104D" w:rsidP="000367FA">
            <w:pPr>
              <w:spacing w:after="0"/>
              <w:jc w:val="center"/>
              <w:rPr>
                <w:szCs w:val="24"/>
              </w:rPr>
            </w:pPr>
          </w:p>
        </w:tc>
      </w:tr>
      <w:tr w:rsidR="009F104D" w:rsidRPr="00B4580B" w:rsidTr="000367FA">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B4580B" w:rsidRDefault="009F104D" w:rsidP="000367FA">
            <w:pPr>
              <w:autoSpaceDE w:val="0"/>
              <w:autoSpaceDN w:val="0"/>
              <w:adjustRightInd w:val="0"/>
              <w:spacing w:after="0"/>
              <w:ind w:left="270"/>
              <w:jc w:val="left"/>
              <w:rPr>
                <w:rFonts w:eastAsia="Calibri"/>
              </w:rPr>
            </w:pPr>
            <w:r w:rsidRPr="00B4580B">
              <w:rPr>
                <w:rFonts w:eastAsia="Calibri"/>
              </w:rPr>
              <w:t xml:space="preserve">Without Prior TNF </w:t>
            </w:r>
            <w:r w:rsidR="00B93931">
              <w:rPr>
                <w:rFonts w:eastAsia="Calibri"/>
              </w:rPr>
              <w:t>Inhibitor</w:t>
            </w:r>
            <w:r w:rsidRPr="00B4580B">
              <w:rPr>
                <w:rFonts w:eastAsia="Calibri"/>
              </w:rPr>
              <w:t xml:space="preserve"> </w:t>
            </w:r>
            <w:proofErr w:type="spellStart"/>
            <w:r w:rsidRPr="00B4580B">
              <w:rPr>
                <w:rFonts w:eastAsia="Calibri"/>
              </w:rPr>
              <w:t>Failure</w:t>
            </w:r>
            <w:r>
              <w:rPr>
                <w:rFonts w:eastAsia="Calibri"/>
                <w:vertAlign w:val="superscript"/>
              </w:rPr>
              <w:t>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C33472">
              <w:rPr>
                <w:rFonts w:eastAsia="TimesNewRoman"/>
                <w:szCs w:val="24"/>
                <w:lang w:eastAsia="en-AU"/>
              </w:rPr>
              <w:t>N=38</w:t>
            </w:r>
          </w:p>
          <w:p w:rsidR="009F104D" w:rsidRPr="00C33472" w:rsidRDefault="009F104D" w:rsidP="000367FA">
            <w:pPr>
              <w:autoSpaceDE w:val="0"/>
              <w:autoSpaceDN w:val="0"/>
              <w:adjustRightInd w:val="0"/>
              <w:spacing w:after="0"/>
              <w:jc w:val="center"/>
              <w:rPr>
                <w:rFonts w:eastAsia="TimesNewRoman"/>
                <w:szCs w:val="24"/>
                <w:lang w:eastAsia="en-AU"/>
              </w:rPr>
            </w:pPr>
          </w:p>
          <w:p w:rsidR="009F104D" w:rsidRPr="00C33472" w:rsidRDefault="009F104D" w:rsidP="000367FA">
            <w:pPr>
              <w:autoSpaceDE w:val="0"/>
              <w:autoSpaceDN w:val="0"/>
              <w:adjustRightInd w:val="0"/>
              <w:spacing w:after="0"/>
              <w:jc w:val="center"/>
              <w:rPr>
                <w:rFonts w:eastAsia="Calibri"/>
                <w:szCs w:val="24"/>
              </w:rPr>
            </w:pPr>
            <w:r w:rsidRPr="00C33472">
              <w:rPr>
                <w:rFonts w:eastAsia="TimesNewRoman"/>
                <w:szCs w:val="24"/>
                <w:lang w:eastAsia="en-A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C33472">
              <w:rPr>
                <w:rFonts w:eastAsia="TimesNewRoman"/>
                <w:szCs w:val="24"/>
                <w:lang w:eastAsia="en-AU"/>
              </w:rPr>
              <w:t>N=47</w:t>
            </w:r>
          </w:p>
          <w:p w:rsidR="009F104D" w:rsidRPr="00C33472" w:rsidRDefault="009F104D" w:rsidP="000367FA">
            <w:pPr>
              <w:autoSpaceDE w:val="0"/>
              <w:autoSpaceDN w:val="0"/>
              <w:adjustRightInd w:val="0"/>
              <w:spacing w:after="0"/>
              <w:jc w:val="center"/>
              <w:rPr>
                <w:rFonts w:eastAsia="TimesNewRoman"/>
                <w:szCs w:val="24"/>
                <w:lang w:eastAsia="en-AU"/>
              </w:rPr>
            </w:pPr>
          </w:p>
          <w:p w:rsidR="009F104D" w:rsidRPr="00C33472" w:rsidRDefault="009F104D" w:rsidP="000367FA">
            <w:pPr>
              <w:autoSpaceDE w:val="0"/>
              <w:autoSpaceDN w:val="0"/>
              <w:adjustRightInd w:val="0"/>
              <w:spacing w:after="0"/>
              <w:jc w:val="center"/>
              <w:rPr>
                <w:rFonts w:eastAsia="Calibri"/>
                <w:szCs w:val="24"/>
              </w:rPr>
            </w:pPr>
            <w:r w:rsidRPr="00C33472">
              <w:rPr>
                <w:rFonts w:eastAsia="TimesNewRoman"/>
                <w:szCs w:val="24"/>
                <w:lang w:eastAsia="en-AU"/>
              </w:rPr>
              <w:t>40%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Default="009F104D" w:rsidP="000367FA">
            <w:pPr>
              <w:autoSpaceDE w:val="0"/>
              <w:autoSpaceDN w:val="0"/>
              <w:adjustRightInd w:val="0"/>
              <w:spacing w:after="0"/>
              <w:jc w:val="center"/>
              <w:rPr>
                <w:rFonts w:eastAsia="TimesNewRoman"/>
                <w:szCs w:val="24"/>
                <w:lang w:eastAsia="en-AU"/>
              </w:rPr>
            </w:pPr>
            <w:r w:rsidRPr="00C33472">
              <w:rPr>
                <w:rFonts w:eastAsia="TimesNewRoman"/>
                <w:szCs w:val="24"/>
                <w:lang w:eastAsia="en-AU"/>
              </w:rPr>
              <w:t>N=37</w:t>
            </w:r>
          </w:p>
          <w:p w:rsidR="009F104D" w:rsidRPr="00C33472" w:rsidRDefault="009F104D" w:rsidP="000367FA">
            <w:pPr>
              <w:autoSpaceDE w:val="0"/>
              <w:autoSpaceDN w:val="0"/>
              <w:adjustRightInd w:val="0"/>
              <w:spacing w:after="0"/>
              <w:jc w:val="center"/>
              <w:rPr>
                <w:rFonts w:eastAsia="TimesNewRoman"/>
                <w:szCs w:val="24"/>
                <w:lang w:eastAsia="en-AU"/>
              </w:rPr>
            </w:pPr>
          </w:p>
          <w:p w:rsidR="009F104D" w:rsidRPr="00C33472" w:rsidRDefault="009F104D" w:rsidP="000367FA">
            <w:pPr>
              <w:autoSpaceDE w:val="0"/>
              <w:autoSpaceDN w:val="0"/>
              <w:adjustRightInd w:val="0"/>
              <w:spacing w:after="0"/>
              <w:jc w:val="center"/>
              <w:rPr>
                <w:szCs w:val="24"/>
              </w:rPr>
            </w:pPr>
            <w:r w:rsidRPr="00C33472">
              <w:rPr>
                <w:rFonts w:eastAsia="TimesNewRoman"/>
                <w:szCs w:val="24"/>
                <w:lang w:eastAsia="en-AU"/>
              </w:rPr>
              <w:t>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C33472" w:rsidRDefault="009F104D" w:rsidP="000367FA">
            <w:pPr>
              <w:spacing w:after="0"/>
              <w:jc w:val="center"/>
              <w:rPr>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104D" w:rsidRPr="00C33472" w:rsidRDefault="009F104D" w:rsidP="000367FA">
            <w:pPr>
              <w:spacing w:after="0"/>
              <w:jc w:val="center"/>
              <w:rPr>
                <w:szCs w:val="24"/>
              </w:rPr>
            </w:pPr>
          </w:p>
        </w:tc>
      </w:tr>
      <w:tr w:rsidR="009F104D" w:rsidRPr="00B4580B" w:rsidTr="000367FA">
        <w:tc>
          <w:tcPr>
            <w:tcW w:w="0" w:type="auto"/>
            <w:gridSpan w:val="6"/>
            <w:tcBorders>
              <w:left w:val="nil"/>
              <w:bottom w:val="nil"/>
              <w:right w:val="nil"/>
            </w:tcBorders>
            <w:shd w:val="clear" w:color="auto" w:fill="auto"/>
          </w:tcPr>
          <w:p w:rsidR="009F104D" w:rsidRPr="00A86753" w:rsidRDefault="009F104D" w:rsidP="000367FA">
            <w:pPr>
              <w:autoSpaceDE w:val="0"/>
              <w:autoSpaceDN w:val="0"/>
              <w:adjustRightInd w:val="0"/>
              <w:spacing w:after="0"/>
              <w:jc w:val="left"/>
              <w:rPr>
                <w:rFonts w:eastAsia="TimesNewRoman"/>
                <w:sz w:val="20"/>
                <w:lang w:eastAsia="en-AU"/>
              </w:rPr>
            </w:pPr>
            <w:r w:rsidRPr="00A86753">
              <w:rPr>
                <w:rFonts w:eastAsia="TimesNewRoman"/>
                <w:sz w:val="20"/>
                <w:lang w:eastAsia="en-AU"/>
              </w:rPr>
              <w:t xml:space="preserve">* </w:t>
            </w:r>
            <w:proofErr w:type="gramStart"/>
            <w:r w:rsidRPr="00A86753">
              <w:rPr>
                <w:rFonts w:eastAsia="TimesNewRoman"/>
                <w:sz w:val="20"/>
                <w:lang w:eastAsia="en-AU"/>
              </w:rPr>
              <w:t>p-value</w:t>
            </w:r>
            <w:proofErr w:type="gramEnd"/>
            <w:r w:rsidRPr="00A86753">
              <w:rPr>
                <w:rFonts w:eastAsia="TimesNewRoman"/>
                <w:sz w:val="20"/>
                <w:lang w:eastAsia="en-AU"/>
              </w:rPr>
              <w:t xml:space="preserve"> &lt;0.0001.</w:t>
            </w:r>
          </w:p>
          <w:p w:rsidR="009F104D" w:rsidRPr="00A86753" w:rsidRDefault="009F104D" w:rsidP="000367FA">
            <w:pPr>
              <w:autoSpaceDE w:val="0"/>
              <w:autoSpaceDN w:val="0"/>
              <w:adjustRightInd w:val="0"/>
              <w:spacing w:after="0"/>
              <w:jc w:val="left"/>
              <w:rPr>
                <w:rFonts w:eastAsia="TimesNewRoman"/>
                <w:sz w:val="20"/>
                <w:lang w:eastAsia="en-AU"/>
              </w:rPr>
            </w:pPr>
            <w:r w:rsidRPr="00A86753">
              <w:rPr>
                <w:rFonts w:eastAsia="TimesNewRoman"/>
                <w:sz w:val="20"/>
                <w:lang w:eastAsia="en-AU"/>
              </w:rPr>
              <w:t>CI = Confidence interval; N = number of patients in the analysis set; TNF = tumo</w:t>
            </w:r>
            <w:r>
              <w:rPr>
                <w:rFonts w:eastAsia="TimesNewRoman"/>
                <w:sz w:val="20"/>
                <w:lang w:eastAsia="en-AU"/>
              </w:rPr>
              <w:t>u</w:t>
            </w:r>
            <w:r w:rsidRPr="00A86753">
              <w:rPr>
                <w:rFonts w:eastAsia="TimesNewRoman"/>
                <w:sz w:val="20"/>
                <w:lang w:eastAsia="en-AU"/>
              </w:rPr>
              <w:t>r necrosis factor.</w:t>
            </w:r>
          </w:p>
          <w:p w:rsidR="009F104D" w:rsidRPr="00B93931" w:rsidRDefault="009F104D" w:rsidP="000367FA">
            <w:pPr>
              <w:autoSpaceDE w:val="0"/>
              <w:autoSpaceDN w:val="0"/>
              <w:adjustRightInd w:val="0"/>
              <w:spacing w:after="0"/>
              <w:jc w:val="left"/>
              <w:rPr>
                <w:rFonts w:eastAsia="TimesNewRoman"/>
                <w:sz w:val="20"/>
                <w:lang w:eastAsia="en-AU"/>
              </w:rPr>
            </w:pPr>
            <w:proofErr w:type="gramStart"/>
            <w:r w:rsidRPr="00EA3AD7">
              <w:rPr>
                <w:rFonts w:eastAsia="TimesNewRoman"/>
                <w:sz w:val="20"/>
                <w:vertAlign w:val="superscript"/>
                <w:lang w:eastAsia="en-AU"/>
              </w:rPr>
              <w:t>a</w:t>
            </w:r>
            <w:proofErr w:type="gramEnd"/>
            <w:r w:rsidRPr="00EA3AD7">
              <w:rPr>
                <w:rFonts w:eastAsia="TimesNewRoman"/>
                <w:sz w:val="20"/>
                <w:vertAlign w:val="superscript"/>
                <w:lang w:eastAsia="en-AU"/>
              </w:rPr>
              <w:t xml:space="preserve"> </w:t>
            </w:r>
            <w:r w:rsidRPr="00A86753">
              <w:rPr>
                <w:rFonts w:eastAsia="TimesNewRoman"/>
                <w:sz w:val="20"/>
                <w:lang w:eastAsia="en-AU"/>
              </w:rPr>
              <w:t xml:space="preserve">Remission was defined as clinical remission (a Mayo score ≤2 with no individual </w:t>
            </w:r>
            <w:proofErr w:type="spellStart"/>
            <w:r w:rsidRPr="00A86753">
              <w:rPr>
                <w:rFonts w:eastAsia="TimesNewRoman"/>
                <w:sz w:val="20"/>
                <w:lang w:eastAsia="en-AU"/>
              </w:rPr>
              <w:t>subscore</w:t>
            </w:r>
            <w:proofErr w:type="spellEnd"/>
            <w:r w:rsidRPr="00A86753">
              <w:rPr>
                <w:rFonts w:eastAsia="TimesNewRoman"/>
                <w:sz w:val="20"/>
                <w:lang w:eastAsia="en-AU"/>
              </w:rPr>
              <w:t xml:space="preserve"> &gt;1) </w:t>
            </w:r>
            <w:r w:rsidRPr="00231F26">
              <w:rPr>
                <w:rFonts w:eastAsia="TimesNewRoman"/>
                <w:sz w:val="20"/>
                <w:u w:val="single"/>
                <w:lang w:eastAsia="en-AU"/>
              </w:rPr>
              <w:t>and</w:t>
            </w:r>
            <w:r w:rsidRPr="00A86753">
              <w:rPr>
                <w:rFonts w:eastAsia="TimesNewRoman"/>
                <w:sz w:val="20"/>
                <w:lang w:eastAsia="en-AU"/>
              </w:rPr>
              <w:t xml:space="preserve"> rectal</w:t>
            </w:r>
            <w:r>
              <w:rPr>
                <w:rFonts w:eastAsia="TimesNewRoman"/>
                <w:sz w:val="20"/>
                <w:lang w:eastAsia="en-AU"/>
              </w:rPr>
              <w:t xml:space="preserve"> </w:t>
            </w:r>
            <w:r w:rsidRPr="00A86753">
              <w:rPr>
                <w:rFonts w:eastAsia="TimesNewRoman"/>
                <w:sz w:val="20"/>
                <w:lang w:eastAsia="en-AU"/>
              </w:rPr>
              <w:t>bleeding</w:t>
            </w:r>
            <w:r>
              <w:rPr>
                <w:rFonts w:eastAsia="TimesNewRoman"/>
                <w:sz w:val="20"/>
                <w:lang w:eastAsia="en-AU"/>
              </w:rPr>
              <w:t xml:space="preserve"> </w:t>
            </w:r>
            <w:proofErr w:type="spellStart"/>
            <w:r w:rsidRPr="00B93931">
              <w:rPr>
                <w:rFonts w:eastAsia="TimesNewRoman"/>
                <w:sz w:val="20"/>
                <w:lang w:eastAsia="en-AU"/>
              </w:rPr>
              <w:t>subscore</w:t>
            </w:r>
            <w:proofErr w:type="spellEnd"/>
            <w:r w:rsidRPr="00B93931">
              <w:rPr>
                <w:rFonts w:eastAsia="TimesNewRoman"/>
                <w:sz w:val="20"/>
                <w:lang w:eastAsia="en-AU"/>
              </w:rPr>
              <w:t xml:space="preserve"> of 0.</w:t>
            </w:r>
          </w:p>
          <w:p w:rsidR="009F104D" w:rsidRPr="00B93931" w:rsidRDefault="009F104D" w:rsidP="000367FA">
            <w:pPr>
              <w:autoSpaceDE w:val="0"/>
              <w:autoSpaceDN w:val="0"/>
              <w:adjustRightInd w:val="0"/>
              <w:spacing w:after="0"/>
              <w:jc w:val="left"/>
              <w:rPr>
                <w:rFonts w:eastAsia="TimesNewRoman"/>
                <w:sz w:val="20"/>
                <w:lang w:eastAsia="en-AU"/>
              </w:rPr>
            </w:pPr>
            <w:proofErr w:type="gramStart"/>
            <w:r w:rsidRPr="00B93931">
              <w:rPr>
                <w:rFonts w:eastAsia="TimesNewRoman"/>
                <w:sz w:val="20"/>
                <w:vertAlign w:val="superscript"/>
                <w:lang w:eastAsia="en-AU"/>
              </w:rPr>
              <w:t>b</w:t>
            </w:r>
            <w:proofErr w:type="gramEnd"/>
            <w:r w:rsidRPr="00B93931">
              <w:rPr>
                <w:rFonts w:eastAsia="TimesNewRoman"/>
                <w:sz w:val="20"/>
                <w:vertAlign w:val="superscript"/>
                <w:lang w:eastAsia="en-AU"/>
              </w:rPr>
              <w:t xml:space="preserve"> </w:t>
            </w:r>
            <w:r w:rsidRPr="00B93931">
              <w:rPr>
                <w:rFonts w:eastAsia="TimesNewRoman"/>
                <w:sz w:val="20"/>
                <w:lang w:eastAsia="en-AU"/>
              </w:rPr>
              <w:t xml:space="preserve">Prior TNF </w:t>
            </w:r>
            <w:r w:rsidR="00B93931" w:rsidRPr="00B93931">
              <w:rPr>
                <w:rFonts w:eastAsia="Calibri"/>
                <w:sz w:val="20"/>
              </w:rPr>
              <w:t>inhibitor</w:t>
            </w:r>
            <w:r w:rsidRPr="00B93931">
              <w:rPr>
                <w:rFonts w:eastAsia="TimesNewRoman"/>
                <w:sz w:val="20"/>
                <w:lang w:eastAsia="en-AU"/>
              </w:rPr>
              <w:t xml:space="preserve"> failure was defined in this program as inadequate response, loss of response, or intolerance to </w:t>
            </w:r>
            <w:r w:rsidRPr="006B2B7E">
              <w:rPr>
                <w:rFonts w:eastAsia="TimesNewRoman"/>
                <w:sz w:val="20"/>
                <w:lang w:eastAsia="en-AU"/>
              </w:rPr>
              <w:t xml:space="preserve">TNF </w:t>
            </w:r>
            <w:r w:rsidR="00B93931" w:rsidRPr="00B93931">
              <w:rPr>
                <w:rFonts w:eastAsia="Calibri"/>
                <w:sz w:val="20"/>
              </w:rPr>
              <w:t>inhibitor</w:t>
            </w:r>
            <w:r w:rsidR="00B93931" w:rsidRPr="00B93931">
              <w:rPr>
                <w:rFonts w:eastAsia="TimesNewRoman"/>
                <w:sz w:val="20"/>
                <w:lang w:eastAsia="en-AU"/>
              </w:rPr>
              <w:t xml:space="preserve"> </w:t>
            </w:r>
            <w:r w:rsidRPr="00B93931">
              <w:rPr>
                <w:rFonts w:eastAsia="TimesNewRoman"/>
                <w:sz w:val="20"/>
                <w:lang w:eastAsia="en-AU"/>
              </w:rPr>
              <w:t>therapy.</w:t>
            </w:r>
          </w:p>
          <w:p w:rsidR="009F104D" w:rsidRPr="006B2B7E" w:rsidRDefault="009F104D" w:rsidP="000367FA">
            <w:pPr>
              <w:autoSpaceDE w:val="0"/>
              <w:autoSpaceDN w:val="0"/>
              <w:adjustRightInd w:val="0"/>
              <w:spacing w:after="0"/>
              <w:jc w:val="left"/>
              <w:rPr>
                <w:rFonts w:eastAsia="TimesNewRoman"/>
                <w:sz w:val="20"/>
                <w:lang w:eastAsia="en-AU"/>
              </w:rPr>
            </w:pPr>
            <w:r w:rsidRPr="006B2B7E">
              <w:rPr>
                <w:rFonts w:eastAsia="TimesNewRoman"/>
                <w:sz w:val="20"/>
                <w:vertAlign w:val="superscript"/>
                <w:lang w:eastAsia="en-AU"/>
              </w:rPr>
              <w:t xml:space="preserve">c </w:t>
            </w:r>
            <w:r w:rsidRPr="006B2B7E">
              <w:rPr>
                <w:rFonts w:eastAsia="TimesNewRoman"/>
                <w:sz w:val="20"/>
                <w:lang w:eastAsia="en-AU"/>
              </w:rPr>
              <w:t>Patients in this group had failed one or more conventional therapies (corticosteroid, azathioprine,</w:t>
            </w:r>
          </w:p>
          <w:p w:rsidR="009F104D" w:rsidRPr="00B93931" w:rsidRDefault="009F104D" w:rsidP="000367FA">
            <w:pPr>
              <w:autoSpaceDE w:val="0"/>
              <w:autoSpaceDN w:val="0"/>
              <w:adjustRightInd w:val="0"/>
              <w:spacing w:after="0"/>
              <w:jc w:val="left"/>
              <w:rPr>
                <w:rFonts w:eastAsia="TimesNewRoman"/>
                <w:sz w:val="20"/>
                <w:lang w:eastAsia="en-AU"/>
              </w:rPr>
            </w:pPr>
            <w:r w:rsidRPr="00CB7602">
              <w:rPr>
                <w:rFonts w:eastAsia="TimesNewRoman"/>
                <w:sz w:val="20"/>
                <w:lang w:eastAsia="en-AU"/>
              </w:rPr>
              <w:t xml:space="preserve">6-mercaptopurine) but did not have history of prior failure of TNF </w:t>
            </w:r>
            <w:r w:rsidR="00B93931" w:rsidRPr="00B93931">
              <w:rPr>
                <w:rFonts w:eastAsia="Calibri"/>
                <w:sz w:val="20"/>
              </w:rPr>
              <w:t>inhibitor</w:t>
            </w:r>
            <w:r w:rsidRPr="00B93931">
              <w:rPr>
                <w:rFonts w:eastAsia="TimesNewRoman"/>
                <w:sz w:val="20"/>
                <w:lang w:eastAsia="en-AU"/>
              </w:rPr>
              <w:t xml:space="preserve"> therapy.</w:t>
            </w:r>
          </w:p>
          <w:p w:rsidR="009F104D" w:rsidRPr="00A86753" w:rsidRDefault="009F104D" w:rsidP="000367FA">
            <w:pPr>
              <w:autoSpaceDE w:val="0"/>
              <w:autoSpaceDN w:val="0"/>
              <w:adjustRightInd w:val="0"/>
              <w:spacing w:after="0"/>
              <w:jc w:val="left"/>
              <w:rPr>
                <w:rFonts w:eastAsia="TimesNewRoman"/>
                <w:sz w:val="20"/>
                <w:lang w:eastAsia="en-AU"/>
              </w:rPr>
            </w:pPr>
            <w:proofErr w:type="gramStart"/>
            <w:r w:rsidRPr="006B2B7E">
              <w:rPr>
                <w:rFonts w:eastAsia="TimesNewRoman"/>
                <w:sz w:val="20"/>
                <w:vertAlign w:val="superscript"/>
                <w:lang w:eastAsia="en-AU"/>
              </w:rPr>
              <w:t>d</w:t>
            </w:r>
            <w:proofErr w:type="gramEnd"/>
            <w:r w:rsidRPr="006B2B7E">
              <w:rPr>
                <w:rFonts w:eastAsia="TimesNewRoman"/>
                <w:sz w:val="20"/>
                <w:vertAlign w:val="superscript"/>
                <w:lang w:eastAsia="en-AU"/>
              </w:rPr>
              <w:t xml:space="preserve"> </w:t>
            </w:r>
            <w:r w:rsidRPr="006B2B7E">
              <w:rPr>
                <w:rFonts w:eastAsia="TimesNewRoman"/>
                <w:sz w:val="20"/>
                <w:lang w:eastAsia="en-AU"/>
              </w:rPr>
              <w:t>Improvement of endoscopic appearance of the mucosa was defined as Mayo</w:t>
            </w:r>
            <w:r w:rsidRPr="00A86753">
              <w:rPr>
                <w:rFonts w:eastAsia="TimesNewRoman"/>
                <w:sz w:val="20"/>
                <w:lang w:eastAsia="en-AU"/>
              </w:rPr>
              <w:t xml:space="preserve"> endoscopy </w:t>
            </w:r>
            <w:proofErr w:type="spellStart"/>
            <w:r w:rsidRPr="00A86753">
              <w:rPr>
                <w:rFonts w:eastAsia="TimesNewRoman"/>
                <w:sz w:val="20"/>
                <w:lang w:eastAsia="en-AU"/>
              </w:rPr>
              <w:t>subscore</w:t>
            </w:r>
            <w:proofErr w:type="spellEnd"/>
            <w:r w:rsidRPr="00A86753">
              <w:rPr>
                <w:rFonts w:eastAsia="TimesNewRoman"/>
                <w:sz w:val="20"/>
                <w:lang w:eastAsia="en-AU"/>
              </w:rPr>
              <w:t xml:space="preserve"> of 0 (normal</w:t>
            </w:r>
            <w:r>
              <w:rPr>
                <w:rFonts w:eastAsia="TimesNewRoman"/>
                <w:sz w:val="20"/>
                <w:lang w:eastAsia="en-AU"/>
              </w:rPr>
              <w:t xml:space="preserve"> </w:t>
            </w:r>
            <w:r w:rsidRPr="00A86753">
              <w:rPr>
                <w:rFonts w:eastAsia="TimesNewRoman"/>
                <w:sz w:val="20"/>
                <w:lang w:eastAsia="en-AU"/>
              </w:rPr>
              <w:t>or</w:t>
            </w:r>
            <w:r>
              <w:rPr>
                <w:rFonts w:eastAsia="TimesNewRoman"/>
                <w:sz w:val="20"/>
                <w:lang w:eastAsia="en-AU"/>
              </w:rPr>
              <w:t xml:space="preserve"> </w:t>
            </w:r>
            <w:r w:rsidRPr="00A86753">
              <w:rPr>
                <w:rFonts w:eastAsia="TimesNewRoman"/>
                <w:sz w:val="20"/>
                <w:lang w:eastAsia="en-AU"/>
              </w:rPr>
              <w:t>inactive disease) or 1 (erythema, decreased vascular pattern).</w:t>
            </w:r>
          </w:p>
          <w:p w:rsidR="009F104D" w:rsidRDefault="009F104D" w:rsidP="000367FA">
            <w:pPr>
              <w:autoSpaceDE w:val="0"/>
              <w:autoSpaceDN w:val="0"/>
              <w:adjustRightInd w:val="0"/>
              <w:spacing w:after="0"/>
              <w:jc w:val="left"/>
              <w:rPr>
                <w:rFonts w:eastAsia="Calibri"/>
                <w:sz w:val="20"/>
              </w:rPr>
            </w:pPr>
            <w:proofErr w:type="gramStart"/>
            <w:r w:rsidRPr="00EA3AD7">
              <w:rPr>
                <w:rFonts w:eastAsia="TimesNewRoman"/>
                <w:sz w:val="20"/>
                <w:vertAlign w:val="superscript"/>
                <w:lang w:eastAsia="en-AU"/>
              </w:rPr>
              <w:t>e</w:t>
            </w:r>
            <w:proofErr w:type="gramEnd"/>
            <w:r w:rsidRPr="00EA3AD7">
              <w:rPr>
                <w:rFonts w:eastAsia="TimesNewRoman"/>
                <w:sz w:val="20"/>
                <w:vertAlign w:val="superscript"/>
                <w:lang w:eastAsia="en-AU"/>
              </w:rPr>
              <w:t xml:space="preserve"> </w:t>
            </w:r>
            <w:r w:rsidRPr="00A86753">
              <w:rPr>
                <w:rFonts w:eastAsia="TimesNewRoman"/>
                <w:sz w:val="20"/>
                <w:lang w:eastAsia="en-AU"/>
              </w:rPr>
              <w:t>Sustained corticosteroid-free remission was defined as being in remission and not taking corticosteroids for at</w:t>
            </w:r>
            <w:r>
              <w:rPr>
                <w:rFonts w:eastAsia="TimesNewRoman"/>
                <w:sz w:val="20"/>
                <w:lang w:eastAsia="en-AU"/>
              </w:rPr>
              <w:t xml:space="preserve"> </w:t>
            </w:r>
            <w:r w:rsidRPr="00A86753">
              <w:rPr>
                <w:rFonts w:eastAsia="TimesNewRoman"/>
                <w:sz w:val="20"/>
                <w:lang w:eastAsia="en-AU"/>
              </w:rPr>
              <w:t>least</w:t>
            </w:r>
            <w:r>
              <w:rPr>
                <w:rFonts w:eastAsia="TimesNewRoman"/>
                <w:sz w:val="20"/>
                <w:lang w:eastAsia="en-AU"/>
              </w:rPr>
              <w:t xml:space="preserve"> </w:t>
            </w:r>
            <w:r w:rsidRPr="00A86753">
              <w:rPr>
                <w:rFonts w:eastAsia="TimesNewRoman"/>
                <w:sz w:val="20"/>
                <w:lang w:eastAsia="en-AU"/>
              </w:rPr>
              <w:t>4 weeks prior to the visit at both Week 24 and Week 52.</w:t>
            </w:r>
            <w:r w:rsidRPr="00A86753">
              <w:rPr>
                <w:rFonts w:eastAsia="Calibri"/>
                <w:sz w:val="20"/>
              </w:rPr>
              <w:t xml:space="preserve"> </w:t>
            </w:r>
          </w:p>
          <w:p w:rsidR="009F104D" w:rsidRPr="00EA3AD7" w:rsidRDefault="009F104D" w:rsidP="000367FA">
            <w:pPr>
              <w:autoSpaceDE w:val="0"/>
              <w:autoSpaceDN w:val="0"/>
              <w:adjustRightInd w:val="0"/>
              <w:spacing w:after="0"/>
              <w:jc w:val="left"/>
              <w:rPr>
                <w:rFonts w:eastAsia="TimesNewRoman"/>
                <w:sz w:val="20"/>
                <w:lang w:eastAsia="en-AU"/>
              </w:rPr>
            </w:pPr>
          </w:p>
        </w:tc>
      </w:tr>
    </w:tbl>
    <w:p w:rsidR="009F104D" w:rsidRDefault="009F104D" w:rsidP="00ED620C">
      <w:pPr>
        <w:rPr>
          <w:rFonts w:eastAsia="Calibri"/>
          <w:szCs w:val="22"/>
        </w:rPr>
      </w:pPr>
    </w:p>
    <w:p w:rsidR="00ED620C" w:rsidRPr="00836256" w:rsidRDefault="00ED620C" w:rsidP="00ED620C">
      <w:pPr>
        <w:rPr>
          <w:rFonts w:eastAsia="Calibri"/>
          <w:szCs w:val="22"/>
        </w:rPr>
      </w:pPr>
      <w:r w:rsidRPr="000F665C">
        <w:rPr>
          <w:rFonts w:eastAsia="Calibri"/>
          <w:szCs w:val="22"/>
        </w:rPr>
        <w:t>The proportion of patients in both XELJANZ groups who had treatment failure was lower compared to placebo at each time point as early as Week 8, the first time point where treatment failure w</w:t>
      </w:r>
      <w:r>
        <w:rPr>
          <w:rFonts w:eastAsia="Calibri"/>
          <w:szCs w:val="22"/>
        </w:rPr>
        <w:t>as assessed</w:t>
      </w:r>
      <w:r w:rsidR="00CB7602">
        <w:rPr>
          <w:rFonts w:eastAsia="Calibri"/>
          <w:szCs w:val="22"/>
        </w:rPr>
        <w:t>.</w:t>
      </w:r>
      <w:r w:rsidR="00CB7602" w:rsidDel="00CB7602">
        <w:rPr>
          <w:rFonts w:eastAsia="Calibri"/>
          <w:szCs w:val="22"/>
        </w:rPr>
        <w:t xml:space="preserve"> </w:t>
      </w:r>
      <w:r w:rsidRPr="00836256">
        <w:rPr>
          <w:rFonts w:eastAsia="Calibri"/>
          <w:szCs w:val="22"/>
        </w:rPr>
        <w:t xml:space="preserve"> </w:t>
      </w:r>
    </w:p>
    <w:p w:rsidR="00ED620C" w:rsidRPr="00754A8C" w:rsidRDefault="00ED620C" w:rsidP="00734A61">
      <w:pPr>
        <w:pStyle w:val="PIHeading4"/>
        <w:keepNext w:val="0"/>
        <w:rPr>
          <w:rFonts w:eastAsia="Calibri"/>
        </w:rPr>
      </w:pPr>
      <w:r w:rsidRPr="00754A8C">
        <w:rPr>
          <w:rFonts w:eastAsia="Calibri"/>
        </w:rPr>
        <w:t>Other health-related outcomes</w:t>
      </w:r>
    </w:p>
    <w:p w:rsidR="00ED620C" w:rsidRPr="000F665C" w:rsidRDefault="00ED620C" w:rsidP="00734A61">
      <w:pPr>
        <w:rPr>
          <w:szCs w:val="22"/>
        </w:rPr>
      </w:pPr>
      <w:r>
        <w:rPr>
          <w:szCs w:val="22"/>
        </w:rPr>
        <w:t>XELJANZ 10 </w:t>
      </w:r>
      <w:r w:rsidRPr="000F665C">
        <w:rPr>
          <w:szCs w:val="22"/>
        </w:rPr>
        <w:t>mg twice daily demonstrated greater improvement from baseline compared to placebo in physical component summary (PCS) and mental component sum</w:t>
      </w:r>
      <w:r>
        <w:rPr>
          <w:szCs w:val="22"/>
        </w:rPr>
        <w:t>mary (MCS) scores, and in all 8 </w:t>
      </w:r>
      <w:r w:rsidRPr="000F665C">
        <w:rPr>
          <w:szCs w:val="22"/>
        </w:rPr>
        <w:t>domains of the SF-36 in the induction studies (</w:t>
      </w:r>
      <w:r>
        <w:rPr>
          <w:szCs w:val="22"/>
        </w:rPr>
        <w:t>OCTAVE Induction 1, OCTAVE Induction 2</w:t>
      </w:r>
      <w:r w:rsidRPr="000F665C">
        <w:rPr>
          <w:szCs w:val="22"/>
        </w:rPr>
        <w:t>).</w:t>
      </w:r>
      <w:r>
        <w:rPr>
          <w:rStyle w:val="CommentReference"/>
          <w:lang w:val="x-none"/>
        </w:rPr>
        <w:t xml:space="preserve"> </w:t>
      </w:r>
    </w:p>
    <w:p w:rsidR="00ED620C" w:rsidRPr="000F665C" w:rsidRDefault="00ED620C" w:rsidP="00ED620C">
      <w:pPr>
        <w:rPr>
          <w:szCs w:val="22"/>
        </w:rPr>
      </w:pPr>
      <w:r>
        <w:rPr>
          <w:szCs w:val="22"/>
        </w:rPr>
        <w:t>XELJANZ 10 </w:t>
      </w:r>
      <w:r w:rsidRPr="000F665C">
        <w:rPr>
          <w:szCs w:val="22"/>
        </w:rPr>
        <w:t>mg twice daily demonstrated greater improvement from baseline compared to placebo in the total and all</w:t>
      </w:r>
      <w:r>
        <w:rPr>
          <w:szCs w:val="22"/>
        </w:rPr>
        <w:t xml:space="preserve"> 4 </w:t>
      </w:r>
      <w:r w:rsidRPr="000F665C">
        <w:rPr>
          <w:szCs w:val="22"/>
        </w:rPr>
        <w:t>domain scores of the Inflammatory Bowel Disea</w:t>
      </w:r>
      <w:r>
        <w:rPr>
          <w:szCs w:val="22"/>
        </w:rPr>
        <w:t>se Questionnaire (IBDQ) at Week </w:t>
      </w:r>
      <w:r w:rsidRPr="000F665C">
        <w:rPr>
          <w:szCs w:val="22"/>
        </w:rPr>
        <w:t>8 in the induction studies (</w:t>
      </w:r>
      <w:r>
        <w:rPr>
          <w:szCs w:val="22"/>
        </w:rPr>
        <w:t>OCTAVE Induction 1, OCTAVE Induction 2</w:t>
      </w:r>
      <w:r w:rsidRPr="000F665C">
        <w:rPr>
          <w:szCs w:val="22"/>
        </w:rPr>
        <w:t>).</w:t>
      </w:r>
    </w:p>
    <w:p w:rsidR="00ED620C" w:rsidRDefault="00ED620C" w:rsidP="00ED620C">
      <w:pPr>
        <w:rPr>
          <w:szCs w:val="22"/>
        </w:rPr>
      </w:pPr>
      <w:r w:rsidRPr="000F665C">
        <w:rPr>
          <w:szCs w:val="22"/>
        </w:rPr>
        <w:t xml:space="preserve">Improvements were also observed in the </w:t>
      </w:r>
      <w:proofErr w:type="spellStart"/>
      <w:r w:rsidRPr="000F665C">
        <w:rPr>
          <w:szCs w:val="22"/>
        </w:rPr>
        <w:t>EuroQoL</w:t>
      </w:r>
      <w:proofErr w:type="spellEnd"/>
      <w:r w:rsidRPr="000F665C">
        <w:rPr>
          <w:szCs w:val="22"/>
        </w:rPr>
        <w:t xml:space="preserve"> 5-Dimension (EQ-5D)</w:t>
      </w:r>
      <w:r>
        <w:rPr>
          <w:szCs w:val="22"/>
        </w:rPr>
        <w:t xml:space="preserve"> and various domains of the Work Productivity and Activity Impairment (WPAI-UC) questionnaire</w:t>
      </w:r>
      <w:r w:rsidRPr="000F665C">
        <w:rPr>
          <w:szCs w:val="22"/>
        </w:rPr>
        <w:t xml:space="preserve"> in </w:t>
      </w:r>
      <w:r w:rsidR="00CB7602">
        <w:rPr>
          <w:szCs w:val="22"/>
        </w:rPr>
        <w:t xml:space="preserve">the </w:t>
      </w:r>
      <w:r w:rsidRPr="000F665C">
        <w:rPr>
          <w:szCs w:val="22"/>
        </w:rPr>
        <w:t>induction studies compared to placebo.</w:t>
      </w:r>
    </w:p>
    <w:p w:rsidR="00CB7602" w:rsidRPr="000F665C" w:rsidRDefault="00CB7602" w:rsidP="00CB7602">
      <w:pPr>
        <w:autoSpaceDE w:val="0"/>
        <w:autoSpaceDN w:val="0"/>
        <w:adjustRightInd w:val="0"/>
        <w:jc w:val="left"/>
        <w:rPr>
          <w:szCs w:val="22"/>
        </w:rPr>
      </w:pPr>
      <w:r w:rsidRPr="00CB7602">
        <w:rPr>
          <w:szCs w:val="22"/>
        </w:rPr>
        <w:t>In general, improvements in quality of life measures were larger in patients given XELJANZ than in those given placebo</w:t>
      </w:r>
      <w:r>
        <w:rPr>
          <w:szCs w:val="22"/>
        </w:rPr>
        <w:t xml:space="preserve"> in the maintenance study (OCTAVE Sustain).</w:t>
      </w:r>
      <w:r w:rsidRPr="00CB7602">
        <w:rPr>
          <w:szCs w:val="22"/>
        </w:rPr>
        <w:t xml:space="preserve"> </w:t>
      </w:r>
    </w:p>
    <w:p w:rsidR="00ED620C" w:rsidRPr="008B0935" w:rsidRDefault="00ED620C" w:rsidP="00ED620C">
      <w:pPr>
        <w:pStyle w:val="PIHeading4"/>
        <w:rPr>
          <w:rStyle w:val="BlueText"/>
          <w:rFonts w:eastAsia="SimSun"/>
          <w:color w:val="auto"/>
        </w:rPr>
      </w:pPr>
      <w:r w:rsidRPr="008B0935">
        <w:rPr>
          <w:rStyle w:val="BlueText"/>
          <w:rFonts w:eastAsia="SimSun"/>
          <w:color w:val="auto"/>
        </w:rPr>
        <w:t>Open-label extension study (OCTAVE Open)</w:t>
      </w:r>
    </w:p>
    <w:p w:rsidR="00ED620C" w:rsidRPr="0081642C" w:rsidRDefault="00ED620C" w:rsidP="00ED620C">
      <w:pPr>
        <w:rPr>
          <w:szCs w:val="22"/>
        </w:rPr>
      </w:pPr>
      <w:r w:rsidRPr="0081642C">
        <w:rPr>
          <w:iCs/>
          <w:szCs w:val="22"/>
        </w:rPr>
        <w:t xml:space="preserve">Patients who did not achieve clinical response in </w:t>
      </w:r>
      <w:r>
        <w:rPr>
          <w:iCs/>
          <w:szCs w:val="22"/>
        </w:rPr>
        <w:t>1</w:t>
      </w:r>
      <w:r w:rsidRPr="0081642C">
        <w:rPr>
          <w:iCs/>
          <w:szCs w:val="22"/>
        </w:rPr>
        <w:t xml:space="preserve"> of the induction studies (OCTAVE Induction 1 or OCTAVE Induction 2) after 8 weeks of XEJLANZ 10 mg twice daily were allowed to enter an open</w:t>
      </w:r>
      <w:r>
        <w:rPr>
          <w:iCs/>
          <w:szCs w:val="22"/>
        </w:rPr>
        <w:noBreakHyphen/>
      </w:r>
      <w:r w:rsidRPr="0081642C">
        <w:rPr>
          <w:iCs/>
          <w:szCs w:val="22"/>
        </w:rPr>
        <w:t xml:space="preserve">label extension study (OCTAVE Open). After an additional 8 weeks of XEJLANZ 10 mg twice daily in OCTAVE Open, </w:t>
      </w:r>
      <w:r w:rsidRPr="0081642C">
        <w:rPr>
          <w:szCs w:val="22"/>
        </w:rPr>
        <w:t xml:space="preserve">53% </w:t>
      </w:r>
      <w:r>
        <w:rPr>
          <w:szCs w:val="22"/>
        </w:rPr>
        <w:t>(154</w:t>
      </w:r>
      <w:r w:rsidRPr="0081642C">
        <w:rPr>
          <w:szCs w:val="22"/>
        </w:rPr>
        <w:t>/293) patients achieved clinical response and 14% (42/29</w:t>
      </w:r>
      <w:r>
        <w:rPr>
          <w:szCs w:val="22"/>
        </w:rPr>
        <w:t>3</w:t>
      </w:r>
      <w:r w:rsidRPr="0081642C">
        <w:rPr>
          <w:szCs w:val="22"/>
        </w:rPr>
        <w:t xml:space="preserve">) patients achieved remission. </w:t>
      </w:r>
    </w:p>
    <w:p w:rsidR="00ED620C" w:rsidRPr="00B442E2" w:rsidRDefault="00ED620C" w:rsidP="00ED620C">
      <w:pPr>
        <w:keepNext/>
        <w:tabs>
          <w:tab w:val="left" w:pos="0"/>
        </w:tabs>
        <w:rPr>
          <w:iCs/>
          <w:szCs w:val="22"/>
        </w:rPr>
      </w:pPr>
      <w:r w:rsidRPr="0081642C">
        <w:rPr>
          <w:iCs/>
          <w:szCs w:val="22"/>
        </w:rPr>
        <w:t xml:space="preserve">Patients who achieved clinical response in </w:t>
      </w:r>
      <w:r>
        <w:rPr>
          <w:iCs/>
          <w:szCs w:val="22"/>
        </w:rPr>
        <w:t>either</w:t>
      </w:r>
      <w:r w:rsidRPr="0081642C">
        <w:rPr>
          <w:iCs/>
          <w:szCs w:val="22"/>
        </w:rPr>
        <w:t xml:space="preserve"> of the induction studies (OCTAVE Induction 1 or OCTAVE Induction 2) with XELJANZ 10 mg twice daily but </w:t>
      </w:r>
      <w:r>
        <w:rPr>
          <w:iCs/>
          <w:szCs w:val="22"/>
        </w:rPr>
        <w:t xml:space="preserve">subsequently </w:t>
      </w:r>
      <w:r w:rsidRPr="0081642C">
        <w:rPr>
          <w:iCs/>
          <w:szCs w:val="22"/>
        </w:rPr>
        <w:t xml:space="preserve">experienced treatment failure after </w:t>
      </w:r>
      <w:r>
        <w:rPr>
          <w:iCs/>
          <w:szCs w:val="22"/>
        </w:rPr>
        <w:t xml:space="preserve">either </w:t>
      </w:r>
      <w:r w:rsidRPr="0081642C">
        <w:rPr>
          <w:iCs/>
          <w:szCs w:val="22"/>
        </w:rPr>
        <w:t>their dose was reduced to XELJANZ 5 mg twice daily or following treatment interruption in OCTAVE Sustain (i.e., were randomi</w:t>
      </w:r>
      <w:r>
        <w:rPr>
          <w:iCs/>
          <w:szCs w:val="22"/>
        </w:rPr>
        <w:t>s</w:t>
      </w:r>
      <w:r w:rsidRPr="0081642C">
        <w:rPr>
          <w:iCs/>
          <w:szCs w:val="22"/>
        </w:rPr>
        <w:t xml:space="preserve">ed to placebo), had their dose increased </w:t>
      </w:r>
      <w:r>
        <w:rPr>
          <w:iCs/>
          <w:szCs w:val="22"/>
        </w:rPr>
        <w:t xml:space="preserve">back </w:t>
      </w:r>
      <w:r w:rsidRPr="0081642C">
        <w:rPr>
          <w:iCs/>
          <w:szCs w:val="22"/>
        </w:rPr>
        <w:t xml:space="preserve">to XELJANZ 10 mg twice daily in OCTAVE Open. </w:t>
      </w:r>
      <w:r>
        <w:rPr>
          <w:iCs/>
          <w:szCs w:val="22"/>
        </w:rPr>
        <w:t xml:space="preserve"> </w:t>
      </w:r>
      <w:r w:rsidRPr="0081642C">
        <w:rPr>
          <w:szCs w:val="22"/>
        </w:rPr>
        <w:t>After</w:t>
      </w:r>
      <w:r>
        <w:rPr>
          <w:szCs w:val="22"/>
        </w:rPr>
        <w:t xml:space="preserve"> </w:t>
      </w:r>
      <w:r w:rsidRPr="0081642C">
        <w:rPr>
          <w:szCs w:val="22"/>
        </w:rPr>
        <w:t xml:space="preserve">8 weeks on XELJANZ 10 mg twice daily in OCTAVE Open, </w:t>
      </w:r>
      <w:r>
        <w:rPr>
          <w:szCs w:val="22"/>
        </w:rPr>
        <w:t xml:space="preserve">38% of those </w:t>
      </w:r>
      <w:r>
        <w:rPr>
          <w:iCs/>
          <w:szCs w:val="22"/>
        </w:rPr>
        <w:t xml:space="preserve">patients </w:t>
      </w:r>
      <w:r w:rsidRPr="0081642C">
        <w:rPr>
          <w:iCs/>
          <w:szCs w:val="22"/>
        </w:rPr>
        <w:t>who</w:t>
      </w:r>
      <w:r w:rsidRPr="0081642C">
        <w:rPr>
          <w:szCs w:val="22"/>
        </w:rPr>
        <w:t xml:space="preserve"> </w:t>
      </w:r>
      <w:r>
        <w:rPr>
          <w:szCs w:val="22"/>
        </w:rPr>
        <w:t>had experienced treatment failure</w:t>
      </w:r>
      <w:r w:rsidRPr="009C14AE">
        <w:rPr>
          <w:szCs w:val="22"/>
        </w:rPr>
        <w:t xml:space="preserve"> </w:t>
      </w:r>
      <w:r w:rsidRPr="0081642C">
        <w:rPr>
          <w:szCs w:val="22"/>
        </w:rPr>
        <w:t>in OCTAVE Sustain</w:t>
      </w:r>
      <w:r>
        <w:rPr>
          <w:szCs w:val="22"/>
        </w:rPr>
        <w:t xml:space="preserve"> achieved </w:t>
      </w:r>
      <w:r w:rsidRPr="0081642C">
        <w:rPr>
          <w:szCs w:val="22"/>
        </w:rPr>
        <w:t>remission</w:t>
      </w:r>
      <w:r>
        <w:rPr>
          <w:szCs w:val="22"/>
        </w:rPr>
        <w:t>;</w:t>
      </w:r>
      <w:r w:rsidRPr="0081642C">
        <w:rPr>
          <w:szCs w:val="22"/>
        </w:rPr>
        <w:t xml:space="preserve"> </w:t>
      </w:r>
      <w:r w:rsidRPr="0081642C">
        <w:rPr>
          <w:iCs/>
          <w:szCs w:val="22"/>
        </w:rPr>
        <w:t xml:space="preserve">35% (20/58) </w:t>
      </w:r>
      <w:r>
        <w:rPr>
          <w:iCs/>
          <w:szCs w:val="22"/>
        </w:rPr>
        <w:t xml:space="preserve">previously </w:t>
      </w:r>
      <w:r>
        <w:rPr>
          <w:szCs w:val="22"/>
        </w:rPr>
        <w:t>on</w:t>
      </w:r>
      <w:r w:rsidRPr="0081642C">
        <w:rPr>
          <w:szCs w:val="22"/>
        </w:rPr>
        <w:t xml:space="preserve"> XELJANZ 5 mg twice daily</w:t>
      </w:r>
      <w:r>
        <w:rPr>
          <w:szCs w:val="22"/>
        </w:rPr>
        <w:t>,</w:t>
      </w:r>
      <w:r w:rsidRPr="0081642C">
        <w:rPr>
          <w:szCs w:val="22"/>
        </w:rPr>
        <w:t xml:space="preserve"> and 40% </w:t>
      </w:r>
      <w:r>
        <w:rPr>
          <w:szCs w:val="22"/>
        </w:rPr>
        <w:t xml:space="preserve">(40/99) </w:t>
      </w:r>
      <w:r w:rsidRPr="0081642C">
        <w:rPr>
          <w:szCs w:val="22"/>
        </w:rPr>
        <w:t xml:space="preserve">patients with </w:t>
      </w:r>
      <w:r>
        <w:rPr>
          <w:szCs w:val="22"/>
        </w:rPr>
        <w:t xml:space="preserve">previous </w:t>
      </w:r>
      <w:r w:rsidRPr="0081642C">
        <w:rPr>
          <w:szCs w:val="22"/>
        </w:rPr>
        <w:t xml:space="preserve">dose interruption. At Month 12 in OCTAVE Open, 52% (25/48) and </w:t>
      </w:r>
      <w:r>
        <w:rPr>
          <w:szCs w:val="22"/>
        </w:rPr>
        <w:t>45</w:t>
      </w:r>
      <w:r w:rsidRPr="0081642C">
        <w:rPr>
          <w:szCs w:val="22"/>
        </w:rPr>
        <w:t>% (</w:t>
      </w:r>
      <w:r>
        <w:rPr>
          <w:szCs w:val="22"/>
        </w:rPr>
        <w:t>37</w:t>
      </w:r>
      <w:r w:rsidRPr="0081642C">
        <w:rPr>
          <w:szCs w:val="22"/>
        </w:rPr>
        <w:t>/83) of these patients achieved remission</w:t>
      </w:r>
      <w:r>
        <w:rPr>
          <w:szCs w:val="22"/>
        </w:rPr>
        <w:t>,</w:t>
      </w:r>
      <w:r w:rsidRPr="0081642C">
        <w:rPr>
          <w:szCs w:val="22"/>
        </w:rPr>
        <w:t xml:space="preserve"> respectively.</w:t>
      </w:r>
    </w:p>
    <w:p w:rsidR="00ED620C" w:rsidRPr="00ED620C" w:rsidRDefault="00ED620C" w:rsidP="00ED620C">
      <w:pPr>
        <w:rPr>
          <w:szCs w:val="22"/>
        </w:rPr>
      </w:pPr>
      <w:r w:rsidRPr="0081642C">
        <w:rPr>
          <w:szCs w:val="22"/>
        </w:rPr>
        <w:t>Furthermore, at Month 12 of Study OCTAVE Open, 74% (48/65) of patients who achieved remission at the end of Study OCTAVE Sustain on either XELJANZ 5 mg twice daily or XELJANZ 10 mg twice daily remained in remission while receiving XELJANZ 5 mg twice daily</w:t>
      </w:r>
      <w:r>
        <w:rPr>
          <w:szCs w:val="22"/>
        </w:rPr>
        <w:t>.</w:t>
      </w:r>
    </w:p>
    <w:p w:rsidR="000214C3" w:rsidRDefault="000214C3" w:rsidP="00F43C03">
      <w:pPr>
        <w:pStyle w:val="PIHeading2"/>
      </w:pPr>
      <w:r>
        <w:lastRenderedPageBreak/>
        <w:t xml:space="preserve">5.2 </w:t>
      </w:r>
      <w:r w:rsidR="00F43C03">
        <w:t>Pharmacokinetic Properties</w:t>
      </w:r>
    </w:p>
    <w:p w:rsidR="0048160A" w:rsidRDefault="0048160A" w:rsidP="0048160A">
      <w:r w:rsidRPr="0051061D">
        <w:t xml:space="preserve">The PK profile of tofacitinib is characterised by rapid absorption (peak plasma concentrations are reached within 0.5-1 hour), rapid elimination (half-life of ~3 hours) and dose-proportional increases in systemic exposure.  Steady state concentrations are achieved in 24-48 hours with </w:t>
      </w:r>
      <w:r w:rsidRPr="00D6082D">
        <w:t>negligible accumulation</w:t>
      </w:r>
      <w:r w:rsidRPr="00D6082D">
        <w:rPr>
          <w:szCs w:val="22"/>
        </w:rPr>
        <w:t xml:space="preserve"> after twice daily administration</w:t>
      </w:r>
      <w:r>
        <w:t>.</w:t>
      </w:r>
    </w:p>
    <w:p w:rsidR="000214C3" w:rsidRPr="0042478B" w:rsidRDefault="000214C3" w:rsidP="00724FA3">
      <w:pPr>
        <w:pStyle w:val="PIHeading3"/>
      </w:pPr>
      <w:r w:rsidRPr="0042478B">
        <w:t>Absorption</w:t>
      </w:r>
    </w:p>
    <w:p w:rsidR="003A4144" w:rsidRDefault="0048160A" w:rsidP="003A4144">
      <w:r w:rsidRPr="0051061D">
        <w:t xml:space="preserve">Tofacitinib is well-absorbed, with an oral bioavailability of 74%.  </w:t>
      </w:r>
      <w:proofErr w:type="spellStart"/>
      <w:r w:rsidRPr="0051061D">
        <w:t>Coadministration</w:t>
      </w:r>
      <w:proofErr w:type="spellEnd"/>
      <w:r w:rsidRPr="0051061D">
        <w:t xml:space="preserve"> of </w:t>
      </w:r>
      <w:proofErr w:type="spellStart"/>
      <w:r w:rsidRPr="0051061D">
        <w:t>tofacitinib</w:t>
      </w:r>
      <w:proofErr w:type="spellEnd"/>
      <w:r w:rsidRPr="0051061D">
        <w:t xml:space="preserve"> with a high-fat meal resulted in no changes in AUC while C</w:t>
      </w:r>
      <w:r w:rsidRPr="0051061D">
        <w:rPr>
          <w:vertAlign w:val="subscript"/>
        </w:rPr>
        <w:t>max</w:t>
      </w:r>
      <w:r w:rsidRPr="0051061D">
        <w:t xml:space="preserve"> was reduced by 32%.  In clinical trials, tofacitinib was administered without regard to meal.</w:t>
      </w:r>
    </w:p>
    <w:p w:rsidR="003A4144" w:rsidRPr="0042478B" w:rsidRDefault="000214C3" w:rsidP="00724FA3">
      <w:pPr>
        <w:pStyle w:val="PIHeading3"/>
      </w:pPr>
      <w:r w:rsidRPr="0042478B">
        <w:t>Distribution</w:t>
      </w:r>
    </w:p>
    <w:p w:rsidR="003A4144" w:rsidRDefault="0048160A" w:rsidP="003A4144">
      <w:r w:rsidRPr="0051061D">
        <w:t xml:space="preserve">After intravenous administration, the volume of distribution is 87 L.  </w:t>
      </w:r>
      <w:r>
        <w:t>Approximately 40% of circulating tofacitinib is bound to plasma proteins</w:t>
      </w:r>
      <w:r w:rsidRPr="0051061D">
        <w:t xml:space="preserve">.  Tofacitinib binds predominantly to albumin and does not appear to bind to </w:t>
      </w:r>
      <w:r w:rsidRPr="0051061D">
        <w:rPr>
          <w:szCs w:val="22"/>
        </w:rPr>
        <w:sym w:font="Symbol" w:char="F061"/>
      </w:r>
      <w:r w:rsidRPr="0051061D">
        <w:rPr>
          <w:szCs w:val="22"/>
        </w:rPr>
        <w:t xml:space="preserve">1-acid </w:t>
      </w:r>
      <w:r w:rsidRPr="0051061D">
        <w:t>glycoprotein. Tofacitinib distributes equally between red blood cells and plasma.</w:t>
      </w:r>
    </w:p>
    <w:p w:rsidR="000214C3" w:rsidRPr="0042478B" w:rsidRDefault="000214C3" w:rsidP="00724FA3">
      <w:pPr>
        <w:pStyle w:val="PIHeading3"/>
      </w:pPr>
      <w:r w:rsidRPr="0042478B">
        <w:t>Metabolism</w:t>
      </w:r>
      <w:r w:rsidR="0048160A">
        <w:t xml:space="preserve"> and </w:t>
      </w:r>
      <w:r w:rsidRPr="0042478B">
        <w:t>Excretion</w:t>
      </w:r>
    </w:p>
    <w:p w:rsidR="007C0AC6" w:rsidRPr="0051061D" w:rsidRDefault="0048160A" w:rsidP="0048160A">
      <w:pPr>
        <w:keepNext/>
      </w:pPr>
      <w:r w:rsidRPr="0051061D">
        <w:t>Clearance mechanisms for tofacitinib are approximately 70% hepatic metabolism and 30% renal excretion of the parent drug.  The metabolism of tofacitinib is primarily mediated by CYP3A4 with minor contribution from CYP2C19.  In a human radiolabeled study, more than 65% of the total circulating radioactivity was accounted for by unchanged drug, with the remaining 35% attributed to 8 metabolites, each accounting for less than 8% of total radioactivity.  The pharmacologic activity of tofacitinib is attributed to the parent molecule.</w:t>
      </w:r>
      <w:r w:rsidR="007C0AC6">
        <w:t xml:space="preserve">  </w:t>
      </w:r>
      <w:r w:rsidR="007C0AC6" w:rsidRPr="00F4191F">
        <w:rPr>
          <w:szCs w:val="22"/>
        </w:rPr>
        <w:t>In vitro</w:t>
      </w:r>
      <w:r w:rsidR="007C0AC6" w:rsidRPr="007E1B94">
        <w:rPr>
          <w:szCs w:val="22"/>
        </w:rPr>
        <w:t xml:space="preserve">, tofacitinib is a substrate for </w:t>
      </w:r>
      <w:r w:rsidR="007C0AC6">
        <w:rPr>
          <w:szCs w:val="22"/>
        </w:rPr>
        <w:t>multidrug resistance (</w:t>
      </w:r>
      <w:r w:rsidR="007C0AC6" w:rsidRPr="007E1B94">
        <w:rPr>
          <w:szCs w:val="22"/>
        </w:rPr>
        <w:t>MDR</w:t>
      </w:r>
      <w:r w:rsidR="007C0AC6">
        <w:rPr>
          <w:szCs w:val="22"/>
        </w:rPr>
        <w:t xml:space="preserve">) </w:t>
      </w:r>
      <w:r w:rsidR="007C0AC6" w:rsidRPr="007E1B94">
        <w:rPr>
          <w:szCs w:val="22"/>
        </w:rPr>
        <w:t xml:space="preserve">1, but not for </w:t>
      </w:r>
      <w:r w:rsidR="007C0AC6">
        <w:rPr>
          <w:szCs w:val="22"/>
        </w:rPr>
        <w:t>breast cancer resistance protein (</w:t>
      </w:r>
      <w:r w:rsidR="007C0AC6" w:rsidRPr="007E1B94">
        <w:rPr>
          <w:szCs w:val="22"/>
        </w:rPr>
        <w:t>BCRP</w:t>
      </w:r>
      <w:r w:rsidR="007C0AC6">
        <w:rPr>
          <w:szCs w:val="22"/>
        </w:rPr>
        <w:t>)</w:t>
      </w:r>
      <w:r w:rsidR="007C0AC6" w:rsidRPr="007E1B94">
        <w:rPr>
          <w:szCs w:val="22"/>
        </w:rPr>
        <w:t xml:space="preserve">, </w:t>
      </w:r>
      <w:r w:rsidR="007C0AC6">
        <w:rPr>
          <w:szCs w:val="22"/>
        </w:rPr>
        <w:t>organic anion transporting polypeptide (</w:t>
      </w:r>
      <w:r w:rsidR="007C0AC6" w:rsidRPr="007E1B94">
        <w:rPr>
          <w:szCs w:val="22"/>
        </w:rPr>
        <w:t>OATP</w:t>
      </w:r>
      <w:r w:rsidR="007C0AC6">
        <w:rPr>
          <w:szCs w:val="22"/>
        </w:rPr>
        <w:t xml:space="preserve">) </w:t>
      </w:r>
      <w:r w:rsidR="007C0AC6" w:rsidRPr="007E1B94">
        <w:rPr>
          <w:szCs w:val="22"/>
        </w:rPr>
        <w:t xml:space="preserve">1B1/1B3, or </w:t>
      </w:r>
      <w:r w:rsidR="007C0AC6">
        <w:rPr>
          <w:szCs w:val="22"/>
        </w:rPr>
        <w:t>organic cationic transporter (</w:t>
      </w:r>
      <w:r w:rsidR="007C0AC6" w:rsidRPr="007E1B94">
        <w:rPr>
          <w:szCs w:val="22"/>
        </w:rPr>
        <w:t>OCT</w:t>
      </w:r>
      <w:r w:rsidR="007C0AC6">
        <w:rPr>
          <w:szCs w:val="22"/>
        </w:rPr>
        <w:t xml:space="preserve">) </w:t>
      </w:r>
      <w:r w:rsidR="007C0AC6" w:rsidRPr="007E1B94">
        <w:rPr>
          <w:szCs w:val="22"/>
        </w:rPr>
        <w:t xml:space="preserve">1/2, and is not an inhibitor of MDR1, OATP1B1/1B3, OCT2, </w:t>
      </w:r>
      <w:r w:rsidR="007C0AC6">
        <w:rPr>
          <w:szCs w:val="22"/>
        </w:rPr>
        <w:t>organic anion transporter (</w:t>
      </w:r>
      <w:r w:rsidR="007C0AC6" w:rsidRPr="007E1B94">
        <w:rPr>
          <w:szCs w:val="22"/>
        </w:rPr>
        <w:t>OAT</w:t>
      </w:r>
      <w:r w:rsidR="007C0AC6">
        <w:rPr>
          <w:szCs w:val="22"/>
        </w:rPr>
        <w:t xml:space="preserve">) </w:t>
      </w:r>
      <w:r w:rsidR="007C0AC6" w:rsidRPr="007E1B94">
        <w:rPr>
          <w:szCs w:val="22"/>
        </w:rPr>
        <w:t xml:space="preserve">1/3, or </w:t>
      </w:r>
      <w:r w:rsidR="007C0AC6">
        <w:rPr>
          <w:szCs w:val="22"/>
        </w:rPr>
        <w:t>multidrug resistance</w:t>
      </w:r>
      <w:r w:rsidR="007C0AC6">
        <w:rPr>
          <w:szCs w:val="22"/>
        </w:rPr>
        <w:noBreakHyphen/>
        <w:t>associated protein (</w:t>
      </w:r>
      <w:r w:rsidR="007C0AC6" w:rsidRPr="007E1B94">
        <w:rPr>
          <w:szCs w:val="22"/>
        </w:rPr>
        <w:t>MRP</w:t>
      </w:r>
      <w:r w:rsidR="007C0AC6">
        <w:rPr>
          <w:szCs w:val="22"/>
        </w:rPr>
        <w:t>)</w:t>
      </w:r>
      <w:r w:rsidR="007C0AC6" w:rsidRPr="007E1B94">
        <w:rPr>
          <w:szCs w:val="22"/>
        </w:rPr>
        <w:t xml:space="preserve"> at clinically meaningful concentrations.</w:t>
      </w:r>
    </w:p>
    <w:p w:rsidR="0048160A" w:rsidRPr="0051061D" w:rsidRDefault="0048160A" w:rsidP="0048160A">
      <w:pPr>
        <w:pStyle w:val="PIHeading3"/>
      </w:pPr>
      <w:r w:rsidRPr="0051061D">
        <w:t>Special Populations</w:t>
      </w:r>
    </w:p>
    <w:p w:rsidR="0048160A" w:rsidRPr="0051061D" w:rsidRDefault="0020616F" w:rsidP="0048160A">
      <w:pPr>
        <w:pStyle w:val="PIHeading4"/>
      </w:pPr>
      <w:r w:rsidRPr="006010F5">
        <w:t xml:space="preserve">Pharmacokinetics in </w:t>
      </w:r>
      <w:r w:rsidR="0048160A" w:rsidRPr="0051061D">
        <w:t>Elderly (&gt;65 years) patients, Gender, Race</w:t>
      </w:r>
    </w:p>
    <w:p w:rsidR="0048160A" w:rsidRDefault="0048160A" w:rsidP="0048160A">
      <w:pPr>
        <w:pStyle w:val="PINormal"/>
      </w:pPr>
      <w:r w:rsidRPr="0051061D">
        <w:t xml:space="preserve">Population PK analysis in </w:t>
      </w:r>
      <w:r w:rsidR="00940CEB">
        <w:t>RA</w:t>
      </w:r>
      <w:r w:rsidRPr="0051061D">
        <w:t xml:space="preserve"> patients indicated that systemic exposure (AUC) of tofacitinib in the extremes of body weight (40 kg, 140 kg) were similar to that of a 70 kg patient.  Elderly patients 80 years of age were estimated to have &lt;5% higher AUC relative to the mean age of 55 years.  Women were estimated to have 7% lower AUC compared to men.  The available data have also shown that there are no major differences in tofacitinib AUC between races.  An approximate linear relationship between body weight and volume of distribution was observed, resulting in higher peak (C</w:t>
      </w:r>
      <w:r w:rsidRPr="0051061D">
        <w:rPr>
          <w:vertAlign w:val="subscript"/>
        </w:rPr>
        <w:t>max</w:t>
      </w:r>
      <w:r w:rsidRPr="0051061D">
        <w:t>) and lower trough (C</w:t>
      </w:r>
      <w:r w:rsidRPr="0051061D">
        <w:rPr>
          <w:vertAlign w:val="subscript"/>
        </w:rPr>
        <w:t>min</w:t>
      </w:r>
      <w:r w:rsidRPr="0051061D">
        <w:t>) concentrations in lighter patients.  However, this difference is not considered to be clinically relevant.  The between-subject variability (percentage coefficient of variation) in AUC of tofacitinib is estimated to be approximately 27%.</w:t>
      </w:r>
    </w:p>
    <w:p w:rsidR="0020616F" w:rsidRPr="0051061D" w:rsidRDefault="0020616F" w:rsidP="0020616F">
      <w:pPr>
        <w:pStyle w:val="ListBullet"/>
        <w:numPr>
          <w:ilvl w:val="0"/>
          <w:numId w:val="0"/>
        </w:numPr>
      </w:pPr>
      <w:r w:rsidRPr="006010F5">
        <w:t xml:space="preserve">Results </w:t>
      </w:r>
      <w:r w:rsidRPr="0020616F">
        <w:t xml:space="preserve">from population PK analysis in patients with active </w:t>
      </w:r>
      <w:proofErr w:type="spellStart"/>
      <w:r w:rsidRPr="0020616F">
        <w:t>PsA</w:t>
      </w:r>
      <w:proofErr w:type="spellEnd"/>
      <w:r w:rsidR="00D54414">
        <w:t xml:space="preserve"> or moderate to severe UC</w:t>
      </w:r>
      <w:r w:rsidRPr="0020616F">
        <w:t xml:space="preserve"> were consistent with those in patients with RA.</w:t>
      </w:r>
    </w:p>
    <w:p w:rsidR="0048160A" w:rsidRPr="0051061D" w:rsidRDefault="0048160A" w:rsidP="0048160A">
      <w:pPr>
        <w:pStyle w:val="PIHeading4"/>
      </w:pPr>
      <w:r w:rsidRPr="0051061D">
        <w:lastRenderedPageBreak/>
        <w:t>Children and Adolescents</w:t>
      </w:r>
    </w:p>
    <w:p w:rsidR="0048160A" w:rsidRPr="0051061D" w:rsidRDefault="0048160A" w:rsidP="0048160A">
      <w:r w:rsidRPr="0051061D">
        <w:t>The pharmacokinetics, safety and efficacy of tofacitinib in paediatric patients have not been established.</w:t>
      </w:r>
    </w:p>
    <w:p w:rsidR="0048160A" w:rsidRPr="0051061D" w:rsidRDefault="0048160A" w:rsidP="0048160A">
      <w:pPr>
        <w:pStyle w:val="PIHeading4"/>
      </w:pPr>
      <w:r w:rsidRPr="0051061D">
        <w:t>Renal Impairment</w:t>
      </w:r>
    </w:p>
    <w:p w:rsidR="0048160A" w:rsidRPr="0051061D" w:rsidRDefault="0020616F" w:rsidP="0048160A">
      <w:r w:rsidRPr="006010F5">
        <w:rPr>
          <w:color w:val="000000"/>
        </w:rPr>
        <w:t>In a clinical study, s</w:t>
      </w:r>
      <w:r w:rsidR="0048160A" w:rsidRPr="0051061D">
        <w:rPr>
          <w:color w:val="000000"/>
        </w:rPr>
        <w:t xml:space="preserve">ubjects </w:t>
      </w:r>
      <w:r w:rsidRPr="006010F5">
        <w:rPr>
          <w:color w:val="000000"/>
        </w:rPr>
        <w:t xml:space="preserve">with renal impairment </w:t>
      </w:r>
      <w:r w:rsidR="0048160A" w:rsidRPr="0051061D">
        <w:rPr>
          <w:color w:val="000000"/>
        </w:rPr>
        <w:t xml:space="preserve">with </w:t>
      </w:r>
      <w:r>
        <w:rPr>
          <w:color w:val="000000"/>
        </w:rPr>
        <w:t xml:space="preserve">a </w:t>
      </w:r>
      <w:r w:rsidR="0048160A" w:rsidRPr="0051061D">
        <w:rPr>
          <w:color w:val="000000"/>
        </w:rPr>
        <w:t>creatinine clearance</w:t>
      </w:r>
      <w:r>
        <w:rPr>
          <w:color w:val="000000"/>
        </w:rPr>
        <w:t xml:space="preserve"> of</w:t>
      </w:r>
      <w:r w:rsidR="0048160A" w:rsidRPr="0051061D">
        <w:rPr>
          <w:color w:val="000000"/>
        </w:rPr>
        <w:t xml:space="preserve"> 51-80 mL/min, 30-50 mL/min and &lt;30 mL/min (estimated GFR (Cockcroft–Gault formula))</w:t>
      </w:r>
      <w:r w:rsidR="0048160A" w:rsidRPr="0051061D" w:rsidDel="00770D0C">
        <w:rPr>
          <w:color w:val="000000"/>
        </w:rPr>
        <w:t xml:space="preserve"> </w:t>
      </w:r>
      <w:r w:rsidR="0048160A" w:rsidRPr="0051061D">
        <w:rPr>
          <w:color w:val="000000"/>
        </w:rPr>
        <w:t xml:space="preserve">had 37%, 43% and 123% higher AUC, respectively, compared with healthy subjects </w:t>
      </w:r>
      <w:r w:rsidR="0048160A" w:rsidRPr="0051061D">
        <w:rPr>
          <w:rStyle w:val="Instructions"/>
          <w:color w:val="000000"/>
        </w:rPr>
        <w:t xml:space="preserve">(see </w:t>
      </w:r>
      <w:r w:rsidR="00AA431A">
        <w:rPr>
          <w:rStyle w:val="Instructions"/>
          <w:color w:val="000000"/>
        </w:rPr>
        <w:t>Section 4.2</w:t>
      </w:r>
      <w:r w:rsidR="00911229">
        <w:rPr>
          <w:rStyle w:val="Instructions"/>
        </w:rPr>
        <w:t xml:space="preserve"> </w:t>
      </w:r>
      <w:r w:rsidR="00911229">
        <w:t>Dose and Method of Administration</w:t>
      </w:r>
      <w:r w:rsidR="0048160A" w:rsidRPr="0051061D">
        <w:rPr>
          <w:rStyle w:val="Instructions"/>
        </w:rPr>
        <w:t>)</w:t>
      </w:r>
      <w:r w:rsidR="0048160A" w:rsidRPr="0051061D">
        <w:t>.  In subjects with end-stage renal disease, the contribution of dialysis to the total clearance of tofacitinib was relatively small.</w:t>
      </w:r>
    </w:p>
    <w:p w:rsidR="0048160A" w:rsidRPr="0051061D" w:rsidRDefault="0048160A" w:rsidP="0048160A">
      <w:pPr>
        <w:pStyle w:val="PIHeading4"/>
      </w:pPr>
      <w:r w:rsidRPr="0051061D">
        <w:t>Hepatic Impairment</w:t>
      </w:r>
    </w:p>
    <w:p w:rsidR="0048160A" w:rsidRPr="0051061D" w:rsidRDefault="0048160A" w:rsidP="0048160A">
      <w:r w:rsidRPr="0051061D">
        <w:t xml:space="preserve">Subjects with mild and moderate hepatic impairment had 3%, and 65% higher AUC, respectively, compared with healthy subjects </w:t>
      </w:r>
      <w:r w:rsidRPr="0051061D">
        <w:rPr>
          <w:rStyle w:val="Instructions"/>
        </w:rPr>
        <w:t>(see</w:t>
      </w:r>
      <w:r w:rsidR="00AA431A" w:rsidRPr="0051061D">
        <w:rPr>
          <w:rStyle w:val="Instructions"/>
          <w:color w:val="000000"/>
        </w:rPr>
        <w:t xml:space="preserve"> </w:t>
      </w:r>
      <w:r w:rsidR="00AA431A">
        <w:rPr>
          <w:rStyle w:val="Instructions"/>
          <w:color w:val="000000"/>
        </w:rPr>
        <w:t>Section 4.2</w:t>
      </w:r>
      <w:r w:rsidR="00911229">
        <w:rPr>
          <w:rStyle w:val="Instructions"/>
        </w:rPr>
        <w:t xml:space="preserve"> </w:t>
      </w:r>
      <w:r w:rsidR="00911229">
        <w:t>Dose and Method of Administration</w:t>
      </w:r>
      <w:r w:rsidRPr="0051061D">
        <w:rPr>
          <w:rStyle w:val="Instructions"/>
        </w:rPr>
        <w:t>)</w:t>
      </w:r>
      <w:r w:rsidRPr="0051061D">
        <w:t xml:space="preserve">.  Subjects with severe hepatic impairment were not studied.  Therefore XELJANZ should not be used in patients with severe hepatic impairment (see </w:t>
      </w:r>
      <w:r w:rsidR="00AA431A">
        <w:t>Section 4.3</w:t>
      </w:r>
      <w:r w:rsidR="00A3188B">
        <w:t xml:space="preserve"> Contraindications</w:t>
      </w:r>
      <w:r w:rsidRPr="0051061D">
        <w:t>).</w:t>
      </w:r>
    </w:p>
    <w:p w:rsidR="0048160A" w:rsidRPr="0051061D" w:rsidRDefault="0048160A" w:rsidP="0048160A">
      <w:pPr>
        <w:rPr>
          <w:i/>
        </w:rPr>
      </w:pPr>
      <w:r w:rsidRPr="0051061D">
        <w:t>The impact of intrinsic factors on tofacitinib pharmacokinetics is summarised in Figure </w:t>
      </w:r>
      <w:r w:rsidR="00284A99">
        <w:t>4</w:t>
      </w:r>
      <w:r w:rsidRPr="0051061D">
        <w:t xml:space="preserve"> with dosage adjustment recommendations.</w:t>
      </w:r>
      <w:r w:rsidR="0020616F">
        <w:t xml:space="preserve">  Modifications required for special populations are described in</w:t>
      </w:r>
      <w:r w:rsidR="002B126F">
        <w:t xml:space="preserve"> </w:t>
      </w:r>
      <w:r w:rsidR="002B126F">
        <w:rPr>
          <w:rStyle w:val="Instructions"/>
          <w:color w:val="000000"/>
        </w:rPr>
        <w:t>Section 4.2</w:t>
      </w:r>
      <w:r w:rsidR="002B126F">
        <w:rPr>
          <w:rStyle w:val="Instructions"/>
        </w:rPr>
        <w:t xml:space="preserve"> </w:t>
      </w:r>
      <w:r w:rsidR="002B126F">
        <w:t>Dose and Method of Administration.</w:t>
      </w:r>
    </w:p>
    <w:p w:rsidR="00D54414" w:rsidRDefault="00B557F8" w:rsidP="00572DEB">
      <w:pPr>
        <w:pStyle w:val="Paragraph"/>
        <w:jc w:val="both"/>
        <w:rPr>
          <w:sz w:val="18"/>
          <w:szCs w:val="18"/>
        </w:rPr>
      </w:pPr>
      <w:r>
        <w:rPr>
          <w:b/>
        </w:rPr>
        <w:br w:type="page"/>
      </w:r>
      <w:r w:rsidR="00284A99">
        <w:rPr>
          <w:b/>
        </w:rPr>
        <w:lastRenderedPageBreak/>
        <w:t>Figure 4</w:t>
      </w:r>
      <w:r w:rsidR="0048160A" w:rsidRPr="0051061D">
        <w:rPr>
          <w:b/>
        </w:rPr>
        <w:t>: Impact of Intrinsic Factors on Tofacitinib Pharmacokinetics</w:t>
      </w:r>
    </w:p>
    <w:p w:rsidR="00D54414" w:rsidRPr="0051061D" w:rsidRDefault="008259FC" w:rsidP="00D54414">
      <w:pPr>
        <w:pStyle w:val="Paragraph"/>
        <w:keepNext/>
        <w:jc w:val="both"/>
        <w:rPr>
          <w:sz w:val="20"/>
          <w:szCs w:val="20"/>
        </w:rPr>
      </w:pPr>
      <w:r>
        <w:rPr>
          <w:sz w:val="20"/>
          <w:szCs w:val="20"/>
        </w:rPr>
      </w:r>
      <w:r>
        <w:rPr>
          <w:sz w:val="20"/>
          <w:szCs w:val="20"/>
        </w:rPr>
        <w:pict>
          <v:group id="_x0000_s8419" editas="canvas" style="width:537pt;height:482.7pt;mso-position-horizontal-relative:char;mso-position-vertical-relative:line" coordorigin="-56" coordsize="10740,9654">
            <o:lock v:ext="edit" aspectratio="t"/>
            <v:shape id="_x0000_s8420" type="#_x0000_t75" style="position:absolute;left:-56;width:10740;height:9654" o:preferrelative="f">
              <v:fill o:detectmouseclick="t"/>
              <v:path o:extrusionok="t" o:connecttype="none"/>
              <o:lock v:ext="edit" text="t"/>
            </v:shape>
            <v:group id="_x0000_s8421" style="position:absolute;left:3228;top:960;width:1906;height:5704" coordorigin="3228,960" coordsize="1906,5704">
              <v:rect id="_x0000_s8422" style="position:absolute;left:3576;top:960;width:27;height:111" fillcolor="black" stroked="f"/>
              <v:rect id="_x0000_s8423" style="position:absolute;left:3576;top:960;width:27;height:14" fillcolor="black" stroked="f"/>
              <v:rect id="_x0000_s8424" style="position:absolute;left:3576;top:1057;width:27;height:14" fillcolor="black" stroked="f"/>
              <v:rect id="_x0000_s8425" style="position:absolute;left:3548;top:974;width:83;height:28" fillcolor="black" stroked="f"/>
              <v:rect id="_x0000_s8426" style="position:absolute;left:3548;top:1030;width:83;height:27" fillcolor="black" stroked="f"/>
              <v:rect id="_x0000_s8427" style="position:absolute;left:3534;top:1002;width:111;height:14" fillcolor="black" stroked="f"/>
              <v:rect id="_x0000_s8428" style="position:absolute;left:3534;top:1016;width:111;height:14" fillcolor="black" stroked="f"/>
              <v:rect id="_x0000_s8429" style="position:absolute;left:3534;top:1016;width:111;height:14" fillcolor="black" stroked="f"/>
              <v:rect id="_x0000_s8430" style="position:absolute;left:3534;top:1002;width:111;height:14" fillcolor="black" stroked="f"/>
              <v:oval id="_x0000_s8431" style="position:absolute;left:3534;top:960;width:97;height:97" filled="f" strokeweight=".7pt">
                <v:stroke endcap="round"/>
              </v:oval>
              <v:rect id="_x0000_s8432" style="position:absolute;left:4049;top:1155;width:28;height:111" fillcolor="black" stroked="f"/>
              <v:rect id="_x0000_s8433" style="position:absolute;left:4049;top:1155;width:28;height:14" fillcolor="black" stroked="f"/>
              <v:rect id="_x0000_s8434" style="position:absolute;left:4049;top:1252;width:28;height:14" fillcolor="black" stroked="f"/>
              <v:rect id="_x0000_s8435" style="position:absolute;left:4021;top:1169;width:83;height:28" fillcolor="black" stroked="f"/>
              <v:rect id="_x0000_s8436" style="position:absolute;left:4021;top:1224;width:83;height:28" fillcolor="black" stroked="f"/>
              <v:rect id="_x0000_s8437" style="position:absolute;left:4007;top:1197;width:111;height:13" fillcolor="black" stroked="f"/>
              <v:rect id="_x0000_s8438" style="position:absolute;left:4007;top:1210;width:111;height:14" fillcolor="black" stroked="f"/>
              <v:rect id="_x0000_s8439" style="position:absolute;left:4007;top:1210;width:111;height:14" fillcolor="black" stroked="f"/>
              <v:rect id="_x0000_s8440" style="position:absolute;left:4007;top:1197;width:111;height:13" fillcolor="black" stroked="f"/>
              <v:oval id="_x0000_s8441" style="position:absolute;left:4007;top:1155;width:97;height:97" filled="f" strokeweight=".7pt">
                <v:stroke endcap="round"/>
              </v:oval>
              <v:rect id="_x0000_s8442" style="position:absolute;left:3534;top:1558;width:28;height:112" fillcolor="black" stroked="f"/>
              <v:rect id="_x0000_s8443" style="position:absolute;left:3534;top:1558;width:28;height:14" fillcolor="black" stroked="f"/>
              <v:rect id="_x0000_s8444" style="position:absolute;left:3534;top:1656;width:28;height:14" fillcolor="black" stroked="f"/>
              <v:rect id="_x0000_s8445" style="position:absolute;left:3506;top:1572;width:84;height:28" fillcolor="black" stroked="f"/>
              <v:rect id="_x0000_s8446" style="position:absolute;left:3506;top:1628;width:84;height:28" fillcolor="black" stroked="f"/>
              <v:rect id="_x0000_s8447" style="position:absolute;left:3492;top:1600;width:111;height:14" fillcolor="black" stroked="f"/>
              <v:rect id="_x0000_s8448" style="position:absolute;left:3492;top:1614;width:111;height:14" fillcolor="black" stroked="f"/>
              <v:rect id="_x0000_s8449" style="position:absolute;left:3492;top:1614;width:111;height:14" fillcolor="black" stroked="f"/>
              <v:rect id="_x0000_s8450" style="position:absolute;left:3492;top:1600;width:111;height:14" fillcolor="black" stroked="f"/>
              <v:oval id="_x0000_s8451" style="position:absolute;left:3492;top:1558;width:98;height:98" filled="f" strokeweight=".7pt">
                <v:stroke endcap="round"/>
              </v:oval>
              <v:rect id="_x0000_s8452" style="position:absolute;left:3270;top:1753;width:27;height:111" fillcolor="black" stroked="f"/>
              <v:rect id="_x0000_s8453" style="position:absolute;left:3270;top:1753;width:27;height:14" fillcolor="black" stroked="f"/>
              <v:rect id="_x0000_s8454" style="position:absolute;left:3270;top:1850;width:27;height:14" fillcolor="black" stroked="f"/>
              <v:rect id="_x0000_s8455" style="position:absolute;left:3242;top:1767;width:83;height:28" fillcolor="black" stroked="f"/>
              <v:rect id="_x0000_s8456" style="position:absolute;left:3242;top:1823;width:83;height:27" fillcolor="black" stroked="f"/>
              <v:rect id="_x0000_s8457" style="position:absolute;left:3228;top:1795;width:111;height:14" fillcolor="black" stroked="f"/>
              <v:rect id="_x0000_s8458" style="position:absolute;left:3228;top:1809;width:111;height:14" fillcolor="black" stroked="f"/>
              <v:rect id="_x0000_s8459" style="position:absolute;left:3228;top:1809;width:111;height:14" fillcolor="black" stroked="f"/>
              <v:rect id="_x0000_s8460" style="position:absolute;left:3228;top:1795;width:111;height:14" fillcolor="black" stroked="f"/>
              <v:oval id="_x0000_s8461" style="position:absolute;left:3228;top:1753;width:97;height:97" filled="f" strokeweight=".7pt">
                <v:stroke endcap="round"/>
              </v:oval>
              <v:rect id="_x0000_s8462" style="position:absolute;left:3590;top:2157;width:27;height:111" fillcolor="black" stroked="f"/>
              <v:rect id="_x0000_s8463" style="position:absolute;left:3590;top:2157;width:27;height:13" fillcolor="black" stroked="f"/>
              <v:rect id="_x0000_s8464" style="position:absolute;left:3590;top:2254;width:27;height:14" fillcolor="black" stroked="f"/>
              <v:rect id="_x0000_s8465" style="position:absolute;left:3562;top:2170;width:83;height:28" fillcolor="black" stroked="f"/>
              <v:rect id="_x0000_s8466" style="position:absolute;left:3562;top:2226;width:83;height:28" fillcolor="black" stroked="f"/>
              <v:rect id="_x0000_s8467" style="position:absolute;left:3548;top:2198;width:111;height:14" fillcolor="black" stroked="f"/>
              <v:rect id="_x0000_s8468" style="position:absolute;left:3548;top:2212;width:111;height:14" fillcolor="black" stroked="f"/>
              <v:rect id="_x0000_s8469" style="position:absolute;left:3548;top:2212;width:111;height:14" fillcolor="black" stroked="f"/>
              <v:rect id="_x0000_s8470" style="position:absolute;left:3548;top:2198;width:111;height:14" fillcolor="black" stroked="f"/>
              <v:oval id="_x0000_s8471" style="position:absolute;left:3548;top:2157;width:97;height:97" filled="f" strokeweight=".7pt">
                <v:stroke endcap="round"/>
              </v:oval>
              <v:rect id="_x0000_s8472" style="position:absolute;left:3673;top:2351;width:28;height:112" fillcolor="black" stroked="f"/>
              <v:rect id="_x0000_s8473" style="position:absolute;left:3673;top:2351;width:28;height:14" fillcolor="black" stroked="f"/>
              <v:rect id="_x0000_s8474" style="position:absolute;left:3673;top:2449;width:28;height:14" fillcolor="black" stroked="f"/>
              <v:rect id="_x0000_s8475" style="position:absolute;left:3645;top:2365;width:84;height:28" fillcolor="black" stroked="f"/>
              <v:rect id="_x0000_s8476" style="position:absolute;left:3645;top:2421;width:84;height:28" fillcolor="black" stroked="f"/>
              <v:rect id="_x0000_s8477" style="position:absolute;left:3631;top:2393;width:112;height:14" fillcolor="black" stroked="f"/>
              <v:rect id="_x0000_s8478" style="position:absolute;left:3631;top:2407;width:112;height:14" fillcolor="black" stroked="f"/>
              <v:rect id="_x0000_s8479" style="position:absolute;left:3631;top:2407;width:112;height:14" fillcolor="black" stroked="f"/>
              <v:rect id="_x0000_s8480" style="position:absolute;left:3631;top:2393;width:112;height:14" fillcolor="black" stroked="f"/>
              <v:oval id="_x0000_s8481" style="position:absolute;left:3631;top:2351;width:98;height:98" filled="f" strokeweight=".7pt">
                <v:stroke endcap="round"/>
              </v:oval>
              <v:rect id="_x0000_s8482" style="position:absolute;left:3520;top:2755;width:28;height:111" fillcolor="black" stroked="f"/>
              <v:rect id="_x0000_s8483" style="position:absolute;left:3520;top:2755;width:28;height:14" fillcolor="black" stroked="f"/>
              <v:rect id="_x0000_s8484" style="position:absolute;left:3520;top:2852;width:28;height:14" fillcolor="black" stroked="f"/>
              <v:rect id="_x0000_s8485" style="position:absolute;left:3492;top:2769;width:84;height:28" fillcolor="black" stroked="f"/>
              <v:rect id="_x0000_s8486" style="position:absolute;left:3492;top:2824;width:84;height:28" fillcolor="black" stroked="f"/>
              <v:rect id="_x0000_s8487" style="position:absolute;left:3478;top:2797;width:112;height:13" fillcolor="black" stroked="f"/>
              <v:rect id="_x0000_s8488" style="position:absolute;left:3478;top:2810;width:112;height:14" fillcolor="black" stroked="f"/>
              <v:rect id="_x0000_s8489" style="position:absolute;left:3478;top:2810;width:112;height:14" fillcolor="black" stroked="f"/>
              <v:rect id="_x0000_s8490" style="position:absolute;left:3478;top:2797;width:112;height:13" fillcolor="black" stroked="f"/>
              <v:oval id="_x0000_s8491" style="position:absolute;left:3478;top:2755;width:98;height:97" filled="f" strokeweight=".7pt">
                <v:stroke endcap="round"/>
              </v:oval>
              <v:rect id="_x0000_s8492" style="position:absolute;left:3562;top:2950;width:28;height:111" fillcolor="black" stroked="f"/>
              <v:rect id="_x0000_s8493" style="position:absolute;left:3562;top:2950;width:28;height:13" fillcolor="black" stroked="f"/>
              <v:rect id="_x0000_s8494" style="position:absolute;left:3562;top:3047;width:28;height:14" fillcolor="black" stroked="f"/>
              <v:rect id="_x0000_s8495" style="position:absolute;left:3534;top:2963;width:83;height:28" fillcolor="black" stroked="f"/>
              <v:rect id="_x0000_s8496" style="position:absolute;left:3534;top:3019;width:83;height:28" fillcolor="black" stroked="f"/>
              <v:rect id="_x0000_s8497" style="position:absolute;left:3520;top:2991;width:111;height:14" fillcolor="black" stroked="f"/>
              <v:rect id="_x0000_s8498" style="position:absolute;left:3520;top:3005;width:111;height:14" fillcolor="black" stroked="f"/>
              <v:rect id="_x0000_s8499" style="position:absolute;left:3520;top:3005;width:111;height:14" fillcolor="black" stroked="f"/>
              <v:rect id="_x0000_s8500" style="position:absolute;left:3520;top:2991;width:111;height:14" fillcolor="black" stroked="f"/>
              <v:oval id="_x0000_s8501" style="position:absolute;left:3520;top:2950;width:97;height:97" filled="f" strokeweight=".7pt">
                <v:stroke endcap="round"/>
              </v:oval>
              <v:rect id="_x0000_s8502" style="position:absolute;left:3562;top:3353;width:28;height:111" fillcolor="black" stroked="f"/>
              <v:rect id="_x0000_s8503" style="position:absolute;left:3562;top:3353;width:28;height:14" fillcolor="black" stroked="f"/>
              <v:rect id="_x0000_s8504" style="position:absolute;left:3562;top:3450;width:28;height:14" fillcolor="black" stroked="f"/>
              <v:rect id="_x0000_s8505" style="position:absolute;left:3534;top:3367;width:83;height:28" fillcolor="black" stroked="f"/>
              <v:rect id="_x0000_s8506" style="position:absolute;left:3534;top:3423;width:83;height:27" fillcolor="black" stroked="f"/>
              <v:rect id="_x0000_s8507" style="position:absolute;left:3520;top:3395;width:111;height:14" fillcolor="black" stroked="f"/>
              <v:rect id="_x0000_s8508" style="position:absolute;left:3520;top:3409;width:111;height:14" fillcolor="black" stroked="f"/>
              <v:rect id="_x0000_s8509" style="position:absolute;left:3520;top:3409;width:111;height:14" fillcolor="black" stroked="f"/>
              <v:rect id="_x0000_s8510" style="position:absolute;left:3520;top:3395;width:111;height:14" fillcolor="black" stroked="f"/>
              <v:oval id="_x0000_s8511" style="position:absolute;left:3520;top:3353;width:97;height:97" filled="f" strokeweight=".7pt">
                <v:stroke endcap="round"/>
              </v:oval>
              <v:rect id="_x0000_s8512" style="position:absolute;left:3576;top:3548;width:27;height:111" fillcolor="black" stroked="f"/>
              <v:rect id="_x0000_s8513" style="position:absolute;left:3576;top:3548;width:27;height:14" fillcolor="black" stroked="f"/>
              <v:rect id="_x0000_s8514" style="position:absolute;left:3576;top:3645;width:27;height:14" fillcolor="black" stroked="f"/>
              <v:rect id="_x0000_s8515" style="position:absolute;left:3548;top:3562;width:83;height:28" fillcolor="black" stroked="f"/>
              <v:rect id="_x0000_s8516" style="position:absolute;left:3548;top:3617;width:83;height:28" fillcolor="black" stroked="f"/>
              <v:rect id="_x0000_s8517" style="position:absolute;left:3534;top:3590;width:111;height:13" fillcolor="black" stroked="f"/>
              <v:rect id="_x0000_s8518" style="position:absolute;left:3534;top:3603;width:111;height:14" fillcolor="black" stroked="f"/>
              <v:rect id="_x0000_s8519" style="position:absolute;left:3534;top:3603;width:111;height:14" fillcolor="black" stroked="f"/>
              <v:rect id="_x0000_s8520" style="position:absolute;left:3534;top:3590;width:111;height:13" fillcolor="black" stroked="f"/>
              <v:oval id="_x0000_s8521" style="position:absolute;left:3534;top:3548;width:97;height:97" filled="f" strokeweight=".7pt">
                <v:stroke endcap="round"/>
              </v:oval>
              <v:rect id="_x0000_s8522" style="position:absolute;left:3548;top:3951;width:28;height:112" fillcolor="black" stroked="f"/>
              <v:rect id="_x0000_s8523" style="position:absolute;left:3548;top:3951;width:28;height:14" fillcolor="black" stroked="f"/>
              <v:rect id="_x0000_s8524" style="position:absolute;left:3548;top:4049;width:28;height:14" fillcolor="black" stroked="f"/>
              <v:rect id="_x0000_s8525" style="position:absolute;left:3520;top:3965;width:83;height:28" fillcolor="black" stroked="f"/>
              <v:rect id="_x0000_s8526" style="position:absolute;left:3520;top:4021;width:83;height:28" fillcolor="black" stroked="f"/>
              <v:rect id="_x0000_s8527" style="position:absolute;left:3506;top:3993;width:111;height:14" fillcolor="black" stroked="f"/>
              <v:rect id="_x0000_s8528" style="position:absolute;left:3506;top:4007;width:111;height:14" fillcolor="black" stroked="f"/>
              <v:rect id="_x0000_s8529" style="position:absolute;left:3506;top:4007;width:111;height:14" fillcolor="black" stroked="f"/>
              <v:rect id="_x0000_s8530" style="position:absolute;left:3506;top:3993;width:111;height:14" fillcolor="black" stroked="f"/>
              <v:oval id="_x0000_s8531" style="position:absolute;left:3506;top:3951;width:97;height:98" filled="f" strokeweight=".7pt">
                <v:stroke endcap="round"/>
              </v:oval>
              <v:rect id="_x0000_s8532" style="position:absolute;left:3576;top:4146;width:27;height:111" fillcolor="black" stroked="f"/>
              <v:rect id="_x0000_s8533" style="position:absolute;left:3576;top:4146;width:27;height:14" fillcolor="black" stroked="f"/>
              <v:rect id="_x0000_s8534" style="position:absolute;left:3576;top:4243;width:27;height:14" fillcolor="black" stroked="f"/>
              <v:rect id="_x0000_s8535" style="position:absolute;left:3548;top:4160;width:83;height:28" fillcolor="black" stroked="f"/>
              <v:rect id="_x0000_s8536" style="position:absolute;left:3548;top:4216;width:83;height:27" fillcolor="black" stroked="f"/>
              <v:rect id="_x0000_s8537" style="position:absolute;left:3534;top:4188;width:111;height:14" fillcolor="black" stroked="f"/>
              <v:rect id="_x0000_s8538" style="position:absolute;left:3534;top:4202;width:111;height:14" fillcolor="black" stroked="f"/>
              <v:rect id="_x0000_s8539" style="position:absolute;left:3534;top:4202;width:111;height:14" fillcolor="black" stroked="f"/>
              <v:rect id="_x0000_s8540" style="position:absolute;left:3534;top:4188;width:111;height:14" fillcolor="black" stroked="f"/>
              <v:oval id="_x0000_s8541" style="position:absolute;left:3534;top:4146;width:97;height:97" filled="f" strokeweight=".7pt">
                <v:stroke endcap="round"/>
              </v:oval>
              <v:rect id="_x0000_s8542" style="position:absolute;left:3562;top:4550;width:28;height:111" fillcolor="black" stroked="f"/>
              <v:rect id="_x0000_s8543" style="position:absolute;left:3562;top:4550;width:28;height:13" fillcolor="black" stroked="f"/>
              <v:rect id="_x0000_s8544" style="position:absolute;left:3562;top:4647;width:28;height:14" fillcolor="black" stroked="f"/>
              <v:rect id="_x0000_s8545" style="position:absolute;left:3534;top:4563;width:83;height:28" fillcolor="black" stroked="f"/>
              <v:rect id="_x0000_s8546" style="position:absolute;left:3534;top:4619;width:83;height:28" fillcolor="black" stroked="f"/>
              <v:rect id="_x0000_s8547" style="position:absolute;left:3520;top:4591;width:111;height:14" fillcolor="black" stroked="f"/>
              <v:rect id="_x0000_s8548" style="position:absolute;left:3520;top:4605;width:111;height:14" fillcolor="black" stroked="f"/>
              <v:rect id="_x0000_s8549" style="position:absolute;left:3520;top:4605;width:111;height:14" fillcolor="black" stroked="f"/>
              <v:rect id="_x0000_s8550" style="position:absolute;left:3520;top:4591;width:111;height:14" fillcolor="black" stroked="f"/>
              <v:oval id="_x0000_s8551" style="position:absolute;left:3520;top:4550;width:97;height:97" filled="f" strokeweight=".7pt">
                <v:stroke endcap="round"/>
              </v:oval>
              <v:rect id="_x0000_s8552" style="position:absolute;left:3576;top:4744;width:27;height:112" fillcolor="black" stroked="f"/>
              <v:rect id="_x0000_s8553" style="position:absolute;left:3576;top:4744;width:27;height:14" fillcolor="black" stroked="f"/>
              <v:rect id="_x0000_s8554" style="position:absolute;left:3576;top:4842;width:27;height:14" fillcolor="black" stroked="f"/>
              <v:rect id="_x0000_s8555" style="position:absolute;left:3548;top:4758;width:83;height:28" fillcolor="black" stroked="f"/>
              <v:rect id="_x0000_s8556" style="position:absolute;left:3548;top:4814;width:83;height:28" fillcolor="black" stroked="f"/>
              <v:rect id="_x0000_s8557" style="position:absolute;left:3534;top:4786;width:111;height:14" fillcolor="black" stroked="f"/>
              <v:rect id="_x0000_s8558" style="position:absolute;left:3534;top:4800;width:111;height:14" fillcolor="black" stroked="f"/>
              <v:rect id="_x0000_s8559" style="position:absolute;left:3534;top:4800;width:111;height:14" fillcolor="black" stroked="f"/>
              <v:rect id="_x0000_s8560" style="position:absolute;left:3534;top:4786;width:111;height:14" fillcolor="black" stroked="f"/>
              <v:oval id="_x0000_s8561" style="position:absolute;left:3534;top:4744;width:97;height:98" filled="f" strokeweight=".7pt">
                <v:stroke endcap="round"/>
              </v:oval>
              <v:rect id="_x0000_s8562" style="position:absolute;left:3993;top:5148;width:28;height:111" fillcolor="black" stroked="f"/>
              <v:rect id="_x0000_s8563" style="position:absolute;left:3993;top:5148;width:28;height:14" fillcolor="black" stroked="f"/>
              <v:rect id="_x0000_s8564" style="position:absolute;left:3993;top:5245;width:28;height:14" fillcolor="black" stroked="f"/>
              <v:rect id="_x0000_s8565" style="position:absolute;left:3965;top:5162;width:84;height:28" fillcolor="black" stroked="f"/>
              <v:rect id="_x0000_s8566" style="position:absolute;left:3965;top:5217;width:84;height:28" fillcolor="black" stroked="f"/>
              <v:rect id="_x0000_s8567" style="position:absolute;left:3951;top:5190;width:112;height:13" fillcolor="black" stroked="f"/>
              <v:rect id="_x0000_s8568" style="position:absolute;left:3951;top:5203;width:112;height:14" fillcolor="black" stroked="f"/>
              <v:rect id="_x0000_s8569" style="position:absolute;left:3951;top:5203;width:112;height:14" fillcolor="black" stroked="f"/>
              <v:rect id="_x0000_s8570" style="position:absolute;left:3951;top:5190;width:112;height:13" fillcolor="black" stroked="f"/>
              <v:oval id="_x0000_s8571" style="position:absolute;left:3951;top:5148;width:98;height:97" filled="f" strokeweight=".7pt">
                <v:stroke endcap="round"/>
              </v:oval>
              <v:rect id="_x0000_s8572" style="position:absolute;left:3590;top:5357;width:27;height:111" fillcolor="black" stroked="f"/>
              <v:rect id="_x0000_s8573" style="position:absolute;left:3590;top:5357;width:27;height:13" fillcolor="black" stroked="f"/>
              <v:rect id="_x0000_s8574" style="position:absolute;left:3590;top:5454;width:27;height:14" fillcolor="black" stroked="f"/>
              <v:rect id="_x0000_s8575" style="position:absolute;left:3562;top:5370;width:83;height:28" fillcolor="black" stroked="f"/>
              <v:rect id="_x0000_s8576" style="position:absolute;left:3562;top:5426;width:83;height:28" fillcolor="black" stroked="f"/>
              <v:rect id="_x0000_s8577" style="position:absolute;left:3548;top:5398;width:111;height:14" fillcolor="black" stroked="f"/>
              <v:rect id="_x0000_s8578" style="position:absolute;left:3548;top:5412;width:111;height:14" fillcolor="black" stroked="f"/>
              <v:rect id="_x0000_s8579" style="position:absolute;left:3548;top:5412;width:111;height:14" fillcolor="black" stroked="f"/>
              <v:rect id="_x0000_s8580" style="position:absolute;left:3548;top:5398;width:111;height:14" fillcolor="black" stroked="f"/>
              <v:oval id="_x0000_s8581" style="position:absolute;left:3548;top:5357;width:97;height:97" filled="f" strokeweight=".7pt">
                <v:stroke endcap="round"/>
              </v:oval>
              <v:rect id="_x0000_s8582" style="position:absolute;left:4285;top:5746;width:28;height:111" fillcolor="black" stroked="f"/>
              <v:rect id="_x0000_s8583" style="position:absolute;left:4285;top:5746;width:28;height:14" fillcolor="black" stroked="f"/>
              <v:rect id="_x0000_s8584" style="position:absolute;left:4285;top:5843;width:28;height:14" fillcolor="black" stroked="f"/>
              <v:rect id="_x0000_s8585" style="position:absolute;left:4257;top:5760;width:84;height:28" fillcolor="black" stroked="f"/>
              <v:rect id="_x0000_s8586" style="position:absolute;left:4257;top:5816;width:84;height:27" fillcolor="black" stroked="f"/>
              <v:rect id="_x0000_s8587" style="position:absolute;left:4243;top:5788;width:112;height:14" fillcolor="black" stroked="f"/>
              <v:rect id="_x0000_s8588" style="position:absolute;left:4243;top:5802;width:112;height:14" fillcolor="black" stroked="f"/>
              <v:rect id="_x0000_s8589" style="position:absolute;left:4243;top:5802;width:112;height:14" fillcolor="black" stroked="f"/>
              <v:rect id="_x0000_s8590" style="position:absolute;left:4243;top:5788;width:112;height:14" fillcolor="black" stroked="f"/>
              <v:oval id="_x0000_s8591" style="position:absolute;left:4243;top:5746;width:98;height:97" filled="f" strokeweight=".7pt">
                <v:stroke endcap="round"/>
              </v:oval>
              <v:rect id="_x0000_s8592" style="position:absolute;left:3603;top:5955;width:28;height:111" fillcolor="black" stroked="f"/>
              <v:rect id="_x0000_s8593" style="position:absolute;left:3603;top:5955;width:28;height:14" fillcolor="black" stroked="f"/>
              <v:rect id="_x0000_s8594" style="position:absolute;left:3603;top:6052;width:28;height:14" fillcolor="black" stroked="f"/>
              <v:rect id="_x0000_s8595" style="position:absolute;left:3576;top:5969;width:83;height:28" fillcolor="black" stroked="f"/>
              <v:rect id="_x0000_s8596" style="position:absolute;left:3576;top:6024;width:83;height:28" fillcolor="black" stroked="f"/>
              <v:rect id="_x0000_s8597" style="position:absolute;left:3562;top:5997;width:111;height:13" fillcolor="black" stroked="f"/>
              <v:rect id="_x0000_s8598" style="position:absolute;left:3562;top:6010;width:111;height:14" fillcolor="black" stroked="f"/>
              <v:rect id="_x0000_s8599" style="position:absolute;left:3562;top:6010;width:111;height:14" fillcolor="black" stroked="f"/>
              <v:rect id="_x0000_s8600" style="position:absolute;left:3562;top:5997;width:111;height:13" fillcolor="black" stroked="f"/>
              <v:oval id="_x0000_s8601" style="position:absolute;left:3562;top:5955;width:97;height:97" filled="f" strokeweight=".7pt">
                <v:stroke endcap="round"/>
              </v:oval>
              <v:rect id="_x0000_s8602" style="position:absolute;left:5064;top:6344;width:28;height:112" fillcolor="black" stroked="f"/>
              <v:rect id="_x0000_s8603" style="position:absolute;left:5064;top:6344;width:28;height:14" fillcolor="black" stroked="f"/>
              <v:rect id="_x0000_s8604" style="position:absolute;left:5064;top:6442;width:28;height:14" fillcolor="black" stroked="f"/>
              <v:rect id="_x0000_s8605" style="position:absolute;left:5037;top:6358;width:83;height:28" fillcolor="black" stroked="f"/>
              <v:rect id="_x0000_s8606" style="position:absolute;left:5037;top:6414;width:83;height:28" fillcolor="black" stroked="f"/>
              <v:rect id="_x0000_s8607" style="position:absolute;left:5023;top:6386;width:111;height:14" fillcolor="black" stroked="f"/>
              <v:rect id="_x0000_s8608" style="position:absolute;left:5023;top:6400;width:111;height:14" fillcolor="black" stroked="f"/>
              <v:rect id="_x0000_s8609" style="position:absolute;left:5023;top:6400;width:111;height:14" fillcolor="black" stroked="f"/>
              <v:rect id="_x0000_s8610" style="position:absolute;left:5023;top:6386;width:111;height:14" fillcolor="black" stroked="f"/>
              <v:oval id="_x0000_s8611" style="position:absolute;left:5023;top:6344;width:97;height:98" filled="f" strokeweight=".7pt">
                <v:stroke endcap="round"/>
              </v:oval>
              <v:rect id="_x0000_s8612" style="position:absolute;left:3770;top:6553;width:28;height:111" fillcolor="black" stroked="f"/>
              <v:rect id="_x0000_s8613" style="position:absolute;left:3770;top:6553;width:28;height:14" fillcolor="black" stroked="f"/>
              <v:rect id="_x0000_s8614" style="position:absolute;left:3770;top:6650;width:28;height:14" fillcolor="black" stroked="f"/>
              <v:rect id="_x0000_s8615" style="position:absolute;left:3743;top:6567;width:83;height:28" fillcolor="black" stroked="f"/>
              <v:rect id="_x0000_s8616" style="position:absolute;left:3743;top:6623;width:83;height:27" fillcolor="black" stroked="f"/>
              <v:rect id="_x0000_s8617" style="position:absolute;left:3729;top:6595;width:111;height:14" fillcolor="black" stroked="f"/>
              <v:rect id="_x0000_s8618" style="position:absolute;left:3729;top:6609;width:111;height:14" fillcolor="black" stroked="f"/>
              <v:rect id="_x0000_s8619" style="position:absolute;left:3729;top:6609;width:111;height:14" fillcolor="black" stroked="f"/>
              <v:rect id="_x0000_s8620" style="position:absolute;left:3729;top:6595;width:111;height:14" fillcolor="black" stroked="f"/>
              <v:oval id="_x0000_s8621" style="position:absolute;left:3729;top:6553;width:97;height:97" filled="f" strokeweight=".7pt">
                <v:stroke endcap="round"/>
              </v:oval>
            </v:group>
            <v:rect id="_x0000_s8622" style="position:absolute;left:3617;top:6943;width:28;height:111" fillcolor="black" stroked="f"/>
            <v:rect id="_x0000_s8623" style="position:absolute;left:3617;top:6943;width:28;height:14" fillcolor="black" stroked="f"/>
            <v:rect id="_x0000_s8624" style="position:absolute;left:3617;top:7040;width:28;height:14" fillcolor="black" stroked="f"/>
            <v:rect id="_x0000_s8625" style="position:absolute;left:3590;top:6957;width:83;height:27" fillcolor="black" stroked="f"/>
            <v:rect id="_x0000_s8626" style="position:absolute;left:3590;top:7012;width:83;height:28" fillcolor="black" stroked="f"/>
            <v:rect id="_x0000_s8627" style="position:absolute;left:3576;top:6984;width:111;height:14" fillcolor="black" stroked="f"/>
            <v:rect id="_x0000_s8628" style="position:absolute;left:3576;top:6998;width:111;height:14" fillcolor="black" stroked="f"/>
            <v:rect id="_x0000_s8629" style="position:absolute;left:3576;top:6998;width:111;height:14" fillcolor="black" stroked="f"/>
            <v:rect id="_x0000_s8630" style="position:absolute;left:3576;top:6984;width:111;height:14" fillcolor="black" stroked="f"/>
            <v:oval id="_x0000_s8631" style="position:absolute;left:3576;top:6943;width:97;height:97" filled="f" strokeweight=".7pt">
              <v:stroke endcap="round"/>
            </v:oval>
            <v:rect id="_x0000_s8632" style="position:absolute;left:3576;top:7151;width:27;height:112" fillcolor="black" stroked="f"/>
            <v:rect id="_x0000_s8633" style="position:absolute;left:3576;top:7151;width:27;height:14" fillcolor="black" stroked="f"/>
            <v:rect id="_x0000_s8634" style="position:absolute;left:3576;top:7249;width:27;height:14" fillcolor="black" stroked="f"/>
            <v:rect id="_x0000_s8635" style="position:absolute;left:3548;top:7165;width:83;height:28" fillcolor="black" stroked="f"/>
            <v:rect id="_x0000_s8636" style="position:absolute;left:3548;top:7221;width:83;height:28" fillcolor="black" stroked="f"/>
            <v:rect id="_x0000_s8637" style="position:absolute;left:3534;top:7193;width:111;height:14" fillcolor="black" stroked="f"/>
            <v:rect id="_x0000_s8638" style="position:absolute;left:3534;top:7207;width:111;height:14" fillcolor="black" stroked="f"/>
            <v:rect id="_x0000_s8639" style="position:absolute;left:3534;top:7207;width:111;height:14" fillcolor="black" stroked="f"/>
            <v:rect id="_x0000_s8640" style="position:absolute;left:3534;top:7193;width:111;height:14" fillcolor="black" stroked="f"/>
            <v:oval id="_x0000_s8641" style="position:absolute;left:3534;top:7151;width:97;height:98" filled="f" strokeweight=".7pt">
              <v:stroke endcap="round"/>
            </v:oval>
            <v:rect id="_x0000_s8642" style="position:absolute;left:4230;top:7541;width:27;height:111" fillcolor="black" stroked="f"/>
            <v:rect id="_x0000_s8643" style="position:absolute;left:4230;top:7541;width:27;height:14" fillcolor="black" stroked="f"/>
            <v:rect id="_x0000_s8644" style="position:absolute;left:4230;top:7638;width:27;height:14" fillcolor="black" stroked="f"/>
            <v:rect id="_x0000_s8645" style="position:absolute;left:4202;top:7555;width:83;height:28" fillcolor="black" stroked="f"/>
            <v:rect id="_x0000_s8646" style="position:absolute;left:4202;top:7610;width:83;height:28" fillcolor="black" stroked="f"/>
            <v:rect id="_x0000_s8647" style="position:absolute;left:4188;top:7583;width:111;height:14" fillcolor="black" stroked="f"/>
            <v:rect id="_x0000_s8648" style="position:absolute;left:4188;top:7597;width:111;height:13" fillcolor="black" stroked="f"/>
            <v:rect id="_x0000_s8649" style="position:absolute;left:4188;top:7597;width:111;height:13" fillcolor="black" stroked="f"/>
            <v:rect id="_x0000_s8650" style="position:absolute;left:4188;top:7583;width:111;height:14" fillcolor="black" stroked="f"/>
            <v:oval id="_x0000_s8651" style="position:absolute;left:4188;top:7541;width:97;height:97" filled="f" strokeweight=".7pt">
              <v:stroke endcap="round"/>
            </v:oval>
            <v:rect id="_x0000_s8652" style="position:absolute;left:4063;top:7750;width:27;height:111" fillcolor="black" stroked="f"/>
            <v:rect id="_x0000_s8653" style="position:absolute;left:4063;top:7750;width:27;height:13" fillcolor="black" stroked="f"/>
            <v:rect id="_x0000_s8654" style="position:absolute;left:4063;top:7847;width:27;height:14" fillcolor="black" stroked="f"/>
            <v:rect id="_x0000_s8655" style="position:absolute;left:4035;top:7763;width:83;height:28" fillcolor="black" stroked="f"/>
            <v:rect id="_x0000_s8656" style="position:absolute;left:4035;top:7819;width:83;height:28" fillcolor="black" stroked="f"/>
            <v:rect id="_x0000_s8657" style="position:absolute;left:4021;top:7791;width:111;height:14" fillcolor="black" stroked="f"/>
            <v:rect id="_x0000_s8658" style="position:absolute;left:4021;top:7805;width:111;height:14" fillcolor="black" stroked="f"/>
            <v:rect id="_x0000_s8659" style="position:absolute;left:4021;top:7805;width:111;height:14" fillcolor="black" stroked="f"/>
            <v:rect id="_x0000_s8660" style="position:absolute;left:4021;top:7791;width:111;height:14" fillcolor="black" stroked="f"/>
            <v:oval id="_x0000_s8661" style="position:absolute;left:4021;top:7750;width:97;height:97" filled="f" strokeweight=".7pt">
              <v:stroke endcap="round"/>
            </v:oval>
            <v:line id="_x0000_s8662" style="position:absolute" from="3339,1016" to="3896,1016" strokeweight="1.4pt">
              <v:stroke endcap="round"/>
            </v:line>
            <v:line id="_x0000_s8663" style="position:absolute" from="3951,1210" to="4160,1210" strokeweight="1.4pt">
              <v:stroke endcap="round"/>
            </v:line>
            <v:line id="_x0000_s8664" style="position:absolute" from="3437,1614" to="3687,1614" strokeweight="1.4pt">
              <v:stroke endcap="round"/>
            </v:line>
            <v:line id="_x0000_s8665" style="position:absolute" from="3242,1809" to="3339,1809" strokeweight="1.4pt">
              <v:stroke endcap="round"/>
            </v:line>
            <v:line id="_x0000_s8666" style="position:absolute" from="3423,2212" to="3770,2212" strokeweight="1.4pt">
              <v:stroke endcap="round"/>
            </v:line>
            <v:line id="_x0000_s8667" style="position:absolute" from="3603,2407" to="3743,2407" strokeweight="1.4pt">
              <v:stroke endcap="round"/>
            </v:line>
            <v:line id="_x0000_s8668" style="position:absolute" from="3437,2810" to="3617,2810" strokeweight="1.4pt">
              <v:stroke endcap="round"/>
            </v:line>
            <v:line id="_x0000_s8669" style="position:absolute" from="3534,3005" to="3631,3005" strokeweight="1.4pt">
              <v:stroke endcap="round"/>
            </v:line>
            <v:line id="_x0000_s8670" style="position:absolute" from="3450,3409" to="3715,3409" strokeweight="1.4pt">
              <v:stroke endcap="round"/>
            </v:line>
            <v:line id="_x0000_s8671" style="position:absolute" from="3548,3603" to="3631,3603" strokeweight="1.4pt">
              <v:stroke endcap="round"/>
            </v:line>
            <v:line id="_x0000_s8672" style="position:absolute" from="3339,4007" to="3757,4007" strokeweight="1.4pt">
              <v:stroke endcap="round"/>
            </v:line>
            <v:line id="_x0000_s8673" style="position:absolute" from="3520,4202" to="3659,4202" strokeweight="1.4pt">
              <v:stroke endcap="round"/>
            </v:line>
            <v:line id="_x0000_s8674" style="position:absolute" from="3437,4605" to="3715,4605" strokeweight="1.4pt">
              <v:stroke endcap="round"/>
            </v:line>
            <v:line id="_x0000_s8675" style="position:absolute" from="3548,4800" to="3645,4800" strokeweight="1.4pt">
              <v:stroke endcap="round"/>
            </v:line>
            <v:line id="_x0000_s8676" style="position:absolute" from="3534,5203" to="4703,5203" strokeweight="1.4pt">
              <v:stroke endcap="round"/>
            </v:line>
            <v:line id="_x0000_s8677" style="position:absolute" from="3283,5412" to="4104,5412" strokeweight="1.4pt">
              <v:stroke endcap="round"/>
            </v:line>
            <v:line id="_x0000_s8678" style="position:absolute" from="3729,5802" to="5176,5802" strokeweight="1.4pt">
              <v:stroke endcap="round"/>
            </v:line>
            <v:line id="_x0000_s8679" style="position:absolute" from="3283,6010" to="4132,6010" strokeweight="1.4pt">
              <v:stroke endcap="round"/>
            </v:line>
            <v:line id="_x0000_s8680" style="position:absolute" from="4202,6400" to="6442,6400" strokeweight="1.4pt">
              <v:stroke endcap="round"/>
            </v:line>
            <v:line id="_x0000_s8681" style="position:absolute" from="3381,6609" to="4424,6609" strokeweight="1.4pt">
              <v:stroke endcap="round"/>
            </v:line>
            <v:line id="_x0000_s8682" style="position:absolute" from="3381,6998" to="3951,6998" strokeweight="1.4pt">
              <v:stroke endcap="round"/>
            </v:line>
            <v:line id="_x0000_s8683" style="position:absolute" from="3353,7207" to="3910,7207" strokeweight="1.4pt">
              <v:stroke endcap="round"/>
            </v:line>
            <v:line id="_x0000_s8684" style="position:absolute" from="3840,7597" to="4758,7597" strokeweight="1.4pt">
              <v:stroke endcap="round"/>
            </v:line>
            <v:line id="_x0000_s8685" style="position:absolute" from="3715,7805" to="4563,7805" strokeweight="1.4pt">
              <v:stroke endcap="round"/>
            </v:line>
            <v:line id="_x0000_s8686" style="position:absolute;flip:y" from="3339,974" to="3339,1057" strokeweight="1.4pt">
              <v:stroke endcap="round"/>
            </v:line>
            <v:line id="_x0000_s8687" style="position:absolute;flip:y" from="3951,1169" to="3951,1252" strokeweight="1.4pt">
              <v:stroke endcap="round"/>
            </v:line>
            <v:line id="_x0000_s8688" style="position:absolute;flip:y" from="3437,1572" to="3437,1656" strokeweight="1.4pt">
              <v:stroke endcap="round"/>
            </v:line>
            <v:line id="_x0000_s8689" style="position:absolute;flip:y" from="3242,1767" to="3242,1850" strokeweight="1.4pt">
              <v:stroke endcap="round"/>
            </v:line>
            <v:line id="_x0000_s8690" style="position:absolute;flip:y" from="3423,2170" to="3423,2254" strokeweight="1.4pt">
              <v:stroke endcap="round"/>
            </v:line>
            <v:line id="_x0000_s8691" style="position:absolute;flip:y" from="3603,2365" to="3603,2449" strokeweight="1.4pt">
              <v:stroke endcap="round"/>
            </v:line>
            <v:line id="_x0000_s8692" style="position:absolute;flip:y" from="3437,2769" to="3437,2852" strokeweight="1.4pt">
              <v:stroke endcap="round"/>
            </v:line>
            <v:line id="_x0000_s8693" style="position:absolute;flip:y" from="3534,2977" to="3534,3047" strokeweight="1.4pt">
              <v:stroke endcap="round"/>
            </v:line>
            <v:line id="_x0000_s8694" style="position:absolute;flip:y" from="3450,3367" to="3450,3450" strokeweight="1.4pt">
              <v:stroke endcap="round"/>
            </v:line>
            <v:line id="_x0000_s8695" style="position:absolute;flip:y" from="3548,3576" to="3548,3645" strokeweight="1.4pt">
              <v:stroke endcap="round"/>
            </v:line>
            <v:line id="_x0000_s8696" style="position:absolute;flip:y" from="3339,3965" to="3339,4049" strokeweight="1.4pt">
              <v:stroke endcap="round"/>
            </v:line>
            <v:line id="_x0000_s8697" style="position:absolute;flip:y" from="3520,4174" to="3520,4243" strokeweight="1.4pt">
              <v:stroke endcap="round"/>
            </v:line>
            <v:line id="_x0000_s8698" style="position:absolute;flip:y" from="3437,4563" to="3437,4647" strokeweight="1.4pt">
              <v:stroke endcap="round"/>
            </v:line>
            <v:line id="_x0000_s8699" style="position:absolute;flip:y" from="3548,4772" to="3548,4842" strokeweight="1.4pt">
              <v:stroke endcap="round"/>
            </v:line>
            <v:line id="_x0000_s8700" style="position:absolute;flip:y" from="3534,5162" to="3534,5245" strokeweight="1.4pt">
              <v:stroke endcap="round"/>
            </v:line>
            <v:line id="_x0000_s8701" style="position:absolute;flip:y" from="3283,5370" to="3283,5440" strokeweight="1.4pt">
              <v:stroke endcap="round"/>
            </v:line>
            <v:line id="_x0000_s8702" style="position:absolute;flip:y" from="3729,5760" to="3729,5843" strokeweight="1.4pt">
              <v:stroke endcap="round"/>
            </v:line>
            <v:line id="_x0000_s8703" style="position:absolute;flip:y" from="3283,5969" to="3283,6038" strokeweight="1.4pt">
              <v:stroke endcap="round"/>
            </v:line>
            <v:line id="_x0000_s8704" style="position:absolute;flip:y" from="4202,6358" to="4202,6442" strokeweight="1.4pt">
              <v:stroke endcap="round"/>
            </v:line>
            <v:line id="_x0000_s8705" style="position:absolute;flip:y" from="3381,6567" to="3381,6637" strokeweight="1.4pt">
              <v:stroke endcap="round"/>
            </v:line>
            <v:line id="_x0000_s8706" style="position:absolute;flip:y" from="3381,6957" to="3381,7040" strokeweight="1.4pt">
              <v:stroke endcap="round"/>
            </v:line>
            <v:line id="_x0000_s8707" style="position:absolute;flip:y" from="3353,7165" to="3353,7249" strokeweight="1.4pt">
              <v:stroke endcap="round"/>
            </v:line>
            <v:line id="_x0000_s8708" style="position:absolute;flip:y" from="3840,7555" to="3840,7638" strokeweight="1.4pt">
              <v:stroke endcap="round"/>
            </v:line>
            <v:line id="_x0000_s8709" style="position:absolute;flip:y" from="3715,7763" to="3715,7847" strokeweight="1.4pt">
              <v:stroke endcap="round"/>
            </v:line>
            <v:line id="_x0000_s8710" style="position:absolute;flip:y" from="3896,974" to="3896,1057" strokeweight="1.4pt">
              <v:stroke endcap="round"/>
            </v:line>
            <v:line id="_x0000_s8711" style="position:absolute;flip:y" from="4160,1169" to="4160,1252" strokeweight="1.4pt">
              <v:stroke endcap="round"/>
            </v:line>
            <v:line id="_x0000_s8712" style="position:absolute;flip:y" from="3687,1572" to="3687,1656" strokeweight="1.4pt">
              <v:stroke endcap="round"/>
            </v:line>
            <v:line id="_x0000_s8713" style="position:absolute;flip:y" from="3339,1767" to="3339,1850" strokeweight="1.4pt">
              <v:stroke endcap="round"/>
            </v:line>
            <v:line id="_x0000_s8714" style="position:absolute;flip:y" from="3770,2170" to="3770,2254" strokeweight="1.4pt">
              <v:stroke endcap="round"/>
            </v:line>
            <v:line id="_x0000_s8715" style="position:absolute;flip:y" from="3743,2365" to="3743,2449" strokeweight="1.4pt">
              <v:stroke endcap="round"/>
            </v:line>
            <v:line id="_x0000_s8716" style="position:absolute;flip:y" from="3617,2769" to="3617,2852" strokeweight="1.4pt">
              <v:stroke endcap="round"/>
            </v:line>
            <v:line id="_x0000_s8717" style="position:absolute;flip:y" from="3631,2977" to="3631,3047" strokeweight="1.4pt">
              <v:stroke endcap="round"/>
            </v:line>
            <v:line id="_x0000_s8718" style="position:absolute;flip:y" from="3715,3367" to="3715,3450" strokeweight="1.4pt">
              <v:stroke endcap="round"/>
            </v:line>
            <v:line id="_x0000_s8719" style="position:absolute;flip:y" from="3631,3576" to="3631,3645" strokeweight="1.4pt">
              <v:stroke endcap="round"/>
            </v:line>
            <v:line id="_x0000_s8720" style="position:absolute;flip:y" from="3757,3965" to="3757,4049" strokeweight="1.4pt">
              <v:stroke endcap="round"/>
            </v:line>
            <v:line id="_x0000_s8721" style="position:absolute;flip:y" from="3659,4174" to="3659,4243" strokeweight="1.4pt">
              <v:stroke endcap="round"/>
            </v:line>
            <v:line id="_x0000_s8722" style="position:absolute;flip:y" from="3715,4563" to="3715,4647" strokeweight="1.4pt">
              <v:stroke endcap="round"/>
            </v:line>
            <v:line id="_x0000_s8723" style="position:absolute;flip:y" from="3645,4772" to="3645,4842" strokeweight="1.4pt">
              <v:stroke endcap="round"/>
            </v:line>
            <v:line id="_x0000_s8724" style="position:absolute;flip:y" from="4703,5162" to="4703,5245" strokeweight="1.4pt">
              <v:stroke endcap="round"/>
            </v:line>
            <v:line id="_x0000_s8725" style="position:absolute;flip:y" from="4104,5370" to="4104,5440" strokeweight="1.4pt">
              <v:stroke endcap="round"/>
            </v:line>
            <v:line id="_x0000_s8726" style="position:absolute;flip:y" from="5176,5760" to="5176,5843" strokeweight="1.4pt">
              <v:stroke endcap="round"/>
            </v:line>
            <v:line id="_x0000_s8727" style="position:absolute;flip:y" from="4132,5969" to="4132,6038" strokeweight="1.4pt">
              <v:stroke endcap="round"/>
            </v:line>
            <v:line id="_x0000_s8728" style="position:absolute;flip:y" from="6442,6358" to="6442,6442" strokeweight="1.4pt">
              <v:stroke endcap="round"/>
            </v:line>
            <v:line id="_x0000_s8729" style="position:absolute;flip:y" from="4424,6567" to="4424,6637" strokeweight="1.4pt">
              <v:stroke endcap="round"/>
            </v:line>
            <v:line id="_x0000_s8730" style="position:absolute;flip:y" from="3951,6957" to="3951,7040" strokeweight="1.4pt">
              <v:stroke endcap="round"/>
            </v:line>
            <v:line id="_x0000_s8731" style="position:absolute;flip:y" from="3910,7165" to="3910,7249" strokeweight="1.4pt">
              <v:stroke endcap="round"/>
            </v:line>
            <v:line id="_x0000_s8732" style="position:absolute;flip:y" from="4758,7555" to="4758,7638" strokeweight="1.4pt">
              <v:stroke endcap="round"/>
            </v:line>
            <v:line id="_x0000_s8733" style="position:absolute;flip:y" from="4563,7763" to="4563,7847" strokeweight="1.4pt">
              <v:stroke endcap="round"/>
            </v:line>
            <v:line id="_x0000_s8734" style="position:absolute" from="2602,8292" to="6567,8292" strokeweight=".7pt">
              <v:stroke endcap="round"/>
            </v:line>
            <v:line id="_x0000_s8735" style="position:absolute" from="2602,8292" to="2602,8417" strokeweight=".7pt">
              <v:stroke endcap="round"/>
            </v:line>
            <v:line id="_x0000_s8736" style="position:absolute" from="2852,8292" to="2852,8417" strokeweight=".7pt">
              <v:stroke endcap="round"/>
            </v:line>
            <v:line id="_x0000_s8737" style="position:absolute" from="3103,8292" to="3103,8417" strokeweight=".7pt">
              <v:stroke endcap="round"/>
            </v:line>
            <v:line id="_x0000_s8738" style="position:absolute" from="3353,8292" to="3353,8417" strokeweight=".7pt">
              <v:stroke endcap="round"/>
            </v:line>
            <v:line id="_x0000_s8739" style="position:absolute" from="3603,8292" to="3603,8417" strokeweight=".7pt">
              <v:stroke endcap="round"/>
            </v:line>
            <v:line id="_x0000_s8740" style="position:absolute" from="3840,8292" to="3840,8417" strokeweight=".7pt">
              <v:stroke endcap="round"/>
            </v:line>
            <v:line id="_x0000_s8741" style="position:absolute" from="4090,8292" to="4090,8417" strokeweight=".7pt">
              <v:stroke endcap="round"/>
            </v:line>
            <v:line id="_x0000_s8742" style="position:absolute" from="4341,8292" to="4341,8417" strokeweight=".7pt">
              <v:stroke endcap="round"/>
            </v:line>
            <v:line id="_x0000_s8743" style="position:absolute" from="4591,8292" to="4591,8417" strokeweight=".7pt">
              <v:stroke endcap="round"/>
            </v:line>
            <v:line id="_x0000_s8744" style="position:absolute" from="4842,8292" to="4842,8417" strokeweight=".7pt">
              <v:stroke endcap="round"/>
            </v:line>
            <v:line id="_x0000_s8745" style="position:absolute" from="5078,8292" to="5078,8417" strokeweight=".7pt">
              <v:stroke endcap="round"/>
            </v:line>
            <v:line id="_x0000_s8746" style="position:absolute" from="5329,8292" to="5329,8417" strokeweight=".7pt">
              <v:stroke endcap="round"/>
            </v:line>
            <v:line id="_x0000_s8747" style="position:absolute" from="5579,8292" to="5579,8417" strokeweight=".7pt">
              <v:stroke endcap="round"/>
            </v:line>
            <v:line id="_x0000_s8748" style="position:absolute" from="5830,8292" to="5830,8417" strokeweight=".7pt">
              <v:stroke endcap="round"/>
            </v:line>
            <v:line id="_x0000_s8749" style="position:absolute" from="6080,8292" to="6080,8417" strokeweight=".7pt">
              <v:stroke endcap="round"/>
            </v:line>
            <v:line id="_x0000_s8750" style="position:absolute" from="6330,8292" to="6330,8417" strokeweight=".7pt">
              <v:stroke endcap="round"/>
            </v:line>
            <v:line id="_x0000_s8751" style="position:absolute" from="6567,8292" to="6567,8417" strokeweight=".7pt">
              <v:stroke endcap="round"/>
            </v:line>
            <v:rect id="_x0000_s8752" style="position:absolute;left:2484;top:8528;width:112;height:470" filled="f" stroked="f">
              <v:textbox style="mso-next-textbox:#_x0000_s8752;mso-rotate-with-shape:t;mso-fit-shape-to-text:t" inset="0,0,0,0">
                <w:txbxContent>
                  <w:p w:rsidR="000367FA" w:rsidRDefault="000367FA" w:rsidP="00D54414">
                    <w:r>
                      <w:rPr>
                        <w:rFonts w:ascii="Arial" w:hAnsi="Arial" w:cs="Arial"/>
                        <w:b/>
                        <w:bCs/>
                        <w:color w:val="000000"/>
                        <w:sz w:val="20"/>
                      </w:rPr>
                      <w:t>0</w:t>
                    </w:r>
                  </w:p>
                </w:txbxContent>
              </v:textbox>
            </v:rect>
            <v:rect id="_x0000_s8753" style="position:absolute;left:2895;top:8528;width:279;height:700" filled="f" stroked="f">
              <v:textbox style="mso-next-textbox:#_x0000_s8753;mso-rotate-with-shape:t;mso-fit-shape-to-text:t" inset="0,0,0,0">
                <w:txbxContent>
                  <w:p w:rsidR="000367FA" w:rsidRDefault="000367FA" w:rsidP="00D54414">
                    <w:r>
                      <w:rPr>
                        <w:rFonts w:ascii="Arial" w:hAnsi="Arial" w:cs="Arial"/>
                        <w:b/>
                        <w:bCs/>
                        <w:color w:val="000000"/>
                        <w:sz w:val="20"/>
                      </w:rPr>
                      <w:t>0.5</w:t>
                    </w:r>
                  </w:p>
                </w:txbxContent>
              </v:textbox>
            </v:rect>
            <v:rect id="_x0000_s8754" style="position:absolute;left:3485;top:8528;width:112;height:470" filled="f" stroked="f">
              <v:textbox style="mso-next-textbox:#_x0000_s8754;mso-rotate-with-shape:t;mso-fit-shape-to-text:t" inset="0,0,0,0">
                <w:txbxContent>
                  <w:p w:rsidR="000367FA" w:rsidRDefault="000367FA" w:rsidP="00D54414">
                    <w:r>
                      <w:rPr>
                        <w:rFonts w:ascii="Arial" w:hAnsi="Arial" w:cs="Arial"/>
                        <w:b/>
                        <w:bCs/>
                        <w:color w:val="000000"/>
                        <w:sz w:val="20"/>
                      </w:rPr>
                      <w:t>1</w:t>
                    </w:r>
                  </w:p>
                </w:txbxContent>
              </v:textbox>
            </v:rect>
            <v:rect id="_x0000_s8755" style="position:absolute;left:3882;top:8528;width:279;height:700" filled="f" stroked="f">
              <v:textbox style="mso-next-textbox:#_x0000_s8755;mso-rotate-with-shape:t;mso-fit-shape-to-text:t" inset="0,0,0,0">
                <w:txbxContent>
                  <w:p w:rsidR="000367FA" w:rsidRDefault="000367FA" w:rsidP="00D54414">
                    <w:r>
                      <w:rPr>
                        <w:rFonts w:ascii="Arial" w:hAnsi="Arial" w:cs="Arial"/>
                        <w:b/>
                        <w:bCs/>
                        <w:color w:val="000000"/>
                        <w:sz w:val="20"/>
                      </w:rPr>
                      <w:t>1.5</w:t>
                    </w:r>
                  </w:p>
                </w:txbxContent>
              </v:textbox>
            </v:rect>
            <v:rect id="_x0000_s8756" style="position:absolute;left:4473;top:8528;width:112;height:470" filled="f" stroked="f">
              <v:textbox style="mso-next-textbox:#_x0000_s8756;mso-rotate-with-shape:t;mso-fit-shape-to-text:t" inset="0,0,0,0">
                <w:txbxContent>
                  <w:p w:rsidR="000367FA" w:rsidRDefault="000367FA" w:rsidP="00D54414">
                    <w:r>
                      <w:rPr>
                        <w:rFonts w:ascii="Arial" w:hAnsi="Arial" w:cs="Arial"/>
                        <w:b/>
                        <w:bCs/>
                        <w:color w:val="000000"/>
                        <w:sz w:val="20"/>
                      </w:rPr>
                      <w:t>2</w:t>
                    </w:r>
                  </w:p>
                </w:txbxContent>
              </v:textbox>
            </v:rect>
            <v:rect id="_x0000_s8757" style="position:absolute;left:4870;top:8528;width:279;height:700" filled="f" stroked="f">
              <v:textbox style="mso-next-textbox:#_x0000_s8757;mso-rotate-with-shape:t;mso-fit-shape-to-text:t" inset="0,0,0,0">
                <w:txbxContent>
                  <w:p w:rsidR="000367FA" w:rsidRDefault="000367FA" w:rsidP="00D54414">
                    <w:r>
                      <w:rPr>
                        <w:rFonts w:ascii="Arial" w:hAnsi="Arial" w:cs="Arial"/>
                        <w:b/>
                        <w:bCs/>
                        <w:color w:val="000000"/>
                        <w:sz w:val="20"/>
                      </w:rPr>
                      <w:t>2.5</w:t>
                    </w:r>
                  </w:p>
                </w:txbxContent>
              </v:textbox>
            </v:rect>
            <v:rect id="_x0000_s8758" style="position:absolute;left:5461;top:8528;width:112;height:470" filled="f" stroked="f">
              <v:textbox style="mso-next-textbox:#_x0000_s8758;mso-rotate-with-shape:t;mso-fit-shape-to-text:t" inset="0,0,0,0">
                <w:txbxContent>
                  <w:p w:rsidR="000367FA" w:rsidRDefault="000367FA" w:rsidP="00D54414">
                    <w:r>
                      <w:rPr>
                        <w:rFonts w:ascii="Arial" w:hAnsi="Arial" w:cs="Arial"/>
                        <w:b/>
                        <w:bCs/>
                        <w:color w:val="000000"/>
                        <w:sz w:val="20"/>
                      </w:rPr>
                      <w:t>3</w:t>
                    </w:r>
                  </w:p>
                </w:txbxContent>
              </v:textbox>
            </v:rect>
            <v:rect id="_x0000_s8759" style="position:absolute;left:5872;top:8528;width:279;height:700" filled="f" stroked="f">
              <v:textbox style="mso-next-textbox:#_x0000_s8759;mso-rotate-with-shape:t;mso-fit-shape-to-text:t" inset="0,0,0,0">
                <w:txbxContent>
                  <w:p w:rsidR="000367FA" w:rsidRDefault="000367FA" w:rsidP="00D54414">
                    <w:r>
                      <w:rPr>
                        <w:rFonts w:ascii="Arial" w:hAnsi="Arial" w:cs="Arial"/>
                        <w:b/>
                        <w:bCs/>
                        <w:color w:val="000000"/>
                        <w:sz w:val="20"/>
                      </w:rPr>
                      <w:t>3.5</w:t>
                    </w:r>
                  </w:p>
                </w:txbxContent>
              </v:textbox>
            </v:rect>
            <v:rect id="_x0000_s8760" style="position:absolute;left:6449;top:8528;width:112;height:470" filled="f" stroked="f">
              <v:textbox style="mso-next-textbox:#_x0000_s8760;mso-rotate-with-shape:t;mso-fit-shape-to-text:t" inset="0,0,0,0">
                <w:txbxContent>
                  <w:p w:rsidR="000367FA" w:rsidRDefault="000367FA" w:rsidP="00D54414">
                    <w:r>
                      <w:rPr>
                        <w:rFonts w:ascii="Arial" w:hAnsi="Arial" w:cs="Arial"/>
                        <w:b/>
                        <w:bCs/>
                        <w:color w:val="000000"/>
                        <w:sz w:val="20"/>
                      </w:rPr>
                      <w:t>4</w:t>
                    </w:r>
                  </w:p>
                </w:txbxContent>
              </v:textbox>
            </v:rect>
            <v:line id="_x0000_s8761" style="position:absolute;flip:y" from="2393,821" to="2393,8000" strokeweight=".7pt">
              <v:stroke endcap="round"/>
            </v:line>
            <v:rect id="_x0000_s8762" style="position:absolute;left:1697;top:7736;width:436;height:608" filled="f" stroked="f">
              <v:textbox style="mso-next-textbox:#_x0000_s8762;mso-rotate-with-shape:t;mso-fit-shape-to-text:t" inset="0,0,0,0">
                <w:txbxContent>
                  <w:p w:rsidR="000367FA" w:rsidRDefault="000367FA" w:rsidP="00D54414">
                    <w:r>
                      <w:rPr>
                        <w:rFonts w:ascii="Arial" w:hAnsi="Arial" w:cs="Arial"/>
                        <w:b/>
                        <w:bCs/>
                        <w:color w:val="000000"/>
                        <w:sz w:val="16"/>
                        <w:szCs w:val="16"/>
                      </w:rPr>
                      <w:t>Cmax</w:t>
                    </w:r>
                  </w:p>
                </w:txbxContent>
              </v:textbox>
            </v:rect>
            <v:rect id="_x0000_s8763" style="position:absolute;left:1697;top:7138;width:436;height:608" filled="f" stroked="f">
              <v:textbox style="mso-next-textbox:#_x0000_s8763;mso-rotate-with-shape:t;mso-fit-shape-to-text:t" inset="0,0,0,0">
                <w:txbxContent>
                  <w:p w:rsidR="000367FA" w:rsidRDefault="000367FA" w:rsidP="00D54414">
                    <w:r>
                      <w:rPr>
                        <w:rFonts w:ascii="Arial" w:hAnsi="Arial" w:cs="Arial"/>
                        <w:b/>
                        <w:bCs/>
                        <w:color w:val="000000"/>
                        <w:sz w:val="16"/>
                        <w:szCs w:val="16"/>
                      </w:rPr>
                      <w:t>Cmax</w:t>
                    </w:r>
                  </w:p>
                </w:txbxContent>
              </v:textbox>
            </v:rect>
            <v:rect id="_x0000_s8764" style="position:absolute;left:1795;top:6943;width:347;height:608" filled="f" stroked="f">
              <v:textbox style="mso-next-textbox:#_x0000_s8764;mso-rotate-with-shape:t;mso-fit-shape-to-text:t" inset="0,0,0,0">
                <w:txbxContent>
                  <w:p w:rsidR="000367FA" w:rsidRDefault="000367FA" w:rsidP="00D54414">
                    <w:r>
                      <w:rPr>
                        <w:rFonts w:ascii="Arial" w:hAnsi="Arial" w:cs="Arial"/>
                        <w:b/>
                        <w:bCs/>
                        <w:color w:val="000000"/>
                        <w:sz w:val="16"/>
                        <w:szCs w:val="16"/>
                      </w:rPr>
                      <w:t>AUC</w:t>
                    </w:r>
                  </w:p>
                </w:txbxContent>
              </v:textbox>
            </v:rect>
            <v:rect id="_x0000_s8765" style="position:absolute;left:1795;top:6344;width:347;height:608" filled="f" stroked="f">
              <v:textbox style="mso-next-textbox:#_x0000_s8765;mso-rotate-with-shape:t;mso-fit-shape-to-text:t" inset="0,0,0,0">
                <w:txbxContent>
                  <w:p w:rsidR="000367FA" w:rsidRDefault="000367FA" w:rsidP="00D54414">
                    <w:r>
                      <w:rPr>
                        <w:rFonts w:ascii="Arial" w:hAnsi="Arial" w:cs="Arial"/>
                        <w:b/>
                        <w:bCs/>
                        <w:color w:val="000000"/>
                        <w:sz w:val="16"/>
                        <w:szCs w:val="16"/>
                      </w:rPr>
                      <w:t>AUC</w:t>
                    </w:r>
                  </w:p>
                </w:txbxContent>
              </v:textbox>
            </v:rect>
            <v:rect id="_x0000_s8766" style="position:absolute;left:1795;top:5746;width:347;height:608" filled="f" stroked="f">
              <v:textbox style="mso-next-textbox:#_x0000_s8766;mso-rotate-with-shape:t;mso-fit-shape-to-text:t" inset="0,0,0,0">
                <w:txbxContent>
                  <w:p w:rsidR="000367FA" w:rsidRDefault="000367FA" w:rsidP="00D54414">
                    <w:r>
                      <w:rPr>
                        <w:rFonts w:ascii="Arial" w:hAnsi="Arial" w:cs="Arial"/>
                        <w:b/>
                        <w:bCs/>
                        <w:color w:val="000000"/>
                        <w:sz w:val="16"/>
                        <w:szCs w:val="16"/>
                      </w:rPr>
                      <w:t>AUC</w:t>
                    </w:r>
                  </w:p>
                </w:txbxContent>
              </v:textbox>
            </v:rect>
            <v:rect id="_x0000_s8767" style="position:absolute;left:1697;top:5343;width:436;height:608" filled="f" stroked="f">
              <v:textbox style="mso-next-textbox:#_x0000_s8767;mso-rotate-with-shape:t;mso-fit-shape-to-text:t" inset="0,0,0,0">
                <w:txbxContent>
                  <w:p w:rsidR="000367FA" w:rsidRDefault="000367FA" w:rsidP="00D54414">
                    <w:r>
                      <w:rPr>
                        <w:rFonts w:ascii="Arial" w:hAnsi="Arial" w:cs="Arial"/>
                        <w:b/>
                        <w:bCs/>
                        <w:color w:val="000000"/>
                        <w:sz w:val="16"/>
                        <w:szCs w:val="16"/>
                      </w:rPr>
                      <w:t>Cmax</w:t>
                    </w:r>
                  </w:p>
                </w:txbxContent>
              </v:textbox>
            </v:rect>
            <v:rect id="_x0000_s8768" style="position:absolute;left:1697;top:4744;width:436;height:608" filled="f" stroked="f">
              <v:textbox style="mso-next-textbox:#_x0000_s8768;mso-rotate-with-shape:t;mso-fit-shape-to-text:t" inset="0,0,0,0">
                <w:txbxContent>
                  <w:p w:rsidR="000367FA" w:rsidRDefault="000367FA" w:rsidP="00D54414">
                    <w:r>
                      <w:rPr>
                        <w:rFonts w:ascii="Arial" w:hAnsi="Arial" w:cs="Arial"/>
                        <w:b/>
                        <w:bCs/>
                        <w:color w:val="000000"/>
                        <w:sz w:val="16"/>
                        <w:szCs w:val="16"/>
                      </w:rPr>
                      <w:t>Cmax</w:t>
                    </w:r>
                  </w:p>
                </w:txbxContent>
              </v:textbox>
            </v:rect>
            <v:rect id="_x0000_s8769" style="position:absolute;left:1697;top:4146;width:436;height:608" filled="f" stroked="f">
              <v:textbox style="mso-next-textbox:#_x0000_s8769;mso-rotate-with-shape:t;mso-fit-shape-to-text:t" inset="0,0,0,0">
                <w:txbxContent>
                  <w:p w:rsidR="000367FA" w:rsidRDefault="000367FA" w:rsidP="00D54414">
                    <w:r>
                      <w:rPr>
                        <w:rFonts w:ascii="Arial" w:hAnsi="Arial" w:cs="Arial"/>
                        <w:b/>
                        <w:bCs/>
                        <w:color w:val="000000"/>
                        <w:sz w:val="16"/>
                        <w:szCs w:val="16"/>
                      </w:rPr>
                      <w:t>Cmax</w:t>
                    </w:r>
                  </w:p>
                </w:txbxContent>
              </v:textbox>
            </v:rect>
            <v:rect id="_x0000_s8770" style="position:absolute;left:1697;top:3548;width:436;height:608" filled="f" stroked="f">
              <v:textbox style="mso-next-textbox:#_x0000_s8770;mso-rotate-with-shape:t;mso-fit-shape-to-text:t" inset="0,0,0,0">
                <w:txbxContent>
                  <w:p w:rsidR="000367FA" w:rsidRDefault="000367FA" w:rsidP="00D54414">
                    <w:r>
                      <w:rPr>
                        <w:rFonts w:ascii="Arial" w:hAnsi="Arial" w:cs="Arial"/>
                        <w:b/>
                        <w:bCs/>
                        <w:color w:val="000000"/>
                        <w:sz w:val="16"/>
                        <w:szCs w:val="16"/>
                      </w:rPr>
                      <w:t>Cmax</w:t>
                    </w:r>
                  </w:p>
                </w:txbxContent>
              </v:textbox>
            </v:rect>
            <v:rect id="_x0000_s8771" style="position:absolute;left:1697;top:2950;width:436;height:608" filled="f" stroked="f">
              <v:textbox style="mso-next-textbox:#_x0000_s8771;mso-rotate-with-shape:t;mso-fit-shape-to-text:t" inset="0,0,0,0">
                <w:txbxContent>
                  <w:p w:rsidR="000367FA" w:rsidRDefault="000367FA" w:rsidP="00D54414">
                    <w:r>
                      <w:rPr>
                        <w:rFonts w:ascii="Arial" w:hAnsi="Arial" w:cs="Arial"/>
                        <w:b/>
                        <w:bCs/>
                        <w:color w:val="000000"/>
                        <w:sz w:val="16"/>
                        <w:szCs w:val="16"/>
                      </w:rPr>
                      <w:t>Cmax</w:t>
                    </w:r>
                  </w:p>
                </w:txbxContent>
              </v:textbox>
            </v:rect>
            <v:rect id="_x0000_s8772" style="position:absolute;left:1697;top:2351;width:436;height:608" filled="f" stroked="f">
              <v:textbox style="mso-next-textbox:#_x0000_s8772;mso-rotate-with-shape:t;mso-fit-shape-to-text:t" inset="0,0,0,0">
                <w:txbxContent>
                  <w:p w:rsidR="000367FA" w:rsidRDefault="000367FA" w:rsidP="00D54414">
                    <w:r>
                      <w:rPr>
                        <w:rFonts w:ascii="Arial" w:hAnsi="Arial" w:cs="Arial"/>
                        <w:b/>
                        <w:bCs/>
                        <w:color w:val="000000"/>
                        <w:sz w:val="16"/>
                        <w:szCs w:val="16"/>
                      </w:rPr>
                      <w:t>Cmax</w:t>
                    </w:r>
                  </w:p>
                </w:txbxContent>
              </v:textbox>
            </v:rect>
            <v:rect id="_x0000_s8773" style="position:absolute;left:1697;top:1753;width:436;height:608" filled="f" stroked="f">
              <v:textbox style="mso-next-textbox:#_x0000_s8773;mso-rotate-with-shape:t;mso-fit-shape-to-text:t" inset="0,0,0,0">
                <w:txbxContent>
                  <w:p w:rsidR="000367FA" w:rsidRDefault="000367FA" w:rsidP="00D54414">
                    <w:r>
                      <w:rPr>
                        <w:rFonts w:ascii="Arial" w:hAnsi="Arial" w:cs="Arial"/>
                        <w:b/>
                        <w:bCs/>
                        <w:color w:val="000000"/>
                        <w:sz w:val="16"/>
                        <w:szCs w:val="16"/>
                      </w:rPr>
                      <w:t>Cmax</w:t>
                    </w:r>
                  </w:p>
                </w:txbxContent>
              </v:textbox>
            </v:rect>
            <v:group id="_x0000_s8774" style="position:absolute;left:1697;top:1544;width:445;height:6605" coordorigin="1697,1544" coordsize="445,6605">
              <v:rect id="_x0000_s8775" style="position:absolute;left:1795;top:7541;width:347;height:608" filled="f" stroked="f">
                <v:textbox style="mso-next-textbox:#_x0000_s8775;mso-rotate-with-shape:t;mso-fit-shape-to-text:t" inset="0,0,0,0">
                  <w:txbxContent>
                    <w:p w:rsidR="000367FA" w:rsidRDefault="000367FA" w:rsidP="00D54414">
                      <w:r>
                        <w:rPr>
                          <w:rFonts w:ascii="Arial" w:hAnsi="Arial" w:cs="Arial"/>
                          <w:b/>
                          <w:bCs/>
                          <w:color w:val="000000"/>
                          <w:sz w:val="16"/>
                          <w:szCs w:val="16"/>
                        </w:rPr>
                        <w:t>AUC</w:t>
                      </w:r>
                    </w:p>
                  </w:txbxContent>
                </v:textbox>
              </v:rect>
              <v:rect id="_x0000_s8776" style="position:absolute;left:1697;top:6539;width:436;height:608" filled="f" stroked="f">
                <v:textbox style="mso-next-textbox:#_x0000_s8776;mso-rotate-with-shape:t;mso-fit-shape-to-text:t" inset="0,0,0,0">
                  <w:txbxContent>
                    <w:p w:rsidR="000367FA" w:rsidRDefault="000367FA" w:rsidP="00D54414">
                      <w:r>
                        <w:rPr>
                          <w:rFonts w:ascii="Arial" w:hAnsi="Arial" w:cs="Arial"/>
                          <w:b/>
                          <w:bCs/>
                          <w:color w:val="000000"/>
                          <w:sz w:val="16"/>
                          <w:szCs w:val="16"/>
                        </w:rPr>
                        <w:t>Cmax</w:t>
                      </w:r>
                    </w:p>
                  </w:txbxContent>
                </v:textbox>
              </v:rect>
              <v:rect id="_x0000_s8777" style="position:absolute;left:1697;top:5941;width:436;height:608" filled="f" stroked="f">
                <v:textbox style="mso-next-textbox:#_x0000_s8777;mso-rotate-with-shape:t;mso-fit-shape-to-text:t" inset="0,0,0,0">
                  <w:txbxContent>
                    <w:p w:rsidR="000367FA" w:rsidRDefault="000367FA" w:rsidP="00D54414">
                      <w:r>
                        <w:rPr>
                          <w:rFonts w:ascii="Arial" w:hAnsi="Arial" w:cs="Arial"/>
                          <w:b/>
                          <w:bCs/>
                          <w:color w:val="000000"/>
                          <w:sz w:val="16"/>
                          <w:szCs w:val="16"/>
                        </w:rPr>
                        <w:t>Cmax</w:t>
                      </w:r>
                    </w:p>
                  </w:txbxContent>
                </v:textbox>
              </v:rect>
              <v:rect id="_x0000_s8778" style="position:absolute;left:1795;top:5148;width:347;height:608" filled="f" stroked="f">
                <v:textbox style="mso-next-textbox:#_x0000_s8778;mso-rotate-with-shape:t;mso-fit-shape-to-text:t" inset="0,0,0,0">
                  <w:txbxContent>
                    <w:p w:rsidR="000367FA" w:rsidRDefault="000367FA" w:rsidP="00D54414">
                      <w:r>
                        <w:rPr>
                          <w:rFonts w:ascii="Arial" w:hAnsi="Arial" w:cs="Arial"/>
                          <w:b/>
                          <w:bCs/>
                          <w:color w:val="000000"/>
                          <w:sz w:val="16"/>
                          <w:szCs w:val="16"/>
                        </w:rPr>
                        <w:t>AUC</w:t>
                      </w:r>
                    </w:p>
                  </w:txbxContent>
                </v:textbox>
              </v:rect>
              <v:rect id="_x0000_s8779" style="position:absolute;left:1795;top:4550;width:347;height:608" filled="f" stroked="f">
                <v:textbox style="mso-next-textbox:#_x0000_s8779;mso-rotate-with-shape:t;mso-fit-shape-to-text:t" inset="0,0,0,0">
                  <w:txbxContent>
                    <w:p w:rsidR="000367FA" w:rsidRDefault="000367FA" w:rsidP="00D54414">
                      <w:r>
                        <w:rPr>
                          <w:rFonts w:ascii="Arial" w:hAnsi="Arial" w:cs="Arial"/>
                          <w:b/>
                          <w:bCs/>
                          <w:color w:val="000000"/>
                          <w:sz w:val="16"/>
                          <w:szCs w:val="16"/>
                        </w:rPr>
                        <w:t>AUC</w:t>
                      </w:r>
                    </w:p>
                  </w:txbxContent>
                </v:textbox>
              </v:rect>
              <v:rect id="_x0000_s8780" style="position:absolute;left:1795;top:3951;width:347;height:608" filled="f" stroked="f">
                <v:textbox style="mso-next-textbox:#_x0000_s8780;mso-rotate-with-shape:t;mso-fit-shape-to-text:t" inset="0,0,0,0">
                  <w:txbxContent>
                    <w:p w:rsidR="000367FA" w:rsidRDefault="000367FA" w:rsidP="00D54414">
                      <w:r>
                        <w:rPr>
                          <w:rFonts w:ascii="Arial" w:hAnsi="Arial" w:cs="Arial"/>
                          <w:b/>
                          <w:bCs/>
                          <w:color w:val="000000"/>
                          <w:sz w:val="16"/>
                          <w:szCs w:val="16"/>
                        </w:rPr>
                        <w:t>AUC</w:t>
                      </w:r>
                    </w:p>
                  </w:txbxContent>
                </v:textbox>
              </v:rect>
              <v:rect id="_x0000_s8781" style="position:absolute;left:1795;top:3353;width:347;height:608" filled="f" stroked="f">
                <v:textbox style="mso-next-textbox:#_x0000_s8781;mso-rotate-with-shape:t;mso-fit-shape-to-text:t" inset="0,0,0,0">
                  <w:txbxContent>
                    <w:p w:rsidR="000367FA" w:rsidRDefault="000367FA" w:rsidP="00D54414">
                      <w:r>
                        <w:rPr>
                          <w:rFonts w:ascii="Arial" w:hAnsi="Arial" w:cs="Arial"/>
                          <w:b/>
                          <w:bCs/>
                          <w:color w:val="000000"/>
                          <w:sz w:val="16"/>
                          <w:szCs w:val="16"/>
                        </w:rPr>
                        <w:t>AUC</w:t>
                      </w:r>
                    </w:p>
                  </w:txbxContent>
                </v:textbox>
              </v:rect>
              <v:rect id="_x0000_s8782" style="position:absolute;left:1795;top:2755;width:347;height:608" filled="f" stroked="f">
                <v:textbox style="mso-next-textbox:#_x0000_s8782;mso-rotate-with-shape:t;mso-fit-shape-to-text:t" inset="0,0,0,0">
                  <w:txbxContent>
                    <w:p w:rsidR="000367FA" w:rsidRDefault="000367FA" w:rsidP="00D54414">
                      <w:r>
                        <w:rPr>
                          <w:rFonts w:ascii="Arial" w:hAnsi="Arial" w:cs="Arial"/>
                          <w:b/>
                          <w:bCs/>
                          <w:color w:val="000000"/>
                          <w:sz w:val="16"/>
                          <w:szCs w:val="16"/>
                        </w:rPr>
                        <w:t>AUC</w:t>
                      </w:r>
                    </w:p>
                  </w:txbxContent>
                </v:textbox>
              </v:rect>
              <v:rect id="_x0000_s8783" style="position:absolute;left:1795;top:2143;width:347;height:608" filled="f" stroked="f">
                <v:textbox style="mso-next-textbox:#_x0000_s8783;mso-rotate-with-shape:t;mso-fit-shape-to-text:t" inset="0,0,0,0">
                  <w:txbxContent>
                    <w:p w:rsidR="000367FA" w:rsidRDefault="000367FA" w:rsidP="00D54414">
                      <w:r>
                        <w:rPr>
                          <w:rFonts w:ascii="Arial" w:hAnsi="Arial" w:cs="Arial"/>
                          <w:b/>
                          <w:bCs/>
                          <w:color w:val="000000"/>
                          <w:sz w:val="16"/>
                          <w:szCs w:val="16"/>
                        </w:rPr>
                        <w:t>AUC</w:t>
                      </w:r>
                    </w:p>
                  </w:txbxContent>
                </v:textbox>
              </v:rect>
              <v:rect id="_x0000_s8784" style="position:absolute;left:1795;top:1544;width:347;height:608" filled="f" stroked="f">
                <v:textbox style="mso-next-textbox:#_x0000_s8784;mso-rotate-with-shape:t;mso-fit-shape-to-text:t" inset="0,0,0,0">
                  <w:txbxContent>
                    <w:p w:rsidR="000367FA" w:rsidRDefault="000367FA" w:rsidP="00D54414">
                      <w:r>
                        <w:rPr>
                          <w:rFonts w:ascii="Arial" w:hAnsi="Arial" w:cs="Arial"/>
                          <w:b/>
                          <w:bCs/>
                          <w:color w:val="000000"/>
                          <w:sz w:val="16"/>
                          <w:szCs w:val="16"/>
                        </w:rPr>
                        <w:t>AUC</w:t>
                      </w:r>
                    </w:p>
                  </w:txbxContent>
                </v:textbox>
              </v:rect>
            </v:group>
            <v:rect id="_x0000_s8785" style="position:absolute;left:1697;top:1155;width:436;height:608" filled="f" stroked="f">
              <v:textbox style="mso-next-textbox:#_x0000_s8785;mso-rotate-with-shape:t;mso-fit-shape-to-text:t" inset="0,0,0,0">
                <w:txbxContent>
                  <w:p w:rsidR="000367FA" w:rsidRDefault="000367FA" w:rsidP="00D54414">
                    <w:r>
                      <w:rPr>
                        <w:rFonts w:ascii="Arial" w:hAnsi="Arial" w:cs="Arial"/>
                        <w:b/>
                        <w:bCs/>
                        <w:color w:val="000000"/>
                        <w:sz w:val="16"/>
                        <w:szCs w:val="16"/>
                      </w:rPr>
                      <w:t>Cmax</w:t>
                    </w:r>
                  </w:p>
                </w:txbxContent>
              </v:textbox>
            </v:rect>
            <v:rect id="_x0000_s8786" style="position:absolute;left:1795;top:946;width:347;height:608" filled="f" stroked="f">
              <v:textbox style="mso-next-textbox:#_x0000_s8786;mso-rotate-with-shape:t;mso-fit-shape-to-text:t" inset="0,0,0,0">
                <w:txbxContent>
                  <w:p w:rsidR="000367FA" w:rsidRDefault="000367FA" w:rsidP="00D54414">
                    <w:r>
                      <w:rPr>
                        <w:rFonts w:ascii="Arial" w:hAnsi="Arial" w:cs="Arial"/>
                        <w:b/>
                        <w:bCs/>
                        <w:color w:val="000000"/>
                        <w:sz w:val="16"/>
                        <w:szCs w:val="16"/>
                      </w:rPr>
                      <w:t>AUC</w:t>
                    </w:r>
                  </w:p>
                </w:txbxContent>
              </v:textbox>
            </v:rect>
            <v:line id="_x0000_s8787" style="position:absolute;flip:y" from="3603,821" to="3603,8000" strokeweight=".7pt">
              <v:stroke endcap="round"/>
            </v:line>
            <v:rect id="_x0000_s8788" style="position:absolute;left:751;top:5343;width:475;height:424" filled="f" stroked="f">
              <v:textbox style="mso-next-textbox:#_x0000_s8788;mso-rotate-with-shape:t;mso-fit-shape-to-text:t" inset="0,0,0,0">
                <w:txbxContent>
                  <w:p w:rsidR="000367FA" w:rsidRDefault="000367FA" w:rsidP="00D54414">
                    <w:r>
                      <w:rPr>
                        <w:rFonts w:ascii="Arial" w:hAnsi="Arial" w:cs="Arial"/>
                        <w:color w:val="000000"/>
                        <w:sz w:val="16"/>
                        <w:szCs w:val="16"/>
                      </w:rPr>
                      <w:t>(Mild)</w:t>
                    </w:r>
                  </w:p>
                </w:txbxContent>
              </v:textbox>
            </v:rect>
            <v:rect id="_x0000_s8789" style="position:absolute;left:487;top:5941;width:783;height:608" filled="f" stroked="f">
              <v:textbox style="mso-next-textbox:#_x0000_s8789;mso-rotate-with-shape:t;mso-fit-shape-to-text:t" inset="0,0,0,0">
                <w:txbxContent>
                  <w:p w:rsidR="000367FA" w:rsidRDefault="000367FA" w:rsidP="00D54414">
                    <w:r>
                      <w:rPr>
                        <w:rFonts w:ascii="Arial" w:hAnsi="Arial" w:cs="Arial"/>
                        <w:color w:val="000000"/>
                        <w:sz w:val="16"/>
                        <w:szCs w:val="16"/>
                      </w:rPr>
                      <w:t xml:space="preserve">(Moderate) </w:t>
                    </w:r>
                  </w:p>
                </w:txbxContent>
              </v:textbox>
            </v:rect>
            <v:rect id="_x0000_s8790" style="position:absolute;left:612;top:6539;width:658;height:424" filled="f" stroked="f">
              <v:textbox style="mso-next-textbox:#_x0000_s8790;mso-rotate-with-shape:t;mso-fit-shape-to-text:t" inset="0,0,0,0">
                <w:txbxContent>
                  <w:p w:rsidR="000367FA" w:rsidRDefault="000367FA" w:rsidP="00D54414">
                    <w:r>
                      <w:rPr>
                        <w:rFonts w:ascii="Arial" w:hAnsi="Arial" w:cs="Arial"/>
                        <w:color w:val="000000"/>
                        <w:sz w:val="16"/>
                        <w:szCs w:val="16"/>
                      </w:rPr>
                      <w:t xml:space="preserve">(Severe) </w:t>
                    </w:r>
                  </w:p>
                </w:txbxContent>
              </v:textbox>
            </v:rect>
            <v:rect id="_x0000_s8791" style="position:absolute;left:751;top:7137;width:475;height:424" filled="f" stroked="f">
              <v:textbox style="mso-next-textbox:#_x0000_s8791;mso-rotate-with-shape:t;mso-fit-shape-to-text:t" inset="0,0,0,0">
                <w:txbxContent>
                  <w:p w:rsidR="000367FA" w:rsidRDefault="000367FA" w:rsidP="00D54414">
                    <w:r>
                      <w:rPr>
                        <w:rFonts w:ascii="Arial" w:hAnsi="Arial" w:cs="Arial"/>
                        <w:color w:val="000000"/>
                        <w:sz w:val="16"/>
                        <w:szCs w:val="16"/>
                      </w:rPr>
                      <w:t>(Mild)</w:t>
                    </w:r>
                  </w:p>
                </w:txbxContent>
              </v:textbox>
            </v:rect>
            <v:rect id="_x0000_s8792" style="position:absolute;left:487;top:7736;width:783;height:608" filled="f" stroked="f">
              <v:textbox style="mso-next-textbox:#_x0000_s8792;mso-rotate-with-shape:t;mso-fit-shape-to-text:t" inset="0,0,0,0">
                <w:txbxContent>
                  <w:p w:rsidR="000367FA" w:rsidRDefault="000367FA" w:rsidP="00D54414">
                    <w:r>
                      <w:rPr>
                        <w:rFonts w:ascii="Arial" w:hAnsi="Arial" w:cs="Arial"/>
                        <w:color w:val="000000"/>
                        <w:sz w:val="16"/>
                        <w:szCs w:val="16"/>
                      </w:rPr>
                      <w:t>(Moderate)</w:t>
                    </w:r>
                  </w:p>
                </w:txbxContent>
              </v:textbox>
            </v:rect>
            <v:rect id="_x0000_s8793" style="position:absolute;left:3082;top:8862;width:2948;height:792" filled="f" stroked="f">
              <v:textbox style="mso-next-textbox:#_x0000_s8793;mso-rotate-with-shape:t;mso-fit-shape-to-text:t" inset="0,0,0,0">
                <w:txbxContent>
                  <w:p w:rsidR="000367FA" w:rsidRDefault="000367FA" w:rsidP="00D54414">
                    <w:r>
                      <w:rPr>
                        <w:rFonts w:ascii="Arial" w:hAnsi="Arial" w:cs="Arial"/>
                        <w:b/>
                        <w:bCs/>
                        <w:color w:val="000000"/>
                      </w:rPr>
                      <w:t>Ratio relative to reference</w:t>
                    </w:r>
                  </w:p>
                </w:txbxContent>
              </v:textbox>
            </v:rect>
            <v:rect id="_x0000_s8794" style="position:absolute;left:752;top:570;width:734;height:792" filled="f" stroked="f">
              <v:textbox style="mso-next-textbox:#_x0000_s8794;mso-rotate-with-shape:t;mso-fit-shape-to-text:t" inset="0,0,0,0">
                <w:txbxContent>
                  <w:p w:rsidR="000367FA" w:rsidRDefault="000367FA" w:rsidP="00D54414">
                    <w:r>
                      <w:rPr>
                        <w:rFonts w:ascii="Arial" w:hAnsi="Arial" w:cs="Arial"/>
                        <w:b/>
                        <w:bCs/>
                        <w:color w:val="0000FF"/>
                      </w:rPr>
                      <w:t>Factor</w:t>
                    </w:r>
                  </w:p>
                </w:txbxContent>
              </v:textbox>
            </v:rect>
            <v:group id="_x0000_s8795" style="position:absolute;left:654;top:375;width:8171;height:792" coordorigin="654,375" coordsize="8171,792">
              <v:rect id="_x0000_s8796" style="position:absolute;left:654;top:375;width:934;height:792" filled="f" stroked="f">
                <v:textbox style="mso-next-textbox:#_x0000_s8796;mso-rotate-with-shape:t;mso-fit-shape-to-text:t" inset="0,0,0,0">
                  <w:txbxContent>
                    <w:p w:rsidR="000367FA" w:rsidRDefault="000367FA" w:rsidP="00D54414">
                      <w:r>
                        <w:rPr>
                          <w:rFonts w:ascii="Arial" w:hAnsi="Arial" w:cs="Arial"/>
                          <w:b/>
                          <w:bCs/>
                          <w:color w:val="0000FF"/>
                        </w:rPr>
                        <w:t>Intrinsic</w:t>
                      </w:r>
                    </w:p>
                  </w:txbxContent>
                </v:textbox>
              </v:rect>
              <v:rect id="_x0000_s8797" style="position:absolute;left:1907;top:375;width:334;height:792" filled="f" stroked="f">
                <v:textbox style="mso-next-textbox:#_x0000_s8797;mso-rotate-with-shape:t;mso-fit-shape-to-text:t" inset="0,0,0,0">
                  <w:txbxContent>
                    <w:p w:rsidR="000367FA" w:rsidRDefault="000367FA" w:rsidP="00D54414">
                      <w:r>
                        <w:rPr>
                          <w:rFonts w:ascii="Arial" w:hAnsi="Arial" w:cs="Arial"/>
                          <w:b/>
                          <w:bCs/>
                          <w:color w:val="0000FF"/>
                        </w:rPr>
                        <w:t xml:space="preserve">PK </w:t>
                      </w:r>
                    </w:p>
                  </w:txbxContent>
                </v:textbox>
              </v:rect>
              <v:rect id="_x0000_s8798" style="position:absolute;left:2881;top:375;width:1948;height:792" filled="f" stroked="f">
                <v:textbox style="mso-next-textbox:#_x0000_s8798;mso-rotate-with-shape:t;mso-fit-shape-to-text:t" inset="0,0,0,0">
                  <w:txbxContent>
                    <w:p w:rsidR="000367FA" w:rsidRDefault="000367FA" w:rsidP="00D54414">
                      <w:r>
                        <w:rPr>
                          <w:rFonts w:ascii="Arial" w:hAnsi="Arial" w:cs="Arial"/>
                          <w:b/>
                          <w:bCs/>
                          <w:color w:val="0000FF"/>
                        </w:rPr>
                        <w:t>Ratio and 90% CI</w:t>
                      </w:r>
                    </w:p>
                  </w:txbxContent>
                </v:textbox>
              </v:rect>
              <v:rect id="_x0000_s8799" style="position:absolute;left:6811;top:375;width:2014;height:792" filled="f" stroked="f">
                <v:textbox style="mso-next-textbox:#_x0000_s8799;mso-rotate-with-shape:t;mso-fit-shape-to-text:t" inset="0,0,0,0">
                  <w:txbxContent>
                    <w:p w:rsidR="000367FA" w:rsidRDefault="000367FA" w:rsidP="00D54414">
                      <w:r>
                        <w:rPr>
                          <w:rFonts w:ascii="Arial" w:hAnsi="Arial" w:cs="Arial"/>
                          <w:b/>
                          <w:bCs/>
                          <w:color w:val="0000FF"/>
                        </w:rPr>
                        <w:t>Recommendation</w:t>
                      </w:r>
                    </w:p>
                  </w:txbxContent>
                </v:textbox>
              </v:rect>
            </v:group>
            <v:group id="_x0000_s8800" style="position:absolute;left:-56;top:946;width:9296;height:7189" coordorigin="-56,946" coordsize="9296,7189">
              <v:rect id="_x0000_s8801" style="position:absolute;left:306;top:946;width:1072;height:608" filled="f" stroked="f">
                <v:textbox style="mso-next-textbox:#_x0000_s8801;mso-rotate-with-shape:t;mso-fit-shape-to-text:t" inset="0,0,0,0">
                  <w:txbxContent>
                    <w:p w:rsidR="000367FA" w:rsidRDefault="000367FA" w:rsidP="00D54414">
                      <w:r>
                        <w:rPr>
                          <w:rFonts w:ascii="Arial" w:hAnsi="Arial" w:cs="Arial"/>
                          <w:color w:val="000000"/>
                          <w:sz w:val="16"/>
                          <w:szCs w:val="16"/>
                        </w:rPr>
                        <w:t>Weight = 40 kg</w:t>
                      </w:r>
                    </w:p>
                  </w:txbxContent>
                </v:textbox>
              </v:rect>
              <v:rect id="_x0000_s8802" style="position:absolute;left:195;top:1544;width:1161;height:608" filled="f" stroked="f">
                <v:textbox style="mso-next-textbox:#_x0000_s8802;mso-rotate-with-shape:t;mso-fit-shape-to-text:t" inset="0,0,0,0">
                  <w:txbxContent>
                    <w:p w:rsidR="000367FA" w:rsidRDefault="000367FA" w:rsidP="00D54414">
                      <w:r>
                        <w:rPr>
                          <w:rFonts w:ascii="Arial" w:hAnsi="Arial" w:cs="Arial"/>
                          <w:color w:val="000000"/>
                          <w:sz w:val="16"/>
                          <w:szCs w:val="16"/>
                        </w:rPr>
                        <w:t>Weight = 140 kg</w:t>
                      </w:r>
                    </w:p>
                  </w:txbxContent>
                </v:textbox>
              </v:rect>
              <v:rect id="_x0000_s8803" style="position:absolute;left:292;top:2143;width:1081;height:608" filled="f" stroked="f">
                <v:textbox style="mso-next-textbox:#_x0000_s8803;mso-rotate-with-shape:t;mso-fit-shape-to-text:t" inset="0,0,0,0">
                  <w:txbxContent>
                    <w:p w:rsidR="000367FA" w:rsidRDefault="000367FA" w:rsidP="00D54414">
                      <w:r>
                        <w:rPr>
                          <w:rFonts w:ascii="Arial" w:hAnsi="Arial" w:cs="Arial"/>
                          <w:color w:val="000000"/>
                          <w:sz w:val="16"/>
                          <w:szCs w:val="16"/>
                        </w:rPr>
                        <w:t xml:space="preserve">Age = 80 years </w:t>
                      </w:r>
                    </w:p>
                  </w:txbxContent>
                </v:textbox>
              </v:rect>
              <v:rect id="_x0000_s8804" style="position:absolute;left:888;top:2771;width:670;height:424" filled="f" stroked="f">
                <v:textbox style="mso-next-textbox:#_x0000_s8804;mso-rotate-with-shape:t;mso-fit-shape-to-text:t" inset="0,0,0,0">
                  <w:txbxContent>
                    <w:p w:rsidR="000367FA" w:rsidRDefault="000367FA" w:rsidP="00D54414">
                      <w:r>
                        <w:rPr>
                          <w:rFonts w:ascii="Arial" w:hAnsi="Arial" w:cs="Arial"/>
                          <w:color w:val="000000"/>
                          <w:sz w:val="16"/>
                          <w:szCs w:val="16"/>
                        </w:rPr>
                        <w:t>Female</w:t>
                      </w:r>
                    </w:p>
                  </w:txbxContent>
                </v:textbox>
              </v:rect>
              <v:rect id="_x0000_s8805" style="position:absolute;left:1057;top:3339;width:401;height:608" filled="f" stroked="f">
                <v:textbox style="mso-next-textbox:#_x0000_s8805;mso-rotate-with-shape:t;mso-fit-shape-to-text:t" inset="0,0,0,0">
                  <w:txbxContent>
                    <w:p w:rsidR="000367FA" w:rsidRDefault="000367FA" w:rsidP="00D54414">
                      <w:r>
                        <w:rPr>
                          <w:rFonts w:ascii="Arial" w:hAnsi="Arial" w:cs="Arial"/>
                          <w:color w:val="000000"/>
                          <w:sz w:val="16"/>
                          <w:szCs w:val="16"/>
                        </w:rPr>
                        <w:t xml:space="preserve">Asian </w:t>
                      </w:r>
                    </w:p>
                  </w:txbxContent>
                </v:textbox>
              </v:rect>
              <v:rect id="_x0000_s8806" style="position:absolute;left:1071;top:3937;width:392;height:608" filled="f" stroked="f">
                <v:textbox style="mso-next-textbox:#_x0000_s8806;mso-rotate-with-shape:t;mso-fit-shape-to-text:t" inset="0,0,0,0">
                  <w:txbxContent>
                    <w:p w:rsidR="000367FA" w:rsidRDefault="000367FA" w:rsidP="00D54414">
                      <w:r>
                        <w:rPr>
                          <w:rFonts w:ascii="Arial" w:hAnsi="Arial" w:cs="Arial"/>
                          <w:color w:val="000000"/>
                          <w:sz w:val="16"/>
                          <w:szCs w:val="16"/>
                        </w:rPr>
                        <w:t xml:space="preserve">Black </w:t>
                      </w:r>
                    </w:p>
                  </w:txbxContent>
                </v:textbox>
              </v:rect>
              <v:rect id="_x0000_s8807" style="position:absolute;left:821;top:4536;width:614;height:608" filled="f" stroked="f">
                <v:textbox style="mso-next-textbox:#_x0000_s8807;mso-rotate-with-shape:t;mso-fit-shape-to-text:t" inset="0,0,0,0">
                  <w:txbxContent>
                    <w:p w:rsidR="000367FA" w:rsidRDefault="000367FA" w:rsidP="00D54414">
                      <w:r>
                        <w:rPr>
                          <w:rFonts w:ascii="Arial" w:hAnsi="Arial" w:cs="Arial"/>
                          <w:color w:val="000000"/>
                          <w:sz w:val="16"/>
                          <w:szCs w:val="16"/>
                        </w:rPr>
                        <w:t>Hispanic</w:t>
                      </w:r>
                    </w:p>
                  </w:txbxContent>
                </v:textbox>
              </v:rect>
              <v:rect id="_x0000_s8808" style="position:absolute;left:83;top:5134;width:1263;height:608" filled="f" stroked="f">
                <v:textbox style="mso-next-textbox:#_x0000_s8808;mso-rotate-with-shape:t;mso-fit-shape-to-text:t" inset="0,0,0,0">
                  <w:txbxContent>
                    <w:p w:rsidR="000367FA" w:rsidRDefault="000367FA" w:rsidP="00D54414">
                      <w:r>
                        <w:rPr>
                          <w:rFonts w:ascii="Arial" w:hAnsi="Arial" w:cs="Arial"/>
                          <w:color w:val="000000"/>
                          <w:sz w:val="16"/>
                          <w:szCs w:val="16"/>
                        </w:rPr>
                        <w:t xml:space="preserve">Renal Impairment </w:t>
                      </w:r>
                    </w:p>
                  </w:txbxContent>
                </v:textbox>
              </v:rect>
              <v:rect id="_x0000_s8809" style="position:absolute;left:83;top:5732;width:1263;height:608" filled="f" stroked="f">
                <v:textbox style="mso-next-textbox:#_x0000_s8809;mso-rotate-with-shape:t;mso-fit-shape-to-text:t" inset="0,0,0,0">
                  <w:txbxContent>
                    <w:p w:rsidR="000367FA" w:rsidRDefault="000367FA" w:rsidP="00D54414">
                      <w:r>
                        <w:rPr>
                          <w:rFonts w:ascii="Arial" w:hAnsi="Arial" w:cs="Arial"/>
                          <w:color w:val="000000"/>
                          <w:sz w:val="16"/>
                          <w:szCs w:val="16"/>
                        </w:rPr>
                        <w:t xml:space="preserve">Renal Impairment </w:t>
                      </w:r>
                    </w:p>
                  </w:txbxContent>
                </v:textbox>
              </v:rect>
              <v:rect id="_x0000_s8810" style="position:absolute;left:83;top:6330;width:1263;height:608" filled="f" stroked="f">
                <v:textbox style="mso-next-textbox:#_x0000_s8810;mso-rotate-with-shape:t;mso-fit-shape-to-text:t" inset="0,0,0,0">
                  <w:txbxContent>
                    <w:p w:rsidR="000367FA" w:rsidRDefault="000367FA" w:rsidP="00D54414">
                      <w:r>
                        <w:rPr>
                          <w:rFonts w:ascii="Arial" w:hAnsi="Arial" w:cs="Arial"/>
                          <w:color w:val="000000"/>
                          <w:sz w:val="16"/>
                          <w:szCs w:val="16"/>
                        </w:rPr>
                        <w:t xml:space="preserve">Renal Impairment </w:t>
                      </w:r>
                    </w:p>
                  </w:txbxContent>
                </v:textbox>
              </v:rect>
              <v:rect id="_x0000_s8811" style="position:absolute;left:-56;top:6929;width:1388;height:608" filled="f" stroked="f">
                <v:textbox style="mso-next-textbox:#_x0000_s8811;mso-rotate-with-shape:t;mso-fit-shape-to-text:t" inset="0,0,0,0">
                  <w:txbxContent>
                    <w:p w:rsidR="000367FA" w:rsidRDefault="000367FA" w:rsidP="00D54414">
                      <w:r>
                        <w:rPr>
                          <w:rFonts w:ascii="Arial" w:hAnsi="Arial" w:cs="Arial"/>
                          <w:color w:val="000000"/>
                          <w:sz w:val="16"/>
                          <w:szCs w:val="16"/>
                        </w:rPr>
                        <w:t xml:space="preserve">Hepatic Impairment </w:t>
                      </w:r>
                    </w:p>
                  </w:txbxContent>
                </v:textbox>
              </v:rect>
              <v:rect id="_x0000_s8812" style="position:absolute;left:-56;top:7527;width:1388;height:608" filled="f" stroked="f">
                <v:textbox style="mso-next-textbox:#_x0000_s8812;mso-rotate-with-shape:t;mso-fit-shape-to-text:t" inset="0,0,0,0">
                  <w:txbxContent>
                    <w:p w:rsidR="000367FA" w:rsidRDefault="000367FA" w:rsidP="00D54414">
                      <w:r>
                        <w:rPr>
                          <w:rFonts w:ascii="Arial" w:hAnsi="Arial" w:cs="Arial"/>
                          <w:color w:val="000000"/>
                          <w:sz w:val="16"/>
                          <w:szCs w:val="16"/>
                        </w:rPr>
                        <w:t xml:space="preserve">Hepatic Impairment </w:t>
                      </w:r>
                    </w:p>
                  </w:txbxContent>
                </v:textbox>
              </v:rect>
              <v:rect id="_x0000_s8813" style="position:absolute;left:7012;top:946;width:1468;height:608" filled="f" stroked="f">
                <v:textbox style="mso-next-textbox:#_x0000_s8813;mso-rotate-with-shape:t;mso-fit-shape-to-text:t" inset="0,0,0,0">
                  <w:txbxContent>
                    <w:p w:rsidR="000367FA" w:rsidRDefault="000367FA" w:rsidP="00D54414">
                      <w:r>
                        <w:rPr>
                          <w:rFonts w:ascii="Arial" w:hAnsi="Arial" w:cs="Arial"/>
                          <w:color w:val="000000"/>
                          <w:sz w:val="16"/>
                          <w:szCs w:val="16"/>
                        </w:rPr>
                        <w:t>No Dose Adjustment</w:t>
                      </w:r>
                    </w:p>
                  </w:txbxContent>
                </v:textbox>
              </v:rect>
              <v:rect id="_x0000_s8814" style="position:absolute;left:7012;top:1544;width:1468;height:608" filled="f" stroked="f">
                <v:textbox style="mso-next-textbox:#_x0000_s8814;mso-rotate-with-shape:t;mso-fit-shape-to-text:t" inset="0,0,0,0">
                  <w:txbxContent>
                    <w:p w:rsidR="000367FA" w:rsidRDefault="000367FA" w:rsidP="00D54414">
                      <w:r>
                        <w:rPr>
                          <w:rFonts w:ascii="Arial" w:hAnsi="Arial" w:cs="Arial"/>
                          <w:color w:val="000000"/>
                          <w:sz w:val="16"/>
                          <w:szCs w:val="16"/>
                        </w:rPr>
                        <w:t>No Dose Adjustment</w:t>
                      </w:r>
                    </w:p>
                  </w:txbxContent>
                </v:textbox>
              </v:rect>
              <v:rect id="_x0000_s8815" style="position:absolute;left:7012;top:2143;width:1468;height:608" filled="f" stroked="f">
                <v:textbox style="mso-next-textbox:#_x0000_s8815;mso-rotate-with-shape:t;mso-fit-shape-to-text:t" inset="0,0,0,0">
                  <w:txbxContent>
                    <w:p w:rsidR="000367FA" w:rsidRDefault="000367FA" w:rsidP="00D54414">
                      <w:r>
                        <w:rPr>
                          <w:rFonts w:ascii="Arial" w:hAnsi="Arial" w:cs="Arial"/>
                          <w:color w:val="000000"/>
                          <w:sz w:val="16"/>
                          <w:szCs w:val="16"/>
                        </w:rPr>
                        <w:t>No Dose Adjustment</w:t>
                      </w:r>
                    </w:p>
                  </w:txbxContent>
                </v:textbox>
              </v:rect>
              <v:rect id="_x0000_s8816" style="position:absolute;left:7012;top:2741;width:1468;height:608" filled="f" stroked="f">
                <v:textbox style="mso-next-textbox:#_x0000_s8816;mso-rotate-with-shape:t;mso-fit-shape-to-text:t" inset="0,0,0,0">
                  <w:txbxContent>
                    <w:p w:rsidR="000367FA" w:rsidRDefault="000367FA" w:rsidP="00D54414">
                      <w:r>
                        <w:rPr>
                          <w:rFonts w:ascii="Arial" w:hAnsi="Arial" w:cs="Arial"/>
                          <w:color w:val="000000"/>
                          <w:sz w:val="16"/>
                          <w:szCs w:val="16"/>
                        </w:rPr>
                        <w:t>No Dose Adjustment</w:t>
                      </w:r>
                    </w:p>
                  </w:txbxContent>
                </v:textbox>
              </v:rect>
              <v:rect id="_x0000_s8817" style="position:absolute;left:7012;top:3339;width:1468;height:608" filled="f" stroked="f">
                <v:textbox style="mso-next-textbox:#_x0000_s8817;mso-rotate-with-shape:t;mso-fit-shape-to-text:t" inset="0,0,0,0">
                  <w:txbxContent>
                    <w:p w:rsidR="000367FA" w:rsidRDefault="000367FA" w:rsidP="00D54414">
                      <w:r>
                        <w:rPr>
                          <w:rFonts w:ascii="Arial" w:hAnsi="Arial" w:cs="Arial"/>
                          <w:color w:val="000000"/>
                          <w:sz w:val="16"/>
                          <w:szCs w:val="16"/>
                        </w:rPr>
                        <w:t>No Dose Adjustment</w:t>
                      </w:r>
                    </w:p>
                  </w:txbxContent>
                </v:textbox>
              </v:rect>
              <v:rect id="_x0000_s8818" style="position:absolute;left:7012;top:3937;width:1468;height:608" filled="f" stroked="f">
                <v:textbox style="mso-next-textbox:#_x0000_s8818;mso-rotate-with-shape:t;mso-fit-shape-to-text:t" inset="0,0,0,0">
                  <w:txbxContent>
                    <w:p w:rsidR="000367FA" w:rsidRDefault="000367FA" w:rsidP="00D54414">
                      <w:r>
                        <w:rPr>
                          <w:rFonts w:ascii="Arial" w:hAnsi="Arial" w:cs="Arial"/>
                          <w:color w:val="000000"/>
                          <w:sz w:val="16"/>
                          <w:szCs w:val="16"/>
                        </w:rPr>
                        <w:t>No Dose Adjustment</w:t>
                      </w:r>
                    </w:p>
                  </w:txbxContent>
                </v:textbox>
              </v:rect>
              <v:rect id="_x0000_s8819" style="position:absolute;left:7012;top:4536;width:1468;height:608" filled="f" stroked="f">
                <v:textbox style="mso-next-textbox:#_x0000_s8819;mso-rotate-with-shape:t;mso-fit-shape-to-text:t" inset="0,0,0,0">
                  <w:txbxContent>
                    <w:p w:rsidR="000367FA" w:rsidRDefault="000367FA" w:rsidP="00D54414">
                      <w:r>
                        <w:rPr>
                          <w:rFonts w:ascii="Arial" w:hAnsi="Arial" w:cs="Arial"/>
                          <w:color w:val="000000"/>
                          <w:sz w:val="16"/>
                          <w:szCs w:val="16"/>
                        </w:rPr>
                        <w:t>No Dose Adjustment</w:t>
                      </w:r>
                    </w:p>
                  </w:txbxContent>
                </v:textbox>
              </v:rect>
              <v:rect id="_x0000_s8820" style="position:absolute;left:7012;top:5134;width:1468;height:608" filled="f" stroked="f">
                <v:textbox style="mso-next-textbox:#_x0000_s8820;mso-rotate-with-shape:t;mso-fit-shape-to-text:t" inset="0,0,0,0">
                  <w:txbxContent>
                    <w:p w:rsidR="000367FA" w:rsidRDefault="000367FA" w:rsidP="00D54414">
                      <w:r>
                        <w:rPr>
                          <w:rFonts w:ascii="Arial" w:hAnsi="Arial" w:cs="Arial"/>
                          <w:color w:val="000000"/>
                          <w:sz w:val="16"/>
                          <w:szCs w:val="16"/>
                        </w:rPr>
                        <w:t>No Dose Adjustment</w:t>
                      </w:r>
                    </w:p>
                  </w:txbxContent>
                </v:textbox>
              </v:rect>
              <v:rect id="_x0000_s8821" style="position:absolute;left:7012;top:6929;width:1468;height:608" filled="f" stroked="f">
                <v:textbox style="mso-next-textbox:#_x0000_s8821;mso-rotate-with-shape:t;mso-fit-shape-to-text:t" inset="0,0,0,0">
                  <w:txbxContent>
                    <w:p w:rsidR="000367FA" w:rsidRDefault="000367FA" w:rsidP="00D54414">
                      <w:r>
                        <w:rPr>
                          <w:rFonts w:ascii="Arial" w:hAnsi="Arial" w:cs="Arial"/>
                          <w:color w:val="000000"/>
                          <w:sz w:val="16"/>
                          <w:szCs w:val="16"/>
                        </w:rPr>
                        <w:t>No Dose Adjustment</w:t>
                      </w:r>
                    </w:p>
                  </w:txbxContent>
                </v:textbox>
              </v:rect>
              <v:rect id="_x0000_s8822" style="position:absolute;left:7018;top:7527;width:1807;height:473" filled="f" stroked="f">
                <v:textbox style="mso-next-textbox:#_x0000_s8822;mso-rotate-with-shape:t" inset="0,0,0,0">
                  <w:txbxContent>
                    <w:p w:rsidR="000367FA" w:rsidRDefault="000367FA" w:rsidP="00D54414">
                      <w:r w:rsidRPr="00A71FBA">
                        <w:rPr>
                          <w:rFonts w:ascii="Arial" w:hAnsi="Arial" w:cs="Arial"/>
                          <w:color w:val="000000"/>
                          <w:sz w:val="16"/>
                          <w:szCs w:val="16"/>
                        </w:rPr>
                        <w:t xml:space="preserve"> </w:t>
                      </w:r>
                      <w:r>
                        <w:rPr>
                          <w:rFonts w:ascii="Arial" w:hAnsi="Arial" w:cs="Arial"/>
                          <w:color w:val="000000"/>
                          <w:sz w:val="16"/>
                          <w:szCs w:val="16"/>
                        </w:rPr>
                        <w:t xml:space="preserve">Dose </w:t>
                      </w:r>
                      <w:proofErr w:type="spellStart"/>
                      <w:r>
                        <w:rPr>
                          <w:rFonts w:ascii="Arial" w:hAnsi="Arial" w:cs="Arial"/>
                          <w:color w:val="000000"/>
                          <w:sz w:val="16"/>
                          <w:szCs w:val="16"/>
                        </w:rPr>
                        <w:t>Adjustment</w:t>
                      </w:r>
                      <w:r w:rsidRPr="00993FFF">
                        <w:rPr>
                          <w:rFonts w:ascii="Arial" w:hAnsi="Arial" w:cs="Arial"/>
                          <w:color w:val="000000"/>
                          <w:sz w:val="18"/>
                          <w:szCs w:val="18"/>
                          <w:vertAlign w:val="superscript"/>
                        </w:rPr>
                        <w:t>a</w:t>
                      </w:r>
                      <w:proofErr w:type="spellEnd"/>
                    </w:p>
                  </w:txbxContent>
                </v:textbox>
              </v:rect>
              <v:rect id="_x0000_s8823" style="position:absolute;left:7000;top:6330;width:2240;height:279" filled="f" stroked="f">
                <v:textbox style="mso-next-textbox:#_x0000_s8823;mso-rotate-with-shape:t" inset="0,0,0,0">
                  <w:txbxContent>
                    <w:p w:rsidR="000367FA" w:rsidRDefault="000367FA" w:rsidP="00D54414">
                      <w:r>
                        <w:rPr>
                          <w:rFonts w:ascii="Arial" w:hAnsi="Arial" w:cs="Arial"/>
                          <w:color w:val="000000"/>
                          <w:sz w:val="16"/>
                          <w:szCs w:val="16"/>
                        </w:rPr>
                        <w:t xml:space="preserve">Dose </w:t>
                      </w:r>
                      <w:proofErr w:type="spellStart"/>
                      <w:r>
                        <w:rPr>
                          <w:rFonts w:ascii="Arial" w:hAnsi="Arial" w:cs="Arial"/>
                          <w:color w:val="000000"/>
                          <w:sz w:val="16"/>
                          <w:szCs w:val="16"/>
                        </w:rPr>
                        <w:t>Adjustment</w:t>
                      </w:r>
                      <w:r w:rsidRPr="00993FFF">
                        <w:rPr>
                          <w:rFonts w:ascii="Arial" w:hAnsi="Arial" w:cs="Arial"/>
                          <w:color w:val="000000"/>
                          <w:sz w:val="18"/>
                          <w:szCs w:val="18"/>
                          <w:vertAlign w:val="superscript"/>
                        </w:rPr>
                        <w:t>a</w:t>
                      </w:r>
                      <w:proofErr w:type="gramStart"/>
                      <w:r w:rsidRPr="00993FFF">
                        <w:rPr>
                          <w:rFonts w:ascii="Arial" w:hAnsi="Arial" w:cs="Arial"/>
                          <w:color w:val="000000"/>
                          <w:sz w:val="18"/>
                          <w:szCs w:val="18"/>
                          <w:vertAlign w:val="superscript"/>
                        </w:rPr>
                        <w:t>,b</w:t>
                      </w:r>
                      <w:proofErr w:type="spellEnd"/>
                      <w:proofErr w:type="gramEnd"/>
                      <w:r w:rsidRPr="00993FFF" w:rsidDel="00A71FBA">
                        <w:rPr>
                          <w:rFonts w:ascii="Arial" w:hAnsi="Arial" w:cs="Arial"/>
                          <w:color w:val="000000"/>
                          <w:sz w:val="18"/>
                          <w:szCs w:val="18"/>
                          <w:vertAlign w:val="superscript"/>
                        </w:rPr>
                        <w:t xml:space="preserve"> </w:t>
                      </w:r>
                    </w:p>
                  </w:txbxContent>
                </v:textbox>
              </v:rect>
              <v:group id="_x0000_s8824" style="position:absolute;left:7018;top:5732;width:2039;height:334" coordorigin="8510,7688" coordsize="2039,334">
                <v:rect id="_x0000_s8825" style="position:absolute;left:8510;top:7688;width:2039;height:334" filled="f" stroked="f">
                  <v:textbox style="mso-next-textbox:#_x0000_s8825;mso-rotate-with-shape:t" inset="0,0,0,0">
                    <w:txbxContent>
                      <w:p w:rsidR="000367FA" w:rsidRPr="00507A29" w:rsidRDefault="000367FA" w:rsidP="00D54414">
                        <w:pPr>
                          <w:spacing w:after="0"/>
                          <w:rPr>
                            <w:rFonts w:ascii="Arial" w:hAnsi="Arial" w:cs="Arial"/>
                            <w:color w:val="000000"/>
                            <w:sz w:val="16"/>
                            <w:szCs w:val="16"/>
                          </w:rPr>
                        </w:pPr>
                        <w:r>
                          <w:rPr>
                            <w:rFonts w:ascii="Arial" w:hAnsi="Arial" w:cs="Arial"/>
                            <w:color w:val="000000"/>
                            <w:sz w:val="16"/>
                            <w:szCs w:val="16"/>
                          </w:rPr>
                          <w:t xml:space="preserve">Dose </w:t>
                        </w:r>
                        <w:proofErr w:type="spellStart"/>
                        <w:r>
                          <w:rPr>
                            <w:rFonts w:ascii="Arial" w:hAnsi="Arial" w:cs="Arial"/>
                            <w:color w:val="000000"/>
                            <w:sz w:val="16"/>
                            <w:szCs w:val="16"/>
                          </w:rPr>
                          <w:t>Adjustment</w:t>
                        </w:r>
                        <w:r w:rsidRPr="00993FFF">
                          <w:rPr>
                            <w:rFonts w:ascii="Arial" w:hAnsi="Arial" w:cs="Arial"/>
                            <w:color w:val="000000"/>
                            <w:sz w:val="18"/>
                            <w:szCs w:val="18"/>
                            <w:vertAlign w:val="superscript"/>
                          </w:rPr>
                          <w:t>a</w:t>
                        </w:r>
                        <w:proofErr w:type="spellEnd"/>
                      </w:p>
                      <w:p w:rsidR="000367FA" w:rsidRPr="00507A29" w:rsidRDefault="000367FA" w:rsidP="00D54414">
                        <w:pPr>
                          <w:spacing w:after="0"/>
                          <w:rPr>
                            <w:rFonts w:ascii="Arial" w:hAnsi="Arial" w:cs="Arial"/>
                            <w:color w:val="000000"/>
                            <w:sz w:val="16"/>
                            <w:szCs w:val="16"/>
                          </w:rPr>
                        </w:pPr>
                      </w:p>
                    </w:txbxContent>
                  </v:textbox>
                </v:rect>
              </v:group>
            </v:group>
            <w10:wrap type="none"/>
            <w10:anchorlock/>
          </v:group>
        </w:pict>
      </w:r>
    </w:p>
    <w:p w:rsidR="00D54414" w:rsidRPr="001B7B07" w:rsidRDefault="00D54414" w:rsidP="00D54414">
      <w:pPr>
        <w:pStyle w:val="PIHeading3"/>
        <w:spacing w:after="240"/>
        <w:rPr>
          <w:b w:val="0"/>
          <w:i w:val="0"/>
          <w:sz w:val="20"/>
        </w:rPr>
      </w:pPr>
      <w:r w:rsidRPr="001B7B07">
        <w:rPr>
          <w:b w:val="0"/>
          <w:i w:val="0"/>
          <w:sz w:val="20"/>
        </w:rPr>
        <w:t>Abbreviations: AUC=total area under the concentration time curve; Cmax= maximum plasma concentration; PK=pharmacokinetics; CI=confidence interval</w:t>
      </w:r>
    </w:p>
    <w:p w:rsidR="00D54414" w:rsidRPr="001B7B07" w:rsidRDefault="00D54414" w:rsidP="00D54414">
      <w:pPr>
        <w:pStyle w:val="Paragraph"/>
        <w:jc w:val="both"/>
        <w:rPr>
          <w:sz w:val="20"/>
          <w:szCs w:val="20"/>
        </w:rPr>
      </w:pPr>
      <w:r w:rsidRPr="001B7B07">
        <w:rPr>
          <w:sz w:val="20"/>
          <w:szCs w:val="20"/>
          <w:lang w:val="en-AU"/>
        </w:rPr>
        <w:t xml:space="preserve">Note: </w:t>
      </w:r>
      <w:r w:rsidRPr="001B7B07">
        <w:rPr>
          <w:sz w:val="20"/>
          <w:szCs w:val="20"/>
        </w:rPr>
        <w:t>Reference values for weight, age, gender, and race comparisons are 70 kg, 55 years, male and white, respectively; reference groups for renal and hepatic impairment data are subjects with normal renal o</w:t>
      </w:r>
      <w:r w:rsidR="001B7B07">
        <w:rPr>
          <w:sz w:val="20"/>
          <w:szCs w:val="20"/>
        </w:rPr>
        <w:t>r hepatic function</w:t>
      </w:r>
      <w:r w:rsidRPr="001B7B07">
        <w:rPr>
          <w:sz w:val="20"/>
          <w:szCs w:val="20"/>
        </w:rPr>
        <w:t>.</w:t>
      </w:r>
    </w:p>
    <w:p w:rsidR="00D54414" w:rsidRPr="001B7B07" w:rsidRDefault="00D54414" w:rsidP="00D54414">
      <w:pPr>
        <w:pStyle w:val="Paragraph"/>
        <w:keepNext/>
        <w:spacing w:after="0"/>
        <w:jc w:val="both"/>
        <w:rPr>
          <w:sz w:val="20"/>
          <w:szCs w:val="20"/>
        </w:rPr>
      </w:pPr>
      <w:proofErr w:type="spellStart"/>
      <w:proofErr w:type="gramStart"/>
      <w:r w:rsidRPr="001B7B07">
        <w:rPr>
          <w:sz w:val="20"/>
          <w:szCs w:val="20"/>
          <w:vertAlign w:val="superscript"/>
        </w:rPr>
        <w:t>a</w:t>
      </w:r>
      <w:proofErr w:type="spellEnd"/>
      <w:proofErr w:type="gramEnd"/>
      <w:r w:rsidRPr="001B7B07">
        <w:rPr>
          <w:sz w:val="20"/>
          <w:szCs w:val="20"/>
        </w:rPr>
        <w:t xml:space="preserve"> In rheumatoid arthritis </w:t>
      </w:r>
      <w:r w:rsidR="001B7B07">
        <w:rPr>
          <w:sz w:val="20"/>
          <w:szCs w:val="20"/>
        </w:rPr>
        <w:t xml:space="preserve">and psoriatic arthritis </w:t>
      </w:r>
      <w:r w:rsidRPr="001B7B07">
        <w:rPr>
          <w:sz w:val="20"/>
          <w:szCs w:val="20"/>
        </w:rPr>
        <w:t xml:space="preserve">patients the recommended dose is XELJANZ 5 mg once daily. In ulcerative colitis patients the recommended dose is half the total daily dose indicated for patients with normal renal and hepatic function; </w:t>
      </w:r>
      <w:r w:rsidRPr="001B7B07">
        <w:rPr>
          <w:rFonts w:eastAsia="Arial Unicode MS"/>
          <w:sz w:val="20"/>
          <w:szCs w:val="20"/>
        </w:rPr>
        <w:t>when the indicated dose in the presence of normal renal and hepatic function is XELJANZ 10 mg twice daily</w:t>
      </w:r>
      <w:r w:rsidRPr="00B557F8">
        <w:rPr>
          <w:rFonts w:eastAsia="Arial Unicode MS"/>
          <w:sz w:val="20"/>
          <w:szCs w:val="20"/>
        </w:rPr>
        <w:t xml:space="preserve"> the recommended dose is XELJANZ 5 mg twice daily, and when the indicated </w:t>
      </w:r>
      <w:r w:rsidRPr="00B557F8">
        <w:rPr>
          <w:rFonts w:eastAsia="Arial Unicode MS"/>
          <w:sz w:val="20"/>
          <w:szCs w:val="20"/>
        </w:rPr>
        <w:lastRenderedPageBreak/>
        <w:t>dose in the presence of normal renal and hepatic function is XELJANZ 5 mg twice daily the recommended dose is XELJANZ 5 mg once daily</w:t>
      </w:r>
      <w:r w:rsidRPr="006250F9">
        <w:rPr>
          <w:sz w:val="20"/>
          <w:szCs w:val="20"/>
        </w:rPr>
        <w:t>.</w:t>
      </w:r>
    </w:p>
    <w:p w:rsidR="00D54414" w:rsidRPr="001B7B07" w:rsidRDefault="00D54414" w:rsidP="00D54414">
      <w:pPr>
        <w:pStyle w:val="Paragraph"/>
        <w:keepNext/>
        <w:spacing w:after="0"/>
        <w:jc w:val="both"/>
        <w:rPr>
          <w:sz w:val="20"/>
          <w:szCs w:val="20"/>
        </w:rPr>
      </w:pPr>
      <w:proofErr w:type="gramStart"/>
      <w:r w:rsidRPr="001B7B07">
        <w:rPr>
          <w:sz w:val="20"/>
          <w:szCs w:val="20"/>
          <w:vertAlign w:val="superscript"/>
        </w:rPr>
        <w:t>b</w:t>
      </w:r>
      <w:proofErr w:type="gramEnd"/>
      <w:r w:rsidRPr="001B7B07">
        <w:rPr>
          <w:sz w:val="20"/>
          <w:szCs w:val="20"/>
        </w:rPr>
        <w:t xml:space="preserve"> Supplemental doses are not necessary in patients after dialysis.</w:t>
      </w:r>
    </w:p>
    <w:p w:rsidR="00D54414" w:rsidRPr="0048160A" w:rsidRDefault="00D54414" w:rsidP="00572DEB">
      <w:pPr>
        <w:pStyle w:val="Paragraph"/>
        <w:jc w:val="both"/>
        <w:rPr>
          <w:sz w:val="18"/>
          <w:szCs w:val="18"/>
        </w:rPr>
      </w:pPr>
    </w:p>
    <w:p w:rsidR="000214C3" w:rsidRDefault="000214C3" w:rsidP="00F43C03">
      <w:pPr>
        <w:pStyle w:val="PIHeading2"/>
      </w:pPr>
      <w:r>
        <w:t xml:space="preserve">5.3 </w:t>
      </w:r>
      <w:r w:rsidR="00F43C03">
        <w:t>Preclinical Safety Data</w:t>
      </w:r>
    </w:p>
    <w:p w:rsidR="000214C3" w:rsidRPr="0042478B" w:rsidRDefault="000214C3" w:rsidP="00724FA3">
      <w:pPr>
        <w:pStyle w:val="PIHeading3"/>
      </w:pPr>
      <w:r w:rsidRPr="0042478B">
        <w:t>Genotoxicity</w:t>
      </w:r>
    </w:p>
    <w:p w:rsidR="000214C3" w:rsidRPr="00F07BB2" w:rsidRDefault="00F07BB2" w:rsidP="00F07BB2">
      <w:pPr>
        <w:pStyle w:val="PINormal"/>
        <w:rPr>
          <w:iCs/>
        </w:rPr>
      </w:pPr>
      <w:r w:rsidRPr="0051061D">
        <w:rPr>
          <w:rStyle w:val="Instructions"/>
        </w:rPr>
        <w:t xml:space="preserve">Tofacitinib is not mutagenic or genotoxic based on the weight of evidence from a series of </w:t>
      </w:r>
      <w:r w:rsidRPr="0051061D">
        <w:rPr>
          <w:rStyle w:val="Instructions"/>
          <w:i/>
        </w:rPr>
        <w:t>in</w:t>
      </w:r>
      <w:r w:rsidRPr="0051061D">
        <w:rPr>
          <w:rStyle w:val="Instructions"/>
        </w:rPr>
        <w:t xml:space="preserve"> </w:t>
      </w:r>
      <w:r w:rsidRPr="0051061D">
        <w:rPr>
          <w:rStyle w:val="Instructions"/>
          <w:i/>
        </w:rPr>
        <w:t>vitro</w:t>
      </w:r>
      <w:r w:rsidRPr="0051061D">
        <w:rPr>
          <w:rStyle w:val="Instructions"/>
        </w:rPr>
        <w:t xml:space="preserve"> and </w:t>
      </w:r>
      <w:r w:rsidRPr="0051061D">
        <w:rPr>
          <w:rStyle w:val="Instructions"/>
          <w:i/>
        </w:rPr>
        <w:t>in vivo</w:t>
      </w:r>
      <w:r w:rsidRPr="0051061D">
        <w:rPr>
          <w:rStyle w:val="Instructions"/>
        </w:rPr>
        <w:t xml:space="preserve"> tests for gene mutations and chromosomal aberrations.</w:t>
      </w:r>
    </w:p>
    <w:p w:rsidR="000214C3" w:rsidRPr="0042478B" w:rsidRDefault="000214C3" w:rsidP="00724FA3">
      <w:pPr>
        <w:pStyle w:val="PIHeading3"/>
      </w:pPr>
      <w:r w:rsidRPr="0042478B">
        <w:t>Carcinogenicity</w:t>
      </w:r>
    </w:p>
    <w:p w:rsidR="00F07BB2" w:rsidRPr="0051061D" w:rsidRDefault="00F07BB2" w:rsidP="00F07BB2">
      <w:pPr>
        <w:pStyle w:val="PINormal"/>
        <w:rPr>
          <w:rFonts w:eastAsia="Arial Unicode MS"/>
          <w:b/>
          <w:color w:val="000000"/>
          <w:vertAlign w:val="superscript"/>
        </w:rPr>
      </w:pPr>
      <w:r w:rsidRPr="0051061D">
        <w:rPr>
          <w:rFonts w:eastAsia="Arial Unicode MS"/>
          <w:bCs/>
          <w:color w:val="000000"/>
        </w:rPr>
        <w:t>The carcinogenic potential of tofacitinib</w:t>
      </w:r>
      <w:r w:rsidRPr="0051061D" w:rsidDel="00B45AB3">
        <w:rPr>
          <w:rFonts w:eastAsia="Arial Unicode MS"/>
          <w:bCs/>
          <w:color w:val="000000"/>
        </w:rPr>
        <w:t xml:space="preserve"> </w:t>
      </w:r>
      <w:r w:rsidRPr="0051061D">
        <w:rPr>
          <w:rFonts w:eastAsia="Arial Unicode MS"/>
          <w:bCs/>
          <w:color w:val="000000"/>
        </w:rPr>
        <w:t>was assessed in 6-month rasH2 transgenic mouse carcinogenicity and 2-year rat carcinogenicity studies.  Tofacitinib was not carcinogenic in mice up to a high dose of 200 mg/kg/day (unbound drug AUC of ~38</w:t>
      </w:r>
      <w:r w:rsidR="00B557F8">
        <w:rPr>
          <w:rFonts w:eastAsia="Arial Unicode MS"/>
          <w:bCs/>
          <w:color w:val="000000"/>
        </w:rPr>
        <w:t xml:space="preserve"> times or ~19 times</w:t>
      </w:r>
      <w:r w:rsidRPr="0051061D">
        <w:rPr>
          <w:rFonts w:eastAsia="Arial Unicode MS"/>
          <w:bCs/>
          <w:color w:val="000000"/>
        </w:rPr>
        <w:t xml:space="preserve"> the human AUC at 5 mg</w:t>
      </w:r>
      <w:r w:rsidR="00B557F8">
        <w:rPr>
          <w:rFonts w:eastAsia="Arial Unicode MS"/>
          <w:bCs/>
          <w:color w:val="000000"/>
        </w:rPr>
        <w:t xml:space="preserve"> or 10 mg</w:t>
      </w:r>
      <w:r w:rsidRPr="0051061D">
        <w:rPr>
          <w:rFonts w:eastAsia="Arial Unicode MS"/>
          <w:bCs/>
          <w:color w:val="000000"/>
        </w:rPr>
        <w:t xml:space="preserve"> twice daily).  Benign Leydig cell tumours were observed in rats: benign Leydig cell tumours in rats are</w:t>
      </w:r>
      <w:r w:rsidRPr="0051061D">
        <w:rPr>
          <w:color w:val="000000"/>
        </w:rPr>
        <w:t xml:space="preserve"> not associated with a risk of Leydig cell tumours in humans.  </w:t>
      </w:r>
      <w:r w:rsidRPr="0051061D">
        <w:rPr>
          <w:rFonts w:eastAsia="Arial Unicode MS"/>
          <w:bCs/>
          <w:color w:val="000000"/>
        </w:rPr>
        <w:t>Hibernomas (malignancy of brown adipose tissue) were observed in female rats at doses ≥30 mg/kg</w:t>
      </w:r>
      <w:r>
        <w:rPr>
          <w:rFonts w:eastAsia="Arial Unicode MS"/>
          <w:bCs/>
          <w:color w:val="000000"/>
        </w:rPr>
        <w:t>/day</w:t>
      </w:r>
      <w:r w:rsidRPr="0051061D">
        <w:rPr>
          <w:rFonts w:eastAsia="Arial Unicode MS"/>
          <w:bCs/>
          <w:color w:val="000000"/>
        </w:rPr>
        <w:t xml:space="preserve"> (unbound drug AUC of ~83</w:t>
      </w:r>
      <w:r w:rsidR="00B557F8">
        <w:rPr>
          <w:rFonts w:eastAsia="Arial Unicode MS"/>
          <w:bCs/>
          <w:color w:val="000000"/>
        </w:rPr>
        <w:t xml:space="preserve"> times or ~41 times</w:t>
      </w:r>
      <w:r w:rsidRPr="0051061D">
        <w:rPr>
          <w:rFonts w:eastAsia="Arial Unicode MS"/>
          <w:bCs/>
          <w:color w:val="000000"/>
        </w:rPr>
        <w:t xml:space="preserve"> the human AUC at 5 mg</w:t>
      </w:r>
      <w:r w:rsidR="00B557F8">
        <w:rPr>
          <w:rFonts w:eastAsia="Arial Unicode MS"/>
          <w:bCs/>
          <w:color w:val="000000"/>
        </w:rPr>
        <w:t xml:space="preserve"> or 10 mg</w:t>
      </w:r>
      <w:r w:rsidRPr="0051061D">
        <w:rPr>
          <w:rFonts w:eastAsia="Arial Unicode MS"/>
          <w:bCs/>
          <w:color w:val="000000"/>
        </w:rPr>
        <w:t xml:space="preserve"> twice daily).  Benign thymomas were observed in female rats dosed only at the 100 reduced to 75 mg/kg/day dose (unbound drug AUC of ~187</w:t>
      </w:r>
      <w:r w:rsidR="00B557F8">
        <w:rPr>
          <w:rFonts w:eastAsia="Arial Unicode MS"/>
          <w:bCs/>
          <w:color w:val="000000"/>
        </w:rPr>
        <w:t xml:space="preserve"> times or ~94 times</w:t>
      </w:r>
      <w:r w:rsidRPr="0051061D">
        <w:rPr>
          <w:rFonts w:eastAsia="Arial Unicode MS"/>
          <w:bCs/>
          <w:color w:val="000000"/>
        </w:rPr>
        <w:t xml:space="preserve"> the human AUC at 5 mg</w:t>
      </w:r>
      <w:r w:rsidR="00B557F8">
        <w:rPr>
          <w:rFonts w:eastAsia="Arial Unicode MS"/>
          <w:bCs/>
          <w:color w:val="000000"/>
        </w:rPr>
        <w:t xml:space="preserve"> or 10 mg</w:t>
      </w:r>
      <w:r w:rsidRPr="0051061D">
        <w:rPr>
          <w:rFonts w:eastAsia="Arial Unicode MS"/>
          <w:bCs/>
          <w:color w:val="000000"/>
        </w:rPr>
        <w:t xml:space="preserve"> twice daily).</w:t>
      </w:r>
    </w:p>
    <w:p w:rsidR="000214C3" w:rsidRPr="00F07BB2" w:rsidRDefault="00F07BB2" w:rsidP="00F07BB2">
      <w:pPr>
        <w:pStyle w:val="PINormal"/>
        <w:rPr>
          <w:b/>
        </w:rPr>
      </w:pPr>
      <w:r w:rsidRPr="0051061D">
        <w:rPr>
          <w:rFonts w:eastAsia="Arial Unicode MS"/>
          <w:color w:val="000000"/>
        </w:rPr>
        <w:t xml:space="preserve">Lymphoma was observed in 3 of 8 adult and 0 of 14 juvenile monkeys dosed with tofacitinib at 5 mg/kg </w:t>
      </w:r>
      <w:r w:rsidRPr="0051061D">
        <w:rPr>
          <w:color w:val="000000"/>
          <w:szCs w:val="22"/>
        </w:rPr>
        <w:t>twice daily</w:t>
      </w:r>
      <w:r w:rsidRPr="0051061D">
        <w:rPr>
          <w:rFonts w:eastAsia="Arial Unicode MS"/>
          <w:color w:val="000000"/>
        </w:rPr>
        <w:t xml:space="preserve">.  The NOAEL for the lymphomas was 1 mg/kg </w:t>
      </w:r>
      <w:r w:rsidRPr="0051061D">
        <w:rPr>
          <w:color w:val="000000"/>
          <w:szCs w:val="22"/>
        </w:rPr>
        <w:t>twice daily</w:t>
      </w:r>
      <w:r w:rsidRPr="0051061D">
        <w:rPr>
          <w:rFonts w:eastAsia="Arial Unicode MS"/>
          <w:color w:val="000000"/>
        </w:rPr>
        <w:t xml:space="preserve">.  The unbound AUC at 1 mg/kg </w:t>
      </w:r>
      <w:r w:rsidRPr="0051061D">
        <w:rPr>
          <w:color w:val="000000"/>
          <w:szCs w:val="22"/>
        </w:rPr>
        <w:t>twice daily</w:t>
      </w:r>
      <w:r w:rsidRPr="0051061D">
        <w:rPr>
          <w:rFonts w:eastAsia="Arial Unicode MS"/>
          <w:color w:val="000000"/>
        </w:rPr>
        <w:t xml:space="preserve"> was 341 </w:t>
      </w:r>
      <w:proofErr w:type="spellStart"/>
      <w:r w:rsidRPr="0051061D">
        <w:rPr>
          <w:rFonts w:eastAsia="Arial Unicode MS"/>
          <w:color w:val="000000"/>
        </w:rPr>
        <w:t>ng•h</w:t>
      </w:r>
      <w:proofErr w:type="spellEnd"/>
      <w:r w:rsidRPr="0051061D">
        <w:rPr>
          <w:rFonts w:eastAsia="Arial Unicode MS"/>
          <w:color w:val="000000"/>
        </w:rPr>
        <w:t>/mL, which is</w:t>
      </w:r>
      <w:r w:rsidR="00B557F8">
        <w:rPr>
          <w:rFonts w:eastAsia="Arial Unicode MS"/>
          <w:color w:val="000000"/>
        </w:rPr>
        <w:t xml:space="preserve"> approximately half of the unbound AUC at 10 mg twice daily and</w:t>
      </w:r>
      <w:r w:rsidRPr="0051061D">
        <w:rPr>
          <w:rFonts w:eastAsia="Arial Unicode MS"/>
          <w:color w:val="000000"/>
        </w:rPr>
        <w:t xml:space="preserve"> similar to the unbound AUC at 5 mg </w:t>
      </w:r>
      <w:r w:rsidRPr="0051061D">
        <w:rPr>
          <w:color w:val="000000"/>
          <w:szCs w:val="22"/>
        </w:rPr>
        <w:t>twice daily</w:t>
      </w:r>
      <w:r w:rsidRPr="0051061D">
        <w:rPr>
          <w:rFonts w:eastAsia="Arial Unicode MS"/>
          <w:color w:val="000000"/>
        </w:rPr>
        <w:t xml:space="preserve"> in humans.</w:t>
      </w:r>
    </w:p>
    <w:p w:rsidR="000214C3" w:rsidRDefault="00D118A8" w:rsidP="00645CC7">
      <w:pPr>
        <w:pStyle w:val="Heading1"/>
      </w:pPr>
      <w:r>
        <w:t>6</w:t>
      </w:r>
      <w:r>
        <w:tab/>
      </w:r>
      <w:r w:rsidR="000214C3" w:rsidRPr="00645CC7">
        <w:t>PHARMACEUTICAL PARTICULARS</w:t>
      </w:r>
    </w:p>
    <w:p w:rsidR="000214C3" w:rsidRDefault="000214C3" w:rsidP="00F43C03">
      <w:pPr>
        <w:pStyle w:val="PIHeading2"/>
      </w:pPr>
      <w:r>
        <w:t xml:space="preserve">6.1 </w:t>
      </w:r>
      <w:r w:rsidR="00F43C03">
        <w:t>List of Excipients</w:t>
      </w:r>
    </w:p>
    <w:p w:rsidR="00CB7380" w:rsidRDefault="00CB7380" w:rsidP="000F0385">
      <w:pPr>
        <w:spacing w:after="0"/>
      </w:pPr>
    </w:p>
    <w:p w:rsidR="00CB7380" w:rsidRDefault="00CB7380" w:rsidP="00CB7380">
      <w:pPr>
        <w:spacing w:after="0"/>
      </w:pPr>
      <w:r>
        <w:t>Tablet core:</w:t>
      </w:r>
    </w:p>
    <w:p w:rsidR="00CB7380" w:rsidRPr="00C33C9E" w:rsidRDefault="00CB7380" w:rsidP="00CB7380">
      <w:pPr>
        <w:keepNext/>
        <w:spacing w:after="0"/>
        <w:rPr>
          <w:rFonts w:eastAsia="Arial Unicode MS"/>
          <w:szCs w:val="22"/>
          <w:lang w:val="it-IT"/>
        </w:rPr>
      </w:pPr>
      <w:r w:rsidRPr="00C33C9E">
        <w:rPr>
          <w:rFonts w:eastAsia="Arial Unicode MS"/>
          <w:szCs w:val="22"/>
          <w:lang w:val="it-IT"/>
        </w:rPr>
        <w:t>microcrystalline cellulose</w:t>
      </w:r>
    </w:p>
    <w:p w:rsidR="00CB7380" w:rsidRPr="00C33C9E" w:rsidRDefault="00CB7380" w:rsidP="00CB7380">
      <w:pPr>
        <w:keepNext/>
        <w:spacing w:after="0"/>
        <w:rPr>
          <w:rFonts w:eastAsia="Arial Unicode MS"/>
          <w:szCs w:val="22"/>
          <w:lang w:val="it-IT"/>
        </w:rPr>
      </w:pPr>
      <w:r w:rsidRPr="00C33C9E">
        <w:rPr>
          <w:rFonts w:eastAsia="Arial Unicode MS"/>
          <w:szCs w:val="22"/>
          <w:lang w:val="it-IT"/>
        </w:rPr>
        <w:t>lactose monohydrate</w:t>
      </w:r>
    </w:p>
    <w:p w:rsidR="00CB7380" w:rsidRPr="00C33C9E" w:rsidRDefault="00CB7380" w:rsidP="00CB7380">
      <w:pPr>
        <w:keepNext/>
        <w:spacing w:after="0"/>
        <w:rPr>
          <w:rFonts w:eastAsia="Arial Unicode MS"/>
          <w:szCs w:val="22"/>
          <w:lang w:val="it-IT"/>
        </w:rPr>
      </w:pPr>
      <w:r w:rsidRPr="00C33C9E">
        <w:rPr>
          <w:rFonts w:eastAsia="Arial Unicode MS"/>
          <w:szCs w:val="22"/>
          <w:lang w:val="it-IT"/>
        </w:rPr>
        <w:t>croscarmellose sodium</w:t>
      </w:r>
    </w:p>
    <w:p w:rsidR="00CB7380" w:rsidRPr="00C33C9E" w:rsidRDefault="00CB7380" w:rsidP="00CB7380">
      <w:pPr>
        <w:keepNext/>
        <w:spacing w:after="0"/>
        <w:rPr>
          <w:rFonts w:eastAsia="Arial Unicode MS"/>
          <w:szCs w:val="22"/>
          <w:lang w:val="it-IT"/>
        </w:rPr>
      </w:pPr>
      <w:r w:rsidRPr="00C33C9E">
        <w:rPr>
          <w:rFonts w:eastAsia="Arial Unicode MS"/>
          <w:szCs w:val="22"/>
          <w:lang w:val="it-IT"/>
        </w:rPr>
        <w:t>magnesium stearate</w:t>
      </w:r>
    </w:p>
    <w:p w:rsidR="00CB7380" w:rsidRDefault="00CB7380" w:rsidP="00CB7380">
      <w:pPr>
        <w:spacing w:after="0"/>
      </w:pPr>
    </w:p>
    <w:p w:rsidR="00CB7380" w:rsidRDefault="00CB7380" w:rsidP="00CB7380">
      <w:pPr>
        <w:spacing w:after="0"/>
      </w:pPr>
      <w:r>
        <w:t>Film coat:</w:t>
      </w:r>
    </w:p>
    <w:p w:rsidR="00CB7380" w:rsidRPr="00C33C9E" w:rsidRDefault="00CB7380" w:rsidP="00CB7380">
      <w:pPr>
        <w:spacing w:after="0"/>
        <w:rPr>
          <w:rFonts w:eastAsia="Arial Unicode MS"/>
          <w:szCs w:val="22"/>
          <w:lang w:val="it-IT"/>
        </w:rPr>
      </w:pPr>
      <w:r w:rsidRPr="00C33C9E">
        <w:rPr>
          <w:rFonts w:eastAsia="Arial Unicode MS"/>
          <w:szCs w:val="22"/>
          <w:lang w:val="it-IT"/>
        </w:rPr>
        <w:t>hypromellose</w:t>
      </w:r>
    </w:p>
    <w:p w:rsidR="00CB7380" w:rsidRPr="00C33C9E" w:rsidRDefault="00CB7380" w:rsidP="00CB7380">
      <w:pPr>
        <w:spacing w:after="0"/>
        <w:rPr>
          <w:rFonts w:eastAsia="Arial Unicode MS"/>
          <w:szCs w:val="22"/>
          <w:lang w:val="it-IT"/>
        </w:rPr>
      </w:pPr>
      <w:r w:rsidRPr="00C33C9E">
        <w:rPr>
          <w:rFonts w:eastAsia="Arial Unicode MS"/>
          <w:szCs w:val="22"/>
          <w:lang w:val="it-IT"/>
        </w:rPr>
        <w:t>titanium dioxide</w:t>
      </w:r>
    </w:p>
    <w:p w:rsidR="00CB7380" w:rsidRPr="00D42A42" w:rsidRDefault="00CB7380" w:rsidP="00CB7380">
      <w:pPr>
        <w:spacing w:after="0"/>
        <w:rPr>
          <w:rFonts w:eastAsia="Arial Unicode MS"/>
          <w:szCs w:val="22"/>
        </w:rPr>
      </w:pPr>
      <w:proofErr w:type="gramStart"/>
      <w:r w:rsidRPr="00D42A42">
        <w:rPr>
          <w:rFonts w:eastAsia="Arial Unicode MS"/>
          <w:szCs w:val="22"/>
        </w:rPr>
        <w:t>lactose</w:t>
      </w:r>
      <w:proofErr w:type="gramEnd"/>
      <w:r w:rsidRPr="00D42A42">
        <w:rPr>
          <w:rFonts w:eastAsia="Arial Unicode MS"/>
          <w:szCs w:val="22"/>
        </w:rPr>
        <w:t xml:space="preserve"> monohydrate</w:t>
      </w:r>
    </w:p>
    <w:p w:rsidR="00CB7380" w:rsidRPr="004B7E45" w:rsidRDefault="00CB7380" w:rsidP="00CB7380">
      <w:pPr>
        <w:spacing w:after="0"/>
        <w:rPr>
          <w:rFonts w:eastAsia="Arial Unicode MS"/>
          <w:szCs w:val="22"/>
        </w:rPr>
      </w:pPr>
      <w:proofErr w:type="gramStart"/>
      <w:r>
        <w:rPr>
          <w:rFonts w:eastAsia="Arial Unicode MS"/>
          <w:szCs w:val="22"/>
        </w:rPr>
        <w:t>macrogol</w:t>
      </w:r>
      <w:proofErr w:type="gramEnd"/>
      <w:r>
        <w:rPr>
          <w:rFonts w:eastAsia="Arial Unicode MS"/>
          <w:szCs w:val="22"/>
        </w:rPr>
        <w:t xml:space="preserve"> </w:t>
      </w:r>
      <w:r w:rsidRPr="005E7F78">
        <w:rPr>
          <w:rFonts w:eastAsia="Arial Unicode MS"/>
          <w:szCs w:val="22"/>
        </w:rPr>
        <w:t>3350</w:t>
      </w:r>
    </w:p>
    <w:p w:rsidR="006123CA" w:rsidRDefault="00CB7380" w:rsidP="008C3095">
      <w:pPr>
        <w:spacing w:after="0"/>
        <w:rPr>
          <w:rFonts w:eastAsia="Arial Unicode MS"/>
          <w:szCs w:val="22"/>
          <w:lang w:val="it-IT"/>
        </w:rPr>
      </w:pPr>
      <w:r w:rsidRPr="008C3095">
        <w:rPr>
          <w:rFonts w:eastAsia="Arial Unicode MS"/>
          <w:szCs w:val="22"/>
          <w:lang w:val="it-IT"/>
        </w:rPr>
        <w:t>triacetin</w:t>
      </w:r>
    </w:p>
    <w:p w:rsidR="00B557F8" w:rsidRDefault="00B557F8" w:rsidP="00B557F8">
      <w:pPr>
        <w:spacing w:after="0"/>
      </w:pPr>
      <w:proofErr w:type="gramStart"/>
      <w:r>
        <w:t>indigo</w:t>
      </w:r>
      <w:proofErr w:type="gramEnd"/>
      <w:r>
        <w:t xml:space="preserve"> carmine aluminium lake (10 mg strength only)</w:t>
      </w:r>
    </w:p>
    <w:p w:rsidR="00B557F8" w:rsidRPr="008C3095" w:rsidRDefault="00B557F8" w:rsidP="00B557F8">
      <w:pPr>
        <w:spacing w:after="0"/>
        <w:rPr>
          <w:rFonts w:eastAsia="Arial Unicode MS"/>
          <w:szCs w:val="22"/>
          <w:lang w:val="it-IT"/>
        </w:rPr>
      </w:pPr>
      <w:proofErr w:type="gramStart"/>
      <w:r>
        <w:t>brilliant</w:t>
      </w:r>
      <w:proofErr w:type="gramEnd"/>
      <w:r>
        <w:t xml:space="preserve"> blue FCF aluminium lake (10 mg strength only)</w:t>
      </w:r>
    </w:p>
    <w:p w:rsidR="000214C3" w:rsidRDefault="000214C3" w:rsidP="00F43C03">
      <w:pPr>
        <w:pStyle w:val="PIHeading2"/>
      </w:pPr>
      <w:r>
        <w:lastRenderedPageBreak/>
        <w:t xml:space="preserve">6.2 </w:t>
      </w:r>
      <w:proofErr w:type="spellStart"/>
      <w:r w:rsidR="00F43C03">
        <w:t>Incompatabilities</w:t>
      </w:r>
      <w:proofErr w:type="spellEnd"/>
    </w:p>
    <w:p w:rsidR="000214C3" w:rsidRDefault="00F46250" w:rsidP="003A4144">
      <w:r>
        <w:t>Not applicable.</w:t>
      </w:r>
    </w:p>
    <w:p w:rsidR="000214C3" w:rsidRDefault="000214C3" w:rsidP="00F43C03">
      <w:pPr>
        <w:pStyle w:val="PIHeading2"/>
      </w:pPr>
      <w:r>
        <w:t xml:space="preserve">6.3 </w:t>
      </w:r>
      <w:r w:rsidR="00F43C03">
        <w:t>Shelf Life</w:t>
      </w:r>
    </w:p>
    <w:p w:rsidR="000214C3" w:rsidRDefault="00A64EB3" w:rsidP="003A4144">
      <w:r>
        <w:t>3 years.</w:t>
      </w:r>
    </w:p>
    <w:p w:rsidR="000214C3" w:rsidRDefault="000214C3" w:rsidP="00F43C03">
      <w:pPr>
        <w:pStyle w:val="PIHeading2"/>
      </w:pPr>
      <w:r>
        <w:t xml:space="preserve">6.4 </w:t>
      </w:r>
      <w:r w:rsidR="00F43C03">
        <w:t>Special Precautions for Storage</w:t>
      </w:r>
      <w:bookmarkStart w:id="1" w:name="_GoBack"/>
      <w:bookmarkEnd w:id="1"/>
    </w:p>
    <w:p w:rsidR="000214C3" w:rsidRDefault="00D20C49" w:rsidP="00D20C49">
      <w:pPr>
        <w:pStyle w:val="PINormal"/>
      </w:pPr>
      <w:r w:rsidRPr="0051061D">
        <w:t xml:space="preserve">Store below </w:t>
      </w:r>
      <w:r w:rsidRPr="0051061D">
        <w:rPr>
          <w:noProof/>
        </w:rPr>
        <w:t>30°C</w:t>
      </w:r>
      <w:r>
        <w:t>.</w:t>
      </w:r>
    </w:p>
    <w:p w:rsidR="000214C3" w:rsidRDefault="000214C3" w:rsidP="00F43C03">
      <w:pPr>
        <w:pStyle w:val="PIHeading2"/>
      </w:pPr>
      <w:r w:rsidRPr="00645CC7">
        <w:t xml:space="preserve">6.5 </w:t>
      </w:r>
      <w:r w:rsidR="00F43C03">
        <w:t>Nature and Contents of Container</w:t>
      </w:r>
    </w:p>
    <w:p w:rsidR="00F063B3" w:rsidRPr="00F063B3" w:rsidRDefault="00F063B3" w:rsidP="00F063B3">
      <w:pPr>
        <w:pStyle w:val="PIHeading3"/>
        <w:rPr>
          <w:b w:val="0"/>
          <w:i w:val="0"/>
          <w:u w:val="single"/>
          <w:lang w:val="en-GB"/>
        </w:rPr>
      </w:pPr>
      <w:r w:rsidRPr="00F24DB6">
        <w:rPr>
          <w:b w:val="0"/>
          <w:i w:val="0"/>
          <w:u w:val="single"/>
          <w:lang w:val="en-GB"/>
        </w:rPr>
        <w:t>XELJANZ 5 mg</w:t>
      </w:r>
    </w:p>
    <w:p w:rsidR="00EF4832" w:rsidRPr="0051061D" w:rsidRDefault="00EF4832" w:rsidP="00EF4832">
      <w:pPr>
        <w:pStyle w:val="TableText0"/>
        <w:keepNext/>
        <w:spacing w:after="240"/>
        <w:jc w:val="both"/>
        <w:rPr>
          <w:rFonts w:eastAsia="Arial Unicode MS" w:cs="Times New Roman"/>
          <w:kern w:val="36"/>
          <w:sz w:val="24"/>
          <w:szCs w:val="24"/>
          <w:lang w:val="en-AU"/>
        </w:rPr>
      </w:pPr>
      <w:r w:rsidRPr="0051061D">
        <w:rPr>
          <w:rFonts w:eastAsia="Arial Unicode MS" w:cs="Times New Roman"/>
          <w:kern w:val="36"/>
          <w:sz w:val="24"/>
          <w:szCs w:val="24"/>
          <w:lang w:val="en-AU"/>
        </w:rPr>
        <w:t>HDPE bottles with desiccant and child-resistant caps containing 60 or 180 film-coated tablets.</w:t>
      </w:r>
    </w:p>
    <w:p w:rsidR="00EF4832" w:rsidRPr="0051061D" w:rsidRDefault="00EF4832" w:rsidP="00EF4832">
      <w:pPr>
        <w:pStyle w:val="TableText0"/>
        <w:keepNext/>
        <w:spacing w:after="240"/>
        <w:jc w:val="both"/>
        <w:rPr>
          <w:rFonts w:eastAsia="Arial Unicode MS" w:cs="Times New Roman"/>
          <w:kern w:val="36"/>
          <w:sz w:val="24"/>
          <w:szCs w:val="24"/>
          <w:lang w:val="en-AU"/>
        </w:rPr>
      </w:pPr>
      <w:r w:rsidRPr="0051061D">
        <w:rPr>
          <w:rFonts w:eastAsia="Arial Unicode MS" w:cs="Times New Roman"/>
          <w:kern w:val="36"/>
          <w:sz w:val="24"/>
          <w:szCs w:val="24"/>
          <w:lang w:val="en-AU"/>
        </w:rPr>
        <w:t>Al</w:t>
      </w:r>
      <w:r w:rsidR="00025EE7">
        <w:rPr>
          <w:rFonts w:eastAsia="Arial Unicode MS" w:cs="Times New Roman"/>
          <w:kern w:val="36"/>
          <w:sz w:val="24"/>
          <w:szCs w:val="24"/>
          <w:lang w:val="en-AU"/>
        </w:rPr>
        <w:t>uminium</w:t>
      </w:r>
      <w:r w:rsidRPr="0051061D">
        <w:rPr>
          <w:rFonts w:eastAsia="Arial Unicode MS" w:cs="Times New Roman"/>
          <w:kern w:val="36"/>
          <w:sz w:val="24"/>
          <w:szCs w:val="24"/>
          <w:lang w:val="en-AU"/>
        </w:rPr>
        <w:t>/PVC-backed Al</w:t>
      </w:r>
      <w:r w:rsidR="00025EE7">
        <w:rPr>
          <w:rFonts w:eastAsia="Arial Unicode MS" w:cs="Times New Roman"/>
          <w:kern w:val="36"/>
          <w:sz w:val="24"/>
          <w:szCs w:val="24"/>
          <w:lang w:val="en-AU"/>
        </w:rPr>
        <w:t>uminium</w:t>
      </w:r>
      <w:r w:rsidRPr="0051061D">
        <w:rPr>
          <w:rFonts w:eastAsia="Arial Unicode MS" w:cs="Times New Roman"/>
          <w:kern w:val="36"/>
          <w:sz w:val="24"/>
          <w:szCs w:val="24"/>
          <w:lang w:val="en-AU"/>
        </w:rPr>
        <w:t xml:space="preserve"> blisters containing 14 or 56 film-coated tablets.</w:t>
      </w:r>
    </w:p>
    <w:p w:rsidR="000214C3" w:rsidRDefault="00EF4832" w:rsidP="00EF4832">
      <w:pPr>
        <w:pStyle w:val="PINormal"/>
        <w:rPr>
          <w:rFonts w:eastAsia="Arial Unicode MS"/>
          <w:kern w:val="36"/>
          <w:szCs w:val="24"/>
        </w:rPr>
      </w:pPr>
      <w:r w:rsidRPr="0051061D">
        <w:rPr>
          <w:rFonts w:eastAsia="Arial Unicode MS"/>
          <w:kern w:val="36"/>
          <w:szCs w:val="24"/>
        </w:rPr>
        <w:t>Not all pack sizes may be marketed.</w:t>
      </w:r>
    </w:p>
    <w:p w:rsidR="00F063B3" w:rsidRPr="00F24DB6" w:rsidRDefault="00F063B3" w:rsidP="00F063B3">
      <w:pPr>
        <w:pStyle w:val="PIHeading3"/>
        <w:rPr>
          <w:b w:val="0"/>
          <w:i w:val="0"/>
          <w:u w:val="single"/>
          <w:lang w:val="en-GB"/>
        </w:rPr>
      </w:pPr>
      <w:r w:rsidRPr="00F24DB6">
        <w:rPr>
          <w:b w:val="0"/>
          <w:i w:val="0"/>
          <w:u w:val="single"/>
          <w:lang w:val="en-GB"/>
        </w:rPr>
        <w:t>XELJANZ 10 mg</w:t>
      </w:r>
    </w:p>
    <w:p w:rsidR="00F063B3" w:rsidRDefault="00F063B3" w:rsidP="00F063B3">
      <w:pPr>
        <w:pStyle w:val="PINormal"/>
        <w:rPr>
          <w:rFonts w:eastAsia="Arial Unicode MS"/>
        </w:rPr>
      </w:pPr>
      <w:r w:rsidRPr="00F24DB6">
        <w:rPr>
          <w:rFonts w:eastAsia="Arial Unicode MS"/>
        </w:rPr>
        <w:t>Al</w:t>
      </w:r>
      <w:r>
        <w:rPr>
          <w:rFonts w:eastAsia="Arial Unicode MS"/>
        </w:rPr>
        <w:t>uminium</w:t>
      </w:r>
      <w:r w:rsidRPr="00F24DB6">
        <w:rPr>
          <w:rFonts w:eastAsia="Arial Unicode MS"/>
        </w:rPr>
        <w:t>/PVC-backed Al</w:t>
      </w:r>
      <w:r>
        <w:rPr>
          <w:rFonts w:eastAsia="Arial Unicode MS"/>
        </w:rPr>
        <w:t>uminium</w:t>
      </w:r>
      <w:r w:rsidRPr="00F24DB6">
        <w:rPr>
          <w:rFonts w:eastAsia="Arial Unicode MS"/>
        </w:rPr>
        <w:t xml:space="preserve"> blisters containing 14 or 56 </w:t>
      </w:r>
      <w:r>
        <w:rPr>
          <w:rFonts w:eastAsia="Arial Unicode MS"/>
        </w:rPr>
        <w:t xml:space="preserve">film-coated </w:t>
      </w:r>
      <w:r w:rsidRPr="00F24DB6">
        <w:rPr>
          <w:rFonts w:eastAsia="Arial Unicode MS"/>
        </w:rPr>
        <w:t>tablets.</w:t>
      </w:r>
    </w:p>
    <w:p w:rsidR="00F063B3" w:rsidRPr="00F063B3" w:rsidRDefault="00F063B3" w:rsidP="00EF4832">
      <w:pPr>
        <w:pStyle w:val="PINormal"/>
        <w:rPr>
          <w:rFonts w:eastAsia="Arial Unicode MS"/>
        </w:rPr>
      </w:pPr>
      <w:r w:rsidRPr="0051061D">
        <w:rPr>
          <w:rFonts w:eastAsia="Arial Unicode MS"/>
          <w:kern w:val="36"/>
          <w:szCs w:val="24"/>
        </w:rPr>
        <w:t>Not all pack sizes may be marketed.</w:t>
      </w:r>
    </w:p>
    <w:p w:rsidR="000214C3" w:rsidRDefault="000214C3" w:rsidP="00F43C03">
      <w:pPr>
        <w:pStyle w:val="PIHeading2"/>
      </w:pPr>
      <w:r w:rsidRPr="00645CC7">
        <w:t xml:space="preserve">6.6 </w:t>
      </w:r>
      <w:r w:rsidR="00F43C03">
        <w:t>Special Precautions for Disposal</w:t>
      </w:r>
    </w:p>
    <w:p w:rsidR="000214C3" w:rsidRDefault="00EF4832" w:rsidP="003A4144">
      <w:r>
        <w:t>In Australia, any unused medicine or waste material should be disposed of by taking to your local pharmacy.</w:t>
      </w:r>
    </w:p>
    <w:p w:rsidR="00F43C03" w:rsidRDefault="000214C3" w:rsidP="00F43C03">
      <w:pPr>
        <w:pStyle w:val="PIHeading2"/>
      </w:pPr>
      <w:r w:rsidRPr="00645CC7">
        <w:t xml:space="preserve">6.7 </w:t>
      </w:r>
      <w:r w:rsidR="00F43C03">
        <w:t>Physicochemical Properties</w:t>
      </w:r>
    </w:p>
    <w:p w:rsidR="00EF4832" w:rsidRPr="0051061D" w:rsidRDefault="00EF4832" w:rsidP="00EF4832">
      <w:pPr>
        <w:pStyle w:val="PINormal"/>
        <w:tabs>
          <w:tab w:val="left" w:pos="2410"/>
        </w:tabs>
        <w:ind w:left="2410" w:hanging="2410"/>
        <w:jc w:val="left"/>
        <w:rPr>
          <w:lang w:eastAsia="en-GB"/>
        </w:rPr>
      </w:pPr>
      <w:r w:rsidRPr="0051061D">
        <w:t>Chemical name:</w:t>
      </w:r>
      <w:r w:rsidRPr="0051061D">
        <w:rPr>
          <w:color w:val="000000"/>
        </w:rPr>
        <w:t xml:space="preserve"> </w:t>
      </w:r>
      <w:r w:rsidRPr="0051061D">
        <w:rPr>
          <w:color w:val="000000"/>
        </w:rPr>
        <w:tab/>
      </w:r>
      <w:r w:rsidRPr="0051061D">
        <w:rPr>
          <w:color w:val="000000"/>
          <w:szCs w:val="24"/>
        </w:rPr>
        <w:t>(3</w:t>
      </w:r>
      <w:r w:rsidRPr="0051061D">
        <w:rPr>
          <w:i/>
          <w:color w:val="000000"/>
          <w:szCs w:val="24"/>
        </w:rPr>
        <w:t>R</w:t>
      </w:r>
      <w:proofErr w:type="gramStart"/>
      <w:r w:rsidRPr="0051061D">
        <w:rPr>
          <w:color w:val="000000"/>
          <w:szCs w:val="24"/>
        </w:rPr>
        <w:t>,4</w:t>
      </w:r>
      <w:r w:rsidRPr="0051061D">
        <w:rPr>
          <w:i/>
          <w:color w:val="000000"/>
          <w:szCs w:val="24"/>
        </w:rPr>
        <w:t>R</w:t>
      </w:r>
      <w:proofErr w:type="gramEnd"/>
      <w:r w:rsidRPr="0051061D">
        <w:rPr>
          <w:color w:val="000000"/>
          <w:szCs w:val="24"/>
        </w:rPr>
        <w:t>)-4-methyl-3-(methyl-7</w:t>
      </w:r>
      <w:r w:rsidRPr="0051061D">
        <w:rPr>
          <w:i/>
          <w:color w:val="000000"/>
          <w:szCs w:val="24"/>
        </w:rPr>
        <w:t>H</w:t>
      </w:r>
      <w:r w:rsidRPr="0051061D">
        <w:rPr>
          <w:color w:val="000000"/>
          <w:szCs w:val="24"/>
        </w:rPr>
        <w:t>-pyrrolo [2,3-</w:t>
      </w:r>
      <w:r w:rsidRPr="0051061D">
        <w:rPr>
          <w:i/>
          <w:color w:val="000000"/>
          <w:szCs w:val="24"/>
        </w:rPr>
        <w:t>d</w:t>
      </w:r>
      <w:r w:rsidRPr="0051061D">
        <w:rPr>
          <w:color w:val="000000"/>
          <w:szCs w:val="24"/>
        </w:rPr>
        <w:t>]pyrimidin-4-ylamino)-ß-oxo-1-piperidinepropanenitrile, 2-hydroxy-1,2,3-propanetricarboxylate</w:t>
      </w:r>
      <w:r w:rsidRPr="0051061D">
        <w:rPr>
          <w:color w:val="00B050"/>
          <w:szCs w:val="24"/>
        </w:rPr>
        <w:t xml:space="preserve"> </w:t>
      </w:r>
      <w:r w:rsidRPr="0051061D">
        <w:rPr>
          <w:lang w:eastAsia="en-GB"/>
        </w:rPr>
        <w:t xml:space="preserve"> </w:t>
      </w:r>
    </w:p>
    <w:p w:rsidR="00EF4832" w:rsidRPr="0051061D" w:rsidRDefault="00EF4832" w:rsidP="00EF4832">
      <w:pPr>
        <w:pStyle w:val="PINormal"/>
        <w:tabs>
          <w:tab w:val="left" w:pos="2410"/>
        </w:tabs>
        <w:ind w:left="2410" w:hanging="2410"/>
        <w:jc w:val="left"/>
        <w:rPr>
          <w:lang w:eastAsia="en-GB"/>
        </w:rPr>
      </w:pPr>
      <w:r w:rsidRPr="0051061D">
        <w:rPr>
          <w:lang w:eastAsia="en-GB"/>
        </w:rPr>
        <w:t>Molecular weight:</w:t>
      </w:r>
      <w:r w:rsidRPr="0051061D">
        <w:rPr>
          <w:lang w:eastAsia="en-GB"/>
        </w:rPr>
        <w:tab/>
        <w:t>504.5 (312.4 for tofacitinib free base)</w:t>
      </w:r>
    </w:p>
    <w:p w:rsidR="00EF4832" w:rsidRDefault="00EF4832" w:rsidP="00EF4832">
      <w:pPr>
        <w:pStyle w:val="PINormal"/>
        <w:tabs>
          <w:tab w:val="left" w:pos="2410"/>
        </w:tabs>
        <w:ind w:left="2410" w:hanging="2410"/>
        <w:jc w:val="left"/>
        <w:rPr>
          <w:lang w:eastAsia="en-GB"/>
        </w:rPr>
      </w:pPr>
      <w:r w:rsidRPr="0051061D">
        <w:rPr>
          <w:lang w:eastAsia="en-GB"/>
        </w:rPr>
        <w:t xml:space="preserve">Molecular formula: </w:t>
      </w:r>
      <w:r w:rsidRPr="0051061D">
        <w:rPr>
          <w:lang w:eastAsia="en-GB"/>
        </w:rPr>
        <w:tab/>
        <w:t>C</w:t>
      </w:r>
      <w:r w:rsidRPr="0051061D">
        <w:rPr>
          <w:vertAlign w:val="subscript"/>
          <w:lang w:eastAsia="en-GB"/>
        </w:rPr>
        <w:t>16</w:t>
      </w:r>
      <w:r w:rsidRPr="0051061D">
        <w:rPr>
          <w:lang w:eastAsia="en-GB"/>
        </w:rPr>
        <w:t>H</w:t>
      </w:r>
      <w:r w:rsidRPr="0051061D">
        <w:rPr>
          <w:vertAlign w:val="subscript"/>
          <w:lang w:eastAsia="en-GB"/>
        </w:rPr>
        <w:t>20</w:t>
      </w:r>
      <w:r w:rsidRPr="0051061D">
        <w:rPr>
          <w:lang w:eastAsia="en-GB"/>
        </w:rPr>
        <w:t>N</w:t>
      </w:r>
      <w:r w:rsidRPr="0051061D">
        <w:rPr>
          <w:vertAlign w:val="subscript"/>
          <w:lang w:eastAsia="en-GB"/>
        </w:rPr>
        <w:t>6</w:t>
      </w:r>
      <w:r w:rsidRPr="0051061D">
        <w:rPr>
          <w:lang w:eastAsia="en-GB"/>
        </w:rPr>
        <w:t>O•C</w:t>
      </w:r>
      <w:r w:rsidRPr="0051061D">
        <w:rPr>
          <w:vertAlign w:val="subscript"/>
          <w:lang w:eastAsia="en-GB"/>
        </w:rPr>
        <w:t>6</w:t>
      </w:r>
      <w:r w:rsidRPr="0051061D">
        <w:rPr>
          <w:lang w:eastAsia="en-GB"/>
        </w:rPr>
        <w:t>H</w:t>
      </w:r>
      <w:r w:rsidRPr="0051061D">
        <w:rPr>
          <w:vertAlign w:val="subscript"/>
          <w:lang w:eastAsia="en-GB"/>
        </w:rPr>
        <w:t>8</w:t>
      </w:r>
      <w:r w:rsidRPr="0051061D">
        <w:rPr>
          <w:lang w:eastAsia="en-GB"/>
        </w:rPr>
        <w:t>O</w:t>
      </w:r>
      <w:r w:rsidRPr="0051061D">
        <w:rPr>
          <w:vertAlign w:val="subscript"/>
          <w:lang w:eastAsia="en-GB"/>
        </w:rPr>
        <w:t>7</w:t>
      </w:r>
      <w:r w:rsidRPr="0051061D">
        <w:rPr>
          <w:lang w:eastAsia="en-GB"/>
        </w:rPr>
        <w:t xml:space="preserve"> </w:t>
      </w:r>
    </w:p>
    <w:p w:rsidR="000214C3" w:rsidRPr="0042478B" w:rsidRDefault="000214C3" w:rsidP="0042478B">
      <w:pPr>
        <w:pStyle w:val="PIHeading2"/>
      </w:pPr>
      <w:r w:rsidRPr="0042478B">
        <w:t>Chemical structure</w:t>
      </w:r>
    </w:p>
    <w:p w:rsidR="000214C3" w:rsidRDefault="00EF4832" w:rsidP="003A4144">
      <w:r w:rsidRPr="0051061D">
        <w:object w:dxaOrig="2485" w:dyaOrig="1427">
          <v:shape id="_x0000_i1029" type="#_x0000_t75" style="width:175.25pt;height:99.85pt" o:ole="">
            <v:imagedata r:id="rId22" o:title=""/>
          </v:shape>
          <o:OLEObject Type="Embed" ProgID="ChemDraw.Document.6.0" ShapeID="_x0000_i1029" DrawAspect="Content" ObjectID="_1630932274" r:id="rId23"/>
        </w:object>
      </w:r>
    </w:p>
    <w:p w:rsidR="000214C3" w:rsidRPr="0042478B" w:rsidRDefault="000214C3" w:rsidP="0042478B">
      <w:pPr>
        <w:pStyle w:val="PIHeading2"/>
      </w:pPr>
      <w:r w:rsidRPr="0042478B">
        <w:lastRenderedPageBreak/>
        <w:t>CAS number</w:t>
      </w:r>
    </w:p>
    <w:p w:rsidR="000214C3" w:rsidRDefault="00EF4832" w:rsidP="003A4144">
      <w:r w:rsidRPr="0051061D">
        <w:rPr>
          <w:lang w:eastAsia="en-GB"/>
        </w:rPr>
        <w:t>540737-29-9 (citrate salt); 477600-75-2 (free base)</w:t>
      </w:r>
    </w:p>
    <w:p w:rsidR="000214C3" w:rsidRDefault="00D118A8" w:rsidP="00645CC7">
      <w:pPr>
        <w:pStyle w:val="Heading1"/>
      </w:pPr>
      <w:r>
        <w:t>7</w:t>
      </w:r>
      <w:r>
        <w:tab/>
      </w:r>
      <w:r w:rsidR="000214C3" w:rsidRPr="00645CC7">
        <w:t>MEDICINE SCHEDULE (POISONS STANDARD)</w:t>
      </w:r>
    </w:p>
    <w:p w:rsidR="000214C3" w:rsidRDefault="00EF4832" w:rsidP="00EF4832">
      <w:pPr>
        <w:pStyle w:val="PINormal"/>
      </w:pPr>
      <w:r>
        <w:t>S4 (Prescription Medicine)</w:t>
      </w:r>
    </w:p>
    <w:p w:rsidR="000214C3" w:rsidRDefault="00D118A8" w:rsidP="00645CC7">
      <w:pPr>
        <w:pStyle w:val="Heading1"/>
      </w:pPr>
      <w:r>
        <w:t>8</w:t>
      </w:r>
      <w:r>
        <w:tab/>
      </w:r>
      <w:r w:rsidR="000214C3" w:rsidRPr="00645CC7">
        <w:t>SPONSOR</w:t>
      </w:r>
    </w:p>
    <w:p w:rsidR="00D20C49" w:rsidRDefault="00D20C49" w:rsidP="00D20C49">
      <w:pPr>
        <w:pStyle w:val="PITableText"/>
      </w:pPr>
      <w:r w:rsidRPr="0051061D">
        <w:t>Pfizer Australia Pty Ltd</w:t>
      </w:r>
    </w:p>
    <w:p w:rsidR="0011200F" w:rsidRPr="00677229" w:rsidRDefault="0011200F" w:rsidP="00D20C49">
      <w:pPr>
        <w:pStyle w:val="PITableText"/>
      </w:pPr>
      <w:r w:rsidRPr="00677229">
        <w:t>Level 17, 151 Clarence Street</w:t>
      </w:r>
    </w:p>
    <w:p w:rsidR="0011200F" w:rsidRPr="00677229" w:rsidRDefault="0011200F" w:rsidP="00D20C49">
      <w:pPr>
        <w:pStyle w:val="PITableText"/>
      </w:pPr>
      <w:r w:rsidRPr="00677229">
        <w:t>Sydney NSW 2000</w:t>
      </w:r>
    </w:p>
    <w:p w:rsidR="008655E8" w:rsidRPr="008655E8" w:rsidRDefault="008655E8" w:rsidP="00D20C49">
      <w:pPr>
        <w:pStyle w:val="PITableText"/>
      </w:pPr>
      <w:r w:rsidRPr="008655E8">
        <w:t>Toll Free number: 1800 675 229</w:t>
      </w:r>
    </w:p>
    <w:p w:rsidR="008655E8" w:rsidRPr="008655E8" w:rsidRDefault="008259FC" w:rsidP="00D20C49">
      <w:pPr>
        <w:pStyle w:val="PITableText"/>
        <w:rPr>
          <w:color w:val="0000FF"/>
        </w:rPr>
      </w:pPr>
      <w:hyperlink r:id="rId24" w:history="1">
        <w:r w:rsidR="008655E8" w:rsidRPr="008655E8">
          <w:rPr>
            <w:color w:val="0000FF"/>
          </w:rPr>
          <w:t>www.pfizer.com.au</w:t>
        </w:r>
      </w:hyperlink>
    </w:p>
    <w:p w:rsidR="000214C3" w:rsidRDefault="00D118A8" w:rsidP="00645CC7">
      <w:pPr>
        <w:pStyle w:val="Heading1"/>
      </w:pPr>
      <w:r>
        <w:t>9</w:t>
      </w:r>
      <w:r>
        <w:tab/>
      </w:r>
      <w:r w:rsidR="000214C3" w:rsidRPr="00645CC7">
        <w:t>DATE OF FIRST APPROVAL</w:t>
      </w:r>
    </w:p>
    <w:p w:rsidR="000214C3" w:rsidRPr="00D20C49" w:rsidRDefault="00D20C49" w:rsidP="00D20C49">
      <w:pPr>
        <w:pStyle w:val="PINormal"/>
        <w:rPr>
          <w:i/>
        </w:rPr>
      </w:pPr>
      <w:r>
        <w:t>05 February 2015</w:t>
      </w:r>
    </w:p>
    <w:p w:rsidR="000214C3" w:rsidRDefault="00D118A8" w:rsidP="00645CC7">
      <w:pPr>
        <w:pStyle w:val="Heading1"/>
      </w:pPr>
      <w:r>
        <w:t>10</w:t>
      </w:r>
      <w:r>
        <w:tab/>
      </w:r>
      <w:r w:rsidR="000214C3" w:rsidRPr="00645CC7">
        <w:t>DATE OF REVISION</w:t>
      </w:r>
    </w:p>
    <w:p w:rsidR="00D20C49" w:rsidRDefault="003A5437" w:rsidP="00D20C49">
      <w:pPr>
        <w:pStyle w:val="PINormal"/>
      </w:pPr>
      <w:r>
        <w:t xml:space="preserve">19 February 2019 </w:t>
      </w:r>
    </w:p>
    <w:p w:rsidR="00D20C49" w:rsidRDefault="00D20C49" w:rsidP="00D20C49">
      <w:pPr>
        <w:pStyle w:val="PINormal"/>
      </w:pPr>
      <w:r w:rsidRPr="0051061D">
        <w:rPr>
          <w:vertAlign w:val="superscript"/>
        </w:rPr>
        <w:sym w:font="Symbol" w:char="F0D2"/>
      </w:r>
      <w:r w:rsidRPr="0051061D">
        <w:t xml:space="preserve"> Registered trademark</w:t>
      </w:r>
    </w:p>
    <w:p w:rsidR="00D20C49" w:rsidRDefault="00D20C49" w:rsidP="00645CC7">
      <w:pPr>
        <w:jc w:val="left"/>
        <w:rPr>
          <w:b/>
          <w:bCs/>
          <w:color w:val="001321"/>
          <w:szCs w:val="24"/>
        </w:rPr>
      </w:pPr>
    </w:p>
    <w:p w:rsidR="000214C3" w:rsidRPr="00645CC7" w:rsidRDefault="000214C3" w:rsidP="00645CC7">
      <w:pPr>
        <w:jc w:val="left"/>
        <w:rPr>
          <w:b/>
          <w:bCs/>
          <w:color w:val="001321"/>
          <w:szCs w:val="24"/>
        </w:rPr>
      </w:pPr>
      <w:r w:rsidRPr="00645CC7">
        <w:rPr>
          <w:b/>
          <w:bCs/>
          <w:color w:val="001321"/>
          <w:szCs w:val="24"/>
        </w:rPr>
        <w:t>Summary table of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66"/>
      </w:tblGrid>
      <w:tr w:rsidR="000214C3" w:rsidRPr="00E9313A" w:rsidTr="00E9313A">
        <w:tc>
          <w:tcPr>
            <w:tcW w:w="2376" w:type="dxa"/>
            <w:shd w:val="pct20" w:color="auto" w:fill="auto"/>
          </w:tcPr>
          <w:p w:rsidR="000214C3" w:rsidRPr="00E9313A" w:rsidRDefault="000214C3" w:rsidP="00E9313A">
            <w:pPr>
              <w:pStyle w:val="Default"/>
              <w:spacing w:before="120" w:after="120"/>
              <w:jc w:val="both"/>
              <w:rPr>
                <w:rFonts w:ascii="Times New Roman" w:hAnsi="Times New Roman" w:cs="Times New Roman"/>
                <w:sz w:val="20"/>
                <w:szCs w:val="20"/>
              </w:rPr>
            </w:pPr>
            <w:r w:rsidRPr="00E9313A">
              <w:rPr>
                <w:rFonts w:ascii="Times New Roman" w:hAnsi="Times New Roman" w:cs="Times New Roman"/>
                <w:b/>
                <w:bCs/>
                <w:sz w:val="20"/>
                <w:szCs w:val="20"/>
              </w:rPr>
              <w:t xml:space="preserve">Section changed </w:t>
            </w:r>
          </w:p>
        </w:tc>
        <w:tc>
          <w:tcPr>
            <w:tcW w:w="6866" w:type="dxa"/>
            <w:shd w:val="pct20" w:color="auto" w:fill="auto"/>
          </w:tcPr>
          <w:p w:rsidR="000214C3" w:rsidRPr="00E9313A" w:rsidRDefault="000214C3" w:rsidP="00E9313A">
            <w:pPr>
              <w:pStyle w:val="Default"/>
              <w:spacing w:before="120" w:after="120"/>
              <w:jc w:val="both"/>
              <w:rPr>
                <w:rFonts w:ascii="Times New Roman" w:hAnsi="Times New Roman" w:cs="Times New Roman"/>
                <w:b/>
                <w:bCs/>
                <w:sz w:val="20"/>
                <w:szCs w:val="20"/>
              </w:rPr>
            </w:pPr>
            <w:r w:rsidRPr="00E9313A">
              <w:rPr>
                <w:rFonts w:ascii="Times New Roman" w:hAnsi="Times New Roman" w:cs="Times New Roman"/>
                <w:b/>
                <w:bCs/>
                <w:sz w:val="20"/>
                <w:szCs w:val="20"/>
              </w:rPr>
              <w:t xml:space="preserve">Summary of new information </w:t>
            </w:r>
          </w:p>
        </w:tc>
      </w:tr>
      <w:tr w:rsidR="006250F9" w:rsidRPr="00E9313A" w:rsidDel="007355CA" w:rsidTr="000E5D9A">
        <w:tc>
          <w:tcPr>
            <w:tcW w:w="2376" w:type="dxa"/>
            <w:shd w:val="clear" w:color="auto" w:fill="auto"/>
          </w:tcPr>
          <w:p w:rsidR="006250F9" w:rsidDel="007355CA" w:rsidRDefault="006250F9" w:rsidP="000E5D9A">
            <w:pPr>
              <w:spacing w:before="120" w:after="120"/>
              <w:rPr>
                <w:sz w:val="20"/>
              </w:rPr>
            </w:pPr>
            <w:r>
              <w:rPr>
                <w:sz w:val="20"/>
              </w:rPr>
              <w:t>2</w:t>
            </w:r>
          </w:p>
        </w:tc>
        <w:tc>
          <w:tcPr>
            <w:tcW w:w="6866" w:type="dxa"/>
            <w:shd w:val="clear" w:color="auto" w:fill="auto"/>
          </w:tcPr>
          <w:p w:rsidR="006250F9" w:rsidDel="007355CA" w:rsidRDefault="006250F9" w:rsidP="000E5D9A">
            <w:pPr>
              <w:spacing w:before="120" w:after="120"/>
              <w:rPr>
                <w:sz w:val="20"/>
              </w:rPr>
            </w:pPr>
            <w:r>
              <w:rPr>
                <w:sz w:val="20"/>
              </w:rPr>
              <w:t>Addition of new 10 mg strength tablet details</w:t>
            </w:r>
          </w:p>
        </w:tc>
      </w:tr>
      <w:tr w:rsidR="006250F9" w:rsidRPr="00E9313A" w:rsidDel="007355CA" w:rsidTr="000E5D9A">
        <w:tc>
          <w:tcPr>
            <w:tcW w:w="2376" w:type="dxa"/>
            <w:shd w:val="clear" w:color="auto" w:fill="auto"/>
          </w:tcPr>
          <w:p w:rsidR="006250F9" w:rsidDel="007355CA" w:rsidRDefault="006250F9" w:rsidP="000E5D9A">
            <w:pPr>
              <w:spacing w:before="120" w:after="120"/>
              <w:rPr>
                <w:sz w:val="20"/>
              </w:rPr>
            </w:pPr>
            <w:r>
              <w:rPr>
                <w:sz w:val="20"/>
              </w:rPr>
              <w:t>3</w:t>
            </w:r>
          </w:p>
        </w:tc>
        <w:tc>
          <w:tcPr>
            <w:tcW w:w="6866" w:type="dxa"/>
            <w:shd w:val="clear" w:color="auto" w:fill="auto"/>
          </w:tcPr>
          <w:p w:rsidR="006250F9" w:rsidDel="007355CA" w:rsidRDefault="006250F9" w:rsidP="000E5D9A">
            <w:pPr>
              <w:spacing w:before="120" w:after="120"/>
              <w:rPr>
                <w:sz w:val="20"/>
              </w:rPr>
            </w:pPr>
            <w:r>
              <w:rPr>
                <w:sz w:val="20"/>
              </w:rPr>
              <w:t>Addition of new 10 mg strength tablet details</w:t>
            </w:r>
          </w:p>
        </w:tc>
      </w:tr>
      <w:tr w:rsidR="006250F9" w:rsidRPr="00E9313A" w:rsidDel="007355CA" w:rsidTr="000E5D9A">
        <w:tc>
          <w:tcPr>
            <w:tcW w:w="2376" w:type="dxa"/>
            <w:tcBorders>
              <w:top w:val="single" w:sz="4" w:space="0" w:color="auto"/>
              <w:left w:val="single" w:sz="4" w:space="0" w:color="auto"/>
              <w:bottom w:val="single" w:sz="4" w:space="0" w:color="auto"/>
              <w:right w:val="single" w:sz="4" w:space="0" w:color="auto"/>
            </w:tcBorders>
            <w:shd w:val="clear" w:color="auto" w:fill="auto"/>
          </w:tcPr>
          <w:p w:rsidR="006250F9" w:rsidDel="007355CA" w:rsidRDefault="006250F9" w:rsidP="000E5D9A">
            <w:pPr>
              <w:spacing w:before="120" w:after="120"/>
              <w:rPr>
                <w:sz w:val="20"/>
              </w:rPr>
            </w:pPr>
            <w:r>
              <w:rPr>
                <w:sz w:val="20"/>
              </w:rPr>
              <w:t>4.1</w:t>
            </w:r>
          </w:p>
        </w:tc>
        <w:tc>
          <w:tcPr>
            <w:tcW w:w="6866" w:type="dxa"/>
            <w:tcBorders>
              <w:top w:val="single" w:sz="4" w:space="0" w:color="auto"/>
              <w:left w:val="single" w:sz="4" w:space="0" w:color="auto"/>
              <w:bottom w:val="single" w:sz="4" w:space="0" w:color="auto"/>
              <w:right w:val="single" w:sz="4" w:space="0" w:color="auto"/>
            </w:tcBorders>
            <w:shd w:val="clear" w:color="auto" w:fill="auto"/>
          </w:tcPr>
          <w:p w:rsidR="006250F9" w:rsidDel="007355CA" w:rsidRDefault="006250F9" w:rsidP="000E5D9A">
            <w:pPr>
              <w:spacing w:before="120" w:after="120"/>
              <w:rPr>
                <w:sz w:val="20"/>
              </w:rPr>
            </w:pPr>
            <w:r>
              <w:rPr>
                <w:sz w:val="20"/>
              </w:rPr>
              <w:t>Ulcerative colitis (UC) indication added</w:t>
            </w:r>
          </w:p>
        </w:tc>
      </w:tr>
      <w:tr w:rsidR="006250F9" w:rsidRPr="00E9313A" w:rsidDel="007355CA" w:rsidTr="000E5D9A">
        <w:tc>
          <w:tcPr>
            <w:tcW w:w="2376" w:type="dxa"/>
            <w:tcBorders>
              <w:top w:val="single" w:sz="4" w:space="0" w:color="auto"/>
              <w:left w:val="single" w:sz="4" w:space="0" w:color="auto"/>
              <w:bottom w:val="single" w:sz="4" w:space="0" w:color="auto"/>
              <w:right w:val="single" w:sz="4" w:space="0" w:color="auto"/>
            </w:tcBorders>
            <w:shd w:val="clear" w:color="auto" w:fill="auto"/>
          </w:tcPr>
          <w:p w:rsidR="006250F9" w:rsidDel="007355CA" w:rsidRDefault="006250F9" w:rsidP="000E5D9A">
            <w:pPr>
              <w:spacing w:before="120" w:after="120"/>
              <w:rPr>
                <w:sz w:val="20"/>
              </w:rPr>
            </w:pPr>
            <w:r>
              <w:rPr>
                <w:sz w:val="20"/>
              </w:rPr>
              <w:t>4.2</w:t>
            </w:r>
          </w:p>
        </w:tc>
        <w:tc>
          <w:tcPr>
            <w:tcW w:w="6866" w:type="dxa"/>
            <w:tcBorders>
              <w:top w:val="single" w:sz="4" w:space="0" w:color="auto"/>
              <w:left w:val="single" w:sz="4" w:space="0" w:color="auto"/>
              <w:bottom w:val="single" w:sz="4" w:space="0" w:color="auto"/>
              <w:right w:val="single" w:sz="4" w:space="0" w:color="auto"/>
            </w:tcBorders>
            <w:shd w:val="clear" w:color="auto" w:fill="auto"/>
          </w:tcPr>
          <w:p w:rsidR="006250F9" w:rsidDel="007355CA" w:rsidRDefault="006250F9" w:rsidP="000E5D9A">
            <w:pPr>
              <w:spacing w:before="120" w:after="120"/>
              <w:rPr>
                <w:sz w:val="20"/>
              </w:rPr>
            </w:pPr>
            <w:r>
              <w:rPr>
                <w:sz w:val="20"/>
              </w:rPr>
              <w:t>Re-location of text from Section 4.1 regarding therapy with Xeljanz (initiation by a specialist physician with expertise in the management of conditions for which XELJANZ is indicated); Dosage instructions added for UC indication; Revision to dosage adjustments in neutropenia, renal impairment, hepatic impairment and interactions with other medicines.</w:t>
            </w:r>
          </w:p>
        </w:tc>
      </w:tr>
      <w:tr w:rsidR="006250F9" w:rsidRPr="00E9313A" w:rsidDel="007355CA" w:rsidTr="000E5D9A">
        <w:tc>
          <w:tcPr>
            <w:tcW w:w="2376" w:type="dxa"/>
            <w:tcBorders>
              <w:top w:val="single" w:sz="4" w:space="0" w:color="auto"/>
              <w:left w:val="single" w:sz="4" w:space="0" w:color="auto"/>
              <w:bottom w:val="single" w:sz="4" w:space="0" w:color="auto"/>
              <w:right w:val="single" w:sz="4" w:space="0" w:color="auto"/>
            </w:tcBorders>
            <w:shd w:val="clear" w:color="auto" w:fill="auto"/>
          </w:tcPr>
          <w:p w:rsidR="006250F9" w:rsidDel="007355CA" w:rsidRDefault="006250F9" w:rsidP="000E5D9A">
            <w:pPr>
              <w:spacing w:before="120" w:after="120"/>
              <w:rPr>
                <w:sz w:val="20"/>
              </w:rPr>
            </w:pPr>
            <w:r>
              <w:rPr>
                <w:sz w:val="20"/>
              </w:rPr>
              <w:t>4.4</w:t>
            </w:r>
          </w:p>
        </w:tc>
        <w:tc>
          <w:tcPr>
            <w:tcW w:w="6866" w:type="dxa"/>
            <w:tcBorders>
              <w:top w:val="single" w:sz="4" w:space="0" w:color="auto"/>
              <w:left w:val="single" w:sz="4" w:space="0" w:color="auto"/>
              <w:bottom w:val="single" w:sz="4" w:space="0" w:color="auto"/>
              <w:right w:val="single" w:sz="4" w:space="0" w:color="auto"/>
            </w:tcBorders>
            <w:shd w:val="clear" w:color="auto" w:fill="auto"/>
          </w:tcPr>
          <w:p w:rsidR="006250F9" w:rsidDel="007355CA" w:rsidRDefault="006250F9" w:rsidP="000E5D9A">
            <w:pPr>
              <w:spacing w:before="120" w:after="120"/>
              <w:rPr>
                <w:sz w:val="20"/>
              </w:rPr>
            </w:pPr>
            <w:r>
              <w:rPr>
                <w:sz w:val="20"/>
              </w:rPr>
              <w:t>Information updated to cover UC data (including 10 mg strength); use in hepatic impairment, use in renal impairment, effects on laboratory tests (neutrophils).</w:t>
            </w:r>
          </w:p>
        </w:tc>
      </w:tr>
      <w:tr w:rsidR="006250F9" w:rsidRPr="00E9313A" w:rsidDel="007355CA" w:rsidTr="000E5D9A">
        <w:tc>
          <w:tcPr>
            <w:tcW w:w="2376" w:type="dxa"/>
            <w:tcBorders>
              <w:top w:val="single" w:sz="4" w:space="0" w:color="auto"/>
              <w:left w:val="single" w:sz="4" w:space="0" w:color="auto"/>
              <w:bottom w:val="single" w:sz="4" w:space="0" w:color="auto"/>
              <w:right w:val="single" w:sz="4" w:space="0" w:color="auto"/>
            </w:tcBorders>
            <w:shd w:val="clear" w:color="auto" w:fill="auto"/>
          </w:tcPr>
          <w:p w:rsidR="006250F9" w:rsidDel="007355CA" w:rsidRDefault="006250F9" w:rsidP="000E5D9A">
            <w:pPr>
              <w:spacing w:before="120" w:after="120"/>
              <w:rPr>
                <w:sz w:val="20"/>
              </w:rPr>
            </w:pPr>
            <w:r>
              <w:rPr>
                <w:sz w:val="20"/>
              </w:rPr>
              <w:t>4.5</w:t>
            </w:r>
          </w:p>
        </w:tc>
        <w:tc>
          <w:tcPr>
            <w:tcW w:w="6866" w:type="dxa"/>
            <w:tcBorders>
              <w:top w:val="single" w:sz="4" w:space="0" w:color="auto"/>
              <w:left w:val="single" w:sz="4" w:space="0" w:color="auto"/>
              <w:bottom w:val="single" w:sz="4" w:space="0" w:color="auto"/>
              <w:right w:val="single" w:sz="4" w:space="0" w:color="auto"/>
            </w:tcBorders>
            <w:shd w:val="clear" w:color="auto" w:fill="auto"/>
          </w:tcPr>
          <w:p w:rsidR="006250F9" w:rsidDel="007355CA" w:rsidRDefault="006250F9" w:rsidP="000E5D9A">
            <w:pPr>
              <w:spacing w:before="120" w:after="120"/>
              <w:rPr>
                <w:sz w:val="20"/>
              </w:rPr>
            </w:pPr>
            <w:r>
              <w:rPr>
                <w:sz w:val="20"/>
              </w:rPr>
              <w:t>Update to Figure 1 (</w:t>
            </w:r>
            <w:r w:rsidRPr="000249D5">
              <w:rPr>
                <w:sz w:val="20"/>
              </w:rPr>
              <w:t>Impact of Other Medicines on the Pharmacokinetics of Tofacitinib</w:t>
            </w:r>
            <w:r>
              <w:rPr>
                <w:sz w:val="20"/>
              </w:rPr>
              <w:t xml:space="preserve">); Information updated with regard to </w:t>
            </w:r>
            <w:r w:rsidRPr="009337D8">
              <w:rPr>
                <w:i/>
                <w:sz w:val="20"/>
              </w:rPr>
              <w:t>in vitro</w:t>
            </w:r>
            <w:r>
              <w:rPr>
                <w:sz w:val="20"/>
              </w:rPr>
              <w:t xml:space="preserve"> studies under ‘Potential for Tofacitinib to Influence the Pharmacokinetics of Other Medicines’ and to </w:t>
            </w:r>
            <w:r>
              <w:rPr>
                <w:sz w:val="20"/>
              </w:rPr>
              <w:lastRenderedPageBreak/>
              <w:t>cover UC data under ‘Combination with Other Therapies’.</w:t>
            </w:r>
          </w:p>
        </w:tc>
      </w:tr>
      <w:tr w:rsidR="006250F9" w:rsidRPr="00E9313A" w:rsidDel="007355CA" w:rsidTr="000E5D9A">
        <w:tc>
          <w:tcPr>
            <w:tcW w:w="2376" w:type="dxa"/>
            <w:tcBorders>
              <w:top w:val="single" w:sz="4" w:space="0" w:color="auto"/>
              <w:left w:val="single" w:sz="4" w:space="0" w:color="auto"/>
              <w:bottom w:val="single" w:sz="4" w:space="0" w:color="auto"/>
              <w:right w:val="single" w:sz="4" w:space="0" w:color="auto"/>
            </w:tcBorders>
            <w:shd w:val="clear" w:color="auto" w:fill="auto"/>
          </w:tcPr>
          <w:p w:rsidR="006250F9" w:rsidDel="007355CA" w:rsidRDefault="006250F9" w:rsidP="000E5D9A">
            <w:pPr>
              <w:spacing w:before="120" w:after="120"/>
              <w:rPr>
                <w:sz w:val="20"/>
              </w:rPr>
            </w:pPr>
            <w:r>
              <w:rPr>
                <w:sz w:val="20"/>
              </w:rPr>
              <w:lastRenderedPageBreak/>
              <w:t>4.6</w:t>
            </w:r>
          </w:p>
        </w:tc>
        <w:tc>
          <w:tcPr>
            <w:tcW w:w="6866" w:type="dxa"/>
            <w:tcBorders>
              <w:top w:val="single" w:sz="4" w:space="0" w:color="auto"/>
              <w:left w:val="single" w:sz="4" w:space="0" w:color="auto"/>
              <w:bottom w:val="single" w:sz="4" w:space="0" w:color="auto"/>
              <w:right w:val="single" w:sz="4" w:space="0" w:color="auto"/>
            </w:tcBorders>
            <w:shd w:val="clear" w:color="auto" w:fill="auto"/>
          </w:tcPr>
          <w:p w:rsidR="006250F9" w:rsidDel="007355CA" w:rsidRDefault="006250F9" w:rsidP="000E5D9A">
            <w:pPr>
              <w:spacing w:before="120" w:after="120"/>
              <w:rPr>
                <w:sz w:val="20"/>
              </w:rPr>
            </w:pPr>
            <w:r>
              <w:rPr>
                <w:sz w:val="20"/>
              </w:rPr>
              <w:t>Exposure margins updated to reflect new 10 mg strength under ‘Effects on fertility’ and ‘Use in pregnancy’.</w:t>
            </w:r>
          </w:p>
        </w:tc>
      </w:tr>
      <w:tr w:rsidR="006250F9" w:rsidRPr="00E9313A" w:rsidDel="007355CA" w:rsidTr="000E5D9A">
        <w:tc>
          <w:tcPr>
            <w:tcW w:w="2376" w:type="dxa"/>
            <w:tcBorders>
              <w:top w:val="single" w:sz="4" w:space="0" w:color="auto"/>
              <w:left w:val="single" w:sz="4" w:space="0" w:color="auto"/>
              <w:bottom w:val="single" w:sz="4" w:space="0" w:color="auto"/>
              <w:right w:val="single" w:sz="4" w:space="0" w:color="auto"/>
            </w:tcBorders>
            <w:shd w:val="clear" w:color="auto" w:fill="auto"/>
          </w:tcPr>
          <w:p w:rsidR="006250F9" w:rsidDel="007355CA" w:rsidRDefault="006250F9" w:rsidP="000E5D9A">
            <w:pPr>
              <w:spacing w:before="120" w:after="120"/>
              <w:rPr>
                <w:sz w:val="20"/>
              </w:rPr>
            </w:pPr>
            <w:r>
              <w:rPr>
                <w:sz w:val="20"/>
              </w:rPr>
              <w:t>4.8</w:t>
            </w:r>
          </w:p>
        </w:tc>
        <w:tc>
          <w:tcPr>
            <w:tcW w:w="6866" w:type="dxa"/>
            <w:tcBorders>
              <w:top w:val="single" w:sz="4" w:space="0" w:color="auto"/>
              <w:left w:val="single" w:sz="4" w:space="0" w:color="auto"/>
              <w:bottom w:val="single" w:sz="4" w:space="0" w:color="auto"/>
              <w:right w:val="single" w:sz="4" w:space="0" w:color="auto"/>
            </w:tcBorders>
            <w:shd w:val="clear" w:color="auto" w:fill="auto"/>
          </w:tcPr>
          <w:p w:rsidR="006250F9" w:rsidDel="007355CA" w:rsidRDefault="006250F9" w:rsidP="000E5D9A">
            <w:pPr>
              <w:spacing w:before="120" w:after="120"/>
              <w:rPr>
                <w:sz w:val="20"/>
              </w:rPr>
            </w:pPr>
            <w:r>
              <w:rPr>
                <w:sz w:val="20"/>
              </w:rPr>
              <w:t>Information updated to include UC data; update to adverse drug reaction (ADR) frequencies</w:t>
            </w:r>
          </w:p>
        </w:tc>
      </w:tr>
      <w:tr w:rsidR="006250F9" w:rsidRPr="00E9313A" w:rsidDel="007355CA" w:rsidTr="000E5D9A">
        <w:tc>
          <w:tcPr>
            <w:tcW w:w="2376" w:type="dxa"/>
            <w:tcBorders>
              <w:top w:val="single" w:sz="4" w:space="0" w:color="auto"/>
              <w:left w:val="single" w:sz="4" w:space="0" w:color="auto"/>
              <w:bottom w:val="single" w:sz="4" w:space="0" w:color="auto"/>
              <w:right w:val="single" w:sz="4" w:space="0" w:color="auto"/>
            </w:tcBorders>
            <w:shd w:val="clear" w:color="auto" w:fill="auto"/>
          </w:tcPr>
          <w:p w:rsidR="006250F9" w:rsidRDefault="006250F9" w:rsidP="000E5D9A">
            <w:pPr>
              <w:spacing w:before="120" w:after="120"/>
              <w:rPr>
                <w:sz w:val="20"/>
              </w:rPr>
            </w:pPr>
            <w:r>
              <w:rPr>
                <w:sz w:val="20"/>
              </w:rPr>
              <w:t>5.1</w:t>
            </w:r>
          </w:p>
        </w:tc>
        <w:tc>
          <w:tcPr>
            <w:tcW w:w="6866" w:type="dxa"/>
            <w:tcBorders>
              <w:top w:val="single" w:sz="4" w:space="0" w:color="auto"/>
              <w:left w:val="single" w:sz="4" w:space="0" w:color="auto"/>
              <w:bottom w:val="single" w:sz="4" w:space="0" w:color="auto"/>
              <w:right w:val="single" w:sz="4" w:space="0" w:color="auto"/>
            </w:tcBorders>
            <w:shd w:val="clear" w:color="auto" w:fill="auto"/>
          </w:tcPr>
          <w:p w:rsidR="006250F9" w:rsidRDefault="006250F9" w:rsidP="000E5D9A">
            <w:pPr>
              <w:spacing w:before="120" w:after="120"/>
              <w:rPr>
                <w:sz w:val="20"/>
              </w:rPr>
            </w:pPr>
            <w:r>
              <w:rPr>
                <w:sz w:val="20"/>
              </w:rPr>
              <w:t>Information updated to include UC data with regard to clinical trials.</w:t>
            </w:r>
          </w:p>
        </w:tc>
      </w:tr>
      <w:tr w:rsidR="006250F9" w:rsidRPr="00E9313A" w:rsidDel="007355CA" w:rsidTr="000E5D9A">
        <w:tc>
          <w:tcPr>
            <w:tcW w:w="2376" w:type="dxa"/>
            <w:tcBorders>
              <w:top w:val="single" w:sz="4" w:space="0" w:color="auto"/>
              <w:left w:val="single" w:sz="4" w:space="0" w:color="auto"/>
              <w:bottom w:val="single" w:sz="4" w:space="0" w:color="auto"/>
              <w:right w:val="single" w:sz="4" w:space="0" w:color="auto"/>
            </w:tcBorders>
            <w:shd w:val="clear" w:color="auto" w:fill="auto"/>
          </w:tcPr>
          <w:p w:rsidR="006250F9" w:rsidRDefault="006250F9" w:rsidP="000E5D9A">
            <w:pPr>
              <w:spacing w:before="120" w:after="120"/>
              <w:rPr>
                <w:sz w:val="20"/>
              </w:rPr>
            </w:pPr>
            <w:r>
              <w:rPr>
                <w:sz w:val="20"/>
              </w:rPr>
              <w:t>5.2</w:t>
            </w:r>
          </w:p>
        </w:tc>
        <w:tc>
          <w:tcPr>
            <w:tcW w:w="6866" w:type="dxa"/>
            <w:tcBorders>
              <w:top w:val="single" w:sz="4" w:space="0" w:color="auto"/>
              <w:left w:val="single" w:sz="4" w:space="0" w:color="auto"/>
              <w:bottom w:val="single" w:sz="4" w:space="0" w:color="auto"/>
              <w:right w:val="single" w:sz="4" w:space="0" w:color="auto"/>
            </w:tcBorders>
            <w:shd w:val="clear" w:color="auto" w:fill="auto"/>
          </w:tcPr>
          <w:p w:rsidR="006250F9" w:rsidRDefault="006250F9" w:rsidP="000E5D9A">
            <w:pPr>
              <w:spacing w:before="120" w:after="120"/>
              <w:rPr>
                <w:sz w:val="20"/>
              </w:rPr>
            </w:pPr>
            <w:r>
              <w:rPr>
                <w:sz w:val="20"/>
              </w:rPr>
              <w:t>Information updated with regard to ‘Metabolism and Excretion’, ‘</w:t>
            </w:r>
            <w:r w:rsidRPr="00FE2C3D">
              <w:rPr>
                <w:sz w:val="20"/>
              </w:rPr>
              <w:t>Pharmacokinetics in Elderly (&gt;65 years) patients, Gender, Race</w:t>
            </w:r>
            <w:r>
              <w:rPr>
                <w:sz w:val="20"/>
              </w:rPr>
              <w:t>’ and ‘Renal Impairment’.</w:t>
            </w:r>
          </w:p>
        </w:tc>
      </w:tr>
      <w:tr w:rsidR="006250F9" w:rsidRPr="00E9313A" w:rsidDel="007355CA" w:rsidTr="000E5D9A">
        <w:tc>
          <w:tcPr>
            <w:tcW w:w="2376" w:type="dxa"/>
            <w:tcBorders>
              <w:top w:val="single" w:sz="4" w:space="0" w:color="auto"/>
              <w:left w:val="single" w:sz="4" w:space="0" w:color="auto"/>
              <w:bottom w:val="single" w:sz="4" w:space="0" w:color="auto"/>
              <w:right w:val="single" w:sz="4" w:space="0" w:color="auto"/>
            </w:tcBorders>
            <w:shd w:val="clear" w:color="auto" w:fill="auto"/>
          </w:tcPr>
          <w:p w:rsidR="006250F9" w:rsidRDefault="006250F9" w:rsidP="000E5D9A">
            <w:pPr>
              <w:spacing w:before="120" w:after="120"/>
              <w:rPr>
                <w:sz w:val="20"/>
              </w:rPr>
            </w:pPr>
            <w:r>
              <w:rPr>
                <w:sz w:val="20"/>
              </w:rPr>
              <w:t>5.3</w:t>
            </w:r>
          </w:p>
        </w:tc>
        <w:tc>
          <w:tcPr>
            <w:tcW w:w="6866" w:type="dxa"/>
            <w:tcBorders>
              <w:top w:val="single" w:sz="4" w:space="0" w:color="auto"/>
              <w:left w:val="single" w:sz="4" w:space="0" w:color="auto"/>
              <w:bottom w:val="single" w:sz="4" w:space="0" w:color="auto"/>
              <w:right w:val="single" w:sz="4" w:space="0" w:color="auto"/>
            </w:tcBorders>
            <w:shd w:val="clear" w:color="auto" w:fill="auto"/>
          </w:tcPr>
          <w:p w:rsidR="006250F9" w:rsidRDefault="006250F9" w:rsidP="000E5D9A">
            <w:pPr>
              <w:spacing w:before="120" w:after="120"/>
              <w:rPr>
                <w:sz w:val="20"/>
              </w:rPr>
            </w:pPr>
            <w:r>
              <w:rPr>
                <w:sz w:val="20"/>
              </w:rPr>
              <w:t>Exposure margins updated to reflect new 10 mg strength under ‘</w:t>
            </w:r>
            <w:r w:rsidRPr="00FE2C3D">
              <w:rPr>
                <w:sz w:val="20"/>
              </w:rPr>
              <w:t>Carcinogenicity</w:t>
            </w:r>
            <w:r>
              <w:rPr>
                <w:sz w:val="20"/>
              </w:rPr>
              <w:t>’</w:t>
            </w:r>
          </w:p>
        </w:tc>
      </w:tr>
      <w:tr w:rsidR="006250F9" w:rsidRPr="00E9313A" w:rsidDel="007355CA" w:rsidTr="000E5D9A">
        <w:tc>
          <w:tcPr>
            <w:tcW w:w="2376" w:type="dxa"/>
            <w:tcBorders>
              <w:top w:val="single" w:sz="4" w:space="0" w:color="auto"/>
              <w:left w:val="single" w:sz="4" w:space="0" w:color="auto"/>
              <w:bottom w:val="single" w:sz="4" w:space="0" w:color="auto"/>
              <w:right w:val="single" w:sz="4" w:space="0" w:color="auto"/>
            </w:tcBorders>
            <w:shd w:val="clear" w:color="auto" w:fill="auto"/>
          </w:tcPr>
          <w:p w:rsidR="006250F9" w:rsidRDefault="006250F9" w:rsidP="000E5D9A">
            <w:pPr>
              <w:spacing w:before="120" w:after="120"/>
              <w:rPr>
                <w:sz w:val="20"/>
              </w:rPr>
            </w:pPr>
            <w:r>
              <w:rPr>
                <w:sz w:val="20"/>
              </w:rPr>
              <w:t>6</w:t>
            </w:r>
          </w:p>
        </w:tc>
        <w:tc>
          <w:tcPr>
            <w:tcW w:w="6866" w:type="dxa"/>
            <w:tcBorders>
              <w:top w:val="single" w:sz="4" w:space="0" w:color="auto"/>
              <w:left w:val="single" w:sz="4" w:space="0" w:color="auto"/>
              <w:bottom w:val="single" w:sz="4" w:space="0" w:color="auto"/>
              <w:right w:val="single" w:sz="4" w:space="0" w:color="auto"/>
            </w:tcBorders>
            <w:shd w:val="clear" w:color="auto" w:fill="auto"/>
          </w:tcPr>
          <w:p w:rsidR="006250F9" w:rsidRDefault="006250F9" w:rsidP="000E5D9A">
            <w:pPr>
              <w:spacing w:before="120" w:after="120"/>
              <w:rPr>
                <w:sz w:val="20"/>
              </w:rPr>
            </w:pPr>
            <w:r>
              <w:rPr>
                <w:sz w:val="20"/>
              </w:rPr>
              <w:t>Information updated to include new 10 mg strength.</w:t>
            </w:r>
          </w:p>
        </w:tc>
      </w:tr>
    </w:tbl>
    <w:p w:rsidR="000214C3" w:rsidRDefault="000214C3" w:rsidP="003A4144"/>
    <w:p w:rsidR="000214C3" w:rsidRDefault="000214C3" w:rsidP="003A4144"/>
    <w:p w:rsidR="00F26C63" w:rsidRPr="00CE5D41" w:rsidRDefault="00F26C63" w:rsidP="00E67595">
      <w:pPr>
        <w:pStyle w:val="Heading1"/>
        <w:rPr>
          <w:b w:val="0"/>
          <w:color w:val="00B050"/>
        </w:rPr>
      </w:pPr>
    </w:p>
    <w:sectPr w:rsidR="00F26C63" w:rsidRPr="00CE5D41" w:rsidSect="00B8627F">
      <w:headerReference w:type="even" r:id="rId25"/>
      <w:headerReference w:type="default" r:id="rId26"/>
      <w:footerReference w:type="even" r:id="rId27"/>
      <w:footerReference w:type="default" r:id="rId28"/>
      <w:headerReference w:type="first" r:id="rId29"/>
      <w:footerReference w:type="first" r:id="rId30"/>
      <w:footnotePr>
        <w:numFmt w:val="chicago"/>
      </w:footnotePr>
      <w:pgSz w:w="11906" w:h="16838" w:code="9"/>
      <w:pgMar w:top="1440" w:right="1440" w:bottom="1440" w:left="1440"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EB0" w:rsidRDefault="00470EB0">
      <w:r>
        <w:separator/>
      </w:r>
    </w:p>
    <w:p w:rsidR="00470EB0" w:rsidRDefault="00470EB0"/>
  </w:endnote>
  <w:endnote w:type="continuationSeparator" w:id="0">
    <w:p w:rsidR="00470EB0" w:rsidRDefault="00470EB0">
      <w:r>
        <w:continuationSeparator/>
      </w:r>
    </w:p>
    <w:p w:rsidR="00470EB0" w:rsidRDefault="00470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1" w:csb1="00000000"/>
  </w:font>
  <w:font w:name="TimesNewRoman">
    <w:altName w:val="MS Mincho"/>
    <w:panose1 w:val="00000000000000000000"/>
    <w:charset w:val="0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FA" w:rsidRDefault="000367FA">
    <w:pPr>
      <w:pStyle w:val="Footer"/>
    </w:pPr>
  </w:p>
  <w:p w:rsidR="000367FA" w:rsidRDefault="000367F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FA" w:rsidRDefault="000367FA">
    <w:pPr>
      <w:pStyle w:val="PIFooter"/>
      <w:tabs>
        <w:tab w:val="clear" w:pos="8800"/>
        <w:tab w:val="right" w:pos="9072"/>
      </w:tabs>
    </w:pPr>
    <w:r>
      <w:t>Version:</w:t>
    </w:r>
    <w:r w:rsidR="00EE72AC">
      <w:rPr>
        <w:lang w:val="en-AU"/>
      </w:rPr>
      <w:t xml:space="preserve"> </w:t>
    </w:r>
    <w:r w:rsidR="001B5C38">
      <w:rPr>
        <w:lang w:val="en-AU"/>
      </w:rPr>
      <w:t>pfpxeljt10219</w:t>
    </w:r>
    <w:r w:rsidR="00984B17">
      <w:rPr>
        <w:lang w:val="en-AU"/>
      </w:rPr>
      <w:t xml:space="preserve"> </w:t>
    </w:r>
    <w:r>
      <w:tab/>
      <w:t xml:space="preserve">Supersedes: </w:t>
    </w:r>
    <w:r w:rsidR="00EE72AC">
      <w:rPr>
        <w:lang w:val="en-AU"/>
      </w:rPr>
      <w:t>pfpxeljt11118</w:t>
    </w:r>
  </w:p>
  <w:p w:rsidR="000367FA" w:rsidRDefault="000367FA" w:rsidP="003002AD">
    <w:pPr>
      <w:pStyle w:val="PIFooter"/>
      <w:tabs>
        <w:tab w:val="clear" w:pos="8800"/>
        <w:tab w:val="right" w:pos="9072"/>
      </w:tabs>
    </w:pPr>
    <w:r>
      <w:tab/>
    </w:r>
    <w:r>
      <w:rPr>
        <w:lang w:val="en-US"/>
      </w:rPr>
      <w:t xml:space="preserve">Page </w:t>
    </w:r>
    <w:r>
      <w:rPr>
        <w:lang w:val="en-US"/>
      </w:rPr>
      <w:fldChar w:fldCharType="begin"/>
    </w:r>
    <w:r>
      <w:rPr>
        <w:lang w:val="en-US"/>
      </w:rPr>
      <w:instrText xml:space="preserve"> PAGE </w:instrText>
    </w:r>
    <w:r>
      <w:rPr>
        <w:lang w:val="en-US"/>
      </w:rPr>
      <w:fldChar w:fldCharType="separate"/>
    </w:r>
    <w:r w:rsidR="008259FC">
      <w:rPr>
        <w:noProof/>
        <w:lang w:val="en-US"/>
      </w:rPr>
      <w:t>38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8259FC">
      <w:rPr>
        <w:noProof/>
        <w:lang w:val="en-US"/>
      </w:rPr>
      <w:t>61</w:t>
    </w:r>
    <w:r>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437" w:rsidRDefault="003A54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FA" w:rsidRDefault="000367FA">
    <w:pPr>
      <w:pStyle w:val="PIFooter"/>
      <w:tabs>
        <w:tab w:val="clear" w:pos="8800"/>
        <w:tab w:val="right" w:pos="9072"/>
      </w:tabs>
    </w:pPr>
    <w:r>
      <w:t xml:space="preserve">Version: </w:t>
    </w:r>
    <w:r w:rsidR="001B5C38">
      <w:rPr>
        <w:lang w:val="en-AU"/>
      </w:rPr>
      <w:t>pfpxeljt10219</w:t>
    </w:r>
    <w:r>
      <w:rPr>
        <w:lang w:val="en-AU"/>
      </w:rPr>
      <w:tab/>
    </w:r>
    <w:r>
      <w:rPr>
        <w:lang w:val="en-AU"/>
      </w:rPr>
      <w:tab/>
    </w:r>
    <w:r>
      <w:rPr>
        <w:lang w:val="en-AU"/>
      </w:rPr>
      <w:tab/>
    </w:r>
    <w:r>
      <w:rPr>
        <w:lang w:val="en-AU"/>
      </w:rPr>
      <w:tab/>
      <w:t xml:space="preserve">      </w:t>
    </w:r>
    <w:r w:rsidR="003761E9">
      <w:rPr>
        <w:lang w:val="en-AU"/>
      </w:rPr>
      <w:tab/>
    </w:r>
    <w:r w:rsidR="008B4688">
      <w:rPr>
        <w:lang w:val="en-AU"/>
      </w:rPr>
      <w:t xml:space="preserve">      </w:t>
    </w:r>
    <w:r>
      <w:t xml:space="preserve">Supersedes: </w:t>
    </w:r>
    <w:r w:rsidR="006914DE">
      <w:rPr>
        <w:lang w:val="en-AU"/>
      </w:rPr>
      <w:t>pfpxeljt11118</w:t>
    </w:r>
  </w:p>
  <w:p w:rsidR="000367FA" w:rsidRDefault="000367FA" w:rsidP="003002AD">
    <w:pPr>
      <w:pStyle w:val="PIFooter"/>
      <w:tabs>
        <w:tab w:val="clear" w:pos="8800"/>
        <w:tab w:val="right" w:pos="9072"/>
      </w:tabs>
    </w:pPr>
    <w:r>
      <w:tab/>
    </w:r>
    <w:r>
      <w:rPr>
        <w:lang w:val="en-AU"/>
      </w:rPr>
      <w:tab/>
    </w:r>
    <w:r>
      <w:rPr>
        <w:lang w:val="en-AU"/>
      </w:rPr>
      <w:tab/>
    </w:r>
    <w:r>
      <w:rPr>
        <w:lang w:val="en-AU"/>
      </w:rPr>
      <w:tab/>
    </w:r>
    <w:r>
      <w:rPr>
        <w:lang w:val="en-AU"/>
      </w:rPr>
      <w:tab/>
    </w:r>
    <w:r>
      <w:rPr>
        <w:lang w:val="en-AU"/>
      </w:rPr>
      <w:tab/>
      <w:t xml:space="preserve">            </w:t>
    </w:r>
    <w:r>
      <w:rPr>
        <w:lang w:val="en-US"/>
      </w:rPr>
      <w:t xml:space="preserve">Page </w:t>
    </w:r>
    <w:r>
      <w:rPr>
        <w:lang w:val="en-US"/>
      </w:rPr>
      <w:fldChar w:fldCharType="begin"/>
    </w:r>
    <w:r>
      <w:rPr>
        <w:lang w:val="en-US"/>
      </w:rPr>
      <w:instrText xml:space="preserve"> PAGE </w:instrText>
    </w:r>
    <w:r>
      <w:rPr>
        <w:lang w:val="en-US"/>
      </w:rPr>
      <w:fldChar w:fldCharType="separate"/>
    </w:r>
    <w:r w:rsidR="008259FC">
      <w:rPr>
        <w:noProof/>
        <w:lang w:val="en-US"/>
      </w:rPr>
      <w:t>40</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8259FC">
      <w:rPr>
        <w:noProof/>
        <w:lang w:val="en-US"/>
      </w:rPr>
      <w:t>62</w:t>
    </w:r>
    <w:r>
      <w:rPr>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FA" w:rsidRDefault="000367FA">
    <w:pPr>
      <w:pStyle w:val="Footer"/>
    </w:pPr>
  </w:p>
  <w:p w:rsidR="000367FA" w:rsidRDefault="000367FA"/>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FA" w:rsidRDefault="000367FA">
    <w:pPr>
      <w:pStyle w:val="PIFooter"/>
      <w:tabs>
        <w:tab w:val="clear" w:pos="8800"/>
        <w:tab w:val="right" w:pos="9072"/>
      </w:tabs>
    </w:pPr>
    <w:r>
      <w:t>Version:</w:t>
    </w:r>
    <w:r>
      <w:rPr>
        <w:lang w:val="en-AU"/>
      </w:rPr>
      <w:t xml:space="preserve"> </w:t>
    </w:r>
    <w:r w:rsidR="003A5437">
      <w:rPr>
        <w:lang w:val="en-AU"/>
      </w:rPr>
      <w:t>pfpxeljt10219</w:t>
    </w:r>
    <w:r>
      <w:tab/>
      <w:t xml:space="preserve">Supersedes: </w:t>
    </w:r>
    <w:r>
      <w:rPr>
        <w:lang w:val="en-AU"/>
      </w:rPr>
      <w:t>pfpxeljt11118</w:t>
    </w:r>
  </w:p>
  <w:p w:rsidR="000367FA" w:rsidRDefault="000367FA" w:rsidP="003002AD">
    <w:pPr>
      <w:pStyle w:val="PIFooter"/>
      <w:tabs>
        <w:tab w:val="clear" w:pos="8800"/>
        <w:tab w:val="right" w:pos="9072"/>
      </w:tabs>
    </w:pPr>
    <w:r>
      <w:tab/>
    </w:r>
    <w:r>
      <w:rPr>
        <w:lang w:val="en-US"/>
      </w:rPr>
      <w:t xml:space="preserve">Page </w:t>
    </w:r>
    <w:r>
      <w:rPr>
        <w:lang w:val="en-US"/>
      </w:rPr>
      <w:fldChar w:fldCharType="begin"/>
    </w:r>
    <w:r>
      <w:rPr>
        <w:lang w:val="en-US"/>
      </w:rPr>
      <w:instrText xml:space="preserve"> PAGE </w:instrText>
    </w:r>
    <w:r>
      <w:rPr>
        <w:lang w:val="en-US"/>
      </w:rPr>
      <w:fldChar w:fldCharType="separate"/>
    </w:r>
    <w:r w:rsidR="008259FC">
      <w:rPr>
        <w:noProof/>
        <w:lang w:val="en-US"/>
      </w:rPr>
      <w:t>60</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8259FC">
      <w:rPr>
        <w:noProof/>
        <w:lang w:val="en-US"/>
      </w:rPr>
      <w:t>62</w:t>
    </w:r>
    <w:r>
      <w:rPr>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FA" w:rsidRDefault="00036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EB0" w:rsidRDefault="00470EB0">
      <w:r>
        <w:separator/>
      </w:r>
    </w:p>
    <w:p w:rsidR="00470EB0" w:rsidRDefault="00470EB0"/>
  </w:footnote>
  <w:footnote w:type="continuationSeparator" w:id="0">
    <w:p w:rsidR="00470EB0" w:rsidRDefault="00470EB0">
      <w:r>
        <w:continuationSeparator/>
      </w:r>
    </w:p>
    <w:p w:rsidR="00470EB0" w:rsidRDefault="00470E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FA" w:rsidRDefault="000367FA">
    <w:pPr>
      <w:pStyle w:val="Header"/>
    </w:pPr>
  </w:p>
  <w:p w:rsidR="000367FA" w:rsidRDefault="000367F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8259FC" w:rsidRPr="002E7F61" w:rsidTr="00084FBF">
      <w:trPr>
        <w:trHeight w:val="590"/>
      </w:trPr>
      <w:tc>
        <w:tcPr>
          <w:tcW w:w="8720" w:type="dxa"/>
          <w:shd w:val="clear" w:color="auto" w:fill="E4F2E0"/>
        </w:tcPr>
        <w:p w:rsidR="008259FC" w:rsidRPr="002E7F61" w:rsidRDefault="008259FC" w:rsidP="008259FC">
          <w:pPr>
            <w:pStyle w:val="Footer"/>
            <w:rPr>
              <w:b/>
              <w:sz w:val="18"/>
              <w:szCs w:val="18"/>
            </w:rPr>
          </w:pPr>
          <w:r w:rsidRPr="002E7F61">
            <w:rPr>
              <w:b/>
              <w:sz w:val="18"/>
              <w:szCs w:val="18"/>
            </w:rPr>
            <w:t xml:space="preserve">Attachment 1: Product information </w:t>
          </w:r>
          <w:r w:rsidRPr="00FA01D4">
            <w:rPr>
              <w:b/>
              <w:sz w:val="18"/>
              <w:szCs w:val="18"/>
            </w:rPr>
            <w:t xml:space="preserve">AusPAR - </w:t>
          </w:r>
          <w:proofErr w:type="spellStart"/>
          <w:r w:rsidRPr="00FA01D4">
            <w:rPr>
              <w:b/>
              <w:sz w:val="18"/>
              <w:szCs w:val="18"/>
            </w:rPr>
            <w:t>Xeljanz</w:t>
          </w:r>
          <w:proofErr w:type="spellEnd"/>
          <w:r w:rsidRPr="00FA01D4">
            <w:rPr>
              <w:b/>
              <w:sz w:val="18"/>
              <w:szCs w:val="18"/>
            </w:rPr>
            <w:t xml:space="preserve"> - </w:t>
          </w:r>
          <w:proofErr w:type="spellStart"/>
          <w:r w:rsidRPr="00FA01D4">
            <w:rPr>
              <w:b/>
              <w:sz w:val="18"/>
              <w:szCs w:val="18"/>
            </w:rPr>
            <w:t>Tofacitinib</w:t>
          </w:r>
          <w:proofErr w:type="spellEnd"/>
          <w:r w:rsidRPr="00FA01D4">
            <w:rPr>
              <w:b/>
              <w:sz w:val="18"/>
              <w:szCs w:val="18"/>
            </w:rPr>
            <w:t xml:space="preserve"> - Pfizer Australia Pty Ltd - PM-2017-04764-1-1 – FINAL 10 September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rsidR="003A5437" w:rsidRDefault="003A5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437" w:rsidRDefault="003A54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FA" w:rsidRDefault="000367FA">
    <w:pPr>
      <w:pStyle w:val="Header"/>
    </w:pPr>
  </w:p>
  <w:p w:rsidR="000367FA" w:rsidRDefault="000367F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8259FC" w:rsidRPr="002E7F61" w:rsidTr="00084FBF">
      <w:trPr>
        <w:trHeight w:val="590"/>
      </w:trPr>
      <w:tc>
        <w:tcPr>
          <w:tcW w:w="8720" w:type="dxa"/>
          <w:shd w:val="clear" w:color="auto" w:fill="E4F2E0"/>
        </w:tcPr>
        <w:p w:rsidR="008259FC" w:rsidRPr="002E7F61" w:rsidRDefault="008259FC" w:rsidP="008259FC">
          <w:pPr>
            <w:pStyle w:val="Footer"/>
            <w:rPr>
              <w:b/>
              <w:sz w:val="18"/>
              <w:szCs w:val="18"/>
            </w:rPr>
          </w:pPr>
          <w:r w:rsidRPr="002E7F61">
            <w:rPr>
              <w:b/>
              <w:sz w:val="18"/>
              <w:szCs w:val="18"/>
            </w:rPr>
            <w:t xml:space="preserve">Attachment 1: Product information </w:t>
          </w:r>
          <w:r w:rsidRPr="00FA01D4">
            <w:rPr>
              <w:b/>
              <w:sz w:val="18"/>
              <w:szCs w:val="18"/>
            </w:rPr>
            <w:t xml:space="preserve">AusPAR - </w:t>
          </w:r>
          <w:proofErr w:type="spellStart"/>
          <w:r w:rsidRPr="00FA01D4">
            <w:rPr>
              <w:b/>
              <w:sz w:val="18"/>
              <w:szCs w:val="18"/>
            </w:rPr>
            <w:t>Xeljanz</w:t>
          </w:r>
          <w:proofErr w:type="spellEnd"/>
          <w:r w:rsidRPr="00FA01D4">
            <w:rPr>
              <w:b/>
              <w:sz w:val="18"/>
              <w:szCs w:val="18"/>
            </w:rPr>
            <w:t xml:space="preserve"> - </w:t>
          </w:r>
          <w:proofErr w:type="spellStart"/>
          <w:r w:rsidRPr="00FA01D4">
            <w:rPr>
              <w:b/>
              <w:sz w:val="18"/>
              <w:szCs w:val="18"/>
            </w:rPr>
            <w:t>Tofacitinib</w:t>
          </w:r>
          <w:proofErr w:type="spellEnd"/>
          <w:r w:rsidRPr="00FA01D4">
            <w:rPr>
              <w:b/>
              <w:sz w:val="18"/>
              <w:szCs w:val="18"/>
            </w:rPr>
            <w:t xml:space="preserve"> - Pfizer Australia Pty Ltd - PM-2017-04764-1-1 – FINAL 10 September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rsidR="000367FA" w:rsidRDefault="000367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FA" w:rsidRDefault="00036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F86FFD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9F8B6B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5052D3"/>
    <w:multiLevelType w:val="hybridMultilevel"/>
    <w:tmpl w:val="2BB044B6"/>
    <w:lvl w:ilvl="0" w:tplc="8B6421D6">
      <w:start w:val="1"/>
      <w:numFmt w:val="bullet"/>
      <w:pStyle w:val="PI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8A7B20"/>
    <w:multiLevelType w:val="hybridMultilevel"/>
    <w:tmpl w:val="3A0E91F6"/>
    <w:lvl w:ilvl="0" w:tplc="966899F8">
      <w:start w:val="2"/>
      <w:numFmt w:val="bullet"/>
      <w:lvlText w:val="-"/>
      <w:lvlJc w:val="left"/>
      <w:pPr>
        <w:ind w:left="720" w:hanging="360"/>
      </w:pPr>
      <w:rPr>
        <w:rFonts w:ascii="Times New Roman" w:eastAsia="Times New Roman"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A0966"/>
    <w:multiLevelType w:val="hybridMultilevel"/>
    <w:tmpl w:val="92DA4E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EA506D"/>
    <w:multiLevelType w:val="hybridMultilevel"/>
    <w:tmpl w:val="6792E7F8"/>
    <w:lvl w:ilvl="0" w:tplc="BDAC27AC">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E86045"/>
    <w:multiLevelType w:val="singleLevel"/>
    <w:tmpl w:val="90FA2CE4"/>
    <w:name w:val="dtNM List Alpha 3"/>
    <w:lvl w:ilvl="0">
      <w:start w:val="1"/>
      <w:numFmt w:val="lowerLetter"/>
      <w:lvlRestart w:val="0"/>
      <w:pStyle w:val="ListAlpha3"/>
      <w:lvlText w:val="%1."/>
      <w:lvlJc w:val="left"/>
      <w:pPr>
        <w:tabs>
          <w:tab w:val="num" w:pos="1080"/>
        </w:tabs>
        <w:ind w:left="1080" w:hanging="360"/>
      </w:pPr>
      <w:rPr>
        <w:caps w:val="0"/>
        <w:u w:val="none"/>
      </w:rPr>
    </w:lvl>
  </w:abstractNum>
  <w:abstractNum w:abstractNumId="7" w15:restartNumberingAfterBreak="0">
    <w:nsid w:val="39DC621A"/>
    <w:multiLevelType w:val="hybridMultilevel"/>
    <w:tmpl w:val="570280E8"/>
    <w:lvl w:ilvl="0" w:tplc="65B8C4DA">
      <w:start w:val="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04617"/>
    <w:multiLevelType w:val="multilevel"/>
    <w:tmpl w:val="65E8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7F6735"/>
    <w:multiLevelType w:val="hybridMultilevel"/>
    <w:tmpl w:val="47D400D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23060E2"/>
    <w:multiLevelType w:val="hybridMultilevel"/>
    <w:tmpl w:val="359CF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464FA5"/>
    <w:multiLevelType w:val="hybridMultilevel"/>
    <w:tmpl w:val="ECBC9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0F467F0"/>
    <w:multiLevelType w:val="hybridMultilevel"/>
    <w:tmpl w:val="42144E4C"/>
    <w:lvl w:ilvl="0" w:tplc="BA3C2746">
      <w:start w:val="1"/>
      <w:numFmt w:val="bullet"/>
      <w:lvlText w:val="•"/>
      <w:lvlJc w:val="left"/>
      <w:pPr>
        <w:tabs>
          <w:tab w:val="num" w:pos="720"/>
        </w:tabs>
        <w:ind w:left="720" w:hanging="360"/>
      </w:pPr>
      <w:rPr>
        <w:rFonts w:ascii="High Tower Text" w:hAnsi="High Tower Tex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FC3FD2"/>
    <w:multiLevelType w:val="hybridMultilevel"/>
    <w:tmpl w:val="11F4221A"/>
    <w:lvl w:ilvl="0" w:tplc="6A0484E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FF464E"/>
    <w:multiLevelType w:val="hybridMultilevel"/>
    <w:tmpl w:val="63BEC5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7C26D58"/>
    <w:multiLevelType w:val="hybridMultilevel"/>
    <w:tmpl w:val="8EDC24D6"/>
    <w:lvl w:ilvl="0" w:tplc="C9D804AC">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37130F"/>
    <w:multiLevelType w:val="hybridMultilevel"/>
    <w:tmpl w:val="B9326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8F5490"/>
    <w:multiLevelType w:val="hybridMultilevel"/>
    <w:tmpl w:val="6AA01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A47738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B6B2AA2"/>
    <w:multiLevelType w:val="hybridMultilevel"/>
    <w:tmpl w:val="9DC4037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0" w15:restartNumberingAfterBreak="0">
    <w:nsid w:val="7E083F62"/>
    <w:multiLevelType w:val="multilevel"/>
    <w:tmpl w:val="D7CEA32C"/>
    <w:name w:val="dtMLAppendix0"/>
    <w:lvl w:ilvl="0">
      <w:start w:val="5"/>
      <w:numFmt w:val="decimal"/>
      <w:lvlRestart w:val="0"/>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F511C49"/>
    <w:multiLevelType w:val="hybridMultilevel"/>
    <w:tmpl w:val="D786D8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8"/>
  </w:num>
  <w:num w:numId="3">
    <w:abstractNumId w:val="1"/>
  </w:num>
  <w:num w:numId="4">
    <w:abstractNumId w:val="0"/>
  </w:num>
  <w:num w:numId="5">
    <w:abstractNumId w:val="5"/>
  </w:num>
  <w:num w:numId="6">
    <w:abstractNumId w:val="1"/>
  </w:num>
  <w:num w:numId="7">
    <w:abstractNumId w:val="5"/>
  </w:num>
  <w:num w:numId="8">
    <w:abstractNumId w:val="2"/>
  </w:num>
  <w:num w:numId="9">
    <w:abstractNumId w:val="6"/>
  </w:num>
  <w:num w:numId="10">
    <w:abstractNumId w:val="12"/>
  </w:num>
  <w:num w:numId="11">
    <w:abstractNumId w:val="17"/>
  </w:num>
  <w:num w:numId="12">
    <w:abstractNumId w:val="21"/>
  </w:num>
  <w:num w:numId="13">
    <w:abstractNumId w:val="14"/>
  </w:num>
  <w:num w:numId="14">
    <w:abstractNumId w:val="10"/>
  </w:num>
  <w:num w:numId="15">
    <w:abstractNumId w:val="10"/>
  </w:num>
  <w:num w:numId="16">
    <w:abstractNumId w:val="8"/>
  </w:num>
  <w:num w:numId="17">
    <w:abstractNumId w:val="13"/>
  </w:num>
  <w:num w:numId="18">
    <w:abstractNumId w:val="3"/>
  </w:num>
  <w:num w:numId="19">
    <w:abstractNumId w:val="20"/>
  </w:num>
  <w:num w:numId="20">
    <w:abstractNumId w:val="7"/>
  </w:num>
  <w:num w:numId="21">
    <w:abstractNumId w:val="15"/>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9"/>
  </w:num>
  <w:num w:numId="25">
    <w:abstractNumId w:val="4"/>
  </w:num>
  <w:num w:numId="26">
    <w:abstractNumId w:val="1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rawingGridHorizontalSpacing w:val="120"/>
  <w:drawingGridVerticalSpacing w:val="136"/>
  <w:displayHorizontalDrawingGridEvery w:val="0"/>
  <w:displayVerticalDrawingGridEvery w:val="2"/>
  <w:noPunctuationKerning/>
  <w:characterSpacingControl w:val="doNotCompress"/>
  <w:hdrShapeDefaults>
    <o:shapedefaults v:ext="edit" spidmax="11265"/>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02D0"/>
    <w:rsid w:val="00001CB2"/>
    <w:rsid w:val="0000542B"/>
    <w:rsid w:val="00005476"/>
    <w:rsid w:val="00005963"/>
    <w:rsid w:val="000059C4"/>
    <w:rsid w:val="00005C17"/>
    <w:rsid w:val="00005D19"/>
    <w:rsid w:val="00005E84"/>
    <w:rsid w:val="00006188"/>
    <w:rsid w:val="000071E8"/>
    <w:rsid w:val="00010C79"/>
    <w:rsid w:val="00011A40"/>
    <w:rsid w:val="000121F3"/>
    <w:rsid w:val="000122F9"/>
    <w:rsid w:val="00012A64"/>
    <w:rsid w:val="00012F3D"/>
    <w:rsid w:val="00013607"/>
    <w:rsid w:val="00013CC0"/>
    <w:rsid w:val="00015803"/>
    <w:rsid w:val="00020D3F"/>
    <w:rsid w:val="000214C3"/>
    <w:rsid w:val="00021BA1"/>
    <w:rsid w:val="00023A21"/>
    <w:rsid w:val="00024413"/>
    <w:rsid w:val="0002477A"/>
    <w:rsid w:val="000247F2"/>
    <w:rsid w:val="00024D69"/>
    <w:rsid w:val="000251BA"/>
    <w:rsid w:val="00025CA4"/>
    <w:rsid w:val="00025DA9"/>
    <w:rsid w:val="00025E11"/>
    <w:rsid w:val="00025EE7"/>
    <w:rsid w:val="000263E2"/>
    <w:rsid w:val="000271F6"/>
    <w:rsid w:val="00027996"/>
    <w:rsid w:val="00030172"/>
    <w:rsid w:val="0003022D"/>
    <w:rsid w:val="0003054B"/>
    <w:rsid w:val="0003175C"/>
    <w:rsid w:val="000324CD"/>
    <w:rsid w:val="00033D35"/>
    <w:rsid w:val="0003496A"/>
    <w:rsid w:val="00034F3E"/>
    <w:rsid w:val="00036022"/>
    <w:rsid w:val="000363FF"/>
    <w:rsid w:val="000367FA"/>
    <w:rsid w:val="00037B14"/>
    <w:rsid w:val="00037DB8"/>
    <w:rsid w:val="0004333C"/>
    <w:rsid w:val="00043AC6"/>
    <w:rsid w:val="00043F42"/>
    <w:rsid w:val="000441C0"/>
    <w:rsid w:val="00044B21"/>
    <w:rsid w:val="00050358"/>
    <w:rsid w:val="0005085C"/>
    <w:rsid w:val="0005189F"/>
    <w:rsid w:val="0005224E"/>
    <w:rsid w:val="00052409"/>
    <w:rsid w:val="000537DA"/>
    <w:rsid w:val="00053B66"/>
    <w:rsid w:val="00054752"/>
    <w:rsid w:val="00054795"/>
    <w:rsid w:val="000548DE"/>
    <w:rsid w:val="00054C99"/>
    <w:rsid w:val="00055561"/>
    <w:rsid w:val="000557A3"/>
    <w:rsid w:val="00056AAF"/>
    <w:rsid w:val="00056C2E"/>
    <w:rsid w:val="000570E9"/>
    <w:rsid w:val="00057284"/>
    <w:rsid w:val="000573BC"/>
    <w:rsid w:val="00057A8C"/>
    <w:rsid w:val="00057B07"/>
    <w:rsid w:val="00060265"/>
    <w:rsid w:val="00061802"/>
    <w:rsid w:val="000638AE"/>
    <w:rsid w:val="00063AD5"/>
    <w:rsid w:val="000651C3"/>
    <w:rsid w:val="00066BE2"/>
    <w:rsid w:val="00066E93"/>
    <w:rsid w:val="0006714C"/>
    <w:rsid w:val="00071632"/>
    <w:rsid w:val="0007194D"/>
    <w:rsid w:val="00071C95"/>
    <w:rsid w:val="00072B12"/>
    <w:rsid w:val="00073C80"/>
    <w:rsid w:val="000740F6"/>
    <w:rsid w:val="00074239"/>
    <w:rsid w:val="00074505"/>
    <w:rsid w:val="00074701"/>
    <w:rsid w:val="000750C2"/>
    <w:rsid w:val="000757BD"/>
    <w:rsid w:val="00075D72"/>
    <w:rsid w:val="00075DBF"/>
    <w:rsid w:val="00075FB0"/>
    <w:rsid w:val="00076EB5"/>
    <w:rsid w:val="00082408"/>
    <w:rsid w:val="000838DF"/>
    <w:rsid w:val="0008427A"/>
    <w:rsid w:val="000844C9"/>
    <w:rsid w:val="00084540"/>
    <w:rsid w:val="0008487A"/>
    <w:rsid w:val="00084F7B"/>
    <w:rsid w:val="00085A00"/>
    <w:rsid w:val="00087994"/>
    <w:rsid w:val="00090C6D"/>
    <w:rsid w:val="0009158E"/>
    <w:rsid w:val="0009306A"/>
    <w:rsid w:val="00093E0C"/>
    <w:rsid w:val="00094397"/>
    <w:rsid w:val="00094F3E"/>
    <w:rsid w:val="00095AAB"/>
    <w:rsid w:val="0009619B"/>
    <w:rsid w:val="0009643A"/>
    <w:rsid w:val="000965B2"/>
    <w:rsid w:val="00096EA3"/>
    <w:rsid w:val="00096FD7"/>
    <w:rsid w:val="000A02A9"/>
    <w:rsid w:val="000A084A"/>
    <w:rsid w:val="000A1C58"/>
    <w:rsid w:val="000A3390"/>
    <w:rsid w:val="000A4D05"/>
    <w:rsid w:val="000A4EA4"/>
    <w:rsid w:val="000A5E56"/>
    <w:rsid w:val="000A6C4A"/>
    <w:rsid w:val="000A6EAD"/>
    <w:rsid w:val="000A715D"/>
    <w:rsid w:val="000A765D"/>
    <w:rsid w:val="000A7DDD"/>
    <w:rsid w:val="000B0570"/>
    <w:rsid w:val="000B08AC"/>
    <w:rsid w:val="000B0F91"/>
    <w:rsid w:val="000B100A"/>
    <w:rsid w:val="000B1A6E"/>
    <w:rsid w:val="000B1DDC"/>
    <w:rsid w:val="000B1F8C"/>
    <w:rsid w:val="000B2876"/>
    <w:rsid w:val="000B3ABD"/>
    <w:rsid w:val="000B4E77"/>
    <w:rsid w:val="000B4F44"/>
    <w:rsid w:val="000B59A2"/>
    <w:rsid w:val="000B6060"/>
    <w:rsid w:val="000B60DB"/>
    <w:rsid w:val="000B6A2F"/>
    <w:rsid w:val="000B6C07"/>
    <w:rsid w:val="000B6C3E"/>
    <w:rsid w:val="000B76F2"/>
    <w:rsid w:val="000B7910"/>
    <w:rsid w:val="000B7BA3"/>
    <w:rsid w:val="000C07D8"/>
    <w:rsid w:val="000C08D8"/>
    <w:rsid w:val="000C193E"/>
    <w:rsid w:val="000C20A9"/>
    <w:rsid w:val="000C2E59"/>
    <w:rsid w:val="000C32DA"/>
    <w:rsid w:val="000C3C52"/>
    <w:rsid w:val="000C4781"/>
    <w:rsid w:val="000C5348"/>
    <w:rsid w:val="000C58C8"/>
    <w:rsid w:val="000C6002"/>
    <w:rsid w:val="000C6756"/>
    <w:rsid w:val="000C72FC"/>
    <w:rsid w:val="000C74A4"/>
    <w:rsid w:val="000D01C1"/>
    <w:rsid w:val="000D1709"/>
    <w:rsid w:val="000D1BB3"/>
    <w:rsid w:val="000D22B6"/>
    <w:rsid w:val="000D2C27"/>
    <w:rsid w:val="000D3C52"/>
    <w:rsid w:val="000D4B18"/>
    <w:rsid w:val="000D4FC7"/>
    <w:rsid w:val="000D51DF"/>
    <w:rsid w:val="000D5FEB"/>
    <w:rsid w:val="000D6810"/>
    <w:rsid w:val="000D7B5D"/>
    <w:rsid w:val="000D7D0F"/>
    <w:rsid w:val="000D7DB8"/>
    <w:rsid w:val="000D7EAD"/>
    <w:rsid w:val="000E0859"/>
    <w:rsid w:val="000E0F74"/>
    <w:rsid w:val="000E213B"/>
    <w:rsid w:val="000E2909"/>
    <w:rsid w:val="000E2AF1"/>
    <w:rsid w:val="000E5D98"/>
    <w:rsid w:val="000E5D9A"/>
    <w:rsid w:val="000E721D"/>
    <w:rsid w:val="000E7BE0"/>
    <w:rsid w:val="000F0385"/>
    <w:rsid w:val="000F0530"/>
    <w:rsid w:val="000F07D7"/>
    <w:rsid w:val="000F1073"/>
    <w:rsid w:val="000F1F0A"/>
    <w:rsid w:val="000F21B0"/>
    <w:rsid w:val="000F248F"/>
    <w:rsid w:val="000F26A0"/>
    <w:rsid w:val="000F2A65"/>
    <w:rsid w:val="000F2EC5"/>
    <w:rsid w:val="000F4215"/>
    <w:rsid w:val="000F52E4"/>
    <w:rsid w:val="000F540B"/>
    <w:rsid w:val="000F5575"/>
    <w:rsid w:val="000F5A41"/>
    <w:rsid w:val="000F65CE"/>
    <w:rsid w:val="000F65E1"/>
    <w:rsid w:val="000F7634"/>
    <w:rsid w:val="001014BC"/>
    <w:rsid w:val="001016F6"/>
    <w:rsid w:val="00104BF8"/>
    <w:rsid w:val="001052C9"/>
    <w:rsid w:val="00105317"/>
    <w:rsid w:val="00105AAB"/>
    <w:rsid w:val="00106411"/>
    <w:rsid w:val="00107550"/>
    <w:rsid w:val="00107C94"/>
    <w:rsid w:val="001100AF"/>
    <w:rsid w:val="001113DD"/>
    <w:rsid w:val="0011200F"/>
    <w:rsid w:val="00112F95"/>
    <w:rsid w:val="00113072"/>
    <w:rsid w:val="00113A6F"/>
    <w:rsid w:val="00114628"/>
    <w:rsid w:val="00114F88"/>
    <w:rsid w:val="001153FC"/>
    <w:rsid w:val="001158A7"/>
    <w:rsid w:val="0012027C"/>
    <w:rsid w:val="0012182E"/>
    <w:rsid w:val="00125C76"/>
    <w:rsid w:val="0012617D"/>
    <w:rsid w:val="00127A4E"/>
    <w:rsid w:val="0013072A"/>
    <w:rsid w:val="00130C92"/>
    <w:rsid w:val="00131B61"/>
    <w:rsid w:val="001324A2"/>
    <w:rsid w:val="001327E1"/>
    <w:rsid w:val="00133190"/>
    <w:rsid w:val="00133E14"/>
    <w:rsid w:val="001351CD"/>
    <w:rsid w:val="0013539A"/>
    <w:rsid w:val="001357C7"/>
    <w:rsid w:val="00135A7D"/>
    <w:rsid w:val="00136389"/>
    <w:rsid w:val="00136900"/>
    <w:rsid w:val="00136E9F"/>
    <w:rsid w:val="001400BE"/>
    <w:rsid w:val="00140165"/>
    <w:rsid w:val="001408DC"/>
    <w:rsid w:val="00140E9C"/>
    <w:rsid w:val="00141391"/>
    <w:rsid w:val="00142242"/>
    <w:rsid w:val="001427A6"/>
    <w:rsid w:val="0014336B"/>
    <w:rsid w:val="00143BB7"/>
    <w:rsid w:val="0014447F"/>
    <w:rsid w:val="001444F9"/>
    <w:rsid w:val="001455B5"/>
    <w:rsid w:val="0014560D"/>
    <w:rsid w:val="001456F6"/>
    <w:rsid w:val="00146A15"/>
    <w:rsid w:val="0014744E"/>
    <w:rsid w:val="00150AAA"/>
    <w:rsid w:val="00150F0B"/>
    <w:rsid w:val="00151CE5"/>
    <w:rsid w:val="001538CF"/>
    <w:rsid w:val="001550A8"/>
    <w:rsid w:val="00155D79"/>
    <w:rsid w:val="001561FF"/>
    <w:rsid w:val="0015625D"/>
    <w:rsid w:val="00156E7C"/>
    <w:rsid w:val="0015779D"/>
    <w:rsid w:val="00157A50"/>
    <w:rsid w:val="00157C84"/>
    <w:rsid w:val="00160022"/>
    <w:rsid w:val="00160C0A"/>
    <w:rsid w:val="0016187A"/>
    <w:rsid w:val="00161D16"/>
    <w:rsid w:val="00161E76"/>
    <w:rsid w:val="0016213A"/>
    <w:rsid w:val="00163FAC"/>
    <w:rsid w:val="00164194"/>
    <w:rsid w:val="0016482D"/>
    <w:rsid w:val="00164ACB"/>
    <w:rsid w:val="00165714"/>
    <w:rsid w:val="0016647B"/>
    <w:rsid w:val="00166E4C"/>
    <w:rsid w:val="00167E8E"/>
    <w:rsid w:val="00170686"/>
    <w:rsid w:val="00170689"/>
    <w:rsid w:val="001708F5"/>
    <w:rsid w:val="001716E3"/>
    <w:rsid w:val="00171E65"/>
    <w:rsid w:val="0017378E"/>
    <w:rsid w:val="00173FB9"/>
    <w:rsid w:val="00175225"/>
    <w:rsid w:val="001774E0"/>
    <w:rsid w:val="001775D3"/>
    <w:rsid w:val="00177F37"/>
    <w:rsid w:val="00180369"/>
    <w:rsid w:val="00182915"/>
    <w:rsid w:val="00182CD6"/>
    <w:rsid w:val="00183CB0"/>
    <w:rsid w:val="0018474C"/>
    <w:rsid w:val="00187CDF"/>
    <w:rsid w:val="00191E2B"/>
    <w:rsid w:val="001935E0"/>
    <w:rsid w:val="00194654"/>
    <w:rsid w:val="001954B1"/>
    <w:rsid w:val="001962B5"/>
    <w:rsid w:val="00196C9E"/>
    <w:rsid w:val="00197B07"/>
    <w:rsid w:val="001A0131"/>
    <w:rsid w:val="001A06A2"/>
    <w:rsid w:val="001A1F04"/>
    <w:rsid w:val="001A25F3"/>
    <w:rsid w:val="001A312C"/>
    <w:rsid w:val="001A369D"/>
    <w:rsid w:val="001A3D7C"/>
    <w:rsid w:val="001A4C7C"/>
    <w:rsid w:val="001A4F36"/>
    <w:rsid w:val="001A5A28"/>
    <w:rsid w:val="001A5A79"/>
    <w:rsid w:val="001A5B67"/>
    <w:rsid w:val="001A68B6"/>
    <w:rsid w:val="001A6E35"/>
    <w:rsid w:val="001A7658"/>
    <w:rsid w:val="001B0A8C"/>
    <w:rsid w:val="001B0EC1"/>
    <w:rsid w:val="001B1A09"/>
    <w:rsid w:val="001B1DD3"/>
    <w:rsid w:val="001B2528"/>
    <w:rsid w:val="001B2FD7"/>
    <w:rsid w:val="001B3264"/>
    <w:rsid w:val="001B36F3"/>
    <w:rsid w:val="001B389C"/>
    <w:rsid w:val="001B5C38"/>
    <w:rsid w:val="001B660E"/>
    <w:rsid w:val="001B6CD0"/>
    <w:rsid w:val="001B7B07"/>
    <w:rsid w:val="001C15D4"/>
    <w:rsid w:val="001C1ABC"/>
    <w:rsid w:val="001C2240"/>
    <w:rsid w:val="001C3280"/>
    <w:rsid w:val="001C3F0D"/>
    <w:rsid w:val="001C3F1A"/>
    <w:rsid w:val="001C4B0C"/>
    <w:rsid w:val="001C5D7C"/>
    <w:rsid w:val="001C6148"/>
    <w:rsid w:val="001C6BB2"/>
    <w:rsid w:val="001C6C8B"/>
    <w:rsid w:val="001C787F"/>
    <w:rsid w:val="001D0467"/>
    <w:rsid w:val="001D16F9"/>
    <w:rsid w:val="001D38CC"/>
    <w:rsid w:val="001D4B39"/>
    <w:rsid w:val="001D4C61"/>
    <w:rsid w:val="001D5144"/>
    <w:rsid w:val="001D6A2A"/>
    <w:rsid w:val="001D70F4"/>
    <w:rsid w:val="001E0101"/>
    <w:rsid w:val="001E0F17"/>
    <w:rsid w:val="001E0F57"/>
    <w:rsid w:val="001E1087"/>
    <w:rsid w:val="001E13AF"/>
    <w:rsid w:val="001E19A4"/>
    <w:rsid w:val="001E2358"/>
    <w:rsid w:val="001E4B29"/>
    <w:rsid w:val="001E6861"/>
    <w:rsid w:val="001E7379"/>
    <w:rsid w:val="001E76C9"/>
    <w:rsid w:val="001F059A"/>
    <w:rsid w:val="001F107C"/>
    <w:rsid w:val="001F1916"/>
    <w:rsid w:val="001F1BD7"/>
    <w:rsid w:val="001F2415"/>
    <w:rsid w:val="001F3A4D"/>
    <w:rsid w:val="001F3EC3"/>
    <w:rsid w:val="001F4D36"/>
    <w:rsid w:val="001F5AF5"/>
    <w:rsid w:val="001F5CF0"/>
    <w:rsid w:val="001F5D38"/>
    <w:rsid w:val="001F5F32"/>
    <w:rsid w:val="001F73A8"/>
    <w:rsid w:val="001F741C"/>
    <w:rsid w:val="00200066"/>
    <w:rsid w:val="002008B9"/>
    <w:rsid w:val="00200E77"/>
    <w:rsid w:val="002012E4"/>
    <w:rsid w:val="002015E0"/>
    <w:rsid w:val="00201C56"/>
    <w:rsid w:val="0020260B"/>
    <w:rsid w:val="00202C05"/>
    <w:rsid w:val="00204099"/>
    <w:rsid w:val="002042C8"/>
    <w:rsid w:val="00205C39"/>
    <w:rsid w:val="0020616F"/>
    <w:rsid w:val="00206946"/>
    <w:rsid w:val="002075E3"/>
    <w:rsid w:val="00207968"/>
    <w:rsid w:val="00207B5B"/>
    <w:rsid w:val="00210E68"/>
    <w:rsid w:val="00210F2C"/>
    <w:rsid w:val="00211F70"/>
    <w:rsid w:val="00212817"/>
    <w:rsid w:val="0021350A"/>
    <w:rsid w:val="00213863"/>
    <w:rsid w:val="0021451C"/>
    <w:rsid w:val="002146BE"/>
    <w:rsid w:val="00214DB0"/>
    <w:rsid w:val="00215D62"/>
    <w:rsid w:val="002162E9"/>
    <w:rsid w:val="00217194"/>
    <w:rsid w:val="00217BCD"/>
    <w:rsid w:val="00220F60"/>
    <w:rsid w:val="0022100B"/>
    <w:rsid w:val="002215EC"/>
    <w:rsid w:val="00222212"/>
    <w:rsid w:val="00222287"/>
    <w:rsid w:val="002225BB"/>
    <w:rsid w:val="00222B8D"/>
    <w:rsid w:val="00223442"/>
    <w:rsid w:val="0022433D"/>
    <w:rsid w:val="002243D7"/>
    <w:rsid w:val="00226BF0"/>
    <w:rsid w:val="0022742A"/>
    <w:rsid w:val="0023017B"/>
    <w:rsid w:val="002303A3"/>
    <w:rsid w:val="00231F26"/>
    <w:rsid w:val="00232429"/>
    <w:rsid w:val="00232CEA"/>
    <w:rsid w:val="002333DA"/>
    <w:rsid w:val="0023366D"/>
    <w:rsid w:val="00234575"/>
    <w:rsid w:val="0023607F"/>
    <w:rsid w:val="0023655F"/>
    <w:rsid w:val="0023673E"/>
    <w:rsid w:val="00236F03"/>
    <w:rsid w:val="00236FEF"/>
    <w:rsid w:val="00237417"/>
    <w:rsid w:val="0023742C"/>
    <w:rsid w:val="00241A9B"/>
    <w:rsid w:val="00242667"/>
    <w:rsid w:val="00242A28"/>
    <w:rsid w:val="00242E3D"/>
    <w:rsid w:val="002432D7"/>
    <w:rsid w:val="00244EF7"/>
    <w:rsid w:val="002457B9"/>
    <w:rsid w:val="00246F65"/>
    <w:rsid w:val="002475EF"/>
    <w:rsid w:val="00247D06"/>
    <w:rsid w:val="00247D8A"/>
    <w:rsid w:val="0025046C"/>
    <w:rsid w:val="002505ED"/>
    <w:rsid w:val="00250D6C"/>
    <w:rsid w:val="00250EE7"/>
    <w:rsid w:val="0025152C"/>
    <w:rsid w:val="00251AA6"/>
    <w:rsid w:val="00251F73"/>
    <w:rsid w:val="0025203B"/>
    <w:rsid w:val="00252557"/>
    <w:rsid w:val="00253A69"/>
    <w:rsid w:val="00254EFD"/>
    <w:rsid w:val="0025644F"/>
    <w:rsid w:val="00256D85"/>
    <w:rsid w:val="00257DA9"/>
    <w:rsid w:val="0026011B"/>
    <w:rsid w:val="00260BEB"/>
    <w:rsid w:val="002610A8"/>
    <w:rsid w:val="0026117B"/>
    <w:rsid w:val="002617E3"/>
    <w:rsid w:val="0026234D"/>
    <w:rsid w:val="00264E89"/>
    <w:rsid w:val="00265F83"/>
    <w:rsid w:val="00266907"/>
    <w:rsid w:val="00267484"/>
    <w:rsid w:val="00270FA0"/>
    <w:rsid w:val="00271B91"/>
    <w:rsid w:val="00272B46"/>
    <w:rsid w:val="00272BC7"/>
    <w:rsid w:val="00276334"/>
    <w:rsid w:val="0027712E"/>
    <w:rsid w:val="0028167D"/>
    <w:rsid w:val="002816AB"/>
    <w:rsid w:val="002822CB"/>
    <w:rsid w:val="0028239F"/>
    <w:rsid w:val="00282541"/>
    <w:rsid w:val="00283A10"/>
    <w:rsid w:val="00284619"/>
    <w:rsid w:val="00284A99"/>
    <w:rsid w:val="00284C79"/>
    <w:rsid w:val="00284CCD"/>
    <w:rsid w:val="00285F2B"/>
    <w:rsid w:val="002911AB"/>
    <w:rsid w:val="00292858"/>
    <w:rsid w:val="002933EC"/>
    <w:rsid w:val="0029405E"/>
    <w:rsid w:val="0029432E"/>
    <w:rsid w:val="002957F2"/>
    <w:rsid w:val="002958C1"/>
    <w:rsid w:val="002967B0"/>
    <w:rsid w:val="00296A7C"/>
    <w:rsid w:val="00297AF2"/>
    <w:rsid w:val="002A008B"/>
    <w:rsid w:val="002A2433"/>
    <w:rsid w:val="002A31FD"/>
    <w:rsid w:val="002A364A"/>
    <w:rsid w:val="002A5B5E"/>
    <w:rsid w:val="002A5B7E"/>
    <w:rsid w:val="002A7F87"/>
    <w:rsid w:val="002B04A2"/>
    <w:rsid w:val="002B05F4"/>
    <w:rsid w:val="002B1195"/>
    <w:rsid w:val="002B126F"/>
    <w:rsid w:val="002B1486"/>
    <w:rsid w:val="002B1D34"/>
    <w:rsid w:val="002B2CFC"/>
    <w:rsid w:val="002B2D5C"/>
    <w:rsid w:val="002B3950"/>
    <w:rsid w:val="002B430F"/>
    <w:rsid w:val="002B4880"/>
    <w:rsid w:val="002B65B2"/>
    <w:rsid w:val="002B68D0"/>
    <w:rsid w:val="002B7637"/>
    <w:rsid w:val="002B78B6"/>
    <w:rsid w:val="002B7C8F"/>
    <w:rsid w:val="002C0B8D"/>
    <w:rsid w:val="002C20B0"/>
    <w:rsid w:val="002C2637"/>
    <w:rsid w:val="002C357F"/>
    <w:rsid w:val="002C367C"/>
    <w:rsid w:val="002C3795"/>
    <w:rsid w:val="002C40E3"/>
    <w:rsid w:val="002C7FBE"/>
    <w:rsid w:val="002D02C8"/>
    <w:rsid w:val="002D0B87"/>
    <w:rsid w:val="002D0FAF"/>
    <w:rsid w:val="002D10E3"/>
    <w:rsid w:val="002D262E"/>
    <w:rsid w:val="002D2694"/>
    <w:rsid w:val="002D282E"/>
    <w:rsid w:val="002D293A"/>
    <w:rsid w:val="002D2D01"/>
    <w:rsid w:val="002D2E5E"/>
    <w:rsid w:val="002D3E4A"/>
    <w:rsid w:val="002D507C"/>
    <w:rsid w:val="002D50B8"/>
    <w:rsid w:val="002D5307"/>
    <w:rsid w:val="002D5B44"/>
    <w:rsid w:val="002D5EBA"/>
    <w:rsid w:val="002D6136"/>
    <w:rsid w:val="002D6E8C"/>
    <w:rsid w:val="002D76F9"/>
    <w:rsid w:val="002E0538"/>
    <w:rsid w:val="002E1777"/>
    <w:rsid w:val="002E3212"/>
    <w:rsid w:val="002E35A4"/>
    <w:rsid w:val="002E384D"/>
    <w:rsid w:val="002E43AC"/>
    <w:rsid w:val="002E52EE"/>
    <w:rsid w:val="002E59F8"/>
    <w:rsid w:val="002E5E38"/>
    <w:rsid w:val="002E6109"/>
    <w:rsid w:val="002E62EF"/>
    <w:rsid w:val="002E6A02"/>
    <w:rsid w:val="002E6E41"/>
    <w:rsid w:val="002E7CD8"/>
    <w:rsid w:val="002F0A40"/>
    <w:rsid w:val="002F1989"/>
    <w:rsid w:val="002F22B8"/>
    <w:rsid w:val="002F260B"/>
    <w:rsid w:val="002F3436"/>
    <w:rsid w:val="002F626B"/>
    <w:rsid w:val="002F63D0"/>
    <w:rsid w:val="002F6CB5"/>
    <w:rsid w:val="002F79BC"/>
    <w:rsid w:val="002F7CEB"/>
    <w:rsid w:val="003002AD"/>
    <w:rsid w:val="00301458"/>
    <w:rsid w:val="00302275"/>
    <w:rsid w:val="00302A37"/>
    <w:rsid w:val="00302A81"/>
    <w:rsid w:val="00303F6C"/>
    <w:rsid w:val="00304993"/>
    <w:rsid w:val="003049FC"/>
    <w:rsid w:val="00305862"/>
    <w:rsid w:val="00305C53"/>
    <w:rsid w:val="00305C5C"/>
    <w:rsid w:val="00306170"/>
    <w:rsid w:val="00306344"/>
    <w:rsid w:val="00306E7E"/>
    <w:rsid w:val="003075EF"/>
    <w:rsid w:val="00307DB7"/>
    <w:rsid w:val="0031152A"/>
    <w:rsid w:val="003118B3"/>
    <w:rsid w:val="003123C4"/>
    <w:rsid w:val="003130E1"/>
    <w:rsid w:val="00313584"/>
    <w:rsid w:val="00314B90"/>
    <w:rsid w:val="00317844"/>
    <w:rsid w:val="003178A4"/>
    <w:rsid w:val="00317C7B"/>
    <w:rsid w:val="003207AD"/>
    <w:rsid w:val="00324CFE"/>
    <w:rsid w:val="00324FE0"/>
    <w:rsid w:val="00325D68"/>
    <w:rsid w:val="00326DCD"/>
    <w:rsid w:val="003275B0"/>
    <w:rsid w:val="00331C06"/>
    <w:rsid w:val="00332933"/>
    <w:rsid w:val="00333022"/>
    <w:rsid w:val="00333818"/>
    <w:rsid w:val="00335BB7"/>
    <w:rsid w:val="00335F0D"/>
    <w:rsid w:val="00337625"/>
    <w:rsid w:val="0034051C"/>
    <w:rsid w:val="00342205"/>
    <w:rsid w:val="00343C13"/>
    <w:rsid w:val="00343F8D"/>
    <w:rsid w:val="003442AE"/>
    <w:rsid w:val="003446D2"/>
    <w:rsid w:val="00344C10"/>
    <w:rsid w:val="00345ABD"/>
    <w:rsid w:val="00345FB0"/>
    <w:rsid w:val="00345FBB"/>
    <w:rsid w:val="00346729"/>
    <w:rsid w:val="00346D2C"/>
    <w:rsid w:val="00350F5C"/>
    <w:rsid w:val="003513DB"/>
    <w:rsid w:val="0035144B"/>
    <w:rsid w:val="00351B01"/>
    <w:rsid w:val="003529C4"/>
    <w:rsid w:val="00352F64"/>
    <w:rsid w:val="00353366"/>
    <w:rsid w:val="003536A9"/>
    <w:rsid w:val="00353C8A"/>
    <w:rsid w:val="00354014"/>
    <w:rsid w:val="00354944"/>
    <w:rsid w:val="00355379"/>
    <w:rsid w:val="00355D40"/>
    <w:rsid w:val="00355E74"/>
    <w:rsid w:val="00356AFF"/>
    <w:rsid w:val="00356FC1"/>
    <w:rsid w:val="0035728B"/>
    <w:rsid w:val="00357C4D"/>
    <w:rsid w:val="00357E3E"/>
    <w:rsid w:val="003606E8"/>
    <w:rsid w:val="00360E67"/>
    <w:rsid w:val="00360F17"/>
    <w:rsid w:val="003626EE"/>
    <w:rsid w:val="00362844"/>
    <w:rsid w:val="003639A1"/>
    <w:rsid w:val="00364C05"/>
    <w:rsid w:val="00365595"/>
    <w:rsid w:val="00367378"/>
    <w:rsid w:val="00370C06"/>
    <w:rsid w:val="00370C1D"/>
    <w:rsid w:val="003711AD"/>
    <w:rsid w:val="003715D5"/>
    <w:rsid w:val="00371B63"/>
    <w:rsid w:val="00371BE1"/>
    <w:rsid w:val="00373109"/>
    <w:rsid w:val="0037590D"/>
    <w:rsid w:val="00375EF4"/>
    <w:rsid w:val="003761E9"/>
    <w:rsid w:val="0037747A"/>
    <w:rsid w:val="003818FC"/>
    <w:rsid w:val="00382571"/>
    <w:rsid w:val="00382997"/>
    <w:rsid w:val="003846CB"/>
    <w:rsid w:val="00386BB6"/>
    <w:rsid w:val="003872A6"/>
    <w:rsid w:val="00390705"/>
    <w:rsid w:val="00391703"/>
    <w:rsid w:val="0039196C"/>
    <w:rsid w:val="00391DD1"/>
    <w:rsid w:val="00392913"/>
    <w:rsid w:val="00392946"/>
    <w:rsid w:val="00392AB6"/>
    <w:rsid w:val="00393C38"/>
    <w:rsid w:val="003942D3"/>
    <w:rsid w:val="00394F74"/>
    <w:rsid w:val="00395213"/>
    <w:rsid w:val="00395657"/>
    <w:rsid w:val="003961D5"/>
    <w:rsid w:val="00396425"/>
    <w:rsid w:val="003964FD"/>
    <w:rsid w:val="00396E71"/>
    <w:rsid w:val="00396F2A"/>
    <w:rsid w:val="00397FA8"/>
    <w:rsid w:val="003A03C0"/>
    <w:rsid w:val="003A05D9"/>
    <w:rsid w:val="003A127A"/>
    <w:rsid w:val="003A127E"/>
    <w:rsid w:val="003A1FE6"/>
    <w:rsid w:val="003A2553"/>
    <w:rsid w:val="003A303C"/>
    <w:rsid w:val="003A3597"/>
    <w:rsid w:val="003A4144"/>
    <w:rsid w:val="003A49E3"/>
    <w:rsid w:val="003A4C31"/>
    <w:rsid w:val="003A4E46"/>
    <w:rsid w:val="003A5437"/>
    <w:rsid w:val="003A6016"/>
    <w:rsid w:val="003A6AFF"/>
    <w:rsid w:val="003B035C"/>
    <w:rsid w:val="003B06B6"/>
    <w:rsid w:val="003B0851"/>
    <w:rsid w:val="003B1187"/>
    <w:rsid w:val="003B16B1"/>
    <w:rsid w:val="003B1741"/>
    <w:rsid w:val="003B3D05"/>
    <w:rsid w:val="003B4CE0"/>
    <w:rsid w:val="003B5E49"/>
    <w:rsid w:val="003B684F"/>
    <w:rsid w:val="003B6A27"/>
    <w:rsid w:val="003B7119"/>
    <w:rsid w:val="003B7AE0"/>
    <w:rsid w:val="003B7F7B"/>
    <w:rsid w:val="003C0A4D"/>
    <w:rsid w:val="003C2526"/>
    <w:rsid w:val="003C25AC"/>
    <w:rsid w:val="003C25E3"/>
    <w:rsid w:val="003C3948"/>
    <w:rsid w:val="003C39EE"/>
    <w:rsid w:val="003C3DA6"/>
    <w:rsid w:val="003C5420"/>
    <w:rsid w:val="003C5809"/>
    <w:rsid w:val="003C5B51"/>
    <w:rsid w:val="003C617E"/>
    <w:rsid w:val="003C62D7"/>
    <w:rsid w:val="003C65AC"/>
    <w:rsid w:val="003C77D1"/>
    <w:rsid w:val="003C7A95"/>
    <w:rsid w:val="003D019E"/>
    <w:rsid w:val="003D4AB4"/>
    <w:rsid w:val="003D55C6"/>
    <w:rsid w:val="003D5708"/>
    <w:rsid w:val="003D57AE"/>
    <w:rsid w:val="003D581F"/>
    <w:rsid w:val="003D626E"/>
    <w:rsid w:val="003D798E"/>
    <w:rsid w:val="003D7ED9"/>
    <w:rsid w:val="003E2B8C"/>
    <w:rsid w:val="003E3170"/>
    <w:rsid w:val="003E35AB"/>
    <w:rsid w:val="003E4404"/>
    <w:rsid w:val="003E477D"/>
    <w:rsid w:val="003E57FD"/>
    <w:rsid w:val="003E5CB6"/>
    <w:rsid w:val="003E658E"/>
    <w:rsid w:val="003E6C12"/>
    <w:rsid w:val="003F22E5"/>
    <w:rsid w:val="003F3C92"/>
    <w:rsid w:val="003F42FA"/>
    <w:rsid w:val="003F747A"/>
    <w:rsid w:val="003F7515"/>
    <w:rsid w:val="0040022C"/>
    <w:rsid w:val="00401676"/>
    <w:rsid w:val="00401848"/>
    <w:rsid w:val="0040267F"/>
    <w:rsid w:val="004029AB"/>
    <w:rsid w:val="00402FBA"/>
    <w:rsid w:val="004050C1"/>
    <w:rsid w:val="00405365"/>
    <w:rsid w:val="00407F7F"/>
    <w:rsid w:val="00410640"/>
    <w:rsid w:val="0041135F"/>
    <w:rsid w:val="00411913"/>
    <w:rsid w:val="00412504"/>
    <w:rsid w:val="00412D0C"/>
    <w:rsid w:val="0041399C"/>
    <w:rsid w:val="00415D41"/>
    <w:rsid w:val="00417488"/>
    <w:rsid w:val="0042180A"/>
    <w:rsid w:val="00421CF4"/>
    <w:rsid w:val="0042262C"/>
    <w:rsid w:val="00422666"/>
    <w:rsid w:val="004226F1"/>
    <w:rsid w:val="00422968"/>
    <w:rsid w:val="00422D12"/>
    <w:rsid w:val="00423144"/>
    <w:rsid w:val="00423F86"/>
    <w:rsid w:val="00424036"/>
    <w:rsid w:val="00424789"/>
    <w:rsid w:val="0042478B"/>
    <w:rsid w:val="00426B3D"/>
    <w:rsid w:val="00426F81"/>
    <w:rsid w:val="004271F1"/>
    <w:rsid w:val="004274B8"/>
    <w:rsid w:val="00427BC4"/>
    <w:rsid w:val="00427F40"/>
    <w:rsid w:val="004308F2"/>
    <w:rsid w:val="00432754"/>
    <w:rsid w:val="00432CA6"/>
    <w:rsid w:val="00432F6A"/>
    <w:rsid w:val="004333E6"/>
    <w:rsid w:val="00433913"/>
    <w:rsid w:val="004339A2"/>
    <w:rsid w:val="00433B70"/>
    <w:rsid w:val="004340A7"/>
    <w:rsid w:val="00434F42"/>
    <w:rsid w:val="00435923"/>
    <w:rsid w:val="00435C6E"/>
    <w:rsid w:val="00437A68"/>
    <w:rsid w:val="004404A6"/>
    <w:rsid w:val="00440D44"/>
    <w:rsid w:val="00441EB5"/>
    <w:rsid w:val="00442D0E"/>
    <w:rsid w:val="00442DEB"/>
    <w:rsid w:val="00443CBC"/>
    <w:rsid w:val="00444355"/>
    <w:rsid w:val="00444C2D"/>
    <w:rsid w:val="00445340"/>
    <w:rsid w:val="004461B2"/>
    <w:rsid w:val="004469A4"/>
    <w:rsid w:val="004472D4"/>
    <w:rsid w:val="004479DE"/>
    <w:rsid w:val="00447EE9"/>
    <w:rsid w:val="0045115B"/>
    <w:rsid w:val="00453591"/>
    <w:rsid w:val="004538E1"/>
    <w:rsid w:val="00454602"/>
    <w:rsid w:val="00454A3C"/>
    <w:rsid w:val="00454C36"/>
    <w:rsid w:val="00455C2B"/>
    <w:rsid w:val="0045624E"/>
    <w:rsid w:val="00457237"/>
    <w:rsid w:val="00460E66"/>
    <w:rsid w:val="004614FF"/>
    <w:rsid w:val="0046495E"/>
    <w:rsid w:val="0046543C"/>
    <w:rsid w:val="00465782"/>
    <w:rsid w:val="00467417"/>
    <w:rsid w:val="00470EB0"/>
    <w:rsid w:val="004715A7"/>
    <w:rsid w:val="00473963"/>
    <w:rsid w:val="00473D1D"/>
    <w:rsid w:val="00474634"/>
    <w:rsid w:val="004749B0"/>
    <w:rsid w:val="00475419"/>
    <w:rsid w:val="0048160A"/>
    <w:rsid w:val="004823E0"/>
    <w:rsid w:val="00482C7D"/>
    <w:rsid w:val="00483259"/>
    <w:rsid w:val="004836DF"/>
    <w:rsid w:val="00484D62"/>
    <w:rsid w:val="00485F3E"/>
    <w:rsid w:val="00486408"/>
    <w:rsid w:val="00486AC9"/>
    <w:rsid w:val="00487BE0"/>
    <w:rsid w:val="00487E91"/>
    <w:rsid w:val="00490BF8"/>
    <w:rsid w:val="0049162C"/>
    <w:rsid w:val="00492F71"/>
    <w:rsid w:val="00493370"/>
    <w:rsid w:val="00493807"/>
    <w:rsid w:val="00494398"/>
    <w:rsid w:val="0049645D"/>
    <w:rsid w:val="00496AD2"/>
    <w:rsid w:val="00497CD8"/>
    <w:rsid w:val="004A0CC9"/>
    <w:rsid w:val="004A121B"/>
    <w:rsid w:val="004A18A1"/>
    <w:rsid w:val="004A2D99"/>
    <w:rsid w:val="004A34C7"/>
    <w:rsid w:val="004A407E"/>
    <w:rsid w:val="004A4AC2"/>
    <w:rsid w:val="004A4BDE"/>
    <w:rsid w:val="004A5D31"/>
    <w:rsid w:val="004A711B"/>
    <w:rsid w:val="004B0450"/>
    <w:rsid w:val="004B071B"/>
    <w:rsid w:val="004B0A2E"/>
    <w:rsid w:val="004B0CAC"/>
    <w:rsid w:val="004B23F7"/>
    <w:rsid w:val="004B2F5C"/>
    <w:rsid w:val="004B45B4"/>
    <w:rsid w:val="004B511D"/>
    <w:rsid w:val="004B612B"/>
    <w:rsid w:val="004B689A"/>
    <w:rsid w:val="004B6E07"/>
    <w:rsid w:val="004B72EE"/>
    <w:rsid w:val="004C01CC"/>
    <w:rsid w:val="004C0C7F"/>
    <w:rsid w:val="004C0D8C"/>
    <w:rsid w:val="004C0ED5"/>
    <w:rsid w:val="004C112C"/>
    <w:rsid w:val="004C1DCC"/>
    <w:rsid w:val="004C1F24"/>
    <w:rsid w:val="004C24FF"/>
    <w:rsid w:val="004C271D"/>
    <w:rsid w:val="004C2C20"/>
    <w:rsid w:val="004C3627"/>
    <w:rsid w:val="004C3714"/>
    <w:rsid w:val="004C3AA3"/>
    <w:rsid w:val="004C40D9"/>
    <w:rsid w:val="004C4CE4"/>
    <w:rsid w:val="004C5530"/>
    <w:rsid w:val="004C5DB7"/>
    <w:rsid w:val="004C64B6"/>
    <w:rsid w:val="004C6537"/>
    <w:rsid w:val="004C6842"/>
    <w:rsid w:val="004C68F4"/>
    <w:rsid w:val="004C7086"/>
    <w:rsid w:val="004C734D"/>
    <w:rsid w:val="004C7799"/>
    <w:rsid w:val="004D027F"/>
    <w:rsid w:val="004D14BD"/>
    <w:rsid w:val="004D15FB"/>
    <w:rsid w:val="004D164C"/>
    <w:rsid w:val="004D4DF5"/>
    <w:rsid w:val="004D684A"/>
    <w:rsid w:val="004E2064"/>
    <w:rsid w:val="004E25C1"/>
    <w:rsid w:val="004E3D81"/>
    <w:rsid w:val="004E4939"/>
    <w:rsid w:val="004E4E89"/>
    <w:rsid w:val="004E561F"/>
    <w:rsid w:val="004E583D"/>
    <w:rsid w:val="004E7810"/>
    <w:rsid w:val="004E7EFC"/>
    <w:rsid w:val="004F0B15"/>
    <w:rsid w:val="004F0F60"/>
    <w:rsid w:val="004F17C1"/>
    <w:rsid w:val="004F1977"/>
    <w:rsid w:val="004F19A1"/>
    <w:rsid w:val="004F1EC7"/>
    <w:rsid w:val="004F2070"/>
    <w:rsid w:val="004F2ECD"/>
    <w:rsid w:val="004F3D81"/>
    <w:rsid w:val="004F6F6A"/>
    <w:rsid w:val="004F723C"/>
    <w:rsid w:val="004F789A"/>
    <w:rsid w:val="0050043F"/>
    <w:rsid w:val="0050265E"/>
    <w:rsid w:val="00503463"/>
    <w:rsid w:val="0050401A"/>
    <w:rsid w:val="0050428C"/>
    <w:rsid w:val="0050435E"/>
    <w:rsid w:val="0050522E"/>
    <w:rsid w:val="005054A7"/>
    <w:rsid w:val="005055FE"/>
    <w:rsid w:val="00505B2F"/>
    <w:rsid w:val="0050640D"/>
    <w:rsid w:val="0050645B"/>
    <w:rsid w:val="0050772A"/>
    <w:rsid w:val="0051061D"/>
    <w:rsid w:val="00511010"/>
    <w:rsid w:val="00511B4E"/>
    <w:rsid w:val="00511D7A"/>
    <w:rsid w:val="005136EF"/>
    <w:rsid w:val="00513B8C"/>
    <w:rsid w:val="005140E2"/>
    <w:rsid w:val="00514207"/>
    <w:rsid w:val="00514885"/>
    <w:rsid w:val="0051514B"/>
    <w:rsid w:val="00516141"/>
    <w:rsid w:val="0051649B"/>
    <w:rsid w:val="00516643"/>
    <w:rsid w:val="005170DA"/>
    <w:rsid w:val="00517EDB"/>
    <w:rsid w:val="005226A4"/>
    <w:rsid w:val="0052314B"/>
    <w:rsid w:val="00524B16"/>
    <w:rsid w:val="00525542"/>
    <w:rsid w:val="00526250"/>
    <w:rsid w:val="005278DB"/>
    <w:rsid w:val="00527954"/>
    <w:rsid w:val="00531C44"/>
    <w:rsid w:val="0053212E"/>
    <w:rsid w:val="00533FE6"/>
    <w:rsid w:val="005347A3"/>
    <w:rsid w:val="00536213"/>
    <w:rsid w:val="00540080"/>
    <w:rsid w:val="0054171C"/>
    <w:rsid w:val="00541DFE"/>
    <w:rsid w:val="005431CF"/>
    <w:rsid w:val="0054372F"/>
    <w:rsid w:val="00546984"/>
    <w:rsid w:val="00547EE2"/>
    <w:rsid w:val="0055075A"/>
    <w:rsid w:val="0055156A"/>
    <w:rsid w:val="00551D57"/>
    <w:rsid w:val="0055250E"/>
    <w:rsid w:val="00557248"/>
    <w:rsid w:val="00557BC0"/>
    <w:rsid w:val="00560E64"/>
    <w:rsid w:val="00561E95"/>
    <w:rsid w:val="00562990"/>
    <w:rsid w:val="00563091"/>
    <w:rsid w:val="00563610"/>
    <w:rsid w:val="00563B9C"/>
    <w:rsid w:val="00565C36"/>
    <w:rsid w:val="00567973"/>
    <w:rsid w:val="00570168"/>
    <w:rsid w:val="0057193D"/>
    <w:rsid w:val="00571CC9"/>
    <w:rsid w:val="00572670"/>
    <w:rsid w:val="00572A2A"/>
    <w:rsid w:val="00572DEB"/>
    <w:rsid w:val="0057337E"/>
    <w:rsid w:val="0057449B"/>
    <w:rsid w:val="005745DE"/>
    <w:rsid w:val="00575072"/>
    <w:rsid w:val="00575497"/>
    <w:rsid w:val="00575846"/>
    <w:rsid w:val="00576143"/>
    <w:rsid w:val="005764B8"/>
    <w:rsid w:val="005772AB"/>
    <w:rsid w:val="00577B8E"/>
    <w:rsid w:val="00580978"/>
    <w:rsid w:val="005813C2"/>
    <w:rsid w:val="0058167F"/>
    <w:rsid w:val="00581DD2"/>
    <w:rsid w:val="00582BC5"/>
    <w:rsid w:val="00583633"/>
    <w:rsid w:val="00583691"/>
    <w:rsid w:val="0058382D"/>
    <w:rsid w:val="00585DF7"/>
    <w:rsid w:val="0058622E"/>
    <w:rsid w:val="00587090"/>
    <w:rsid w:val="00587833"/>
    <w:rsid w:val="00587EF1"/>
    <w:rsid w:val="00591B89"/>
    <w:rsid w:val="00591F54"/>
    <w:rsid w:val="00593410"/>
    <w:rsid w:val="0059390D"/>
    <w:rsid w:val="0059648A"/>
    <w:rsid w:val="005964AF"/>
    <w:rsid w:val="0059696B"/>
    <w:rsid w:val="00596E3D"/>
    <w:rsid w:val="00596F9E"/>
    <w:rsid w:val="00597CE1"/>
    <w:rsid w:val="005A00B9"/>
    <w:rsid w:val="005A0683"/>
    <w:rsid w:val="005A0BFC"/>
    <w:rsid w:val="005A0ECA"/>
    <w:rsid w:val="005A1A41"/>
    <w:rsid w:val="005A27C8"/>
    <w:rsid w:val="005A2814"/>
    <w:rsid w:val="005A3753"/>
    <w:rsid w:val="005A3BE8"/>
    <w:rsid w:val="005A3E6B"/>
    <w:rsid w:val="005A48BC"/>
    <w:rsid w:val="005A506F"/>
    <w:rsid w:val="005A547D"/>
    <w:rsid w:val="005A5635"/>
    <w:rsid w:val="005A690E"/>
    <w:rsid w:val="005A6E09"/>
    <w:rsid w:val="005A7319"/>
    <w:rsid w:val="005A7E46"/>
    <w:rsid w:val="005B09A3"/>
    <w:rsid w:val="005B294A"/>
    <w:rsid w:val="005B3A6A"/>
    <w:rsid w:val="005B3AF1"/>
    <w:rsid w:val="005B3B44"/>
    <w:rsid w:val="005B4611"/>
    <w:rsid w:val="005B4A97"/>
    <w:rsid w:val="005B4CDB"/>
    <w:rsid w:val="005B7B35"/>
    <w:rsid w:val="005C005E"/>
    <w:rsid w:val="005C01B8"/>
    <w:rsid w:val="005C09DF"/>
    <w:rsid w:val="005C27D3"/>
    <w:rsid w:val="005C2AD7"/>
    <w:rsid w:val="005C2BB5"/>
    <w:rsid w:val="005C31C9"/>
    <w:rsid w:val="005C3729"/>
    <w:rsid w:val="005C3A8F"/>
    <w:rsid w:val="005C42BC"/>
    <w:rsid w:val="005C4A03"/>
    <w:rsid w:val="005C5E5A"/>
    <w:rsid w:val="005C6172"/>
    <w:rsid w:val="005C67A3"/>
    <w:rsid w:val="005C68D6"/>
    <w:rsid w:val="005D043B"/>
    <w:rsid w:val="005D059B"/>
    <w:rsid w:val="005D09A2"/>
    <w:rsid w:val="005D293F"/>
    <w:rsid w:val="005D3060"/>
    <w:rsid w:val="005D30DE"/>
    <w:rsid w:val="005D5D68"/>
    <w:rsid w:val="005D6CD1"/>
    <w:rsid w:val="005D7F14"/>
    <w:rsid w:val="005E074B"/>
    <w:rsid w:val="005E09C5"/>
    <w:rsid w:val="005E167B"/>
    <w:rsid w:val="005E1DBE"/>
    <w:rsid w:val="005E1E6D"/>
    <w:rsid w:val="005E26E1"/>
    <w:rsid w:val="005E2DA5"/>
    <w:rsid w:val="005E388B"/>
    <w:rsid w:val="005E4127"/>
    <w:rsid w:val="005E4361"/>
    <w:rsid w:val="005E54BE"/>
    <w:rsid w:val="005F05F3"/>
    <w:rsid w:val="005F0788"/>
    <w:rsid w:val="005F13BE"/>
    <w:rsid w:val="005F17C0"/>
    <w:rsid w:val="005F2439"/>
    <w:rsid w:val="005F25EB"/>
    <w:rsid w:val="005F3668"/>
    <w:rsid w:val="005F4717"/>
    <w:rsid w:val="005F4E4B"/>
    <w:rsid w:val="005F57AC"/>
    <w:rsid w:val="005F69E2"/>
    <w:rsid w:val="005F6A1A"/>
    <w:rsid w:val="005F705E"/>
    <w:rsid w:val="005F7F05"/>
    <w:rsid w:val="00601092"/>
    <w:rsid w:val="00601E97"/>
    <w:rsid w:val="00601EFF"/>
    <w:rsid w:val="00601F11"/>
    <w:rsid w:val="006030AC"/>
    <w:rsid w:val="00603742"/>
    <w:rsid w:val="00603903"/>
    <w:rsid w:val="0060411A"/>
    <w:rsid w:val="00604390"/>
    <w:rsid w:val="00604794"/>
    <w:rsid w:val="00606164"/>
    <w:rsid w:val="006064AC"/>
    <w:rsid w:val="00607085"/>
    <w:rsid w:val="00607623"/>
    <w:rsid w:val="00607B0D"/>
    <w:rsid w:val="006103BB"/>
    <w:rsid w:val="00610C09"/>
    <w:rsid w:val="00612085"/>
    <w:rsid w:val="006123CA"/>
    <w:rsid w:val="00613BF6"/>
    <w:rsid w:val="006157A3"/>
    <w:rsid w:val="00616F73"/>
    <w:rsid w:val="0061757D"/>
    <w:rsid w:val="00620015"/>
    <w:rsid w:val="006209CB"/>
    <w:rsid w:val="00620E44"/>
    <w:rsid w:val="00621D1C"/>
    <w:rsid w:val="00621EF7"/>
    <w:rsid w:val="00622ABD"/>
    <w:rsid w:val="006250F9"/>
    <w:rsid w:val="00625166"/>
    <w:rsid w:val="0062681D"/>
    <w:rsid w:val="00627905"/>
    <w:rsid w:val="00627B41"/>
    <w:rsid w:val="00627D5D"/>
    <w:rsid w:val="00630BC5"/>
    <w:rsid w:val="006313D4"/>
    <w:rsid w:val="006315E6"/>
    <w:rsid w:val="00631DF3"/>
    <w:rsid w:val="006324CE"/>
    <w:rsid w:val="006326DA"/>
    <w:rsid w:val="00632880"/>
    <w:rsid w:val="00634A0A"/>
    <w:rsid w:val="0063503D"/>
    <w:rsid w:val="0063646A"/>
    <w:rsid w:val="0063686B"/>
    <w:rsid w:val="00636B65"/>
    <w:rsid w:val="00640647"/>
    <w:rsid w:val="006423E7"/>
    <w:rsid w:val="006429AA"/>
    <w:rsid w:val="00642B56"/>
    <w:rsid w:val="006433AF"/>
    <w:rsid w:val="00645CC7"/>
    <w:rsid w:val="00645F65"/>
    <w:rsid w:val="0064600E"/>
    <w:rsid w:val="00647CE1"/>
    <w:rsid w:val="00653E54"/>
    <w:rsid w:val="00654146"/>
    <w:rsid w:val="00655939"/>
    <w:rsid w:val="006564BE"/>
    <w:rsid w:val="00657821"/>
    <w:rsid w:val="00660AFF"/>
    <w:rsid w:val="00660E32"/>
    <w:rsid w:val="00662BB9"/>
    <w:rsid w:val="006635EF"/>
    <w:rsid w:val="006637EA"/>
    <w:rsid w:val="00664785"/>
    <w:rsid w:val="006650FC"/>
    <w:rsid w:val="00667F04"/>
    <w:rsid w:val="00670AF5"/>
    <w:rsid w:val="00670FB3"/>
    <w:rsid w:val="0067191E"/>
    <w:rsid w:val="00672513"/>
    <w:rsid w:val="006732B9"/>
    <w:rsid w:val="00673560"/>
    <w:rsid w:val="0067448A"/>
    <w:rsid w:val="006748C0"/>
    <w:rsid w:val="006753B0"/>
    <w:rsid w:val="00675A0B"/>
    <w:rsid w:val="00675C18"/>
    <w:rsid w:val="0067684D"/>
    <w:rsid w:val="00677229"/>
    <w:rsid w:val="00677959"/>
    <w:rsid w:val="00680747"/>
    <w:rsid w:val="00680EA7"/>
    <w:rsid w:val="00682C32"/>
    <w:rsid w:val="00684651"/>
    <w:rsid w:val="006846CC"/>
    <w:rsid w:val="00684C6B"/>
    <w:rsid w:val="00684E7F"/>
    <w:rsid w:val="00685AA4"/>
    <w:rsid w:val="006869E7"/>
    <w:rsid w:val="006873AD"/>
    <w:rsid w:val="006875F0"/>
    <w:rsid w:val="00687CAF"/>
    <w:rsid w:val="0069039E"/>
    <w:rsid w:val="00690E9B"/>
    <w:rsid w:val="006913C2"/>
    <w:rsid w:val="006914DE"/>
    <w:rsid w:val="00691CF0"/>
    <w:rsid w:val="00692395"/>
    <w:rsid w:val="006926BF"/>
    <w:rsid w:val="00692FF7"/>
    <w:rsid w:val="00694651"/>
    <w:rsid w:val="0069485F"/>
    <w:rsid w:val="00694BFA"/>
    <w:rsid w:val="00694DA5"/>
    <w:rsid w:val="0069749D"/>
    <w:rsid w:val="006A0731"/>
    <w:rsid w:val="006A0DBE"/>
    <w:rsid w:val="006A124D"/>
    <w:rsid w:val="006A1261"/>
    <w:rsid w:val="006A1592"/>
    <w:rsid w:val="006A1D57"/>
    <w:rsid w:val="006A28D3"/>
    <w:rsid w:val="006A35E5"/>
    <w:rsid w:val="006A3778"/>
    <w:rsid w:val="006A3B45"/>
    <w:rsid w:val="006A4035"/>
    <w:rsid w:val="006A43DE"/>
    <w:rsid w:val="006A4822"/>
    <w:rsid w:val="006A4B6F"/>
    <w:rsid w:val="006A4E28"/>
    <w:rsid w:val="006A7068"/>
    <w:rsid w:val="006B01A8"/>
    <w:rsid w:val="006B0801"/>
    <w:rsid w:val="006B0B50"/>
    <w:rsid w:val="006B2B7E"/>
    <w:rsid w:val="006B2C09"/>
    <w:rsid w:val="006B3079"/>
    <w:rsid w:val="006B3DE4"/>
    <w:rsid w:val="006B4CCF"/>
    <w:rsid w:val="006B53DA"/>
    <w:rsid w:val="006B5CF5"/>
    <w:rsid w:val="006B6280"/>
    <w:rsid w:val="006B69BF"/>
    <w:rsid w:val="006B6B5C"/>
    <w:rsid w:val="006B763C"/>
    <w:rsid w:val="006B7647"/>
    <w:rsid w:val="006C028D"/>
    <w:rsid w:val="006C1313"/>
    <w:rsid w:val="006C1A19"/>
    <w:rsid w:val="006C2517"/>
    <w:rsid w:val="006C3006"/>
    <w:rsid w:val="006C3519"/>
    <w:rsid w:val="006C3AD4"/>
    <w:rsid w:val="006C68A5"/>
    <w:rsid w:val="006C6BEE"/>
    <w:rsid w:val="006C6F39"/>
    <w:rsid w:val="006D0633"/>
    <w:rsid w:val="006D07F9"/>
    <w:rsid w:val="006D0D50"/>
    <w:rsid w:val="006D14B3"/>
    <w:rsid w:val="006D3F94"/>
    <w:rsid w:val="006D5B1E"/>
    <w:rsid w:val="006D65DF"/>
    <w:rsid w:val="006D74F4"/>
    <w:rsid w:val="006D7B58"/>
    <w:rsid w:val="006D7B5C"/>
    <w:rsid w:val="006E0179"/>
    <w:rsid w:val="006E0A5B"/>
    <w:rsid w:val="006E0ECF"/>
    <w:rsid w:val="006E21DA"/>
    <w:rsid w:val="006E28B9"/>
    <w:rsid w:val="006E2C7F"/>
    <w:rsid w:val="006E30E1"/>
    <w:rsid w:val="006E37B4"/>
    <w:rsid w:val="006E402F"/>
    <w:rsid w:val="006E498A"/>
    <w:rsid w:val="006E6430"/>
    <w:rsid w:val="006E6675"/>
    <w:rsid w:val="006E681F"/>
    <w:rsid w:val="006F03D6"/>
    <w:rsid w:val="006F03F2"/>
    <w:rsid w:val="006F0DDD"/>
    <w:rsid w:val="006F0FDA"/>
    <w:rsid w:val="006F1A1E"/>
    <w:rsid w:val="006F2E2C"/>
    <w:rsid w:val="006F2F0C"/>
    <w:rsid w:val="006F33C2"/>
    <w:rsid w:val="006F4606"/>
    <w:rsid w:val="006F490D"/>
    <w:rsid w:val="006F652D"/>
    <w:rsid w:val="006F7939"/>
    <w:rsid w:val="006F7A1D"/>
    <w:rsid w:val="006F7B52"/>
    <w:rsid w:val="00700372"/>
    <w:rsid w:val="00702619"/>
    <w:rsid w:val="007039F8"/>
    <w:rsid w:val="00703CE2"/>
    <w:rsid w:val="007042E9"/>
    <w:rsid w:val="007047AD"/>
    <w:rsid w:val="00705987"/>
    <w:rsid w:val="00705D81"/>
    <w:rsid w:val="00706520"/>
    <w:rsid w:val="00706759"/>
    <w:rsid w:val="00706A1F"/>
    <w:rsid w:val="00706EB5"/>
    <w:rsid w:val="00711AD2"/>
    <w:rsid w:val="00711B29"/>
    <w:rsid w:val="00711C40"/>
    <w:rsid w:val="00712289"/>
    <w:rsid w:val="0071544F"/>
    <w:rsid w:val="00715CB0"/>
    <w:rsid w:val="00717036"/>
    <w:rsid w:val="00720245"/>
    <w:rsid w:val="00721050"/>
    <w:rsid w:val="00721EEE"/>
    <w:rsid w:val="00722858"/>
    <w:rsid w:val="00722BC3"/>
    <w:rsid w:val="0072365D"/>
    <w:rsid w:val="00723A83"/>
    <w:rsid w:val="00723F6E"/>
    <w:rsid w:val="007243C6"/>
    <w:rsid w:val="00724FA3"/>
    <w:rsid w:val="00726096"/>
    <w:rsid w:val="00726D4A"/>
    <w:rsid w:val="00726EB7"/>
    <w:rsid w:val="00726ED9"/>
    <w:rsid w:val="0072729A"/>
    <w:rsid w:val="007279B8"/>
    <w:rsid w:val="007310AC"/>
    <w:rsid w:val="0073161E"/>
    <w:rsid w:val="007321A5"/>
    <w:rsid w:val="00732E0F"/>
    <w:rsid w:val="007332BF"/>
    <w:rsid w:val="00733DF4"/>
    <w:rsid w:val="0073437A"/>
    <w:rsid w:val="0073449E"/>
    <w:rsid w:val="00734A61"/>
    <w:rsid w:val="0073501A"/>
    <w:rsid w:val="00735159"/>
    <w:rsid w:val="00737E25"/>
    <w:rsid w:val="00740068"/>
    <w:rsid w:val="007419EE"/>
    <w:rsid w:val="00743D99"/>
    <w:rsid w:val="007459D6"/>
    <w:rsid w:val="007467B2"/>
    <w:rsid w:val="00746F17"/>
    <w:rsid w:val="00747439"/>
    <w:rsid w:val="00750E76"/>
    <w:rsid w:val="00751C7F"/>
    <w:rsid w:val="00751D0A"/>
    <w:rsid w:val="00751D40"/>
    <w:rsid w:val="00751D6B"/>
    <w:rsid w:val="00751DAF"/>
    <w:rsid w:val="007520B7"/>
    <w:rsid w:val="00752558"/>
    <w:rsid w:val="00752612"/>
    <w:rsid w:val="00753440"/>
    <w:rsid w:val="00754DD7"/>
    <w:rsid w:val="00754E26"/>
    <w:rsid w:val="00754FE2"/>
    <w:rsid w:val="007556E4"/>
    <w:rsid w:val="0075572A"/>
    <w:rsid w:val="00756788"/>
    <w:rsid w:val="00756E51"/>
    <w:rsid w:val="00760A38"/>
    <w:rsid w:val="00760EF5"/>
    <w:rsid w:val="00761BF5"/>
    <w:rsid w:val="00763EFF"/>
    <w:rsid w:val="00763F88"/>
    <w:rsid w:val="00765A9E"/>
    <w:rsid w:val="00765ADF"/>
    <w:rsid w:val="0076605C"/>
    <w:rsid w:val="00766517"/>
    <w:rsid w:val="0076653A"/>
    <w:rsid w:val="007669D7"/>
    <w:rsid w:val="00767E8D"/>
    <w:rsid w:val="0077024B"/>
    <w:rsid w:val="00770D0C"/>
    <w:rsid w:val="00772FF2"/>
    <w:rsid w:val="007732AC"/>
    <w:rsid w:val="0077390D"/>
    <w:rsid w:val="00773BA3"/>
    <w:rsid w:val="00774936"/>
    <w:rsid w:val="00774E6E"/>
    <w:rsid w:val="007752C3"/>
    <w:rsid w:val="0077585B"/>
    <w:rsid w:val="007766A5"/>
    <w:rsid w:val="00776D1A"/>
    <w:rsid w:val="007804E5"/>
    <w:rsid w:val="007849A9"/>
    <w:rsid w:val="00785FEB"/>
    <w:rsid w:val="007871FC"/>
    <w:rsid w:val="00792BB1"/>
    <w:rsid w:val="00792FA0"/>
    <w:rsid w:val="00793412"/>
    <w:rsid w:val="00793ABB"/>
    <w:rsid w:val="00796072"/>
    <w:rsid w:val="00796375"/>
    <w:rsid w:val="00797995"/>
    <w:rsid w:val="00797C4B"/>
    <w:rsid w:val="00797ED9"/>
    <w:rsid w:val="007A0305"/>
    <w:rsid w:val="007A06F5"/>
    <w:rsid w:val="007A0B25"/>
    <w:rsid w:val="007A1992"/>
    <w:rsid w:val="007A430A"/>
    <w:rsid w:val="007A6446"/>
    <w:rsid w:val="007A6617"/>
    <w:rsid w:val="007A68BC"/>
    <w:rsid w:val="007B13FA"/>
    <w:rsid w:val="007B2F82"/>
    <w:rsid w:val="007B3E2F"/>
    <w:rsid w:val="007B4C6F"/>
    <w:rsid w:val="007B5690"/>
    <w:rsid w:val="007B6F0E"/>
    <w:rsid w:val="007B7597"/>
    <w:rsid w:val="007B760C"/>
    <w:rsid w:val="007B7D21"/>
    <w:rsid w:val="007B7E9A"/>
    <w:rsid w:val="007C0AC6"/>
    <w:rsid w:val="007C2DF1"/>
    <w:rsid w:val="007C32E9"/>
    <w:rsid w:val="007C40EC"/>
    <w:rsid w:val="007C5AE5"/>
    <w:rsid w:val="007C60DE"/>
    <w:rsid w:val="007C6A18"/>
    <w:rsid w:val="007C6B3A"/>
    <w:rsid w:val="007C79A6"/>
    <w:rsid w:val="007C7A57"/>
    <w:rsid w:val="007C7B6B"/>
    <w:rsid w:val="007D0D48"/>
    <w:rsid w:val="007D1054"/>
    <w:rsid w:val="007D47D8"/>
    <w:rsid w:val="007D5781"/>
    <w:rsid w:val="007D5F2D"/>
    <w:rsid w:val="007D600F"/>
    <w:rsid w:val="007D61F9"/>
    <w:rsid w:val="007D70EA"/>
    <w:rsid w:val="007D75D6"/>
    <w:rsid w:val="007D78BD"/>
    <w:rsid w:val="007E0407"/>
    <w:rsid w:val="007E0CBB"/>
    <w:rsid w:val="007E1988"/>
    <w:rsid w:val="007E208B"/>
    <w:rsid w:val="007E3C09"/>
    <w:rsid w:val="007E4B83"/>
    <w:rsid w:val="007E4BDA"/>
    <w:rsid w:val="007E615F"/>
    <w:rsid w:val="007E69B8"/>
    <w:rsid w:val="007E6EE3"/>
    <w:rsid w:val="007E73A6"/>
    <w:rsid w:val="007F027F"/>
    <w:rsid w:val="007F02D1"/>
    <w:rsid w:val="007F1038"/>
    <w:rsid w:val="007F332C"/>
    <w:rsid w:val="007F37C6"/>
    <w:rsid w:val="007F61B6"/>
    <w:rsid w:val="007F6A4D"/>
    <w:rsid w:val="00800B59"/>
    <w:rsid w:val="008012F5"/>
    <w:rsid w:val="008024FE"/>
    <w:rsid w:val="00802EE8"/>
    <w:rsid w:val="00803657"/>
    <w:rsid w:val="0080442C"/>
    <w:rsid w:val="008051A1"/>
    <w:rsid w:val="008106B3"/>
    <w:rsid w:val="00810ACF"/>
    <w:rsid w:val="00810C86"/>
    <w:rsid w:val="0081136D"/>
    <w:rsid w:val="008115AC"/>
    <w:rsid w:val="00811989"/>
    <w:rsid w:val="008119B0"/>
    <w:rsid w:val="008128AB"/>
    <w:rsid w:val="00812B48"/>
    <w:rsid w:val="00812C64"/>
    <w:rsid w:val="00812D6E"/>
    <w:rsid w:val="00812DAE"/>
    <w:rsid w:val="00814908"/>
    <w:rsid w:val="00817626"/>
    <w:rsid w:val="00820617"/>
    <w:rsid w:val="0082084D"/>
    <w:rsid w:val="00820C7B"/>
    <w:rsid w:val="008213F5"/>
    <w:rsid w:val="00821744"/>
    <w:rsid w:val="00821F5C"/>
    <w:rsid w:val="00822186"/>
    <w:rsid w:val="008231F1"/>
    <w:rsid w:val="00823939"/>
    <w:rsid w:val="008245A9"/>
    <w:rsid w:val="008259FC"/>
    <w:rsid w:val="00825A87"/>
    <w:rsid w:val="00826513"/>
    <w:rsid w:val="0083014E"/>
    <w:rsid w:val="00831936"/>
    <w:rsid w:val="00832C92"/>
    <w:rsid w:val="00832F8B"/>
    <w:rsid w:val="0083381E"/>
    <w:rsid w:val="008339F6"/>
    <w:rsid w:val="00833C41"/>
    <w:rsid w:val="00834B77"/>
    <w:rsid w:val="00834FED"/>
    <w:rsid w:val="00836BBA"/>
    <w:rsid w:val="00836FB4"/>
    <w:rsid w:val="008377CF"/>
    <w:rsid w:val="008379ED"/>
    <w:rsid w:val="00840696"/>
    <w:rsid w:val="008416B6"/>
    <w:rsid w:val="00843384"/>
    <w:rsid w:val="008434B5"/>
    <w:rsid w:val="008437F0"/>
    <w:rsid w:val="00843AC3"/>
    <w:rsid w:val="008448BC"/>
    <w:rsid w:val="00844979"/>
    <w:rsid w:val="008459DA"/>
    <w:rsid w:val="00845C65"/>
    <w:rsid w:val="00845D22"/>
    <w:rsid w:val="008467A0"/>
    <w:rsid w:val="00846F90"/>
    <w:rsid w:val="00850BB8"/>
    <w:rsid w:val="00850D7F"/>
    <w:rsid w:val="00850F46"/>
    <w:rsid w:val="0085166E"/>
    <w:rsid w:val="00852830"/>
    <w:rsid w:val="00852A7E"/>
    <w:rsid w:val="00854B5D"/>
    <w:rsid w:val="008552A2"/>
    <w:rsid w:val="008565F9"/>
    <w:rsid w:val="00856DB8"/>
    <w:rsid w:val="00860051"/>
    <w:rsid w:val="00861529"/>
    <w:rsid w:val="00861A14"/>
    <w:rsid w:val="0086242E"/>
    <w:rsid w:val="00862B5F"/>
    <w:rsid w:val="008633BF"/>
    <w:rsid w:val="00863A45"/>
    <w:rsid w:val="00863D38"/>
    <w:rsid w:val="00864162"/>
    <w:rsid w:val="00864DA6"/>
    <w:rsid w:val="00864FE7"/>
    <w:rsid w:val="008655E8"/>
    <w:rsid w:val="00865AA8"/>
    <w:rsid w:val="00865EBC"/>
    <w:rsid w:val="00866132"/>
    <w:rsid w:val="0086670A"/>
    <w:rsid w:val="008669DC"/>
    <w:rsid w:val="0086756E"/>
    <w:rsid w:val="00867DC6"/>
    <w:rsid w:val="008708E4"/>
    <w:rsid w:val="00871DB3"/>
    <w:rsid w:val="00871FDC"/>
    <w:rsid w:val="0087217E"/>
    <w:rsid w:val="008729B2"/>
    <w:rsid w:val="00872F82"/>
    <w:rsid w:val="00873022"/>
    <w:rsid w:val="00873724"/>
    <w:rsid w:val="00874D4F"/>
    <w:rsid w:val="0087730D"/>
    <w:rsid w:val="00877381"/>
    <w:rsid w:val="0087786F"/>
    <w:rsid w:val="00877CE2"/>
    <w:rsid w:val="008823F4"/>
    <w:rsid w:val="00882419"/>
    <w:rsid w:val="0088266E"/>
    <w:rsid w:val="00884D8A"/>
    <w:rsid w:val="0088559F"/>
    <w:rsid w:val="008855A8"/>
    <w:rsid w:val="00886F07"/>
    <w:rsid w:val="008872C6"/>
    <w:rsid w:val="00887D84"/>
    <w:rsid w:val="00890219"/>
    <w:rsid w:val="008907A0"/>
    <w:rsid w:val="00890892"/>
    <w:rsid w:val="0089092C"/>
    <w:rsid w:val="0089095B"/>
    <w:rsid w:val="00891518"/>
    <w:rsid w:val="0089179A"/>
    <w:rsid w:val="0089292D"/>
    <w:rsid w:val="00893C90"/>
    <w:rsid w:val="00893F5E"/>
    <w:rsid w:val="00894142"/>
    <w:rsid w:val="008947CB"/>
    <w:rsid w:val="00895262"/>
    <w:rsid w:val="00895627"/>
    <w:rsid w:val="008963CE"/>
    <w:rsid w:val="00896977"/>
    <w:rsid w:val="008970F5"/>
    <w:rsid w:val="0089780E"/>
    <w:rsid w:val="00897C81"/>
    <w:rsid w:val="008A313C"/>
    <w:rsid w:val="008A3432"/>
    <w:rsid w:val="008A4281"/>
    <w:rsid w:val="008A5F95"/>
    <w:rsid w:val="008A7877"/>
    <w:rsid w:val="008B05B5"/>
    <w:rsid w:val="008B0700"/>
    <w:rsid w:val="008B1285"/>
    <w:rsid w:val="008B2494"/>
    <w:rsid w:val="008B2FAA"/>
    <w:rsid w:val="008B3780"/>
    <w:rsid w:val="008B4688"/>
    <w:rsid w:val="008B4EAA"/>
    <w:rsid w:val="008B5187"/>
    <w:rsid w:val="008B638F"/>
    <w:rsid w:val="008B63DA"/>
    <w:rsid w:val="008B65D9"/>
    <w:rsid w:val="008C1490"/>
    <w:rsid w:val="008C176C"/>
    <w:rsid w:val="008C233C"/>
    <w:rsid w:val="008C2BCD"/>
    <w:rsid w:val="008C2D6C"/>
    <w:rsid w:val="008C3095"/>
    <w:rsid w:val="008C3F0F"/>
    <w:rsid w:val="008C4B32"/>
    <w:rsid w:val="008C5694"/>
    <w:rsid w:val="008C5850"/>
    <w:rsid w:val="008C59BC"/>
    <w:rsid w:val="008C6BC7"/>
    <w:rsid w:val="008C72C6"/>
    <w:rsid w:val="008C7370"/>
    <w:rsid w:val="008C7C05"/>
    <w:rsid w:val="008C7DFD"/>
    <w:rsid w:val="008D02C3"/>
    <w:rsid w:val="008D1027"/>
    <w:rsid w:val="008D102F"/>
    <w:rsid w:val="008D2708"/>
    <w:rsid w:val="008D3EA9"/>
    <w:rsid w:val="008D4A8D"/>
    <w:rsid w:val="008D4B17"/>
    <w:rsid w:val="008D5BBA"/>
    <w:rsid w:val="008D71FE"/>
    <w:rsid w:val="008D7B5F"/>
    <w:rsid w:val="008D7C19"/>
    <w:rsid w:val="008D7F83"/>
    <w:rsid w:val="008E1B2F"/>
    <w:rsid w:val="008E2DA2"/>
    <w:rsid w:val="008E2F45"/>
    <w:rsid w:val="008E346B"/>
    <w:rsid w:val="008E37A0"/>
    <w:rsid w:val="008E46D0"/>
    <w:rsid w:val="008E491F"/>
    <w:rsid w:val="008E5213"/>
    <w:rsid w:val="008E6A87"/>
    <w:rsid w:val="008E7C1D"/>
    <w:rsid w:val="008F1626"/>
    <w:rsid w:val="008F1BAB"/>
    <w:rsid w:val="008F307B"/>
    <w:rsid w:val="008F3370"/>
    <w:rsid w:val="008F38BF"/>
    <w:rsid w:val="008F4455"/>
    <w:rsid w:val="008F5AAB"/>
    <w:rsid w:val="008F5FA8"/>
    <w:rsid w:val="008F64DF"/>
    <w:rsid w:val="008F69D4"/>
    <w:rsid w:val="008F6BB8"/>
    <w:rsid w:val="008F78B0"/>
    <w:rsid w:val="008F7E20"/>
    <w:rsid w:val="00900112"/>
    <w:rsid w:val="009008A3"/>
    <w:rsid w:val="00901B57"/>
    <w:rsid w:val="00901CCC"/>
    <w:rsid w:val="00901F80"/>
    <w:rsid w:val="0090203A"/>
    <w:rsid w:val="00904F7C"/>
    <w:rsid w:val="009050A7"/>
    <w:rsid w:val="00905FA6"/>
    <w:rsid w:val="00910D03"/>
    <w:rsid w:val="00911229"/>
    <w:rsid w:val="009112A2"/>
    <w:rsid w:val="00912911"/>
    <w:rsid w:val="00912C72"/>
    <w:rsid w:val="00912F57"/>
    <w:rsid w:val="009130CF"/>
    <w:rsid w:val="00913736"/>
    <w:rsid w:val="00914212"/>
    <w:rsid w:val="00915225"/>
    <w:rsid w:val="009157DD"/>
    <w:rsid w:val="00916197"/>
    <w:rsid w:val="009176DF"/>
    <w:rsid w:val="009179BD"/>
    <w:rsid w:val="00920283"/>
    <w:rsid w:val="009202DF"/>
    <w:rsid w:val="009238CA"/>
    <w:rsid w:val="00923C20"/>
    <w:rsid w:val="00924CFA"/>
    <w:rsid w:val="00924F0F"/>
    <w:rsid w:val="00926AEE"/>
    <w:rsid w:val="00927141"/>
    <w:rsid w:val="00927278"/>
    <w:rsid w:val="00927D86"/>
    <w:rsid w:val="00930962"/>
    <w:rsid w:val="00930C7E"/>
    <w:rsid w:val="009321FB"/>
    <w:rsid w:val="009323D8"/>
    <w:rsid w:val="009325D8"/>
    <w:rsid w:val="00932EA2"/>
    <w:rsid w:val="009337D8"/>
    <w:rsid w:val="00933B64"/>
    <w:rsid w:val="00933EFE"/>
    <w:rsid w:val="0093412E"/>
    <w:rsid w:val="009345A7"/>
    <w:rsid w:val="00935530"/>
    <w:rsid w:val="00935C83"/>
    <w:rsid w:val="00935F8F"/>
    <w:rsid w:val="009401F8"/>
    <w:rsid w:val="00940B38"/>
    <w:rsid w:val="00940CEB"/>
    <w:rsid w:val="00940DB5"/>
    <w:rsid w:val="00941FA4"/>
    <w:rsid w:val="00943390"/>
    <w:rsid w:val="00944D00"/>
    <w:rsid w:val="009457F4"/>
    <w:rsid w:val="00946E1F"/>
    <w:rsid w:val="00947F5E"/>
    <w:rsid w:val="009506BA"/>
    <w:rsid w:val="00951DA8"/>
    <w:rsid w:val="009523E1"/>
    <w:rsid w:val="00955308"/>
    <w:rsid w:val="0095674E"/>
    <w:rsid w:val="0095720F"/>
    <w:rsid w:val="0095758F"/>
    <w:rsid w:val="009602C8"/>
    <w:rsid w:val="00960504"/>
    <w:rsid w:val="00961773"/>
    <w:rsid w:val="00962A7C"/>
    <w:rsid w:val="009642B6"/>
    <w:rsid w:val="00964F97"/>
    <w:rsid w:val="009658A1"/>
    <w:rsid w:val="00965942"/>
    <w:rsid w:val="00966059"/>
    <w:rsid w:val="009660A4"/>
    <w:rsid w:val="00966150"/>
    <w:rsid w:val="00967C4A"/>
    <w:rsid w:val="0097090B"/>
    <w:rsid w:val="0097094C"/>
    <w:rsid w:val="0097186A"/>
    <w:rsid w:val="00971F19"/>
    <w:rsid w:val="0097291D"/>
    <w:rsid w:val="00973DF8"/>
    <w:rsid w:val="009749FD"/>
    <w:rsid w:val="00975E19"/>
    <w:rsid w:val="0098056F"/>
    <w:rsid w:val="009806D4"/>
    <w:rsid w:val="00981786"/>
    <w:rsid w:val="009817ED"/>
    <w:rsid w:val="00981844"/>
    <w:rsid w:val="009828EF"/>
    <w:rsid w:val="00983CF7"/>
    <w:rsid w:val="00983F3E"/>
    <w:rsid w:val="009844F4"/>
    <w:rsid w:val="00984B17"/>
    <w:rsid w:val="009850AF"/>
    <w:rsid w:val="00985A60"/>
    <w:rsid w:val="00986168"/>
    <w:rsid w:val="00986ADA"/>
    <w:rsid w:val="00986FD0"/>
    <w:rsid w:val="009872DB"/>
    <w:rsid w:val="00991392"/>
    <w:rsid w:val="009914F1"/>
    <w:rsid w:val="009925F6"/>
    <w:rsid w:val="00992686"/>
    <w:rsid w:val="00992CB5"/>
    <w:rsid w:val="009944D4"/>
    <w:rsid w:val="009963CD"/>
    <w:rsid w:val="00996FDE"/>
    <w:rsid w:val="009A0F76"/>
    <w:rsid w:val="009A13DB"/>
    <w:rsid w:val="009A1910"/>
    <w:rsid w:val="009A2530"/>
    <w:rsid w:val="009A267E"/>
    <w:rsid w:val="009A26D5"/>
    <w:rsid w:val="009A3431"/>
    <w:rsid w:val="009A563D"/>
    <w:rsid w:val="009A5F8A"/>
    <w:rsid w:val="009A7495"/>
    <w:rsid w:val="009A783D"/>
    <w:rsid w:val="009B02AE"/>
    <w:rsid w:val="009B0307"/>
    <w:rsid w:val="009B03BD"/>
    <w:rsid w:val="009B0827"/>
    <w:rsid w:val="009B0A5C"/>
    <w:rsid w:val="009B18CE"/>
    <w:rsid w:val="009B37F5"/>
    <w:rsid w:val="009B3A42"/>
    <w:rsid w:val="009B3DE9"/>
    <w:rsid w:val="009B4104"/>
    <w:rsid w:val="009B4238"/>
    <w:rsid w:val="009B439D"/>
    <w:rsid w:val="009B5474"/>
    <w:rsid w:val="009B6382"/>
    <w:rsid w:val="009B6EC0"/>
    <w:rsid w:val="009B7193"/>
    <w:rsid w:val="009B7F44"/>
    <w:rsid w:val="009C3760"/>
    <w:rsid w:val="009C4E1A"/>
    <w:rsid w:val="009C4EA8"/>
    <w:rsid w:val="009C539A"/>
    <w:rsid w:val="009C638D"/>
    <w:rsid w:val="009C6524"/>
    <w:rsid w:val="009C72AA"/>
    <w:rsid w:val="009D0184"/>
    <w:rsid w:val="009D0CB6"/>
    <w:rsid w:val="009D12C9"/>
    <w:rsid w:val="009D1F35"/>
    <w:rsid w:val="009D2C4B"/>
    <w:rsid w:val="009D2E23"/>
    <w:rsid w:val="009D2E4E"/>
    <w:rsid w:val="009D568F"/>
    <w:rsid w:val="009D78F7"/>
    <w:rsid w:val="009D7D03"/>
    <w:rsid w:val="009E1A3A"/>
    <w:rsid w:val="009E1B8B"/>
    <w:rsid w:val="009E1CEA"/>
    <w:rsid w:val="009E1D99"/>
    <w:rsid w:val="009E2000"/>
    <w:rsid w:val="009E2308"/>
    <w:rsid w:val="009E30CE"/>
    <w:rsid w:val="009E3A2E"/>
    <w:rsid w:val="009E3B13"/>
    <w:rsid w:val="009E42A1"/>
    <w:rsid w:val="009E71E5"/>
    <w:rsid w:val="009E7ABD"/>
    <w:rsid w:val="009F0674"/>
    <w:rsid w:val="009F092C"/>
    <w:rsid w:val="009F104D"/>
    <w:rsid w:val="009F13BF"/>
    <w:rsid w:val="009F20C6"/>
    <w:rsid w:val="009F2920"/>
    <w:rsid w:val="009F3DEC"/>
    <w:rsid w:val="009F452A"/>
    <w:rsid w:val="009F621A"/>
    <w:rsid w:val="009F6444"/>
    <w:rsid w:val="009F68DA"/>
    <w:rsid w:val="009F78CB"/>
    <w:rsid w:val="00A0244F"/>
    <w:rsid w:val="00A02ECD"/>
    <w:rsid w:val="00A0346D"/>
    <w:rsid w:val="00A04175"/>
    <w:rsid w:val="00A04E66"/>
    <w:rsid w:val="00A05B34"/>
    <w:rsid w:val="00A07418"/>
    <w:rsid w:val="00A0775E"/>
    <w:rsid w:val="00A10157"/>
    <w:rsid w:val="00A10B94"/>
    <w:rsid w:val="00A111F0"/>
    <w:rsid w:val="00A12583"/>
    <w:rsid w:val="00A131E7"/>
    <w:rsid w:val="00A138C6"/>
    <w:rsid w:val="00A15788"/>
    <w:rsid w:val="00A1587E"/>
    <w:rsid w:val="00A161B1"/>
    <w:rsid w:val="00A17052"/>
    <w:rsid w:val="00A173DC"/>
    <w:rsid w:val="00A176BC"/>
    <w:rsid w:val="00A17C70"/>
    <w:rsid w:val="00A20662"/>
    <w:rsid w:val="00A21E6C"/>
    <w:rsid w:val="00A223F9"/>
    <w:rsid w:val="00A22C6B"/>
    <w:rsid w:val="00A22C8B"/>
    <w:rsid w:val="00A2332E"/>
    <w:rsid w:val="00A23385"/>
    <w:rsid w:val="00A23621"/>
    <w:rsid w:val="00A2434C"/>
    <w:rsid w:val="00A25339"/>
    <w:rsid w:val="00A26090"/>
    <w:rsid w:val="00A26EEE"/>
    <w:rsid w:val="00A271FF"/>
    <w:rsid w:val="00A300F5"/>
    <w:rsid w:val="00A30C7C"/>
    <w:rsid w:val="00A3188B"/>
    <w:rsid w:val="00A322E1"/>
    <w:rsid w:val="00A327DA"/>
    <w:rsid w:val="00A331B3"/>
    <w:rsid w:val="00A36797"/>
    <w:rsid w:val="00A36935"/>
    <w:rsid w:val="00A369D1"/>
    <w:rsid w:val="00A36C7F"/>
    <w:rsid w:val="00A37E05"/>
    <w:rsid w:val="00A40D6D"/>
    <w:rsid w:val="00A40ED1"/>
    <w:rsid w:val="00A414DC"/>
    <w:rsid w:val="00A42534"/>
    <w:rsid w:val="00A43000"/>
    <w:rsid w:val="00A4343C"/>
    <w:rsid w:val="00A43750"/>
    <w:rsid w:val="00A44212"/>
    <w:rsid w:val="00A44BEC"/>
    <w:rsid w:val="00A4772C"/>
    <w:rsid w:val="00A47DCC"/>
    <w:rsid w:val="00A510C2"/>
    <w:rsid w:val="00A51746"/>
    <w:rsid w:val="00A51EED"/>
    <w:rsid w:val="00A5295D"/>
    <w:rsid w:val="00A54786"/>
    <w:rsid w:val="00A54B81"/>
    <w:rsid w:val="00A54EE0"/>
    <w:rsid w:val="00A56695"/>
    <w:rsid w:val="00A57268"/>
    <w:rsid w:val="00A604F7"/>
    <w:rsid w:val="00A60F21"/>
    <w:rsid w:val="00A612AE"/>
    <w:rsid w:val="00A61709"/>
    <w:rsid w:val="00A622EB"/>
    <w:rsid w:val="00A63B9A"/>
    <w:rsid w:val="00A63F11"/>
    <w:rsid w:val="00A649C3"/>
    <w:rsid w:val="00A64EB3"/>
    <w:rsid w:val="00A65236"/>
    <w:rsid w:val="00A65250"/>
    <w:rsid w:val="00A65899"/>
    <w:rsid w:val="00A65997"/>
    <w:rsid w:val="00A65A7B"/>
    <w:rsid w:val="00A66071"/>
    <w:rsid w:val="00A6682D"/>
    <w:rsid w:val="00A70299"/>
    <w:rsid w:val="00A70748"/>
    <w:rsid w:val="00A71785"/>
    <w:rsid w:val="00A71C9B"/>
    <w:rsid w:val="00A71DBC"/>
    <w:rsid w:val="00A7251D"/>
    <w:rsid w:val="00A72922"/>
    <w:rsid w:val="00A7329A"/>
    <w:rsid w:val="00A73A9B"/>
    <w:rsid w:val="00A74211"/>
    <w:rsid w:val="00A748C2"/>
    <w:rsid w:val="00A752E3"/>
    <w:rsid w:val="00A75863"/>
    <w:rsid w:val="00A75B3B"/>
    <w:rsid w:val="00A76295"/>
    <w:rsid w:val="00A76AC0"/>
    <w:rsid w:val="00A809C7"/>
    <w:rsid w:val="00A82656"/>
    <w:rsid w:val="00A83B81"/>
    <w:rsid w:val="00A83C84"/>
    <w:rsid w:val="00A8441B"/>
    <w:rsid w:val="00A84FAE"/>
    <w:rsid w:val="00A85E2A"/>
    <w:rsid w:val="00A86646"/>
    <w:rsid w:val="00A86753"/>
    <w:rsid w:val="00A86CA2"/>
    <w:rsid w:val="00A87898"/>
    <w:rsid w:val="00A87DCB"/>
    <w:rsid w:val="00A9050C"/>
    <w:rsid w:val="00A90D6A"/>
    <w:rsid w:val="00A910E9"/>
    <w:rsid w:val="00A912B8"/>
    <w:rsid w:val="00A91972"/>
    <w:rsid w:val="00A92F07"/>
    <w:rsid w:val="00A94BBD"/>
    <w:rsid w:val="00A9529E"/>
    <w:rsid w:val="00A97172"/>
    <w:rsid w:val="00AA16D6"/>
    <w:rsid w:val="00AA3820"/>
    <w:rsid w:val="00AA431A"/>
    <w:rsid w:val="00AA4F8A"/>
    <w:rsid w:val="00AA788A"/>
    <w:rsid w:val="00AA7D55"/>
    <w:rsid w:val="00AA7E8F"/>
    <w:rsid w:val="00AB05FF"/>
    <w:rsid w:val="00AB0E0E"/>
    <w:rsid w:val="00AB0F22"/>
    <w:rsid w:val="00AB0F37"/>
    <w:rsid w:val="00AB2A0F"/>
    <w:rsid w:val="00AB34FB"/>
    <w:rsid w:val="00AB3AC5"/>
    <w:rsid w:val="00AB605A"/>
    <w:rsid w:val="00AB65E1"/>
    <w:rsid w:val="00AB7294"/>
    <w:rsid w:val="00AB7DDC"/>
    <w:rsid w:val="00AC015D"/>
    <w:rsid w:val="00AC061F"/>
    <w:rsid w:val="00AC0EF9"/>
    <w:rsid w:val="00AC2575"/>
    <w:rsid w:val="00AC2CDE"/>
    <w:rsid w:val="00AC34DD"/>
    <w:rsid w:val="00AC3791"/>
    <w:rsid w:val="00AC398B"/>
    <w:rsid w:val="00AC3C5C"/>
    <w:rsid w:val="00AC6413"/>
    <w:rsid w:val="00AC6B97"/>
    <w:rsid w:val="00AC7E79"/>
    <w:rsid w:val="00AD115D"/>
    <w:rsid w:val="00AD206E"/>
    <w:rsid w:val="00AD2379"/>
    <w:rsid w:val="00AD23EB"/>
    <w:rsid w:val="00AD27DB"/>
    <w:rsid w:val="00AD2E09"/>
    <w:rsid w:val="00AD3BDF"/>
    <w:rsid w:val="00AD540F"/>
    <w:rsid w:val="00AD5B8B"/>
    <w:rsid w:val="00AD5BC3"/>
    <w:rsid w:val="00AD6057"/>
    <w:rsid w:val="00AD6925"/>
    <w:rsid w:val="00AD6DEB"/>
    <w:rsid w:val="00AD76DB"/>
    <w:rsid w:val="00AD7841"/>
    <w:rsid w:val="00AE02DD"/>
    <w:rsid w:val="00AE34C8"/>
    <w:rsid w:val="00AE3A4C"/>
    <w:rsid w:val="00AE44D5"/>
    <w:rsid w:val="00AE49E4"/>
    <w:rsid w:val="00AE4BA3"/>
    <w:rsid w:val="00AE53E4"/>
    <w:rsid w:val="00AE587D"/>
    <w:rsid w:val="00AE7697"/>
    <w:rsid w:val="00AE7BC6"/>
    <w:rsid w:val="00AF06B4"/>
    <w:rsid w:val="00AF11F9"/>
    <w:rsid w:val="00AF1259"/>
    <w:rsid w:val="00AF1E64"/>
    <w:rsid w:val="00AF1FB3"/>
    <w:rsid w:val="00AF279E"/>
    <w:rsid w:val="00AF2B2D"/>
    <w:rsid w:val="00AF2C19"/>
    <w:rsid w:val="00AF319D"/>
    <w:rsid w:val="00AF39A9"/>
    <w:rsid w:val="00AF44E7"/>
    <w:rsid w:val="00AF481D"/>
    <w:rsid w:val="00AF5005"/>
    <w:rsid w:val="00AF5013"/>
    <w:rsid w:val="00AF5AC5"/>
    <w:rsid w:val="00AF69E9"/>
    <w:rsid w:val="00AF6C1D"/>
    <w:rsid w:val="00AF7F81"/>
    <w:rsid w:val="00B007EE"/>
    <w:rsid w:val="00B01D48"/>
    <w:rsid w:val="00B03FD8"/>
    <w:rsid w:val="00B041F6"/>
    <w:rsid w:val="00B0449E"/>
    <w:rsid w:val="00B04842"/>
    <w:rsid w:val="00B04858"/>
    <w:rsid w:val="00B04967"/>
    <w:rsid w:val="00B059C6"/>
    <w:rsid w:val="00B05C4A"/>
    <w:rsid w:val="00B06013"/>
    <w:rsid w:val="00B062A9"/>
    <w:rsid w:val="00B06423"/>
    <w:rsid w:val="00B06601"/>
    <w:rsid w:val="00B06B11"/>
    <w:rsid w:val="00B10625"/>
    <w:rsid w:val="00B107C6"/>
    <w:rsid w:val="00B1182A"/>
    <w:rsid w:val="00B1212C"/>
    <w:rsid w:val="00B13764"/>
    <w:rsid w:val="00B14240"/>
    <w:rsid w:val="00B1452D"/>
    <w:rsid w:val="00B14F24"/>
    <w:rsid w:val="00B16DF0"/>
    <w:rsid w:val="00B20C90"/>
    <w:rsid w:val="00B2186C"/>
    <w:rsid w:val="00B21A78"/>
    <w:rsid w:val="00B2271D"/>
    <w:rsid w:val="00B231D1"/>
    <w:rsid w:val="00B25B54"/>
    <w:rsid w:val="00B263D1"/>
    <w:rsid w:val="00B2674C"/>
    <w:rsid w:val="00B26972"/>
    <w:rsid w:val="00B2783F"/>
    <w:rsid w:val="00B27D93"/>
    <w:rsid w:val="00B3043A"/>
    <w:rsid w:val="00B315C5"/>
    <w:rsid w:val="00B3203F"/>
    <w:rsid w:val="00B341E4"/>
    <w:rsid w:val="00B347E9"/>
    <w:rsid w:val="00B34A98"/>
    <w:rsid w:val="00B34AED"/>
    <w:rsid w:val="00B35347"/>
    <w:rsid w:val="00B36819"/>
    <w:rsid w:val="00B36930"/>
    <w:rsid w:val="00B36ECB"/>
    <w:rsid w:val="00B37256"/>
    <w:rsid w:val="00B37344"/>
    <w:rsid w:val="00B37BE7"/>
    <w:rsid w:val="00B40167"/>
    <w:rsid w:val="00B401BE"/>
    <w:rsid w:val="00B404F7"/>
    <w:rsid w:val="00B40B08"/>
    <w:rsid w:val="00B40DA9"/>
    <w:rsid w:val="00B41D5E"/>
    <w:rsid w:val="00B4202E"/>
    <w:rsid w:val="00B433FD"/>
    <w:rsid w:val="00B4447A"/>
    <w:rsid w:val="00B470A1"/>
    <w:rsid w:val="00B50446"/>
    <w:rsid w:val="00B50804"/>
    <w:rsid w:val="00B51F07"/>
    <w:rsid w:val="00B522AA"/>
    <w:rsid w:val="00B527C2"/>
    <w:rsid w:val="00B5281A"/>
    <w:rsid w:val="00B52C6C"/>
    <w:rsid w:val="00B52E26"/>
    <w:rsid w:val="00B5399C"/>
    <w:rsid w:val="00B54691"/>
    <w:rsid w:val="00B54A19"/>
    <w:rsid w:val="00B54AA2"/>
    <w:rsid w:val="00B5506E"/>
    <w:rsid w:val="00B55075"/>
    <w:rsid w:val="00B557F8"/>
    <w:rsid w:val="00B56293"/>
    <w:rsid w:val="00B572E0"/>
    <w:rsid w:val="00B6075E"/>
    <w:rsid w:val="00B6162D"/>
    <w:rsid w:val="00B626B8"/>
    <w:rsid w:val="00B6310E"/>
    <w:rsid w:val="00B64941"/>
    <w:rsid w:val="00B64A26"/>
    <w:rsid w:val="00B6511F"/>
    <w:rsid w:val="00B6636B"/>
    <w:rsid w:val="00B663F4"/>
    <w:rsid w:val="00B70A1A"/>
    <w:rsid w:val="00B71313"/>
    <w:rsid w:val="00B71A0B"/>
    <w:rsid w:val="00B72F3B"/>
    <w:rsid w:val="00B73BEC"/>
    <w:rsid w:val="00B74445"/>
    <w:rsid w:val="00B75E56"/>
    <w:rsid w:val="00B76089"/>
    <w:rsid w:val="00B7614E"/>
    <w:rsid w:val="00B76DED"/>
    <w:rsid w:val="00B77737"/>
    <w:rsid w:val="00B807A3"/>
    <w:rsid w:val="00B811DF"/>
    <w:rsid w:val="00B82387"/>
    <w:rsid w:val="00B824D8"/>
    <w:rsid w:val="00B834E1"/>
    <w:rsid w:val="00B8627F"/>
    <w:rsid w:val="00B90880"/>
    <w:rsid w:val="00B90C55"/>
    <w:rsid w:val="00B92249"/>
    <w:rsid w:val="00B922C0"/>
    <w:rsid w:val="00B9251A"/>
    <w:rsid w:val="00B92A01"/>
    <w:rsid w:val="00B933BF"/>
    <w:rsid w:val="00B93931"/>
    <w:rsid w:val="00B93B92"/>
    <w:rsid w:val="00B93C1E"/>
    <w:rsid w:val="00B9426A"/>
    <w:rsid w:val="00B948F5"/>
    <w:rsid w:val="00B94B68"/>
    <w:rsid w:val="00B95A63"/>
    <w:rsid w:val="00B96111"/>
    <w:rsid w:val="00B9696C"/>
    <w:rsid w:val="00B96BE4"/>
    <w:rsid w:val="00B97C55"/>
    <w:rsid w:val="00BA0092"/>
    <w:rsid w:val="00BA0AB0"/>
    <w:rsid w:val="00BA23CF"/>
    <w:rsid w:val="00BA30DC"/>
    <w:rsid w:val="00BA37FD"/>
    <w:rsid w:val="00BA383B"/>
    <w:rsid w:val="00BA43C1"/>
    <w:rsid w:val="00BA4894"/>
    <w:rsid w:val="00BA4B39"/>
    <w:rsid w:val="00BA4D12"/>
    <w:rsid w:val="00BA640C"/>
    <w:rsid w:val="00BA7592"/>
    <w:rsid w:val="00BA7E3F"/>
    <w:rsid w:val="00BB171C"/>
    <w:rsid w:val="00BB1D9E"/>
    <w:rsid w:val="00BB2582"/>
    <w:rsid w:val="00BB2D82"/>
    <w:rsid w:val="00BB3C23"/>
    <w:rsid w:val="00BB3CBA"/>
    <w:rsid w:val="00BB4FD7"/>
    <w:rsid w:val="00BB5E30"/>
    <w:rsid w:val="00BB6C7F"/>
    <w:rsid w:val="00BC0617"/>
    <w:rsid w:val="00BC0F28"/>
    <w:rsid w:val="00BC16E8"/>
    <w:rsid w:val="00BC275E"/>
    <w:rsid w:val="00BC2E8E"/>
    <w:rsid w:val="00BC30FA"/>
    <w:rsid w:val="00BC4B71"/>
    <w:rsid w:val="00BC4D45"/>
    <w:rsid w:val="00BC5456"/>
    <w:rsid w:val="00BC70AE"/>
    <w:rsid w:val="00BD0128"/>
    <w:rsid w:val="00BD1832"/>
    <w:rsid w:val="00BD215F"/>
    <w:rsid w:val="00BD394C"/>
    <w:rsid w:val="00BD408D"/>
    <w:rsid w:val="00BD5760"/>
    <w:rsid w:val="00BD5F88"/>
    <w:rsid w:val="00BD643F"/>
    <w:rsid w:val="00BD6785"/>
    <w:rsid w:val="00BD6C42"/>
    <w:rsid w:val="00BE01F3"/>
    <w:rsid w:val="00BE15CF"/>
    <w:rsid w:val="00BE1927"/>
    <w:rsid w:val="00BE1E5A"/>
    <w:rsid w:val="00BE217B"/>
    <w:rsid w:val="00BE3AAD"/>
    <w:rsid w:val="00BE3D96"/>
    <w:rsid w:val="00BE5BB1"/>
    <w:rsid w:val="00BE5DDA"/>
    <w:rsid w:val="00BE65AD"/>
    <w:rsid w:val="00BF000E"/>
    <w:rsid w:val="00BF02DF"/>
    <w:rsid w:val="00BF0AB8"/>
    <w:rsid w:val="00BF0D5B"/>
    <w:rsid w:val="00BF2D52"/>
    <w:rsid w:val="00BF3487"/>
    <w:rsid w:val="00BF40F3"/>
    <w:rsid w:val="00BF413A"/>
    <w:rsid w:val="00BF5967"/>
    <w:rsid w:val="00BF6D45"/>
    <w:rsid w:val="00BF7CFC"/>
    <w:rsid w:val="00C001D3"/>
    <w:rsid w:val="00C0021F"/>
    <w:rsid w:val="00C0073A"/>
    <w:rsid w:val="00C0149E"/>
    <w:rsid w:val="00C0167D"/>
    <w:rsid w:val="00C01EFE"/>
    <w:rsid w:val="00C0283C"/>
    <w:rsid w:val="00C0302D"/>
    <w:rsid w:val="00C0429A"/>
    <w:rsid w:val="00C044F9"/>
    <w:rsid w:val="00C05242"/>
    <w:rsid w:val="00C05284"/>
    <w:rsid w:val="00C0572B"/>
    <w:rsid w:val="00C061A8"/>
    <w:rsid w:val="00C0628F"/>
    <w:rsid w:val="00C067D4"/>
    <w:rsid w:val="00C06EB3"/>
    <w:rsid w:val="00C10932"/>
    <w:rsid w:val="00C10B26"/>
    <w:rsid w:val="00C10CF2"/>
    <w:rsid w:val="00C11A2D"/>
    <w:rsid w:val="00C11C9D"/>
    <w:rsid w:val="00C11D59"/>
    <w:rsid w:val="00C13D66"/>
    <w:rsid w:val="00C15046"/>
    <w:rsid w:val="00C16949"/>
    <w:rsid w:val="00C16E53"/>
    <w:rsid w:val="00C17F3C"/>
    <w:rsid w:val="00C20415"/>
    <w:rsid w:val="00C23F1F"/>
    <w:rsid w:val="00C305AC"/>
    <w:rsid w:val="00C30C00"/>
    <w:rsid w:val="00C30EA2"/>
    <w:rsid w:val="00C31122"/>
    <w:rsid w:val="00C318E6"/>
    <w:rsid w:val="00C321EC"/>
    <w:rsid w:val="00C32A25"/>
    <w:rsid w:val="00C33472"/>
    <w:rsid w:val="00C3378C"/>
    <w:rsid w:val="00C34E0E"/>
    <w:rsid w:val="00C35D35"/>
    <w:rsid w:val="00C35F6D"/>
    <w:rsid w:val="00C36474"/>
    <w:rsid w:val="00C401BB"/>
    <w:rsid w:val="00C421F9"/>
    <w:rsid w:val="00C42A91"/>
    <w:rsid w:val="00C42E32"/>
    <w:rsid w:val="00C4360E"/>
    <w:rsid w:val="00C44C5E"/>
    <w:rsid w:val="00C45C0C"/>
    <w:rsid w:val="00C45C95"/>
    <w:rsid w:val="00C45EE9"/>
    <w:rsid w:val="00C46F53"/>
    <w:rsid w:val="00C507A9"/>
    <w:rsid w:val="00C50A17"/>
    <w:rsid w:val="00C50DED"/>
    <w:rsid w:val="00C5125A"/>
    <w:rsid w:val="00C527C9"/>
    <w:rsid w:val="00C52BB9"/>
    <w:rsid w:val="00C52DFC"/>
    <w:rsid w:val="00C53F5B"/>
    <w:rsid w:val="00C54ADE"/>
    <w:rsid w:val="00C5525C"/>
    <w:rsid w:val="00C553CC"/>
    <w:rsid w:val="00C55D62"/>
    <w:rsid w:val="00C56A72"/>
    <w:rsid w:val="00C56F6C"/>
    <w:rsid w:val="00C5725C"/>
    <w:rsid w:val="00C57965"/>
    <w:rsid w:val="00C57C07"/>
    <w:rsid w:val="00C60491"/>
    <w:rsid w:val="00C61498"/>
    <w:rsid w:val="00C6175D"/>
    <w:rsid w:val="00C62389"/>
    <w:rsid w:val="00C630AE"/>
    <w:rsid w:val="00C63273"/>
    <w:rsid w:val="00C64334"/>
    <w:rsid w:val="00C644C8"/>
    <w:rsid w:val="00C64A13"/>
    <w:rsid w:val="00C650C4"/>
    <w:rsid w:val="00C652DE"/>
    <w:rsid w:val="00C65354"/>
    <w:rsid w:val="00C65728"/>
    <w:rsid w:val="00C66058"/>
    <w:rsid w:val="00C66593"/>
    <w:rsid w:val="00C667D4"/>
    <w:rsid w:val="00C668A3"/>
    <w:rsid w:val="00C672F8"/>
    <w:rsid w:val="00C704BD"/>
    <w:rsid w:val="00C708AB"/>
    <w:rsid w:val="00C70C16"/>
    <w:rsid w:val="00C72B54"/>
    <w:rsid w:val="00C72C27"/>
    <w:rsid w:val="00C7315D"/>
    <w:rsid w:val="00C73C9D"/>
    <w:rsid w:val="00C744D0"/>
    <w:rsid w:val="00C74A67"/>
    <w:rsid w:val="00C75739"/>
    <w:rsid w:val="00C75C47"/>
    <w:rsid w:val="00C77CEF"/>
    <w:rsid w:val="00C77EFC"/>
    <w:rsid w:val="00C80FA3"/>
    <w:rsid w:val="00C81201"/>
    <w:rsid w:val="00C81AEA"/>
    <w:rsid w:val="00C81D9D"/>
    <w:rsid w:val="00C83FBD"/>
    <w:rsid w:val="00C84797"/>
    <w:rsid w:val="00C85920"/>
    <w:rsid w:val="00C86091"/>
    <w:rsid w:val="00C87E4F"/>
    <w:rsid w:val="00C901CC"/>
    <w:rsid w:val="00C901DE"/>
    <w:rsid w:val="00C91102"/>
    <w:rsid w:val="00C92D96"/>
    <w:rsid w:val="00C9313A"/>
    <w:rsid w:val="00C944A8"/>
    <w:rsid w:val="00C96373"/>
    <w:rsid w:val="00C96872"/>
    <w:rsid w:val="00C96C36"/>
    <w:rsid w:val="00C96E66"/>
    <w:rsid w:val="00C97A23"/>
    <w:rsid w:val="00CA0A38"/>
    <w:rsid w:val="00CA0BCB"/>
    <w:rsid w:val="00CA1C1B"/>
    <w:rsid w:val="00CA2142"/>
    <w:rsid w:val="00CA2EF4"/>
    <w:rsid w:val="00CA33BF"/>
    <w:rsid w:val="00CA4594"/>
    <w:rsid w:val="00CA5D03"/>
    <w:rsid w:val="00CA6893"/>
    <w:rsid w:val="00CA742E"/>
    <w:rsid w:val="00CB0BE1"/>
    <w:rsid w:val="00CB0F00"/>
    <w:rsid w:val="00CB0F30"/>
    <w:rsid w:val="00CB12A1"/>
    <w:rsid w:val="00CB17F7"/>
    <w:rsid w:val="00CB3015"/>
    <w:rsid w:val="00CB4705"/>
    <w:rsid w:val="00CB5221"/>
    <w:rsid w:val="00CB54C2"/>
    <w:rsid w:val="00CB6FE3"/>
    <w:rsid w:val="00CB7380"/>
    <w:rsid w:val="00CB7536"/>
    <w:rsid w:val="00CB7602"/>
    <w:rsid w:val="00CB7CDB"/>
    <w:rsid w:val="00CC0DD0"/>
    <w:rsid w:val="00CC2C7E"/>
    <w:rsid w:val="00CC31AC"/>
    <w:rsid w:val="00CC45FB"/>
    <w:rsid w:val="00CC5149"/>
    <w:rsid w:val="00CC6638"/>
    <w:rsid w:val="00CC798F"/>
    <w:rsid w:val="00CD1A65"/>
    <w:rsid w:val="00CD2194"/>
    <w:rsid w:val="00CD25AB"/>
    <w:rsid w:val="00CD2BD0"/>
    <w:rsid w:val="00CD3072"/>
    <w:rsid w:val="00CD533C"/>
    <w:rsid w:val="00CD57AA"/>
    <w:rsid w:val="00CD6833"/>
    <w:rsid w:val="00CD69B3"/>
    <w:rsid w:val="00CD6D7A"/>
    <w:rsid w:val="00CD793E"/>
    <w:rsid w:val="00CD7F79"/>
    <w:rsid w:val="00CE1404"/>
    <w:rsid w:val="00CE1F85"/>
    <w:rsid w:val="00CE22DF"/>
    <w:rsid w:val="00CE3E2C"/>
    <w:rsid w:val="00CE3E95"/>
    <w:rsid w:val="00CE47C9"/>
    <w:rsid w:val="00CE5D41"/>
    <w:rsid w:val="00CE63C9"/>
    <w:rsid w:val="00CE6656"/>
    <w:rsid w:val="00CE7D53"/>
    <w:rsid w:val="00CE7E9B"/>
    <w:rsid w:val="00CF0193"/>
    <w:rsid w:val="00CF0A6C"/>
    <w:rsid w:val="00CF1C1E"/>
    <w:rsid w:val="00CF353C"/>
    <w:rsid w:val="00CF412E"/>
    <w:rsid w:val="00CF421A"/>
    <w:rsid w:val="00CF4290"/>
    <w:rsid w:val="00CF44DF"/>
    <w:rsid w:val="00CF4A8F"/>
    <w:rsid w:val="00CF5C5C"/>
    <w:rsid w:val="00CF60B4"/>
    <w:rsid w:val="00CF60F4"/>
    <w:rsid w:val="00D007D8"/>
    <w:rsid w:val="00D0104E"/>
    <w:rsid w:val="00D0187B"/>
    <w:rsid w:val="00D01A99"/>
    <w:rsid w:val="00D038FF"/>
    <w:rsid w:val="00D04239"/>
    <w:rsid w:val="00D05611"/>
    <w:rsid w:val="00D0572E"/>
    <w:rsid w:val="00D05989"/>
    <w:rsid w:val="00D05F10"/>
    <w:rsid w:val="00D060C2"/>
    <w:rsid w:val="00D060F9"/>
    <w:rsid w:val="00D06BC3"/>
    <w:rsid w:val="00D06DFC"/>
    <w:rsid w:val="00D10016"/>
    <w:rsid w:val="00D1052E"/>
    <w:rsid w:val="00D10F40"/>
    <w:rsid w:val="00D118A8"/>
    <w:rsid w:val="00D1196B"/>
    <w:rsid w:val="00D12151"/>
    <w:rsid w:val="00D123A9"/>
    <w:rsid w:val="00D12964"/>
    <w:rsid w:val="00D12BA7"/>
    <w:rsid w:val="00D132E0"/>
    <w:rsid w:val="00D147BE"/>
    <w:rsid w:val="00D14991"/>
    <w:rsid w:val="00D15EC8"/>
    <w:rsid w:val="00D1675E"/>
    <w:rsid w:val="00D1695A"/>
    <w:rsid w:val="00D200D6"/>
    <w:rsid w:val="00D20C49"/>
    <w:rsid w:val="00D21070"/>
    <w:rsid w:val="00D2389B"/>
    <w:rsid w:val="00D2487A"/>
    <w:rsid w:val="00D25553"/>
    <w:rsid w:val="00D25F4A"/>
    <w:rsid w:val="00D26635"/>
    <w:rsid w:val="00D26B54"/>
    <w:rsid w:val="00D26B6D"/>
    <w:rsid w:val="00D26C39"/>
    <w:rsid w:val="00D274C9"/>
    <w:rsid w:val="00D31189"/>
    <w:rsid w:val="00D31532"/>
    <w:rsid w:val="00D33BF3"/>
    <w:rsid w:val="00D34586"/>
    <w:rsid w:val="00D35150"/>
    <w:rsid w:val="00D35C9D"/>
    <w:rsid w:val="00D35CC4"/>
    <w:rsid w:val="00D371FD"/>
    <w:rsid w:val="00D403D1"/>
    <w:rsid w:val="00D40B8C"/>
    <w:rsid w:val="00D417B2"/>
    <w:rsid w:val="00D41BB3"/>
    <w:rsid w:val="00D43FF4"/>
    <w:rsid w:val="00D447F3"/>
    <w:rsid w:val="00D45FB1"/>
    <w:rsid w:val="00D46AF0"/>
    <w:rsid w:val="00D47CC8"/>
    <w:rsid w:val="00D5005A"/>
    <w:rsid w:val="00D50A79"/>
    <w:rsid w:val="00D50BB5"/>
    <w:rsid w:val="00D52C62"/>
    <w:rsid w:val="00D53C38"/>
    <w:rsid w:val="00D53C46"/>
    <w:rsid w:val="00D54414"/>
    <w:rsid w:val="00D55196"/>
    <w:rsid w:val="00D557DA"/>
    <w:rsid w:val="00D5787A"/>
    <w:rsid w:val="00D6082D"/>
    <w:rsid w:val="00D60C0E"/>
    <w:rsid w:val="00D6101D"/>
    <w:rsid w:val="00D6113B"/>
    <w:rsid w:val="00D6143E"/>
    <w:rsid w:val="00D620E3"/>
    <w:rsid w:val="00D63473"/>
    <w:rsid w:val="00D635F8"/>
    <w:rsid w:val="00D63BBA"/>
    <w:rsid w:val="00D6514E"/>
    <w:rsid w:val="00D65BA2"/>
    <w:rsid w:val="00D65BEC"/>
    <w:rsid w:val="00D65D79"/>
    <w:rsid w:val="00D65EA6"/>
    <w:rsid w:val="00D662D6"/>
    <w:rsid w:val="00D666F9"/>
    <w:rsid w:val="00D667CD"/>
    <w:rsid w:val="00D669D4"/>
    <w:rsid w:val="00D66FBB"/>
    <w:rsid w:val="00D672F3"/>
    <w:rsid w:val="00D67DC9"/>
    <w:rsid w:val="00D70837"/>
    <w:rsid w:val="00D710F9"/>
    <w:rsid w:val="00D72117"/>
    <w:rsid w:val="00D722A5"/>
    <w:rsid w:val="00D7234C"/>
    <w:rsid w:val="00D72BC2"/>
    <w:rsid w:val="00D73F2E"/>
    <w:rsid w:val="00D750CC"/>
    <w:rsid w:val="00D80866"/>
    <w:rsid w:val="00D82797"/>
    <w:rsid w:val="00D83094"/>
    <w:rsid w:val="00D838EB"/>
    <w:rsid w:val="00D83BB9"/>
    <w:rsid w:val="00D85BBB"/>
    <w:rsid w:val="00D85EF5"/>
    <w:rsid w:val="00D874F1"/>
    <w:rsid w:val="00D8780E"/>
    <w:rsid w:val="00D87C36"/>
    <w:rsid w:val="00D87E92"/>
    <w:rsid w:val="00D900EE"/>
    <w:rsid w:val="00D90182"/>
    <w:rsid w:val="00D910EB"/>
    <w:rsid w:val="00D91167"/>
    <w:rsid w:val="00D91962"/>
    <w:rsid w:val="00D9287A"/>
    <w:rsid w:val="00D930D6"/>
    <w:rsid w:val="00D93947"/>
    <w:rsid w:val="00D9572C"/>
    <w:rsid w:val="00D960F8"/>
    <w:rsid w:val="00D961E6"/>
    <w:rsid w:val="00D96B0C"/>
    <w:rsid w:val="00D96CE7"/>
    <w:rsid w:val="00D970CD"/>
    <w:rsid w:val="00D97200"/>
    <w:rsid w:val="00D974F5"/>
    <w:rsid w:val="00D97E65"/>
    <w:rsid w:val="00DA05A5"/>
    <w:rsid w:val="00DA0AD2"/>
    <w:rsid w:val="00DA1812"/>
    <w:rsid w:val="00DA35EF"/>
    <w:rsid w:val="00DA4F06"/>
    <w:rsid w:val="00DA63E8"/>
    <w:rsid w:val="00DA695E"/>
    <w:rsid w:val="00DB0480"/>
    <w:rsid w:val="00DB0902"/>
    <w:rsid w:val="00DB1241"/>
    <w:rsid w:val="00DB2DC9"/>
    <w:rsid w:val="00DB4197"/>
    <w:rsid w:val="00DB443D"/>
    <w:rsid w:val="00DB51F1"/>
    <w:rsid w:val="00DB56A3"/>
    <w:rsid w:val="00DB5D71"/>
    <w:rsid w:val="00DC02B6"/>
    <w:rsid w:val="00DC0498"/>
    <w:rsid w:val="00DC0833"/>
    <w:rsid w:val="00DC2429"/>
    <w:rsid w:val="00DC27EB"/>
    <w:rsid w:val="00DC31A1"/>
    <w:rsid w:val="00DC32ED"/>
    <w:rsid w:val="00DC572C"/>
    <w:rsid w:val="00DC5F86"/>
    <w:rsid w:val="00DC6305"/>
    <w:rsid w:val="00DC7AE3"/>
    <w:rsid w:val="00DC7DA0"/>
    <w:rsid w:val="00DD0C23"/>
    <w:rsid w:val="00DD27BB"/>
    <w:rsid w:val="00DD383F"/>
    <w:rsid w:val="00DD4075"/>
    <w:rsid w:val="00DD4FB9"/>
    <w:rsid w:val="00DD78B4"/>
    <w:rsid w:val="00DE1A3B"/>
    <w:rsid w:val="00DE1A7C"/>
    <w:rsid w:val="00DE21FB"/>
    <w:rsid w:val="00DE2A6C"/>
    <w:rsid w:val="00DE2AF8"/>
    <w:rsid w:val="00DE3481"/>
    <w:rsid w:val="00DE3FC9"/>
    <w:rsid w:val="00DE42A0"/>
    <w:rsid w:val="00DE4D72"/>
    <w:rsid w:val="00DE5099"/>
    <w:rsid w:val="00DE51EF"/>
    <w:rsid w:val="00DE5BEC"/>
    <w:rsid w:val="00DE68EB"/>
    <w:rsid w:val="00DE7234"/>
    <w:rsid w:val="00DE7659"/>
    <w:rsid w:val="00DE7AA1"/>
    <w:rsid w:val="00DE7BFA"/>
    <w:rsid w:val="00DF0E86"/>
    <w:rsid w:val="00DF1D1C"/>
    <w:rsid w:val="00DF1EC8"/>
    <w:rsid w:val="00DF2196"/>
    <w:rsid w:val="00DF21AF"/>
    <w:rsid w:val="00DF2B43"/>
    <w:rsid w:val="00DF31D4"/>
    <w:rsid w:val="00DF37E9"/>
    <w:rsid w:val="00DF3AE5"/>
    <w:rsid w:val="00DF3B77"/>
    <w:rsid w:val="00DF4012"/>
    <w:rsid w:val="00DF61D8"/>
    <w:rsid w:val="00DF6F3D"/>
    <w:rsid w:val="00E00849"/>
    <w:rsid w:val="00E00C4A"/>
    <w:rsid w:val="00E02364"/>
    <w:rsid w:val="00E029D1"/>
    <w:rsid w:val="00E02EDA"/>
    <w:rsid w:val="00E03E96"/>
    <w:rsid w:val="00E04062"/>
    <w:rsid w:val="00E04187"/>
    <w:rsid w:val="00E053FE"/>
    <w:rsid w:val="00E054B9"/>
    <w:rsid w:val="00E05B85"/>
    <w:rsid w:val="00E05F6B"/>
    <w:rsid w:val="00E068B8"/>
    <w:rsid w:val="00E07375"/>
    <w:rsid w:val="00E10075"/>
    <w:rsid w:val="00E10D5E"/>
    <w:rsid w:val="00E115D3"/>
    <w:rsid w:val="00E11D48"/>
    <w:rsid w:val="00E12260"/>
    <w:rsid w:val="00E125EC"/>
    <w:rsid w:val="00E1267F"/>
    <w:rsid w:val="00E143EF"/>
    <w:rsid w:val="00E1562E"/>
    <w:rsid w:val="00E1600A"/>
    <w:rsid w:val="00E160EB"/>
    <w:rsid w:val="00E16E81"/>
    <w:rsid w:val="00E175DB"/>
    <w:rsid w:val="00E176E7"/>
    <w:rsid w:val="00E1782D"/>
    <w:rsid w:val="00E17C05"/>
    <w:rsid w:val="00E213E8"/>
    <w:rsid w:val="00E21F03"/>
    <w:rsid w:val="00E228EC"/>
    <w:rsid w:val="00E2517A"/>
    <w:rsid w:val="00E257F6"/>
    <w:rsid w:val="00E2619C"/>
    <w:rsid w:val="00E27D77"/>
    <w:rsid w:val="00E3059A"/>
    <w:rsid w:val="00E321DB"/>
    <w:rsid w:val="00E32E94"/>
    <w:rsid w:val="00E33F21"/>
    <w:rsid w:val="00E34A30"/>
    <w:rsid w:val="00E36225"/>
    <w:rsid w:val="00E36510"/>
    <w:rsid w:val="00E37616"/>
    <w:rsid w:val="00E37C07"/>
    <w:rsid w:val="00E406BA"/>
    <w:rsid w:val="00E40E49"/>
    <w:rsid w:val="00E42669"/>
    <w:rsid w:val="00E438E5"/>
    <w:rsid w:val="00E43C0E"/>
    <w:rsid w:val="00E44719"/>
    <w:rsid w:val="00E44C6C"/>
    <w:rsid w:val="00E4501F"/>
    <w:rsid w:val="00E45F7A"/>
    <w:rsid w:val="00E469C3"/>
    <w:rsid w:val="00E50275"/>
    <w:rsid w:val="00E50623"/>
    <w:rsid w:val="00E50A1E"/>
    <w:rsid w:val="00E50B77"/>
    <w:rsid w:val="00E52C7F"/>
    <w:rsid w:val="00E55357"/>
    <w:rsid w:val="00E55830"/>
    <w:rsid w:val="00E55D6F"/>
    <w:rsid w:val="00E57F12"/>
    <w:rsid w:val="00E60A04"/>
    <w:rsid w:val="00E610EB"/>
    <w:rsid w:val="00E62272"/>
    <w:rsid w:val="00E62857"/>
    <w:rsid w:val="00E63794"/>
    <w:rsid w:val="00E63A26"/>
    <w:rsid w:val="00E63AD9"/>
    <w:rsid w:val="00E642E3"/>
    <w:rsid w:val="00E64607"/>
    <w:rsid w:val="00E6637B"/>
    <w:rsid w:val="00E66B40"/>
    <w:rsid w:val="00E672E6"/>
    <w:rsid w:val="00E67595"/>
    <w:rsid w:val="00E676B7"/>
    <w:rsid w:val="00E677AD"/>
    <w:rsid w:val="00E678C5"/>
    <w:rsid w:val="00E7005E"/>
    <w:rsid w:val="00E703E9"/>
    <w:rsid w:val="00E70E65"/>
    <w:rsid w:val="00E70E87"/>
    <w:rsid w:val="00E7104F"/>
    <w:rsid w:val="00E730FB"/>
    <w:rsid w:val="00E77AF7"/>
    <w:rsid w:val="00E77D7A"/>
    <w:rsid w:val="00E80F91"/>
    <w:rsid w:val="00E815A6"/>
    <w:rsid w:val="00E824A8"/>
    <w:rsid w:val="00E82A45"/>
    <w:rsid w:val="00E82F7C"/>
    <w:rsid w:val="00E83777"/>
    <w:rsid w:val="00E84106"/>
    <w:rsid w:val="00E846F6"/>
    <w:rsid w:val="00E8501A"/>
    <w:rsid w:val="00E86491"/>
    <w:rsid w:val="00E86C51"/>
    <w:rsid w:val="00E87DD0"/>
    <w:rsid w:val="00E912F1"/>
    <w:rsid w:val="00E9203E"/>
    <w:rsid w:val="00E92ABF"/>
    <w:rsid w:val="00E92C06"/>
    <w:rsid w:val="00E9313A"/>
    <w:rsid w:val="00E956C5"/>
    <w:rsid w:val="00E95D75"/>
    <w:rsid w:val="00E95D85"/>
    <w:rsid w:val="00E95F2E"/>
    <w:rsid w:val="00E97154"/>
    <w:rsid w:val="00E97DAA"/>
    <w:rsid w:val="00EA047F"/>
    <w:rsid w:val="00EA0F1A"/>
    <w:rsid w:val="00EA267C"/>
    <w:rsid w:val="00EA2DAA"/>
    <w:rsid w:val="00EA3AD7"/>
    <w:rsid w:val="00EA7873"/>
    <w:rsid w:val="00EA7A7C"/>
    <w:rsid w:val="00EA7D9D"/>
    <w:rsid w:val="00EB027F"/>
    <w:rsid w:val="00EB0809"/>
    <w:rsid w:val="00EB09D8"/>
    <w:rsid w:val="00EB0C95"/>
    <w:rsid w:val="00EB0FAA"/>
    <w:rsid w:val="00EB2D11"/>
    <w:rsid w:val="00EB30EA"/>
    <w:rsid w:val="00EB5127"/>
    <w:rsid w:val="00EB53B4"/>
    <w:rsid w:val="00EB579A"/>
    <w:rsid w:val="00EB5851"/>
    <w:rsid w:val="00EB5F11"/>
    <w:rsid w:val="00EB6BBA"/>
    <w:rsid w:val="00EB7BEC"/>
    <w:rsid w:val="00EC014E"/>
    <w:rsid w:val="00EC09DC"/>
    <w:rsid w:val="00EC0C9D"/>
    <w:rsid w:val="00EC1D84"/>
    <w:rsid w:val="00EC1E53"/>
    <w:rsid w:val="00EC45E9"/>
    <w:rsid w:val="00EC4F34"/>
    <w:rsid w:val="00EC5004"/>
    <w:rsid w:val="00EC6307"/>
    <w:rsid w:val="00EC69FE"/>
    <w:rsid w:val="00EC6A22"/>
    <w:rsid w:val="00ED0657"/>
    <w:rsid w:val="00ED075C"/>
    <w:rsid w:val="00ED0792"/>
    <w:rsid w:val="00ED12AC"/>
    <w:rsid w:val="00ED1C56"/>
    <w:rsid w:val="00ED203D"/>
    <w:rsid w:val="00ED2B8F"/>
    <w:rsid w:val="00ED3FEC"/>
    <w:rsid w:val="00ED4CF7"/>
    <w:rsid w:val="00ED50E1"/>
    <w:rsid w:val="00ED620C"/>
    <w:rsid w:val="00ED6765"/>
    <w:rsid w:val="00ED6E4D"/>
    <w:rsid w:val="00EE03FE"/>
    <w:rsid w:val="00EE2228"/>
    <w:rsid w:val="00EE26DD"/>
    <w:rsid w:val="00EE27DC"/>
    <w:rsid w:val="00EE3297"/>
    <w:rsid w:val="00EE3DD9"/>
    <w:rsid w:val="00EE51DC"/>
    <w:rsid w:val="00EE5C16"/>
    <w:rsid w:val="00EE6E30"/>
    <w:rsid w:val="00EE72AC"/>
    <w:rsid w:val="00EE74F2"/>
    <w:rsid w:val="00EE770B"/>
    <w:rsid w:val="00EE7C91"/>
    <w:rsid w:val="00EE7D12"/>
    <w:rsid w:val="00EF05B9"/>
    <w:rsid w:val="00EF1207"/>
    <w:rsid w:val="00EF14CE"/>
    <w:rsid w:val="00EF313D"/>
    <w:rsid w:val="00EF3E13"/>
    <w:rsid w:val="00EF4832"/>
    <w:rsid w:val="00EF4ABF"/>
    <w:rsid w:val="00EF5343"/>
    <w:rsid w:val="00EF54EA"/>
    <w:rsid w:val="00EF5B85"/>
    <w:rsid w:val="00EF680E"/>
    <w:rsid w:val="00EF68B4"/>
    <w:rsid w:val="00EF7563"/>
    <w:rsid w:val="00F00315"/>
    <w:rsid w:val="00F009A7"/>
    <w:rsid w:val="00F01C9C"/>
    <w:rsid w:val="00F02053"/>
    <w:rsid w:val="00F02665"/>
    <w:rsid w:val="00F05342"/>
    <w:rsid w:val="00F063B3"/>
    <w:rsid w:val="00F070B8"/>
    <w:rsid w:val="00F07BB2"/>
    <w:rsid w:val="00F102D0"/>
    <w:rsid w:val="00F106FA"/>
    <w:rsid w:val="00F1093D"/>
    <w:rsid w:val="00F112EA"/>
    <w:rsid w:val="00F11760"/>
    <w:rsid w:val="00F11769"/>
    <w:rsid w:val="00F11EAA"/>
    <w:rsid w:val="00F12BF5"/>
    <w:rsid w:val="00F12EA2"/>
    <w:rsid w:val="00F153AF"/>
    <w:rsid w:val="00F15665"/>
    <w:rsid w:val="00F17F64"/>
    <w:rsid w:val="00F20C30"/>
    <w:rsid w:val="00F21380"/>
    <w:rsid w:val="00F21B34"/>
    <w:rsid w:val="00F22562"/>
    <w:rsid w:val="00F2263C"/>
    <w:rsid w:val="00F229A9"/>
    <w:rsid w:val="00F24404"/>
    <w:rsid w:val="00F258CF"/>
    <w:rsid w:val="00F25ACC"/>
    <w:rsid w:val="00F2646D"/>
    <w:rsid w:val="00F26C63"/>
    <w:rsid w:val="00F26D72"/>
    <w:rsid w:val="00F27E4E"/>
    <w:rsid w:val="00F3110C"/>
    <w:rsid w:val="00F3120D"/>
    <w:rsid w:val="00F3120F"/>
    <w:rsid w:val="00F316B8"/>
    <w:rsid w:val="00F32288"/>
    <w:rsid w:val="00F32609"/>
    <w:rsid w:val="00F3283D"/>
    <w:rsid w:val="00F32E27"/>
    <w:rsid w:val="00F33F31"/>
    <w:rsid w:val="00F344E8"/>
    <w:rsid w:val="00F353B2"/>
    <w:rsid w:val="00F35CA8"/>
    <w:rsid w:val="00F36272"/>
    <w:rsid w:val="00F3741F"/>
    <w:rsid w:val="00F37456"/>
    <w:rsid w:val="00F3753C"/>
    <w:rsid w:val="00F375FE"/>
    <w:rsid w:val="00F37B09"/>
    <w:rsid w:val="00F40652"/>
    <w:rsid w:val="00F40C9B"/>
    <w:rsid w:val="00F4120F"/>
    <w:rsid w:val="00F414BE"/>
    <w:rsid w:val="00F41671"/>
    <w:rsid w:val="00F428BB"/>
    <w:rsid w:val="00F42FBF"/>
    <w:rsid w:val="00F43C03"/>
    <w:rsid w:val="00F45197"/>
    <w:rsid w:val="00F46250"/>
    <w:rsid w:val="00F47095"/>
    <w:rsid w:val="00F471D2"/>
    <w:rsid w:val="00F4749B"/>
    <w:rsid w:val="00F5088E"/>
    <w:rsid w:val="00F50F46"/>
    <w:rsid w:val="00F512C0"/>
    <w:rsid w:val="00F52E95"/>
    <w:rsid w:val="00F53109"/>
    <w:rsid w:val="00F538A2"/>
    <w:rsid w:val="00F56106"/>
    <w:rsid w:val="00F56462"/>
    <w:rsid w:val="00F56B08"/>
    <w:rsid w:val="00F5752A"/>
    <w:rsid w:val="00F600FC"/>
    <w:rsid w:val="00F60860"/>
    <w:rsid w:val="00F61199"/>
    <w:rsid w:val="00F6183D"/>
    <w:rsid w:val="00F620D6"/>
    <w:rsid w:val="00F63629"/>
    <w:rsid w:val="00F6464D"/>
    <w:rsid w:val="00F6471D"/>
    <w:rsid w:val="00F6539B"/>
    <w:rsid w:val="00F65975"/>
    <w:rsid w:val="00F65A61"/>
    <w:rsid w:val="00F65A7C"/>
    <w:rsid w:val="00F665FA"/>
    <w:rsid w:val="00F67380"/>
    <w:rsid w:val="00F7027C"/>
    <w:rsid w:val="00F703F3"/>
    <w:rsid w:val="00F71253"/>
    <w:rsid w:val="00F71588"/>
    <w:rsid w:val="00F71AB1"/>
    <w:rsid w:val="00F720F6"/>
    <w:rsid w:val="00F724DC"/>
    <w:rsid w:val="00F72FE6"/>
    <w:rsid w:val="00F7487C"/>
    <w:rsid w:val="00F74E79"/>
    <w:rsid w:val="00F774D5"/>
    <w:rsid w:val="00F775BF"/>
    <w:rsid w:val="00F77728"/>
    <w:rsid w:val="00F779B4"/>
    <w:rsid w:val="00F77D7A"/>
    <w:rsid w:val="00F80EFD"/>
    <w:rsid w:val="00F81F25"/>
    <w:rsid w:val="00F82546"/>
    <w:rsid w:val="00F83E65"/>
    <w:rsid w:val="00F860E8"/>
    <w:rsid w:val="00F862BA"/>
    <w:rsid w:val="00F87EFB"/>
    <w:rsid w:val="00F902C3"/>
    <w:rsid w:val="00F90568"/>
    <w:rsid w:val="00F91019"/>
    <w:rsid w:val="00F91322"/>
    <w:rsid w:val="00F9159C"/>
    <w:rsid w:val="00F915E9"/>
    <w:rsid w:val="00F91B75"/>
    <w:rsid w:val="00F92277"/>
    <w:rsid w:val="00F939BD"/>
    <w:rsid w:val="00F93C38"/>
    <w:rsid w:val="00F93C8C"/>
    <w:rsid w:val="00F948E7"/>
    <w:rsid w:val="00F95DCF"/>
    <w:rsid w:val="00F95EFE"/>
    <w:rsid w:val="00F962F7"/>
    <w:rsid w:val="00F9645B"/>
    <w:rsid w:val="00F966A6"/>
    <w:rsid w:val="00F970CA"/>
    <w:rsid w:val="00F9741F"/>
    <w:rsid w:val="00F97D9E"/>
    <w:rsid w:val="00FA0061"/>
    <w:rsid w:val="00FA0BE1"/>
    <w:rsid w:val="00FA18A0"/>
    <w:rsid w:val="00FA19CC"/>
    <w:rsid w:val="00FA1EC9"/>
    <w:rsid w:val="00FA238F"/>
    <w:rsid w:val="00FA2DE5"/>
    <w:rsid w:val="00FA33D6"/>
    <w:rsid w:val="00FA3418"/>
    <w:rsid w:val="00FA3464"/>
    <w:rsid w:val="00FA4C78"/>
    <w:rsid w:val="00FA5C39"/>
    <w:rsid w:val="00FA71D4"/>
    <w:rsid w:val="00FA766D"/>
    <w:rsid w:val="00FA7A86"/>
    <w:rsid w:val="00FB0061"/>
    <w:rsid w:val="00FB0669"/>
    <w:rsid w:val="00FB1193"/>
    <w:rsid w:val="00FB2B8C"/>
    <w:rsid w:val="00FB2C4E"/>
    <w:rsid w:val="00FB42E6"/>
    <w:rsid w:val="00FB53A1"/>
    <w:rsid w:val="00FB567E"/>
    <w:rsid w:val="00FB5B2C"/>
    <w:rsid w:val="00FB6466"/>
    <w:rsid w:val="00FB6A5E"/>
    <w:rsid w:val="00FC01AE"/>
    <w:rsid w:val="00FC0B0B"/>
    <w:rsid w:val="00FC1185"/>
    <w:rsid w:val="00FC1804"/>
    <w:rsid w:val="00FC1E37"/>
    <w:rsid w:val="00FC2A5B"/>
    <w:rsid w:val="00FC38E8"/>
    <w:rsid w:val="00FC42B6"/>
    <w:rsid w:val="00FC47BE"/>
    <w:rsid w:val="00FC49BE"/>
    <w:rsid w:val="00FC4C27"/>
    <w:rsid w:val="00FC5C8F"/>
    <w:rsid w:val="00FC7CAC"/>
    <w:rsid w:val="00FC7E88"/>
    <w:rsid w:val="00FD274A"/>
    <w:rsid w:val="00FD2960"/>
    <w:rsid w:val="00FD2AF9"/>
    <w:rsid w:val="00FD321E"/>
    <w:rsid w:val="00FD3E27"/>
    <w:rsid w:val="00FD3FA7"/>
    <w:rsid w:val="00FD48B3"/>
    <w:rsid w:val="00FD56F8"/>
    <w:rsid w:val="00FD575B"/>
    <w:rsid w:val="00FD6F56"/>
    <w:rsid w:val="00FD7A77"/>
    <w:rsid w:val="00FE0632"/>
    <w:rsid w:val="00FE0712"/>
    <w:rsid w:val="00FE146F"/>
    <w:rsid w:val="00FE193A"/>
    <w:rsid w:val="00FE3843"/>
    <w:rsid w:val="00FE3C16"/>
    <w:rsid w:val="00FE4DC9"/>
    <w:rsid w:val="00FE500D"/>
    <w:rsid w:val="00FE563B"/>
    <w:rsid w:val="00FE56BA"/>
    <w:rsid w:val="00FE61AE"/>
    <w:rsid w:val="00FE6270"/>
    <w:rsid w:val="00FE644D"/>
    <w:rsid w:val="00FE7D83"/>
    <w:rsid w:val="00FF0832"/>
    <w:rsid w:val="00FF12EF"/>
    <w:rsid w:val="00FF3890"/>
    <w:rsid w:val="00FF41CF"/>
    <w:rsid w:val="00FF4B67"/>
    <w:rsid w:val="00FF5506"/>
    <w:rsid w:val="00FF5703"/>
    <w:rsid w:val="00FF5745"/>
    <w:rsid w:val="00FF57A5"/>
    <w:rsid w:val="00FF5AA6"/>
    <w:rsid w:val="00FF6965"/>
    <w:rsid w:val="00FF6A89"/>
    <w:rsid w:val="00FF7B00"/>
    <w:rsid w:val="00FF7CEE"/>
    <w:rsid w:val="00FF7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3,4,5,6,7,8"/>
      <o:rules v:ext="edit">
        <o:r id="V:Rule1" type="connector" idref="#Line 358"/>
        <o:r id="V:Rule2" type="connector" idref="#Line 393"/>
        <o:r id="V:Rule3" type="connector" idref="#Line 326"/>
        <o:r id="V:Rule4" type="connector" idref="#Line 357"/>
        <o:r id="V:Rule5" type="connector" idref="#Line 355"/>
        <o:r id="V:Rule6" type="connector" idref="#Line 328"/>
        <o:r id="V:Rule7" type="connector" idref="#Line 356"/>
        <o:r id="V:Rule8" type="connector" idref="#Line 327"/>
        <o:r id="V:Rule9" type="connector" idref="#Line 354"/>
        <o:r id="V:Rule10" type="connector" idref="#Line 359"/>
        <o:r id="V:Rule11" type="connector" idref="#Line 332"/>
        <o:r id="V:Rule12" type="connector" idref="#Line 343"/>
        <o:r id="V:Rule13" type="connector" idref="#Line 360"/>
        <o:r id="V:Rule14" type="connector" idref="#Line 331"/>
        <o:r id="V:Rule15" type="connector" idref="#Line 344"/>
        <o:r id="V:Rule16" type="connector" idref="#Line 353"/>
        <o:r id="V:Rule17" type="connector" idref="#Line 380"/>
        <o:r id="V:Rule18" type="connector" idref="#Line 329"/>
        <o:r id="V:Rule19" type="connector" idref="#Line 362"/>
        <o:r id="V:Rule20" type="connector" idref="#Line 330"/>
        <o:r id="V:Rule21" type="connector" idref="#Line 373"/>
        <o:r id="V:Rule22" type="connector" idref="#Line 361"/>
        <o:r id="V:Rule23" type="connector" idref="#Line 367"/>
        <o:r id="V:Rule24" type="connector" idref="#Line 335"/>
        <o:r id="V:Rule25" type="connector" idref="#Line 346"/>
        <o:r id="V:Rule26" type="connector" idref="#Line 345"/>
        <o:r id="V:Rule27" type="connector" idref="#Line 368"/>
        <o:r id="V:Rule28" type="connector" idref="#Line 336"/>
        <o:r id="V:Rule29" type="connector" idref="#Line 347"/>
        <o:r id="V:Rule30" type="connector" idref="#Line 366"/>
        <o:r id="V:Rule31" type="connector" idref="#Line 338"/>
        <o:r id="V:Rule32" type="connector" idref="#Line 365"/>
        <o:r id="V:Rule33" type="connector" idref="#Line 337"/>
        <o:r id="V:Rule34" type="connector" idref="#Line 348"/>
        <o:r id="V:Rule35" type="connector" idref="#Line 351"/>
        <o:r id="V:Rule36" type="connector" idref="#Line 342"/>
        <o:r id="V:Rule37" type="connector" idref="#Line 370"/>
        <o:r id="V:Rule38" type="connector" idref="#Line 333"/>
        <o:r id="V:Rule39" type="connector" idref="#Line 341"/>
        <o:r id="V:Rule40" type="connector" idref="#Line 334"/>
        <o:r id="V:Rule41" type="connector" idref="#Line 369"/>
        <o:r id="V:Rule42" type="connector" idref="#Line 352"/>
        <o:r id="V:Rule43" type="connector" idref="#Line 339"/>
        <o:r id="V:Rule44" type="connector" idref="#Line 363"/>
        <o:r id="V:Rule45" type="connector" idref="#Line 371"/>
        <o:r id="V:Rule46" type="connector" idref="#Line 350"/>
        <o:r id="V:Rule47" type="connector" idref="#Line 349"/>
        <o:r id="V:Rule48" type="connector" idref="#Line 340"/>
        <o:r id="V:Rule49" type="connector" idref="#Line 364"/>
        <o:r id="V:Rule50" type="connector" idref="#Line 372"/>
      </o:rules>
    </o:shapelayout>
  </w:shapeDefaults>
  <w:decimalSymbol w:val="."/>
  <w:listSeparator w:val=","/>
  <w15:chartTrackingRefBased/>
  <w15:docId w15:val="{918433B8-768E-466C-8B59-F1E5E590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81D"/>
    <w:pPr>
      <w:spacing w:after="240"/>
      <w:jc w:val="both"/>
    </w:pPr>
    <w:rPr>
      <w:sz w:val="24"/>
      <w:lang w:eastAsia="en-US"/>
    </w:rPr>
  </w:style>
  <w:style w:type="paragraph" w:styleId="Heading1">
    <w:name w:val="heading 1"/>
    <w:basedOn w:val="Normal"/>
    <w:next w:val="Normal"/>
    <w:qFormat/>
    <w:rsid w:val="0062681D"/>
    <w:pPr>
      <w:keepNext/>
      <w:spacing w:before="360" w:line="280" w:lineRule="exact"/>
      <w:outlineLvl w:val="0"/>
    </w:pPr>
    <w:rPr>
      <w:b/>
      <w:caps/>
      <w:kern w:val="28"/>
      <w:sz w:val="28"/>
    </w:rPr>
  </w:style>
  <w:style w:type="paragraph" w:styleId="Heading2">
    <w:name w:val="heading 2"/>
    <w:basedOn w:val="Normal"/>
    <w:next w:val="Normal"/>
    <w:qFormat/>
    <w:rsid w:val="0062681D"/>
    <w:pPr>
      <w:keepNext/>
      <w:spacing w:before="240" w:after="120" w:line="280" w:lineRule="exact"/>
      <w:outlineLvl w:val="1"/>
    </w:pPr>
    <w:rPr>
      <w:b/>
    </w:rPr>
  </w:style>
  <w:style w:type="paragraph" w:styleId="Heading3">
    <w:name w:val="heading 3"/>
    <w:basedOn w:val="Normal"/>
    <w:next w:val="Normal"/>
    <w:qFormat/>
    <w:rsid w:val="0062681D"/>
    <w:pPr>
      <w:keepNext/>
      <w:spacing w:before="120" w:after="120"/>
      <w:outlineLvl w:val="2"/>
    </w:pPr>
    <w:rPr>
      <w:b/>
      <w:i/>
      <w:iCs/>
    </w:rPr>
  </w:style>
  <w:style w:type="paragraph" w:styleId="Heading4">
    <w:name w:val="heading 4"/>
    <w:basedOn w:val="Normal"/>
    <w:next w:val="Normal"/>
    <w:link w:val="Heading4Char"/>
    <w:qFormat/>
    <w:rsid w:val="0062681D"/>
    <w:pPr>
      <w:keepNext/>
      <w:outlineLvl w:val="3"/>
    </w:pPr>
    <w:rPr>
      <w:i/>
      <w:iCs/>
    </w:rPr>
  </w:style>
  <w:style w:type="paragraph" w:styleId="Heading5">
    <w:name w:val="heading 5"/>
    <w:basedOn w:val="Normal"/>
    <w:next w:val="Normal"/>
    <w:qFormat/>
    <w:rsid w:val="0062681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2681D"/>
    <w:rPr>
      <w:rFonts w:ascii="Tahoma" w:hAnsi="Tahoma"/>
      <w:sz w:val="16"/>
      <w:szCs w:val="16"/>
      <w:lang w:val="x-none"/>
    </w:rPr>
  </w:style>
  <w:style w:type="character" w:customStyle="1" w:styleId="BalloonTextChar">
    <w:name w:val="Balloon Text Char"/>
    <w:link w:val="BalloonText"/>
    <w:rsid w:val="0062681D"/>
    <w:rPr>
      <w:rFonts w:ascii="Tahoma" w:hAnsi="Tahoma" w:cs="Tahoma"/>
      <w:sz w:val="16"/>
      <w:szCs w:val="16"/>
      <w:lang w:eastAsia="en-US"/>
    </w:rPr>
  </w:style>
  <w:style w:type="character" w:styleId="CommentReference">
    <w:name w:val="annotation reference"/>
    <w:rsid w:val="0062681D"/>
    <w:rPr>
      <w:sz w:val="16"/>
      <w:szCs w:val="16"/>
    </w:rPr>
  </w:style>
  <w:style w:type="paragraph" w:styleId="CommentText">
    <w:name w:val="annotation text"/>
    <w:basedOn w:val="Normal"/>
    <w:link w:val="CommentTextChar"/>
    <w:uiPriority w:val="99"/>
    <w:rsid w:val="0062681D"/>
    <w:rPr>
      <w:sz w:val="20"/>
      <w:lang w:val="x-none"/>
    </w:rPr>
  </w:style>
  <w:style w:type="character" w:customStyle="1" w:styleId="CommentTextChar">
    <w:name w:val="Comment Text Char"/>
    <w:link w:val="CommentText"/>
    <w:uiPriority w:val="99"/>
    <w:rsid w:val="0062681D"/>
    <w:rPr>
      <w:lang w:eastAsia="en-US"/>
    </w:rPr>
  </w:style>
  <w:style w:type="paragraph" w:styleId="CommentSubject">
    <w:name w:val="annotation subject"/>
    <w:basedOn w:val="CommentText"/>
    <w:next w:val="CommentText"/>
    <w:link w:val="CommentSubjectChar"/>
    <w:rsid w:val="0062681D"/>
    <w:rPr>
      <w:b/>
      <w:bCs/>
    </w:rPr>
  </w:style>
  <w:style w:type="character" w:customStyle="1" w:styleId="CommentSubjectChar">
    <w:name w:val="Comment Subject Char"/>
    <w:link w:val="CommentSubject"/>
    <w:rsid w:val="0062681D"/>
    <w:rPr>
      <w:b/>
      <w:bCs/>
      <w:lang w:eastAsia="en-US"/>
    </w:rPr>
  </w:style>
  <w:style w:type="paragraph" w:customStyle="1" w:styleId="Figure">
    <w:name w:val="Figure"/>
    <w:basedOn w:val="Normal"/>
    <w:next w:val="Normal"/>
    <w:semiHidden/>
    <w:rsid w:val="0062681D"/>
    <w:pPr>
      <w:spacing w:before="240" w:after="360"/>
    </w:pPr>
    <w:rPr>
      <w:color w:val="000000"/>
    </w:rPr>
  </w:style>
  <w:style w:type="paragraph" w:customStyle="1" w:styleId="FigureFootnote">
    <w:name w:val="Figure Footnote"/>
    <w:basedOn w:val="Normal"/>
    <w:next w:val="Normal"/>
    <w:semiHidden/>
    <w:rsid w:val="0062681D"/>
    <w:pPr>
      <w:spacing w:before="240" w:after="360"/>
    </w:pPr>
    <w:rPr>
      <w:color w:val="000000"/>
    </w:rPr>
  </w:style>
  <w:style w:type="paragraph" w:customStyle="1" w:styleId="FigureTitle">
    <w:name w:val="Figure Title"/>
    <w:basedOn w:val="Normal"/>
    <w:next w:val="Figure"/>
    <w:semiHidden/>
    <w:rsid w:val="0062681D"/>
    <w:pPr>
      <w:keepNext/>
      <w:spacing w:before="360"/>
    </w:pPr>
    <w:rPr>
      <w:b/>
      <w:color w:val="000000"/>
    </w:rPr>
  </w:style>
  <w:style w:type="paragraph" w:styleId="Footer">
    <w:name w:val="footer"/>
    <w:basedOn w:val="Normal"/>
    <w:link w:val="FooterChar"/>
    <w:rsid w:val="0062681D"/>
    <w:pPr>
      <w:pBdr>
        <w:top w:val="single" w:sz="6" w:space="1" w:color="auto"/>
      </w:pBdr>
      <w:tabs>
        <w:tab w:val="left" w:pos="9923"/>
      </w:tabs>
      <w:spacing w:after="0" w:line="280" w:lineRule="exact"/>
      <w:jc w:val="left"/>
    </w:pPr>
    <w:rPr>
      <w:sz w:val="20"/>
      <w:lang w:val="x-none"/>
    </w:rPr>
  </w:style>
  <w:style w:type="character" w:customStyle="1" w:styleId="FooterChar">
    <w:name w:val="Footer Char"/>
    <w:link w:val="Footer"/>
    <w:rsid w:val="0062681D"/>
    <w:rPr>
      <w:lang w:eastAsia="en-US"/>
    </w:rPr>
  </w:style>
  <w:style w:type="character" w:styleId="FootnoteReference">
    <w:name w:val="footnote reference"/>
    <w:rsid w:val="0062681D"/>
    <w:rPr>
      <w:sz w:val="24"/>
      <w:vertAlign w:val="superscript"/>
    </w:rPr>
  </w:style>
  <w:style w:type="paragraph" w:styleId="Header">
    <w:name w:val="header"/>
    <w:basedOn w:val="Normal"/>
    <w:link w:val="HeaderChar"/>
    <w:rsid w:val="0062681D"/>
    <w:pPr>
      <w:tabs>
        <w:tab w:val="center" w:pos="4153"/>
        <w:tab w:val="right" w:pos="8306"/>
      </w:tabs>
    </w:pPr>
    <w:rPr>
      <w:lang w:val="x-none"/>
    </w:rPr>
  </w:style>
  <w:style w:type="character" w:customStyle="1" w:styleId="HeaderChar">
    <w:name w:val="Header Char"/>
    <w:link w:val="Header"/>
    <w:rsid w:val="0062681D"/>
    <w:rPr>
      <w:sz w:val="24"/>
      <w:lang w:eastAsia="en-US"/>
    </w:rPr>
  </w:style>
  <w:style w:type="character" w:styleId="Hyperlink">
    <w:name w:val="Hyperlink"/>
    <w:uiPriority w:val="99"/>
    <w:rsid w:val="0062681D"/>
    <w:rPr>
      <w:color w:val="auto"/>
      <w:u w:val="none"/>
    </w:rPr>
  </w:style>
  <w:style w:type="paragraph" w:styleId="ListBullet">
    <w:name w:val="List Bullet"/>
    <w:basedOn w:val="Normal"/>
    <w:rsid w:val="0062681D"/>
    <w:pPr>
      <w:numPr>
        <w:numId w:val="6"/>
      </w:numPr>
    </w:pPr>
  </w:style>
  <w:style w:type="paragraph" w:styleId="ListNumber">
    <w:name w:val="List Number"/>
    <w:basedOn w:val="Normal"/>
    <w:rsid w:val="0062681D"/>
    <w:pPr>
      <w:numPr>
        <w:numId w:val="7"/>
      </w:numPr>
    </w:pPr>
  </w:style>
  <w:style w:type="character" w:styleId="PageNumber">
    <w:name w:val="page number"/>
    <w:basedOn w:val="DefaultParagraphFont"/>
    <w:rsid w:val="0062681D"/>
  </w:style>
  <w:style w:type="paragraph" w:customStyle="1" w:styleId="PINormal">
    <w:name w:val="PI Normal"/>
    <w:basedOn w:val="Normal"/>
    <w:uiPriority w:val="6"/>
    <w:qFormat/>
    <w:rsid w:val="0062681D"/>
  </w:style>
  <w:style w:type="paragraph" w:customStyle="1" w:styleId="PIBulletList">
    <w:name w:val="PI Bullet List"/>
    <w:basedOn w:val="PINormal"/>
    <w:qFormat/>
    <w:rsid w:val="0062681D"/>
    <w:pPr>
      <w:numPr>
        <w:numId w:val="8"/>
      </w:numPr>
      <w:spacing w:before="20" w:after="20"/>
    </w:pPr>
  </w:style>
  <w:style w:type="paragraph" w:customStyle="1" w:styleId="PIFigure">
    <w:name w:val="PI Figure"/>
    <w:basedOn w:val="Figure"/>
    <w:uiPriority w:val="7"/>
    <w:qFormat/>
    <w:rsid w:val="0062681D"/>
  </w:style>
  <w:style w:type="paragraph" w:customStyle="1" w:styleId="PIFooter">
    <w:name w:val="PI Footer"/>
    <w:basedOn w:val="Footer"/>
    <w:uiPriority w:val="7"/>
    <w:qFormat/>
    <w:rsid w:val="0062681D"/>
    <w:pPr>
      <w:tabs>
        <w:tab w:val="clear" w:pos="9923"/>
        <w:tab w:val="right" w:pos="8800"/>
      </w:tabs>
      <w:spacing w:line="240" w:lineRule="auto"/>
    </w:pPr>
  </w:style>
  <w:style w:type="paragraph" w:customStyle="1" w:styleId="PIHeading1">
    <w:name w:val="PI Heading 1"/>
    <w:basedOn w:val="Heading1"/>
    <w:uiPriority w:val="2"/>
    <w:qFormat/>
    <w:rsid w:val="0062681D"/>
  </w:style>
  <w:style w:type="paragraph" w:customStyle="1" w:styleId="PIHeading2">
    <w:name w:val="PI Heading 2"/>
    <w:basedOn w:val="Heading2"/>
    <w:uiPriority w:val="3"/>
    <w:qFormat/>
    <w:rsid w:val="0062681D"/>
  </w:style>
  <w:style w:type="paragraph" w:customStyle="1" w:styleId="PIHeading3">
    <w:name w:val="PI Heading 3"/>
    <w:basedOn w:val="Heading3"/>
    <w:uiPriority w:val="4"/>
    <w:qFormat/>
    <w:rsid w:val="0062681D"/>
  </w:style>
  <w:style w:type="paragraph" w:customStyle="1" w:styleId="PIHeading4">
    <w:name w:val="PI Heading 4"/>
    <w:basedOn w:val="Heading4"/>
    <w:link w:val="PIHeading4Char"/>
    <w:uiPriority w:val="5"/>
    <w:qFormat/>
    <w:rsid w:val="0062681D"/>
    <w:pPr>
      <w:spacing w:before="120" w:after="120"/>
    </w:pPr>
  </w:style>
  <w:style w:type="paragraph" w:styleId="Subtitle">
    <w:name w:val="Subtitle"/>
    <w:basedOn w:val="Normal"/>
    <w:link w:val="SubtitleChar"/>
    <w:qFormat/>
    <w:rsid w:val="0062681D"/>
    <w:pPr>
      <w:spacing w:after="60"/>
      <w:outlineLvl w:val="1"/>
    </w:pPr>
    <w:rPr>
      <w:b/>
      <w:sz w:val="32"/>
      <w:lang w:val="x-none"/>
    </w:rPr>
  </w:style>
  <w:style w:type="character" w:customStyle="1" w:styleId="SubtitleChar">
    <w:name w:val="Subtitle Char"/>
    <w:link w:val="Subtitle"/>
    <w:rsid w:val="0062681D"/>
    <w:rPr>
      <w:b/>
      <w:sz w:val="32"/>
      <w:lang w:eastAsia="en-US"/>
    </w:rPr>
  </w:style>
  <w:style w:type="paragraph" w:customStyle="1" w:styleId="PISubtitle">
    <w:name w:val="PI Subtitle"/>
    <w:basedOn w:val="Subtitle"/>
    <w:uiPriority w:val="1"/>
    <w:qFormat/>
    <w:rsid w:val="0062681D"/>
  </w:style>
  <w:style w:type="paragraph" w:customStyle="1" w:styleId="TableFootnote">
    <w:name w:val="Table Footnote"/>
    <w:basedOn w:val="FigureFootnote"/>
    <w:next w:val="Normal"/>
    <w:semiHidden/>
    <w:rsid w:val="0062681D"/>
    <w:pPr>
      <w:spacing w:before="0" w:after="0"/>
      <w:jc w:val="left"/>
    </w:pPr>
    <w:rPr>
      <w:sz w:val="20"/>
      <w:szCs w:val="24"/>
    </w:rPr>
  </w:style>
  <w:style w:type="paragraph" w:customStyle="1" w:styleId="PITableFootnote">
    <w:name w:val="PI Table Footnote"/>
    <w:basedOn w:val="TableFootnote"/>
    <w:uiPriority w:val="7"/>
    <w:qFormat/>
    <w:rsid w:val="0062681D"/>
    <w:pPr>
      <w:spacing w:before="40"/>
    </w:pPr>
  </w:style>
  <w:style w:type="paragraph" w:customStyle="1" w:styleId="TableSpace">
    <w:name w:val="Table Space"/>
    <w:basedOn w:val="Figure"/>
    <w:next w:val="Normal"/>
    <w:semiHidden/>
    <w:rsid w:val="0062681D"/>
    <w:pPr>
      <w:spacing w:before="0" w:after="480"/>
      <w:jc w:val="left"/>
    </w:pPr>
    <w:rPr>
      <w:szCs w:val="24"/>
    </w:rPr>
  </w:style>
  <w:style w:type="paragraph" w:customStyle="1" w:styleId="PITableSpaceListSpace">
    <w:name w:val="PI Table Space/List Space"/>
    <w:basedOn w:val="TableSpace"/>
    <w:uiPriority w:val="7"/>
    <w:qFormat/>
    <w:rsid w:val="0062681D"/>
    <w:pPr>
      <w:spacing w:after="120"/>
    </w:pPr>
  </w:style>
  <w:style w:type="paragraph" w:customStyle="1" w:styleId="TableText">
    <w:name w:val="Table Text"/>
    <w:basedOn w:val="Figure"/>
    <w:semiHidden/>
    <w:rsid w:val="0062681D"/>
    <w:pPr>
      <w:spacing w:before="0" w:after="0"/>
      <w:jc w:val="left"/>
    </w:pPr>
    <w:rPr>
      <w:snapToGrid w:val="0"/>
      <w:szCs w:val="24"/>
    </w:rPr>
  </w:style>
  <w:style w:type="paragraph" w:customStyle="1" w:styleId="PITableTextListText">
    <w:name w:val="PI Table Text/List Text"/>
    <w:basedOn w:val="TableText"/>
    <w:uiPriority w:val="7"/>
    <w:qFormat/>
    <w:rsid w:val="0062681D"/>
    <w:pPr>
      <w:spacing w:before="20" w:after="20"/>
    </w:pPr>
  </w:style>
  <w:style w:type="paragraph" w:customStyle="1" w:styleId="TableTitle">
    <w:name w:val="Table Title"/>
    <w:basedOn w:val="FigureTitle"/>
    <w:next w:val="TableText"/>
    <w:semiHidden/>
    <w:rsid w:val="0062681D"/>
    <w:pPr>
      <w:spacing w:after="0"/>
      <w:jc w:val="left"/>
    </w:pPr>
    <w:rPr>
      <w:szCs w:val="24"/>
    </w:rPr>
  </w:style>
  <w:style w:type="paragraph" w:customStyle="1" w:styleId="PITableTitle">
    <w:name w:val="PI Table Title"/>
    <w:basedOn w:val="TableTitle"/>
    <w:uiPriority w:val="7"/>
    <w:qFormat/>
    <w:rsid w:val="0062681D"/>
    <w:pPr>
      <w:keepLines/>
      <w:spacing w:before="120"/>
    </w:pPr>
  </w:style>
  <w:style w:type="paragraph" w:styleId="Title">
    <w:name w:val="Title"/>
    <w:basedOn w:val="Normal"/>
    <w:link w:val="TitleChar"/>
    <w:qFormat/>
    <w:rsid w:val="0062681D"/>
    <w:pPr>
      <w:spacing w:before="240" w:after="60"/>
      <w:outlineLvl w:val="0"/>
    </w:pPr>
    <w:rPr>
      <w:b/>
      <w:kern w:val="28"/>
      <w:sz w:val="40"/>
      <w:lang w:val="x-none"/>
    </w:rPr>
  </w:style>
  <w:style w:type="character" w:customStyle="1" w:styleId="TitleChar">
    <w:name w:val="Title Char"/>
    <w:link w:val="Title"/>
    <w:rsid w:val="0062681D"/>
    <w:rPr>
      <w:b/>
      <w:kern w:val="28"/>
      <w:sz w:val="40"/>
      <w:lang w:eastAsia="en-US"/>
    </w:rPr>
  </w:style>
  <w:style w:type="paragraph" w:customStyle="1" w:styleId="PITITLE">
    <w:name w:val="PI TITLE"/>
    <w:basedOn w:val="Title"/>
    <w:qFormat/>
    <w:rsid w:val="008A7877"/>
    <w:pPr>
      <w:spacing w:before="0" w:after="240"/>
    </w:pPr>
  </w:style>
  <w:style w:type="table" w:styleId="TableGrid">
    <w:name w:val="Table Grid"/>
    <w:basedOn w:val="TableNormal"/>
    <w:uiPriority w:val="59"/>
    <w:rsid w:val="00626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62681D"/>
    <w:pPr>
      <w:keepNext/>
    </w:pPr>
    <w:rPr>
      <w:b/>
      <w:bCs/>
    </w:rPr>
  </w:style>
  <w:style w:type="paragraph" w:customStyle="1" w:styleId="TableTitleCont">
    <w:name w:val="Table Title Cont"/>
    <w:basedOn w:val="TableTitle"/>
    <w:next w:val="TableText"/>
    <w:semiHidden/>
    <w:rsid w:val="0062681D"/>
    <w:pPr>
      <w:spacing w:before="0"/>
    </w:pPr>
    <w:rPr>
      <w:b w:val="0"/>
    </w:rPr>
  </w:style>
  <w:style w:type="character" w:customStyle="1" w:styleId="MPINormal">
    <w:name w:val="MPI Normal"/>
    <w:rsid w:val="00FC1804"/>
    <w:rPr>
      <w:szCs w:val="24"/>
    </w:rPr>
  </w:style>
  <w:style w:type="character" w:customStyle="1" w:styleId="MPIRegisteredTrademarkSign">
    <w:name w:val="MPI Registered Trademark Sign"/>
    <w:rsid w:val="008F307B"/>
    <w:rPr>
      <w:b/>
      <w:sz w:val="32"/>
      <w:vertAlign w:val="superscript"/>
      <w:lang w:eastAsia="en-US"/>
    </w:rPr>
  </w:style>
  <w:style w:type="character" w:customStyle="1" w:styleId="MPITradename">
    <w:name w:val="MPI Tradename"/>
    <w:rsid w:val="008F307B"/>
    <w:rPr>
      <w:rFonts w:ascii="Cambria" w:eastAsia="Times New Roman" w:hAnsi="Cambria" w:cs="Times New Roman"/>
      <w:b/>
      <w:sz w:val="32"/>
      <w:szCs w:val="24"/>
      <w:lang w:eastAsia="en-US"/>
    </w:rPr>
  </w:style>
  <w:style w:type="paragraph" w:customStyle="1" w:styleId="PITableText">
    <w:name w:val="PI Table Text"/>
    <w:basedOn w:val="TableText"/>
    <w:uiPriority w:val="7"/>
    <w:qFormat/>
    <w:rsid w:val="008F307B"/>
  </w:style>
  <w:style w:type="paragraph" w:customStyle="1" w:styleId="Paragraph">
    <w:name w:val="Paragraph"/>
    <w:link w:val="ParagraphChar"/>
    <w:qFormat/>
    <w:rsid w:val="008F307B"/>
    <w:pPr>
      <w:spacing w:after="240"/>
    </w:pPr>
    <w:rPr>
      <w:sz w:val="24"/>
      <w:szCs w:val="24"/>
      <w:lang w:val="en-US" w:eastAsia="en-US"/>
    </w:rPr>
  </w:style>
  <w:style w:type="character" w:customStyle="1" w:styleId="ParagraphChar">
    <w:name w:val="Paragraph Char"/>
    <w:link w:val="Paragraph"/>
    <w:rsid w:val="008F307B"/>
    <w:rPr>
      <w:sz w:val="24"/>
      <w:szCs w:val="24"/>
      <w:lang w:val="en-US" w:eastAsia="en-US" w:bidi="ar-SA"/>
    </w:rPr>
  </w:style>
  <w:style w:type="paragraph" w:styleId="Revision">
    <w:name w:val="Revision"/>
    <w:hidden/>
    <w:uiPriority w:val="99"/>
    <w:semiHidden/>
    <w:rsid w:val="008F307B"/>
    <w:rPr>
      <w:sz w:val="24"/>
      <w:lang w:eastAsia="en-US"/>
    </w:rPr>
  </w:style>
  <w:style w:type="paragraph" w:styleId="FootnoteText">
    <w:name w:val="footnote text"/>
    <w:basedOn w:val="Normal"/>
    <w:link w:val="FootnoteTextChar"/>
    <w:rsid w:val="00BE15CF"/>
    <w:rPr>
      <w:sz w:val="20"/>
      <w:lang w:val="x-none"/>
    </w:rPr>
  </w:style>
  <w:style w:type="character" w:customStyle="1" w:styleId="FootnoteTextChar">
    <w:name w:val="Footnote Text Char"/>
    <w:link w:val="FootnoteText"/>
    <w:rsid w:val="00BE15CF"/>
    <w:rPr>
      <w:lang w:eastAsia="en-US"/>
    </w:rPr>
  </w:style>
  <w:style w:type="character" w:styleId="FollowedHyperlink">
    <w:name w:val="FollowedHyperlink"/>
    <w:rsid w:val="00BE15CF"/>
    <w:rPr>
      <w:color w:val="800080"/>
      <w:u w:val="single"/>
    </w:rPr>
  </w:style>
  <w:style w:type="paragraph" w:customStyle="1" w:styleId="TableTextCentered">
    <w:name w:val="TableText Centered"/>
    <w:rsid w:val="00465782"/>
    <w:pPr>
      <w:jc w:val="center"/>
    </w:pPr>
    <w:rPr>
      <w:lang w:val="en-US" w:eastAsia="en-US"/>
    </w:rPr>
  </w:style>
  <w:style w:type="character" w:customStyle="1" w:styleId="BlueText">
    <w:name w:val="Blue Text"/>
    <w:rsid w:val="00365595"/>
    <w:rPr>
      <w:color w:val="0000FF"/>
    </w:rPr>
  </w:style>
  <w:style w:type="paragraph" w:customStyle="1" w:styleId="superscript">
    <w:name w:val="superscript"/>
    <w:basedOn w:val="Paragraph"/>
    <w:link w:val="superscriptChar"/>
    <w:autoRedefine/>
    <w:rsid w:val="00365595"/>
    <w:pPr>
      <w:spacing w:before="120" w:after="120"/>
    </w:pPr>
    <w:rPr>
      <w:rFonts w:eastAsia="MS Mincho"/>
      <w:color w:val="000000"/>
      <w:vertAlign w:val="superscript"/>
    </w:rPr>
  </w:style>
  <w:style w:type="character" w:customStyle="1" w:styleId="superscriptChar">
    <w:name w:val="superscript Char"/>
    <w:link w:val="superscript"/>
    <w:rsid w:val="00365595"/>
    <w:rPr>
      <w:rFonts w:eastAsia="MS Mincho"/>
      <w:color w:val="000000"/>
      <w:sz w:val="24"/>
      <w:szCs w:val="24"/>
      <w:vertAlign w:val="superscript"/>
      <w:lang w:val="en-US" w:eastAsia="en-US" w:bidi="ar-SA"/>
    </w:rPr>
  </w:style>
  <w:style w:type="paragraph" w:customStyle="1" w:styleId="Heading2NoTOC">
    <w:name w:val="Heading 2 NoTOC"/>
    <w:next w:val="Paragraph"/>
    <w:rsid w:val="00E50B77"/>
    <w:pPr>
      <w:keepNext/>
      <w:spacing w:after="240"/>
    </w:pPr>
    <w:rPr>
      <w:rFonts w:ascii="Times New Roman Bold" w:hAnsi="Times New Roman Bold" w:cs="Arial"/>
      <w:b/>
      <w:bCs/>
      <w:sz w:val="24"/>
      <w:szCs w:val="26"/>
      <w:lang w:val="en-US" w:eastAsia="en-US"/>
    </w:rPr>
  </w:style>
  <w:style w:type="character" w:customStyle="1" w:styleId="Instructions">
    <w:name w:val="Instructions"/>
    <w:rsid w:val="007C6A18"/>
    <w:rPr>
      <w:rFonts w:ascii="Times New Roman" w:hAnsi="Times New Roman"/>
      <w:iCs/>
      <w:color w:val="auto"/>
      <w:sz w:val="24"/>
    </w:rPr>
  </w:style>
  <w:style w:type="paragraph" w:styleId="NormalWeb">
    <w:name w:val="Normal (Web)"/>
    <w:basedOn w:val="Normal"/>
    <w:uiPriority w:val="99"/>
    <w:unhideWhenUsed/>
    <w:rsid w:val="004E2064"/>
    <w:pPr>
      <w:spacing w:before="100" w:beforeAutospacing="1" w:after="100" w:afterAutospacing="1"/>
      <w:jc w:val="left"/>
    </w:pPr>
    <w:rPr>
      <w:szCs w:val="24"/>
      <w:lang w:eastAsia="en-AU"/>
    </w:rPr>
  </w:style>
  <w:style w:type="paragraph" w:styleId="BodyTextIndent">
    <w:name w:val="Body Text Indent"/>
    <w:basedOn w:val="Normal"/>
    <w:link w:val="BodyTextIndentChar"/>
    <w:rsid w:val="004E2064"/>
    <w:pPr>
      <w:spacing w:after="120"/>
      <w:ind w:left="283"/>
      <w:jc w:val="left"/>
    </w:pPr>
    <w:rPr>
      <w:sz w:val="20"/>
      <w:lang w:val="en-US"/>
    </w:rPr>
  </w:style>
  <w:style w:type="character" w:customStyle="1" w:styleId="BodyTextIndentChar">
    <w:name w:val="Body Text Indent Char"/>
    <w:link w:val="BodyTextIndent"/>
    <w:rsid w:val="004E2064"/>
    <w:rPr>
      <w:lang w:val="en-US" w:eastAsia="en-US"/>
    </w:rPr>
  </w:style>
  <w:style w:type="paragraph" w:customStyle="1" w:styleId="ListAlpha3">
    <w:name w:val="List Alpha 3"/>
    <w:rsid w:val="00C72C27"/>
    <w:pPr>
      <w:numPr>
        <w:numId w:val="9"/>
      </w:numPr>
      <w:spacing w:after="240"/>
    </w:pPr>
    <w:rPr>
      <w:sz w:val="24"/>
      <w:szCs w:val="24"/>
      <w:lang w:val="en-US" w:eastAsia="en-US"/>
    </w:rPr>
  </w:style>
  <w:style w:type="paragraph" w:customStyle="1" w:styleId="Style3">
    <w:name w:val="Style 3"/>
    <w:basedOn w:val="Normal"/>
    <w:rsid w:val="00A54786"/>
    <w:pPr>
      <w:widowControl w:val="0"/>
      <w:autoSpaceDE w:val="0"/>
      <w:autoSpaceDN w:val="0"/>
      <w:spacing w:after="0"/>
      <w:ind w:left="180" w:hanging="144"/>
      <w:jc w:val="left"/>
    </w:pPr>
    <w:rPr>
      <w:szCs w:val="24"/>
      <w:lang w:val="en-US"/>
    </w:rPr>
  </w:style>
  <w:style w:type="paragraph" w:customStyle="1" w:styleId="first">
    <w:name w:val="first"/>
    <w:basedOn w:val="Normal"/>
    <w:rsid w:val="006B3DE4"/>
    <w:pPr>
      <w:spacing w:before="144" w:after="0" w:line="264" w:lineRule="atLeast"/>
      <w:jc w:val="left"/>
    </w:pPr>
    <w:rPr>
      <w:szCs w:val="24"/>
      <w:lang w:val="en-US"/>
    </w:rPr>
  </w:style>
  <w:style w:type="character" w:customStyle="1" w:styleId="CommentTextChar1">
    <w:name w:val="Comment Text Char1"/>
    <w:basedOn w:val="DefaultParagraphFont"/>
    <w:rsid w:val="00087994"/>
  </w:style>
  <w:style w:type="paragraph" w:customStyle="1" w:styleId="TableText0">
    <w:name w:val="TableText"/>
    <w:link w:val="TableTextChar"/>
    <w:rsid w:val="006B53DA"/>
    <w:rPr>
      <w:rFonts w:cs="Arial"/>
      <w:lang w:val="en-US" w:eastAsia="en-US"/>
    </w:rPr>
  </w:style>
  <w:style w:type="character" w:customStyle="1" w:styleId="TableTextChar">
    <w:name w:val="TableText Char"/>
    <w:link w:val="TableText0"/>
    <w:rsid w:val="006B53DA"/>
    <w:rPr>
      <w:rFonts w:cs="Arial"/>
      <w:lang w:val="en-US" w:eastAsia="en-US" w:bidi="ar-SA"/>
    </w:rPr>
  </w:style>
  <w:style w:type="paragraph" w:customStyle="1" w:styleId="Default">
    <w:name w:val="Default"/>
    <w:rsid w:val="001F2415"/>
    <w:pPr>
      <w:autoSpaceDE w:val="0"/>
      <w:autoSpaceDN w:val="0"/>
      <w:adjustRightInd w:val="0"/>
    </w:pPr>
    <w:rPr>
      <w:rFonts w:ascii="Arial" w:hAnsi="Arial" w:cs="Arial"/>
      <w:color w:val="000000"/>
      <w:sz w:val="24"/>
      <w:szCs w:val="24"/>
    </w:rPr>
  </w:style>
  <w:style w:type="character" w:customStyle="1" w:styleId="TableText12">
    <w:name w:val="TableText 12"/>
    <w:rsid w:val="006846CC"/>
    <w:rPr>
      <w:rFonts w:ascii="Times New Roman" w:hAnsi="Times New Roman"/>
      <w:sz w:val="24"/>
    </w:rPr>
  </w:style>
  <w:style w:type="paragraph" w:customStyle="1" w:styleId="TableTextColHead">
    <w:name w:val="TableText Col Head"/>
    <w:next w:val="TableTextCentered"/>
    <w:link w:val="TableTextColHeadChar"/>
    <w:rsid w:val="00302A37"/>
    <w:pPr>
      <w:jc w:val="center"/>
    </w:pPr>
    <w:rPr>
      <w:rFonts w:ascii="Times New Roman Bold" w:eastAsia="MS Mincho" w:hAnsi="Times New Roman Bold"/>
      <w:b/>
      <w:lang w:val="en-US" w:eastAsia="en-US"/>
    </w:rPr>
  </w:style>
  <w:style w:type="paragraph" w:styleId="ListParagraph">
    <w:name w:val="List Paragraph"/>
    <w:basedOn w:val="Normal"/>
    <w:uiPriority w:val="34"/>
    <w:qFormat/>
    <w:rsid w:val="00282541"/>
    <w:pPr>
      <w:spacing w:after="0"/>
      <w:ind w:left="720"/>
      <w:jc w:val="left"/>
    </w:pPr>
    <w:rPr>
      <w:rFonts w:ascii="Calibri" w:hAnsi="Calibri"/>
      <w:sz w:val="22"/>
      <w:szCs w:val="22"/>
      <w:lang w:eastAsia="en-AU"/>
    </w:rPr>
  </w:style>
  <w:style w:type="paragraph" w:customStyle="1" w:styleId="TableTextFootnote">
    <w:name w:val="TableText Footnote"/>
    <w:link w:val="TableTextFootnoteChar"/>
    <w:rsid w:val="003B0851"/>
    <w:pPr>
      <w:tabs>
        <w:tab w:val="left" w:pos="360"/>
      </w:tabs>
    </w:pPr>
    <w:rPr>
      <w:lang w:val="en-US" w:eastAsia="en-US"/>
    </w:rPr>
  </w:style>
  <w:style w:type="character" w:customStyle="1" w:styleId="TableTextFootnoteChar">
    <w:name w:val="TableText Footnote Char"/>
    <w:link w:val="TableTextFootnote"/>
    <w:locked/>
    <w:rsid w:val="003B0851"/>
  </w:style>
  <w:style w:type="paragraph" w:customStyle="1" w:styleId="Appendix1">
    <w:name w:val="Appendix 1"/>
    <w:next w:val="Paragraph"/>
    <w:rsid w:val="00E44719"/>
    <w:pPr>
      <w:keepNext/>
      <w:numPr>
        <w:numId w:val="19"/>
      </w:numPr>
      <w:tabs>
        <w:tab w:val="clear" w:pos="0"/>
      </w:tabs>
      <w:spacing w:after="240"/>
    </w:pPr>
    <w:rPr>
      <w:b/>
      <w:sz w:val="24"/>
      <w:szCs w:val="24"/>
      <w:lang w:val="en-US" w:eastAsia="en-US"/>
    </w:rPr>
  </w:style>
  <w:style w:type="paragraph" w:customStyle="1" w:styleId="Appendix2">
    <w:name w:val="Appendix 2"/>
    <w:next w:val="Paragraph"/>
    <w:rsid w:val="00E44719"/>
    <w:pPr>
      <w:keepNext/>
      <w:numPr>
        <w:ilvl w:val="1"/>
        <w:numId w:val="19"/>
      </w:numPr>
      <w:tabs>
        <w:tab w:val="clear" w:pos="0"/>
      </w:tabs>
      <w:spacing w:after="240"/>
    </w:pPr>
    <w:rPr>
      <w:rFonts w:cs="Arial"/>
      <w:b/>
      <w:sz w:val="24"/>
      <w:szCs w:val="24"/>
      <w:lang w:val="en-US" w:eastAsia="en-US"/>
    </w:rPr>
  </w:style>
  <w:style w:type="paragraph" w:customStyle="1" w:styleId="Appendix3">
    <w:name w:val="Appendix 3"/>
    <w:next w:val="Paragraph"/>
    <w:rsid w:val="00E44719"/>
    <w:pPr>
      <w:keepNext/>
      <w:numPr>
        <w:ilvl w:val="2"/>
        <w:numId w:val="19"/>
      </w:numPr>
      <w:tabs>
        <w:tab w:val="clear" w:pos="0"/>
      </w:tabs>
      <w:spacing w:after="240"/>
    </w:pPr>
    <w:rPr>
      <w:rFonts w:cs="Arial"/>
      <w:b/>
      <w:bCs/>
      <w:sz w:val="24"/>
      <w:szCs w:val="24"/>
      <w:lang w:val="en-US" w:eastAsia="en-US"/>
    </w:rPr>
  </w:style>
  <w:style w:type="character" w:customStyle="1" w:styleId="PITradename">
    <w:name w:val="PI Tradename"/>
    <w:rsid w:val="00D118A8"/>
    <w:rPr>
      <w:b/>
      <w:sz w:val="32"/>
      <w:lang w:eastAsia="en-US"/>
    </w:rPr>
  </w:style>
  <w:style w:type="paragraph" w:customStyle="1" w:styleId="PIHeading5">
    <w:name w:val="PI Heading 5"/>
    <w:basedOn w:val="PIHeading4"/>
    <w:link w:val="PIHeading5Char"/>
    <w:qFormat/>
    <w:rsid w:val="00171E65"/>
    <w:pPr>
      <w:outlineLvl w:val="4"/>
    </w:pPr>
    <w:rPr>
      <w:i w:val="0"/>
      <w:u w:val="single"/>
    </w:rPr>
  </w:style>
  <w:style w:type="paragraph" w:styleId="BodyText">
    <w:name w:val="Body Text"/>
    <w:basedOn w:val="Normal"/>
    <w:link w:val="BodyTextChar"/>
    <w:rsid w:val="00E55830"/>
    <w:pPr>
      <w:spacing w:after="120"/>
    </w:pPr>
  </w:style>
  <w:style w:type="character" w:customStyle="1" w:styleId="Heading4Char">
    <w:name w:val="Heading 4 Char"/>
    <w:link w:val="Heading4"/>
    <w:rsid w:val="005B3AF1"/>
    <w:rPr>
      <w:i/>
      <w:iCs/>
      <w:sz w:val="24"/>
      <w:lang w:val="en-AU"/>
    </w:rPr>
  </w:style>
  <w:style w:type="character" w:customStyle="1" w:styleId="PIHeading4Char">
    <w:name w:val="PI Heading 4 Char"/>
    <w:basedOn w:val="Heading4Char"/>
    <w:link w:val="PIHeading4"/>
    <w:uiPriority w:val="5"/>
    <w:rsid w:val="005B3AF1"/>
    <w:rPr>
      <w:i/>
      <w:iCs/>
      <w:sz w:val="24"/>
      <w:lang w:val="en-AU"/>
    </w:rPr>
  </w:style>
  <w:style w:type="character" w:customStyle="1" w:styleId="PIHeading5Char">
    <w:name w:val="PI Heading 5 Char"/>
    <w:link w:val="PIHeading5"/>
    <w:rsid w:val="00171E65"/>
    <w:rPr>
      <w:i w:val="0"/>
      <w:iCs/>
      <w:sz w:val="24"/>
      <w:u w:val="single"/>
      <w:lang w:val="en-AU"/>
    </w:rPr>
  </w:style>
  <w:style w:type="character" w:customStyle="1" w:styleId="BodyTextChar">
    <w:name w:val="Body Text Char"/>
    <w:link w:val="BodyText"/>
    <w:rsid w:val="00E55830"/>
    <w:rPr>
      <w:sz w:val="24"/>
      <w:lang w:val="en-AU"/>
    </w:rPr>
  </w:style>
  <w:style w:type="paragraph" w:customStyle="1" w:styleId="CLDNormal">
    <w:name w:val="CLD Normal"/>
    <w:basedOn w:val="Normal"/>
    <w:uiPriority w:val="6"/>
    <w:qFormat/>
    <w:rsid w:val="00407F7F"/>
    <w:rPr>
      <w:lang w:val="en-GB"/>
    </w:rPr>
  </w:style>
  <w:style w:type="character" w:customStyle="1" w:styleId="TableTextColHeadChar">
    <w:name w:val="TableText Col Head Char"/>
    <w:link w:val="TableTextColHead"/>
    <w:rsid w:val="00370C06"/>
    <w:rPr>
      <w:rFonts w:ascii="Times New Roman Bold" w:eastAsia="MS Mincho" w:hAnsi="Times New Roman Bold"/>
      <w:b/>
      <w:lang w:val="en-US" w:eastAsia="en-US"/>
    </w:rPr>
  </w:style>
  <w:style w:type="paragraph" w:styleId="Caption">
    <w:name w:val="caption"/>
    <w:next w:val="Normal"/>
    <w:unhideWhenUsed/>
    <w:qFormat/>
    <w:rsid w:val="00370C06"/>
    <w:pPr>
      <w:keepNext/>
      <w:tabs>
        <w:tab w:val="left" w:pos="1152"/>
      </w:tabs>
      <w:spacing w:before="120" w:after="120"/>
      <w:ind w:left="1152" w:hanging="1152"/>
    </w:pPr>
    <w:rPr>
      <w:rFonts w:cs="Arial"/>
      <w:b/>
      <w:bCs/>
      <w:sz w:val="24"/>
      <w:szCs w:val="24"/>
      <w:lang w:val="en-US" w:eastAsia="en-US"/>
    </w:rPr>
  </w:style>
  <w:style w:type="paragraph" w:customStyle="1" w:styleId="TableParagraph">
    <w:name w:val="Table Paragraph"/>
    <w:basedOn w:val="Normal"/>
    <w:uiPriority w:val="1"/>
    <w:qFormat/>
    <w:rsid w:val="00370C06"/>
    <w:pPr>
      <w:autoSpaceDE w:val="0"/>
      <w:autoSpaceDN w:val="0"/>
      <w:adjustRightInd w:val="0"/>
      <w:spacing w:after="0"/>
      <w:jc w:val="left"/>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0177">
      <w:bodyDiv w:val="1"/>
      <w:marLeft w:val="0"/>
      <w:marRight w:val="0"/>
      <w:marTop w:val="0"/>
      <w:marBottom w:val="0"/>
      <w:divBdr>
        <w:top w:val="none" w:sz="0" w:space="0" w:color="auto"/>
        <w:left w:val="none" w:sz="0" w:space="0" w:color="auto"/>
        <w:bottom w:val="none" w:sz="0" w:space="0" w:color="auto"/>
        <w:right w:val="none" w:sz="0" w:space="0" w:color="auto"/>
      </w:divBdr>
    </w:div>
    <w:div w:id="97800029">
      <w:bodyDiv w:val="1"/>
      <w:marLeft w:val="0"/>
      <w:marRight w:val="0"/>
      <w:marTop w:val="0"/>
      <w:marBottom w:val="0"/>
      <w:divBdr>
        <w:top w:val="none" w:sz="0" w:space="0" w:color="auto"/>
        <w:left w:val="none" w:sz="0" w:space="0" w:color="auto"/>
        <w:bottom w:val="none" w:sz="0" w:space="0" w:color="auto"/>
        <w:right w:val="none" w:sz="0" w:space="0" w:color="auto"/>
      </w:divBdr>
    </w:div>
    <w:div w:id="237322469">
      <w:bodyDiv w:val="1"/>
      <w:marLeft w:val="0"/>
      <w:marRight w:val="0"/>
      <w:marTop w:val="0"/>
      <w:marBottom w:val="0"/>
      <w:divBdr>
        <w:top w:val="none" w:sz="0" w:space="0" w:color="auto"/>
        <w:left w:val="none" w:sz="0" w:space="0" w:color="auto"/>
        <w:bottom w:val="none" w:sz="0" w:space="0" w:color="auto"/>
        <w:right w:val="none" w:sz="0" w:space="0" w:color="auto"/>
      </w:divBdr>
    </w:div>
    <w:div w:id="412244515">
      <w:bodyDiv w:val="1"/>
      <w:marLeft w:val="0"/>
      <w:marRight w:val="0"/>
      <w:marTop w:val="0"/>
      <w:marBottom w:val="0"/>
      <w:divBdr>
        <w:top w:val="none" w:sz="0" w:space="0" w:color="auto"/>
        <w:left w:val="none" w:sz="0" w:space="0" w:color="auto"/>
        <w:bottom w:val="none" w:sz="0" w:space="0" w:color="auto"/>
        <w:right w:val="none" w:sz="0" w:space="0" w:color="auto"/>
      </w:divBdr>
      <w:divsChild>
        <w:div w:id="1574703783">
          <w:marLeft w:val="0"/>
          <w:marRight w:val="0"/>
          <w:marTop w:val="0"/>
          <w:marBottom w:val="0"/>
          <w:divBdr>
            <w:top w:val="none" w:sz="0" w:space="0" w:color="auto"/>
            <w:left w:val="none" w:sz="0" w:space="0" w:color="auto"/>
            <w:bottom w:val="none" w:sz="0" w:space="0" w:color="auto"/>
            <w:right w:val="none" w:sz="0" w:space="0" w:color="auto"/>
          </w:divBdr>
          <w:divsChild>
            <w:div w:id="11404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3222">
      <w:bodyDiv w:val="1"/>
      <w:marLeft w:val="0"/>
      <w:marRight w:val="0"/>
      <w:marTop w:val="0"/>
      <w:marBottom w:val="0"/>
      <w:divBdr>
        <w:top w:val="none" w:sz="0" w:space="0" w:color="auto"/>
        <w:left w:val="none" w:sz="0" w:space="0" w:color="auto"/>
        <w:bottom w:val="none" w:sz="0" w:space="0" w:color="auto"/>
        <w:right w:val="none" w:sz="0" w:space="0" w:color="auto"/>
      </w:divBdr>
    </w:div>
    <w:div w:id="537789192">
      <w:bodyDiv w:val="1"/>
      <w:marLeft w:val="0"/>
      <w:marRight w:val="0"/>
      <w:marTop w:val="0"/>
      <w:marBottom w:val="0"/>
      <w:divBdr>
        <w:top w:val="none" w:sz="0" w:space="0" w:color="auto"/>
        <w:left w:val="none" w:sz="0" w:space="0" w:color="auto"/>
        <w:bottom w:val="none" w:sz="0" w:space="0" w:color="auto"/>
        <w:right w:val="none" w:sz="0" w:space="0" w:color="auto"/>
      </w:divBdr>
    </w:div>
    <w:div w:id="639304635">
      <w:bodyDiv w:val="1"/>
      <w:marLeft w:val="0"/>
      <w:marRight w:val="0"/>
      <w:marTop w:val="0"/>
      <w:marBottom w:val="0"/>
      <w:divBdr>
        <w:top w:val="none" w:sz="0" w:space="0" w:color="auto"/>
        <w:left w:val="none" w:sz="0" w:space="0" w:color="auto"/>
        <w:bottom w:val="none" w:sz="0" w:space="0" w:color="auto"/>
        <w:right w:val="none" w:sz="0" w:space="0" w:color="auto"/>
      </w:divBdr>
    </w:div>
    <w:div w:id="681971732">
      <w:bodyDiv w:val="1"/>
      <w:marLeft w:val="0"/>
      <w:marRight w:val="0"/>
      <w:marTop w:val="0"/>
      <w:marBottom w:val="0"/>
      <w:divBdr>
        <w:top w:val="none" w:sz="0" w:space="0" w:color="auto"/>
        <w:left w:val="none" w:sz="0" w:space="0" w:color="auto"/>
        <w:bottom w:val="none" w:sz="0" w:space="0" w:color="auto"/>
        <w:right w:val="none" w:sz="0" w:space="0" w:color="auto"/>
      </w:divBdr>
    </w:div>
    <w:div w:id="683823565">
      <w:bodyDiv w:val="1"/>
      <w:marLeft w:val="0"/>
      <w:marRight w:val="0"/>
      <w:marTop w:val="0"/>
      <w:marBottom w:val="0"/>
      <w:divBdr>
        <w:top w:val="none" w:sz="0" w:space="0" w:color="auto"/>
        <w:left w:val="none" w:sz="0" w:space="0" w:color="auto"/>
        <w:bottom w:val="none" w:sz="0" w:space="0" w:color="auto"/>
        <w:right w:val="none" w:sz="0" w:space="0" w:color="auto"/>
      </w:divBdr>
    </w:div>
    <w:div w:id="835153601">
      <w:bodyDiv w:val="1"/>
      <w:marLeft w:val="0"/>
      <w:marRight w:val="0"/>
      <w:marTop w:val="0"/>
      <w:marBottom w:val="0"/>
      <w:divBdr>
        <w:top w:val="none" w:sz="0" w:space="0" w:color="auto"/>
        <w:left w:val="none" w:sz="0" w:space="0" w:color="auto"/>
        <w:bottom w:val="none" w:sz="0" w:space="0" w:color="auto"/>
        <w:right w:val="none" w:sz="0" w:space="0" w:color="auto"/>
      </w:divBdr>
    </w:div>
    <w:div w:id="850878128">
      <w:bodyDiv w:val="1"/>
      <w:marLeft w:val="0"/>
      <w:marRight w:val="0"/>
      <w:marTop w:val="0"/>
      <w:marBottom w:val="0"/>
      <w:divBdr>
        <w:top w:val="none" w:sz="0" w:space="0" w:color="auto"/>
        <w:left w:val="none" w:sz="0" w:space="0" w:color="auto"/>
        <w:bottom w:val="none" w:sz="0" w:space="0" w:color="auto"/>
        <w:right w:val="none" w:sz="0" w:space="0" w:color="auto"/>
      </w:divBdr>
    </w:div>
    <w:div w:id="919757756">
      <w:bodyDiv w:val="1"/>
      <w:marLeft w:val="0"/>
      <w:marRight w:val="0"/>
      <w:marTop w:val="0"/>
      <w:marBottom w:val="0"/>
      <w:divBdr>
        <w:top w:val="none" w:sz="0" w:space="0" w:color="auto"/>
        <w:left w:val="none" w:sz="0" w:space="0" w:color="auto"/>
        <w:bottom w:val="none" w:sz="0" w:space="0" w:color="auto"/>
        <w:right w:val="none" w:sz="0" w:space="0" w:color="auto"/>
      </w:divBdr>
    </w:div>
    <w:div w:id="920020239">
      <w:bodyDiv w:val="1"/>
      <w:marLeft w:val="0"/>
      <w:marRight w:val="0"/>
      <w:marTop w:val="0"/>
      <w:marBottom w:val="0"/>
      <w:divBdr>
        <w:top w:val="none" w:sz="0" w:space="0" w:color="auto"/>
        <w:left w:val="none" w:sz="0" w:space="0" w:color="auto"/>
        <w:bottom w:val="none" w:sz="0" w:space="0" w:color="auto"/>
        <w:right w:val="none" w:sz="0" w:space="0" w:color="auto"/>
      </w:divBdr>
    </w:div>
    <w:div w:id="957370839">
      <w:bodyDiv w:val="1"/>
      <w:marLeft w:val="0"/>
      <w:marRight w:val="0"/>
      <w:marTop w:val="0"/>
      <w:marBottom w:val="0"/>
      <w:divBdr>
        <w:top w:val="none" w:sz="0" w:space="0" w:color="auto"/>
        <w:left w:val="none" w:sz="0" w:space="0" w:color="auto"/>
        <w:bottom w:val="none" w:sz="0" w:space="0" w:color="auto"/>
        <w:right w:val="none" w:sz="0" w:space="0" w:color="auto"/>
      </w:divBdr>
    </w:div>
    <w:div w:id="958805518">
      <w:bodyDiv w:val="1"/>
      <w:marLeft w:val="0"/>
      <w:marRight w:val="0"/>
      <w:marTop w:val="0"/>
      <w:marBottom w:val="0"/>
      <w:divBdr>
        <w:top w:val="none" w:sz="0" w:space="0" w:color="auto"/>
        <w:left w:val="none" w:sz="0" w:space="0" w:color="auto"/>
        <w:bottom w:val="none" w:sz="0" w:space="0" w:color="auto"/>
        <w:right w:val="none" w:sz="0" w:space="0" w:color="auto"/>
      </w:divBdr>
    </w:div>
    <w:div w:id="974022844">
      <w:bodyDiv w:val="1"/>
      <w:marLeft w:val="0"/>
      <w:marRight w:val="0"/>
      <w:marTop w:val="0"/>
      <w:marBottom w:val="0"/>
      <w:divBdr>
        <w:top w:val="none" w:sz="0" w:space="0" w:color="auto"/>
        <w:left w:val="none" w:sz="0" w:space="0" w:color="auto"/>
        <w:bottom w:val="none" w:sz="0" w:space="0" w:color="auto"/>
        <w:right w:val="none" w:sz="0" w:space="0" w:color="auto"/>
      </w:divBdr>
    </w:div>
    <w:div w:id="1049651502">
      <w:bodyDiv w:val="1"/>
      <w:marLeft w:val="0"/>
      <w:marRight w:val="0"/>
      <w:marTop w:val="0"/>
      <w:marBottom w:val="0"/>
      <w:divBdr>
        <w:top w:val="none" w:sz="0" w:space="0" w:color="auto"/>
        <w:left w:val="none" w:sz="0" w:space="0" w:color="auto"/>
        <w:bottom w:val="none" w:sz="0" w:space="0" w:color="auto"/>
        <w:right w:val="none" w:sz="0" w:space="0" w:color="auto"/>
      </w:divBdr>
    </w:div>
    <w:div w:id="1124233845">
      <w:bodyDiv w:val="1"/>
      <w:marLeft w:val="0"/>
      <w:marRight w:val="0"/>
      <w:marTop w:val="0"/>
      <w:marBottom w:val="0"/>
      <w:divBdr>
        <w:top w:val="none" w:sz="0" w:space="0" w:color="auto"/>
        <w:left w:val="none" w:sz="0" w:space="0" w:color="auto"/>
        <w:bottom w:val="none" w:sz="0" w:space="0" w:color="auto"/>
        <w:right w:val="none" w:sz="0" w:space="0" w:color="auto"/>
      </w:divBdr>
    </w:div>
    <w:div w:id="1460802453">
      <w:bodyDiv w:val="1"/>
      <w:marLeft w:val="0"/>
      <w:marRight w:val="0"/>
      <w:marTop w:val="0"/>
      <w:marBottom w:val="0"/>
      <w:divBdr>
        <w:top w:val="none" w:sz="0" w:space="0" w:color="auto"/>
        <w:left w:val="none" w:sz="0" w:space="0" w:color="auto"/>
        <w:bottom w:val="none" w:sz="0" w:space="0" w:color="auto"/>
        <w:right w:val="none" w:sz="0" w:space="0" w:color="auto"/>
      </w:divBdr>
      <w:divsChild>
        <w:div w:id="1005129277">
          <w:marLeft w:val="0"/>
          <w:marRight w:val="0"/>
          <w:marTop w:val="0"/>
          <w:marBottom w:val="0"/>
          <w:divBdr>
            <w:top w:val="none" w:sz="0" w:space="0" w:color="auto"/>
            <w:left w:val="none" w:sz="0" w:space="0" w:color="auto"/>
            <w:bottom w:val="none" w:sz="0" w:space="0" w:color="auto"/>
            <w:right w:val="none" w:sz="0" w:space="0" w:color="auto"/>
          </w:divBdr>
          <w:divsChild>
            <w:div w:id="1805275106">
              <w:marLeft w:val="0"/>
              <w:marRight w:val="0"/>
              <w:marTop w:val="0"/>
              <w:marBottom w:val="0"/>
              <w:divBdr>
                <w:top w:val="none" w:sz="0" w:space="0" w:color="auto"/>
                <w:left w:val="none" w:sz="0" w:space="0" w:color="auto"/>
                <w:bottom w:val="none" w:sz="0" w:space="0" w:color="auto"/>
                <w:right w:val="none" w:sz="0" w:space="0" w:color="auto"/>
              </w:divBdr>
              <w:divsChild>
                <w:div w:id="329262469">
                  <w:marLeft w:val="0"/>
                  <w:marRight w:val="0"/>
                  <w:marTop w:val="0"/>
                  <w:marBottom w:val="0"/>
                  <w:divBdr>
                    <w:top w:val="none" w:sz="0" w:space="0" w:color="auto"/>
                    <w:left w:val="none" w:sz="0" w:space="0" w:color="auto"/>
                    <w:bottom w:val="none" w:sz="0" w:space="0" w:color="auto"/>
                    <w:right w:val="none" w:sz="0" w:space="0" w:color="auto"/>
                  </w:divBdr>
                  <w:divsChild>
                    <w:div w:id="2067221857">
                      <w:marLeft w:val="0"/>
                      <w:marRight w:val="0"/>
                      <w:marTop w:val="0"/>
                      <w:marBottom w:val="0"/>
                      <w:divBdr>
                        <w:top w:val="none" w:sz="0" w:space="0" w:color="auto"/>
                        <w:left w:val="none" w:sz="0" w:space="0" w:color="auto"/>
                        <w:bottom w:val="none" w:sz="0" w:space="0" w:color="auto"/>
                        <w:right w:val="none" w:sz="0" w:space="0" w:color="auto"/>
                      </w:divBdr>
                      <w:divsChild>
                        <w:div w:id="905335767">
                          <w:marLeft w:val="0"/>
                          <w:marRight w:val="0"/>
                          <w:marTop w:val="0"/>
                          <w:marBottom w:val="0"/>
                          <w:divBdr>
                            <w:top w:val="none" w:sz="0" w:space="0" w:color="auto"/>
                            <w:left w:val="none" w:sz="0" w:space="0" w:color="auto"/>
                            <w:bottom w:val="none" w:sz="0" w:space="0" w:color="auto"/>
                            <w:right w:val="none" w:sz="0" w:space="0" w:color="auto"/>
                          </w:divBdr>
                          <w:divsChild>
                            <w:div w:id="2075659149">
                              <w:marLeft w:val="0"/>
                              <w:marRight w:val="0"/>
                              <w:marTop w:val="0"/>
                              <w:marBottom w:val="0"/>
                              <w:divBdr>
                                <w:top w:val="none" w:sz="0" w:space="0" w:color="auto"/>
                                <w:left w:val="none" w:sz="0" w:space="0" w:color="auto"/>
                                <w:bottom w:val="none" w:sz="0" w:space="0" w:color="auto"/>
                                <w:right w:val="none" w:sz="0" w:space="0" w:color="auto"/>
                              </w:divBdr>
                              <w:divsChild>
                                <w:div w:id="1776093424">
                                  <w:marLeft w:val="0"/>
                                  <w:marRight w:val="0"/>
                                  <w:marTop w:val="0"/>
                                  <w:marBottom w:val="0"/>
                                  <w:divBdr>
                                    <w:top w:val="none" w:sz="0" w:space="0" w:color="auto"/>
                                    <w:left w:val="none" w:sz="0" w:space="0" w:color="auto"/>
                                    <w:bottom w:val="none" w:sz="0" w:space="0" w:color="auto"/>
                                    <w:right w:val="none" w:sz="0" w:space="0" w:color="auto"/>
                                  </w:divBdr>
                                  <w:divsChild>
                                    <w:div w:id="1996374897">
                                      <w:marLeft w:val="0"/>
                                      <w:marRight w:val="0"/>
                                      <w:marTop w:val="0"/>
                                      <w:marBottom w:val="0"/>
                                      <w:divBdr>
                                        <w:top w:val="none" w:sz="0" w:space="0" w:color="auto"/>
                                        <w:left w:val="none" w:sz="0" w:space="0" w:color="auto"/>
                                        <w:bottom w:val="none" w:sz="0" w:space="0" w:color="auto"/>
                                        <w:right w:val="none" w:sz="0" w:space="0" w:color="auto"/>
                                      </w:divBdr>
                                      <w:divsChild>
                                        <w:div w:id="9082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329921">
      <w:bodyDiv w:val="1"/>
      <w:marLeft w:val="0"/>
      <w:marRight w:val="0"/>
      <w:marTop w:val="0"/>
      <w:marBottom w:val="0"/>
      <w:divBdr>
        <w:top w:val="none" w:sz="0" w:space="0" w:color="auto"/>
        <w:left w:val="none" w:sz="0" w:space="0" w:color="auto"/>
        <w:bottom w:val="none" w:sz="0" w:space="0" w:color="auto"/>
        <w:right w:val="none" w:sz="0" w:space="0" w:color="auto"/>
      </w:divBdr>
    </w:div>
    <w:div w:id="1483810075">
      <w:bodyDiv w:val="1"/>
      <w:marLeft w:val="0"/>
      <w:marRight w:val="0"/>
      <w:marTop w:val="0"/>
      <w:marBottom w:val="0"/>
      <w:divBdr>
        <w:top w:val="none" w:sz="0" w:space="0" w:color="auto"/>
        <w:left w:val="none" w:sz="0" w:space="0" w:color="auto"/>
        <w:bottom w:val="none" w:sz="0" w:space="0" w:color="auto"/>
        <w:right w:val="none" w:sz="0" w:space="0" w:color="auto"/>
      </w:divBdr>
    </w:div>
    <w:div w:id="1579945354">
      <w:bodyDiv w:val="1"/>
      <w:marLeft w:val="0"/>
      <w:marRight w:val="0"/>
      <w:marTop w:val="0"/>
      <w:marBottom w:val="0"/>
      <w:divBdr>
        <w:top w:val="none" w:sz="0" w:space="0" w:color="auto"/>
        <w:left w:val="none" w:sz="0" w:space="0" w:color="auto"/>
        <w:bottom w:val="none" w:sz="0" w:space="0" w:color="auto"/>
        <w:right w:val="none" w:sz="0" w:space="0" w:color="auto"/>
      </w:divBdr>
    </w:div>
    <w:div w:id="1706826520">
      <w:bodyDiv w:val="1"/>
      <w:marLeft w:val="0"/>
      <w:marRight w:val="0"/>
      <w:marTop w:val="0"/>
      <w:marBottom w:val="0"/>
      <w:divBdr>
        <w:top w:val="none" w:sz="0" w:space="0" w:color="auto"/>
        <w:left w:val="none" w:sz="0" w:space="0" w:color="auto"/>
        <w:bottom w:val="none" w:sz="0" w:space="0" w:color="auto"/>
        <w:right w:val="none" w:sz="0" w:space="0" w:color="auto"/>
      </w:divBdr>
    </w:div>
    <w:div w:id="1741751613">
      <w:bodyDiv w:val="1"/>
      <w:marLeft w:val="0"/>
      <w:marRight w:val="0"/>
      <w:marTop w:val="0"/>
      <w:marBottom w:val="0"/>
      <w:divBdr>
        <w:top w:val="none" w:sz="0" w:space="0" w:color="auto"/>
        <w:left w:val="none" w:sz="0" w:space="0" w:color="auto"/>
        <w:bottom w:val="none" w:sz="0" w:space="0" w:color="auto"/>
        <w:right w:val="none" w:sz="0" w:space="0" w:color="auto"/>
      </w:divBdr>
    </w:div>
    <w:div w:id="1750301141">
      <w:bodyDiv w:val="1"/>
      <w:marLeft w:val="0"/>
      <w:marRight w:val="0"/>
      <w:marTop w:val="0"/>
      <w:marBottom w:val="0"/>
      <w:divBdr>
        <w:top w:val="none" w:sz="0" w:space="0" w:color="auto"/>
        <w:left w:val="none" w:sz="0" w:space="0" w:color="auto"/>
        <w:bottom w:val="none" w:sz="0" w:space="0" w:color="auto"/>
        <w:right w:val="none" w:sz="0" w:space="0" w:color="auto"/>
      </w:divBdr>
    </w:div>
    <w:div w:id="1801995549">
      <w:bodyDiv w:val="1"/>
      <w:marLeft w:val="0"/>
      <w:marRight w:val="0"/>
      <w:marTop w:val="0"/>
      <w:marBottom w:val="0"/>
      <w:divBdr>
        <w:top w:val="none" w:sz="0" w:space="0" w:color="auto"/>
        <w:left w:val="none" w:sz="0" w:space="0" w:color="auto"/>
        <w:bottom w:val="none" w:sz="0" w:space="0" w:color="auto"/>
        <w:right w:val="none" w:sz="0" w:space="0" w:color="auto"/>
      </w:divBdr>
    </w:div>
    <w:div w:id="1821799259">
      <w:bodyDiv w:val="1"/>
      <w:marLeft w:val="0"/>
      <w:marRight w:val="0"/>
      <w:marTop w:val="0"/>
      <w:marBottom w:val="0"/>
      <w:divBdr>
        <w:top w:val="none" w:sz="0" w:space="0" w:color="auto"/>
        <w:left w:val="none" w:sz="0" w:space="0" w:color="auto"/>
        <w:bottom w:val="none" w:sz="0" w:space="0" w:color="auto"/>
        <w:right w:val="none" w:sz="0" w:space="0" w:color="auto"/>
      </w:divBdr>
    </w:div>
    <w:div w:id="1959027850">
      <w:bodyDiv w:val="1"/>
      <w:marLeft w:val="0"/>
      <w:marRight w:val="0"/>
      <w:marTop w:val="0"/>
      <w:marBottom w:val="0"/>
      <w:divBdr>
        <w:top w:val="none" w:sz="0" w:space="0" w:color="auto"/>
        <w:left w:val="none" w:sz="0" w:space="0" w:color="auto"/>
        <w:bottom w:val="none" w:sz="0" w:space="0" w:color="auto"/>
        <w:right w:val="none" w:sz="0" w:space="0" w:color="auto"/>
      </w:divBdr>
    </w:div>
    <w:div w:id="2022388008">
      <w:bodyDiv w:val="1"/>
      <w:marLeft w:val="0"/>
      <w:marRight w:val="0"/>
      <w:marTop w:val="0"/>
      <w:marBottom w:val="0"/>
      <w:divBdr>
        <w:top w:val="none" w:sz="0" w:space="0" w:color="auto"/>
        <w:left w:val="none" w:sz="0" w:space="0" w:color="auto"/>
        <w:bottom w:val="none" w:sz="0" w:space="0" w:color="auto"/>
        <w:right w:val="none" w:sz="0" w:space="0" w:color="auto"/>
      </w:divBdr>
    </w:div>
    <w:div w:id="206124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fizer.com.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oleObject" Target="embeddings/oleObject1.bin"/><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footer" Target="footer5.xml"/><Relationship Id="rId30"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Projects\LPD%20Update%202011\Australia\WPG-RA-08-01%20draft%20Aug%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Confirmation_x0020_of_x0020_Learning xmlns="90fd365c-b02c-4f79-a5b6-7582dfc1c07f">
      <Url xsi:nil="true"/>
      <Description xsi:nil="true"/>
    </Confirmation_x0020_of_x0020_Learning>
    <Subcategory1 xmlns="90fd365c-b02c-4f79-a5b6-7582dfc1c07f" xsi:nil="true"/>
    <Group xmlns="90fd365c-b02c-4f79-a5b6-7582dfc1c07f">Medical</Group>
    <Category xmlns="90fd365c-b02c-4f79-a5b6-7582dfc1c0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2FBA8B4608934A9116EAC92E622F74" ma:contentTypeVersion="4" ma:contentTypeDescription="Create a new document." ma:contentTypeScope="" ma:versionID="319b12851ea675812b282fbacbc930fd">
  <xsd:schema xmlns:xsd="http://www.w3.org/2001/XMLSchema" xmlns:p="http://schemas.microsoft.com/office/2006/metadata/properties" xmlns:ns2="90fd365c-b02c-4f79-a5b6-7582dfc1c07f" targetNamespace="http://schemas.microsoft.com/office/2006/metadata/properties" ma:root="true" ma:fieldsID="63ee493ba353f7d98d15bcb43ab8ae69" ns2:_="">
    <xsd:import namespace="90fd365c-b02c-4f79-a5b6-7582dfc1c07f"/>
    <xsd:element name="properties">
      <xsd:complexType>
        <xsd:sequence>
          <xsd:element name="documentManagement">
            <xsd:complexType>
              <xsd:all>
                <xsd:element ref="ns2:Group"/>
                <xsd:element ref="ns2:Category" minOccurs="0"/>
                <xsd:element ref="ns2:Subcategory1" minOccurs="0"/>
                <xsd:element ref="ns2:Confirmation_x0020_of_x0020_Learning" minOccurs="0"/>
              </xsd:all>
            </xsd:complexType>
          </xsd:element>
        </xsd:sequence>
      </xsd:complexType>
    </xsd:element>
  </xsd:schema>
  <xsd:schema xmlns:xsd="http://www.w3.org/2001/XMLSchema" xmlns:dms="http://schemas.microsoft.com/office/2006/documentManagement/types" targetNamespace="90fd365c-b02c-4f79-a5b6-7582dfc1c07f" elementFormDefault="qualified">
    <xsd:import namespace="http://schemas.microsoft.com/office/2006/documentManagement/types"/>
    <xsd:element name="Group" ma:index="8" ma:displayName="Group" ma:default="Medical" ma:format="Dropdown" ma:internalName="Group">
      <xsd:simpleType>
        <xsd:restriction base="dms:Choice">
          <xsd:enumeration value="Medical"/>
          <xsd:enumeration value="Medical Operations"/>
          <xsd:enumeration value="Medical Directors"/>
          <xsd:enumeration value="Clinical Research"/>
          <xsd:enumeration value="Medical Affairs"/>
          <xsd:enumeration value="Strategic Alliances"/>
          <xsd:enumeration value="Regulatory Affairs"/>
        </xsd:restriction>
      </xsd:simpleType>
    </xsd:element>
    <xsd:element name="Category" ma:index="9" nillable="true" ma:displayName="Category" ma:format="Dropdown" ma:internalName="Category">
      <xsd:simpleType>
        <xsd:union memberTypes="dms:Text">
          <xsd:simpleType>
            <xsd:restriction base="dms:Choice">
              <xsd:enumeration value="Administration"/>
              <xsd:enumeration value="Clinical Supply"/>
              <xsd:enumeration value="Clinical Trial"/>
              <xsd:enumeration value="Computer Services"/>
              <xsd:enumeration value="Drug Safety"/>
              <xsd:enumeration value="Marketing"/>
              <xsd:enumeration value="Research Grants"/>
              <xsd:enumeration value="Sales"/>
              <xsd:enumeration value="STP News"/>
              <xsd:enumeration value="Systems"/>
              <xsd:enumeration value="Training and Development"/>
              <xsd:enumeration value="LPDs &amp; CMIs"/>
            </xsd:restriction>
          </xsd:simpleType>
        </xsd:union>
      </xsd:simpleType>
    </xsd:element>
    <xsd:element name="Subcategory1" ma:index="10" nillable="true" ma:displayName="Subcategory" ma:default="" ma:format="Dropdown" ma:internalName="Subcategory1">
      <xsd:simpleType>
        <xsd:union memberTypes="dms:Text">
          <xsd:simpleType>
            <xsd:restriction base="dms:Choice">
              <xsd:enumeration value="Cryosite"/>
              <xsd:enumeration value="FAQs"/>
              <xsd:enumeration value="Help"/>
              <xsd:enumeration value="SLA"/>
              <xsd:enumeration value="Stationary"/>
              <xsd:enumeration value="Study Start Up"/>
              <xsd:enumeration value="Study Conduct"/>
              <xsd:enumeration value="Study Closeout"/>
              <xsd:enumeration value="Training and Development"/>
              <xsd:enumeration value="Travel"/>
            </xsd:restriction>
          </xsd:simpleType>
        </xsd:union>
      </xsd:simpleType>
    </xsd:element>
    <xsd:element name="Confirmation_x0020_of_x0020_Learning" ma:index="11" nillable="true" ma:displayName="Confirmation of Learning" ma:format="Hyperlink" ma:internalName="Confirmation_x0020_of_x0020_Learning">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C2B4F-3872-4227-B4FC-91930D3238E2}">
  <ds:schemaRefs>
    <ds:schemaRef ds:uri="http://schemas.microsoft.com/sharepoint/v3/contenttype/forms"/>
  </ds:schemaRefs>
</ds:datastoreItem>
</file>

<file path=customXml/itemProps2.xml><?xml version="1.0" encoding="utf-8"?>
<ds:datastoreItem xmlns:ds="http://schemas.openxmlformats.org/officeDocument/2006/customXml" ds:itemID="{17A52840-C937-4F9B-B90E-2394A6477B03}">
  <ds:schemaRefs>
    <ds:schemaRef ds:uri="http://schemas.microsoft.com/office/2006/metadata/longProperties"/>
  </ds:schemaRefs>
</ds:datastoreItem>
</file>

<file path=customXml/itemProps3.xml><?xml version="1.0" encoding="utf-8"?>
<ds:datastoreItem xmlns:ds="http://schemas.openxmlformats.org/officeDocument/2006/customXml" ds:itemID="{5DBA86CD-AE79-4D5D-A753-EE8ABB2B7CD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0fd365c-b02c-4f79-a5b6-7582dfc1c07f"/>
    <ds:schemaRef ds:uri="http://www.w3.org/XML/1998/namespace"/>
    <ds:schemaRef ds:uri="http://purl.org/dc/dcmitype/"/>
  </ds:schemaRefs>
</ds:datastoreItem>
</file>

<file path=customXml/itemProps4.xml><?xml version="1.0" encoding="utf-8"?>
<ds:datastoreItem xmlns:ds="http://schemas.openxmlformats.org/officeDocument/2006/customXml" ds:itemID="{450FD85F-DE3A-4D0D-B526-1593D6033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d365c-b02c-4f79-a5b6-7582dfc1c07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7FAE05A-970C-45CA-953B-CEBE2581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WPG-RA-08-01 draft Aug 2011</Template>
  <TotalTime>2</TotalTime>
  <Pages>62</Pages>
  <Words>20184</Words>
  <Characters>112854</Characters>
  <Application>Microsoft Office Word</Application>
  <DocSecurity>0</DocSecurity>
  <Lines>2303</Lines>
  <Paragraphs>1000</Paragraphs>
  <ScaleCrop>false</ScaleCrop>
  <HeadingPairs>
    <vt:vector size="2" baseType="variant">
      <vt:variant>
        <vt:lpstr>Title</vt:lpstr>
      </vt:variant>
      <vt:variant>
        <vt:i4>1</vt:i4>
      </vt:variant>
    </vt:vector>
  </HeadingPairs>
  <TitlesOfParts>
    <vt:vector size="1" baseType="lpstr">
      <vt:lpstr>Product Information Style Guide</vt:lpstr>
    </vt:vector>
  </TitlesOfParts>
  <Company>Pfizer Inc</Company>
  <LinksUpToDate>false</LinksUpToDate>
  <CharactersWithSpaces>132038</CharactersWithSpaces>
  <SharedDoc>false</SharedDoc>
  <HLinks>
    <vt:vector size="12" baseType="variant">
      <vt:variant>
        <vt:i4>5046353</vt:i4>
      </vt:variant>
      <vt:variant>
        <vt:i4>12</vt:i4>
      </vt:variant>
      <vt:variant>
        <vt:i4>0</vt:i4>
      </vt:variant>
      <vt:variant>
        <vt:i4>5</vt:i4>
      </vt:variant>
      <vt:variant>
        <vt:lpwstr>http://www.pfizer.com.au/</vt:lpwstr>
      </vt:variant>
      <vt:variant>
        <vt:lpwstr/>
      </vt:variant>
      <vt:variant>
        <vt:i4>5898317</vt:i4>
      </vt:variant>
      <vt:variant>
        <vt:i4>3</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Tofacitinib (as citrate)</dc:title>
  <dc:subject>prescription medicines</dc:subject>
  <dc:creator>mactavish</dc:creator>
  <cp:keywords/>
  <cp:lastModifiedBy>LACK, Janet</cp:lastModifiedBy>
  <cp:revision>3</cp:revision>
  <cp:lastPrinted>2018-11-13T11:11:00Z</cp:lastPrinted>
  <dcterms:created xsi:type="dcterms:W3CDTF">2019-09-25T05:55:00Z</dcterms:created>
  <dcterms:modified xsi:type="dcterms:W3CDTF">2019-09-25T05:58:00Z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