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34BFC" w:rsidP="00096AA7">
            <w:pPr>
              <w:rPr>
                <w:rFonts w:ascii="Arial" w:hAnsi="Arial" w:cs="Arial"/>
                <w:b/>
                <w:color w:val="002C47"/>
                <w:sz w:val="36"/>
                <w:szCs w:val="36"/>
              </w:rPr>
            </w:pPr>
            <w:r>
              <w:rPr>
                <w:rFonts w:ascii="Arial" w:hAnsi="Arial" w:cs="Arial"/>
                <w:b/>
                <w:color w:val="002C47"/>
                <w:sz w:val="36"/>
                <w:szCs w:val="36"/>
              </w:rPr>
              <w:t xml:space="preserve">May </w:t>
            </w:r>
            <w:r w:rsidR="00731263">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C94959">
              <w:rPr>
                <w:color w:val="FFFFFF" w:themeColor="background1"/>
              </w:rPr>
              <w:t xml:space="preserve">blic Assessment Report for </w:t>
            </w:r>
            <w:r w:rsidR="00B34BFC">
              <w:rPr>
                <w:color w:val="FFFFFF" w:themeColor="background1"/>
              </w:rPr>
              <w:t>T</w:t>
            </w:r>
            <w:r w:rsidR="00C94959">
              <w:rPr>
                <w:color w:val="FFFFFF" w:themeColor="background1"/>
              </w:rPr>
              <w:t>ofacitinib</w:t>
            </w:r>
            <w:r w:rsidR="00DE30DA">
              <w:rPr>
                <w:color w:val="FFFFFF" w:themeColor="background1"/>
              </w:rPr>
              <w:t xml:space="preserve"> (as citrate)</w:t>
            </w:r>
          </w:p>
        </w:tc>
      </w:tr>
      <w:tr w:rsidR="0032583B" w:rsidRPr="00B64760" w:rsidTr="0032583B">
        <w:tc>
          <w:tcPr>
            <w:tcW w:w="9079" w:type="dxa"/>
          </w:tcPr>
          <w:p w:rsidR="0032583B" w:rsidRPr="008E7846" w:rsidRDefault="00C2796E" w:rsidP="0032583B">
            <w:pPr>
              <w:pStyle w:val="Subtitle"/>
              <w:rPr>
                <w:color w:val="FFFFFF" w:themeColor="background1"/>
              </w:rPr>
            </w:pPr>
            <w:r>
              <w:rPr>
                <w:color w:val="FFFFFF" w:themeColor="background1"/>
              </w:rPr>
              <w:t>Proprietary Product Name: Xeljanz</w:t>
            </w:r>
          </w:p>
        </w:tc>
      </w:tr>
      <w:tr w:rsidR="0032583B" w:rsidRPr="00B64760" w:rsidTr="0032583B">
        <w:trPr>
          <w:trHeight w:val="486"/>
        </w:trPr>
        <w:tc>
          <w:tcPr>
            <w:tcW w:w="9079" w:type="dxa"/>
          </w:tcPr>
          <w:p w:rsidR="0032583B" w:rsidRPr="008E7846" w:rsidRDefault="00724D69" w:rsidP="0032583B">
            <w:pPr>
              <w:pStyle w:val="Subtitle"/>
              <w:rPr>
                <w:color w:val="FFFFFF" w:themeColor="background1"/>
              </w:rPr>
            </w:pPr>
            <w:r>
              <w:rPr>
                <w:color w:val="FFFFFF" w:themeColor="background1"/>
              </w:rPr>
              <w:t xml:space="preserve">Sponsor: </w:t>
            </w:r>
            <w:r w:rsidRPr="00B011FF">
              <w:rPr>
                <w:color w:val="FFFFFF"/>
                <w:szCs w:val="36"/>
              </w:rPr>
              <w:t>Pfizer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509307181"/>
      <w:r>
        <w:t xml:space="preserve">About </w:t>
      </w:r>
      <w:proofErr w:type="spellStart"/>
      <w:r>
        <w:t>AusPARs</w:t>
      </w:r>
      <w:bookmarkEnd w:id="0"/>
      <w:bookmarkEnd w:id="1"/>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F52D3">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2" w:name="_Toc247691501" w:displacedByCustomXml="next"/>
    <w:bookmarkStart w:id="3"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F386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9307182" w:history="1">
            <w:r w:rsidR="00CF3863" w:rsidRPr="00BF3F44">
              <w:rPr>
                <w:rStyle w:val="Hyperlink"/>
                <w:noProof/>
              </w:rPr>
              <w:t>Common abbreviations</w:t>
            </w:r>
            <w:r w:rsidR="00CF3863">
              <w:rPr>
                <w:noProof/>
                <w:webHidden/>
              </w:rPr>
              <w:tab/>
            </w:r>
            <w:r w:rsidR="00CF3863">
              <w:rPr>
                <w:noProof/>
                <w:webHidden/>
              </w:rPr>
              <w:fldChar w:fldCharType="begin"/>
            </w:r>
            <w:r w:rsidR="00CF3863">
              <w:rPr>
                <w:noProof/>
                <w:webHidden/>
              </w:rPr>
              <w:instrText xml:space="preserve"> PAGEREF _Toc509307182 \h </w:instrText>
            </w:r>
            <w:r w:rsidR="00CF3863">
              <w:rPr>
                <w:noProof/>
                <w:webHidden/>
              </w:rPr>
            </w:r>
            <w:r w:rsidR="00CF3863">
              <w:rPr>
                <w:noProof/>
                <w:webHidden/>
              </w:rPr>
              <w:fldChar w:fldCharType="separate"/>
            </w:r>
            <w:r w:rsidR="00C374CD">
              <w:rPr>
                <w:noProof/>
                <w:webHidden/>
              </w:rPr>
              <w:t>4</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183" w:history="1">
            <w:r w:rsidR="00CF3863" w:rsidRPr="00BF3F44">
              <w:rPr>
                <w:rStyle w:val="Hyperlink"/>
                <w:noProof/>
              </w:rPr>
              <w:t>I. Introduction to product submission</w:t>
            </w:r>
            <w:r w:rsidR="00CF3863">
              <w:rPr>
                <w:noProof/>
                <w:webHidden/>
              </w:rPr>
              <w:tab/>
            </w:r>
            <w:r w:rsidR="00CF3863">
              <w:rPr>
                <w:noProof/>
                <w:webHidden/>
              </w:rPr>
              <w:fldChar w:fldCharType="begin"/>
            </w:r>
            <w:r w:rsidR="00CF3863">
              <w:rPr>
                <w:noProof/>
                <w:webHidden/>
              </w:rPr>
              <w:instrText xml:space="preserve"> PAGEREF _Toc509307183 \h </w:instrText>
            </w:r>
            <w:r w:rsidR="00CF3863">
              <w:rPr>
                <w:noProof/>
                <w:webHidden/>
              </w:rPr>
            </w:r>
            <w:r w:rsidR="00CF3863">
              <w:rPr>
                <w:noProof/>
                <w:webHidden/>
              </w:rPr>
              <w:fldChar w:fldCharType="separate"/>
            </w:r>
            <w:r w:rsidR="00C374CD">
              <w:rPr>
                <w:noProof/>
                <w:webHidden/>
              </w:rPr>
              <w:t>7</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84" w:history="1">
            <w:r w:rsidR="00CF3863" w:rsidRPr="00BF3F44">
              <w:rPr>
                <w:rStyle w:val="Hyperlink"/>
                <w:noProof/>
                <w:lang w:eastAsia="en-AU"/>
              </w:rPr>
              <w:t>Submission details</w:t>
            </w:r>
            <w:r w:rsidR="00CF3863">
              <w:rPr>
                <w:noProof/>
                <w:webHidden/>
              </w:rPr>
              <w:tab/>
            </w:r>
            <w:r w:rsidR="00CF3863">
              <w:rPr>
                <w:noProof/>
                <w:webHidden/>
              </w:rPr>
              <w:fldChar w:fldCharType="begin"/>
            </w:r>
            <w:r w:rsidR="00CF3863">
              <w:rPr>
                <w:noProof/>
                <w:webHidden/>
              </w:rPr>
              <w:instrText xml:space="preserve"> PAGEREF _Toc509307184 \h </w:instrText>
            </w:r>
            <w:r w:rsidR="00CF3863">
              <w:rPr>
                <w:noProof/>
                <w:webHidden/>
              </w:rPr>
            </w:r>
            <w:r w:rsidR="00CF3863">
              <w:rPr>
                <w:noProof/>
                <w:webHidden/>
              </w:rPr>
              <w:fldChar w:fldCharType="separate"/>
            </w:r>
            <w:r w:rsidR="00C374CD">
              <w:rPr>
                <w:noProof/>
                <w:webHidden/>
              </w:rPr>
              <w:t>7</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85" w:history="1">
            <w:r w:rsidR="00CF3863" w:rsidRPr="00BF3F44">
              <w:rPr>
                <w:rStyle w:val="Hyperlink"/>
                <w:noProof/>
              </w:rPr>
              <w:t>Product background</w:t>
            </w:r>
            <w:r w:rsidR="00CF3863">
              <w:rPr>
                <w:noProof/>
                <w:webHidden/>
              </w:rPr>
              <w:tab/>
            </w:r>
            <w:r w:rsidR="00CF3863">
              <w:rPr>
                <w:noProof/>
                <w:webHidden/>
              </w:rPr>
              <w:fldChar w:fldCharType="begin"/>
            </w:r>
            <w:r w:rsidR="00CF3863">
              <w:rPr>
                <w:noProof/>
                <w:webHidden/>
              </w:rPr>
              <w:instrText xml:space="preserve"> PAGEREF _Toc509307185 \h </w:instrText>
            </w:r>
            <w:r w:rsidR="00CF3863">
              <w:rPr>
                <w:noProof/>
                <w:webHidden/>
              </w:rPr>
            </w:r>
            <w:r w:rsidR="00CF3863">
              <w:rPr>
                <w:noProof/>
                <w:webHidden/>
              </w:rPr>
              <w:fldChar w:fldCharType="separate"/>
            </w:r>
            <w:r w:rsidR="00C374CD">
              <w:rPr>
                <w:noProof/>
                <w:webHidden/>
              </w:rPr>
              <w:t>7</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86" w:history="1">
            <w:r w:rsidR="00CF3863" w:rsidRPr="00BF3F44">
              <w:rPr>
                <w:rStyle w:val="Hyperlink"/>
                <w:noProof/>
              </w:rPr>
              <w:t>Regulatory status</w:t>
            </w:r>
            <w:r w:rsidR="00CF3863">
              <w:rPr>
                <w:noProof/>
                <w:webHidden/>
              </w:rPr>
              <w:tab/>
            </w:r>
            <w:r w:rsidR="00CF3863">
              <w:rPr>
                <w:noProof/>
                <w:webHidden/>
              </w:rPr>
              <w:fldChar w:fldCharType="begin"/>
            </w:r>
            <w:r w:rsidR="00CF3863">
              <w:rPr>
                <w:noProof/>
                <w:webHidden/>
              </w:rPr>
              <w:instrText xml:space="preserve"> PAGEREF _Toc509307186 \h </w:instrText>
            </w:r>
            <w:r w:rsidR="00CF3863">
              <w:rPr>
                <w:noProof/>
                <w:webHidden/>
              </w:rPr>
            </w:r>
            <w:r w:rsidR="00CF3863">
              <w:rPr>
                <w:noProof/>
                <w:webHidden/>
              </w:rPr>
              <w:fldChar w:fldCharType="separate"/>
            </w:r>
            <w:r w:rsidR="00C374CD">
              <w:rPr>
                <w:noProof/>
                <w:webHidden/>
              </w:rPr>
              <w:t>9</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87" w:history="1">
            <w:r w:rsidR="00CF3863" w:rsidRPr="00BF3F44">
              <w:rPr>
                <w:rStyle w:val="Hyperlink"/>
                <w:noProof/>
              </w:rPr>
              <w:t>Product Information</w:t>
            </w:r>
            <w:r w:rsidR="00CF3863">
              <w:rPr>
                <w:noProof/>
                <w:webHidden/>
              </w:rPr>
              <w:tab/>
            </w:r>
            <w:r w:rsidR="00CF3863">
              <w:rPr>
                <w:noProof/>
                <w:webHidden/>
              </w:rPr>
              <w:fldChar w:fldCharType="begin"/>
            </w:r>
            <w:r w:rsidR="00CF3863">
              <w:rPr>
                <w:noProof/>
                <w:webHidden/>
              </w:rPr>
              <w:instrText xml:space="preserve"> PAGEREF _Toc509307187 \h </w:instrText>
            </w:r>
            <w:r w:rsidR="00CF3863">
              <w:rPr>
                <w:noProof/>
                <w:webHidden/>
              </w:rPr>
            </w:r>
            <w:r w:rsidR="00CF3863">
              <w:rPr>
                <w:noProof/>
                <w:webHidden/>
              </w:rPr>
              <w:fldChar w:fldCharType="separate"/>
            </w:r>
            <w:r w:rsidR="00C374CD">
              <w:rPr>
                <w:noProof/>
                <w:webHidden/>
              </w:rPr>
              <w:t>11</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188" w:history="1">
            <w:r w:rsidR="00CF3863" w:rsidRPr="00BF3F44">
              <w:rPr>
                <w:rStyle w:val="Hyperlink"/>
                <w:noProof/>
              </w:rPr>
              <w:t>II. Registration timeline</w:t>
            </w:r>
            <w:r w:rsidR="00CF3863">
              <w:rPr>
                <w:noProof/>
                <w:webHidden/>
              </w:rPr>
              <w:tab/>
            </w:r>
            <w:r w:rsidR="00CF3863">
              <w:rPr>
                <w:noProof/>
                <w:webHidden/>
              </w:rPr>
              <w:fldChar w:fldCharType="begin"/>
            </w:r>
            <w:r w:rsidR="00CF3863">
              <w:rPr>
                <w:noProof/>
                <w:webHidden/>
              </w:rPr>
              <w:instrText xml:space="preserve"> PAGEREF _Toc509307188 \h </w:instrText>
            </w:r>
            <w:r w:rsidR="00CF3863">
              <w:rPr>
                <w:noProof/>
                <w:webHidden/>
              </w:rPr>
            </w:r>
            <w:r w:rsidR="00CF3863">
              <w:rPr>
                <w:noProof/>
                <w:webHidden/>
              </w:rPr>
              <w:fldChar w:fldCharType="separate"/>
            </w:r>
            <w:r w:rsidR="00C374CD">
              <w:rPr>
                <w:noProof/>
                <w:webHidden/>
              </w:rPr>
              <w:t>11</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189" w:history="1">
            <w:r w:rsidR="00CF3863" w:rsidRPr="00BF3F44">
              <w:rPr>
                <w:rStyle w:val="Hyperlink"/>
                <w:noProof/>
              </w:rPr>
              <w:t>III. Quality findings</w:t>
            </w:r>
            <w:r w:rsidR="00CF3863">
              <w:rPr>
                <w:noProof/>
                <w:webHidden/>
              </w:rPr>
              <w:tab/>
            </w:r>
            <w:r w:rsidR="00CF3863">
              <w:rPr>
                <w:noProof/>
                <w:webHidden/>
              </w:rPr>
              <w:fldChar w:fldCharType="begin"/>
            </w:r>
            <w:r w:rsidR="00CF3863">
              <w:rPr>
                <w:noProof/>
                <w:webHidden/>
              </w:rPr>
              <w:instrText xml:space="preserve"> PAGEREF _Toc509307189 \h </w:instrText>
            </w:r>
            <w:r w:rsidR="00CF3863">
              <w:rPr>
                <w:noProof/>
                <w:webHidden/>
              </w:rPr>
            </w:r>
            <w:r w:rsidR="00CF3863">
              <w:rPr>
                <w:noProof/>
                <w:webHidden/>
              </w:rPr>
              <w:fldChar w:fldCharType="separate"/>
            </w:r>
            <w:r w:rsidR="00C374CD">
              <w:rPr>
                <w:noProof/>
                <w:webHidden/>
              </w:rPr>
              <w:t>12</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190" w:history="1">
            <w:r w:rsidR="00CF3863" w:rsidRPr="00BF3F44">
              <w:rPr>
                <w:rStyle w:val="Hyperlink"/>
                <w:noProof/>
              </w:rPr>
              <w:t>IV. Nonclinical findings</w:t>
            </w:r>
            <w:r w:rsidR="00CF3863">
              <w:rPr>
                <w:noProof/>
                <w:webHidden/>
              </w:rPr>
              <w:tab/>
            </w:r>
            <w:r w:rsidR="00CF3863">
              <w:rPr>
                <w:noProof/>
                <w:webHidden/>
              </w:rPr>
              <w:fldChar w:fldCharType="begin"/>
            </w:r>
            <w:r w:rsidR="00CF3863">
              <w:rPr>
                <w:noProof/>
                <w:webHidden/>
              </w:rPr>
              <w:instrText xml:space="preserve"> PAGEREF _Toc509307190 \h </w:instrText>
            </w:r>
            <w:r w:rsidR="00CF3863">
              <w:rPr>
                <w:noProof/>
                <w:webHidden/>
              </w:rPr>
            </w:r>
            <w:r w:rsidR="00CF3863">
              <w:rPr>
                <w:noProof/>
                <w:webHidden/>
              </w:rPr>
              <w:fldChar w:fldCharType="separate"/>
            </w:r>
            <w:r w:rsidR="00C374CD">
              <w:rPr>
                <w:noProof/>
                <w:webHidden/>
              </w:rPr>
              <w:t>12</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191" w:history="1">
            <w:r w:rsidR="00CF3863" w:rsidRPr="00BF3F44">
              <w:rPr>
                <w:rStyle w:val="Hyperlink"/>
                <w:noProof/>
              </w:rPr>
              <w:t>V. Clinical findings</w:t>
            </w:r>
            <w:r w:rsidR="00CF3863">
              <w:rPr>
                <w:noProof/>
                <w:webHidden/>
              </w:rPr>
              <w:tab/>
            </w:r>
            <w:r w:rsidR="00CF3863">
              <w:rPr>
                <w:noProof/>
                <w:webHidden/>
              </w:rPr>
              <w:fldChar w:fldCharType="begin"/>
            </w:r>
            <w:r w:rsidR="00CF3863">
              <w:rPr>
                <w:noProof/>
                <w:webHidden/>
              </w:rPr>
              <w:instrText xml:space="preserve"> PAGEREF _Toc509307191 \h </w:instrText>
            </w:r>
            <w:r w:rsidR="00CF3863">
              <w:rPr>
                <w:noProof/>
                <w:webHidden/>
              </w:rPr>
            </w:r>
            <w:r w:rsidR="00CF3863">
              <w:rPr>
                <w:noProof/>
                <w:webHidden/>
              </w:rPr>
              <w:fldChar w:fldCharType="separate"/>
            </w:r>
            <w:r w:rsidR="00C374CD">
              <w:rPr>
                <w:noProof/>
                <w:webHidden/>
              </w:rPr>
              <w:t>12</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2" w:history="1">
            <w:r w:rsidR="00CF3863" w:rsidRPr="00BF3F44">
              <w:rPr>
                <w:rStyle w:val="Hyperlink"/>
                <w:noProof/>
              </w:rPr>
              <w:t>Introduction</w:t>
            </w:r>
            <w:r w:rsidR="00CF3863">
              <w:rPr>
                <w:noProof/>
                <w:webHidden/>
              </w:rPr>
              <w:tab/>
            </w:r>
            <w:r w:rsidR="00CF3863">
              <w:rPr>
                <w:noProof/>
                <w:webHidden/>
              </w:rPr>
              <w:fldChar w:fldCharType="begin"/>
            </w:r>
            <w:r w:rsidR="00CF3863">
              <w:rPr>
                <w:noProof/>
                <w:webHidden/>
              </w:rPr>
              <w:instrText xml:space="preserve"> PAGEREF _Toc509307192 \h </w:instrText>
            </w:r>
            <w:r w:rsidR="00CF3863">
              <w:rPr>
                <w:noProof/>
                <w:webHidden/>
              </w:rPr>
            </w:r>
            <w:r w:rsidR="00CF3863">
              <w:rPr>
                <w:noProof/>
                <w:webHidden/>
              </w:rPr>
              <w:fldChar w:fldCharType="separate"/>
            </w:r>
            <w:r w:rsidR="00C374CD">
              <w:rPr>
                <w:noProof/>
                <w:webHidden/>
              </w:rPr>
              <w:t>12</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3" w:history="1">
            <w:r w:rsidR="00CF3863" w:rsidRPr="00BF3F44">
              <w:rPr>
                <w:rStyle w:val="Hyperlink"/>
                <w:noProof/>
              </w:rPr>
              <w:t>Pharmacokinetics</w:t>
            </w:r>
            <w:r w:rsidR="00CF3863">
              <w:rPr>
                <w:noProof/>
                <w:webHidden/>
              </w:rPr>
              <w:tab/>
            </w:r>
            <w:r w:rsidR="00CF3863">
              <w:rPr>
                <w:noProof/>
                <w:webHidden/>
              </w:rPr>
              <w:fldChar w:fldCharType="begin"/>
            </w:r>
            <w:r w:rsidR="00CF3863">
              <w:rPr>
                <w:noProof/>
                <w:webHidden/>
              </w:rPr>
              <w:instrText xml:space="preserve"> PAGEREF _Toc509307193 \h </w:instrText>
            </w:r>
            <w:r w:rsidR="00CF3863">
              <w:rPr>
                <w:noProof/>
                <w:webHidden/>
              </w:rPr>
            </w:r>
            <w:r w:rsidR="00CF3863">
              <w:rPr>
                <w:noProof/>
                <w:webHidden/>
              </w:rPr>
              <w:fldChar w:fldCharType="separate"/>
            </w:r>
            <w:r w:rsidR="00C374CD">
              <w:rPr>
                <w:noProof/>
                <w:webHidden/>
              </w:rPr>
              <w:t>16</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4" w:history="1">
            <w:r w:rsidR="00CF3863" w:rsidRPr="00BF3F44">
              <w:rPr>
                <w:rStyle w:val="Hyperlink"/>
                <w:noProof/>
              </w:rPr>
              <w:t>Pharmacodynamics</w:t>
            </w:r>
            <w:r w:rsidR="00CF3863">
              <w:rPr>
                <w:noProof/>
                <w:webHidden/>
              </w:rPr>
              <w:tab/>
            </w:r>
            <w:r w:rsidR="00CF3863">
              <w:rPr>
                <w:noProof/>
                <w:webHidden/>
              </w:rPr>
              <w:fldChar w:fldCharType="begin"/>
            </w:r>
            <w:r w:rsidR="00CF3863">
              <w:rPr>
                <w:noProof/>
                <w:webHidden/>
              </w:rPr>
              <w:instrText xml:space="preserve"> PAGEREF _Toc509307194 \h </w:instrText>
            </w:r>
            <w:r w:rsidR="00CF3863">
              <w:rPr>
                <w:noProof/>
                <w:webHidden/>
              </w:rPr>
            </w:r>
            <w:r w:rsidR="00CF3863">
              <w:rPr>
                <w:noProof/>
                <w:webHidden/>
              </w:rPr>
              <w:fldChar w:fldCharType="separate"/>
            </w:r>
            <w:r w:rsidR="00C374CD">
              <w:rPr>
                <w:noProof/>
                <w:webHidden/>
              </w:rPr>
              <w:t>16</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5" w:history="1">
            <w:r w:rsidR="00CF3863" w:rsidRPr="00BF3F44">
              <w:rPr>
                <w:rStyle w:val="Hyperlink"/>
                <w:noProof/>
              </w:rPr>
              <w:t>Dosage selection for the pivotal studies</w:t>
            </w:r>
            <w:r w:rsidR="00CF3863">
              <w:rPr>
                <w:noProof/>
                <w:webHidden/>
              </w:rPr>
              <w:tab/>
            </w:r>
            <w:r w:rsidR="00CF3863">
              <w:rPr>
                <w:noProof/>
                <w:webHidden/>
              </w:rPr>
              <w:fldChar w:fldCharType="begin"/>
            </w:r>
            <w:r w:rsidR="00CF3863">
              <w:rPr>
                <w:noProof/>
                <w:webHidden/>
              </w:rPr>
              <w:instrText xml:space="preserve"> PAGEREF _Toc509307195 \h </w:instrText>
            </w:r>
            <w:r w:rsidR="00CF3863">
              <w:rPr>
                <w:noProof/>
                <w:webHidden/>
              </w:rPr>
            </w:r>
            <w:r w:rsidR="00CF3863">
              <w:rPr>
                <w:noProof/>
                <w:webHidden/>
              </w:rPr>
              <w:fldChar w:fldCharType="separate"/>
            </w:r>
            <w:r w:rsidR="00C374CD">
              <w:rPr>
                <w:noProof/>
                <w:webHidden/>
              </w:rPr>
              <w:t>17</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6" w:history="1">
            <w:r w:rsidR="00CF3863" w:rsidRPr="00BF3F44">
              <w:rPr>
                <w:rStyle w:val="Hyperlink"/>
                <w:noProof/>
              </w:rPr>
              <w:t>Efficacy</w:t>
            </w:r>
            <w:r w:rsidR="00CF3863">
              <w:rPr>
                <w:noProof/>
                <w:webHidden/>
              </w:rPr>
              <w:tab/>
            </w:r>
            <w:r w:rsidR="00CF3863">
              <w:rPr>
                <w:noProof/>
                <w:webHidden/>
              </w:rPr>
              <w:fldChar w:fldCharType="begin"/>
            </w:r>
            <w:r w:rsidR="00CF3863">
              <w:rPr>
                <w:noProof/>
                <w:webHidden/>
              </w:rPr>
              <w:instrText xml:space="preserve"> PAGEREF _Toc509307196 \h </w:instrText>
            </w:r>
            <w:r w:rsidR="00CF3863">
              <w:rPr>
                <w:noProof/>
                <w:webHidden/>
              </w:rPr>
            </w:r>
            <w:r w:rsidR="00CF3863">
              <w:rPr>
                <w:noProof/>
                <w:webHidden/>
              </w:rPr>
              <w:fldChar w:fldCharType="separate"/>
            </w:r>
            <w:r w:rsidR="00C374CD">
              <w:rPr>
                <w:noProof/>
                <w:webHidden/>
              </w:rPr>
              <w:t>18</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7" w:history="1">
            <w:r w:rsidR="00CF3863" w:rsidRPr="00BF3F44">
              <w:rPr>
                <w:rStyle w:val="Hyperlink"/>
                <w:noProof/>
              </w:rPr>
              <w:t>Safety</w:t>
            </w:r>
            <w:r w:rsidR="00CF3863">
              <w:rPr>
                <w:noProof/>
                <w:webHidden/>
              </w:rPr>
              <w:tab/>
            </w:r>
            <w:r w:rsidR="00CF3863">
              <w:rPr>
                <w:noProof/>
                <w:webHidden/>
              </w:rPr>
              <w:fldChar w:fldCharType="begin"/>
            </w:r>
            <w:r w:rsidR="00CF3863">
              <w:rPr>
                <w:noProof/>
                <w:webHidden/>
              </w:rPr>
              <w:instrText xml:space="preserve"> PAGEREF _Toc509307197 \h </w:instrText>
            </w:r>
            <w:r w:rsidR="00CF3863">
              <w:rPr>
                <w:noProof/>
                <w:webHidden/>
              </w:rPr>
            </w:r>
            <w:r w:rsidR="00CF3863">
              <w:rPr>
                <w:noProof/>
                <w:webHidden/>
              </w:rPr>
              <w:fldChar w:fldCharType="separate"/>
            </w:r>
            <w:r w:rsidR="00C374CD">
              <w:rPr>
                <w:noProof/>
                <w:webHidden/>
              </w:rPr>
              <w:t>20</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8" w:history="1">
            <w:r w:rsidR="00CF3863" w:rsidRPr="00BF3F44">
              <w:rPr>
                <w:rStyle w:val="Hyperlink"/>
                <w:noProof/>
              </w:rPr>
              <w:t>First round benefit-risk assessment</w:t>
            </w:r>
            <w:r w:rsidR="00CF3863">
              <w:rPr>
                <w:noProof/>
                <w:webHidden/>
              </w:rPr>
              <w:tab/>
            </w:r>
            <w:r w:rsidR="00CF3863">
              <w:rPr>
                <w:noProof/>
                <w:webHidden/>
              </w:rPr>
              <w:fldChar w:fldCharType="begin"/>
            </w:r>
            <w:r w:rsidR="00CF3863">
              <w:rPr>
                <w:noProof/>
                <w:webHidden/>
              </w:rPr>
              <w:instrText xml:space="preserve"> PAGEREF _Toc509307198 \h </w:instrText>
            </w:r>
            <w:r w:rsidR="00CF3863">
              <w:rPr>
                <w:noProof/>
                <w:webHidden/>
              </w:rPr>
            </w:r>
            <w:r w:rsidR="00CF3863">
              <w:rPr>
                <w:noProof/>
                <w:webHidden/>
              </w:rPr>
              <w:fldChar w:fldCharType="separate"/>
            </w:r>
            <w:r w:rsidR="00C374CD">
              <w:rPr>
                <w:noProof/>
                <w:webHidden/>
              </w:rPr>
              <w:t>30</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199" w:history="1">
            <w:r w:rsidR="00CF3863" w:rsidRPr="00BF3F44">
              <w:rPr>
                <w:rStyle w:val="Hyperlink"/>
                <w:noProof/>
              </w:rPr>
              <w:t>First round recommendation regarding authorisation</w:t>
            </w:r>
            <w:r w:rsidR="00CF3863">
              <w:rPr>
                <w:noProof/>
                <w:webHidden/>
              </w:rPr>
              <w:tab/>
            </w:r>
            <w:r w:rsidR="00CF3863">
              <w:rPr>
                <w:noProof/>
                <w:webHidden/>
              </w:rPr>
              <w:fldChar w:fldCharType="begin"/>
            </w:r>
            <w:r w:rsidR="00CF3863">
              <w:rPr>
                <w:noProof/>
                <w:webHidden/>
              </w:rPr>
              <w:instrText xml:space="preserve"> PAGEREF _Toc509307199 \h </w:instrText>
            </w:r>
            <w:r w:rsidR="00CF3863">
              <w:rPr>
                <w:noProof/>
                <w:webHidden/>
              </w:rPr>
            </w:r>
            <w:r w:rsidR="00CF3863">
              <w:rPr>
                <w:noProof/>
                <w:webHidden/>
              </w:rPr>
              <w:fldChar w:fldCharType="separate"/>
            </w:r>
            <w:r w:rsidR="00C374CD">
              <w:rPr>
                <w:noProof/>
                <w:webHidden/>
              </w:rPr>
              <w:t>32</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0" w:history="1">
            <w:r w:rsidR="00CF3863" w:rsidRPr="00BF3F44">
              <w:rPr>
                <w:rStyle w:val="Hyperlink"/>
                <w:noProof/>
              </w:rPr>
              <w:t>Clinical questions</w:t>
            </w:r>
            <w:r w:rsidR="00CF3863">
              <w:rPr>
                <w:noProof/>
                <w:webHidden/>
              </w:rPr>
              <w:tab/>
            </w:r>
            <w:r w:rsidR="00CF3863">
              <w:rPr>
                <w:noProof/>
                <w:webHidden/>
              </w:rPr>
              <w:fldChar w:fldCharType="begin"/>
            </w:r>
            <w:r w:rsidR="00CF3863">
              <w:rPr>
                <w:noProof/>
                <w:webHidden/>
              </w:rPr>
              <w:instrText xml:space="preserve"> PAGEREF _Toc509307200 \h </w:instrText>
            </w:r>
            <w:r w:rsidR="00CF3863">
              <w:rPr>
                <w:noProof/>
                <w:webHidden/>
              </w:rPr>
            </w:r>
            <w:r w:rsidR="00CF3863">
              <w:rPr>
                <w:noProof/>
                <w:webHidden/>
              </w:rPr>
              <w:fldChar w:fldCharType="separate"/>
            </w:r>
            <w:r w:rsidR="00C374CD">
              <w:rPr>
                <w:noProof/>
                <w:webHidden/>
              </w:rPr>
              <w:t>33</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1" w:history="1">
            <w:r w:rsidR="00CF3863" w:rsidRPr="00BF3F44">
              <w:rPr>
                <w:rStyle w:val="Hyperlink"/>
                <w:noProof/>
              </w:rPr>
              <w:t>Second round evaluation</w:t>
            </w:r>
            <w:r w:rsidR="00CF3863">
              <w:rPr>
                <w:noProof/>
                <w:webHidden/>
              </w:rPr>
              <w:tab/>
            </w:r>
            <w:r w:rsidR="00CF3863">
              <w:rPr>
                <w:noProof/>
                <w:webHidden/>
              </w:rPr>
              <w:fldChar w:fldCharType="begin"/>
            </w:r>
            <w:r w:rsidR="00CF3863">
              <w:rPr>
                <w:noProof/>
                <w:webHidden/>
              </w:rPr>
              <w:instrText xml:space="preserve"> PAGEREF _Toc509307201 \h </w:instrText>
            </w:r>
            <w:r w:rsidR="00CF3863">
              <w:rPr>
                <w:noProof/>
                <w:webHidden/>
              </w:rPr>
            </w:r>
            <w:r w:rsidR="00CF3863">
              <w:rPr>
                <w:noProof/>
                <w:webHidden/>
              </w:rPr>
              <w:fldChar w:fldCharType="separate"/>
            </w:r>
            <w:r w:rsidR="00C374CD">
              <w:rPr>
                <w:noProof/>
                <w:webHidden/>
              </w:rPr>
              <w:t>34</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2" w:history="1">
            <w:r w:rsidR="00CF3863" w:rsidRPr="00BF3F44">
              <w:rPr>
                <w:rStyle w:val="Hyperlink"/>
                <w:noProof/>
              </w:rPr>
              <w:t>Second round benefit-risk assessment</w:t>
            </w:r>
            <w:r w:rsidR="00CF3863">
              <w:rPr>
                <w:noProof/>
                <w:webHidden/>
              </w:rPr>
              <w:tab/>
            </w:r>
            <w:r w:rsidR="00CF3863">
              <w:rPr>
                <w:noProof/>
                <w:webHidden/>
              </w:rPr>
              <w:fldChar w:fldCharType="begin"/>
            </w:r>
            <w:r w:rsidR="00CF3863">
              <w:rPr>
                <w:noProof/>
                <w:webHidden/>
              </w:rPr>
              <w:instrText xml:space="preserve"> PAGEREF _Toc509307202 \h </w:instrText>
            </w:r>
            <w:r w:rsidR="00CF3863">
              <w:rPr>
                <w:noProof/>
                <w:webHidden/>
              </w:rPr>
            </w:r>
            <w:r w:rsidR="00CF3863">
              <w:rPr>
                <w:noProof/>
                <w:webHidden/>
              </w:rPr>
              <w:fldChar w:fldCharType="separate"/>
            </w:r>
            <w:r w:rsidR="00C374CD">
              <w:rPr>
                <w:noProof/>
                <w:webHidden/>
              </w:rPr>
              <w:t>34</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3" w:history="1">
            <w:r w:rsidR="00CF3863" w:rsidRPr="00BF3F44">
              <w:rPr>
                <w:rStyle w:val="Hyperlink"/>
                <w:noProof/>
              </w:rPr>
              <w:t>Second round recommendation regarding authorisation</w:t>
            </w:r>
            <w:r w:rsidR="00CF3863">
              <w:rPr>
                <w:noProof/>
                <w:webHidden/>
              </w:rPr>
              <w:tab/>
            </w:r>
            <w:r w:rsidR="00CF3863">
              <w:rPr>
                <w:noProof/>
                <w:webHidden/>
              </w:rPr>
              <w:fldChar w:fldCharType="begin"/>
            </w:r>
            <w:r w:rsidR="00CF3863">
              <w:rPr>
                <w:noProof/>
                <w:webHidden/>
              </w:rPr>
              <w:instrText xml:space="preserve"> PAGEREF _Toc509307203 \h </w:instrText>
            </w:r>
            <w:r w:rsidR="00CF3863">
              <w:rPr>
                <w:noProof/>
                <w:webHidden/>
              </w:rPr>
            </w:r>
            <w:r w:rsidR="00CF3863">
              <w:rPr>
                <w:noProof/>
                <w:webHidden/>
              </w:rPr>
              <w:fldChar w:fldCharType="separate"/>
            </w:r>
            <w:r w:rsidR="00C374CD">
              <w:rPr>
                <w:noProof/>
                <w:webHidden/>
              </w:rPr>
              <w:t>35</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204" w:history="1">
            <w:r w:rsidR="00CF3863" w:rsidRPr="00BF3F44">
              <w:rPr>
                <w:rStyle w:val="Hyperlink"/>
                <w:noProof/>
              </w:rPr>
              <w:t>VI. Pharmacovigilance findings</w:t>
            </w:r>
            <w:r w:rsidR="00CF3863">
              <w:rPr>
                <w:noProof/>
                <w:webHidden/>
              </w:rPr>
              <w:tab/>
            </w:r>
            <w:r w:rsidR="00CF3863">
              <w:rPr>
                <w:noProof/>
                <w:webHidden/>
              </w:rPr>
              <w:fldChar w:fldCharType="begin"/>
            </w:r>
            <w:r w:rsidR="00CF3863">
              <w:rPr>
                <w:noProof/>
                <w:webHidden/>
              </w:rPr>
              <w:instrText xml:space="preserve"> PAGEREF _Toc509307204 \h </w:instrText>
            </w:r>
            <w:r w:rsidR="00CF3863">
              <w:rPr>
                <w:noProof/>
                <w:webHidden/>
              </w:rPr>
            </w:r>
            <w:r w:rsidR="00CF3863">
              <w:rPr>
                <w:noProof/>
                <w:webHidden/>
              </w:rPr>
              <w:fldChar w:fldCharType="separate"/>
            </w:r>
            <w:r w:rsidR="00C374CD">
              <w:rPr>
                <w:noProof/>
                <w:webHidden/>
              </w:rPr>
              <w:t>36</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5" w:history="1">
            <w:r w:rsidR="00CF3863" w:rsidRPr="00BF3F44">
              <w:rPr>
                <w:rStyle w:val="Hyperlink"/>
                <w:noProof/>
                <w:lang w:eastAsia="en-AU"/>
              </w:rPr>
              <w:t>Risk management plan</w:t>
            </w:r>
            <w:r w:rsidR="00CF3863">
              <w:rPr>
                <w:noProof/>
                <w:webHidden/>
              </w:rPr>
              <w:tab/>
            </w:r>
            <w:r w:rsidR="00CF3863">
              <w:rPr>
                <w:noProof/>
                <w:webHidden/>
              </w:rPr>
              <w:fldChar w:fldCharType="begin"/>
            </w:r>
            <w:r w:rsidR="00CF3863">
              <w:rPr>
                <w:noProof/>
                <w:webHidden/>
              </w:rPr>
              <w:instrText xml:space="preserve"> PAGEREF _Toc509307205 \h </w:instrText>
            </w:r>
            <w:r w:rsidR="00CF3863">
              <w:rPr>
                <w:noProof/>
                <w:webHidden/>
              </w:rPr>
            </w:r>
            <w:r w:rsidR="00CF3863">
              <w:rPr>
                <w:noProof/>
                <w:webHidden/>
              </w:rPr>
              <w:fldChar w:fldCharType="separate"/>
            </w:r>
            <w:r w:rsidR="00C374CD">
              <w:rPr>
                <w:noProof/>
                <w:webHidden/>
              </w:rPr>
              <w:t>36</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206" w:history="1">
            <w:r w:rsidR="00CF3863" w:rsidRPr="00BF3F44">
              <w:rPr>
                <w:rStyle w:val="Hyperlink"/>
                <w:noProof/>
              </w:rPr>
              <w:t>VII. Overall conclusion and risk/benefit assessment</w:t>
            </w:r>
            <w:r w:rsidR="00CF3863">
              <w:rPr>
                <w:noProof/>
                <w:webHidden/>
              </w:rPr>
              <w:tab/>
            </w:r>
            <w:r w:rsidR="00CF3863">
              <w:rPr>
                <w:noProof/>
                <w:webHidden/>
              </w:rPr>
              <w:fldChar w:fldCharType="begin"/>
            </w:r>
            <w:r w:rsidR="00CF3863">
              <w:rPr>
                <w:noProof/>
                <w:webHidden/>
              </w:rPr>
              <w:instrText xml:space="preserve"> PAGEREF _Toc509307206 \h </w:instrText>
            </w:r>
            <w:r w:rsidR="00CF3863">
              <w:rPr>
                <w:noProof/>
                <w:webHidden/>
              </w:rPr>
            </w:r>
            <w:r w:rsidR="00CF3863">
              <w:rPr>
                <w:noProof/>
                <w:webHidden/>
              </w:rPr>
              <w:fldChar w:fldCharType="separate"/>
            </w:r>
            <w:r w:rsidR="00C374CD">
              <w:rPr>
                <w:noProof/>
                <w:webHidden/>
              </w:rPr>
              <w:t>38</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7" w:history="1">
            <w:r w:rsidR="00CF3863" w:rsidRPr="00BF3F44">
              <w:rPr>
                <w:rStyle w:val="Hyperlink"/>
                <w:noProof/>
              </w:rPr>
              <w:t>Quality</w:t>
            </w:r>
            <w:r w:rsidR="00CF3863">
              <w:rPr>
                <w:noProof/>
                <w:webHidden/>
              </w:rPr>
              <w:tab/>
            </w:r>
            <w:r w:rsidR="00CF3863">
              <w:rPr>
                <w:noProof/>
                <w:webHidden/>
              </w:rPr>
              <w:fldChar w:fldCharType="begin"/>
            </w:r>
            <w:r w:rsidR="00CF3863">
              <w:rPr>
                <w:noProof/>
                <w:webHidden/>
              </w:rPr>
              <w:instrText xml:space="preserve"> PAGEREF _Toc509307207 \h </w:instrText>
            </w:r>
            <w:r w:rsidR="00CF3863">
              <w:rPr>
                <w:noProof/>
                <w:webHidden/>
              </w:rPr>
            </w:r>
            <w:r w:rsidR="00CF3863">
              <w:rPr>
                <w:noProof/>
                <w:webHidden/>
              </w:rPr>
              <w:fldChar w:fldCharType="separate"/>
            </w:r>
            <w:r w:rsidR="00C374CD">
              <w:rPr>
                <w:noProof/>
                <w:webHidden/>
              </w:rPr>
              <w:t>38</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8" w:history="1">
            <w:r w:rsidR="00CF3863" w:rsidRPr="00BF3F44">
              <w:rPr>
                <w:rStyle w:val="Hyperlink"/>
                <w:noProof/>
              </w:rPr>
              <w:t>Nonclinical</w:t>
            </w:r>
            <w:r w:rsidR="00CF3863">
              <w:rPr>
                <w:noProof/>
                <w:webHidden/>
              </w:rPr>
              <w:tab/>
            </w:r>
            <w:r w:rsidR="00CF3863">
              <w:rPr>
                <w:noProof/>
                <w:webHidden/>
              </w:rPr>
              <w:fldChar w:fldCharType="begin"/>
            </w:r>
            <w:r w:rsidR="00CF3863">
              <w:rPr>
                <w:noProof/>
                <w:webHidden/>
              </w:rPr>
              <w:instrText xml:space="preserve"> PAGEREF _Toc509307208 \h </w:instrText>
            </w:r>
            <w:r w:rsidR="00CF3863">
              <w:rPr>
                <w:noProof/>
                <w:webHidden/>
              </w:rPr>
            </w:r>
            <w:r w:rsidR="00CF3863">
              <w:rPr>
                <w:noProof/>
                <w:webHidden/>
              </w:rPr>
              <w:fldChar w:fldCharType="separate"/>
            </w:r>
            <w:r w:rsidR="00C374CD">
              <w:rPr>
                <w:noProof/>
                <w:webHidden/>
              </w:rPr>
              <w:t>38</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09" w:history="1">
            <w:r w:rsidR="00CF3863" w:rsidRPr="00BF3F44">
              <w:rPr>
                <w:rStyle w:val="Hyperlink"/>
                <w:noProof/>
              </w:rPr>
              <w:t>Clinical</w:t>
            </w:r>
            <w:r w:rsidR="00CF3863">
              <w:rPr>
                <w:noProof/>
                <w:webHidden/>
              </w:rPr>
              <w:tab/>
            </w:r>
            <w:r w:rsidR="00CF3863">
              <w:rPr>
                <w:noProof/>
                <w:webHidden/>
              </w:rPr>
              <w:fldChar w:fldCharType="begin"/>
            </w:r>
            <w:r w:rsidR="00CF3863">
              <w:rPr>
                <w:noProof/>
                <w:webHidden/>
              </w:rPr>
              <w:instrText xml:space="preserve"> PAGEREF _Toc509307209 \h </w:instrText>
            </w:r>
            <w:r w:rsidR="00CF3863">
              <w:rPr>
                <w:noProof/>
                <w:webHidden/>
              </w:rPr>
            </w:r>
            <w:r w:rsidR="00CF3863">
              <w:rPr>
                <w:noProof/>
                <w:webHidden/>
              </w:rPr>
              <w:fldChar w:fldCharType="separate"/>
            </w:r>
            <w:r w:rsidR="00C374CD">
              <w:rPr>
                <w:noProof/>
                <w:webHidden/>
              </w:rPr>
              <w:t>38</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10" w:history="1">
            <w:r w:rsidR="00CF3863" w:rsidRPr="00BF3F44">
              <w:rPr>
                <w:rStyle w:val="Hyperlink"/>
                <w:noProof/>
                <w:lang w:eastAsia="en-AU"/>
              </w:rPr>
              <w:t>Risk management plan</w:t>
            </w:r>
            <w:r w:rsidR="00CF3863">
              <w:rPr>
                <w:noProof/>
                <w:webHidden/>
              </w:rPr>
              <w:tab/>
            </w:r>
            <w:r w:rsidR="00CF3863">
              <w:rPr>
                <w:noProof/>
                <w:webHidden/>
              </w:rPr>
              <w:fldChar w:fldCharType="begin"/>
            </w:r>
            <w:r w:rsidR="00CF3863">
              <w:rPr>
                <w:noProof/>
                <w:webHidden/>
              </w:rPr>
              <w:instrText xml:space="preserve"> PAGEREF _Toc509307210 \h </w:instrText>
            </w:r>
            <w:r w:rsidR="00CF3863">
              <w:rPr>
                <w:noProof/>
                <w:webHidden/>
              </w:rPr>
            </w:r>
            <w:r w:rsidR="00CF3863">
              <w:rPr>
                <w:noProof/>
                <w:webHidden/>
              </w:rPr>
              <w:fldChar w:fldCharType="separate"/>
            </w:r>
            <w:r w:rsidR="00C374CD">
              <w:rPr>
                <w:noProof/>
                <w:webHidden/>
              </w:rPr>
              <w:t>51</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11" w:history="1">
            <w:r w:rsidR="00CF3863" w:rsidRPr="00BF3F44">
              <w:rPr>
                <w:rStyle w:val="Hyperlink"/>
                <w:noProof/>
              </w:rPr>
              <w:t>Risk-benefit analysis</w:t>
            </w:r>
            <w:r w:rsidR="00CF3863">
              <w:rPr>
                <w:noProof/>
                <w:webHidden/>
              </w:rPr>
              <w:tab/>
            </w:r>
            <w:r w:rsidR="00CF3863">
              <w:rPr>
                <w:noProof/>
                <w:webHidden/>
              </w:rPr>
              <w:fldChar w:fldCharType="begin"/>
            </w:r>
            <w:r w:rsidR="00CF3863">
              <w:rPr>
                <w:noProof/>
                <w:webHidden/>
              </w:rPr>
              <w:instrText xml:space="preserve"> PAGEREF _Toc509307211 \h </w:instrText>
            </w:r>
            <w:r w:rsidR="00CF3863">
              <w:rPr>
                <w:noProof/>
                <w:webHidden/>
              </w:rPr>
            </w:r>
            <w:r w:rsidR="00CF3863">
              <w:rPr>
                <w:noProof/>
                <w:webHidden/>
              </w:rPr>
              <w:fldChar w:fldCharType="separate"/>
            </w:r>
            <w:r w:rsidR="00C374CD">
              <w:rPr>
                <w:noProof/>
                <w:webHidden/>
              </w:rPr>
              <w:t>51</w:t>
            </w:r>
            <w:r w:rsidR="00CF3863">
              <w:rPr>
                <w:noProof/>
                <w:webHidden/>
              </w:rPr>
              <w:fldChar w:fldCharType="end"/>
            </w:r>
          </w:hyperlink>
        </w:p>
        <w:p w:rsidR="00CF3863" w:rsidRDefault="00387362">
          <w:pPr>
            <w:pStyle w:val="TOC3"/>
            <w:rPr>
              <w:rFonts w:asciiTheme="minorHAnsi" w:eastAsiaTheme="minorEastAsia" w:hAnsiTheme="minorHAnsi" w:cstheme="minorBidi"/>
              <w:noProof/>
              <w:lang w:eastAsia="en-AU"/>
            </w:rPr>
          </w:pPr>
          <w:hyperlink w:anchor="_Toc509307212" w:history="1">
            <w:r w:rsidR="00CF3863" w:rsidRPr="00BF3F44">
              <w:rPr>
                <w:rStyle w:val="Hyperlink"/>
                <w:noProof/>
              </w:rPr>
              <w:t>Outcome</w:t>
            </w:r>
            <w:r w:rsidR="00CF3863">
              <w:rPr>
                <w:noProof/>
                <w:webHidden/>
              </w:rPr>
              <w:tab/>
            </w:r>
            <w:r w:rsidR="00CF3863">
              <w:rPr>
                <w:noProof/>
                <w:webHidden/>
              </w:rPr>
              <w:fldChar w:fldCharType="begin"/>
            </w:r>
            <w:r w:rsidR="00CF3863">
              <w:rPr>
                <w:noProof/>
                <w:webHidden/>
              </w:rPr>
              <w:instrText xml:space="preserve"> PAGEREF _Toc509307212 \h </w:instrText>
            </w:r>
            <w:r w:rsidR="00CF3863">
              <w:rPr>
                <w:noProof/>
                <w:webHidden/>
              </w:rPr>
            </w:r>
            <w:r w:rsidR="00CF3863">
              <w:rPr>
                <w:noProof/>
                <w:webHidden/>
              </w:rPr>
              <w:fldChar w:fldCharType="separate"/>
            </w:r>
            <w:r w:rsidR="00C374CD">
              <w:rPr>
                <w:noProof/>
                <w:webHidden/>
              </w:rPr>
              <w:t>60</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213" w:history="1">
            <w:r w:rsidR="00CF3863" w:rsidRPr="00BF3F44">
              <w:rPr>
                <w:rStyle w:val="Hyperlink"/>
                <w:noProof/>
              </w:rPr>
              <w:t>Attachment 1. Product Information</w:t>
            </w:r>
            <w:r w:rsidR="00CF3863">
              <w:rPr>
                <w:noProof/>
                <w:webHidden/>
              </w:rPr>
              <w:tab/>
            </w:r>
            <w:r w:rsidR="00CF3863">
              <w:rPr>
                <w:noProof/>
                <w:webHidden/>
              </w:rPr>
              <w:fldChar w:fldCharType="begin"/>
            </w:r>
            <w:r w:rsidR="00CF3863">
              <w:rPr>
                <w:noProof/>
                <w:webHidden/>
              </w:rPr>
              <w:instrText xml:space="preserve"> PAGEREF _Toc509307213 \h </w:instrText>
            </w:r>
            <w:r w:rsidR="00CF3863">
              <w:rPr>
                <w:noProof/>
                <w:webHidden/>
              </w:rPr>
            </w:r>
            <w:r w:rsidR="00CF3863">
              <w:rPr>
                <w:noProof/>
                <w:webHidden/>
              </w:rPr>
              <w:fldChar w:fldCharType="separate"/>
            </w:r>
            <w:r w:rsidR="00C374CD">
              <w:rPr>
                <w:noProof/>
                <w:webHidden/>
              </w:rPr>
              <w:t>61</w:t>
            </w:r>
            <w:r w:rsidR="00CF3863">
              <w:rPr>
                <w:noProof/>
                <w:webHidden/>
              </w:rPr>
              <w:fldChar w:fldCharType="end"/>
            </w:r>
          </w:hyperlink>
        </w:p>
        <w:p w:rsidR="00CF3863" w:rsidRDefault="00387362">
          <w:pPr>
            <w:pStyle w:val="TOC2"/>
            <w:rPr>
              <w:rFonts w:asciiTheme="minorHAnsi" w:eastAsiaTheme="minorEastAsia" w:hAnsiTheme="minorHAnsi" w:cstheme="minorBidi"/>
              <w:b w:val="0"/>
              <w:noProof/>
              <w:sz w:val="22"/>
              <w:lang w:eastAsia="en-AU"/>
            </w:rPr>
          </w:pPr>
          <w:hyperlink w:anchor="_Toc509307214" w:history="1">
            <w:r w:rsidR="00CF3863" w:rsidRPr="00BF3F44">
              <w:rPr>
                <w:rStyle w:val="Hyperlink"/>
                <w:noProof/>
                <w:lang w:eastAsia="en-AU"/>
              </w:rPr>
              <w:t>Attachment 2. Extract from the Clinical Evaluation Report</w:t>
            </w:r>
            <w:r w:rsidR="00CF3863">
              <w:rPr>
                <w:noProof/>
                <w:webHidden/>
              </w:rPr>
              <w:tab/>
            </w:r>
            <w:r w:rsidR="00CF3863">
              <w:rPr>
                <w:noProof/>
                <w:webHidden/>
              </w:rPr>
              <w:fldChar w:fldCharType="begin"/>
            </w:r>
            <w:r w:rsidR="00CF3863">
              <w:rPr>
                <w:noProof/>
                <w:webHidden/>
              </w:rPr>
              <w:instrText xml:space="preserve"> PAGEREF _Toc509307214 \h </w:instrText>
            </w:r>
            <w:r w:rsidR="00CF3863">
              <w:rPr>
                <w:noProof/>
                <w:webHidden/>
              </w:rPr>
            </w:r>
            <w:r w:rsidR="00CF3863">
              <w:rPr>
                <w:noProof/>
                <w:webHidden/>
              </w:rPr>
              <w:fldChar w:fldCharType="separate"/>
            </w:r>
            <w:r w:rsidR="00C374CD">
              <w:rPr>
                <w:noProof/>
                <w:webHidden/>
              </w:rPr>
              <w:t>61</w:t>
            </w:r>
            <w:r w:rsidR="00CF3863">
              <w:rPr>
                <w:noProof/>
                <w:webHidden/>
              </w:rPr>
              <w:fldChar w:fldCharType="end"/>
            </w:r>
          </w:hyperlink>
        </w:p>
        <w:p w:rsidR="003A7F6C" w:rsidRPr="00B811C6" w:rsidRDefault="00DB6124" w:rsidP="00B811C6">
          <w:pPr>
            <w:pStyle w:val="TOC2"/>
          </w:pPr>
          <w:r>
            <w:fldChar w:fldCharType="end"/>
          </w:r>
        </w:p>
      </w:sdtContent>
    </w:sdt>
    <w:bookmarkStart w:id="4"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5" w:name="_Toc351716269"/>
      <w:bookmarkStart w:id="6" w:name="_Toc351718881"/>
      <w:bookmarkStart w:id="7" w:name="_Toc355338616"/>
      <w:bookmarkStart w:id="8" w:name="_Toc356306144"/>
      <w:bookmarkStart w:id="9" w:name="_Toc509307182"/>
      <w:r>
        <w:lastRenderedPageBreak/>
        <w:t>Common</w:t>
      </w:r>
      <w:r w:rsidR="00FD119B" w:rsidRPr="00FD119B">
        <w:t xml:space="preserve"> abbreviations</w:t>
      </w:r>
      <w:bookmarkEnd w:id="5"/>
      <w:bookmarkEnd w:id="6"/>
      <w:bookmarkEnd w:id="7"/>
      <w:bookmarkEnd w:id="8"/>
      <w:bookmarkEnd w:id="9"/>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5A6C65" w:rsidRPr="00FD119B" w:rsidTr="001963E2">
        <w:tc>
          <w:tcPr>
            <w:tcW w:w="1809" w:type="dxa"/>
          </w:tcPr>
          <w:p w:rsidR="005A6C65" w:rsidRPr="00FD119B" w:rsidRDefault="00B87152" w:rsidP="001963E2">
            <w:pPr>
              <w:ind w:left="142" w:right="0"/>
              <w:rPr>
                <w:color w:val="auto"/>
                <w:szCs w:val="22"/>
                <w:lang w:eastAsia="en-US"/>
              </w:rPr>
            </w:pPr>
            <w:r>
              <w:rPr>
                <w:color w:val="auto"/>
                <w:szCs w:val="22"/>
                <w:lang w:eastAsia="en-US"/>
              </w:rPr>
              <w:t>ACM</w:t>
            </w:r>
          </w:p>
        </w:tc>
        <w:tc>
          <w:tcPr>
            <w:tcW w:w="6911" w:type="dxa"/>
          </w:tcPr>
          <w:p w:rsidR="005A6C65" w:rsidRPr="00FD119B" w:rsidRDefault="00B87152" w:rsidP="001963E2">
            <w:pPr>
              <w:ind w:left="176" w:right="0"/>
              <w:rPr>
                <w:color w:val="auto"/>
                <w:szCs w:val="22"/>
                <w:lang w:eastAsia="en-US"/>
              </w:rPr>
            </w:pPr>
            <w:r>
              <w:rPr>
                <w:color w:val="auto"/>
                <w:szCs w:val="22"/>
                <w:lang w:eastAsia="en-US"/>
              </w:rPr>
              <w:t>Advisory Committee on Medicines</w:t>
            </w:r>
          </w:p>
        </w:tc>
      </w:tr>
      <w:tr w:rsidR="00B87152" w:rsidRPr="00FD119B" w:rsidTr="00DF555C">
        <w:tc>
          <w:tcPr>
            <w:tcW w:w="1809" w:type="dxa"/>
            <w:vAlign w:val="bottom"/>
          </w:tcPr>
          <w:p w:rsidR="00B87152" w:rsidRPr="002F2961" w:rsidRDefault="00B87152" w:rsidP="00DF555C">
            <w:r>
              <w:t>A</w:t>
            </w:r>
            <w:r w:rsidRPr="002F2961">
              <w:t>C</w:t>
            </w:r>
            <w:r>
              <w:t>R</w:t>
            </w:r>
          </w:p>
        </w:tc>
        <w:tc>
          <w:tcPr>
            <w:tcW w:w="6911" w:type="dxa"/>
            <w:vAlign w:val="bottom"/>
          </w:tcPr>
          <w:p w:rsidR="00B87152" w:rsidRPr="002F2961" w:rsidRDefault="00B87152" w:rsidP="00DF555C">
            <w:r>
              <w:t>American College of Rheumatology</w:t>
            </w:r>
          </w:p>
        </w:tc>
      </w:tr>
      <w:tr w:rsidR="00B87152" w:rsidRPr="00FD119B" w:rsidTr="00DF555C">
        <w:tc>
          <w:tcPr>
            <w:tcW w:w="1809" w:type="dxa"/>
            <w:vAlign w:val="bottom"/>
          </w:tcPr>
          <w:p w:rsidR="00B87152" w:rsidRPr="002F2961" w:rsidRDefault="00B87152" w:rsidP="00DF555C">
            <w:r>
              <w:t>AE</w:t>
            </w:r>
          </w:p>
        </w:tc>
        <w:tc>
          <w:tcPr>
            <w:tcW w:w="6911" w:type="dxa"/>
            <w:vAlign w:val="bottom"/>
          </w:tcPr>
          <w:p w:rsidR="00B87152" w:rsidRPr="002F2961" w:rsidRDefault="00B87152" w:rsidP="00DF555C">
            <w:r>
              <w:t>Adverse Event</w:t>
            </w:r>
          </w:p>
        </w:tc>
      </w:tr>
      <w:tr w:rsidR="00B87152" w:rsidRPr="00FD119B" w:rsidTr="00DF555C">
        <w:tc>
          <w:tcPr>
            <w:tcW w:w="1809" w:type="dxa"/>
            <w:vAlign w:val="bottom"/>
          </w:tcPr>
          <w:p w:rsidR="00B87152" w:rsidRDefault="00B87152" w:rsidP="00DF555C">
            <w:r>
              <w:t>AIAS</w:t>
            </w:r>
          </w:p>
        </w:tc>
        <w:tc>
          <w:tcPr>
            <w:tcW w:w="6911" w:type="dxa"/>
            <w:vAlign w:val="bottom"/>
          </w:tcPr>
          <w:p w:rsidR="00B87152" w:rsidRDefault="00B87152" w:rsidP="00DF555C">
            <w:r>
              <w:t>All-Available Immunogenicity Analysis Set</w:t>
            </w:r>
          </w:p>
        </w:tc>
      </w:tr>
      <w:tr w:rsidR="00B87152" w:rsidRPr="00FD119B" w:rsidTr="00DF555C">
        <w:tc>
          <w:tcPr>
            <w:tcW w:w="1809" w:type="dxa"/>
            <w:vAlign w:val="bottom"/>
          </w:tcPr>
          <w:p w:rsidR="00B87152" w:rsidRPr="002B51AA" w:rsidRDefault="00B87152" w:rsidP="00DF555C">
            <w:r>
              <w:rPr>
                <w:rFonts w:eastAsia="MS Minngs"/>
              </w:rPr>
              <w:t>AUC</w:t>
            </w:r>
          </w:p>
        </w:tc>
        <w:tc>
          <w:tcPr>
            <w:tcW w:w="6911" w:type="dxa"/>
            <w:vAlign w:val="bottom"/>
          </w:tcPr>
          <w:p w:rsidR="00B87152" w:rsidRDefault="00B87152" w:rsidP="00DF555C">
            <w:r>
              <w:rPr>
                <w:rFonts w:eastAsia="MS Minngs"/>
              </w:rPr>
              <w:t>Area Under</w:t>
            </w:r>
            <w:r>
              <w:rPr>
                <w:rFonts w:cs="Arial"/>
                <w:color w:val="343434"/>
                <w:lang w:val="en-US"/>
              </w:rPr>
              <w:t xml:space="preserve"> Concentration-T</w:t>
            </w:r>
            <w:r w:rsidRPr="00D206F5">
              <w:rPr>
                <w:rFonts w:cs="Arial"/>
                <w:color w:val="343434"/>
                <w:lang w:val="en-US"/>
              </w:rPr>
              <w:t>ime curve over the dosing interval</w:t>
            </w:r>
          </w:p>
        </w:tc>
      </w:tr>
      <w:tr w:rsidR="00B87152" w:rsidRPr="00FD119B" w:rsidTr="00DF555C">
        <w:tc>
          <w:tcPr>
            <w:tcW w:w="1809" w:type="dxa"/>
            <w:vAlign w:val="bottom"/>
          </w:tcPr>
          <w:p w:rsidR="00B87152" w:rsidRDefault="00B87152" w:rsidP="00DF555C">
            <w:r>
              <w:t>CCP</w:t>
            </w:r>
          </w:p>
        </w:tc>
        <w:tc>
          <w:tcPr>
            <w:tcW w:w="6911" w:type="dxa"/>
            <w:vAlign w:val="bottom"/>
          </w:tcPr>
          <w:p w:rsidR="00B87152" w:rsidRDefault="00B87152" w:rsidP="00DF555C">
            <w:r>
              <w:t>Cyclic Citrullinated Peptide</w:t>
            </w:r>
          </w:p>
        </w:tc>
      </w:tr>
      <w:tr w:rsidR="00B87152" w:rsidRPr="00FD119B" w:rsidTr="00DF555C">
        <w:tc>
          <w:tcPr>
            <w:tcW w:w="1809" w:type="dxa"/>
            <w:vAlign w:val="bottom"/>
          </w:tcPr>
          <w:p w:rsidR="00B87152" w:rsidRDefault="00B87152" w:rsidP="00DF555C">
            <w:r>
              <w:t>CD</w:t>
            </w:r>
          </w:p>
        </w:tc>
        <w:tc>
          <w:tcPr>
            <w:tcW w:w="6911" w:type="dxa"/>
            <w:vAlign w:val="bottom"/>
          </w:tcPr>
          <w:p w:rsidR="00B87152" w:rsidRDefault="00B87152" w:rsidP="00DF555C">
            <w:r>
              <w:t>Cluster of Differentiation</w:t>
            </w:r>
          </w:p>
        </w:tc>
      </w:tr>
      <w:tr w:rsidR="00B87152" w:rsidRPr="00FD119B" w:rsidTr="00DF555C">
        <w:tc>
          <w:tcPr>
            <w:tcW w:w="1809" w:type="dxa"/>
            <w:vAlign w:val="bottom"/>
          </w:tcPr>
          <w:p w:rsidR="00B87152" w:rsidRPr="002F2961" w:rsidRDefault="00B87152" w:rsidP="00DF555C">
            <w:r w:rsidRPr="002F2961">
              <w:t>CI</w:t>
            </w:r>
          </w:p>
        </w:tc>
        <w:tc>
          <w:tcPr>
            <w:tcW w:w="6911" w:type="dxa"/>
            <w:vAlign w:val="bottom"/>
          </w:tcPr>
          <w:p w:rsidR="00B87152" w:rsidRPr="002F2961" w:rsidRDefault="00B87152" w:rsidP="00DF555C">
            <w:r w:rsidRPr="002F2961">
              <w:t>Confidence interval</w:t>
            </w:r>
          </w:p>
        </w:tc>
      </w:tr>
      <w:tr w:rsidR="00B87152" w:rsidRPr="00FD119B" w:rsidTr="00DF555C">
        <w:tc>
          <w:tcPr>
            <w:tcW w:w="1809" w:type="dxa"/>
            <w:vAlign w:val="bottom"/>
          </w:tcPr>
          <w:p w:rsidR="00B87152" w:rsidRPr="002F2961" w:rsidRDefault="00B87152" w:rsidP="00DF555C">
            <w:proofErr w:type="spellStart"/>
            <w:r>
              <w:rPr>
                <w:rFonts w:eastAsia="MS Minngs"/>
              </w:rPr>
              <w:t>C</w:t>
            </w:r>
            <w:r>
              <w:t>max</w:t>
            </w:r>
            <w:proofErr w:type="spellEnd"/>
          </w:p>
        </w:tc>
        <w:tc>
          <w:tcPr>
            <w:tcW w:w="6911" w:type="dxa"/>
            <w:vAlign w:val="bottom"/>
          </w:tcPr>
          <w:p w:rsidR="00B87152" w:rsidRPr="002F2961" w:rsidRDefault="00B87152" w:rsidP="00DF555C">
            <w:r>
              <w:rPr>
                <w:rFonts w:eastAsia="MS Minngs"/>
              </w:rPr>
              <w:t>Maximum serum drug concentration</w:t>
            </w:r>
          </w:p>
        </w:tc>
      </w:tr>
      <w:tr w:rsidR="00B87152" w:rsidRPr="00FD119B" w:rsidTr="00DF555C">
        <w:tc>
          <w:tcPr>
            <w:tcW w:w="1809" w:type="dxa"/>
            <w:vAlign w:val="bottom"/>
          </w:tcPr>
          <w:p w:rsidR="00B87152" w:rsidRPr="002F2961" w:rsidRDefault="00B87152" w:rsidP="00DF555C">
            <w:r>
              <w:t>CPK</w:t>
            </w:r>
          </w:p>
        </w:tc>
        <w:tc>
          <w:tcPr>
            <w:tcW w:w="6911" w:type="dxa"/>
            <w:vAlign w:val="bottom"/>
          </w:tcPr>
          <w:p w:rsidR="00B87152" w:rsidRPr="002F2961" w:rsidRDefault="00B87152" w:rsidP="00DF555C">
            <w:r>
              <w:t>Creatine Phosphokinase</w:t>
            </w:r>
          </w:p>
        </w:tc>
      </w:tr>
      <w:tr w:rsidR="00B87152" w:rsidRPr="00FD119B" w:rsidTr="00DF555C">
        <w:tc>
          <w:tcPr>
            <w:tcW w:w="1809" w:type="dxa"/>
            <w:vAlign w:val="bottom"/>
          </w:tcPr>
          <w:p w:rsidR="00B87152" w:rsidRPr="002F2961" w:rsidRDefault="00B87152" w:rsidP="00DF555C">
            <w:r>
              <w:t>CRP</w:t>
            </w:r>
          </w:p>
        </w:tc>
        <w:tc>
          <w:tcPr>
            <w:tcW w:w="6911" w:type="dxa"/>
            <w:vAlign w:val="bottom"/>
          </w:tcPr>
          <w:p w:rsidR="00B87152" w:rsidRPr="002F2961" w:rsidRDefault="00B87152" w:rsidP="00DF555C">
            <w:r w:rsidRPr="002F2961">
              <w:t>C-Reactive Protein</w:t>
            </w:r>
          </w:p>
        </w:tc>
      </w:tr>
      <w:tr w:rsidR="00B87152" w:rsidRPr="00FD119B" w:rsidTr="00DF555C">
        <w:tc>
          <w:tcPr>
            <w:tcW w:w="1809" w:type="dxa"/>
            <w:vAlign w:val="bottom"/>
          </w:tcPr>
          <w:p w:rsidR="00B87152" w:rsidRDefault="00B87152" w:rsidP="00DF555C">
            <w:r>
              <w:t>CS</w:t>
            </w:r>
          </w:p>
        </w:tc>
        <w:tc>
          <w:tcPr>
            <w:tcW w:w="6911" w:type="dxa"/>
            <w:vAlign w:val="bottom"/>
          </w:tcPr>
          <w:p w:rsidR="00B87152" w:rsidRPr="002F2961" w:rsidRDefault="00B87152" w:rsidP="00DF555C">
            <w:r>
              <w:t>Corticosteroids</w:t>
            </w:r>
          </w:p>
        </w:tc>
      </w:tr>
      <w:tr w:rsidR="00B87152" w:rsidRPr="00FD119B" w:rsidTr="00DF555C">
        <w:tc>
          <w:tcPr>
            <w:tcW w:w="1809" w:type="dxa"/>
            <w:vAlign w:val="bottom"/>
          </w:tcPr>
          <w:p w:rsidR="00B87152" w:rsidRDefault="00B87152" w:rsidP="00DF555C">
            <w:r>
              <w:t>DAS</w:t>
            </w:r>
          </w:p>
        </w:tc>
        <w:tc>
          <w:tcPr>
            <w:tcW w:w="6911" w:type="dxa"/>
            <w:vAlign w:val="bottom"/>
          </w:tcPr>
          <w:p w:rsidR="00B87152" w:rsidRDefault="00B87152" w:rsidP="00DF555C">
            <w:r>
              <w:t>Disease Activity Score</w:t>
            </w:r>
          </w:p>
        </w:tc>
      </w:tr>
      <w:tr w:rsidR="00B87152" w:rsidRPr="00FD119B" w:rsidTr="00DF555C">
        <w:tc>
          <w:tcPr>
            <w:tcW w:w="1809" w:type="dxa"/>
            <w:vAlign w:val="bottom"/>
          </w:tcPr>
          <w:p w:rsidR="00B87152" w:rsidRDefault="00B87152" w:rsidP="00DF555C">
            <w:r>
              <w:t>DMARD</w:t>
            </w:r>
          </w:p>
        </w:tc>
        <w:tc>
          <w:tcPr>
            <w:tcW w:w="6911" w:type="dxa"/>
            <w:vAlign w:val="bottom"/>
          </w:tcPr>
          <w:p w:rsidR="00B87152" w:rsidRDefault="00B87152" w:rsidP="00DF555C">
            <w:r>
              <w:t>Disease Modifying Anti-Rheumatic Drug</w:t>
            </w:r>
          </w:p>
        </w:tc>
      </w:tr>
      <w:tr w:rsidR="00B87152" w:rsidRPr="00FD119B" w:rsidTr="00DF555C">
        <w:tc>
          <w:tcPr>
            <w:tcW w:w="1809" w:type="dxa"/>
            <w:vAlign w:val="bottom"/>
          </w:tcPr>
          <w:p w:rsidR="00B87152" w:rsidRDefault="00B87152" w:rsidP="00DF555C">
            <w:r>
              <w:t>EIAS</w:t>
            </w:r>
          </w:p>
        </w:tc>
        <w:tc>
          <w:tcPr>
            <w:tcW w:w="6911" w:type="dxa"/>
            <w:vAlign w:val="bottom"/>
          </w:tcPr>
          <w:p w:rsidR="00B87152" w:rsidRDefault="00B87152" w:rsidP="00DF555C">
            <w:r>
              <w:t>Evaluable Immunogenicity Analysis Set</w:t>
            </w:r>
          </w:p>
        </w:tc>
      </w:tr>
      <w:tr w:rsidR="00B87152" w:rsidRPr="00FD119B" w:rsidTr="00DF555C">
        <w:tc>
          <w:tcPr>
            <w:tcW w:w="1809" w:type="dxa"/>
            <w:vAlign w:val="bottom"/>
          </w:tcPr>
          <w:p w:rsidR="00B87152" w:rsidRDefault="00B87152" w:rsidP="00DF555C">
            <w:r>
              <w:t>ELISA</w:t>
            </w:r>
          </w:p>
        </w:tc>
        <w:tc>
          <w:tcPr>
            <w:tcW w:w="6911" w:type="dxa"/>
            <w:vAlign w:val="bottom"/>
          </w:tcPr>
          <w:p w:rsidR="00B87152" w:rsidRDefault="00B87152" w:rsidP="00DF555C">
            <w:r>
              <w:t>Enzyme-Linked Immunosorbent Assay</w:t>
            </w:r>
          </w:p>
        </w:tc>
      </w:tr>
      <w:tr w:rsidR="00B87152" w:rsidRPr="00FD119B" w:rsidTr="00DF555C">
        <w:tc>
          <w:tcPr>
            <w:tcW w:w="1809" w:type="dxa"/>
            <w:vAlign w:val="bottom"/>
          </w:tcPr>
          <w:p w:rsidR="00B87152" w:rsidRDefault="00B87152" w:rsidP="00DF555C">
            <w:r>
              <w:t>EMA</w:t>
            </w:r>
          </w:p>
        </w:tc>
        <w:tc>
          <w:tcPr>
            <w:tcW w:w="6911" w:type="dxa"/>
            <w:vAlign w:val="bottom"/>
          </w:tcPr>
          <w:p w:rsidR="00B87152" w:rsidRDefault="00B87152" w:rsidP="00DF555C">
            <w:r>
              <w:t>European Medicines Agency</w:t>
            </w:r>
          </w:p>
        </w:tc>
      </w:tr>
      <w:tr w:rsidR="00B87152" w:rsidRPr="00FD119B" w:rsidTr="00DF555C">
        <w:tc>
          <w:tcPr>
            <w:tcW w:w="1809" w:type="dxa"/>
            <w:vAlign w:val="bottom"/>
          </w:tcPr>
          <w:p w:rsidR="00B87152" w:rsidRDefault="00B87152" w:rsidP="00DF555C">
            <w:r>
              <w:t>ES</w:t>
            </w:r>
          </w:p>
        </w:tc>
        <w:tc>
          <w:tcPr>
            <w:tcW w:w="6911" w:type="dxa"/>
            <w:vAlign w:val="bottom"/>
          </w:tcPr>
          <w:p w:rsidR="00B87152" w:rsidRDefault="00B87152" w:rsidP="00DF555C">
            <w:r>
              <w:t>Erosion Score</w:t>
            </w:r>
          </w:p>
        </w:tc>
      </w:tr>
      <w:tr w:rsidR="00B87152" w:rsidRPr="00FD119B" w:rsidTr="00DF555C">
        <w:tc>
          <w:tcPr>
            <w:tcW w:w="1809" w:type="dxa"/>
            <w:vAlign w:val="bottom"/>
          </w:tcPr>
          <w:p w:rsidR="00B87152" w:rsidRPr="002F2961" w:rsidRDefault="00B87152" w:rsidP="00DF555C">
            <w:r>
              <w:t>ESR</w:t>
            </w:r>
          </w:p>
        </w:tc>
        <w:tc>
          <w:tcPr>
            <w:tcW w:w="6911" w:type="dxa"/>
            <w:vAlign w:val="bottom"/>
          </w:tcPr>
          <w:p w:rsidR="00B87152" w:rsidRPr="002F2961" w:rsidRDefault="00B87152" w:rsidP="00DF555C">
            <w:r>
              <w:t>Erythrocyte Sedimentation Ratio</w:t>
            </w:r>
          </w:p>
        </w:tc>
      </w:tr>
      <w:tr w:rsidR="00B87152" w:rsidRPr="00FD119B" w:rsidTr="00DF555C">
        <w:tc>
          <w:tcPr>
            <w:tcW w:w="1809" w:type="dxa"/>
            <w:vAlign w:val="bottom"/>
          </w:tcPr>
          <w:p w:rsidR="00B87152" w:rsidRPr="002F2961" w:rsidRDefault="00B87152" w:rsidP="00DF555C">
            <w:r>
              <w:t>EULAR</w:t>
            </w:r>
          </w:p>
        </w:tc>
        <w:tc>
          <w:tcPr>
            <w:tcW w:w="6911" w:type="dxa"/>
            <w:vAlign w:val="bottom"/>
          </w:tcPr>
          <w:p w:rsidR="00B87152" w:rsidRPr="002F2961" w:rsidRDefault="00B87152" w:rsidP="00DF555C">
            <w:r>
              <w:t>European League Against Rheumatism</w:t>
            </w:r>
          </w:p>
        </w:tc>
      </w:tr>
      <w:tr w:rsidR="00B87152" w:rsidRPr="00FD119B" w:rsidTr="00DF555C">
        <w:tc>
          <w:tcPr>
            <w:tcW w:w="1809" w:type="dxa"/>
            <w:vAlign w:val="bottom"/>
          </w:tcPr>
          <w:p w:rsidR="00B87152" w:rsidRPr="002F2961" w:rsidRDefault="00B87152" w:rsidP="00DF555C">
            <w:r>
              <w:t>FAS</w:t>
            </w:r>
          </w:p>
        </w:tc>
        <w:tc>
          <w:tcPr>
            <w:tcW w:w="6911" w:type="dxa"/>
            <w:vAlign w:val="bottom"/>
          </w:tcPr>
          <w:p w:rsidR="00B87152" w:rsidRPr="002F2961" w:rsidRDefault="00B87152" w:rsidP="00DF555C">
            <w:r>
              <w:t>Full Analysis Set</w:t>
            </w:r>
          </w:p>
        </w:tc>
      </w:tr>
      <w:tr w:rsidR="00215C7C" w:rsidRPr="00FD119B" w:rsidTr="00DF555C">
        <w:tc>
          <w:tcPr>
            <w:tcW w:w="1809" w:type="dxa"/>
            <w:vAlign w:val="bottom"/>
          </w:tcPr>
          <w:p w:rsidR="00215C7C" w:rsidRPr="002F2961" w:rsidRDefault="00215C7C" w:rsidP="00DF555C">
            <w:r>
              <w:t>FDA</w:t>
            </w:r>
          </w:p>
        </w:tc>
        <w:tc>
          <w:tcPr>
            <w:tcW w:w="6911" w:type="dxa"/>
            <w:vAlign w:val="bottom"/>
          </w:tcPr>
          <w:p w:rsidR="00215C7C" w:rsidRPr="002F2961" w:rsidRDefault="00215C7C" w:rsidP="00DF555C">
            <w:r>
              <w:t>Food and Drug Administration (US)</w:t>
            </w:r>
          </w:p>
        </w:tc>
      </w:tr>
      <w:tr w:rsidR="00B87152" w:rsidRPr="00FD119B" w:rsidTr="00DF555C">
        <w:tc>
          <w:tcPr>
            <w:tcW w:w="1809" w:type="dxa"/>
            <w:vAlign w:val="bottom"/>
          </w:tcPr>
          <w:p w:rsidR="00B87152" w:rsidRPr="002F2961" w:rsidRDefault="00B87152" w:rsidP="00DF555C">
            <w:r w:rsidRPr="002F2961">
              <w:t>G</w:t>
            </w:r>
            <w:r>
              <w:t>MFR</w:t>
            </w:r>
          </w:p>
        </w:tc>
        <w:tc>
          <w:tcPr>
            <w:tcW w:w="6911" w:type="dxa"/>
            <w:vAlign w:val="bottom"/>
          </w:tcPr>
          <w:p w:rsidR="00B87152" w:rsidRPr="002F2961" w:rsidRDefault="00B87152" w:rsidP="00DF555C">
            <w:r w:rsidRPr="002F2961">
              <w:t>G</w:t>
            </w:r>
            <w:r>
              <w:t>e</w:t>
            </w:r>
            <w:r w:rsidRPr="002F2961">
              <w:t>o</w:t>
            </w:r>
            <w:r>
              <w:t>metric Mea</w:t>
            </w:r>
            <w:r w:rsidRPr="002F2961">
              <w:t>n</w:t>
            </w:r>
            <w:r>
              <w:t xml:space="preserve"> Fold Ris</w:t>
            </w:r>
            <w:r w:rsidRPr="002F2961">
              <w:t>e</w:t>
            </w:r>
          </w:p>
        </w:tc>
      </w:tr>
      <w:tr w:rsidR="00B87152" w:rsidRPr="00FD119B" w:rsidTr="00DF555C">
        <w:tc>
          <w:tcPr>
            <w:tcW w:w="1809" w:type="dxa"/>
            <w:vAlign w:val="bottom"/>
          </w:tcPr>
          <w:p w:rsidR="00B87152" w:rsidRPr="002F2961" w:rsidRDefault="00B87152" w:rsidP="00DF555C">
            <w:r>
              <w:t>HAQ-DI</w:t>
            </w:r>
          </w:p>
        </w:tc>
        <w:tc>
          <w:tcPr>
            <w:tcW w:w="6911" w:type="dxa"/>
            <w:vAlign w:val="bottom"/>
          </w:tcPr>
          <w:p w:rsidR="00B87152" w:rsidRPr="002F2961" w:rsidRDefault="00B87152" w:rsidP="00DF555C">
            <w:r>
              <w:t>Health Assessment Questionnaire – Disability Index</w:t>
            </w:r>
          </w:p>
        </w:tc>
      </w:tr>
      <w:tr w:rsidR="00B87152" w:rsidRPr="00FD119B" w:rsidTr="00DF555C">
        <w:tc>
          <w:tcPr>
            <w:tcW w:w="1809" w:type="dxa"/>
            <w:vAlign w:val="bottom"/>
          </w:tcPr>
          <w:p w:rsidR="00B87152" w:rsidRPr="002F2961" w:rsidRDefault="00B87152" w:rsidP="00DF555C">
            <w:r>
              <w:t>IL</w:t>
            </w:r>
          </w:p>
        </w:tc>
        <w:tc>
          <w:tcPr>
            <w:tcW w:w="6911" w:type="dxa"/>
            <w:vAlign w:val="bottom"/>
          </w:tcPr>
          <w:p w:rsidR="00B87152" w:rsidRPr="002F2961" w:rsidRDefault="00B87152" w:rsidP="00DF555C">
            <w:r>
              <w:t>Interleukin</w:t>
            </w:r>
          </w:p>
        </w:tc>
      </w:tr>
      <w:tr w:rsidR="00B87152" w:rsidRPr="00FD119B" w:rsidTr="00DF555C">
        <w:tc>
          <w:tcPr>
            <w:tcW w:w="1809" w:type="dxa"/>
            <w:vAlign w:val="bottom"/>
          </w:tcPr>
          <w:p w:rsidR="00B87152" w:rsidRPr="002F2961" w:rsidRDefault="00B87152" w:rsidP="00DF555C">
            <w:r>
              <w:lastRenderedPageBreak/>
              <w:t>Ig</w:t>
            </w:r>
          </w:p>
        </w:tc>
        <w:tc>
          <w:tcPr>
            <w:tcW w:w="6911" w:type="dxa"/>
            <w:vAlign w:val="bottom"/>
          </w:tcPr>
          <w:p w:rsidR="00B87152" w:rsidRPr="002F2961" w:rsidRDefault="00B87152" w:rsidP="00DF555C">
            <w:r>
              <w:t>Immunoglobulin</w:t>
            </w:r>
          </w:p>
        </w:tc>
      </w:tr>
      <w:tr w:rsidR="00B87152" w:rsidRPr="00FD119B" w:rsidTr="00DF555C">
        <w:tc>
          <w:tcPr>
            <w:tcW w:w="1809" w:type="dxa"/>
            <w:vAlign w:val="bottom"/>
          </w:tcPr>
          <w:p w:rsidR="00B87152" w:rsidRDefault="00B87152" w:rsidP="00DF555C">
            <w:r>
              <w:t>JAK</w:t>
            </w:r>
          </w:p>
        </w:tc>
        <w:tc>
          <w:tcPr>
            <w:tcW w:w="6911" w:type="dxa"/>
            <w:vAlign w:val="bottom"/>
          </w:tcPr>
          <w:p w:rsidR="00B87152" w:rsidRDefault="00B87152" w:rsidP="00DF555C">
            <w:r>
              <w:t>Janus Kinase</w:t>
            </w:r>
          </w:p>
        </w:tc>
      </w:tr>
      <w:tr w:rsidR="00B87152" w:rsidRPr="00FD119B" w:rsidTr="00DF555C">
        <w:tc>
          <w:tcPr>
            <w:tcW w:w="1809" w:type="dxa"/>
            <w:vAlign w:val="bottom"/>
          </w:tcPr>
          <w:p w:rsidR="00B87152" w:rsidRDefault="00B87152" w:rsidP="00DF555C">
            <w:r>
              <w:t>JSN</w:t>
            </w:r>
          </w:p>
        </w:tc>
        <w:tc>
          <w:tcPr>
            <w:tcW w:w="6911" w:type="dxa"/>
            <w:vAlign w:val="bottom"/>
          </w:tcPr>
          <w:p w:rsidR="00B87152" w:rsidRDefault="00B87152" w:rsidP="00DF555C">
            <w:r>
              <w:t>Joint Space Narrowing</w:t>
            </w:r>
          </w:p>
        </w:tc>
      </w:tr>
      <w:tr w:rsidR="00B87152" w:rsidRPr="00FD119B" w:rsidTr="00DF555C">
        <w:tc>
          <w:tcPr>
            <w:tcW w:w="1809" w:type="dxa"/>
            <w:vAlign w:val="bottom"/>
          </w:tcPr>
          <w:p w:rsidR="00B87152" w:rsidRPr="002F2961" w:rsidRDefault="00B87152" w:rsidP="00DF555C">
            <w:r>
              <w:t>LEP</w:t>
            </w:r>
          </w:p>
        </w:tc>
        <w:tc>
          <w:tcPr>
            <w:tcW w:w="6911" w:type="dxa"/>
            <w:vAlign w:val="bottom"/>
          </w:tcPr>
          <w:p w:rsidR="00B87152" w:rsidRPr="002F2961" w:rsidRDefault="00B87152" w:rsidP="00DF555C">
            <w:r>
              <w:t>Linear Extrapolation</w:t>
            </w:r>
          </w:p>
        </w:tc>
      </w:tr>
      <w:tr w:rsidR="00B87152" w:rsidRPr="00FD119B" w:rsidTr="00DF555C">
        <w:tc>
          <w:tcPr>
            <w:tcW w:w="1809" w:type="dxa"/>
            <w:vAlign w:val="bottom"/>
          </w:tcPr>
          <w:p w:rsidR="00B87152" w:rsidRPr="002F2961" w:rsidRDefault="00B87152" w:rsidP="00DF555C">
            <w:r>
              <w:t>LS</w:t>
            </w:r>
          </w:p>
        </w:tc>
        <w:tc>
          <w:tcPr>
            <w:tcW w:w="6911" w:type="dxa"/>
            <w:vAlign w:val="bottom"/>
          </w:tcPr>
          <w:p w:rsidR="00B87152" w:rsidRPr="002F2961" w:rsidRDefault="00B87152" w:rsidP="00DF555C">
            <w:r>
              <w:t>Least Squares</w:t>
            </w:r>
          </w:p>
        </w:tc>
      </w:tr>
      <w:tr w:rsidR="00B87152" w:rsidRPr="00FD119B" w:rsidTr="00DF555C">
        <w:tc>
          <w:tcPr>
            <w:tcW w:w="1809" w:type="dxa"/>
            <w:vAlign w:val="bottom"/>
          </w:tcPr>
          <w:p w:rsidR="00B87152" w:rsidRDefault="00B87152" w:rsidP="00DF555C">
            <w:r>
              <w:t>LTE</w:t>
            </w:r>
          </w:p>
        </w:tc>
        <w:tc>
          <w:tcPr>
            <w:tcW w:w="6911" w:type="dxa"/>
            <w:vAlign w:val="bottom"/>
          </w:tcPr>
          <w:p w:rsidR="00B87152" w:rsidRDefault="00B87152" w:rsidP="00DF555C">
            <w:r>
              <w:t>Long Term Extension</w:t>
            </w:r>
          </w:p>
        </w:tc>
      </w:tr>
      <w:tr w:rsidR="00B87152" w:rsidRPr="00FD119B" w:rsidTr="00DF555C">
        <w:tc>
          <w:tcPr>
            <w:tcW w:w="1809" w:type="dxa"/>
            <w:vAlign w:val="bottom"/>
          </w:tcPr>
          <w:p w:rsidR="00B87152" w:rsidRPr="002F2961" w:rsidRDefault="00B87152" w:rsidP="00DF555C">
            <w:proofErr w:type="spellStart"/>
            <w:r>
              <w:t>mTSS</w:t>
            </w:r>
            <w:proofErr w:type="spellEnd"/>
          </w:p>
        </w:tc>
        <w:tc>
          <w:tcPr>
            <w:tcW w:w="6911" w:type="dxa"/>
            <w:vAlign w:val="bottom"/>
          </w:tcPr>
          <w:p w:rsidR="00B87152" w:rsidRPr="002F2961" w:rsidRDefault="00B87152" w:rsidP="00DF555C">
            <w:r>
              <w:t>modified Total Sharp Score</w:t>
            </w:r>
          </w:p>
        </w:tc>
      </w:tr>
      <w:tr w:rsidR="00B87152" w:rsidRPr="00FD119B" w:rsidTr="00DF555C">
        <w:tc>
          <w:tcPr>
            <w:tcW w:w="1809" w:type="dxa"/>
            <w:vAlign w:val="bottom"/>
          </w:tcPr>
          <w:p w:rsidR="00B87152" w:rsidRPr="002F2961" w:rsidRDefault="00B87152" w:rsidP="00DF555C">
            <w:r>
              <w:t>MTX</w:t>
            </w:r>
          </w:p>
        </w:tc>
        <w:tc>
          <w:tcPr>
            <w:tcW w:w="6911" w:type="dxa"/>
            <w:vAlign w:val="bottom"/>
          </w:tcPr>
          <w:p w:rsidR="00B87152" w:rsidRPr="002F2961" w:rsidRDefault="00B87152" w:rsidP="00DF555C">
            <w:r>
              <w:t>Methotrexate</w:t>
            </w:r>
          </w:p>
        </w:tc>
      </w:tr>
      <w:tr w:rsidR="00B87152" w:rsidRPr="00FD119B" w:rsidTr="00DF555C">
        <w:tc>
          <w:tcPr>
            <w:tcW w:w="1809" w:type="dxa"/>
            <w:vAlign w:val="bottom"/>
          </w:tcPr>
          <w:p w:rsidR="00B87152" w:rsidRDefault="00B87152" w:rsidP="00DF555C">
            <w:r>
              <w:t>NK</w:t>
            </w:r>
          </w:p>
        </w:tc>
        <w:tc>
          <w:tcPr>
            <w:tcW w:w="6911" w:type="dxa"/>
            <w:vAlign w:val="bottom"/>
          </w:tcPr>
          <w:p w:rsidR="00B87152" w:rsidRDefault="00B87152" w:rsidP="00DF555C">
            <w:r>
              <w:t>Natural Killer</w:t>
            </w:r>
          </w:p>
        </w:tc>
      </w:tr>
      <w:tr w:rsidR="00B87152" w:rsidRPr="00FD119B" w:rsidTr="00DF555C">
        <w:tc>
          <w:tcPr>
            <w:tcW w:w="1809" w:type="dxa"/>
            <w:vAlign w:val="bottom"/>
          </w:tcPr>
          <w:p w:rsidR="00B87152" w:rsidRPr="002F2961" w:rsidRDefault="00B87152" w:rsidP="00DF555C">
            <w:r>
              <w:t>NRI</w:t>
            </w:r>
          </w:p>
        </w:tc>
        <w:tc>
          <w:tcPr>
            <w:tcW w:w="6911" w:type="dxa"/>
            <w:vAlign w:val="bottom"/>
          </w:tcPr>
          <w:p w:rsidR="00B87152" w:rsidRPr="002F2961" w:rsidRDefault="00B87152" w:rsidP="00DF555C">
            <w:r>
              <w:t>Non Responder Imputation</w:t>
            </w:r>
          </w:p>
        </w:tc>
      </w:tr>
      <w:tr w:rsidR="00B87152" w:rsidRPr="00FD119B" w:rsidTr="00DF555C">
        <w:tc>
          <w:tcPr>
            <w:tcW w:w="1809" w:type="dxa"/>
            <w:vAlign w:val="bottom"/>
          </w:tcPr>
          <w:p w:rsidR="00B87152" w:rsidRPr="002F2961" w:rsidRDefault="00B87152" w:rsidP="00DF555C">
            <w:r>
              <w:t>NSAID</w:t>
            </w:r>
          </w:p>
        </w:tc>
        <w:tc>
          <w:tcPr>
            <w:tcW w:w="6911" w:type="dxa"/>
            <w:vAlign w:val="bottom"/>
          </w:tcPr>
          <w:p w:rsidR="00B87152" w:rsidRPr="002F2961" w:rsidRDefault="00B87152" w:rsidP="00DF555C">
            <w:r>
              <w:t>Non-Steroidal Anti-Inflammatory Drug</w:t>
            </w:r>
          </w:p>
        </w:tc>
      </w:tr>
      <w:tr w:rsidR="00B87152" w:rsidRPr="00FD119B" w:rsidTr="00DF555C">
        <w:tc>
          <w:tcPr>
            <w:tcW w:w="1809" w:type="dxa"/>
            <w:vAlign w:val="bottom"/>
          </w:tcPr>
          <w:p w:rsidR="00B87152" w:rsidRPr="002F2961" w:rsidRDefault="00B87152" w:rsidP="00DF555C">
            <w:r>
              <w:t>OMERACT</w:t>
            </w:r>
          </w:p>
        </w:tc>
        <w:tc>
          <w:tcPr>
            <w:tcW w:w="6911" w:type="dxa"/>
            <w:vAlign w:val="bottom"/>
          </w:tcPr>
          <w:p w:rsidR="00B87152" w:rsidRPr="002F2961" w:rsidRDefault="00B87152" w:rsidP="00DF555C">
            <w:r>
              <w:t>Outcome Measures in Rheumatology Clinical Trials</w:t>
            </w:r>
          </w:p>
        </w:tc>
      </w:tr>
      <w:tr w:rsidR="00B87152" w:rsidRPr="00FD119B" w:rsidTr="00DF555C">
        <w:tc>
          <w:tcPr>
            <w:tcW w:w="1809" w:type="dxa"/>
            <w:vAlign w:val="bottom"/>
          </w:tcPr>
          <w:p w:rsidR="00B87152" w:rsidRDefault="00B87152" w:rsidP="00DF555C">
            <w:r>
              <w:t>PBO</w:t>
            </w:r>
          </w:p>
        </w:tc>
        <w:tc>
          <w:tcPr>
            <w:tcW w:w="6911" w:type="dxa"/>
            <w:vAlign w:val="bottom"/>
          </w:tcPr>
          <w:p w:rsidR="00B87152" w:rsidRDefault="00B87152" w:rsidP="00DF555C">
            <w:r>
              <w:t>Placebo</w:t>
            </w:r>
          </w:p>
        </w:tc>
      </w:tr>
      <w:tr w:rsidR="00B87152" w:rsidRPr="00FD119B" w:rsidTr="00DF555C">
        <w:tc>
          <w:tcPr>
            <w:tcW w:w="1809" w:type="dxa"/>
            <w:vAlign w:val="bottom"/>
          </w:tcPr>
          <w:p w:rsidR="00B87152" w:rsidRPr="002F2961" w:rsidRDefault="00B87152" w:rsidP="00DF555C">
            <w:r w:rsidRPr="002F2961">
              <w:t>PD</w:t>
            </w:r>
          </w:p>
        </w:tc>
        <w:tc>
          <w:tcPr>
            <w:tcW w:w="6911" w:type="dxa"/>
            <w:vAlign w:val="bottom"/>
          </w:tcPr>
          <w:p w:rsidR="00B87152" w:rsidRPr="002F2961" w:rsidRDefault="00B87152" w:rsidP="00DF555C">
            <w:r w:rsidRPr="002F2961">
              <w:t>Pharmacodynamic</w:t>
            </w:r>
          </w:p>
        </w:tc>
      </w:tr>
      <w:tr w:rsidR="00B87152" w:rsidRPr="00FD119B" w:rsidTr="00DF555C">
        <w:tc>
          <w:tcPr>
            <w:tcW w:w="1809" w:type="dxa"/>
            <w:vAlign w:val="bottom"/>
          </w:tcPr>
          <w:p w:rsidR="00B87152" w:rsidRPr="002F2961" w:rsidRDefault="00B87152" w:rsidP="00DF555C">
            <w:r>
              <w:t>PK</w:t>
            </w:r>
          </w:p>
        </w:tc>
        <w:tc>
          <w:tcPr>
            <w:tcW w:w="6911" w:type="dxa"/>
            <w:vAlign w:val="bottom"/>
          </w:tcPr>
          <w:p w:rsidR="00B87152" w:rsidRPr="002F2961" w:rsidRDefault="00B87152" w:rsidP="00DF555C">
            <w:r>
              <w:t>Pharmacokinetic</w:t>
            </w:r>
          </w:p>
        </w:tc>
      </w:tr>
      <w:tr w:rsidR="00B87152" w:rsidRPr="00FD119B" w:rsidTr="00DF555C">
        <w:tc>
          <w:tcPr>
            <w:tcW w:w="1809" w:type="dxa"/>
            <w:vAlign w:val="bottom"/>
          </w:tcPr>
          <w:p w:rsidR="00B87152" w:rsidRPr="002F2961" w:rsidRDefault="00B87152" w:rsidP="00DF555C">
            <w:r>
              <w:t>PT</w:t>
            </w:r>
          </w:p>
        </w:tc>
        <w:tc>
          <w:tcPr>
            <w:tcW w:w="6911" w:type="dxa"/>
            <w:vAlign w:val="bottom"/>
          </w:tcPr>
          <w:p w:rsidR="00B87152" w:rsidRPr="002F2961" w:rsidRDefault="00B87152" w:rsidP="00DF555C">
            <w:r>
              <w:t>Preferred Term</w:t>
            </w:r>
          </w:p>
        </w:tc>
      </w:tr>
      <w:tr w:rsidR="00B87152" w:rsidRPr="00FD119B" w:rsidTr="00DF555C">
        <w:tc>
          <w:tcPr>
            <w:tcW w:w="1809" w:type="dxa"/>
            <w:vAlign w:val="bottom"/>
          </w:tcPr>
          <w:p w:rsidR="00B87152" w:rsidRDefault="00B87152" w:rsidP="00DF555C">
            <w:r>
              <w:t>PY</w:t>
            </w:r>
          </w:p>
        </w:tc>
        <w:tc>
          <w:tcPr>
            <w:tcW w:w="6911" w:type="dxa"/>
            <w:vAlign w:val="bottom"/>
          </w:tcPr>
          <w:p w:rsidR="00B87152" w:rsidRDefault="00B87152" w:rsidP="00DF555C">
            <w:r>
              <w:t>Patient-Years</w:t>
            </w:r>
          </w:p>
        </w:tc>
      </w:tr>
      <w:tr w:rsidR="00B87152" w:rsidRPr="00FD119B" w:rsidTr="00DF555C">
        <w:tc>
          <w:tcPr>
            <w:tcW w:w="1809" w:type="dxa"/>
            <w:vAlign w:val="bottom"/>
          </w:tcPr>
          <w:p w:rsidR="00B87152" w:rsidRPr="002F2961" w:rsidRDefault="00B87152" w:rsidP="00DF555C">
            <w:r>
              <w:t>RA</w:t>
            </w:r>
          </w:p>
        </w:tc>
        <w:tc>
          <w:tcPr>
            <w:tcW w:w="6911" w:type="dxa"/>
            <w:vAlign w:val="bottom"/>
          </w:tcPr>
          <w:p w:rsidR="00B87152" w:rsidRPr="002F2961" w:rsidRDefault="00B87152" w:rsidP="00DF555C">
            <w:r>
              <w:t>Rheumatoid Arthritis</w:t>
            </w:r>
          </w:p>
        </w:tc>
      </w:tr>
      <w:tr w:rsidR="00B87152" w:rsidRPr="00FD119B" w:rsidTr="00DF555C">
        <w:tc>
          <w:tcPr>
            <w:tcW w:w="1809" w:type="dxa"/>
            <w:vAlign w:val="bottom"/>
          </w:tcPr>
          <w:p w:rsidR="00B87152" w:rsidRPr="002F2961" w:rsidRDefault="00B87152" w:rsidP="00DF555C">
            <w:r>
              <w:t>RAMRIS</w:t>
            </w:r>
          </w:p>
        </w:tc>
        <w:tc>
          <w:tcPr>
            <w:tcW w:w="6911" w:type="dxa"/>
            <w:vAlign w:val="bottom"/>
          </w:tcPr>
          <w:p w:rsidR="00B87152" w:rsidRPr="002F2961" w:rsidRDefault="00B87152" w:rsidP="00DF555C">
            <w:r>
              <w:t>Rheumatoid Arthritis Magnetic Resonance Imaging Score</w:t>
            </w:r>
          </w:p>
        </w:tc>
      </w:tr>
      <w:tr w:rsidR="00B87152" w:rsidRPr="00FD119B" w:rsidTr="00DF555C">
        <w:tc>
          <w:tcPr>
            <w:tcW w:w="1809" w:type="dxa"/>
            <w:vAlign w:val="bottom"/>
          </w:tcPr>
          <w:p w:rsidR="00B87152" w:rsidRPr="002F2961" w:rsidRDefault="00B87152" w:rsidP="00DF555C">
            <w:r>
              <w:t>RF</w:t>
            </w:r>
          </w:p>
        </w:tc>
        <w:tc>
          <w:tcPr>
            <w:tcW w:w="6911" w:type="dxa"/>
            <w:vAlign w:val="bottom"/>
          </w:tcPr>
          <w:p w:rsidR="00B87152" w:rsidRPr="002F2961" w:rsidRDefault="00B87152" w:rsidP="00DF555C">
            <w:r>
              <w:t>Rheumatoid Factor</w:t>
            </w:r>
          </w:p>
        </w:tc>
      </w:tr>
      <w:tr w:rsidR="00B87152" w:rsidRPr="00FD119B" w:rsidTr="00DF555C">
        <w:tc>
          <w:tcPr>
            <w:tcW w:w="1809" w:type="dxa"/>
            <w:vAlign w:val="bottom"/>
          </w:tcPr>
          <w:p w:rsidR="00B87152" w:rsidRPr="002F2961" w:rsidRDefault="00B87152" w:rsidP="00DF555C">
            <w:r w:rsidRPr="002F2961">
              <w:t>SAE</w:t>
            </w:r>
          </w:p>
        </w:tc>
        <w:tc>
          <w:tcPr>
            <w:tcW w:w="6911" w:type="dxa"/>
            <w:vAlign w:val="bottom"/>
          </w:tcPr>
          <w:p w:rsidR="00B87152" w:rsidRPr="002F2961" w:rsidRDefault="00B87152" w:rsidP="00DF555C">
            <w:r w:rsidRPr="002F2961">
              <w:t xml:space="preserve">Serious </w:t>
            </w:r>
            <w:r>
              <w:t>A</w:t>
            </w:r>
            <w:r w:rsidRPr="002F2961">
              <w:t xml:space="preserve">dverse </w:t>
            </w:r>
            <w:r>
              <w:t>E</w:t>
            </w:r>
            <w:r w:rsidRPr="002F2961">
              <w:t>vent</w:t>
            </w:r>
          </w:p>
        </w:tc>
      </w:tr>
      <w:tr w:rsidR="00B87152" w:rsidRPr="00FD119B" w:rsidTr="00DF555C">
        <w:tc>
          <w:tcPr>
            <w:tcW w:w="1809" w:type="dxa"/>
            <w:vAlign w:val="bottom"/>
          </w:tcPr>
          <w:p w:rsidR="00B87152" w:rsidRPr="002F2961" w:rsidRDefault="00B87152" w:rsidP="00DF555C">
            <w:r>
              <w:t>SD</w:t>
            </w:r>
          </w:p>
        </w:tc>
        <w:tc>
          <w:tcPr>
            <w:tcW w:w="6911" w:type="dxa"/>
            <w:vAlign w:val="bottom"/>
          </w:tcPr>
          <w:p w:rsidR="00B87152" w:rsidRPr="002F2961" w:rsidRDefault="00B87152" w:rsidP="00DF555C">
            <w:r>
              <w:t>Standard Deviation</w:t>
            </w:r>
          </w:p>
        </w:tc>
      </w:tr>
      <w:tr w:rsidR="00B87152" w:rsidRPr="00FD119B" w:rsidTr="00DF555C">
        <w:tc>
          <w:tcPr>
            <w:tcW w:w="1809" w:type="dxa"/>
            <w:vAlign w:val="bottom"/>
          </w:tcPr>
          <w:p w:rsidR="00B87152" w:rsidRPr="002F2961" w:rsidRDefault="00B87152" w:rsidP="00DF555C">
            <w:r w:rsidRPr="002F2961">
              <w:t>SOC</w:t>
            </w:r>
          </w:p>
        </w:tc>
        <w:tc>
          <w:tcPr>
            <w:tcW w:w="6911" w:type="dxa"/>
            <w:vAlign w:val="bottom"/>
          </w:tcPr>
          <w:p w:rsidR="00B87152" w:rsidRPr="002F2961" w:rsidRDefault="00B87152" w:rsidP="00DF555C">
            <w:r w:rsidRPr="002F2961">
              <w:t>System Organ Class</w:t>
            </w:r>
          </w:p>
        </w:tc>
      </w:tr>
      <w:tr w:rsidR="00B87152" w:rsidRPr="00FD119B" w:rsidTr="00DF555C">
        <w:tc>
          <w:tcPr>
            <w:tcW w:w="1809" w:type="dxa"/>
            <w:vAlign w:val="bottom"/>
          </w:tcPr>
          <w:p w:rsidR="00B87152" w:rsidRPr="002F2961" w:rsidRDefault="00B87152" w:rsidP="00DF555C">
            <w:r>
              <w:t>TB</w:t>
            </w:r>
          </w:p>
        </w:tc>
        <w:tc>
          <w:tcPr>
            <w:tcW w:w="6911" w:type="dxa"/>
            <w:vAlign w:val="bottom"/>
          </w:tcPr>
          <w:p w:rsidR="00B87152" w:rsidRPr="002F2961" w:rsidRDefault="00B87152" w:rsidP="00DF555C">
            <w:r>
              <w:t>Tuberculosis</w:t>
            </w:r>
          </w:p>
        </w:tc>
      </w:tr>
      <w:tr w:rsidR="00B87152" w:rsidRPr="00FD119B" w:rsidTr="00DF555C">
        <w:tc>
          <w:tcPr>
            <w:tcW w:w="1809" w:type="dxa"/>
            <w:vAlign w:val="bottom"/>
          </w:tcPr>
          <w:p w:rsidR="00B87152" w:rsidRPr="002F2961" w:rsidRDefault="00B87152" w:rsidP="00DF555C">
            <w:r>
              <w:t>TOF</w:t>
            </w:r>
          </w:p>
        </w:tc>
        <w:tc>
          <w:tcPr>
            <w:tcW w:w="6911" w:type="dxa"/>
            <w:vAlign w:val="bottom"/>
          </w:tcPr>
          <w:p w:rsidR="00B87152" w:rsidRPr="002F2961" w:rsidRDefault="00B87152" w:rsidP="00DF555C">
            <w:r>
              <w:t>Tofacitinib Citrate</w:t>
            </w:r>
          </w:p>
        </w:tc>
      </w:tr>
      <w:tr w:rsidR="00B87152" w:rsidRPr="00FD119B" w:rsidTr="00DF555C">
        <w:tc>
          <w:tcPr>
            <w:tcW w:w="1809" w:type="dxa"/>
            <w:vAlign w:val="bottom"/>
          </w:tcPr>
          <w:p w:rsidR="00B87152" w:rsidRPr="002F2961" w:rsidRDefault="00B87152" w:rsidP="00DF555C">
            <w:r>
              <w:t>ULN</w:t>
            </w:r>
          </w:p>
        </w:tc>
        <w:tc>
          <w:tcPr>
            <w:tcW w:w="6911" w:type="dxa"/>
            <w:vAlign w:val="bottom"/>
          </w:tcPr>
          <w:p w:rsidR="00B87152" w:rsidRPr="002F2961" w:rsidRDefault="00B87152" w:rsidP="00DF555C">
            <w:r>
              <w:t>Upper Limit of Normal</w:t>
            </w:r>
          </w:p>
        </w:tc>
      </w:tr>
      <w:tr w:rsidR="00B87152" w:rsidRPr="00FD119B" w:rsidTr="00DF555C">
        <w:tc>
          <w:tcPr>
            <w:tcW w:w="1809" w:type="dxa"/>
            <w:vAlign w:val="bottom"/>
          </w:tcPr>
          <w:p w:rsidR="00B87152" w:rsidRDefault="00B87152" w:rsidP="00DF555C">
            <w:r>
              <w:lastRenderedPageBreak/>
              <w:t>VZV</w:t>
            </w:r>
          </w:p>
        </w:tc>
        <w:tc>
          <w:tcPr>
            <w:tcW w:w="6911" w:type="dxa"/>
            <w:vAlign w:val="bottom"/>
          </w:tcPr>
          <w:p w:rsidR="00B87152" w:rsidRDefault="00B87152" w:rsidP="00DF555C">
            <w:r>
              <w:t>Varicella Zoster Vaccine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 w:name="_Toc509307183"/>
      <w:r>
        <w:lastRenderedPageBreak/>
        <w:t>I.</w:t>
      </w:r>
      <w:r w:rsidR="008E7846">
        <w:t xml:space="preserve"> Introduction to product submission</w:t>
      </w:r>
      <w:bookmarkEnd w:id="10"/>
      <w:bookmarkEnd w:id="2"/>
      <w:bookmarkEnd w:id="4"/>
    </w:p>
    <w:p w:rsidR="008E7846" w:rsidRDefault="008E7846" w:rsidP="008E7846">
      <w:pPr>
        <w:pStyle w:val="Heading3"/>
        <w:rPr>
          <w:lang w:eastAsia="en-AU"/>
        </w:rPr>
      </w:pPr>
      <w:bookmarkStart w:id="11" w:name="_Toc247691502"/>
      <w:bookmarkStart w:id="12" w:name="_Toc314842483"/>
      <w:bookmarkStart w:id="13" w:name="_Toc509307184"/>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387362">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E361ED" w:rsidP="001B5C90">
            <w:r>
              <w:t>Extension of indications</w:t>
            </w:r>
          </w:p>
        </w:tc>
      </w:tr>
      <w:tr w:rsidR="008E7846" w:rsidRPr="003D1E62" w:rsidTr="00387362">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E361ED" w:rsidP="00E361ED">
            <w:r>
              <w:t>Approved</w:t>
            </w:r>
          </w:p>
        </w:tc>
      </w:tr>
      <w:tr w:rsidR="008E7846" w:rsidRPr="003D1E62" w:rsidTr="00387362">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E361ED" w:rsidP="001B5C90">
            <w:r>
              <w:t>1 June 2017</w:t>
            </w:r>
          </w:p>
        </w:tc>
      </w:tr>
      <w:tr w:rsidR="00ED2922" w:rsidRPr="003D1E62" w:rsidTr="00387362">
        <w:trPr>
          <w:trHeight w:hRule="exact" w:val="454"/>
        </w:trPr>
        <w:tc>
          <w:tcPr>
            <w:tcW w:w="2907" w:type="dxa"/>
          </w:tcPr>
          <w:p w:rsidR="00ED2922" w:rsidRPr="00441C3F" w:rsidRDefault="00ED2922" w:rsidP="001B5C90">
            <w:pPr>
              <w:rPr>
                <w:i/>
              </w:rPr>
            </w:pPr>
            <w:r w:rsidRPr="00441C3F">
              <w:rPr>
                <w:i/>
              </w:rPr>
              <w:t>Date of entry onto ARTG</w:t>
            </w:r>
            <w:r w:rsidR="00C53864">
              <w:rPr>
                <w:i/>
              </w:rPr>
              <w:t>:</w:t>
            </w:r>
          </w:p>
        </w:tc>
        <w:tc>
          <w:tcPr>
            <w:tcW w:w="6307" w:type="dxa"/>
          </w:tcPr>
          <w:p w:rsidR="00ED2922" w:rsidRPr="00441C3F" w:rsidRDefault="00C61113" w:rsidP="00EC463D">
            <w:pPr>
              <w:rPr>
                <w:i/>
              </w:rPr>
            </w:pPr>
            <w:r>
              <w:t>6 June 2017</w:t>
            </w:r>
          </w:p>
        </w:tc>
      </w:tr>
      <w:tr w:rsidR="006A6D47" w:rsidRPr="00487162" w:rsidTr="00387362">
        <w:trPr>
          <w:trHeight w:hRule="exact" w:val="454"/>
        </w:trPr>
        <w:tc>
          <w:tcPr>
            <w:tcW w:w="2907" w:type="dxa"/>
          </w:tcPr>
          <w:p w:rsidR="006A6D47" w:rsidRPr="00487162" w:rsidRDefault="006A6D47" w:rsidP="001963E2">
            <w:pPr>
              <w:rPr>
                <w:i/>
              </w:rPr>
            </w:pPr>
            <w:r w:rsidRPr="00487162">
              <w:rPr>
                <w:i/>
              </w:rPr>
              <w:t xml:space="preserve">ARTG </w:t>
            </w:r>
            <w:r>
              <w:rPr>
                <w:i/>
              </w:rPr>
              <w:t>n</w:t>
            </w:r>
            <w:r w:rsidR="003E0099">
              <w:rPr>
                <w:i/>
              </w:rPr>
              <w:t>umber</w:t>
            </w:r>
            <w:r w:rsidR="004F440E">
              <w:rPr>
                <w:i/>
              </w:rPr>
              <w:t>s</w:t>
            </w:r>
            <w:r>
              <w:rPr>
                <w:i/>
              </w:rPr>
              <w:t>:</w:t>
            </w:r>
          </w:p>
        </w:tc>
        <w:tc>
          <w:tcPr>
            <w:tcW w:w="6307" w:type="dxa"/>
          </w:tcPr>
          <w:p w:rsidR="006A6D47" w:rsidRPr="00487162" w:rsidRDefault="004F440E" w:rsidP="001963E2">
            <w:r w:rsidRPr="004F440E">
              <w:t>196987</w:t>
            </w:r>
            <w:r>
              <w:t xml:space="preserve">, </w:t>
            </w:r>
            <w:r w:rsidRPr="004F440E">
              <w:t>233439</w:t>
            </w:r>
          </w:p>
        </w:tc>
      </w:tr>
      <w:tr w:rsidR="008E7846" w:rsidRPr="00487162" w:rsidTr="00387362">
        <w:tc>
          <w:tcPr>
            <w:tcW w:w="2907" w:type="dxa"/>
          </w:tcPr>
          <w:p w:rsidR="008E7846" w:rsidRPr="00487162" w:rsidRDefault="0031697A" w:rsidP="0031697A">
            <w:pPr>
              <w:rPr>
                <w:i/>
              </w:rPr>
            </w:pPr>
            <w:r>
              <w:rPr>
                <w:i/>
              </w:rPr>
              <w:t>Active ingredient</w:t>
            </w:r>
            <w:r w:rsidR="001B5C90">
              <w:rPr>
                <w:i/>
              </w:rPr>
              <w:t>:</w:t>
            </w:r>
          </w:p>
        </w:tc>
        <w:tc>
          <w:tcPr>
            <w:tcW w:w="6307" w:type="dxa"/>
          </w:tcPr>
          <w:p w:rsidR="008E7846" w:rsidRPr="00487162" w:rsidRDefault="00DE30DA" w:rsidP="00E45619">
            <w:r>
              <w:t>Tofacitinib (as citrate)</w:t>
            </w:r>
          </w:p>
        </w:tc>
      </w:tr>
      <w:tr w:rsidR="008E7846" w:rsidRPr="00487162" w:rsidTr="00387362">
        <w:tc>
          <w:tcPr>
            <w:tcW w:w="2907" w:type="dxa"/>
          </w:tcPr>
          <w:p w:rsidR="008E7846" w:rsidRPr="00487162" w:rsidRDefault="008E7846" w:rsidP="001B5C90">
            <w:pPr>
              <w:rPr>
                <w:i/>
              </w:rPr>
            </w:pPr>
            <w:r w:rsidRPr="00487162">
              <w:rPr>
                <w:i/>
              </w:rPr>
              <w:t>Product</w:t>
            </w:r>
            <w:r w:rsidR="0031697A">
              <w:rPr>
                <w:i/>
              </w:rPr>
              <w:t xml:space="preserve"> name</w:t>
            </w:r>
            <w:r w:rsidR="001B5C90">
              <w:rPr>
                <w:i/>
              </w:rPr>
              <w:t>:</w:t>
            </w:r>
          </w:p>
        </w:tc>
        <w:tc>
          <w:tcPr>
            <w:tcW w:w="6307" w:type="dxa"/>
          </w:tcPr>
          <w:p w:rsidR="008E7846" w:rsidRPr="00487162" w:rsidRDefault="00DE30DA" w:rsidP="00E45619">
            <w:r>
              <w:t>Xeljanz</w:t>
            </w:r>
          </w:p>
        </w:tc>
      </w:tr>
      <w:tr w:rsidR="008E7846" w:rsidRPr="00487162" w:rsidTr="00387362">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F135D9" w:rsidP="00E45619">
            <w:r w:rsidRPr="00F135D9">
              <w:t>Pfizer Australia Pty Ltd</w:t>
            </w:r>
          </w:p>
          <w:p w:rsidR="0048016F" w:rsidRDefault="0048016F" w:rsidP="00E45619">
            <w:r>
              <w:t>38-42 Wharf Road</w:t>
            </w:r>
          </w:p>
          <w:p w:rsidR="00F135D9" w:rsidRPr="00487162" w:rsidRDefault="0048016F" w:rsidP="00E45619">
            <w:r w:rsidRPr="0048016F">
              <w:t>West Ryde NSW 2114</w:t>
            </w:r>
          </w:p>
        </w:tc>
      </w:tr>
      <w:tr w:rsidR="008E7846" w:rsidRPr="00487162" w:rsidTr="00387362">
        <w:tc>
          <w:tcPr>
            <w:tcW w:w="2907" w:type="dxa"/>
          </w:tcPr>
          <w:p w:rsidR="008E7846" w:rsidRPr="00487162" w:rsidRDefault="003E0099" w:rsidP="00E45619">
            <w:pPr>
              <w:rPr>
                <w:i/>
              </w:rPr>
            </w:pPr>
            <w:r>
              <w:rPr>
                <w:i/>
              </w:rPr>
              <w:t>Dose form</w:t>
            </w:r>
            <w:r w:rsidR="001B5C90">
              <w:rPr>
                <w:i/>
              </w:rPr>
              <w:t>:</w:t>
            </w:r>
          </w:p>
        </w:tc>
        <w:tc>
          <w:tcPr>
            <w:tcW w:w="6307" w:type="dxa"/>
          </w:tcPr>
          <w:p w:rsidR="008E7846" w:rsidRPr="00487162" w:rsidRDefault="00CB4850" w:rsidP="00E45619">
            <w:r>
              <w:t>I</w:t>
            </w:r>
            <w:r w:rsidRPr="009E7B11">
              <w:t>mmediate release tablet</w:t>
            </w:r>
          </w:p>
        </w:tc>
      </w:tr>
      <w:tr w:rsidR="008E7846" w:rsidRPr="00487162" w:rsidTr="00387362">
        <w:tc>
          <w:tcPr>
            <w:tcW w:w="2907" w:type="dxa"/>
          </w:tcPr>
          <w:p w:rsidR="008E7846" w:rsidRPr="00487162" w:rsidRDefault="003E0099" w:rsidP="00E45619">
            <w:pPr>
              <w:rPr>
                <w:i/>
              </w:rPr>
            </w:pPr>
            <w:r>
              <w:rPr>
                <w:i/>
              </w:rPr>
              <w:t>Strength</w:t>
            </w:r>
            <w:r w:rsidR="008E7846" w:rsidRPr="00487162">
              <w:rPr>
                <w:i/>
              </w:rPr>
              <w:t xml:space="preserve">: </w:t>
            </w:r>
          </w:p>
        </w:tc>
        <w:tc>
          <w:tcPr>
            <w:tcW w:w="6307" w:type="dxa"/>
          </w:tcPr>
          <w:p w:rsidR="008E7846" w:rsidRPr="00487162" w:rsidRDefault="00CB4850" w:rsidP="00E45619">
            <w:r>
              <w:t>5 mg</w:t>
            </w:r>
          </w:p>
        </w:tc>
      </w:tr>
      <w:tr w:rsidR="008E7846" w:rsidRPr="00487162" w:rsidTr="00387362">
        <w:tc>
          <w:tcPr>
            <w:tcW w:w="2907" w:type="dxa"/>
          </w:tcPr>
          <w:p w:rsidR="008E7846" w:rsidRPr="00487162" w:rsidRDefault="003E0099" w:rsidP="00B34BFC">
            <w:pPr>
              <w:rPr>
                <w:i/>
              </w:rPr>
            </w:pPr>
            <w:r>
              <w:rPr>
                <w:i/>
              </w:rPr>
              <w:t xml:space="preserve">Containers </w:t>
            </w:r>
            <w:r w:rsidR="00B34BFC">
              <w:rPr>
                <w:i/>
              </w:rPr>
              <w:t xml:space="preserve">and </w:t>
            </w:r>
            <w:r>
              <w:rPr>
                <w:i/>
              </w:rPr>
              <w:t>pack sizes</w:t>
            </w:r>
            <w:r w:rsidR="008E7846" w:rsidRPr="00487162">
              <w:rPr>
                <w:i/>
              </w:rPr>
              <w:t>:</w:t>
            </w:r>
          </w:p>
        </w:tc>
        <w:tc>
          <w:tcPr>
            <w:tcW w:w="6307" w:type="dxa"/>
          </w:tcPr>
          <w:p w:rsidR="003E0099" w:rsidRDefault="003E0099" w:rsidP="00E45619">
            <w:r w:rsidRPr="003E0099">
              <w:t>HDPE bottles with silica gel desiccant and child-resistant caps containing</w:t>
            </w:r>
            <w:r>
              <w:t xml:space="preserve"> 60 or 180 </w:t>
            </w:r>
            <w:r w:rsidR="00B34BFC">
              <w:t>film coated</w:t>
            </w:r>
            <w:r>
              <w:t xml:space="preserve"> tablets.</w:t>
            </w:r>
          </w:p>
          <w:p w:rsidR="008E7846" w:rsidRPr="00487162" w:rsidRDefault="003E0099" w:rsidP="00E45619">
            <w:r w:rsidRPr="003E0099">
              <w:t xml:space="preserve">Aluminium foil/PVC backed aluminium foil unit dose blisters containing 56 </w:t>
            </w:r>
            <w:r w:rsidR="00B34BFC">
              <w:t>film coated</w:t>
            </w:r>
            <w:r w:rsidRPr="003E0099">
              <w:t xml:space="preserve"> tablets.</w:t>
            </w:r>
          </w:p>
        </w:tc>
      </w:tr>
      <w:tr w:rsidR="008E7846" w:rsidRPr="00487162" w:rsidTr="00387362">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F17FF" w:rsidRPr="00D75B67" w:rsidRDefault="00BF17FF" w:rsidP="00E45619">
            <w:pPr>
              <w:rPr>
                <w:i/>
              </w:rPr>
            </w:pPr>
            <w:r w:rsidRPr="00D75B67">
              <w:rPr>
                <w:i/>
              </w:rPr>
              <w:t>Xeljanz is indicated for the treatment of moderate to severe active rheumatoid arthritis in adults who have had an inadequate response or are intolerant to methotrexate.</w:t>
            </w:r>
          </w:p>
          <w:p w:rsidR="008E7846" w:rsidRPr="00487162" w:rsidRDefault="00BF17FF" w:rsidP="00E45619">
            <w:pPr>
              <w:rPr>
                <w:rFonts w:eastAsia="MS Mincho"/>
                <w:lang w:eastAsia="ja-JP"/>
              </w:rPr>
            </w:pPr>
            <w:r w:rsidRPr="00D75B67">
              <w:rPr>
                <w:i/>
              </w:rPr>
              <w:t>Xeljanz can be used alone or in combination with non-biological DMARDs, including metho</w:t>
            </w:r>
            <w:r w:rsidR="00DD1EFD" w:rsidRPr="00D75B67">
              <w:rPr>
                <w:i/>
              </w:rPr>
              <w:t>trexate.</w:t>
            </w:r>
            <w:r w:rsidR="00AE1EF9" w:rsidRPr="00D75B67">
              <w:rPr>
                <w:i/>
              </w:rPr>
              <w:t xml:space="preserve"> </w:t>
            </w:r>
            <w:r w:rsidRPr="00D75B67">
              <w:rPr>
                <w:i/>
              </w:rPr>
              <w:t>Therapy with Xeljanz should be initiated and monitored by a rheumatologist or specialist physician with expertise in the management of rheumatoid arthritis.</w:t>
            </w:r>
          </w:p>
        </w:tc>
      </w:tr>
      <w:tr w:rsidR="008E7846" w:rsidRPr="00487162" w:rsidTr="00387362">
        <w:tc>
          <w:tcPr>
            <w:tcW w:w="2907" w:type="dxa"/>
          </w:tcPr>
          <w:p w:rsidR="008E7846" w:rsidRPr="00487162" w:rsidRDefault="00317A34" w:rsidP="00E45619">
            <w:pPr>
              <w:rPr>
                <w:i/>
              </w:rPr>
            </w:pPr>
            <w:r>
              <w:rPr>
                <w:i/>
              </w:rPr>
              <w:t>Routes</w:t>
            </w:r>
            <w:r w:rsidR="008E7846" w:rsidRPr="00487162">
              <w:rPr>
                <w:i/>
              </w:rPr>
              <w:t xml:space="preserve"> of administration:</w:t>
            </w:r>
          </w:p>
        </w:tc>
        <w:tc>
          <w:tcPr>
            <w:tcW w:w="6307" w:type="dxa"/>
          </w:tcPr>
          <w:p w:rsidR="008E7846" w:rsidRPr="00487162" w:rsidRDefault="006709F0" w:rsidP="00E45619">
            <w:r>
              <w:t>Oral</w:t>
            </w:r>
          </w:p>
        </w:tc>
      </w:tr>
    </w:tbl>
    <w:p w:rsidR="008E7846" w:rsidRDefault="008E7846" w:rsidP="008E7846">
      <w:pPr>
        <w:pStyle w:val="Heading3"/>
      </w:pPr>
      <w:bookmarkStart w:id="14" w:name="_Toc247691503"/>
      <w:bookmarkStart w:id="15" w:name="_Toc314842484"/>
      <w:bookmarkStart w:id="16" w:name="_Toc509307185"/>
      <w:r>
        <w:t>Product background</w:t>
      </w:r>
      <w:bookmarkEnd w:id="14"/>
      <w:bookmarkEnd w:id="15"/>
      <w:bookmarkEnd w:id="16"/>
    </w:p>
    <w:p w:rsidR="00B34BFC" w:rsidRDefault="000B442F" w:rsidP="004543C1">
      <w:r w:rsidRPr="0034149E">
        <w:t xml:space="preserve">This AusPAR describes the application by </w:t>
      </w:r>
      <w:r w:rsidR="003E0099" w:rsidRPr="00F135D9">
        <w:t>Pfizer Australia Pty Ltd</w:t>
      </w:r>
      <w:r>
        <w:t xml:space="preserve"> to </w:t>
      </w:r>
      <w:r w:rsidR="00B5563F">
        <w:t>extend the indications of X</w:t>
      </w:r>
      <w:r w:rsidR="003E0099">
        <w:t>eljanz (tofacitinib</w:t>
      </w:r>
      <w:r w:rsidR="00550C33">
        <w:t xml:space="preserve"> [TOF]</w:t>
      </w:r>
      <w:r w:rsidR="003E0099">
        <w:t>)</w:t>
      </w:r>
      <w:r w:rsidR="00366E90">
        <w:t xml:space="preserve"> </w:t>
      </w:r>
      <w:r w:rsidR="005C3C43" w:rsidRPr="005C3C43">
        <w:t>rheumatoid arthritis</w:t>
      </w:r>
      <w:r w:rsidR="005C3C43">
        <w:t xml:space="preserve"> (RA)</w:t>
      </w:r>
      <w:r w:rsidR="004543C1">
        <w:t xml:space="preserve"> indication to include a claim of inhibition of structural damage, as measured by plain sequential </w:t>
      </w:r>
      <w:r w:rsidR="0067104C">
        <w:t>x-ray</w:t>
      </w:r>
      <w:r w:rsidR="004543C1">
        <w:t>, for the approved RA treatment population (</w:t>
      </w:r>
      <w:r w:rsidR="00B34BFC">
        <w:t xml:space="preserve">that is </w:t>
      </w:r>
      <w:r w:rsidR="004543C1">
        <w:t xml:space="preserve">in adult patients with a preceding inadequate response to or intolerance of </w:t>
      </w:r>
      <w:r w:rsidR="00CF3863">
        <w:t>methotrexate [</w:t>
      </w:r>
      <w:r w:rsidR="004543C1">
        <w:t>MTX</w:t>
      </w:r>
      <w:r w:rsidR="00CF3863">
        <w:t>]</w:t>
      </w:r>
      <w:r w:rsidR="004543C1">
        <w:t xml:space="preserve">). As noted by the clinical evaluator, an impact on inhibiting the structural bone damage of RA is associated with better </w:t>
      </w:r>
      <w:r w:rsidR="00B34BFC">
        <w:t>long term</w:t>
      </w:r>
      <w:r w:rsidR="004543C1">
        <w:t xml:space="preserve"> patient outcomes particularly regarding maintenance of physical function and quality of life. In addition, the submission seeks to update the PI with the latest safety information</w:t>
      </w:r>
      <w:r w:rsidR="00B34BFC">
        <w:t>.</w:t>
      </w:r>
    </w:p>
    <w:p w:rsidR="004543C1" w:rsidRDefault="005331E9" w:rsidP="004543C1">
      <w:r>
        <w:lastRenderedPageBreak/>
        <w:t>TOF</w:t>
      </w:r>
      <w:r w:rsidR="004543C1">
        <w:t xml:space="preserve"> is a selective inhibitor of the Janus kinase (JAK) family of kinases, with greater inhibition of JAK1 and JAK3, than JAK2 and tyrosine kinase 2. The JAK system is an intracellular pathway regulatory system that affects the release of cytokines and amplification of the inflammatory response. TOF preferentially inhibits signalling by heterodimeric receptors associated with JAK1 and JAK3, thereby blocking the production and signalling of several pro-inflammatory cytokines including IL-1, 2, 4, 6, 7, 9, 15 and 21 as well as type 1 interferon. In combination, these effects decrease lymphocyte activation, proliferation and function, which are key immune response targets in successfully treating active RA.</w:t>
      </w:r>
    </w:p>
    <w:p w:rsidR="004543C1" w:rsidRPr="00116096" w:rsidRDefault="004543C1" w:rsidP="004543C1">
      <w:r w:rsidRPr="00AE2125">
        <w:t xml:space="preserve">The </w:t>
      </w:r>
      <w:r w:rsidR="0085734E" w:rsidRPr="0085734E">
        <w:t xml:space="preserve">Advisory Committee on Prescription Medicines (ACPM) </w:t>
      </w:r>
      <w:r w:rsidR="005331E9">
        <w:t>considered tofacitinib in February 2014</w:t>
      </w:r>
      <w:r w:rsidRPr="00AE2125">
        <w:t>.</w:t>
      </w:r>
      <w:r>
        <w:t xml:space="preserve"> At that time</w:t>
      </w:r>
      <w:r w:rsidR="005331E9">
        <w:t>,</w:t>
      </w:r>
      <w:r>
        <w:t xml:space="preserve"> the ACPM considered that </w:t>
      </w:r>
      <w:r w:rsidRPr="00AE2125">
        <w:t xml:space="preserve">there was insufficient evidence of an effect on retarding structural progression for the </w:t>
      </w:r>
      <w:r w:rsidR="005331E9">
        <w:t>TOF</w:t>
      </w:r>
      <w:r>
        <w:t xml:space="preserve"> </w:t>
      </w:r>
      <w:r w:rsidRPr="00AE2125">
        <w:t xml:space="preserve">5 mg twice daily </w:t>
      </w:r>
      <w:r>
        <w:t xml:space="preserve">(BD) </w:t>
      </w:r>
      <w:r w:rsidRPr="00AE2125">
        <w:t>dose in combination with MTX in the proposed treatment population.</w:t>
      </w:r>
      <w:r>
        <w:t xml:space="preserve"> </w:t>
      </w:r>
      <w:r w:rsidRPr="00116096">
        <w:t xml:space="preserve">The application for tofacitinib for 5 mg and 10 mg for the RA indication was initially rejected after lengthy discussions with the </w:t>
      </w:r>
      <w:r w:rsidR="0047207D">
        <w:t>s</w:t>
      </w:r>
      <w:r w:rsidRPr="00116096">
        <w:t xml:space="preserve">ponsor, predominantly regarding safety concerns with the 10 mg BD dose. </w:t>
      </w:r>
      <w:r w:rsidR="00FE0597" w:rsidRPr="00116096">
        <w:t xml:space="preserve">The </w:t>
      </w:r>
      <w:r w:rsidR="00FE0597">
        <w:t>s</w:t>
      </w:r>
      <w:r w:rsidR="00FE0597" w:rsidRPr="00116096">
        <w:t>ponsor withdrew its application to register the 10 mg dose</w:t>
      </w:r>
      <w:r w:rsidR="00FE0597">
        <w:t xml:space="preserve"> during those discussions. </w:t>
      </w:r>
      <w:r w:rsidRPr="00116096">
        <w:t xml:space="preserve">The </w:t>
      </w:r>
      <w:r w:rsidR="0047207D">
        <w:t>s</w:t>
      </w:r>
      <w:r w:rsidRPr="00116096">
        <w:t xml:space="preserve">ponsor appealed the decision for the 5 mg BD dose, </w:t>
      </w:r>
      <w:r w:rsidR="009C5C20">
        <w:t xml:space="preserve">and later </w:t>
      </w:r>
      <w:r w:rsidRPr="00116096">
        <w:t>gain</w:t>
      </w:r>
      <w:r w:rsidR="009C5C20">
        <w:t>ed</w:t>
      </w:r>
      <w:r w:rsidRPr="00116096">
        <w:t xml:space="preserve"> approval for the 5 mg BD dose. </w:t>
      </w:r>
      <w:r>
        <w:t xml:space="preserve">The </w:t>
      </w:r>
      <w:r w:rsidRPr="00AE2125">
        <w:t xml:space="preserve">approved treatment indication removed the original </w:t>
      </w:r>
      <w:r w:rsidR="00F10F68">
        <w:t>s</w:t>
      </w:r>
      <w:r w:rsidRPr="00AE2125">
        <w:t xml:space="preserve">ponsor claim of radiographic benefit. The </w:t>
      </w:r>
      <w:r w:rsidR="00F10F68">
        <w:t>s</w:t>
      </w:r>
      <w:r w:rsidRPr="00AE2125">
        <w:t xml:space="preserve">ponsor is now requesting that the claim of radiographic benefit with </w:t>
      </w:r>
      <w:r>
        <w:t>tofacitinib</w:t>
      </w:r>
      <w:r w:rsidRPr="00AE2125">
        <w:t xml:space="preserve"> be included based on the current submission.</w:t>
      </w:r>
    </w:p>
    <w:p w:rsidR="004543C1" w:rsidRPr="0012241D" w:rsidRDefault="004543C1" w:rsidP="004543C1">
      <w:r>
        <w:t xml:space="preserve">The </w:t>
      </w:r>
      <w:r w:rsidRPr="00AE2125">
        <w:t xml:space="preserve">Xeljanz (tofacitinib) </w:t>
      </w:r>
      <w:r w:rsidRPr="0012241D">
        <w:t>5 mg tablet</w:t>
      </w:r>
      <w:r w:rsidRPr="00AE2125">
        <w:t xml:space="preserve"> was entered on the ARTG </w:t>
      </w:r>
      <w:r w:rsidR="00125099">
        <w:t xml:space="preserve">on </w:t>
      </w:r>
      <w:r w:rsidRPr="00AE2125">
        <w:t>5 February 2015</w:t>
      </w:r>
      <w:r>
        <w:t xml:space="preserve">. The following </w:t>
      </w:r>
      <w:r w:rsidRPr="0012241D">
        <w:t>indication</w:t>
      </w:r>
      <w:r>
        <w:t xml:space="preserve"> has been approved in Australia</w:t>
      </w:r>
      <w:r w:rsidRPr="0012241D">
        <w:t>:</w:t>
      </w:r>
    </w:p>
    <w:p w:rsidR="00B34BFC" w:rsidRDefault="00B23049" w:rsidP="00865206">
      <w:pPr>
        <w:ind w:left="720"/>
        <w:rPr>
          <w:i/>
        </w:rPr>
      </w:pPr>
      <w:r>
        <w:rPr>
          <w:i/>
        </w:rPr>
        <w:t>Xeljanz</w:t>
      </w:r>
      <w:r w:rsidR="004543C1" w:rsidRPr="00865206">
        <w:rPr>
          <w:i/>
        </w:rPr>
        <w:t xml:space="preserve"> is indicated for the treatment of the signs and symptoms of moderate to severe active rheumatoid arthritis in adults who have had an inadequate response or are intolerant to methotrexate. </w:t>
      </w:r>
      <w:r>
        <w:rPr>
          <w:i/>
        </w:rPr>
        <w:t>Xeljanz</w:t>
      </w:r>
      <w:r w:rsidRPr="00865206">
        <w:rPr>
          <w:i/>
        </w:rPr>
        <w:t xml:space="preserve"> </w:t>
      </w:r>
      <w:r w:rsidR="004543C1" w:rsidRPr="00865206">
        <w:rPr>
          <w:i/>
        </w:rPr>
        <w:t xml:space="preserve">can be used alone or in combination with </w:t>
      </w:r>
      <w:proofErr w:type="spellStart"/>
      <w:r w:rsidR="004543C1" w:rsidRPr="00865206">
        <w:rPr>
          <w:i/>
        </w:rPr>
        <w:t>nonbiological</w:t>
      </w:r>
      <w:proofErr w:type="spellEnd"/>
      <w:r w:rsidR="004543C1" w:rsidRPr="00865206">
        <w:rPr>
          <w:i/>
        </w:rPr>
        <w:t xml:space="preserve"> DMARDs, including methotrexate</w:t>
      </w:r>
      <w:r w:rsidR="00B34BFC">
        <w:rPr>
          <w:i/>
        </w:rPr>
        <w:t>.</w:t>
      </w:r>
    </w:p>
    <w:p w:rsidR="004543C1" w:rsidRPr="00865206" w:rsidRDefault="004543C1" w:rsidP="00865206">
      <w:pPr>
        <w:ind w:left="720"/>
      </w:pPr>
      <w:r w:rsidRPr="00865206">
        <w:rPr>
          <w:i/>
        </w:rPr>
        <w:t xml:space="preserve">Therapy with </w:t>
      </w:r>
      <w:r w:rsidR="00B23049">
        <w:rPr>
          <w:i/>
        </w:rPr>
        <w:t>Xeljanz</w:t>
      </w:r>
      <w:r w:rsidR="00B23049" w:rsidRPr="00865206">
        <w:rPr>
          <w:i/>
        </w:rPr>
        <w:t xml:space="preserve"> </w:t>
      </w:r>
      <w:r w:rsidRPr="00865206">
        <w:rPr>
          <w:i/>
        </w:rPr>
        <w:t>should be initiated and monitored by a rheumatologist or specialist physician with expertise in the management of rheumatoid arthritis.</w:t>
      </w:r>
    </w:p>
    <w:p w:rsidR="004543C1" w:rsidRDefault="00505553" w:rsidP="004543C1">
      <w:r w:rsidRPr="00651600">
        <w:rPr>
          <w:rFonts w:asciiTheme="minorHAnsi" w:hAnsiTheme="minorHAnsi"/>
        </w:rPr>
        <w:t xml:space="preserve">The </w:t>
      </w:r>
      <w:r>
        <w:t>European Committee for Medicinal Products for Human Use (</w:t>
      </w:r>
      <w:r w:rsidRPr="00651600">
        <w:rPr>
          <w:rFonts w:asciiTheme="minorHAnsi" w:hAnsiTheme="minorHAnsi"/>
        </w:rPr>
        <w:t xml:space="preserve">CHMP) refused the application for marketing authorisation of </w:t>
      </w:r>
      <w:r w:rsidR="00B34BFC">
        <w:t>tofacitinib</w:t>
      </w:r>
      <w:r w:rsidRPr="00651600">
        <w:rPr>
          <w:rFonts w:asciiTheme="minorHAnsi" w:hAnsiTheme="minorHAnsi"/>
        </w:rPr>
        <w:t xml:space="preserve"> </w:t>
      </w:r>
      <w:r w:rsidR="00B34BFC">
        <w:rPr>
          <w:rFonts w:asciiTheme="minorHAnsi" w:hAnsiTheme="minorHAnsi"/>
        </w:rPr>
        <w:t>5 mg</w:t>
      </w:r>
      <w:r>
        <w:rPr>
          <w:rFonts w:asciiTheme="minorHAnsi" w:hAnsiTheme="minorHAnsi"/>
        </w:rPr>
        <w:t xml:space="preserve"> BD and 10 mg BD doses </w:t>
      </w:r>
      <w:r w:rsidRPr="00651600">
        <w:rPr>
          <w:rFonts w:asciiTheme="minorHAnsi" w:hAnsiTheme="minorHAnsi"/>
        </w:rPr>
        <w:t>for the treatment of rheumatoid arthritis on 25 April 2013 and re- confirmed the refusal on 25</w:t>
      </w:r>
      <w:r w:rsidR="00B34BFC">
        <w:rPr>
          <w:rFonts w:asciiTheme="minorHAnsi" w:hAnsiTheme="minorHAnsi"/>
        </w:rPr>
        <w:t> </w:t>
      </w:r>
      <w:r w:rsidRPr="00651600">
        <w:rPr>
          <w:rFonts w:asciiTheme="minorHAnsi" w:hAnsiTheme="minorHAnsi"/>
        </w:rPr>
        <w:t xml:space="preserve">July 2013. </w:t>
      </w:r>
      <w:r>
        <w:t>The grounds for refusal included significant and unresolved concerns about the overall safety of tofacitinib, particularly regarding the risk and type of serious infections and other serious adverse effects such as malignancy, gastrointestinal perforation, liver damage and in</w:t>
      </w:r>
      <w:r w:rsidR="00660EF9">
        <w:t xml:space="preserve">creased blood lipid levels. </w:t>
      </w:r>
      <w:r>
        <w:t>EMA were uncertain if these risks could be successfully managed. R</w:t>
      </w:r>
      <w:r w:rsidR="00660EF9">
        <w:t xml:space="preserve">egarding the efficacy data, </w:t>
      </w:r>
      <w:r>
        <w:t>EMA decided that tofacitinib had evidence that it improves the symptoms and signs of RA as well as physical functioning of patients, but there was insufficient evidence that it consistently reduced disease activity and joint structural damage, particularly at the 5 mg BD dose and in patients in whom at least 2 DMARDs had been tried. Following extensive consultation with European regulators and additional analyses to address the grounds for refusal, a new a</w:t>
      </w:r>
      <w:r w:rsidR="006F237A">
        <w:t xml:space="preserve">pplication was submitted to </w:t>
      </w:r>
      <w:r>
        <w:t xml:space="preserve">EMA in March 2016. </w:t>
      </w:r>
      <w:r w:rsidRPr="00651600">
        <w:rPr>
          <w:rFonts w:asciiTheme="minorHAnsi" w:hAnsiTheme="minorHAnsi"/>
        </w:rPr>
        <w:t xml:space="preserve">On 26 January 2017, the CHMP adopted a positive opinion, recommending the granting of a marketing authorisation for Xeljanz, for the treatment of RA. </w:t>
      </w:r>
      <w:r>
        <w:rPr>
          <w:rFonts w:asciiTheme="minorHAnsi" w:hAnsiTheme="minorHAnsi"/>
        </w:rPr>
        <w:t xml:space="preserve">Xeljanz was approved in the </w:t>
      </w:r>
      <w:r w:rsidR="006F237A">
        <w:rPr>
          <w:rFonts w:asciiTheme="minorHAnsi" w:hAnsiTheme="minorHAnsi"/>
        </w:rPr>
        <w:t>EU</w:t>
      </w:r>
      <w:r>
        <w:rPr>
          <w:rFonts w:asciiTheme="minorHAnsi" w:hAnsiTheme="minorHAnsi"/>
        </w:rPr>
        <w:t xml:space="preserve"> on 22 March 2017.</w:t>
      </w:r>
      <w:r w:rsidRPr="00651600">
        <w:rPr>
          <w:rFonts w:asciiTheme="minorHAnsi" w:hAnsiTheme="minorHAnsi"/>
          <w:lang w:val="en-GB"/>
        </w:rPr>
        <w:t xml:space="preserve"> The </w:t>
      </w:r>
      <w:r>
        <w:rPr>
          <w:rFonts w:asciiTheme="minorHAnsi" w:hAnsiTheme="minorHAnsi"/>
          <w:lang w:val="en-GB"/>
        </w:rPr>
        <w:t>approved</w:t>
      </w:r>
      <w:r w:rsidRPr="00651600">
        <w:rPr>
          <w:rFonts w:asciiTheme="minorHAnsi" w:hAnsiTheme="minorHAnsi"/>
          <w:lang w:val="en-GB"/>
        </w:rPr>
        <w:t xml:space="preserve"> </w:t>
      </w:r>
      <w:proofErr w:type="spellStart"/>
      <w:r w:rsidRPr="00651600">
        <w:rPr>
          <w:rFonts w:asciiTheme="minorHAnsi" w:hAnsiTheme="minorHAnsi"/>
          <w:lang w:val="en-GB"/>
        </w:rPr>
        <w:t>SmPC</w:t>
      </w:r>
      <w:proofErr w:type="spellEnd"/>
      <w:r w:rsidRPr="00651600">
        <w:rPr>
          <w:rFonts w:asciiTheme="minorHAnsi" w:hAnsiTheme="minorHAnsi"/>
          <w:lang w:val="en-GB"/>
        </w:rPr>
        <w:t xml:space="preserve"> indication is worded as follows</w:t>
      </w:r>
      <w:r w:rsidR="004543C1">
        <w:t>:</w:t>
      </w:r>
    </w:p>
    <w:p w:rsidR="004543C1" w:rsidRPr="008408D4" w:rsidRDefault="00CF3863" w:rsidP="008408D4">
      <w:pPr>
        <w:ind w:left="720"/>
        <w:rPr>
          <w:i/>
        </w:rPr>
      </w:pPr>
      <w:r>
        <w:rPr>
          <w:i/>
        </w:rPr>
        <w:t>Xeljanz</w:t>
      </w:r>
      <w:r w:rsidR="004543C1" w:rsidRPr="008408D4">
        <w:rPr>
          <w:i/>
        </w:rPr>
        <w:t xml:space="preserve"> in combination with methotrexate (MTX) is indicated for the treatment of moderate to severe active rheumatoid arthritis (RA) in adult patients who have responded inadequately to, or who are intolerant to one or more disease-modifying </w:t>
      </w:r>
      <w:proofErr w:type="spellStart"/>
      <w:r w:rsidR="004543C1" w:rsidRPr="008408D4">
        <w:rPr>
          <w:i/>
        </w:rPr>
        <w:t>antirheumatic</w:t>
      </w:r>
      <w:proofErr w:type="spellEnd"/>
      <w:r w:rsidR="004543C1" w:rsidRPr="008408D4">
        <w:rPr>
          <w:i/>
        </w:rPr>
        <w:t xml:space="preserve"> drugs. </w:t>
      </w:r>
      <w:r>
        <w:rPr>
          <w:i/>
        </w:rPr>
        <w:t>Xeljanz</w:t>
      </w:r>
      <w:r w:rsidR="004543C1" w:rsidRPr="008408D4">
        <w:rPr>
          <w:i/>
        </w:rPr>
        <w:t xml:space="preserve"> can be given as monotherapy in case of intolerance to MTX or when treatment with MTX is inappropriate (see sections 4.4 and 4.5).</w:t>
      </w:r>
    </w:p>
    <w:p w:rsidR="004543C1" w:rsidRPr="00116096" w:rsidRDefault="004543C1" w:rsidP="004543C1">
      <w:r>
        <w:lastRenderedPageBreak/>
        <w:t>The t</w:t>
      </w:r>
      <w:r w:rsidRPr="00116096">
        <w:t xml:space="preserve">ofacitinib </w:t>
      </w:r>
      <w:r w:rsidR="00B34BFC">
        <w:t>5 mg</w:t>
      </w:r>
      <w:r>
        <w:t xml:space="preserve"> immediate release (IR)</w:t>
      </w:r>
      <w:r w:rsidRPr="00116096">
        <w:t xml:space="preserve"> </w:t>
      </w:r>
      <w:r>
        <w:t>and the t</w:t>
      </w:r>
      <w:r w:rsidRPr="00116096">
        <w:t xml:space="preserve">ofacitinib </w:t>
      </w:r>
      <w:r w:rsidR="00B34BFC">
        <w:t>11 mg</w:t>
      </w:r>
      <w:r>
        <w:t xml:space="preserve"> extended release (XR) formulations are</w:t>
      </w:r>
      <w:r w:rsidRPr="00116096">
        <w:t xml:space="preserve"> approved in the US.</w:t>
      </w:r>
      <w:r>
        <w:t xml:space="preserve"> The following indication was </w:t>
      </w:r>
      <w:r w:rsidRPr="00651600">
        <w:rPr>
          <w:rFonts w:asciiTheme="minorHAnsi" w:hAnsiTheme="minorHAnsi"/>
        </w:rPr>
        <w:t>approved in the US</w:t>
      </w:r>
      <w:r>
        <w:rPr>
          <w:rFonts w:asciiTheme="minorHAnsi" w:hAnsiTheme="minorHAnsi"/>
        </w:rPr>
        <w:t xml:space="preserve"> for both formulations</w:t>
      </w:r>
      <w:r w:rsidR="00D33257">
        <w:rPr>
          <w:rFonts w:asciiTheme="minorHAnsi" w:hAnsiTheme="minorHAnsi"/>
        </w:rPr>
        <w:t>:</w:t>
      </w:r>
    </w:p>
    <w:p w:rsidR="004543C1" w:rsidRPr="00EC24DE" w:rsidRDefault="00CF3863" w:rsidP="00EC24DE">
      <w:pPr>
        <w:ind w:left="720"/>
        <w:rPr>
          <w:i/>
        </w:rPr>
      </w:pPr>
      <w:r>
        <w:rPr>
          <w:i/>
        </w:rPr>
        <w:t>Xeljanz</w:t>
      </w:r>
      <w:r w:rsidR="004543C1" w:rsidRPr="00EC24DE">
        <w:rPr>
          <w:i/>
        </w:rPr>
        <w:t>/</w:t>
      </w:r>
      <w:r>
        <w:rPr>
          <w:i/>
        </w:rPr>
        <w:t>Xeljanz</w:t>
      </w:r>
      <w:r w:rsidR="004543C1" w:rsidRPr="00EC24DE">
        <w:rPr>
          <w:i/>
        </w:rPr>
        <w:t xml:space="preserve"> XR is an inhibitor of Janus kinases (JAKs) indicated for the treatment of adult patients with moderately to severely active rheumatoid arthritis who have had an inadequate response or intolerance to methotrexate. It may be used as monotherapy or in combination with methotrexate or other </w:t>
      </w:r>
      <w:proofErr w:type="spellStart"/>
      <w:r w:rsidR="004543C1" w:rsidRPr="00EC24DE">
        <w:rPr>
          <w:i/>
        </w:rPr>
        <w:t>nonbiologic</w:t>
      </w:r>
      <w:proofErr w:type="spellEnd"/>
      <w:r w:rsidR="004543C1" w:rsidRPr="00EC24DE">
        <w:rPr>
          <w:i/>
        </w:rPr>
        <w:t xml:space="preserve"> disease-modifying </w:t>
      </w:r>
      <w:proofErr w:type="spellStart"/>
      <w:r w:rsidR="004543C1" w:rsidRPr="00EC24DE">
        <w:rPr>
          <w:i/>
        </w:rPr>
        <w:t>antirheumatic</w:t>
      </w:r>
      <w:proofErr w:type="spellEnd"/>
      <w:r w:rsidR="004543C1" w:rsidRPr="00EC24DE">
        <w:rPr>
          <w:i/>
        </w:rPr>
        <w:t xml:space="preserve"> drugs (DMARDs).</w:t>
      </w:r>
    </w:p>
    <w:p w:rsidR="004543C1" w:rsidRPr="00116096" w:rsidRDefault="004543C1" w:rsidP="004543C1">
      <w:r>
        <w:t>The t</w:t>
      </w:r>
      <w:r w:rsidRPr="00116096">
        <w:t xml:space="preserve">ofacitinib </w:t>
      </w:r>
      <w:r w:rsidR="00B34BFC">
        <w:t>5 mg</w:t>
      </w:r>
      <w:r>
        <w:t xml:space="preserve"> IR formulation </w:t>
      </w:r>
      <w:r w:rsidRPr="00116096">
        <w:t>is approved in Canada.</w:t>
      </w:r>
      <w:r>
        <w:t xml:space="preserve"> </w:t>
      </w:r>
      <w:r w:rsidRPr="00116096">
        <w:t>The following in</w:t>
      </w:r>
      <w:r>
        <w:t>dication for the IR formulation was</w:t>
      </w:r>
      <w:r w:rsidRPr="00116096">
        <w:t xml:space="preserve"> approved in the Canada:</w:t>
      </w:r>
    </w:p>
    <w:p w:rsidR="004543C1" w:rsidRPr="00EC24DE" w:rsidRDefault="00CF3863" w:rsidP="00EC24DE">
      <w:pPr>
        <w:ind w:left="720"/>
        <w:rPr>
          <w:i/>
        </w:rPr>
      </w:pPr>
      <w:r>
        <w:rPr>
          <w:i/>
        </w:rPr>
        <w:t>Xeljanz</w:t>
      </w:r>
      <w:r w:rsidR="004543C1" w:rsidRPr="00EC24DE">
        <w:rPr>
          <w:i/>
        </w:rPr>
        <w:t xml:space="preserve"> (tofacitinib) is combination with methotrexate (MTX), is indicated for reducing the signs and symptoms of rheumatoid arthritis (RA), in adult patients with moderately to severely active RA who have had an inadequate response to MTX.</w:t>
      </w:r>
    </w:p>
    <w:p w:rsidR="004543C1" w:rsidRPr="00EC24DE" w:rsidRDefault="004543C1" w:rsidP="00EC24DE">
      <w:pPr>
        <w:ind w:left="720"/>
      </w:pPr>
      <w:r w:rsidRPr="00EC24DE">
        <w:rPr>
          <w:i/>
        </w:rPr>
        <w:t xml:space="preserve">In cases of intolerance to MTX, physicians may consider the use of </w:t>
      </w:r>
      <w:r w:rsidR="00CF3863">
        <w:rPr>
          <w:i/>
        </w:rPr>
        <w:t>Xeljanz</w:t>
      </w:r>
      <w:r w:rsidRPr="00EC24DE">
        <w:rPr>
          <w:i/>
        </w:rPr>
        <w:t xml:space="preserve"> (tofacitinib) as monotherapy.</w:t>
      </w:r>
    </w:p>
    <w:p w:rsidR="004543C1" w:rsidRPr="00651600" w:rsidRDefault="00004BE2" w:rsidP="004543C1">
      <w:pPr>
        <w:rPr>
          <w:bCs/>
          <w:iCs/>
        </w:rPr>
      </w:pPr>
      <w:r>
        <w:t>At Round 1, the sponsor indicated that the radiographic dataset had been submitted in the EU, the US and Singapore and that submission in 2016 was planned for Canada and Switzerland. A new medicine application for tofacitinib was under review in New Zealand</w:t>
      </w:r>
      <w:r w:rsidR="004543C1">
        <w:t>.</w:t>
      </w:r>
    </w:p>
    <w:p w:rsidR="005331E9" w:rsidRPr="005331E9" w:rsidRDefault="004543C1" w:rsidP="005331E9">
      <w:r w:rsidRPr="005331E9">
        <w:t>The EU guidelines adopted by the TGA relevant to this submission, in addition</w:t>
      </w:r>
      <w:r w:rsidR="005331E9" w:rsidRPr="005331E9">
        <w:t xml:space="preserve"> to the general guidelines are:</w:t>
      </w:r>
    </w:p>
    <w:p w:rsidR="004543C1" w:rsidRPr="005331E9" w:rsidRDefault="004543C1" w:rsidP="005331E9">
      <w:pPr>
        <w:pStyle w:val="ListBullet"/>
      </w:pPr>
      <w:r w:rsidRPr="005331E9">
        <w:t>CPMP/EWP/556/95 rev 1/Final Points to Consider on Clinical Investigation of Medicinal Products other than NSAIDs for the Treatment of Rheumatoid Arthritis</w:t>
      </w:r>
    </w:p>
    <w:p w:rsidR="00286DD0" w:rsidRDefault="00286DD0" w:rsidP="004543C1">
      <w:pPr>
        <w:rPr>
          <w:bCs/>
          <w:iCs/>
        </w:rPr>
      </w:pPr>
      <w:r>
        <w:rPr>
          <w:bCs/>
          <w:iCs/>
        </w:rPr>
        <w:t>These guidelines state that:</w:t>
      </w:r>
    </w:p>
    <w:p w:rsidR="004543C1" w:rsidRPr="005331E9" w:rsidRDefault="004543C1" w:rsidP="00286DD0">
      <w:pPr>
        <w:ind w:left="720"/>
        <w:rPr>
          <w:bCs/>
          <w:i/>
          <w:iCs/>
        </w:rPr>
      </w:pPr>
      <w:r w:rsidRPr="005331E9">
        <w:rPr>
          <w:bCs/>
          <w:i/>
          <w:iCs/>
        </w:rPr>
        <w:t>In order to demonstrate efficacy in radiological terms using technology currently generally available, an observation period of not less than 1 year is required. The observation period needed is not less than two years, showing sustained effects for the effects after the first year.</w:t>
      </w:r>
    </w:p>
    <w:p w:rsidR="008E7846" w:rsidRPr="003F31A2" w:rsidRDefault="00386150" w:rsidP="008E7846">
      <w:pPr>
        <w:pStyle w:val="Heading3"/>
      </w:pPr>
      <w:bookmarkStart w:id="17" w:name="_Toc314842485"/>
      <w:bookmarkStart w:id="18" w:name="_Toc509307186"/>
      <w:bookmarkStart w:id="19" w:name="_Toc247691504"/>
      <w:r>
        <w:t>Regulatory s</w:t>
      </w:r>
      <w:r w:rsidR="008E7846">
        <w:t>tatus</w:t>
      </w:r>
      <w:bookmarkEnd w:id="17"/>
      <w:bookmarkEnd w:id="18"/>
      <w:bookmarkEnd w:id="19"/>
    </w:p>
    <w:p w:rsidR="00B05F37" w:rsidRDefault="000B442F" w:rsidP="000B442F">
      <w:bookmarkStart w:id="20" w:name="_Toc247691505"/>
      <w:bookmarkStart w:id="21" w:name="_Toc314842486"/>
      <w:r>
        <w:t xml:space="preserve">The international </w:t>
      </w:r>
      <w:r w:rsidRPr="009A6DCB">
        <w:t xml:space="preserve">regulatory status </w:t>
      </w:r>
      <w:r>
        <w:t>at the time of submission</w:t>
      </w:r>
      <w:r w:rsidRPr="009A6DCB">
        <w:t xml:space="preserve"> is listed in</w:t>
      </w:r>
      <w:r>
        <w:t xml:space="preserve"> Table 1.</w:t>
      </w:r>
      <w:r w:rsidR="00577443">
        <w:t xml:space="preserve"> </w:t>
      </w:r>
      <w:r w:rsidR="00B05F37" w:rsidRPr="00B05F37">
        <w:t>The pivotal dataset supporting this extension of indicatio</w:t>
      </w:r>
      <w:r w:rsidR="00B05F37">
        <w:t xml:space="preserve">ns application consists of two </w:t>
      </w:r>
      <w:r w:rsidR="00B34BFC">
        <w:t>Phase</w:t>
      </w:r>
      <w:r w:rsidR="00FF0AA9">
        <w:t> </w:t>
      </w:r>
      <w:r w:rsidR="00B34BFC">
        <w:t>III</w:t>
      </w:r>
      <w:r w:rsidR="00044399">
        <w:t xml:space="preserve"> studies, </w:t>
      </w:r>
      <w:r w:rsidR="00B05F37" w:rsidRPr="00B05F37">
        <w:t xml:space="preserve">A3921069 and A3921044, which investigated the effect of tofacitinib on structural progression in adults with active </w:t>
      </w:r>
      <w:r w:rsidR="00044399">
        <w:t>RA</w:t>
      </w:r>
      <w:r w:rsidR="00B05F37" w:rsidRPr="00B05F37">
        <w:t xml:space="preserve">. </w:t>
      </w:r>
      <w:r w:rsidR="00577443">
        <w:t>Table 1</w:t>
      </w:r>
      <w:r w:rsidR="00B05F37" w:rsidRPr="00B05F37">
        <w:t xml:space="preserve"> provides dates of submission (if available) of this </w:t>
      </w:r>
      <w:r w:rsidR="00B34BFC">
        <w:t>‘</w:t>
      </w:r>
      <w:r w:rsidR="00B05F37" w:rsidRPr="00B05F37">
        <w:t>radiographic dataset</w:t>
      </w:r>
      <w:r w:rsidR="008F2D59">
        <w:t>’</w:t>
      </w:r>
      <w:r w:rsidR="00B34BFC">
        <w:t>’</w:t>
      </w:r>
      <w:r w:rsidR="00B05F37" w:rsidRPr="00B05F37">
        <w:t xml:space="preserve"> and the regulatory status in c</w:t>
      </w:r>
      <w:r w:rsidR="00007B79">
        <w:t>ountries of interest to TGA.</w:t>
      </w:r>
    </w:p>
    <w:p w:rsidR="000B442F" w:rsidRPr="00B34BFC" w:rsidRDefault="000B442F" w:rsidP="00B34BFC">
      <w:pPr>
        <w:pStyle w:val="TableTitle"/>
      </w:pPr>
      <w:r w:rsidRPr="00B34BFC">
        <w:t xml:space="preserve">Table </w:t>
      </w:r>
      <w:r w:rsidR="00FF3719" w:rsidRPr="00B34BFC">
        <w:t>1</w:t>
      </w:r>
      <w:r w:rsidRPr="00B34BFC">
        <w:t>: International regulatory status</w:t>
      </w:r>
    </w:p>
    <w:tbl>
      <w:tblPr>
        <w:tblStyle w:val="TableTGAblue"/>
        <w:tblW w:w="0" w:type="auto"/>
        <w:tblLayout w:type="fixed"/>
        <w:tblLook w:val="04A0" w:firstRow="1" w:lastRow="0" w:firstColumn="1" w:lastColumn="0" w:noHBand="0" w:noVBand="1"/>
      </w:tblPr>
      <w:tblGrid>
        <w:gridCol w:w="1611"/>
        <w:gridCol w:w="1613"/>
        <w:gridCol w:w="1527"/>
        <w:gridCol w:w="2161"/>
        <w:gridCol w:w="1808"/>
      </w:tblGrid>
      <w:tr w:rsidR="00E92C08" w:rsidRPr="00387362" w:rsidTr="00387362">
        <w:trPr>
          <w:cnfStyle w:val="100000000000" w:firstRow="1" w:lastRow="0" w:firstColumn="0" w:lastColumn="0" w:oddVBand="0" w:evenVBand="0" w:oddHBand="0" w:evenHBand="0" w:firstRowFirstColumn="0" w:firstRowLastColumn="0" w:lastRowFirstColumn="0" w:lastRowLastColumn="0"/>
        </w:trPr>
        <w:tc>
          <w:tcPr>
            <w:tcW w:w="1611" w:type="dxa"/>
          </w:tcPr>
          <w:p w:rsidR="00DD6C26" w:rsidRPr="00387362" w:rsidRDefault="00DD6C26" w:rsidP="00387362">
            <w:pPr>
              <w:rPr>
                <w:sz w:val="20"/>
                <w:szCs w:val="20"/>
              </w:rPr>
            </w:pPr>
            <w:r w:rsidRPr="00387362">
              <w:rPr>
                <w:sz w:val="20"/>
                <w:szCs w:val="20"/>
              </w:rPr>
              <w:t>Country / region</w:t>
            </w:r>
          </w:p>
        </w:tc>
        <w:tc>
          <w:tcPr>
            <w:tcW w:w="1613" w:type="dxa"/>
          </w:tcPr>
          <w:p w:rsidR="00DD6C26" w:rsidRPr="00387362" w:rsidRDefault="00DD6C26" w:rsidP="00387362">
            <w:pPr>
              <w:rPr>
                <w:sz w:val="20"/>
                <w:szCs w:val="20"/>
              </w:rPr>
            </w:pPr>
            <w:r w:rsidRPr="00387362">
              <w:rPr>
                <w:sz w:val="20"/>
                <w:szCs w:val="20"/>
              </w:rPr>
              <w:t>Submission date</w:t>
            </w:r>
          </w:p>
        </w:tc>
        <w:tc>
          <w:tcPr>
            <w:tcW w:w="1527" w:type="dxa"/>
          </w:tcPr>
          <w:p w:rsidR="00DD6C26" w:rsidRPr="00387362" w:rsidRDefault="00DD6C26" w:rsidP="00387362">
            <w:pPr>
              <w:rPr>
                <w:sz w:val="20"/>
                <w:szCs w:val="20"/>
              </w:rPr>
            </w:pPr>
            <w:r w:rsidRPr="00387362">
              <w:rPr>
                <w:sz w:val="20"/>
                <w:szCs w:val="20"/>
              </w:rPr>
              <w:t>Status</w:t>
            </w:r>
          </w:p>
        </w:tc>
        <w:tc>
          <w:tcPr>
            <w:tcW w:w="2161" w:type="dxa"/>
          </w:tcPr>
          <w:p w:rsidR="00DD6C26" w:rsidRPr="00387362" w:rsidRDefault="00DD6C26" w:rsidP="00387362">
            <w:pPr>
              <w:rPr>
                <w:sz w:val="20"/>
                <w:szCs w:val="20"/>
              </w:rPr>
            </w:pPr>
            <w:r w:rsidRPr="00387362">
              <w:rPr>
                <w:sz w:val="20"/>
                <w:szCs w:val="20"/>
              </w:rPr>
              <w:t>Indications (approved or requested)</w:t>
            </w:r>
          </w:p>
        </w:tc>
        <w:tc>
          <w:tcPr>
            <w:tcW w:w="1808" w:type="dxa"/>
          </w:tcPr>
          <w:p w:rsidR="00DD6C26" w:rsidRPr="00387362" w:rsidRDefault="00DD6C26" w:rsidP="00387362">
            <w:pPr>
              <w:rPr>
                <w:sz w:val="20"/>
                <w:szCs w:val="20"/>
              </w:rPr>
            </w:pPr>
            <w:r w:rsidRPr="00387362">
              <w:rPr>
                <w:sz w:val="20"/>
                <w:szCs w:val="20"/>
              </w:rPr>
              <w:t>Other relevant information</w:t>
            </w:r>
          </w:p>
        </w:tc>
      </w:tr>
      <w:tr w:rsidR="0063370D" w:rsidRPr="00387362" w:rsidTr="00387362">
        <w:tc>
          <w:tcPr>
            <w:tcW w:w="1611" w:type="dxa"/>
          </w:tcPr>
          <w:p w:rsidR="00EF6E60" w:rsidRPr="00387362" w:rsidRDefault="00F23E41" w:rsidP="00387362">
            <w:pPr>
              <w:rPr>
                <w:sz w:val="20"/>
                <w:szCs w:val="20"/>
              </w:rPr>
            </w:pPr>
            <w:r w:rsidRPr="00387362">
              <w:rPr>
                <w:sz w:val="20"/>
                <w:szCs w:val="20"/>
              </w:rPr>
              <w:t>EU</w:t>
            </w:r>
            <w:r w:rsidR="00EF6E60" w:rsidRPr="00387362">
              <w:rPr>
                <w:sz w:val="20"/>
                <w:szCs w:val="20"/>
              </w:rPr>
              <w:t xml:space="preserve"> (centralised procedure)</w:t>
            </w:r>
            <w:r w:rsidR="00EF6E60" w:rsidRPr="00387362">
              <w:rPr>
                <w:rStyle w:val="FootnoteReference"/>
                <w:sz w:val="20"/>
                <w:szCs w:val="20"/>
              </w:rPr>
              <w:footnoteReference w:id="1"/>
            </w:r>
          </w:p>
          <w:p w:rsidR="00DD6C26" w:rsidRPr="00387362" w:rsidRDefault="00EF6E60" w:rsidP="00387362">
            <w:pPr>
              <w:rPr>
                <w:sz w:val="20"/>
                <w:szCs w:val="20"/>
              </w:rPr>
            </w:pPr>
            <w:r w:rsidRPr="00387362">
              <w:rPr>
                <w:sz w:val="20"/>
                <w:szCs w:val="20"/>
              </w:rPr>
              <w:lastRenderedPageBreak/>
              <w:t>Rapporteur: UK MHRA; Co-rapporteur: Italy AIFA</w:t>
            </w:r>
          </w:p>
        </w:tc>
        <w:tc>
          <w:tcPr>
            <w:tcW w:w="1613" w:type="dxa"/>
          </w:tcPr>
          <w:p w:rsidR="00DD6C26" w:rsidRPr="00387362" w:rsidRDefault="004D247F" w:rsidP="00387362">
            <w:pPr>
              <w:rPr>
                <w:sz w:val="20"/>
                <w:szCs w:val="20"/>
              </w:rPr>
            </w:pPr>
            <w:r w:rsidRPr="00387362">
              <w:rPr>
                <w:sz w:val="20"/>
                <w:szCs w:val="20"/>
              </w:rPr>
              <w:lastRenderedPageBreak/>
              <w:t xml:space="preserve">4 March 2016; Procedure </w:t>
            </w:r>
            <w:r w:rsidRPr="00387362">
              <w:rPr>
                <w:sz w:val="20"/>
                <w:szCs w:val="20"/>
              </w:rPr>
              <w:lastRenderedPageBreak/>
              <w:t>start: 24 March 2016</w:t>
            </w:r>
          </w:p>
        </w:tc>
        <w:tc>
          <w:tcPr>
            <w:tcW w:w="1527" w:type="dxa"/>
          </w:tcPr>
          <w:p w:rsidR="00DD6C26" w:rsidRPr="00387362" w:rsidRDefault="00E92C08" w:rsidP="00387362">
            <w:pPr>
              <w:rPr>
                <w:sz w:val="20"/>
                <w:szCs w:val="20"/>
              </w:rPr>
            </w:pPr>
            <w:r w:rsidRPr="00387362">
              <w:rPr>
                <w:sz w:val="20"/>
                <w:szCs w:val="20"/>
              </w:rPr>
              <w:lastRenderedPageBreak/>
              <w:t xml:space="preserve">Positive CHMP Opinion: </w:t>
            </w:r>
            <w:r w:rsidRPr="00387362">
              <w:rPr>
                <w:sz w:val="20"/>
                <w:szCs w:val="20"/>
              </w:rPr>
              <w:lastRenderedPageBreak/>
              <w:t>26 Jan 2017</w:t>
            </w:r>
          </w:p>
        </w:tc>
        <w:tc>
          <w:tcPr>
            <w:tcW w:w="2161" w:type="dxa"/>
          </w:tcPr>
          <w:p w:rsidR="00DD6C26" w:rsidRPr="00387362" w:rsidRDefault="00CF3863" w:rsidP="00387362">
            <w:pPr>
              <w:rPr>
                <w:sz w:val="20"/>
                <w:szCs w:val="20"/>
              </w:rPr>
            </w:pPr>
            <w:r w:rsidRPr="00387362">
              <w:rPr>
                <w:sz w:val="20"/>
                <w:szCs w:val="20"/>
              </w:rPr>
              <w:lastRenderedPageBreak/>
              <w:t>Xeljanz</w:t>
            </w:r>
            <w:r w:rsidR="00E92C08" w:rsidRPr="00387362">
              <w:rPr>
                <w:sz w:val="20"/>
                <w:szCs w:val="20"/>
              </w:rPr>
              <w:t xml:space="preserve"> in combination with methotrexate </w:t>
            </w:r>
            <w:r w:rsidR="00E92C08" w:rsidRPr="00387362">
              <w:rPr>
                <w:sz w:val="20"/>
                <w:szCs w:val="20"/>
              </w:rPr>
              <w:lastRenderedPageBreak/>
              <w:t xml:space="preserve">(MTX) is indicated for the treatment of moderate to severe active rheumatoid arthritis (RA) in adult patients who have responded inadequately to, or who are intolerant to one or more </w:t>
            </w:r>
            <w:proofErr w:type="spellStart"/>
            <w:r w:rsidR="00E92C08" w:rsidRPr="00387362">
              <w:rPr>
                <w:sz w:val="20"/>
                <w:szCs w:val="20"/>
              </w:rPr>
              <w:t>diseasemodifying</w:t>
            </w:r>
            <w:proofErr w:type="spellEnd"/>
            <w:r w:rsidR="00E92C08" w:rsidRPr="00387362">
              <w:rPr>
                <w:sz w:val="20"/>
                <w:szCs w:val="20"/>
              </w:rPr>
              <w:t xml:space="preserve"> </w:t>
            </w:r>
            <w:proofErr w:type="spellStart"/>
            <w:r w:rsidR="00E92C08" w:rsidRPr="00387362">
              <w:rPr>
                <w:sz w:val="20"/>
                <w:szCs w:val="20"/>
              </w:rPr>
              <w:t>antirheumatic</w:t>
            </w:r>
            <w:proofErr w:type="spellEnd"/>
            <w:r w:rsidR="00E92C08" w:rsidRPr="00387362">
              <w:rPr>
                <w:sz w:val="20"/>
                <w:szCs w:val="20"/>
              </w:rPr>
              <w:t xml:space="preserve"> drugs. </w:t>
            </w:r>
            <w:r w:rsidRPr="00387362">
              <w:rPr>
                <w:sz w:val="20"/>
                <w:szCs w:val="20"/>
              </w:rPr>
              <w:t>Xeljanz</w:t>
            </w:r>
            <w:r w:rsidR="00E92C08" w:rsidRPr="00387362">
              <w:rPr>
                <w:sz w:val="20"/>
                <w:szCs w:val="20"/>
              </w:rPr>
              <w:t xml:space="preserve"> can be given as monotherapy in case of intolerance to MTX or when treatment with MTX is inappropriate (see sections 4.4 and 4.5).</w:t>
            </w:r>
          </w:p>
        </w:tc>
        <w:tc>
          <w:tcPr>
            <w:tcW w:w="1808" w:type="dxa"/>
          </w:tcPr>
          <w:p w:rsidR="00DD6C26" w:rsidRPr="00387362" w:rsidRDefault="00E92C08" w:rsidP="00387362">
            <w:pPr>
              <w:rPr>
                <w:sz w:val="20"/>
                <w:szCs w:val="20"/>
              </w:rPr>
            </w:pPr>
            <w:r w:rsidRPr="00387362">
              <w:rPr>
                <w:sz w:val="20"/>
                <w:szCs w:val="20"/>
              </w:rPr>
              <w:lastRenderedPageBreak/>
              <w:t xml:space="preserve">Clinical data for radiographic </w:t>
            </w:r>
            <w:r w:rsidRPr="00387362">
              <w:rPr>
                <w:sz w:val="20"/>
                <w:szCs w:val="20"/>
              </w:rPr>
              <w:lastRenderedPageBreak/>
              <w:t xml:space="preserve">response: Results from both studies A3921069 and A3921044 are included in Section 5.1 of the </w:t>
            </w:r>
            <w:proofErr w:type="spellStart"/>
            <w:r w:rsidRPr="00387362">
              <w:rPr>
                <w:sz w:val="20"/>
                <w:szCs w:val="20"/>
              </w:rPr>
              <w:t>SmPC</w:t>
            </w:r>
            <w:proofErr w:type="spellEnd"/>
            <w:r w:rsidRPr="00387362">
              <w:rPr>
                <w:sz w:val="20"/>
                <w:szCs w:val="20"/>
              </w:rPr>
              <w:t>.</w:t>
            </w:r>
          </w:p>
        </w:tc>
      </w:tr>
      <w:tr w:rsidR="0063370D" w:rsidRPr="00387362" w:rsidTr="00387362">
        <w:tc>
          <w:tcPr>
            <w:tcW w:w="1611" w:type="dxa"/>
          </w:tcPr>
          <w:p w:rsidR="00DD6C26" w:rsidRPr="00387362" w:rsidRDefault="00F23E41" w:rsidP="00387362">
            <w:pPr>
              <w:rPr>
                <w:sz w:val="20"/>
                <w:szCs w:val="20"/>
              </w:rPr>
            </w:pPr>
            <w:r w:rsidRPr="00387362">
              <w:rPr>
                <w:sz w:val="20"/>
                <w:szCs w:val="20"/>
              </w:rPr>
              <w:lastRenderedPageBreak/>
              <w:t>US</w:t>
            </w:r>
          </w:p>
        </w:tc>
        <w:tc>
          <w:tcPr>
            <w:tcW w:w="1613" w:type="dxa"/>
          </w:tcPr>
          <w:p w:rsidR="00DD6C26" w:rsidRPr="00387362" w:rsidRDefault="00E92C08" w:rsidP="00387362">
            <w:pPr>
              <w:rPr>
                <w:sz w:val="20"/>
                <w:szCs w:val="20"/>
              </w:rPr>
            </w:pPr>
            <w:r w:rsidRPr="00387362">
              <w:rPr>
                <w:sz w:val="20"/>
                <w:szCs w:val="20"/>
              </w:rPr>
              <w:t>22 April 2013</w:t>
            </w:r>
          </w:p>
        </w:tc>
        <w:tc>
          <w:tcPr>
            <w:tcW w:w="1527" w:type="dxa"/>
          </w:tcPr>
          <w:p w:rsidR="00DD6C26" w:rsidRPr="00387362" w:rsidRDefault="00E92C08" w:rsidP="00387362">
            <w:pPr>
              <w:rPr>
                <w:sz w:val="20"/>
                <w:szCs w:val="20"/>
              </w:rPr>
            </w:pPr>
            <w:r w:rsidRPr="00387362">
              <w:rPr>
                <w:sz w:val="20"/>
                <w:szCs w:val="20"/>
              </w:rPr>
              <w:t>Approved: 21 Feb 2014</w:t>
            </w:r>
          </w:p>
        </w:tc>
        <w:tc>
          <w:tcPr>
            <w:tcW w:w="2161" w:type="dxa"/>
          </w:tcPr>
          <w:p w:rsidR="00DD6C26" w:rsidRPr="00387362" w:rsidRDefault="00CF3863" w:rsidP="00387362">
            <w:pPr>
              <w:rPr>
                <w:sz w:val="20"/>
                <w:szCs w:val="20"/>
              </w:rPr>
            </w:pPr>
            <w:r w:rsidRPr="00387362">
              <w:rPr>
                <w:sz w:val="20"/>
                <w:szCs w:val="20"/>
              </w:rPr>
              <w:t>Xeljanz</w:t>
            </w:r>
            <w:r w:rsidR="00E92C08" w:rsidRPr="00387362">
              <w:rPr>
                <w:sz w:val="20"/>
                <w:szCs w:val="20"/>
              </w:rPr>
              <w:t xml:space="preserve"> (tofacitinib) is indicated for the treatment of adult patients with moderately to severely active rheumatoid arthritis who have had an inadequate response or intolerance to methotrexate. It may be used as monotherapy or in combination with methotrexate or other </w:t>
            </w:r>
            <w:proofErr w:type="spellStart"/>
            <w:r w:rsidR="00E92C08" w:rsidRPr="00387362">
              <w:rPr>
                <w:sz w:val="20"/>
                <w:szCs w:val="20"/>
              </w:rPr>
              <w:t>nonbiologic</w:t>
            </w:r>
            <w:proofErr w:type="spellEnd"/>
            <w:r w:rsidR="00E92C08" w:rsidRPr="00387362">
              <w:rPr>
                <w:sz w:val="20"/>
                <w:szCs w:val="20"/>
              </w:rPr>
              <w:t xml:space="preserve"> disease-modifying </w:t>
            </w:r>
            <w:proofErr w:type="spellStart"/>
            <w:r w:rsidR="00E92C08" w:rsidRPr="00387362">
              <w:rPr>
                <w:sz w:val="20"/>
                <w:szCs w:val="20"/>
              </w:rPr>
              <w:t>antirheumatic</w:t>
            </w:r>
            <w:proofErr w:type="spellEnd"/>
            <w:r w:rsidR="00E92C08" w:rsidRPr="00387362">
              <w:rPr>
                <w:sz w:val="20"/>
                <w:szCs w:val="20"/>
              </w:rPr>
              <w:t xml:space="preserve"> drugs (DMARDs). Limitations of Use: Use of </w:t>
            </w:r>
            <w:r w:rsidRPr="00387362">
              <w:rPr>
                <w:sz w:val="20"/>
                <w:szCs w:val="20"/>
              </w:rPr>
              <w:t>Xeljanz</w:t>
            </w:r>
            <w:r w:rsidR="00E92C08" w:rsidRPr="00387362">
              <w:rPr>
                <w:sz w:val="20"/>
                <w:szCs w:val="20"/>
              </w:rPr>
              <w:t xml:space="preserve"> in combination with biologic DMARDs or with potent immunosuppressa</w:t>
            </w:r>
            <w:r w:rsidR="00E92C08" w:rsidRPr="00387362">
              <w:rPr>
                <w:sz w:val="20"/>
                <w:szCs w:val="20"/>
              </w:rPr>
              <w:lastRenderedPageBreak/>
              <w:t>nts such as azathioprine and cyclosporine is not recommended.</w:t>
            </w:r>
          </w:p>
        </w:tc>
        <w:tc>
          <w:tcPr>
            <w:tcW w:w="1808" w:type="dxa"/>
          </w:tcPr>
          <w:p w:rsidR="00DD6C26" w:rsidRPr="00387362" w:rsidRDefault="00E92C08" w:rsidP="00387362">
            <w:pPr>
              <w:rPr>
                <w:sz w:val="20"/>
                <w:szCs w:val="20"/>
              </w:rPr>
            </w:pPr>
            <w:r w:rsidRPr="00387362">
              <w:rPr>
                <w:sz w:val="20"/>
                <w:szCs w:val="20"/>
              </w:rPr>
              <w:lastRenderedPageBreak/>
              <w:t>Clinical data for radiographic response: Results from both studies A3921069 and A3921044 are included in Section 14 of the approved USPI.</w:t>
            </w:r>
          </w:p>
        </w:tc>
      </w:tr>
      <w:tr w:rsidR="0063370D" w:rsidRPr="00387362" w:rsidTr="00387362">
        <w:tc>
          <w:tcPr>
            <w:tcW w:w="1611" w:type="dxa"/>
          </w:tcPr>
          <w:p w:rsidR="00DD6C26" w:rsidRPr="00387362" w:rsidRDefault="00F23E41" w:rsidP="00387362">
            <w:pPr>
              <w:rPr>
                <w:sz w:val="20"/>
                <w:szCs w:val="20"/>
              </w:rPr>
            </w:pPr>
            <w:r w:rsidRPr="00387362">
              <w:rPr>
                <w:sz w:val="20"/>
                <w:szCs w:val="20"/>
              </w:rPr>
              <w:lastRenderedPageBreak/>
              <w:t>Canada</w:t>
            </w:r>
            <w:r w:rsidR="00347AC7" w:rsidRPr="00387362">
              <w:rPr>
                <w:rStyle w:val="FootnoteReference"/>
                <w:sz w:val="20"/>
                <w:szCs w:val="20"/>
              </w:rPr>
              <w:footnoteReference w:id="2"/>
            </w:r>
          </w:p>
        </w:tc>
        <w:tc>
          <w:tcPr>
            <w:tcW w:w="1613" w:type="dxa"/>
          </w:tcPr>
          <w:p w:rsidR="00DD6C26" w:rsidRPr="00387362" w:rsidRDefault="00347AC7" w:rsidP="00387362">
            <w:pPr>
              <w:rPr>
                <w:sz w:val="20"/>
                <w:szCs w:val="20"/>
              </w:rPr>
            </w:pPr>
            <w:r w:rsidRPr="00387362">
              <w:rPr>
                <w:sz w:val="20"/>
                <w:szCs w:val="20"/>
              </w:rPr>
              <w:t>Planned for 2017</w:t>
            </w:r>
          </w:p>
        </w:tc>
        <w:tc>
          <w:tcPr>
            <w:tcW w:w="1527" w:type="dxa"/>
          </w:tcPr>
          <w:p w:rsidR="00DD6C26" w:rsidRPr="00387362" w:rsidRDefault="00DD6C26" w:rsidP="00387362">
            <w:pPr>
              <w:rPr>
                <w:sz w:val="20"/>
                <w:szCs w:val="20"/>
              </w:rPr>
            </w:pPr>
          </w:p>
        </w:tc>
        <w:tc>
          <w:tcPr>
            <w:tcW w:w="2161" w:type="dxa"/>
          </w:tcPr>
          <w:p w:rsidR="00DD6C26" w:rsidRPr="00387362" w:rsidRDefault="00DD6C26" w:rsidP="00387362">
            <w:pPr>
              <w:rPr>
                <w:sz w:val="20"/>
                <w:szCs w:val="20"/>
              </w:rPr>
            </w:pPr>
          </w:p>
        </w:tc>
        <w:tc>
          <w:tcPr>
            <w:tcW w:w="1808" w:type="dxa"/>
          </w:tcPr>
          <w:p w:rsidR="00DD6C26" w:rsidRPr="00387362" w:rsidRDefault="00DD6C26" w:rsidP="00387362">
            <w:pPr>
              <w:rPr>
                <w:sz w:val="20"/>
                <w:szCs w:val="20"/>
              </w:rPr>
            </w:pPr>
          </w:p>
        </w:tc>
      </w:tr>
      <w:tr w:rsidR="0063370D" w:rsidRPr="00387362" w:rsidTr="00387362">
        <w:tc>
          <w:tcPr>
            <w:tcW w:w="1611" w:type="dxa"/>
          </w:tcPr>
          <w:p w:rsidR="00DD6C26" w:rsidRPr="00387362" w:rsidRDefault="00F23E41" w:rsidP="00387362">
            <w:pPr>
              <w:rPr>
                <w:sz w:val="20"/>
                <w:szCs w:val="20"/>
              </w:rPr>
            </w:pPr>
            <w:r w:rsidRPr="00387362">
              <w:rPr>
                <w:sz w:val="20"/>
                <w:szCs w:val="20"/>
              </w:rPr>
              <w:t>Switzerland</w:t>
            </w:r>
            <w:r w:rsidR="00347AC7" w:rsidRPr="00387362">
              <w:rPr>
                <w:rStyle w:val="FootnoteReference"/>
                <w:sz w:val="20"/>
                <w:szCs w:val="20"/>
              </w:rPr>
              <w:footnoteReference w:id="3"/>
            </w:r>
          </w:p>
        </w:tc>
        <w:tc>
          <w:tcPr>
            <w:tcW w:w="1613" w:type="dxa"/>
          </w:tcPr>
          <w:p w:rsidR="00DD6C26" w:rsidRPr="00387362" w:rsidRDefault="0063370D" w:rsidP="00387362">
            <w:pPr>
              <w:rPr>
                <w:sz w:val="20"/>
                <w:szCs w:val="20"/>
              </w:rPr>
            </w:pPr>
            <w:r w:rsidRPr="00387362">
              <w:rPr>
                <w:sz w:val="20"/>
                <w:szCs w:val="20"/>
              </w:rPr>
              <w:t>Planned for 2017</w:t>
            </w:r>
          </w:p>
        </w:tc>
        <w:tc>
          <w:tcPr>
            <w:tcW w:w="1527" w:type="dxa"/>
          </w:tcPr>
          <w:p w:rsidR="00DD6C26" w:rsidRPr="00387362" w:rsidRDefault="00DD6C26" w:rsidP="00387362">
            <w:pPr>
              <w:rPr>
                <w:sz w:val="20"/>
                <w:szCs w:val="20"/>
              </w:rPr>
            </w:pPr>
          </w:p>
        </w:tc>
        <w:tc>
          <w:tcPr>
            <w:tcW w:w="2161" w:type="dxa"/>
          </w:tcPr>
          <w:p w:rsidR="00DD6C26" w:rsidRPr="00387362" w:rsidRDefault="00DD6C26" w:rsidP="00387362">
            <w:pPr>
              <w:rPr>
                <w:sz w:val="20"/>
                <w:szCs w:val="20"/>
              </w:rPr>
            </w:pPr>
          </w:p>
        </w:tc>
        <w:tc>
          <w:tcPr>
            <w:tcW w:w="1808" w:type="dxa"/>
          </w:tcPr>
          <w:p w:rsidR="00DD6C26" w:rsidRPr="00387362" w:rsidRDefault="00DD6C26" w:rsidP="00387362">
            <w:pPr>
              <w:rPr>
                <w:sz w:val="20"/>
                <w:szCs w:val="20"/>
              </w:rPr>
            </w:pPr>
          </w:p>
        </w:tc>
      </w:tr>
      <w:tr w:rsidR="0063370D" w:rsidRPr="00387362" w:rsidTr="00387362">
        <w:tc>
          <w:tcPr>
            <w:tcW w:w="1611" w:type="dxa"/>
          </w:tcPr>
          <w:p w:rsidR="00DD6C26" w:rsidRPr="00387362" w:rsidRDefault="00F23E41" w:rsidP="00387362">
            <w:pPr>
              <w:rPr>
                <w:sz w:val="20"/>
                <w:szCs w:val="20"/>
              </w:rPr>
            </w:pPr>
            <w:r w:rsidRPr="00387362">
              <w:rPr>
                <w:sz w:val="20"/>
                <w:szCs w:val="20"/>
              </w:rPr>
              <w:t>New Zealand</w:t>
            </w:r>
          </w:p>
        </w:tc>
        <w:tc>
          <w:tcPr>
            <w:tcW w:w="1613" w:type="dxa"/>
          </w:tcPr>
          <w:p w:rsidR="00DD6C26" w:rsidRPr="00387362" w:rsidRDefault="0063370D" w:rsidP="00387362">
            <w:pPr>
              <w:rPr>
                <w:sz w:val="20"/>
                <w:szCs w:val="20"/>
              </w:rPr>
            </w:pPr>
            <w:r w:rsidRPr="00387362">
              <w:rPr>
                <w:sz w:val="20"/>
                <w:szCs w:val="20"/>
              </w:rPr>
              <w:t>N/A for radiographic indication</w:t>
            </w:r>
          </w:p>
        </w:tc>
        <w:tc>
          <w:tcPr>
            <w:tcW w:w="1527" w:type="dxa"/>
          </w:tcPr>
          <w:p w:rsidR="00DD6C26" w:rsidRPr="00387362" w:rsidRDefault="0063370D" w:rsidP="00387362">
            <w:pPr>
              <w:rPr>
                <w:sz w:val="20"/>
                <w:szCs w:val="20"/>
              </w:rPr>
            </w:pPr>
            <w:r w:rsidRPr="00387362">
              <w:rPr>
                <w:sz w:val="20"/>
                <w:szCs w:val="20"/>
              </w:rPr>
              <w:t>NMA for product registration is currently under review</w:t>
            </w:r>
          </w:p>
        </w:tc>
        <w:tc>
          <w:tcPr>
            <w:tcW w:w="2161" w:type="dxa"/>
          </w:tcPr>
          <w:p w:rsidR="00DD6C26" w:rsidRPr="00387362" w:rsidRDefault="00DD6C26" w:rsidP="00387362">
            <w:pPr>
              <w:rPr>
                <w:sz w:val="20"/>
                <w:szCs w:val="20"/>
              </w:rPr>
            </w:pPr>
          </w:p>
        </w:tc>
        <w:tc>
          <w:tcPr>
            <w:tcW w:w="1808" w:type="dxa"/>
          </w:tcPr>
          <w:p w:rsidR="00DD6C26" w:rsidRPr="00387362" w:rsidRDefault="00DD6C26" w:rsidP="00387362">
            <w:pPr>
              <w:rPr>
                <w:sz w:val="20"/>
                <w:szCs w:val="20"/>
              </w:rPr>
            </w:pPr>
          </w:p>
        </w:tc>
      </w:tr>
      <w:tr w:rsidR="0063370D" w:rsidRPr="00387362" w:rsidTr="00387362">
        <w:tc>
          <w:tcPr>
            <w:tcW w:w="1611" w:type="dxa"/>
          </w:tcPr>
          <w:p w:rsidR="00DD6C26" w:rsidRPr="00387362" w:rsidRDefault="00F23E41" w:rsidP="00387362">
            <w:pPr>
              <w:rPr>
                <w:sz w:val="20"/>
                <w:szCs w:val="20"/>
              </w:rPr>
            </w:pPr>
            <w:r w:rsidRPr="00387362">
              <w:rPr>
                <w:sz w:val="20"/>
                <w:szCs w:val="20"/>
              </w:rPr>
              <w:t>Singapore</w:t>
            </w:r>
          </w:p>
        </w:tc>
        <w:tc>
          <w:tcPr>
            <w:tcW w:w="1613" w:type="dxa"/>
          </w:tcPr>
          <w:p w:rsidR="00DD6C26" w:rsidRPr="00387362" w:rsidRDefault="0063370D" w:rsidP="00387362">
            <w:pPr>
              <w:rPr>
                <w:sz w:val="20"/>
                <w:szCs w:val="20"/>
              </w:rPr>
            </w:pPr>
            <w:r w:rsidRPr="00387362">
              <w:rPr>
                <w:sz w:val="20"/>
                <w:szCs w:val="20"/>
              </w:rPr>
              <w:t>20 May 2013</w:t>
            </w:r>
          </w:p>
        </w:tc>
        <w:tc>
          <w:tcPr>
            <w:tcW w:w="1527" w:type="dxa"/>
          </w:tcPr>
          <w:p w:rsidR="00DD6C26" w:rsidRPr="00387362" w:rsidRDefault="00D53F5E" w:rsidP="00387362">
            <w:pPr>
              <w:rPr>
                <w:sz w:val="20"/>
                <w:szCs w:val="20"/>
              </w:rPr>
            </w:pPr>
            <w:r w:rsidRPr="00387362">
              <w:rPr>
                <w:sz w:val="20"/>
                <w:szCs w:val="20"/>
              </w:rPr>
              <w:t>Approved: 17 Nov</w:t>
            </w:r>
            <w:r w:rsidR="0063370D" w:rsidRPr="00387362">
              <w:rPr>
                <w:sz w:val="20"/>
                <w:szCs w:val="20"/>
              </w:rPr>
              <w:t xml:space="preserve"> 2014</w:t>
            </w:r>
          </w:p>
        </w:tc>
        <w:tc>
          <w:tcPr>
            <w:tcW w:w="2161" w:type="dxa"/>
          </w:tcPr>
          <w:p w:rsidR="00DD6C26" w:rsidRPr="00387362" w:rsidRDefault="00CF3863" w:rsidP="00387362">
            <w:pPr>
              <w:rPr>
                <w:sz w:val="20"/>
                <w:szCs w:val="20"/>
              </w:rPr>
            </w:pPr>
            <w:r w:rsidRPr="00387362">
              <w:rPr>
                <w:sz w:val="20"/>
                <w:szCs w:val="20"/>
              </w:rPr>
              <w:t>Xeljanz</w:t>
            </w:r>
            <w:r w:rsidR="0063370D" w:rsidRPr="00387362">
              <w:rPr>
                <w:sz w:val="20"/>
                <w:szCs w:val="20"/>
              </w:rPr>
              <w:t xml:space="preserve"> (tofacitinib) in combination with methotrexate (MTX</w:t>
            </w:r>
            <w:proofErr w:type="gramStart"/>
            <w:r w:rsidR="0063370D" w:rsidRPr="00387362">
              <w:rPr>
                <w:sz w:val="20"/>
                <w:szCs w:val="20"/>
              </w:rPr>
              <w:t>),</w:t>
            </w:r>
            <w:proofErr w:type="gramEnd"/>
            <w:r w:rsidR="0063370D" w:rsidRPr="00387362">
              <w:rPr>
                <w:sz w:val="20"/>
                <w:szCs w:val="20"/>
              </w:rPr>
              <w:t xml:space="preserve"> is indicated for reducing the signs and symptoms of rheumatoid arthritis (RA), in adult patients with moderately to severely active RA who have had an inadequate response to methotrexate. In cases of intolerance to methotrexate, physicians may consider the use of Xeljanz (tofacitinib) as monotherapy.</w:t>
            </w:r>
          </w:p>
        </w:tc>
        <w:tc>
          <w:tcPr>
            <w:tcW w:w="1808" w:type="dxa"/>
          </w:tcPr>
          <w:p w:rsidR="00DD6C26" w:rsidRPr="00387362" w:rsidRDefault="0063370D" w:rsidP="00387362">
            <w:pPr>
              <w:rPr>
                <w:sz w:val="20"/>
                <w:szCs w:val="20"/>
              </w:rPr>
            </w:pPr>
            <w:r w:rsidRPr="00387362">
              <w:rPr>
                <w:sz w:val="20"/>
                <w:szCs w:val="20"/>
              </w:rPr>
              <w:t>Clinical data for radiographic response: Results from both studies A3921069 and A3921044 are included in Section 5 of the approved foreign PI.</w:t>
            </w:r>
          </w:p>
        </w:tc>
      </w:tr>
    </w:tbl>
    <w:p w:rsidR="008E7846" w:rsidRDefault="008E7846" w:rsidP="00940A89">
      <w:pPr>
        <w:pStyle w:val="Heading3"/>
      </w:pPr>
      <w:bookmarkStart w:id="22" w:name="_Toc509307187"/>
      <w:r>
        <w:lastRenderedPageBreak/>
        <w:t>Product Information</w:t>
      </w:r>
      <w:bookmarkEnd w:id="20"/>
      <w:bookmarkEnd w:id="21"/>
      <w:bookmarkEnd w:id="22"/>
    </w:p>
    <w:p w:rsidR="00940A89" w:rsidRDefault="00940A89" w:rsidP="00940A89">
      <w:pPr>
        <w:rPr>
          <w:b/>
          <w:bCs/>
        </w:rPr>
      </w:pPr>
      <w:bookmarkStart w:id="23" w:name="_Toc247691506"/>
      <w:bookmarkStart w:id="24"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671314" w:rsidRDefault="00671314" w:rsidP="00671314">
      <w:pPr>
        <w:pStyle w:val="Heading2"/>
        <w:ind w:left="-11"/>
      </w:pPr>
      <w:bookmarkStart w:id="25" w:name="_Toc509307188"/>
      <w:r>
        <w:t>II. Registration timeline</w:t>
      </w:r>
      <w:bookmarkEnd w:id="25"/>
    </w:p>
    <w:p w:rsidR="00726BCA" w:rsidRDefault="00726BCA" w:rsidP="00726BCA">
      <w:pPr>
        <w:rPr>
          <w:b/>
        </w:rPr>
      </w:pPr>
      <w:r>
        <w:t>The regulatory timeline of this submission</w:t>
      </w:r>
      <w:r w:rsidRPr="009A6DCB">
        <w:t xml:space="preserve"> </w:t>
      </w:r>
      <w:r>
        <w:t>is detailed in Table 2.</w:t>
      </w:r>
    </w:p>
    <w:p w:rsidR="00726BCA" w:rsidRPr="00726BCA" w:rsidRDefault="00726BCA" w:rsidP="003F559A">
      <w:pPr>
        <w:pStyle w:val="TableTitle"/>
      </w:pPr>
      <w:r>
        <w:t>Table 2:</w:t>
      </w:r>
      <w:r w:rsidRPr="004C5C28">
        <w:t xml:space="preserve"> </w:t>
      </w:r>
      <w:r>
        <w:t>Regulatory timeline of this submission</w:t>
      </w:r>
    </w:p>
    <w:tbl>
      <w:tblPr>
        <w:tblStyle w:val="TableTGAblue"/>
        <w:tblW w:w="0" w:type="auto"/>
        <w:tblLook w:val="06A0" w:firstRow="1" w:lastRow="0" w:firstColumn="1" w:lastColumn="0" w:noHBand="1" w:noVBand="1"/>
      </w:tblPr>
      <w:tblGrid>
        <w:gridCol w:w="6771"/>
        <w:gridCol w:w="1949"/>
      </w:tblGrid>
      <w:tr w:rsidR="00671314" w:rsidRPr="00B34BFC" w:rsidTr="00B34BFC">
        <w:trPr>
          <w:cnfStyle w:val="100000000000" w:firstRow="1" w:lastRow="0" w:firstColumn="0" w:lastColumn="0" w:oddVBand="0" w:evenVBand="0" w:oddHBand="0" w:evenHBand="0" w:firstRowFirstColumn="0" w:firstRowLastColumn="0" w:lastRowFirstColumn="0" w:lastRowLastColumn="0"/>
        </w:trPr>
        <w:tc>
          <w:tcPr>
            <w:tcW w:w="6771" w:type="dxa"/>
          </w:tcPr>
          <w:p w:rsidR="00671314" w:rsidRPr="00B34BFC" w:rsidRDefault="00671314" w:rsidP="00B34BFC">
            <w:r w:rsidRPr="00B34BFC">
              <w:t>Description</w:t>
            </w:r>
          </w:p>
        </w:tc>
        <w:tc>
          <w:tcPr>
            <w:tcW w:w="1949" w:type="dxa"/>
          </w:tcPr>
          <w:p w:rsidR="00671314" w:rsidRPr="00B34BFC" w:rsidRDefault="00671314" w:rsidP="00B34BFC">
            <w:r w:rsidRPr="00B34BFC">
              <w:t>Date</w:t>
            </w:r>
          </w:p>
        </w:tc>
      </w:tr>
      <w:tr w:rsidR="00671314" w:rsidRPr="00B34BFC" w:rsidTr="00B34BFC">
        <w:tc>
          <w:tcPr>
            <w:tcW w:w="6771" w:type="dxa"/>
          </w:tcPr>
          <w:p w:rsidR="00671314" w:rsidRPr="00B34BFC" w:rsidRDefault="00671314" w:rsidP="00B34BFC">
            <w:r w:rsidRPr="00B34BFC">
              <w:t>Submission dossier accepted and 1st round evaluation commenced</w:t>
            </w:r>
          </w:p>
        </w:tc>
        <w:tc>
          <w:tcPr>
            <w:tcW w:w="1949" w:type="dxa"/>
          </w:tcPr>
          <w:p w:rsidR="00671314" w:rsidRPr="00B34BFC" w:rsidRDefault="00D64E6B" w:rsidP="00B34BFC">
            <w:r w:rsidRPr="00B34BFC">
              <w:t>6 Jun 2016</w:t>
            </w:r>
          </w:p>
        </w:tc>
      </w:tr>
      <w:tr w:rsidR="00671314" w:rsidRPr="00B34BFC" w:rsidTr="00B34BFC">
        <w:tc>
          <w:tcPr>
            <w:tcW w:w="6771" w:type="dxa"/>
          </w:tcPr>
          <w:p w:rsidR="00671314" w:rsidRPr="00B34BFC" w:rsidRDefault="00671314" w:rsidP="00B34BFC">
            <w:r w:rsidRPr="00B34BFC">
              <w:t>1st round evaluation completed</w:t>
            </w:r>
          </w:p>
        </w:tc>
        <w:tc>
          <w:tcPr>
            <w:tcW w:w="1949" w:type="dxa"/>
          </w:tcPr>
          <w:p w:rsidR="00671314" w:rsidRPr="00B34BFC" w:rsidRDefault="00AB5535" w:rsidP="00B34BFC">
            <w:r w:rsidRPr="00B34BFC">
              <w:t>1 Nov 2016</w:t>
            </w:r>
          </w:p>
        </w:tc>
      </w:tr>
      <w:tr w:rsidR="00671314" w:rsidRPr="00B34BFC" w:rsidTr="00B34BFC">
        <w:tc>
          <w:tcPr>
            <w:tcW w:w="6771" w:type="dxa"/>
          </w:tcPr>
          <w:p w:rsidR="00671314" w:rsidRPr="00B34BFC" w:rsidRDefault="00671314" w:rsidP="00B34BFC">
            <w:r w:rsidRPr="00B34BFC">
              <w:t>Sponsor provides responses on questions raised in 1st round evaluation</w:t>
            </w:r>
          </w:p>
        </w:tc>
        <w:tc>
          <w:tcPr>
            <w:tcW w:w="1949" w:type="dxa"/>
          </w:tcPr>
          <w:p w:rsidR="00671314" w:rsidRPr="00B34BFC" w:rsidRDefault="00AB5535" w:rsidP="00B34BFC">
            <w:r w:rsidRPr="00B34BFC">
              <w:t>6 Jan 2017</w:t>
            </w:r>
          </w:p>
        </w:tc>
      </w:tr>
      <w:tr w:rsidR="00671314" w:rsidRPr="00B34BFC" w:rsidTr="00B34BFC">
        <w:tc>
          <w:tcPr>
            <w:tcW w:w="6771" w:type="dxa"/>
          </w:tcPr>
          <w:p w:rsidR="00671314" w:rsidRPr="00B34BFC" w:rsidRDefault="00671314" w:rsidP="00B34BFC">
            <w:r w:rsidRPr="00B34BFC">
              <w:t>2nd round evaluation completed</w:t>
            </w:r>
          </w:p>
        </w:tc>
        <w:tc>
          <w:tcPr>
            <w:tcW w:w="1949" w:type="dxa"/>
          </w:tcPr>
          <w:p w:rsidR="00671314" w:rsidRPr="00B34BFC" w:rsidRDefault="0013536E" w:rsidP="00B34BFC">
            <w:r w:rsidRPr="00B34BFC">
              <w:t>7 Feb 2017</w:t>
            </w:r>
          </w:p>
        </w:tc>
      </w:tr>
      <w:tr w:rsidR="00671314" w:rsidRPr="00B34BFC" w:rsidTr="00B34BFC">
        <w:tc>
          <w:tcPr>
            <w:tcW w:w="6771" w:type="dxa"/>
          </w:tcPr>
          <w:p w:rsidR="00671314" w:rsidRPr="00B34BFC" w:rsidRDefault="00671314" w:rsidP="00B34BFC">
            <w:r w:rsidRPr="00B34BFC">
              <w:t>Delegate’s overall risk-benefit assessment and request for Advisory Committee advice</w:t>
            </w:r>
          </w:p>
        </w:tc>
        <w:tc>
          <w:tcPr>
            <w:tcW w:w="1949" w:type="dxa"/>
          </w:tcPr>
          <w:p w:rsidR="00671314" w:rsidRPr="00B34BFC" w:rsidRDefault="00A01204" w:rsidP="00B34BFC">
            <w:r w:rsidRPr="00B34BFC">
              <w:t>3 Mar 2017</w:t>
            </w:r>
          </w:p>
        </w:tc>
      </w:tr>
      <w:tr w:rsidR="00671314" w:rsidRPr="00B34BFC" w:rsidTr="00B34BFC">
        <w:tc>
          <w:tcPr>
            <w:tcW w:w="6771" w:type="dxa"/>
          </w:tcPr>
          <w:p w:rsidR="00671314" w:rsidRPr="00B34BFC" w:rsidRDefault="00671314" w:rsidP="00B34BFC">
            <w:r w:rsidRPr="00B34BFC">
              <w:t>Sponsor’s pre-Advisory Committee meeting response</w:t>
            </w:r>
          </w:p>
        </w:tc>
        <w:tc>
          <w:tcPr>
            <w:tcW w:w="1949" w:type="dxa"/>
          </w:tcPr>
          <w:p w:rsidR="00671314" w:rsidRPr="00B34BFC" w:rsidRDefault="001A5AE8" w:rsidP="00B34BFC">
            <w:r w:rsidRPr="00B34BFC">
              <w:t>21 Mar 2017</w:t>
            </w:r>
          </w:p>
        </w:tc>
      </w:tr>
      <w:tr w:rsidR="00671314" w:rsidRPr="00B34BFC" w:rsidTr="00B34BFC">
        <w:tc>
          <w:tcPr>
            <w:tcW w:w="6771" w:type="dxa"/>
          </w:tcPr>
          <w:p w:rsidR="00671314" w:rsidRPr="00B34BFC" w:rsidRDefault="00671314" w:rsidP="00B34BFC">
            <w:r w:rsidRPr="00B34BFC">
              <w:t>Advisory Committee meeting</w:t>
            </w:r>
          </w:p>
        </w:tc>
        <w:tc>
          <w:tcPr>
            <w:tcW w:w="1949" w:type="dxa"/>
          </w:tcPr>
          <w:p w:rsidR="00671314" w:rsidRPr="00B34BFC" w:rsidRDefault="004B1633" w:rsidP="00B34BFC">
            <w:r w:rsidRPr="00B34BFC">
              <w:t>6-7 Apr 2017</w:t>
            </w:r>
          </w:p>
        </w:tc>
      </w:tr>
      <w:tr w:rsidR="00671314" w:rsidRPr="00B34BFC" w:rsidTr="00B34BFC">
        <w:tc>
          <w:tcPr>
            <w:tcW w:w="6771" w:type="dxa"/>
          </w:tcPr>
          <w:p w:rsidR="00671314" w:rsidRPr="00B34BFC" w:rsidRDefault="00671314" w:rsidP="00B34BFC">
            <w:r w:rsidRPr="00B34BFC">
              <w:t>Registration decision</w:t>
            </w:r>
          </w:p>
        </w:tc>
        <w:tc>
          <w:tcPr>
            <w:tcW w:w="1949" w:type="dxa"/>
          </w:tcPr>
          <w:p w:rsidR="00671314" w:rsidRPr="00B34BFC" w:rsidRDefault="00D823D7" w:rsidP="00B34BFC">
            <w:r w:rsidRPr="00B34BFC">
              <w:t>1 Jun 2017</w:t>
            </w:r>
          </w:p>
        </w:tc>
      </w:tr>
      <w:tr w:rsidR="004B43AA" w:rsidRPr="00B34BFC" w:rsidTr="00B34BFC">
        <w:tc>
          <w:tcPr>
            <w:tcW w:w="6771" w:type="dxa"/>
          </w:tcPr>
          <w:p w:rsidR="004B43AA" w:rsidRPr="00B34BFC" w:rsidRDefault="004B43AA" w:rsidP="00B34BFC">
            <w:r w:rsidRPr="00B34BFC">
              <w:t>Entry onto ARTG</w:t>
            </w:r>
          </w:p>
        </w:tc>
        <w:tc>
          <w:tcPr>
            <w:tcW w:w="1949" w:type="dxa"/>
          </w:tcPr>
          <w:p w:rsidR="004B43AA" w:rsidRPr="00B34BFC" w:rsidRDefault="004B43AA" w:rsidP="00B34BFC">
            <w:r w:rsidRPr="00B34BFC">
              <w:t>6 Jun 2017</w:t>
            </w:r>
          </w:p>
        </w:tc>
      </w:tr>
      <w:tr w:rsidR="004B43AA" w:rsidRPr="00B34BFC" w:rsidTr="00B34BFC">
        <w:tc>
          <w:tcPr>
            <w:tcW w:w="6771" w:type="dxa"/>
          </w:tcPr>
          <w:p w:rsidR="004B43AA" w:rsidRPr="00B34BFC" w:rsidRDefault="004B43AA" w:rsidP="00B34BFC">
            <w:r w:rsidRPr="00B34BFC">
              <w:t>Number of TGA working days from submission dossier acceptance to registration decision *</w:t>
            </w:r>
          </w:p>
        </w:tc>
        <w:tc>
          <w:tcPr>
            <w:tcW w:w="1949" w:type="dxa"/>
          </w:tcPr>
          <w:p w:rsidR="004B43AA" w:rsidRPr="00B34BFC" w:rsidRDefault="004B43AA" w:rsidP="00B34BFC">
            <w:r w:rsidRPr="00B34BFC">
              <w:t>193</w:t>
            </w:r>
          </w:p>
        </w:tc>
      </w:tr>
    </w:tbl>
    <w:p w:rsidR="00563FC9" w:rsidRDefault="00563FC9" w:rsidP="00563FC9">
      <w:pPr>
        <w:pStyle w:val="TableDescription"/>
      </w:pPr>
      <w:r>
        <w:t>* Legislative timef</w:t>
      </w:r>
      <w:r w:rsidR="00A56A12">
        <w:t xml:space="preserve">rame for standard applications is </w:t>
      </w:r>
      <w:r>
        <w:t>255 working days (</w:t>
      </w:r>
      <w:r w:rsidRPr="004D49EE">
        <w:t xml:space="preserve">see </w:t>
      </w:r>
      <w:r w:rsidRPr="004D49EE">
        <w:rPr>
          <w:i/>
        </w:rPr>
        <w:t>Therapeutic Goods Regulations 1990</w:t>
      </w:r>
      <w:r w:rsidRPr="004D49EE">
        <w:t>)</w:t>
      </w:r>
      <w:r w:rsidR="00B34BFC">
        <w:t>.</w:t>
      </w:r>
    </w:p>
    <w:p w:rsidR="008E7846" w:rsidRPr="003602A9" w:rsidRDefault="008E7846" w:rsidP="008E7846">
      <w:pPr>
        <w:pStyle w:val="Heading2"/>
        <w:ind w:left="-11"/>
      </w:pPr>
      <w:bookmarkStart w:id="26" w:name="_Toc509307189"/>
      <w:r>
        <w:t>I</w:t>
      </w:r>
      <w:r w:rsidR="00671314">
        <w:t>I</w:t>
      </w:r>
      <w:r>
        <w:t>I. Quality</w:t>
      </w:r>
      <w:bookmarkEnd w:id="3"/>
      <w:r>
        <w:t xml:space="preserve"> findings</w:t>
      </w:r>
      <w:bookmarkEnd w:id="23"/>
      <w:bookmarkEnd w:id="24"/>
      <w:bookmarkEnd w:id="26"/>
    </w:p>
    <w:p w:rsidR="001D5F7B" w:rsidRPr="00940A89" w:rsidRDefault="001D5F7B" w:rsidP="001D5F7B">
      <w:bookmarkStart w:id="27" w:name="_Toc247691507"/>
      <w:bookmarkStart w:id="28" w:name="_Toc314842488"/>
      <w:r w:rsidRPr="00940A89">
        <w:t>There was no requirement for a quality evaluation in a submission of this type.</w:t>
      </w:r>
    </w:p>
    <w:p w:rsidR="008E7846" w:rsidRDefault="00671314" w:rsidP="008E7846">
      <w:pPr>
        <w:pStyle w:val="Heading2"/>
      </w:pPr>
      <w:bookmarkStart w:id="29" w:name="_Toc196046439"/>
      <w:bookmarkStart w:id="30" w:name="_Toc247691510"/>
      <w:bookmarkStart w:id="31" w:name="_Toc314842494"/>
      <w:bookmarkStart w:id="32" w:name="_Toc509307190"/>
      <w:bookmarkEnd w:id="27"/>
      <w:bookmarkEnd w:id="28"/>
      <w:r>
        <w:t>IV</w:t>
      </w:r>
      <w:r w:rsidR="008E7846">
        <w:t>. Nonclinical</w:t>
      </w:r>
      <w:bookmarkEnd w:id="29"/>
      <w:r w:rsidR="008E7846">
        <w:t xml:space="preserve"> findings</w:t>
      </w:r>
      <w:bookmarkEnd w:id="30"/>
      <w:bookmarkEnd w:id="31"/>
      <w:bookmarkEnd w:id="32"/>
    </w:p>
    <w:p w:rsidR="00940A89" w:rsidRDefault="00940A89" w:rsidP="000E6196">
      <w:bookmarkStart w:id="33" w:name="_Toc247691511"/>
      <w:bookmarkStart w:id="34" w:name="_Toc314842495"/>
      <w:r>
        <w:t>There was no requirement for a nonclinical evaluation in a submission of this type.</w:t>
      </w:r>
    </w:p>
    <w:p w:rsidR="008E7846" w:rsidRPr="00254787" w:rsidRDefault="008E7846" w:rsidP="008E7846">
      <w:pPr>
        <w:pStyle w:val="Heading2"/>
      </w:pPr>
      <w:bookmarkStart w:id="35" w:name="_Toc196046462"/>
      <w:bookmarkStart w:id="36" w:name="_Toc247691516"/>
      <w:bookmarkStart w:id="37" w:name="_Toc314842500"/>
      <w:bookmarkStart w:id="38" w:name="_Toc509307191"/>
      <w:bookmarkStart w:id="39" w:name="_Toc163441353"/>
      <w:bookmarkStart w:id="40" w:name="_Toc163441348"/>
      <w:bookmarkEnd w:id="33"/>
      <w:bookmarkEnd w:id="34"/>
      <w:r>
        <w:t xml:space="preserve">V. </w:t>
      </w:r>
      <w:r w:rsidRPr="00254787">
        <w:t>Clinical</w:t>
      </w:r>
      <w:bookmarkEnd w:id="35"/>
      <w:r>
        <w:t xml:space="preserve"> </w:t>
      </w:r>
      <w:r w:rsidR="003A7F6C">
        <w:t>f</w:t>
      </w:r>
      <w:r>
        <w:t>indings</w:t>
      </w:r>
      <w:bookmarkEnd w:id="36"/>
      <w:bookmarkEnd w:id="37"/>
      <w:bookmarkEnd w:id="38"/>
    </w:p>
    <w:p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D33257" w:rsidRDefault="008E7846" w:rsidP="00D33257">
      <w:pPr>
        <w:pStyle w:val="Heading3"/>
      </w:pPr>
      <w:bookmarkStart w:id="42" w:name="_Toc247691517"/>
      <w:bookmarkStart w:id="43" w:name="_Toc314842501"/>
      <w:bookmarkStart w:id="44" w:name="_Toc509307192"/>
      <w:r w:rsidRPr="00D33257">
        <w:lastRenderedPageBreak/>
        <w:t>Introduction</w:t>
      </w:r>
      <w:bookmarkEnd w:id="41"/>
      <w:bookmarkEnd w:id="42"/>
      <w:bookmarkEnd w:id="43"/>
      <w:bookmarkEnd w:id="44"/>
    </w:p>
    <w:p w:rsidR="006E5743" w:rsidRDefault="006E5743" w:rsidP="006E5743">
      <w:pPr>
        <w:pStyle w:val="Heading4"/>
      </w:pPr>
      <w:bookmarkStart w:id="45" w:name="_Toc473532025"/>
      <w:r w:rsidRPr="00E709B3">
        <w:t>Information on the condition being treated</w:t>
      </w:r>
      <w:bookmarkEnd w:id="45"/>
    </w:p>
    <w:p w:rsidR="006E5743" w:rsidRDefault="00F10F68" w:rsidP="006E5743">
      <w:pPr>
        <w:rPr>
          <w:lang w:eastAsia="ja-JP"/>
        </w:rPr>
      </w:pPr>
      <w:r>
        <w:t>RA</w:t>
      </w:r>
      <w:r w:rsidR="006E5743">
        <w:t xml:space="preserve"> is a chronic inflammatory autoimmune disease characterised by polyarticular inflammation of predominately small to medium sized joints in a symmetric pattern. The condition affects approximately 1% of the Australian population and its prevalence increases with age. The primary lesion is synovitis whereby immune cells invade the normally acellular synovium leading to the formation of inflammatory pannus. This hyperplastic invasive tissue causes cartilage breakdown, bony erosion and ultimately loss of function of the affected joints. Systemic involvement may also occur, and there is an increased risk of atherosclerosis and lymphoma over time, particularly if the condition is insufficiently controlled.</w:t>
      </w:r>
      <w:r w:rsidR="00B34BFC">
        <w:t xml:space="preserve"> </w:t>
      </w:r>
      <w:r w:rsidR="006E5743">
        <w:t xml:space="preserve">The </w:t>
      </w:r>
      <w:r w:rsidR="008F2D59">
        <w:t>over production</w:t>
      </w:r>
      <w:r w:rsidR="006E5743">
        <w:t xml:space="preserve"> of various pro-inflammatory cytokines such as TNF and </w:t>
      </w:r>
      <w:r>
        <w:t>interleukins</w:t>
      </w:r>
      <w:r w:rsidR="006E5743">
        <w:t xml:space="preserve"> in the joints and sera of patients with RA are important mediators in the disease pathogenesis primarily via activation of T</w:t>
      </w:r>
      <w:r w:rsidR="008F2D59">
        <w:t xml:space="preserve"> </w:t>
      </w:r>
      <w:r w:rsidR="006E5743">
        <w:t>lymphocytes, but also through effects on B</w:t>
      </w:r>
      <w:r w:rsidR="008F2D59">
        <w:t xml:space="preserve"> </w:t>
      </w:r>
      <w:r w:rsidR="006E5743">
        <w:t>lymphocytes.</w:t>
      </w:r>
    </w:p>
    <w:p w:rsidR="006E5743" w:rsidRDefault="006E5743" w:rsidP="006E5743">
      <w:pPr>
        <w:pStyle w:val="Heading4"/>
      </w:pPr>
      <w:bookmarkStart w:id="46" w:name="_Toc473532026"/>
      <w:r>
        <w:t>Current treatment options</w:t>
      </w:r>
      <w:bookmarkEnd w:id="46"/>
    </w:p>
    <w:p w:rsidR="006E5743" w:rsidRDefault="006E5743" w:rsidP="006E5743">
      <w:pPr>
        <w:rPr>
          <w:lang w:eastAsia="ja-JP"/>
        </w:rPr>
      </w:pPr>
      <w:r>
        <w:t xml:space="preserve">RA is a heterogeneous condition in terms of clinical presentation, natural history and drug responsiveness. Published evidence and current guidelines for the treatment of RA emphasise the importance of achieving clinical remission, or at least low disease activity, as both of these states are associated with a favourable long term prognosis. In addition to treating the signs and symptoms of RA, an impact on inhibiting the structural bone damage of the condition is highly desirable as this is associated with better </w:t>
      </w:r>
      <w:r w:rsidR="00B34BFC">
        <w:t>long term</w:t>
      </w:r>
      <w:r>
        <w:t xml:space="preserve"> patient outcomes, particularly regarding maintenance of physical function and quality of life. Conventional synthetic DMARDs (in particular, </w:t>
      </w:r>
      <w:r w:rsidR="00CF3863">
        <w:t>MTX</w:t>
      </w:r>
      <w:r>
        <w:t>), alone or in combination with each other, are the initial recommended treatments for RA. Observational studies and meta-analyses of DMARD treatment efficacy and tolerability demonstrate highly variable outcomes to single and combination DMARD therapy over time. In 10-year follow-up studies, 25% of patients with RA had to discontinue conventional DMARD treatment due to insufficient therapeutic benefit and 20% discontinued treatment due to adverse effects. Biological DMARDs, either as add-on or single drug therapy, is the next recommended line of therapy in active RA after conventional synthetic DMARD failure or intolerability. While anti-TNF drugs and cytokine modulators such as abatacept and tocilizumab have been shown to demonstrate significant efficacy in treating active RA, a substantial proportion of patients are not achieving meaningful American College of Rheumatology (ACR) responses. Based on the current literature for biological therapies, ACR20 response rates range from 50</w:t>
      </w:r>
      <w:r w:rsidR="008F2D59">
        <w:t xml:space="preserve"> to </w:t>
      </w:r>
      <w:r>
        <w:t>65% and ACR50 response rates are 35</w:t>
      </w:r>
      <w:r w:rsidR="008F2D59">
        <w:t xml:space="preserve"> to </w:t>
      </w:r>
      <w:r>
        <w:t>50%. As such, there is a need for additional therapies for active, treatment refractory RA in adult patients.</w:t>
      </w:r>
    </w:p>
    <w:p w:rsidR="00605AD4" w:rsidRDefault="00605AD4" w:rsidP="00605AD4">
      <w:pPr>
        <w:pStyle w:val="Heading4"/>
      </w:pPr>
      <w:bookmarkStart w:id="47" w:name="_Toc196046464"/>
      <w:bookmarkStart w:id="48" w:name="_Toc247691518"/>
      <w:bookmarkStart w:id="49" w:name="_Toc314842502"/>
      <w:r w:rsidRPr="00605AD4">
        <w:t xml:space="preserve">Clinical </w:t>
      </w:r>
      <w:r w:rsidR="00F45446">
        <w:t>r</w:t>
      </w:r>
      <w:r w:rsidRPr="00605AD4">
        <w:t>ationale</w:t>
      </w:r>
    </w:p>
    <w:p w:rsidR="006E5743" w:rsidRDefault="006E5743" w:rsidP="006E5743">
      <w:pPr>
        <w:rPr>
          <w:lang w:eastAsia="ja-JP"/>
        </w:rPr>
      </w:pPr>
      <w:r>
        <w:rPr>
          <w:lang w:eastAsia="ja-JP"/>
        </w:rPr>
        <w:t xml:space="preserve">TOF is a selective inhibitor of the </w:t>
      </w:r>
      <w:r w:rsidR="004A2D34">
        <w:rPr>
          <w:lang w:eastAsia="ja-JP"/>
        </w:rPr>
        <w:t>JAK</w:t>
      </w:r>
      <w:r>
        <w:rPr>
          <w:lang w:eastAsia="ja-JP"/>
        </w:rPr>
        <w:t xml:space="preserve"> family of kinases, with greater inhibition of JAK1 and JAK3, than JAK2 and tyrosine kinase 2. The JAK system is an intracellular pathway regulatory system that affects the release of cytokines and amplification of the inflammatory response. TOF preferentially inhibits signalling by heterodimeric receptors associated with JAK1 and JAK3, thereby blocking the production and signalling of several pro-inflammatory cytokines including IL-1, 2, 4, 6, 7, 9, 15 and 21 as well as type 1 interferon. In combination, these effects decrease lymphocyte activation, proliferation and function, which are key immune response targets in successfully treating active RA.</w:t>
      </w:r>
    </w:p>
    <w:p w:rsidR="00605AD4" w:rsidRDefault="00605AD4" w:rsidP="00605AD4">
      <w:pPr>
        <w:pStyle w:val="Heading4"/>
      </w:pPr>
      <w:r w:rsidRPr="00605AD4">
        <w:lastRenderedPageBreak/>
        <w:t>Guidance</w:t>
      </w:r>
    </w:p>
    <w:p w:rsidR="00CF3863" w:rsidRDefault="00B27D7C" w:rsidP="00B27D7C">
      <w:r>
        <w:t xml:space="preserve">The sponsor states that this submission is consistent with the TGA pre-submission planning process. </w:t>
      </w:r>
      <w:r w:rsidRPr="00757977">
        <w:t>A</w:t>
      </w:r>
      <w:r>
        <w:t>n exchange of</w:t>
      </w:r>
      <w:r w:rsidRPr="00757977">
        <w:t xml:space="preserve"> pre-submission </w:t>
      </w:r>
      <w:r>
        <w:t xml:space="preserve">briefing documents </w:t>
      </w:r>
      <w:r w:rsidRPr="00757977">
        <w:t xml:space="preserve">between </w:t>
      </w:r>
      <w:r w:rsidR="004A2D34">
        <w:t xml:space="preserve">the sponsor and </w:t>
      </w:r>
      <w:r>
        <w:t>TGA occurred between March an</w:t>
      </w:r>
      <w:r w:rsidR="00CF3863">
        <w:t xml:space="preserve">d April 2016. </w:t>
      </w:r>
      <w:r>
        <w:t>The</w:t>
      </w:r>
      <w:r w:rsidRPr="00757977">
        <w:t xml:space="preserve"> objectives</w:t>
      </w:r>
      <w:r w:rsidR="00E205F5">
        <w:t xml:space="preserve"> of the pre</w:t>
      </w:r>
      <w:r w:rsidR="00E205F5">
        <w:noBreakHyphen/>
      </w:r>
      <w:r>
        <w:t>submission planning process were</w:t>
      </w:r>
      <w:r w:rsidR="00CF3863">
        <w:t>:</w:t>
      </w:r>
    </w:p>
    <w:p w:rsidR="00CF3863" w:rsidRDefault="00B27D7C" w:rsidP="00CF3863">
      <w:pPr>
        <w:pStyle w:val="ListBullet"/>
      </w:pPr>
      <w:r>
        <w:t>to provide an update on the status of any overseas registration applications, particularly re-submission to the EMA, including proposed treatment indication wording and dose regi</w:t>
      </w:r>
      <w:r w:rsidR="00CF3863">
        <w:t>mens,</w:t>
      </w:r>
    </w:p>
    <w:p w:rsidR="00CF3863" w:rsidRDefault="00B27D7C" w:rsidP="00CF3863">
      <w:pPr>
        <w:pStyle w:val="ListBullet"/>
      </w:pPr>
      <w:r>
        <w:t>to clarify that the sponsor is not requesting a change in Australia to the approved RA treatment population (</w:t>
      </w:r>
      <w:r w:rsidR="00B34BFC">
        <w:t xml:space="preserve">that is </w:t>
      </w:r>
      <w:r>
        <w:t>TOF is currently approved in those with an inadequate response or intolerant of MTX versus subjects who are MTX naïve as per the en</w:t>
      </w:r>
      <w:r w:rsidRPr="00757977">
        <w:t>r</w:t>
      </w:r>
      <w:r>
        <w:t>olment characteristics of Study A3</w:t>
      </w:r>
      <w:r w:rsidR="00CF3863">
        <w:t>921069 in this submission),</w:t>
      </w:r>
    </w:p>
    <w:p w:rsidR="00CF3863" w:rsidRDefault="00B27D7C" w:rsidP="00CF3863">
      <w:pPr>
        <w:pStyle w:val="ListBullet"/>
      </w:pPr>
      <w:r>
        <w:t>to provide an updated version of the Australian Risk</w:t>
      </w:r>
      <w:r w:rsidR="00CF3863">
        <w:t xml:space="preserve"> Management Plan (RMP), and</w:t>
      </w:r>
    </w:p>
    <w:p w:rsidR="00CF3863" w:rsidRDefault="00B27D7C" w:rsidP="00CF3863">
      <w:pPr>
        <w:pStyle w:val="ListBullet"/>
      </w:pPr>
      <w:r>
        <w:t>to clarify if the 2 year radiographic dataset has been submitted to the FDA and if it is to be included in the US PI.</w:t>
      </w:r>
    </w:p>
    <w:p w:rsidR="00B27D7C" w:rsidRDefault="00B27D7C" w:rsidP="00B27D7C">
      <w:r>
        <w:t>Following the pre-submission questions, the sponsor responded to each issue. In particular, the sponsor re-affirms that it is not requesting a change in the current patient treatment indication claim in Australia. This submission is requesting the addition of a radiographic claim of benefit to the same approved patient inclusion criteria (</w:t>
      </w:r>
      <w:r w:rsidR="00B34BFC">
        <w:t xml:space="preserve">that is </w:t>
      </w:r>
      <w:r>
        <w:t>in adult patients with a preceding inadequate response to or intolerance of MTX).</w:t>
      </w:r>
    </w:p>
    <w:p w:rsidR="00B27D7C" w:rsidRDefault="00B27D7C" w:rsidP="00B27D7C">
      <w:r>
        <w:t xml:space="preserve">Consideration of the relevant regulatory guidelines in assessing this submission includes one specific and relevant EU regulatory guideline pertaining to the requested indication in RA: CPMP/EWP/556/95 rev 1/Final </w:t>
      </w:r>
      <w:r w:rsidR="00B34BFC">
        <w:t>‘</w:t>
      </w:r>
      <w:r>
        <w:t>Points to Consider on Clinical Investigation of Medicinal Products other than NSAIDs for the Treatment of Rheumatoid Arthritis</w:t>
      </w:r>
      <w:r w:rsidR="00B34BFC">
        <w:t>’</w:t>
      </w:r>
      <w:r>
        <w:t xml:space="preserve"> (effective 29 January 2007). In this submission, the 2</w:t>
      </w:r>
      <w:r w:rsidR="008F2D59">
        <w:t xml:space="preserve"> </w:t>
      </w:r>
      <w:r>
        <w:t xml:space="preserve">year study reports for 2 pivotal </w:t>
      </w:r>
      <w:r w:rsidR="00B34BFC">
        <w:t>Phase III</w:t>
      </w:r>
      <w:r>
        <w:t xml:space="preserve"> RA studies (A3921044 and A3921069), which assessed the rate of joint damage progression by plain </w:t>
      </w:r>
      <w:r w:rsidR="0067104C">
        <w:t>x-ray</w:t>
      </w:r>
      <w:r>
        <w:t xml:space="preserve">, has been submitted. The TGA adopted EU regulatory guideline (CPMP/EWP/556/95 rev 1/Final) states that to make a claim of radiographic benefit in RA, </w:t>
      </w:r>
      <w:r w:rsidR="0067104C">
        <w:t>x-ray</w:t>
      </w:r>
      <w:r>
        <w:t xml:space="preserve"> should be taken at fixed and pre-defined time points at least 1 year apart for a minimum of 2 years, the first year of which should have blinded data acquisition.</w:t>
      </w:r>
    </w:p>
    <w:p w:rsidR="00B27D7C" w:rsidRPr="00B27D7C" w:rsidRDefault="00B27D7C" w:rsidP="00B27D7C">
      <w:pPr>
        <w:pStyle w:val="Heading4"/>
      </w:pPr>
      <w:bookmarkStart w:id="50" w:name="_Toc473532031"/>
      <w:r w:rsidRPr="00B27D7C">
        <w:t>Evaluator’s commentary on the background information</w:t>
      </w:r>
      <w:bookmarkEnd w:id="50"/>
    </w:p>
    <w:p w:rsidR="00B27D7C" w:rsidRDefault="00B27D7C" w:rsidP="00B27D7C">
      <w:pPr>
        <w:rPr>
          <w:lang w:eastAsia="ja-JP"/>
        </w:rPr>
      </w:pPr>
      <w:r>
        <w:rPr>
          <w:lang w:eastAsia="ja-JP"/>
        </w:rPr>
        <w:t>TOF is a first in class JAK inhibitor currently approved in Australia for the treatment of active RA in adult patients. It is available as an oral formulation and exerts an immunomodulatory effect via a novel mechanism of action. There is an unmet need for additional effective therapies in RA as response rates to current available treatment options (including several conventional and biological DMARDs) are sub-optimal in a significant proportion of patients (</w:t>
      </w:r>
      <w:r w:rsidR="00B34BFC">
        <w:rPr>
          <w:lang w:eastAsia="ja-JP"/>
        </w:rPr>
        <w:t xml:space="preserve">that is </w:t>
      </w:r>
      <w:r>
        <w:rPr>
          <w:lang w:eastAsia="ja-JP"/>
        </w:rPr>
        <w:t>at least one third of affected individuals with moderately to severely active disease). Through intracellular inhibition of JAK pathways and subsequent modification of the inflammatory response, TOF demonstrates biological plausibility for producing a beneficial treatment effect in RA.</w:t>
      </w:r>
    </w:p>
    <w:p w:rsidR="00B34BFC" w:rsidRDefault="00B27D7C" w:rsidP="00B27D7C">
      <w:pPr>
        <w:rPr>
          <w:lang w:eastAsia="ja-JP"/>
        </w:rPr>
      </w:pPr>
      <w:r>
        <w:rPr>
          <w:lang w:eastAsia="ja-JP"/>
        </w:rPr>
        <w:t xml:space="preserve">In recent years, published evidence has supported a significant clinical practice change in treating RA whereby tight and sustained control of disease activity is the desired outcome. In addition to controlling the signs and symptoms of RA, it is recognised that inhibition of structural </w:t>
      </w:r>
      <w:r w:rsidR="0067104C">
        <w:rPr>
          <w:lang w:eastAsia="ja-JP"/>
        </w:rPr>
        <w:t>x-ray</w:t>
      </w:r>
      <w:r>
        <w:rPr>
          <w:lang w:eastAsia="ja-JP"/>
        </w:rPr>
        <w:t xml:space="preserve"> progression is a very important outcome as achievement of this outcome strongly correlates with minimisation of joint deformity and physical functioning. Hence, the sponsor has stated a valid and accepted rationale for the relevance of claiming structural </w:t>
      </w:r>
      <w:r w:rsidR="0067104C">
        <w:rPr>
          <w:lang w:eastAsia="ja-JP"/>
        </w:rPr>
        <w:t>x-ray</w:t>
      </w:r>
      <w:r>
        <w:rPr>
          <w:lang w:eastAsia="ja-JP"/>
        </w:rPr>
        <w:t xml:space="preserve"> inhibition in this submission</w:t>
      </w:r>
      <w:r w:rsidR="00B34BFC">
        <w:rPr>
          <w:lang w:eastAsia="ja-JP"/>
        </w:rPr>
        <w:t>.</w:t>
      </w:r>
    </w:p>
    <w:p w:rsidR="00B27D7C" w:rsidRDefault="00B27D7C" w:rsidP="00B27D7C">
      <w:pPr>
        <w:rPr>
          <w:lang w:eastAsia="ja-JP"/>
        </w:rPr>
      </w:pPr>
      <w:r>
        <w:lastRenderedPageBreak/>
        <w:t xml:space="preserve">In general, the sponsor has adhered to the TGA adopted EU regulatory guideline of relevance in this submission (CPMP/EWP/556/95 rev 1/Final </w:t>
      </w:r>
      <w:r w:rsidR="00B34BFC">
        <w:t>‘</w:t>
      </w:r>
      <w:r>
        <w:t>Points to Consider on Clinical Investigation of Medicinal Products other than NSAIDs for the Treatment of Rheumatoid Arthritis</w:t>
      </w:r>
      <w:r w:rsidR="00B34BFC">
        <w:t>’</w:t>
      </w:r>
      <w:r>
        <w:t xml:space="preserve">; effective 29 January 2007). However, in the Clinical Trials section of the newly proposed PI, the sponsor has included </w:t>
      </w:r>
      <w:r w:rsidR="0067104C">
        <w:t>x-ray</w:t>
      </w:r>
      <w:r>
        <w:t xml:space="preserve"> data suggesting benefit with TOF monotherapy in MTX naïve subjects (as reported in Study A3921069), which is different to the approved treatment population (</w:t>
      </w:r>
      <w:r w:rsidR="00B34BFC">
        <w:t xml:space="preserve">that is </w:t>
      </w:r>
      <w:r>
        <w:t>MTX inadequate response or intolerance).</w:t>
      </w:r>
    </w:p>
    <w:p w:rsidR="00B27D7C" w:rsidRDefault="00B27D7C" w:rsidP="00B27D7C">
      <w:pPr>
        <w:rPr>
          <w:lang w:eastAsia="ja-JP"/>
        </w:rPr>
      </w:pPr>
      <w:r>
        <w:rPr>
          <w:lang w:eastAsia="ja-JP"/>
        </w:rPr>
        <w:t xml:space="preserve">As outlined in the regulatory history background of this report, the TGA had initially rejected the registration of TOF for the treatment of RA (at a dose of 5 mg and 10 mg twice daily), but the sponsor under Section 60 of the </w:t>
      </w:r>
      <w:r w:rsidRPr="00CF3863">
        <w:rPr>
          <w:i/>
          <w:lang w:eastAsia="ja-JP"/>
        </w:rPr>
        <w:t>Therapeutic Goods Act</w:t>
      </w:r>
      <w:r>
        <w:rPr>
          <w:lang w:eastAsia="ja-JP"/>
        </w:rPr>
        <w:t xml:space="preserve"> appealed this decision</w:t>
      </w:r>
      <w:r>
        <w:t xml:space="preserve">. Following review, the TGA decision to not register TOF was revoked and TOF was approved on 13 January 2015 </w:t>
      </w:r>
      <w:r>
        <w:rPr>
          <w:lang w:eastAsia="ja-JP"/>
        </w:rPr>
        <w:t xml:space="preserve">at a dose of 5 mg twice daily. Therefore, to support a radiological claim being added to the current indication wording the sponsor must demonstrate that a TOF dose of 5 mg twice daily has robust </w:t>
      </w:r>
      <w:r w:rsidR="0067104C">
        <w:rPr>
          <w:lang w:eastAsia="ja-JP"/>
        </w:rPr>
        <w:t>x-ray</w:t>
      </w:r>
      <w:r>
        <w:rPr>
          <w:lang w:eastAsia="ja-JP"/>
        </w:rPr>
        <w:t xml:space="preserve"> evidence of benefit over 2 year treatment time frame (as per the TGA adopted EU guideline) in the population for which it is currently approved (patients with an inadequate response to or who are intolerant of MTX). In this submission, the sponsor has responded to the prior key issues that have impeded the registration of TOF in Australia and overseas (namely, the EU). The previously considered safety concerns with TOF include: the incidence and type of serious and opportunistic infection, gastrointestinal perforation, malignancy potential (particularly, lymphoma and pancreatic cancer), risk of developing interstitial lung disease, </w:t>
      </w:r>
      <w:proofErr w:type="spellStart"/>
      <w:r>
        <w:rPr>
          <w:lang w:eastAsia="ja-JP"/>
        </w:rPr>
        <w:t>cytopenia</w:t>
      </w:r>
      <w:proofErr w:type="spellEnd"/>
      <w:r>
        <w:rPr>
          <w:lang w:eastAsia="ja-JP"/>
        </w:rPr>
        <w:t xml:space="preserve">, </w:t>
      </w:r>
      <w:r w:rsidRPr="0089411F">
        <w:rPr>
          <w:rFonts w:eastAsia="TimesNewRoman,Italic"/>
          <w:iCs/>
          <w:lang w:val="en-US"/>
        </w:rPr>
        <w:t>hepatic enzyme elevations/</w:t>
      </w:r>
      <w:r w:rsidR="008F2D59">
        <w:rPr>
          <w:rFonts w:eastAsia="TimesNewRoman,Italic"/>
          <w:iCs/>
          <w:lang w:val="en-US"/>
        </w:rPr>
        <w:t>drug induced</w:t>
      </w:r>
      <w:r w:rsidRPr="0089411F">
        <w:rPr>
          <w:rFonts w:eastAsia="TimesNewRoman,Italic"/>
          <w:iCs/>
          <w:lang w:val="en-US"/>
        </w:rPr>
        <w:t xml:space="preserve"> liver injury</w:t>
      </w:r>
      <w:r>
        <w:rPr>
          <w:rFonts w:eastAsia="TimesNewRoman,Italic"/>
          <w:iCs/>
          <w:lang w:val="en-US"/>
        </w:rPr>
        <w:t>,</w:t>
      </w:r>
      <w:r w:rsidRPr="0089411F">
        <w:rPr>
          <w:rFonts w:eastAsia="TimesNewRoman,Italic"/>
          <w:iCs/>
          <w:lang w:val="en-US"/>
        </w:rPr>
        <w:t xml:space="preserve"> </w:t>
      </w:r>
      <w:r>
        <w:rPr>
          <w:rFonts w:eastAsia="TimesNewRoman,Italic"/>
          <w:iCs/>
          <w:lang w:val="en-US"/>
        </w:rPr>
        <w:t xml:space="preserve">elevations in serum </w:t>
      </w:r>
      <w:r w:rsidRPr="0089411F">
        <w:rPr>
          <w:rFonts w:eastAsia="TimesNewRoman,Italic"/>
          <w:iCs/>
          <w:lang w:val="en-US"/>
        </w:rPr>
        <w:t>lipid</w:t>
      </w:r>
      <w:r>
        <w:rPr>
          <w:rFonts w:eastAsia="TimesNewRoman,Italic"/>
          <w:iCs/>
          <w:lang w:val="en-US"/>
        </w:rPr>
        <w:t>s (with an atherogenic profile)</w:t>
      </w:r>
      <w:r w:rsidRPr="0089411F">
        <w:rPr>
          <w:rFonts w:eastAsia="TimesNewRoman,Italic"/>
          <w:iCs/>
          <w:lang w:val="en-US"/>
        </w:rPr>
        <w:t xml:space="preserve"> and </w:t>
      </w:r>
      <w:r>
        <w:rPr>
          <w:rFonts w:eastAsia="TimesNewRoman,Italic"/>
          <w:iCs/>
          <w:lang w:val="en-US"/>
        </w:rPr>
        <w:t xml:space="preserve">the risk of major adverse </w:t>
      </w:r>
      <w:r w:rsidRPr="0089411F">
        <w:rPr>
          <w:rFonts w:eastAsia="TimesNewRoman,Italic"/>
          <w:iCs/>
          <w:lang w:val="en-US"/>
        </w:rPr>
        <w:t xml:space="preserve">cardiovascular </w:t>
      </w:r>
      <w:r>
        <w:rPr>
          <w:rFonts w:eastAsia="TimesNewRoman,Italic"/>
          <w:iCs/>
          <w:lang w:val="en-US"/>
        </w:rPr>
        <w:t>events</w:t>
      </w:r>
      <w:r w:rsidRPr="0089411F">
        <w:rPr>
          <w:rFonts w:eastAsia="TimesNewRoman,Italic"/>
          <w:iCs/>
          <w:lang w:val="en-US"/>
        </w:rPr>
        <w:t>.</w:t>
      </w:r>
    </w:p>
    <w:p w:rsidR="00605AD4" w:rsidRDefault="00605AD4" w:rsidP="00605AD4">
      <w:pPr>
        <w:pStyle w:val="Heading4"/>
      </w:pPr>
      <w:r w:rsidRPr="00605AD4">
        <w:t>Contents of the clinical dossier</w:t>
      </w:r>
    </w:p>
    <w:p w:rsidR="00B27D7C" w:rsidRDefault="00B27D7C" w:rsidP="00B27D7C">
      <w:pPr>
        <w:rPr>
          <w:lang w:eastAsia="ja-JP"/>
        </w:rPr>
      </w:pPr>
      <w:r>
        <w:rPr>
          <w:lang w:eastAsia="ja-JP"/>
        </w:rPr>
        <w:t>The 2 main purposes of this application by the sponsor is to consider inclusion of the efficacy claim in the indication wording relating to the inhibition of structural damage progression, and to update the safety information in the PI with available data as of 31</w:t>
      </w:r>
      <w:r w:rsidR="00D33257">
        <w:rPr>
          <w:lang w:eastAsia="ja-JP"/>
        </w:rPr>
        <w:t> </w:t>
      </w:r>
      <w:r>
        <w:rPr>
          <w:lang w:eastAsia="ja-JP"/>
        </w:rPr>
        <w:t>March 2015.</w:t>
      </w:r>
    </w:p>
    <w:p w:rsidR="00B27D7C" w:rsidRDefault="004A2D34" w:rsidP="00B27D7C">
      <w:pPr>
        <w:rPr>
          <w:lang w:eastAsia="ja-JP"/>
        </w:rPr>
      </w:pPr>
      <w:r>
        <w:rPr>
          <w:lang w:eastAsia="ja-JP"/>
        </w:rPr>
        <w:t>T</w:t>
      </w:r>
      <w:r w:rsidR="00B27D7C">
        <w:rPr>
          <w:lang w:eastAsia="ja-JP"/>
        </w:rPr>
        <w:t xml:space="preserve">his report summarises the extensive background Australian regulatory history that predates this submission. The new efficacy data included in this submission is the </w:t>
      </w:r>
      <w:r w:rsidR="008F2D59">
        <w:rPr>
          <w:lang w:eastAsia="ja-JP"/>
        </w:rPr>
        <w:t>2 year</w:t>
      </w:r>
      <w:r w:rsidR="00B27D7C">
        <w:rPr>
          <w:lang w:eastAsia="ja-JP"/>
        </w:rPr>
        <w:t xml:space="preserve"> results from Study A3921069 (</w:t>
      </w:r>
      <w:r w:rsidR="00CF3863">
        <w:rPr>
          <w:lang w:eastAsia="ja-JP"/>
        </w:rPr>
        <w:t xml:space="preserve">not previously evaluated by </w:t>
      </w:r>
      <w:r w:rsidR="00B27D7C">
        <w:rPr>
          <w:lang w:eastAsia="ja-JP"/>
        </w:rPr>
        <w:t xml:space="preserve">TGA), as well as additional sensitivity analyses of the </w:t>
      </w:r>
      <w:r w:rsidR="0067104C">
        <w:rPr>
          <w:lang w:eastAsia="ja-JP"/>
        </w:rPr>
        <w:t>x-ray</w:t>
      </w:r>
      <w:r w:rsidR="00B27D7C">
        <w:rPr>
          <w:lang w:eastAsia="ja-JP"/>
        </w:rPr>
        <w:t xml:space="preserve"> data from Study A3921044 and subgroup analyses of patients with poor prognostic factors enrolled into Study A3921044. The sensitivity analyses of the </w:t>
      </w:r>
      <w:r w:rsidR="0067104C">
        <w:rPr>
          <w:lang w:eastAsia="ja-JP"/>
        </w:rPr>
        <w:t>x-ray</w:t>
      </w:r>
      <w:r w:rsidR="00B27D7C">
        <w:rPr>
          <w:lang w:eastAsia="ja-JP"/>
        </w:rPr>
        <w:t xml:space="preserve"> data in Study A3921044 were presented in a summary format during the initial evaluation process, however, with this submission a more thorough assessment is presented, which is complemented by a subset analysis in second line patients, defined as those who were inadequate responders to or intolerant of MTX, but naïve to biologic therapies.</w:t>
      </w:r>
    </w:p>
    <w:p w:rsidR="00B27D7C" w:rsidRDefault="00B27D7C" w:rsidP="00B27D7C">
      <w:pPr>
        <w:rPr>
          <w:lang w:eastAsia="ja-JP"/>
        </w:rPr>
      </w:pPr>
      <w:r>
        <w:rPr>
          <w:lang w:eastAsia="ja-JP"/>
        </w:rPr>
        <w:t>Persistence of clinical response to TOF (</w:t>
      </w:r>
      <w:r w:rsidR="00B34BFC">
        <w:rPr>
          <w:lang w:eastAsia="ja-JP"/>
        </w:rPr>
        <w:t xml:space="preserve">that is </w:t>
      </w:r>
      <w:r>
        <w:rPr>
          <w:lang w:eastAsia="ja-JP"/>
        </w:rPr>
        <w:t xml:space="preserve">improvement in the signs and symptoms of RA) is provided in this submission by the </w:t>
      </w:r>
      <w:r w:rsidR="008F2D59">
        <w:rPr>
          <w:lang w:eastAsia="ja-JP"/>
        </w:rPr>
        <w:t>2 year</w:t>
      </w:r>
      <w:r>
        <w:rPr>
          <w:lang w:eastAsia="ja-JP"/>
        </w:rPr>
        <w:t xml:space="preserve"> clinical trial reports for Studies A3921044 and A3921069, as well as additional data from 2 </w:t>
      </w:r>
      <w:r w:rsidR="008F2D59">
        <w:rPr>
          <w:lang w:eastAsia="ja-JP"/>
        </w:rPr>
        <w:t>open label</w:t>
      </w:r>
      <w:r>
        <w:rPr>
          <w:lang w:eastAsia="ja-JP"/>
        </w:rPr>
        <w:t>, extension studies (one completed [A3921041] and one ongoing [A3921024]), which followed patients receiving TOF 5 mg twice daily therapy for up to 84 months (7 years).</w:t>
      </w:r>
    </w:p>
    <w:p w:rsidR="00B27D7C" w:rsidRDefault="00B27D7C" w:rsidP="00B27D7C">
      <w:pPr>
        <w:rPr>
          <w:lang w:eastAsia="ja-JP"/>
        </w:rPr>
      </w:pPr>
      <w:r>
        <w:rPr>
          <w:lang w:eastAsia="ja-JP"/>
        </w:rPr>
        <w:t>This submission also proposes to update the safety information in the PI following a review of the available safety dataset as of 31 March 2015, as well as incorporate the information derived from the completed Study A3921237, which assessed the effect of TOF 5 mg twice daily on the zoster vaccine immune response in adult subjects with RA receiving concomitant MTX.</w:t>
      </w:r>
    </w:p>
    <w:p w:rsidR="00605AD4" w:rsidRDefault="00605AD4" w:rsidP="00605AD4">
      <w:pPr>
        <w:pStyle w:val="Heading4"/>
      </w:pPr>
      <w:r w:rsidRPr="00605AD4">
        <w:lastRenderedPageBreak/>
        <w:t>Paediatric data</w:t>
      </w:r>
    </w:p>
    <w:p w:rsidR="00B34BFC" w:rsidRDefault="00B27D7C" w:rsidP="00B27D7C">
      <w:r w:rsidRPr="00B27D7C">
        <w:t xml:space="preserve">EMA and </w:t>
      </w:r>
      <w:r w:rsidR="004A2D34">
        <w:t>FDA</w:t>
      </w:r>
      <w:r w:rsidRPr="00B27D7C">
        <w:t xml:space="preserve"> have granted a waiver for the treatment of chronic juvenile idiopathic arthritis for children from birth to less than 2 years of age as the conditions for which TOF is intended rarely occur in this age group. However, a paediatric investigation plan for the treatment of several types of juvenile idiopathic arthritis (including extended </w:t>
      </w:r>
      <w:proofErr w:type="spellStart"/>
      <w:r w:rsidRPr="00B27D7C">
        <w:t>oligoarthritis</w:t>
      </w:r>
      <w:proofErr w:type="spellEnd"/>
      <w:r w:rsidRPr="00B27D7C">
        <w:t xml:space="preserve">, </w:t>
      </w:r>
      <w:proofErr w:type="spellStart"/>
      <w:r w:rsidRPr="00B27D7C">
        <w:t>RF+ve</w:t>
      </w:r>
      <w:proofErr w:type="spellEnd"/>
      <w:r w:rsidRPr="00B27D7C">
        <w:t xml:space="preserve"> polyarthritis, RF-</w:t>
      </w:r>
      <w:proofErr w:type="spellStart"/>
      <w:r w:rsidRPr="00B27D7C">
        <w:t>ve</w:t>
      </w:r>
      <w:proofErr w:type="spellEnd"/>
      <w:r w:rsidRPr="00B27D7C">
        <w:t xml:space="preserve"> polyarthritis, </w:t>
      </w:r>
      <w:proofErr w:type="spellStart"/>
      <w:r w:rsidRPr="00B27D7C">
        <w:t>enthesitis</w:t>
      </w:r>
      <w:proofErr w:type="spellEnd"/>
      <w:r w:rsidRPr="00B27D7C">
        <w:t xml:space="preserve"> related arthritis, psoriatic arthritis and systemic arthritis) for children from 2 to 18 years of age has been agreed</w:t>
      </w:r>
      <w:r w:rsidR="00B34BFC">
        <w:t>.</w:t>
      </w:r>
    </w:p>
    <w:p w:rsidR="00605AD4" w:rsidRDefault="00605AD4" w:rsidP="00605AD4">
      <w:pPr>
        <w:pStyle w:val="Heading4"/>
      </w:pPr>
      <w:r w:rsidRPr="00605AD4">
        <w:t>Good clinical practice</w:t>
      </w:r>
    </w:p>
    <w:p w:rsidR="00B27D7C" w:rsidRDefault="00DC2D94" w:rsidP="00B27D7C">
      <w:r w:rsidRPr="0075023D">
        <w:t xml:space="preserve">Apart from </w:t>
      </w:r>
      <w:r>
        <w:t>a couple of noteworthy</w:t>
      </w:r>
      <w:r w:rsidRPr="0075023D">
        <w:t xml:space="preserve"> exception</w:t>
      </w:r>
      <w:r>
        <w:t>s</w:t>
      </w:r>
      <w:r w:rsidRPr="0075023D">
        <w:t xml:space="preserve">, the studies presented in this submission are </w:t>
      </w:r>
      <w:r w:rsidR="00B27D7C" w:rsidRPr="0075023D">
        <w:t xml:space="preserve">stated to have been conducted according to GCP standards and the study reports are consistent with adherence to GCP. </w:t>
      </w:r>
      <w:r w:rsidR="00B27D7C">
        <w:t xml:space="preserve">The pivotal radiographic </w:t>
      </w:r>
      <w:r w:rsidR="00B27D7C" w:rsidRPr="0075023D">
        <w:t>Study A</w:t>
      </w:r>
      <w:r w:rsidR="00B27D7C">
        <w:t>3921044 was conducted at 110 investigator sites in 15 countries. One study centre in India was prematurely closed during the trial due to GCP non-compliance during an internal sponsor audit. This site had screened 22 subjects, 8 of whom were randomised to treatment and 3 had discontinued prior to site closure. The efficacy data from this site was excluded from analysis but the safety data for the 8 randomised subjects was included. In addition, 1 study site in Study A3921044 in Korea had significant procedural issues, which led to its closure after 3 months of study involvement. Efficacy data from this site was also excluded from the analysis. The sponsor due to non-compliance issues with GCP closed one study centre in the Philippines in Study A3921069, but this was only identified after the study was completed. The efficacy data from this site was excluded but analysis with or without that information showed minimal effect o</w:t>
      </w:r>
      <w:r>
        <w:t>n the overall efficacy data.</w:t>
      </w:r>
    </w:p>
    <w:p w:rsidR="00DC2D94" w:rsidRPr="009A141C" w:rsidRDefault="00DC2D94" w:rsidP="00DC2D94">
      <w:pPr>
        <w:pStyle w:val="Heading4"/>
      </w:pPr>
      <w:bookmarkStart w:id="51" w:name="_Toc473532036"/>
      <w:r>
        <w:t>Evaluator’s commentary on the clinical dossier</w:t>
      </w:r>
      <w:bookmarkEnd w:id="51"/>
    </w:p>
    <w:p w:rsidR="00DC2D94" w:rsidRPr="00DC2D94" w:rsidRDefault="00DC2D94" w:rsidP="00DC2D94">
      <w:r w:rsidRPr="00DC2D94">
        <w:t xml:space="preserve">The sponsor designed the TOF RA clinical development program to demonstrate safety and tolerability; as well as efficacy in reducing the signs and symptoms of RA, inhibiting the progression of structural damage and improving physical function. The clinical program includes 6 randomised, multi-centre, </w:t>
      </w:r>
      <w:r w:rsidR="008F2D59">
        <w:t>double blind</w:t>
      </w:r>
      <w:r w:rsidRPr="00DC2D94">
        <w:t xml:space="preserve">, parallel group </w:t>
      </w:r>
      <w:r w:rsidR="008F2D59">
        <w:t>Phase </w:t>
      </w:r>
      <w:r w:rsidR="00B34BFC">
        <w:t>III</w:t>
      </w:r>
      <w:r w:rsidRPr="00DC2D94">
        <w:t xml:space="preserve"> studies evaluating the efficacy and safety of TOF in a variety of RA treatment settings. The predominant treatment algorithm in the clinical development program was the addition of TOF to inadequately effective conventional synthetic DMARDs (mainly, prior MTX therapy). Additional studies were conducted to assess TOF efficacy as monotherapy, replacing rather than adding to a previous DMARD, in subjects who had an inadequate response to a biologic DMARD, and to assess the efficacy of TOF as monotherapy in MTX-naïve subjects.</w:t>
      </w:r>
    </w:p>
    <w:p w:rsidR="00B34BFC" w:rsidRDefault="00DC2D94" w:rsidP="00DC2D94">
      <w:r w:rsidRPr="00DC2D94">
        <w:t xml:space="preserve">In this application, the pivotal </w:t>
      </w:r>
      <w:r w:rsidR="00B34BFC">
        <w:t>Phase III</w:t>
      </w:r>
      <w:r w:rsidRPr="00DC2D94">
        <w:t xml:space="preserve"> studies are A3921069 and A3921044. Data pooled from the 2 LTE studies (Study A3921024, which is ongoing and Study A3921041, which is completed) were also used to inform </w:t>
      </w:r>
      <w:r w:rsidR="00B34BFC">
        <w:t>long term</w:t>
      </w:r>
      <w:r w:rsidRPr="00DC2D94">
        <w:t xml:space="preserve"> safety and persistence of clinical efficacy with TOF in treating RA. Unfortunately, the sponsor only presented in this submission combined safety data from the LTE studies when changes to the PI were proposed. Clinical study reports (interim for A3921024 and complete for A3921041) were provided for each trial, but the safety data required significant synthesis as it was not well presented</w:t>
      </w:r>
      <w:r w:rsidR="00B34BFC">
        <w:t>.</w:t>
      </w:r>
    </w:p>
    <w:p w:rsidR="00B34BFC" w:rsidRDefault="00DC2D94" w:rsidP="00DC2D94">
      <w:r w:rsidRPr="00DC2D94">
        <w:t>For other safety events of interest (</w:t>
      </w:r>
      <w:r w:rsidR="00B34BFC">
        <w:t>for example</w:t>
      </w:r>
      <w:r w:rsidRPr="00DC2D94">
        <w:t xml:space="preserve"> risk of serious infection), the sponsor provided integrated data from all of the RA controlled (Phase </w:t>
      </w:r>
      <w:r w:rsidR="008F2D59">
        <w:t>I</w:t>
      </w:r>
      <w:r w:rsidRPr="00DC2D94">
        <w:t xml:space="preserve">, </w:t>
      </w:r>
      <w:r w:rsidR="008F2D59">
        <w:t>II</w:t>
      </w:r>
      <w:r w:rsidR="008F2D59" w:rsidRPr="00DC2D94">
        <w:t xml:space="preserve"> </w:t>
      </w:r>
      <w:r w:rsidRPr="00DC2D94">
        <w:t xml:space="preserve">and </w:t>
      </w:r>
      <w:r w:rsidR="008F2D59">
        <w:t>III</w:t>
      </w:r>
      <w:r w:rsidRPr="00DC2D94">
        <w:t xml:space="preserve">) and LTE studies, but this was done on ad hoc basis when changes to the PI were proposed. Comprehensively responding to each safety sub-section would have been a more rigorous way to present the data for independent evaluation. The sponsor also included results from a </w:t>
      </w:r>
      <w:r w:rsidR="00B34BFC">
        <w:t>Phase II</w:t>
      </w:r>
      <w:r w:rsidRPr="00DC2D94">
        <w:t xml:space="preserve"> study (A3921237) evaluating the effect of TOF 5 mg twice daily on the </w:t>
      </w:r>
      <w:r w:rsidRPr="00DC2D94">
        <w:lastRenderedPageBreak/>
        <w:t>zoster vaccine immune response in patients with RA. This study’s results were presented separately in a clear manner, which was appropriate</w:t>
      </w:r>
      <w:bookmarkStart w:id="52" w:name="_Toc509307193"/>
      <w:r w:rsidR="00B34BFC">
        <w:t>.</w:t>
      </w:r>
    </w:p>
    <w:p w:rsidR="008E7846" w:rsidRDefault="008E7846" w:rsidP="00605AD4">
      <w:pPr>
        <w:pStyle w:val="Heading3"/>
      </w:pPr>
      <w:r w:rsidRPr="00254787">
        <w:t>Pharmacokinetics</w:t>
      </w:r>
      <w:bookmarkEnd w:id="39"/>
      <w:bookmarkEnd w:id="47"/>
      <w:bookmarkEnd w:id="48"/>
      <w:bookmarkEnd w:id="49"/>
      <w:bookmarkEnd w:id="52"/>
    </w:p>
    <w:p w:rsidR="00232A97" w:rsidRDefault="00232A97" w:rsidP="00232A97">
      <w:pPr>
        <w:pStyle w:val="Heading4"/>
      </w:pPr>
      <w:r>
        <w:t>Studies providing pharmacokinetic data</w:t>
      </w:r>
    </w:p>
    <w:p w:rsidR="00DC2D94" w:rsidRDefault="00DC2D94" w:rsidP="00DC2D94">
      <w:r>
        <w:t xml:space="preserve">No new </w:t>
      </w:r>
      <w:r w:rsidR="004A2D34">
        <w:t>PK</w:t>
      </w:r>
      <w:r>
        <w:t xml:space="preserve"> data was provided in this submission.</w:t>
      </w:r>
    </w:p>
    <w:p w:rsidR="00605AD4" w:rsidRDefault="00605AD4" w:rsidP="00605AD4">
      <w:pPr>
        <w:pStyle w:val="Heading4"/>
      </w:pPr>
      <w:r>
        <w:t>Evaluator’s conclusions on pharmacokinetics</w:t>
      </w:r>
    </w:p>
    <w:p w:rsidR="00B77FB2" w:rsidRDefault="00B77FB2" w:rsidP="00B77FB2">
      <w:r>
        <w:t>The PK properties of TOF in adult patients with active RA have been previously assessed.</w:t>
      </w:r>
      <w:r w:rsidR="00B34BFC">
        <w:t xml:space="preserve"> </w:t>
      </w:r>
      <w:r>
        <w:t>No new PK data was provided in this submission and the sponsor is not proposing any changes to the PK section of the current PI.</w:t>
      </w:r>
    </w:p>
    <w:p w:rsidR="008E7846" w:rsidRDefault="008E7846" w:rsidP="008E7846">
      <w:pPr>
        <w:pStyle w:val="Heading3"/>
      </w:pPr>
      <w:bookmarkStart w:id="53" w:name="_Toc196046481"/>
      <w:bookmarkStart w:id="54" w:name="_Toc247691520"/>
      <w:bookmarkStart w:id="55" w:name="_Toc314842503"/>
      <w:bookmarkStart w:id="56" w:name="_Toc509307194"/>
      <w:r w:rsidRPr="00254787">
        <w:t>Pharmacodynamics</w:t>
      </w:r>
      <w:bookmarkEnd w:id="40"/>
      <w:bookmarkEnd w:id="53"/>
      <w:bookmarkEnd w:id="54"/>
      <w:bookmarkEnd w:id="55"/>
      <w:bookmarkEnd w:id="56"/>
    </w:p>
    <w:p w:rsidR="00605AD4" w:rsidRDefault="00605AD4" w:rsidP="00605AD4">
      <w:pPr>
        <w:pStyle w:val="Heading4"/>
      </w:pPr>
      <w:r>
        <w:t>Studies providing pharmacodynamic data</w:t>
      </w:r>
    </w:p>
    <w:p w:rsidR="00B34BFC" w:rsidRDefault="00EA4A91" w:rsidP="00EA4A91">
      <w:r>
        <w:t xml:space="preserve">The </w:t>
      </w:r>
      <w:r w:rsidR="004A2D34">
        <w:t>PD</w:t>
      </w:r>
      <w:r>
        <w:t xml:space="preserve"> properties of TOF in adult patients with active RA have been previously assessed in the original TGA submission.</w:t>
      </w:r>
      <w:r w:rsidR="00B34BFC">
        <w:t xml:space="preserve"> </w:t>
      </w:r>
      <w:r>
        <w:t xml:space="preserve">However, in this submission, the sponsor has included a previously unevaluated, exploratory </w:t>
      </w:r>
      <w:r w:rsidR="00B34BFC">
        <w:t>Phase II</w:t>
      </w:r>
      <w:r>
        <w:t xml:space="preserve"> Study (A3921073) that had the primary objective of examining the PD effects of oral TOF 10 mg twice daily over 4 weeks in adults with active RA. The </w:t>
      </w:r>
      <w:r w:rsidR="004A2D34">
        <w:t>e</w:t>
      </w:r>
      <w:r>
        <w:t>ffect of TOF therapy upon synovial tissue biopsy and serum biomarkers of interest was examined in this trial. However, the sponsor is not proposing any changes to the PD section of the current PI based upon data observed in Study A3921073</w:t>
      </w:r>
      <w:r w:rsidR="00B34BFC">
        <w:t>.</w:t>
      </w:r>
    </w:p>
    <w:p w:rsidR="00EA4A91" w:rsidRDefault="00EA4A91" w:rsidP="00EA4A91">
      <w:pPr>
        <w:rPr>
          <w:lang w:eastAsia="ja-JP"/>
        </w:rPr>
      </w:pPr>
      <w:r>
        <w:rPr>
          <w:lang w:eastAsia="ja-JP"/>
        </w:rPr>
        <w:t xml:space="preserve">In addition, the sponsor has included new data from an ongoing, </w:t>
      </w:r>
      <w:r w:rsidR="008F2D59">
        <w:rPr>
          <w:lang w:eastAsia="ja-JP"/>
        </w:rPr>
        <w:t>open label</w:t>
      </w:r>
      <w:r>
        <w:rPr>
          <w:lang w:eastAsia="ja-JP"/>
        </w:rPr>
        <w:t xml:space="preserve">, </w:t>
      </w:r>
      <w:r w:rsidR="00B34BFC">
        <w:rPr>
          <w:lang w:eastAsia="ja-JP"/>
        </w:rPr>
        <w:t>long term</w:t>
      </w:r>
      <w:r>
        <w:rPr>
          <w:lang w:eastAsia="ja-JP"/>
        </w:rPr>
        <w:t xml:space="preserve"> extension Study (A3921024) in which lymphocyte subset cell counts was collected for a median duration of 5 years in TOF treated subjects. The sponsor has included this new data as part of the proposed amendments to the PI (Pharmacology section) with this submission.</w:t>
      </w:r>
    </w:p>
    <w:p w:rsidR="00605AD4" w:rsidRDefault="00605AD4" w:rsidP="00605AD4">
      <w:pPr>
        <w:pStyle w:val="Heading4"/>
      </w:pPr>
      <w:r>
        <w:t>Evaluator’s conclusions on pharmacodynamics</w:t>
      </w:r>
    </w:p>
    <w:p w:rsidR="00A06113" w:rsidRDefault="00A06113" w:rsidP="00A06113">
      <w:pPr>
        <w:rPr>
          <w:lang w:eastAsia="ja-JP"/>
        </w:rPr>
      </w:pPr>
      <w:r>
        <w:rPr>
          <w:lang w:eastAsia="ja-JP"/>
        </w:rPr>
        <w:t>TOF is a potent inhibitor of JAK1 and JAK3 and a moderate inhibitor of JAK2. The impact of these inhibitions is primarily on the immune (T</w:t>
      </w:r>
      <w:r w:rsidR="004A2D34">
        <w:rPr>
          <w:lang w:eastAsia="ja-JP"/>
        </w:rPr>
        <w:t xml:space="preserve"> </w:t>
      </w:r>
      <w:r>
        <w:rPr>
          <w:lang w:eastAsia="ja-JP"/>
        </w:rPr>
        <w:t xml:space="preserve">cell function) and haematological systems. Studies (clinical and non-clinical) clearly demonstrate potent inhibition of T-cell proliferation and differentiation, and significant effects on NK cells. The newly submitted </w:t>
      </w:r>
      <w:r w:rsidR="00B34BFC">
        <w:rPr>
          <w:lang w:eastAsia="ja-JP"/>
        </w:rPr>
        <w:t>Phase II</w:t>
      </w:r>
      <w:r>
        <w:rPr>
          <w:lang w:eastAsia="ja-JP"/>
        </w:rPr>
        <w:t xml:space="preserve"> Study (A3921073) shows that treatment with TOF 10 mg twice daily in conjunction with continued weekly low dose MTX has a wide range of beneficial effects on the synovial tissue and serum biomarkers of RA. In particular, TOF therapy impacts upon the bone and cartilage turnover markers of active RA (dampening their over-activity), which supports the biologic plausibility that TOF may produce a beneficial effect on reducing the structural progression of active RA.</w:t>
      </w:r>
    </w:p>
    <w:p w:rsidR="008E7846" w:rsidRDefault="00605AD4" w:rsidP="00605AD4">
      <w:pPr>
        <w:pStyle w:val="Heading3"/>
      </w:pPr>
      <w:bookmarkStart w:id="57" w:name="_Toc509307195"/>
      <w:r>
        <w:t>Dosage selection for the pivotal studies</w:t>
      </w:r>
      <w:bookmarkEnd w:id="57"/>
    </w:p>
    <w:p w:rsidR="00B34BFC" w:rsidRDefault="000A2FF3" w:rsidP="000A2FF3">
      <w:pPr>
        <w:rPr>
          <w:lang w:eastAsia="ja-JP"/>
        </w:rPr>
      </w:pPr>
      <w:r>
        <w:rPr>
          <w:lang w:eastAsia="ja-JP"/>
        </w:rPr>
        <w:t xml:space="preserve">The dose response relationship has been assessed in 5 </w:t>
      </w:r>
      <w:r w:rsidR="00B34BFC">
        <w:rPr>
          <w:lang w:eastAsia="ja-JP"/>
        </w:rPr>
        <w:t xml:space="preserve">Phase II </w:t>
      </w:r>
      <w:r>
        <w:rPr>
          <w:lang w:eastAsia="ja-JP"/>
        </w:rPr>
        <w:t xml:space="preserve">studies and these results informed the dosage selection in the pivotal </w:t>
      </w:r>
      <w:r w:rsidR="00B34BFC">
        <w:rPr>
          <w:lang w:eastAsia="ja-JP"/>
        </w:rPr>
        <w:t>Phase III</w:t>
      </w:r>
      <w:r>
        <w:rPr>
          <w:lang w:eastAsia="ja-JP"/>
        </w:rPr>
        <w:t xml:space="preserve"> trials. This data has already been evaluated in the original TGA submission and the sponsor is not proposing any changes to the approved posology (TOF 5 mg twice daily by oral administration). The </w:t>
      </w:r>
      <w:r w:rsidR="00B34BFC">
        <w:rPr>
          <w:lang w:eastAsia="ja-JP"/>
        </w:rPr>
        <w:t>Phase II</w:t>
      </w:r>
      <w:r>
        <w:rPr>
          <w:lang w:eastAsia="ja-JP"/>
        </w:rPr>
        <w:t xml:space="preserve"> studies </w:t>
      </w:r>
      <w:r>
        <w:rPr>
          <w:lang w:eastAsia="ja-JP"/>
        </w:rPr>
        <w:lastRenderedPageBreak/>
        <w:t>were conducted in diverse populations of DMARD inadequate responders with active RA and examined a TOF dose range of 1 to 30 mg twice daily for durations ranging between 6 and 24 weeks in over 1</w:t>
      </w:r>
      <w:r w:rsidR="008F2D59">
        <w:rPr>
          <w:lang w:eastAsia="ja-JP"/>
        </w:rPr>
        <w:t>,</w:t>
      </w:r>
      <w:r>
        <w:rPr>
          <w:lang w:eastAsia="ja-JP"/>
        </w:rPr>
        <w:t xml:space="preserve">500 subjects. The selection of the TOF 5 mg and 10 mg twice daily regimens examined in the </w:t>
      </w:r>
      <w:r w:rsidR="00B34BFC">
        <w:rPr>
          <w:lang w:eastAsia="ja-JP"/>
        </w:rPr>
        <w:t>Phase III</w:t>
      </w:r>
      <w:r>
        <w:rPr>
          <w:lang w:eastAsia="ja-JP"/>
        </w:rPr>
        <w:t xml:space="preserve"> studies was primarily based on the dose-response modelling of safety and efficacy data in Study A3921025. This trial demonstrated a relationship between efficacy (ACR20/50/70 response rates) and dose, as well as adverse effects (namely, changes in haemoglobin levels) and dose. No other safety parameters such as changes in lymphocyte cell counts and risk of infection were considered in the dose selection analysis</w:t>
      </w:r>
      <w:r w:rsidR="00B34BFC">
        <w:rPr>
          <w:lang w:eastAsia="ja-JP"/>
        </w:rPr>
        <w:t>.</w:t>
      </w:r>
    </w:p>
    <w:p w:rsidR="00B34BFC" w:rsidRDefault="000A2FF3" w:rsidP="000A2FF3">
      <w:r>
        <w:t xml:space="preserve">In both pivotal </w:t>
      </w:r>
      <w:r w:rsidR="0067104C">
        <w:t>x-ray</w:t>
      </w:r>
      <w:r>
        <w:t xml:space="preserve"> studies, the mean and median doses of background treatment with conventional DMARD therapy (MTX) over the entire treatment period were not provided. This is a limitation of the dataset as further information is required to determine the adequacy of comparator treatment and its consistency with contemporary clinical practice in Australia. Recent expert opinion concludes that such prior and/or concurrent therapy reflects sub-optimal practice before the commencement of biologic therapy in patients wi</w:t>
      </w:r>
      <w:r w:rsidR="00CF3863">
        <w:t>th active RA</w:t>
      </w:r>
      <w:r>
        <w:t>.</w:t>
      </w:r>
      <w:r w:rsidR="00CF3863">
        <w:rPr>
          <w:rStyle w:val="FootnoteReference"/>
        </w:rPr>
        <w:footnoteReference w:id="4"/>
      </w:r>
      <w:r>
        <w:t xml:space="preserve"> In particular, the maximal concurrent dose of MTX should be used in the comparator arm of all biologic therapy trials (up to 25 m</w:t>
      </w:r>
      <w:r w:rsidR="003F559A">
        <w:t>g/week, by the SC route if dose </w:t>
      </w:r>
      <w:r w:rsidR="00E205F5">
        <w:t>&gt; </w:t>
      </w:r>
      <w:r w:rsidR="008F2D59">
        <w:t>15</w:t>
      </w:r>
      <w:r>
        <w:t xml:space="preserve"> mg/week for MTX) as sub-optimal MTX dose in the comparator arm may bias efficacy results i</w:t>
      </w:r>
      <w:r w:rsidR="00CF3863">
        <w:t xml:space="preserve">n favour of biological agents. </w:t>
      </w:r>
      <w:r>
        <w:t xml:space="preserve">Moreover, low dose </w:t>
      </w:r>
      <w:r w:rsidR="004A2D34">
        <w:t xml:space="preserve">oral corticosteroid (prednisone </w:t>
      </w:r>
      <w:r w:rsidR="00E205F5">
        <w:t>≥ </w:t>
      </w:r>
      <w:r w:rsidR="008F2D59">
        <w:t xml:space="preserve">10 </w:t>
      </w:r>
      <w:r>
        <w:t>mg/day) and NSAID use was recorded in approximately two-thirds of all patients (equally dispersed among the treatment arms) in the 2 pivotal TOF studies, which reflects appropriate concomitant drug use in individuals with active RA, and is consistent with prescribing patterns in Australia</w:t>
      </w:r>
      <w:r w:rsidR="00B34BFC">
        <w:t>.</w:t>
      </w:r>
    </w:p>
    <w:p w:rsidR="000A2FF3" w:rsidRDefault="000A2FF3" w:rsidP="000A2FF3">
      <w:pPr>
        <w:rPr>
          <w:lang w:eastAsia="ja-JP"/>
        </w:rPr>
      </w:pPr>
      <w:r>
        <w:rPr>
          <w:lang w:eastAsia="ja-JP"/>
        </w:rPr>
        <w:t>The comparator treatment in Study A3921069 was low dose, weekly MTX and the trial recruited patients who were predominantly naïve to DMARD therapy (</w:t>
      </w:r>
      <w:r w:rsidR="008F2D59">
        <w:rPr>
          <w:lang w:eastAsia="ja-JP"/>
        </w:rPr>
        <w:t xml:space="preserve">approximately </w:t>
      </w:r>
      <w:r>
        <w:rPr>
          <w:lang w:eastAsia="ja-JP"/>
        </w:rPr>
        <w:t xml:space="preserve">60% in total). The choice of low dose weekly MTX as the active comparator is of limited value in assessing the sponsor claim of TOF inhibiting structural radiographic progression. The approved treatment indication for MTX in patients with RA does not make a claim of radiographic benefit, thus the comparator is not appropriate for the proposed </w:t>
      </w:r>
      <w:r w:rsidR="0067104C">
        <w:rPr>
          <w:lang w:eastAsia="ja-JP"/>
        </w:rPr>
        <w:t>x-ray</w:t>
      </w:r>
      <w:r>
        <w:rPr>
          <w:lang w:eastAsia="ja-JP"/>
        </w:rPr>
        <w:t xml:space="preserve"> claim. The recommended comparator for TOF in making a claim of structural benefit in RA is a drug (anti-TNF or other biologic DMARD) that is already approved for that claim, assessed by a head-to-head, non-inferiority study design.</w:t>
      </w:r>
    </w:p>
    <w:p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509307196"/>
      <w:r w:rsidRPr="00254787">
        <w:t>Efficacy</w:t>
      </w:r>
      <w:bookmarkEnd w:id="58"/>
      <w:bookmarkEnd w:id="59"/>
      <w:bookmarkEnd w:id="60"/>
      <w:bookmarkEnd w:id="61"/>
      <w:bookmarkEnd w:id="62"/>
    </w:p>
    <w:p w:rsidR="00605AD4" w:rsidRDefault="00605AD4" w:rsidP="00605AD4">
      <w:pPr>
        <w:pStyle w:val="Heading4"/>
      </w:pPr>
      <w:bookmarkStart w:id="63" w:name="_Toc184439992"/>
      <w:bookmarkStart w:id="64" w:name="_Toc184440279"/>
      <w:bookmarkStart w:id="65" w:name="_Toc184444657"/>
      <w:bookmarkStart w:id="66" w:name="_Toc196046487"/>
      <w:r>
        <w:t>Studies providing efficacy data</w:t>
      </w:r>
    </w:p>
    <w:p w:rsidR="00B34BFC" w:rsidRDefault="000A2FF3" w:rsidP="000A2FF3">
      <w:r>
        <w:t>Radiographic data from 2 pivotal studies, one in a first line treatment population (Study A3921069) and the other in a second line treatment population (Study A3921044) have been submitted as evidence that TOF is an effective DMARD in inhibiting the progression of structural joint damage in adult patients with active RA. The current approved treatment indication in Australia places TOF as a second line therapy as the wording states that TOF is indicated in adults who have an inadequate response to or are intolerant of MTX. In this submission, the sponsor is not requesting a change to its place in therapy (</w:t>
      </w:r>
      <w:r w:rsidR="00B34BFC">
        <w:t xml:space="preserve">that is </w:t>
      </w:r>
      <w:r>
        <w:t>TOF remains a second line treatment option)</w:t>
      </w:r>
      <w:r w:rsidR="00B34BFC">
        <w:t>.</w:t>
      </w:r>
    </w:p>
    <w:p w:rsidR="00B34BFC" w:rsidRDefault="0067104C" w:rsidP="000A2FF3">
      <w:r>
        <w:t>X-ray</w:t>
      </w:r>
      <w:r w:rsidR="000A2FF3">
        <w:t xml:space="preserve"> </w:t>
      </w:r>
      <w:r w:rsidR="00004BE2">
        <w:t xml:space="preserve">and </w:t>
      </w:r>
      <w:r w:rsidR="000A2FF3">
        <w:t xml:space="preserve">clinical efficacy data </w:t>
      </w:r>
      <w:r w:rsidR="00004BE2">
        <w:t>had</w:t>
      </w:r>
      <w:r w:rsidR="000A2FF3">
        <w:t xml:space="preserve"> already been evaluated in the original TGA </w:t>
      </w:r>
      <w:r w:rsidR="000A2FF3" w:rsidRPr="00505614">
        <w:t>submission</w:t>
      </w:r>
      <w:r w:rsidR="000A2FF3" w:rsidRPr="00505614">
        <w:rPr>
          <w:rFonts w:eastAsia="MS Minngs"/>
          <w:lang w:eastAsia="ja-JP"/>
        </w:rPr>
        <w:t>.</w:t>
      </w:r>
      <w:r w:rsidR="000A2FF3">
        <w:rPr>
          <w:rFonts w:eastAsia="MS Minngs"/>
          <w:b/>
          <w:sz w:val="24"/>
          <w:szCs w:val="24"/>
          <w:lang w:eastAsia="ja-JP"/>
        </w:rPr>
        <w:t xml:space="preserve"> </w:t>
      </w:r>
      <w:r w:rsidR="000A2FF3">
        <w:t>The focus of the efficacy assessment in this clinical evaluation report will be 2</w:t>
      </w:r>
      <w:r w:rsidR="008F2D59">
        <w:t xml:space="preserve"> </w:t>
      </w:r>
      <w:r w:rsidR="000A2FF3">
        <w:t xml:space="preserve">fold: to evaluate the extended radiographic dataset (12 and 24 month </w:t>
      </w:r>
      <w:r>
        <w:t>x-ray</w:t>
      </w:r>
      <w:r w:rsidR="000A2FF3">
        <w:t xml:space="preserve"> data) to assess the newly proposed indication claim of inhibition of progression of structural damage; and the </w:t>
      </w:r>
      <w:r w:rsidR="000A2FF3">
        <w:lastRenderedPageBreak/>
        <w:t>durability of clinical efficacy outcomes with continued TOF therapy as this data has been included in the updated PI</w:t>
      </w:r>
      <w:r w:rsidR="00B34BFC">
        <w:t>.</w:t>
      </w:r>
    </w:p>
    <w:p w:rsidR="008E7846" w:rsidRDefault="00605AD4" w:rsidP="00605AD4">
      <w:pPr>
        <w:pStyle w:val="Heading4"/>
      </w:pPr>
      <w:r>
        <w:t>Evaluator’s conclusions on efficacy</w:t>
      </w:r>
    </w:p>
    <w:p w:rsidR="000A2FF3" w:rsidRDefault="000A2FF3" w:rsidP="000A2FF3">
      <w:pPr>
        <w:autoSpaceDE w:val="0"/>
        <w:autoSpaceDN w:val="0"/>
        <w:adjustRightInd w:val="0"/>
      </w:pPr>
      <w:r>
        <w:t>In support of the extension of treatment indication for TOF to include a claim of radiographic benefit in patients wit</w:t>
      </w:r>
      <w:r w:rsidR="00CF3863">
        <w:t>h RA, this submission contains two</w:t>
      </w:r>
      <w:r>
        <w:t xml:space="preserve"> </w:t>
      </w:r>
      <w:r w:rsidR="00B34BFC">
        <w:t>Phase III</w:t>
      </w:r>
      <w:r>
        <w:t xml:space="preserve"> studies (A3921044 and A3921069), both of which were nominated as pivotal by the sponsor. The 2 studies were of dissimilar design and recruited very different treatment populations. Study A3921044 enrolled 797 subjects with established RA (mean disease duration of </w:t>
      </w:r>
      <w:r w:rsidR="008F2D59">
        <w:t xml:space="preserve">approximately </w:t>
      </w:r>
      <w:r>
        <w:t>9 years) who were inadequate responders to at least 4</w:t>
      </w:r>
      <w:r w:rsidR="008F2D59">
        <w:t xml:space="preserve"> </w:t>
      </w:r>
      <w:r>
        <w:t xml:space="preserve">months of preceding MTX and </w:t>
      </w:r>
      <w:r w:rsidR="008F2D59">
        <w:t xml:space="preserve">approximately </w:t>
      </w:r>
      <w:r>
        <w:t>20% of patients had previously been exposed to biologic DMARD. Study A3921044 had 3 treatment arms (2 with 2 different doses of TOF</w:t>
      </w:r>
      <w:r w:rsidR="008F2D59">
        <w:t>;</w:t>
      </w:r>
      <w:r>
        <w:t xml:space="preserve"> 5 mg and 10 mg twice daily) and a control group, which escaped or mandatorily switched to TOF therapy between 3 and 6 months. All subjects in this trial continued to receive MTX concomitantly throughout the study. In contrast, Study A3921069 was a TOF monotherapy trial of 2 different doses of TOF (5 mg and 10 mg twice daily) versus weekly, low dose MTX in 956 subjects who had early disease (median duration of 0.8 years) and who were largely naïve to MTX. Both of the </w:t>
      </w:r>
      <w:r w:rsidR="00B34BFC">
        <w:t>Phase III</w:t>
      </w:r>
      <w:r>
        <w:t xml:space="preserve"> studies are completed with final study reports up to 24 months of treatment follow-up being included in this submission. The majority of patients (approximately two thirds) in both </w:t>
      </w:r>
      <w:r w:rsidR="00B34BFC">
        <w:t>Phase III</w:t>
      </w:r>
      <w:r>
        <w:t xml:space="preserve"> trials completed 2 years of follow-up. However, in Study A3921044 where the control arm were eligible for switching to TOF as early as 3 months, approximately half o</w:t>
      </w:r>
      <w:r w:rsidRPr="00EC3DFF">
        <w:t xml:space="preserve">f </w:t>
      </w:r>
      <w:r>
        <w:t xml:space="preserve">all PBO treated </w:t>
      </w:r>
      <w:r w:rsidRPr="00EC3DFF">
        <w:t xml:space="preserve">patients </w:t>
      </w:r>
      <w:r>
        <w:t>s</w:t>
      </w:r>
      <w:r w:rsidRPr="00EC3DFF">
        <w:t>w</w:t>
      </w:r>
      <w:r>
        <w:t>itched to TOF as they were</w:t>
      </w:r>
      <w:r w:rsidRPr="00EC3DFF">
        <w:t xml:space="preserve"> considered </w:t>
      </w:r>
      <w:r>
        <w:t>clinical non-</w:t>
      </w:r>
      <w:r w:rsidRPr="00EC3DFF">
        <w:t xml:space="preserve">responders. </w:t>
      </w:r>
      <w:r>
        <w:t>At 6</w:t>
      </w:r>
      <w:r w:rsidRPr="00EC3DFF">
        <w:t xml:space="preserve"> </w:t>
      </w:r>
      <w:r>
        <w:t>months in Study A3921044, all continuing PBO treated subjects were switched to either dose of TOF in the maintenance treatment phase (between 6 and 24 months).</w:t>
      </w:r>
    </w:p>
    <w:p w:rsidR="000A2FF3" w:rsidRDefault="000A2FF3" w:rsidP="000A2FF3">
      <w:pPr>
        <w:autoSpaceDE w:val="0"/>
        <w:autoSpaceDN w:val="0"/>
        <w:adjustRightInd w:val="0"/>
      </w:pPr>
      <w:r w:rsidRPr="007217B0">
        <w:t xml:space="preserve">Both </w:t>
      </w:r>
      <w:r>
        <w:t xml:space="preserve">of the </w:t>
      </w:r>
      <w:r w:rsidR="00B34BFC">
        <w:t>Phase III</w:t>
      </w:r>
      <w:r w:rsidRPr="007217B0">
        <w:t xml:space="preserve"> studies were randomised, </w:t>
      </w:r>
      <w:r w:rsidR="008F2D59">
        <w:t>double blind</w:t>
      </w:r>
      <w:r w:rsidRPr="007217B0">
        <w:t xml:space="preserve">ed </w:t>
      </w:r>
      <w:r>
        <w:t xml:space="preserve">and parallel group </w:t>
      </w:r>
      <w:r w:rsidRPr="007217B0">
        <w:t xml:space="preserve">controlled in </w:t>
      </w:r>
      <w:r>
        <w:t xml:space="preserve">design and enrolled </w:t>
      </w:r>
      <w:r w:rsidRPr="007217B0">
        <w:t>adult patients with a</w:t>
      </w:r>
      <w:r>
        <w:t xml:space="preserve"> confirmed</w:t>
      </w:r>
      <w:r w:rsidRPr="007217B0">
        <w:t xml:space="preserve"> diagnosis of </w:t>
      </w:r>
      <w:r>
        <w:t>R</w:t>
      </w:r>
      <w:r w:rsidRPr="007217B0">
        <w:t>A</w:t>
      </w:r>
      <w:r>
        <w:t>.</w:t>
      </w:r>
      <w:r w:rsidRPr="007217B0">
        <w:t xml:space="preserve"> </w:t>
      </w:r>
      <w:r>
        <w:t>Subjects were required to have moderate-severe disease activity</w:t>
      </w:r>
      <w:r w:rsidRPr="007217B0">
        <w:t xml:space="preserve"> </w:t>
      </w:r>
      <w:r>
        <w:t xml:space="preserve">at baseline with the </w:t>
      </w:r>
      <w:r w:rsidRPr="007217B0">
        <w:t>BASDAI</w:t>
      </w:r>
      <w:r>
        <w:t xml:space="preserve"> score being</w:t>
      </w:r>
      <w:r w:rsidRPr="007217B0">
        <w:t xml:space="preserve"> </w:t>
      </w:r>
      <w:r w:rsidR="00D33257">
        <w:t>≥</w:t>
      </w:r>
      <w:r w:rsidR="008F2D59">
        <w:t xml:space="preserve"> 6</w:t>
      </w:r>
      <w:r w:rsidRPr="007217B0">
        <w:t xml:space="preserve"> </w:t>
      </w:r>
      <w:r>
        <w:t xml:space="preserve">tender </w:t>
      </w:r>
      <w:r w:rsidRPr="007217B0">
        <w:t>and s</w:t>
      </w:r>
      <w:r>
        <w:t>wollen joi</w:t>
      </w:r>
      <w:r w:rsidRPr="007217B0">
        <w:t>n</w:t>
      </w:r>
      <w:r>
        <w:t>ts and have raised serum inflammatory markers (</w:t>
      </w:r>
      <w:r w:rsidR="00D33257">
        <w:t>CRP&gt; </w:t>
      </w:r>
      <w:r w:rsidR="008F2D59">
        <w:t>7</w:t>
      </w:r>
      <w:r w:rsidR="00D33257">
        <w:t> </w:t>
      </w:r>
      <w:r>
        <w:t>mg/L) and/or joint erosions or positive autoantibody tests at baseline</w:t>
      </w:r>
      <w:r w:rsidRPr="007217B0">
        <w:t xml:space="preserve">. </w:t>
      </w:r>
      <w:r>
        <w:t xml:space="preserve">Both of the </w:t>
      </w:r>
      <w:r w:rsidR="00B34BFC">
        <w:t>Phase III</w:t>
      </w:r>
      <w:r>
        <w:t xml:space="preserve"> studies had the mean change from baseline to 6 months in the </w:t>
      </w:r>
      <w:proofErr w:type="spellStart"/>
      <w:r>
        <w:t>mTSS</w:t>
      </w:r>
      <w:proofErr w:type="spellEnd"/>
      <w:r>
        <w:t xml:space="preserve"> as the primary radiographic endpoint. The baseline demographic and disease related characteristics of patients in the </w:t>
      </w:r>
      <w:r w:rsidR="00B34BFC">
        <w:t>Phase III</w:t>
      </w:r>
      <w:r>
        <w:t xml:space="preserve"> trials are diverse but similar to those in the anticipated Australian patient cohort, and therefore generalisation of these results to the Australian context is expected. The majority of patients were female, of Caucasian ethnicity, and within the expected age range of 45</w:t>
      </w:r>
      <w:r w:rsidR="00D33257">
        <w:t xml:space="preserve"> to</w:t>
      </w:r>
      <w:r>
        <w:t xml:space="preserve"> 65 years. However, there are some caveats to the generalisability of the treatment population. For example, both studies excluded patients who were at a significant risk of infection or malignancy, or who had various abnormal laboratory results at baseline (</w:t>
      </w:r>
      <w:r w:rsidR="00B34BFC">
        <w:t>for example</w:t>
      </w:r>
      <w:r>
        <w:t xml:space="preserve"> abnormal haematology or liver function tests).</w:t>
      </w:r>
    </w:p>
    <w:p w:rsidR="00B34BFC" w:rsidRDefault="000A2FF3" w:rsidP="000A2FF3">
      <w:pPr>
        <w:autoSpaceDE w:val="0"/>
        <w:autoSpaceDN w:val="0"/>
        <w:adjustRightInd w:val="0"/>
      </w:pPr>
      <w:r>
        <w:t xml:space="preserve">This submission is seeking an indication of structural benefit in active RA and is generally consistent with the TGA adopted regulatory guideline pertaining to the requested extension of indication: EU guideline CPMP/EWP/556/95 rev 1/final </w:t>
      </w:r>
      <w:r w:rsidR="00B34BFC">
        <w:t>‘</w:t>
      </w:r>
      <w:r>
        <w:t>Points to Consider on Clinical Investigation of Medicinal Products other than NSAIDs for the Treatment of Rheumatoid Arthritis</w:t>
      </w:r>
      <w:r w:rsidR="00B34BFC">
        <w:t>’</w:t>
      </w:r>
      <w:r>
        <w:t xml:space="preserve"> (effective 29 January 2007). However, neither of t</w:t>
      </w:r>
      <w:r w:rsidRPr="00EC3DFF">
        <w:t xml:space="preserve">he </w:t>
      </w:r>
      <w:r w:rsidR="00B34BFC">
        <w:t>Phase III</w:t>
      </w:r>
      <w:r w:rsidRPr="00EC3DFF">
        <w:t xml:space="preserve"> </w:t>
      </w:r>
      <w:r>
        <w:t>trials</w:t>
      </w:r>
      <w:r w:rsidRPr="00EC3DFF">
        <w:t xml:space="preserve"> </w:t>
      </w:r>
      <w:r>
        <w:t>directly ev</w:t>
      </w:r>
      <w:r w:rsidRPr="00EC3DFF">
        <w:t>a</w:t>
      </w:r>
      <w:r>
        <w:t xml:space="preserve">luated TOF against </w:t>
      </w:r>
      <w:r w:rsidRPr="00EC3DFF">
        <w:t>an</w:t>
      </w:r>
      <w:r>
        <w:t xml:space="preserve"> already approved drug for the </w:t>
      </w:r>
      <w:r w:rsidR="0067104C">
        <w:t>x-ray</w:t>
      </w:r>
      <w:r>
        <w:t xml:space="preserve"> </w:t>
      </w:r>
      <w:r w:rsidRPr="00EC3DFF">
        <w:t>i</w:t>
      </w:r>
      <w:r>
        <w:t>ndication such as anti</w:t>
      </w:r>
      <w:r w:rsidRPr="00EC3DFF">
        <w:t xml:space="preserve">-TNF </w:t>
      </w:r>
      <w:r>
        <w:t>therapy. The</w:t>
      </w:r>
      <w:r w:rsidRPr="00EC3DFF">
        <w:t xml:space="preserve"> </w:t>
      </w:r>
      <w:r>
        <w:t xml:space="preserve">choice of </w:t>
      </w:r>
      <w:r w:rsidRPr="00EC3DFF">
        <w:t>comparator</w:t>
      </w:r>
      <w:r>
        <w:t>s (MTX in Study A3921069 and PBO + continued MTX in Study A3921044) for the claim of radiographic is an area of significant contention, which is not specifically add</w:t>
      </w:r>
      <w:r w:rsidRPr="00EC3DFF">
        <w:t>re</w:t>
      </w:r>
      <w:r>
        <w:t>ss</w:t>
      </w:r>
      <w:r w:rsidRPr="00EC3DFF">
        <w:t>ed</w:t>
      </w:r>
      <w:r>
        <w:t xml:space="preserve"> in </w:t>
      </w:r>
      <w:r w:rsidRPr="00EC3DFF">
        <w:t xml:space="preserve">the TGA adopted EU guideline. However, there is no precedent for </w:t>
      </w:r>
      <w:r>
        <w:t>the registration</w:t>
      </w:r>
      <w:r w:rsidRPr="00EC3DFF">
        <w:t xml:space="preserve"> </w:t>
      </w:r>
      <w:r>
        <w:t xml:space="preserve">of </w:t>
      </w:r>
      <w:r w:rsidRPr="00EC3DFF">
        <w:t xml:space="preserve">a </w:t>
      </w:r>
      <w:r>
        <w:t>biologic</w:t>
      </w:r>
      <w:r w:rsidRPr="00EC3DFF">
        <w:t xml:space="preserve"> </w:t>
      </w:r>
      <w:r>
        <w:t xml:space="preserve">drug currently approved for a radiographic claim in RA to have conducted head-to-head studies. For both </w:t>
      </w:r>
      <w:r w:rsidR="00B34BFC">
        <w:t>Phase III</w:t>
      </w:r>
      <w:r>
        <w:t xml:space="preserve"> </w:t>
      </w:r>
      <w:r>
        <w:lastRenderedPageBreak/>
        <w:t xml:space="preserve">studies, the choice of </w:t>
      </w:r>
      <w:r w:rsidR="0067104C">
        <w:t>x-ray</w:t>
      </w:r>
      <w:r>
        <w:t xml:space="preserve"> efficacy endpoints (primary and secondary), and strategies to maintain blinding and randomisation procedures were suitable</w:t>
      </w:r>
      <w:r w:rsidR="00B34BFC">
        <w:t>.</w:t>
      </w:r>
    </w:p>
    <w:p w:rsidR="00B34BFC" w:rsidRDefault="000A2FF3" w:rsidP="000A2FF3">
      <w:pPr>
        <w:autoSpaceDE w:val="0"/>
        <w:autoSpaceDN w:val="0"/>
        <w:adjustRightInd w:val="0"/>
      </w:pPr>
      <w:r w:rsidRPr="007217B0">
        <w:t xml:space="preserve">The primary efficacy endpoint </w:t>
      </w:r>
      <w:r>
        <w:t xml:space="preserve">in both </w:t>
      </w:r>
      <w:r w:rsidR="00B34BFC">
        <w:t>Phase III</w:t>
      </w:r>
      <w:r>
        <w:t xml:space="preserve"> studies </w:t>
      </w:r>
      <w:r w:rsidRPr="007217B0">
        <w:t xml:space="preserve">was </w:t>
      </w:r>
      <w:r>
        <w:t xml:space="preserve">the LS mean change from baseline to 6 months in the </w:t>
      </w:r>
      <w:proofErr w:type="spellStart"/>
      <w:r>
        <w:t>mT</w:t>
      </w:r>
      <w:r w:rsidRPr="007217B0">
        <w:t>SS</w:t>
      </w:r>
      <w:proofErr w:type="spellEnd"/>
      <w:r w:rsidRPr="007217B0">
        <w:t xml:space="preserve">. The </w:t>
      </w:r>
      <w:r>
        <w:t xml:space="preserve">pre-specified </w:t>
      </w:r>
      <w:r w:rsidRPr="007217B0">
        <w:t xml:space="preserve">secondary </w:t>
      </w:r>
      <w:r w:rsidR="0067104C">
        <w:t>x-ray</w:t>
      </w:r>
      <w:r>
        <w:t xml:space="preserve"> </w:t>
      </w:r>
      <w:r w:rsidRPr="007217B0">
        <w:t>efficacy endpoints</w:t>
      </w:r>
      <w:r>
        <w:t xml:space="preserve"> included the component scores of the </w:t>
      </w:r>
      <w:proofErr w:type="spellStart"/>
      <w:r>
        <w:t>mTSS</w:t>
      </w:r>
      <w:proofErr w:type="spellEnd"/>
      <w:r>
        <w:t xml:space="preserve"> and the proportion of subjects with no </w:t>
      </w:r>
      <w:r w:rsidR="0067104C">
        <w:t>x-ray</w:t>
      </w:r>
      <w:r>
        <w:t xml:space="preserve"> progression (def</w:t>
      </w:r>
      <w:r w:rsidR="004A2D34">
        <w:t xml:space="preserve">ined as change form baseline of </w:t>
      </w:r>
      <w:r w:rsidR="008F2D59">
        <w:t xml:space="preserve">≤ </w:t>
      </w:r>
      <w:r>
        <w:t xml:space="preserve">0.5 sharp units). </w:t>
      </w:r>
      <w:r w:rsidR="0067104C">
        <w:t>X-ray</w:t>
      </w:r>
      <w:r>
        <w:t xml:space="preserve"> endpoints were evaluated at months 6, 12 and 24. The supporting exploratory </w:t>
      </w:r>
      <w:r w:rsidR="00B34BFC">
        <w:t>Phase II</w:t>
      </w:r>
      <w:r>
        <w:t xml:space="preserve"> </w:t>
      </w:r>
      <w:r w:rsidRPr="007217B0">
        <w:t xml:space="preserve">Study </w:t>
      </w:r>
      <w:r>
        <w:t>A</w:t>
      </w:r>
      <w:r w:rsidRPr="007217B0">
        <w:t>3</w:t>
      </w:r>
      <w:r>
        <w:t>921</w:t>
      </w:r>
      <w:r w:rsidRPr="007217B0">
        <w:t>0</w:t>
      </w:r>
      <w:r>
        <w:t>68</w:t>
      </w:r>
      <w:r w:rsidRPr="007217B0">
        <w:t xml:space="preserve"> also </w:t>
      </w:r>
      <w:r>
        <w:t>evaluat</w:t>
      </w:r>
      <w:r w:rsidRPr="007217B0">
        <w:t>ed MRI</w:t>
      </w:r>
      <w:r>
        <w:t xml:space="preserve"> data</w:t>
      </w:r>
      <w:r w:rsidRPr="007217B0">
        <w:t xml:space="preserve"> of the </w:t>
      </w:r>
      <w:r>
        <w:t>peripheral</w:t>
      </w:r>
      <w:r w:rsidRPr="007217B0">
        <w:t xml:space="preserve"> joints </w:t>
      </w:r>
      <w:r>
        <w:t>i</w:t>
      </w:r>
      <w:r w:rsidRPr="007217B0">
        <w:t>n a</w:t>
      </w:r>
      <w:r>
        <w:t>ssociation with plain radiography changes over 6 months in a</w:t>
      </w:r>
      <w:r w:rsidRPr="007217B0">
        <w:t xml:space="preserve"> </w:t>
      </w:r>
      <w:r>
        <w:t xml:space="preserve">group </w:t>
      </w:r>
      <w:r w:rsidRPr="007217B0">
        <w:t xml:space="preserve">of </w:t>
      </w:r>
      <w:r>
        <w:t xml:space="preserve">treatment </w:t>
      </w:r>
      <w:r w:rsidRPr="007217B0">
        <w:t>naïve patients</w:t>
      </w:r>
      <w:r>
        <w:t xml:space="preserve"> with early disease (</w:t>
      </w:r>
      <w:r w:rsidR="008F2D59">
        <w:t xml:space="preserve">n = </w:t>
      </w:r>
      <w:r>
        <w:t>109 subjects)</w:t>
      </w:r>
      <w:r w:rsidRPr="007217B0">
        <w:t xml:space="preserve">. </w:t>
      </w:r>
      <w:r>
        <w:t xml:space="preserve">Both the </w:t>
      </w:r>
      <w:r w:rsidR="00B34BFC">
        <w:t>Phase III</w:t>
      </w:r>
      <w:r>
        <w:t xml:space="preserve"> studies also provided e</w:t>
      </w:r>
      <w:r w:rsidRPr="007217B0">
        <w:t xml:space="preserve">fficacy data up to </w:t>
      </w:r>
      <w:r>
        <w:t xml:space="preserve">24 months in support of the maintenance </w:t>
      </w:r>
      <w:r w:rsidRPr="007217B0">
        <w:t>o</w:t>
      </w:r>
      <w:r>
        <w:t xml:space="preserve">f </w:t>
      </w:r>
      <w:r w:rsidRPr="007217B0">
        <w:t>tr</w:t>
      </w:r>
      <w:r>
        <w:t xml:space="preserve">eatment </w:t>
      </w:r>
      <w:r w:rsidRPr="007217B0">
        <w:t>eff</w:t>
      </w:r>
      <w:r>
        <w:t>e</w:t>
      </w:r>
      <w:r w:rsidRPr="007217B0">
        <w:t>c</w:t>
      </w:r>
      <w:r>
        <w:t>t</w:t>
      </w:r>
      <w:r w:rsidR="00B34BFC">
        <w:t>.</w:t>
      </w:r>
    </w:p>
    <w:p w:rsidR="000A2FF3" w:rsidRDefault="000A2FF3" w:rsidP="000A2FF3">
      <w:r>
        <w:t xml:space="preserve">Study A3921069 demonstrated that both doses of TOF monotherapy (5 mg and 10 mg twice daily) produced statistically significant structural preservations benefits compared to MTX, across the range of primary </w:t>
      </w:r>
      <w:r w:rsidR="0067104C">
        <w:t>x-ray</w:t>
      </w:r>
      <w:r>
        <w:t xml:space="preserve"> efficacy measures (LS mean change from baseline in </w:t>
      </w:r>
      <w:proofErr w:type="spellStart"/>
      <w:r>
        <w:t>mTSS</w:t>
      </w:r>
      <w:proofErr w:type="spellEnd"/>
      <w:r>
        <w:t xml:space="preserve">) and secondary </w:t>
      </w:r>
      <w:r w:rsidR="0067104C">
        <w:t>x-ray</w:t>
      </w:r>
      <w:r>
        <w:t xml:space="preserve"> measures of response (LS mean changes from baseline in ES and JSN scores as well as the proportion of subjects with no </w:t>
      </w:r>
      <w:r w:rsidR="0067104C">
        <w:t>x-ray</w:t>
      </w:r>
      <w:r>
        <w:t xml:space="preserve"> progression) at 6, 12 and 24 months.</w:t>
      </w:r>
    </w:p>
    <w:p w:rsidR="000A2FF3" w:rsidRDefault="000A2FF3" w:rsidP="000A2FF3">
      <w:pPr>
        <w:autoSpaceDE w:val="0"/>
        <w:autoSpaceDN w:val="0"/>
        <w:adjustRightInd w:val="0"/>
      </w:pPr>
      <w:r>
        <w:t>In contrast, Study A3921044 (</w:t>
      </w:r>
      <w:r w:rsidR="00B34BFC">
        <w:t xml:space="preserve">that is </w:t>
      </w:r>
      <w:r>
        <w:t xml:space="preserve">in a predominantly second line treatment population) did not show a significant </w:t>
      </w:r>
      <w:r w:rsidR="0067104C">
        <w:t>x-ray</w:t>
      </w:r>
      <w:r>
        <w:t xml:space="preserve"> treatment benefit with TOF</w:t>
      </w:r>
      <w:r w:rsidRPr="007217B0">
        <w:t xml:space="preserve"> 5 mg </w:t>
      </w:r>
      <w:r>
        <w:t xml:space="preserve">twice daily versus control therapy in the primary statistical analysis which used LEP for handling of data. However, </w:t>
      </w:r>
      <w:r>
        <w:rPr>
          <w:lang w:eastAsia="ja-JP"/>
        </w:rPr>
        <w:t>when the 6 and 12</w:t>
      </w:r>
      <w:r w:rsidR="008F2D59">
        <w:rPr>
          <w:lang w:eastAsia="ja-JP"/>
        </w:rPr>
        <w:t xml:space="preserve"> </w:t>
      </w:r>
      <w:r>
        <w:rPr>
          <w:lang w:eastAsia="ja-JP"/>
        </w:rPr>
        <w:t xml:space="preserve">month </w:t>
      </w:r>
      <w:r w:rsidR="0067104C">
        <w:rPr>
          <w:lang w:eastAsia="ja-JP"/>
        </w:rPr>
        <w:t>x-ray</w:t>
      </w:r>
      <w:r>
        <w:rPr>
          <w:lang w:eastAsia="ja-JP"/>
        </w:rPr>
        <w:t xml:space="preserve"> dataset for </w:t>
      </w:r>
      <w:r w:rsidRPr="00A4625A">
        <w:rPr>
          <w:lang w:eastAsia="ja-JP"/>
        </w:rPr>
        <w:t>Study A3921044</w:t>
      </w:r>
      <w:r>
        <w:rPr>
          <w:lang w:eastAsia="ja-JP"/>
        </w:rPr>
        <w:t xml:space="preserve"> (Campaign 1) had</w:t>
      </w:r>
      <w:r w:rsidRPr="00A4625A">
        <w:rPr>
          <w:lang w:eastAsia="ja-JP"/>
        </w:rPr>
        <w:t xml:space="preserve"> analyses </w:t>
      </w:r>
      <w:r>
        <w:rPr>
          <w:lang w:eastAsia="ja-JP"/>
        </w:rPr>
        <w:t xml:space="preserve">applied to the data </w:t>
      </w:r>
      <w:r w:rsidRPr="00A4625A">
        <w:rPr>
          <w:lang w:eastAsia="ja-JP"/>
        </w:rPr>
        <w:t>that reduced the effect of extrapolation and utilised more</w:t>
      </w:r>
      <w:r>
        <w:rPr>
          <w:lang w:eastAsia="ja-JP"/>
        </w:rPr>
        <w:t xml:space="preserve"> </w:t>
      </w:r>
      <w:r w:rsidRPr="00A4625A">
        <w:rPr>
          <w:lang w:eastAsia="ja-JP"/>
        </w:rPr>
        <w:t>observed (non-extrapolated) data than in the primary analysis</w:t>
      </w:r>
      <w:r>
        <w:rPr>
          <w:lang w:eastAsia="ja-JP"/>
        </w:rPr>
        <w:t>,</w:t>
      </w:r>
      <w:r w:rsidRPr="00A4625A">
        <w:rPr>
          <w:lang w:eastAsia="ja-JP"/>
        </w:rPr>
        <w:t xml:space="preserve"> </w:t>
      </w:r>
      <w:r>
        <w:rPr>
          <w:lang w:eastAsia="ja-JP"/>
        </w:rPr>
        <w:t>s</w:t>
      </w:r>
      <w:r w:rsidRPr="00A4625A">
        <w:rPr>
          <w:lang w:eastAsia="ja-JP"/>
        </w:rPr>
        <w:t>tatistically significant</w:t>
      </w:r>
      <w:r>
        <w:rPr>
          <w:lang w:eastAsia="ja-JP"/>
        </w:rPr>
        <w:t xml:space="preserve"> </w:t>
      </w:r>
      <w:r w:rsidRPr="00A4625A">
        <w:rPr>
          <w:lang w:eastAsia="ja-JP"/>
        </w:rPr>
        <w:t xml:space="preserve">reductions </w:t>
      </w:r>
      <w:r>
        <w:rPr>
          <w:lang w:eastAsia="ja-JP"/>
        </w:rPr>
        <w:t>in</w:t>
      </w:r>
      <w:r w:rsidRPr="00A4625A">
        <w:rPr>
          <w:lang w:eastAsia="ja-JP"/>
        </w:rPr>
        <w:t xml:space="preserve"> structural damage progression for both </w:t>
      </w:r>
      <w:r>
        <w:rPr>
          <w:lang w:eastAsia="ja-JP"/>
        </w:rPr>
        <w:t>TOF doses</w:t>
      </w:r>
      <w:r w:rsidRPr="00A4625A">
        <w:rPr>
          <w:lang w:eastAsia="ja-JP"/>
        </w:rPr>
        <w:t xml:space="preserve"> </w:t>
      </w:r>
      <w:r>
        <w:rPr>
          <w:lang w:eastAsia="ja-JP"/>
        </w:rPr>
        <w:t xml:space="preserve">were observed </w:t>
      </w:r>
      <w:r w:rsidRPr="00A4625A">
        <w:rPr>
          <w:lang w:eastAsia="ja-JP"/>
        </w:rPr>
        <w:t>compared</w:t>
      </w:r>
      <w:r>
        <w:rPr>
          <w:lang w:eastAsia="ja-JP"/>
        </w:rPr>
        <w:t xml:space="preserve"> to</w:t>
      </w:r>
      <w:r w:rsidRPr="00A4625A">
        <w:rPr>
          <w:lang w:eastAsia="ja-JP"/>
        </w:rPr>
        <w:t xml:space="preserve"> </w:t>
      </w:r>
      <w:r>
        <w:rPr>
          <w:lang w:eastAsia="ja-JP"/>
        </w:rPr>
        <w:t>PBO</w:t>
      </w:r>
      <w:r w:rsidRPr="00A4625A">
        <w:rPr>
          <w:lang w:eastAsia="ja-JP"/>
        </w:rPr>
        <w:t>.</w:t>
      </w:r>
      <w:r>
        <w:rPr>
          <w:lang w:eastAsia="ja-JP"/>
        </w:rPr>
        <w:t xml:space="preserve"> However, many of these sensitivity and secondary analyses were post hoc in nature and their utility is guarded with respect to supporting a sci</w:t>
      </w:r>
      <w:r w:rsidR="00CF3863">
        <w:rPr>
          <w:lang w:eastAsia="ja-JP"/>
        </w:rPr>
        <w:t>entifically robust conclusion. The evaluator</w:t>
      </w:r>
      <w:r>
        <w:rPr>
          <w:lang w:eastAsia="ja-JP"/>
        </w:rPr>
        <w:t xml:space="preserve"> agree</w:t>
      </w:r>
      <w:r w:rsidR="00CF3863">
        <w:rPr>
          <w:lang w:eastAsia="ja-JP"/>
        </w:rPr>
        <w:t>s</w:t>
      </w:r>
      <w:r>
        <w:rPr>
          <w:lang w:eastAsia="ja-JP"/>
        </w:rPr>
        <w:t xml:space="preserve"> with the sponsor that that l</w:t>
      </w:r>
      <w:r w:rsidRPr="00FD005A">
        <w:rPr>
          <w:lang w:eastAsia="ja-JP"/>
        </w:rPr>
        <w:t>ow rates of structural damage progression, the short treatment period before treatment</w:t>
      </w:r>
      <w:r>
        <w:rPr>
          <w:lang w:eastAsia="ja-JP"/>
        </w:rPr>
        <w:t xml:space="preserve"> </w:t>
      </w:r>
      <w:r w:rsidRPr="00FD005A">
        <w:rPr>
          <w:lang w:eastAsia="ja-JP"/>
        </w:rPr>
        <w:t xml:space="preserve">advancement was required (3 or 6 months), and the large proportion of </w:t>
      </w:r>
      <w:r>
        <w:rPr>
          <w:lang w:eastAsia="ja-JP"/>
        </w:rPr>
        <w:t>PBO</w:t>
      </w:r>
      <w:r w:rsidR="008F2D59">
        <w:rPr>
          <w:lang w:eastAsia="ja-JP"/>
        </w:rPr>
        <w:t xml:space="preserve"> </w:t>
      </w:r>
      <w:r w:rsidRPr="00FD005A">
        <w:rPr>
          <w:lang w:eastAsia="ja-JP"/>
        </w:rPr>
        <w:t>treated</w:t>
      </w:r>
      <w:r>
        <w:rPr>
          <w:lang w:eastAsia="ja-JP"/>
        </w:rPr>
        <w:t xml:space="preserve"> </w:t>
      </w:r>
      <w:r w:rsidRPr="00FD005A">
        <w:rPr>
          <w:lang w:eastAsia="ja-JP"/>
        </w:rPr>
        <w:t xml:space="preserve">subjects advancing at the Month 3 time point may have resulted in the </w:t>
      </w:r>
      <w:r>
        <w:rPr>
          <w:lang w:eastAsia="ja-JP"/>
        </w:rPr>
        <w:t xml:space="preserve">initial </w:t>
      </w:r>
      <w:r w:rsidRPr="00FD005A">
        <w:rPr>
          <w:lang w:eastAsia="ja-JP"/>
        </w:rPr>
        <w:t>analyses being more</w:t>
      </w:r>
      <w:r>
        <w:rPr>
          <w:lang w:eastAsia="ja-JP"/>
        </w:rPr>
        <w:t xml:space="preserve"> </w:t>
      </w:r>
      <w:r w:rsidRPr="00FD005A">
        <w:rPr>
          <w:lang w:eastAsia="ja-JP"/>
        </w:rPr>
        <w:t>sensitive to data anomalies such as large change from baseline values at the extremes of the</w:t>
      </w:r>
      <w:r>
        <w:rPr>
          <w:lang w:eastAsia="ja-JP"/>
        </w:rPr>
        <w:t xml:space="preserve"> </w:t>
      </w:r>
      <w:r w:rsidRPr="00FD005A">
        <w:rPr>
          <w:lang w:eastAsia="ja-JP"/>
        </w:rPr>
        <w:t>distribution of change scores or to the effects of extrapolation.</w:t>
      </w:r>
      <w:r>
        <w:t xml:space="preserve"> However, this is unfortunate consequence of the study design and conduct. The sponsor also suggests that the mean changes from baseline in </w:t>
      </w:r>
      <w:proofErr w:type="spellStart"/>
      <w:r>
        <w:t>mTSS</w:t>
      </w:r>
      <w:proofErr w:type="spellEnd"/>
      <w:r>
        <w:t xml:space="preserve"> at 6 and 12 months for TOF 5 mg twice daily therapy (Study A3921044) are of a similar magnitude to those observed with tocilizumab and at least 2 anti-TNF therapies, all of which have an approved </w:t>
      </w:r>
      <w:r w:rsidR="0067104C">
        <w:t>x-ray</w:t>
      </w:r>
      <w:r>
        <w:t xml:space="preserve"> claim in RA. However, indirect data comparisons such as these are fraught with int</w:t>
      </w:r>
      <w:r w:rsidR="004A2D34">
        <w:t>erpretation</w:t>
      </w:r>
      <w:r>
        <w:t>.</w:t>
      </w:r>
    </w:p>
    <w:p w:rsidR="00B34BFC" w:rsidRDefault="000A2FF3" w:rsidP="000A2FF3">
      <w:pPr>
        <w:autoSpaceDE w:val="0"/>
        <w:autoSpaceDN w:val="0"/>
        <w:adjustRightInd w:val="0"/>
      </w:pPr>
      <w:r>
        <w:t xml:space="preserve">The clinical efficacy data available up to 24 months in both </w:t>
      </w:r>
      <w:r w:rsidR="00B34BFC">
        <w:t>Phase III</w:t>
      </w:r>
      <w:r>
        <w:t xml:space="preserve"> studies indicated that the majority of responding patients appear to maintain their treatment related benefit with continued TOF. In addition, for PBO patients who switched to TOF at 3</w:t>
      </w:r>
      <w:r w:rsidR="008F2D59">
        <w:t xml:space="preserve"> to </w:t>
      </w:r>
      <w:r>
        <w:t xml:space="preserve">6 months in Study A3921044, the rates of ACR response observed at 12 and 24 months were similar to those achieved in the originally treated TOF cohort. Like the </w:t>
      </w:r>
      <w:r w:rsidR="00B34BFC">
        <w:t>Phase III</w:t>
      </w:r>
      <w:r>
        <w:t xml:space="preserve"> studies, the </w:t>
      </w:r>
      <w:r w:rsidR="008F2D59">
        <w:t>open label</w:t>
      </w:r>
      <w:r>
        <w:t>, LTE Studies A3921024 and A3921041 showed that clinical e</w:t>
      </w:r>
      <w:r w:rsidRPr="007217B0">
        <w:t xml:space="preserve">fficacy </w:t>
      </w:r>
      <w:r>
        <w:t>wa</w:t>
      </w:r>
      <w:r w:rsidRPr="007217B0">
        <w:t>s</w:t>
      </w:r>
      <w:r>
        <w:t xml:space="preserve"> </w:t>
      </w:r>
      <w:r w:rsidRPr="007217B0">
        <w:t>m</w:t>
      </w:r>
      <w:r>
        <w:t>ainta</w:t>
      </w:r>
      <w:r w:rsidRPr="007217B0">
        <w:t>i</w:t>
      </w:r>
      <w:r>
        <w:t>n</w:t>
      </w:r>
      <w:r w:rsidRPr="007217B0">
        <w:t>e</w:t>
      </w:r>
      <w:r>
        <w:t xml:space="preserve">d in the majority </w:t>
      </w:r>
      <w:r w:rsidRPr="007217B0">
        <w:t>of</w:t>
      </w:r>
      <w:r>
        <w:t xml:space="preserve"> subjects up to 7 years with continued TOF 5 mg twice daily therapy</w:t>
      </w:r>
      <w:r w:rsidR="00B34BFC">
        <w:t>.</w:t>
      </w:r>
    </w:p>
    <w:p w:rsidR="000A2FF3" w:rsidRDefault="000A2FF3" w:rsidP="000A2FF3">
      <w:r>
        <w:t xml:space="preserve">Overall, the data in this submission provides an unclear picture on the radiographic efficacy of TOF 5 mg twice daily therapy for inhibiting the </w:t>
      </w:r>
      <w:r w:rsidR="0067104C">
        <w:t>x-ray</w:t>
      </w:r>
      <w:r>
        <w:t xml:space="preserve"> structural progression of RA, in those with moderate-severely active disease at baseline, with or without concurrent MTX. In the DMARD naïve group of patients with early disease (Study A3921069), the magnitude of beneficial </w:t>
      </w:r>
      <w:r w:rsidR="0067104C">
        <w:t>x-ray</w:t>
      </w:r>
      <w:r>
        <w:t xml:space="preserve"> response with TOF versus MTX is small, but statistically significant. Treatment related </w:t>
      </w:r>
      <w:r w:rsidR="0067104C">
        <w:t>x-ray</w:t>
      </w:r>
      <w:r>
        <w:t xml:space="preserve"> differences between TOF and PBO in the second line treatment population (as per Study A3921044 and consistent with TOF current registration status in Australia) is of unclear magnitude and only reached statistical </w:t>
      </w:r>
      <w:r>
        <w:lastRenderedPageBreak/>
        <w:t>benefit when sensitivity and subset analyses were applied to the dataset, which had its limitations for various reasons.</w:t>
      </w:r>
    </w:p>
    <w:p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509307197"/>
      <w:bookmarkEnd w:id="63"/>
      <w:bookmarkEnd w:id="64"/>
      <w:bookmarkEnd w:id="65"/>
      <w:bookmarkEnd w:id="66"/>
      <w:r w:rsidRPr="002E238E">
        <w:t>Safety</w:t>
      </w:r>
      <w:bookmarkEnd w:id="67"/>
      <w:bookmarkEnd w:id="68"/>
      <w:bookmarkEnd w:id="69"/>
      <w:bookmarkEnd w:id="70"/>
      <w:bookmarkEnd w:id="71"/>
    </w:p>
    <w:p w:rsidR="00605AD4" w:rsidRDefault="00605AD4" w:rsidP="00605AD4">
      <w:pPr>
        <w:pStyle w:val="Heading4"/>
      </w:pPr>
      <w:bookmarkStart w:id="72" w:name="_Toc247691524"/>
      <w:bookmarkStart w:id="73" w:name="_Toc314842508"/>
      <w:bookmarkStart w:id="74" w:name="_Toc196046504"/>
      <w:bookmarkStart w:id="75" w:name="_Toc163441390"/>
      <w:r w:rsidRPr="00605AD4">
        <w:t>Studies providing safety data</w:t>
      </w:r>
    </w:p>
    <w:p w:rsidR="007F7628" w:rsidRPr="00C3572A" w:rsidRDefault="007F7628" w:rsidP="007F7628">
      <w:pPr>
        <w:pStyle w:val="Heading5"/>
      </w:pPr>
      <w:bookmarkStart w:id="76" w:name="_Toc421005275"/>
      <w:bookmarkStart w:id="77" w:name="_Toc432079157"/>
      <w:bookmarkStart w:id="78" w:name="_Toc432080730"/>
      <w:r>
        <w:t>P</w:t>
      </w:r>
      <w:r w:rsidRPr="00C3572A">
        <w:t>ivotal studies that assessed safety as the sole primary outcome</w:t>
      </w:r>
      <w:bookmarkEnd w:id="76"/>
      <w:bookmarkEnd w:id="77"/>
      <w:bookmarkEnd w:id="78"/>
    </w:p>
    <w:p w:rsidR="00B34BFC" w:rsidRDefault="007F7628" w:rsidP="007F7628">
      <w:pPr>
        <w:rPr>
          <w:lang w:eastAsia="ja-JP"/>
        </w:rPr>
      </w:pPr>
      <w:bookmarkStart w:id="79" w:name="_Ref268776745"/>
      <w:bookmarkStart w:id="80" w:name="_Toc421005276"/>
      <w:bookmarkStart w:id="81" w:name="_Toc432079158"/>
      <w:bookmarkStart w:id="82" w:name="_Toc432080731"/>
      <w:r>
        <w:rPr>
          <w:lang w:eastAsia="ja-JP"/>
        </w:rPr>
        <w:t xml:space="preserve">Study A3921237 is a newly submitted </w:t>
      </w:r>
      <w:r w:rsidR="00B34BFC">
        <w:rPr>
          <w:lang w:eastAsia="ja-JP"/>
        </w:rPr>
        <w:t>Phase II</w:t>
      </w:r>
      <w:r>
        <w:rPr>
          <w:lang w:eastAsia="ja-JP"/>
        </w:rPr>
        <w:t xml:space="preserve"> trial of 14 weeks duration (12 weeks of study treatment), which primarily assessed immune responses (humoral and cell mediated) following administration of zoster vaccine to subjects aged at least 50 years (</w:t>
      </w:r>
      <w:r w:rsidR="008F2D59">
        <w:rPr>
          <w:lang w:eastAsia="ja-JP"/>
        </w:rPr>
        <w:t>n</w:t>
      </w:r>
      <w:r w:rsidR="00D33257">
        <w:rPr>
          <w:lang w:eastAsia="ja-JP"/>
        </w:rPr>
        <w:t> </w:t>
      </w:r>
      <w:r w:rsidR="008F2D59">
        <w:rPr>
          <w:lang w:eastAsia="ja-JP"/>
        </w:rPr>
        <w:t xml:space="preserve">= </w:t>
      </w:r>
      <w:r>
        <w:rPr>
          <w:lang w:eastAsia="ja-JP"/>
        </w:rPr>
        <w:t>112 subjects) with active RA receiving TOF or PBO with background MTX treatment. Immunogenicity and clinical safety data from this study will be presented separately in this report. The trial did not specifically collect efficacy data</w:t>
      </w:r>
      <w:r w:rsidR="00B34BFC">
        <w:rPr>
          <w:lang w:eastAsia="ja-JP"/>
        </w:rPr>
        <w:t>.</w:t>
      </w:r>
    </w:p>
    <w:p w:rsidR="007F7628" w:rsidRPr="00545B14" w:rsidRDefault="007F7628" w:rsidP="007F7628">
      <w:pPr>
        <w:pStyle w:val="Heading5"/>
      </w:pPr>
      <w:r w:rsidRPr="00545B14">
        <w:t xml:space="preserve">Pivotal </w:t>
      </w:r>
      <w:r>
        <w:t xml:space="preserve">and/or main </w:t>
      </w:r>
      <w:r w:rsidRPr="00545B14">
        <w:t>efficacy studies</w:t>
      </w:r>
      <w:bookmarkEnd w:id="79"/>
      <w:bookmarkEnd w:id="80"/>
      <w:bookmarkEnd w:id="81"/>
      <w:bookmarkEnd w:id="82"/>
    </w:p>
    <w:p w:rsidR="00B34BFC" w:rsidRDefault="007F7628" w:rsidP="007F7628">
      <w:pPr>
        <w:rPr>
          <w:lang w:eastAsia="ja-JP"/>
        </w:rPr>
      </w:pPr>
      <w:bookmarkStart w:id="83" w:name="_Toc421005277"/>
      <w:bookmarkStart w:id="84" w:name="_Toc432079159"/>
      <w:bookmarkStart w:id="85" w:name="_Toc432080732"/>
      <w:r>
        <w:rPr>
          <w:lang w:eastAsia="ja-JP"/>
        </w:rPr>
        <w:t>In the registration application for TO</w:t>
      </w:r>
      <w:r w:rsidR="00DF555C">
        <w:rPr>
          <w:lang w:eastAsia="ja-JP"/>
        </w:rPr>
        <w:t>F</w:t>
      </w:r>
      <w:r>
        <w:rPr>
          <w:lang w:eastAsia="ja-JP"/>
        </w:rPr>
        <w:t>, the interim 1</w:t>
      </w:r>
      <w:r w:rsidR="008F2D59">
        <w:rPr>
          <w:lang w:eastAsia="ja-JP"/>
        </w:rPr>
        <w:t xml:space="preserve"> </w:t>
      </w:r>
      <w:r>
        <w:rPr>
          <w:lang w:eastAsia="ja-JP"/>
        </w:rPr>
        <w:t xml:space="preserve">year results of Study A3921069 were evaluated, but the final </w:t>
      </w:r>
      <w:r w:rsidR="008F2D59">
        <w:rPr>
          <w:lang w:eastAsia="ja-JP"/>
        </w:rPr>
        <w:t>2 year</w:t>
      </w:r>
      <w:r>
        <w:rPr>
          <w:lang w:eastAsia="ja-JP"/>
        </w:rPr>
        <w:t xml:space="preserve"> clinical study report was deemed to have been submitted too late in the process and therefore was not evaluated in detail. The full 24</w:t>
      </w:r>
      <w:r w:rsidR="008F2D59">
        <w:rPr>
          <w:lang w:eastAsia="ja-JP"/>
        </w:rPr>
        <w:t> </w:t>
      </w:r>
      <w:r>
        <w:rPr>
          <w:lang w:eastAsia="ja-JP"/>
        </w:rPr>
        <w:t>month safety dataset from Study A3921069 will be considered in this report</w:t>
      </w:r>
      <w:r w:rsidR="00B34BFC">
        <w:rPr>
          <w:lang w:eastAsia="ja-JP"/>
        </w:rPr>
        <w:t>.</w:t>
      </w:r>
    </w:p>
    <w:p w:rsidR="007F7628" w:rsidRDefault="007F7628" w:rsidP="007F7628">
      <w:r>
        <w:t>The following safety data was collected in Study A3921069 (as well as the other pivotal efficacy studies of the program):</w:t>
      </w:r>
    </w:p>
    <w:p w:rsidR="00B34BFC" w:rsidRDefault="007F7628" w:rsidP="007F7628">
      <w:pPr>
        <w:pStyle w:val="ListBullet"/>
      </w:pPr>
      <w:r>
        <w:t>Adverse Events (AEs) in general were assessed by completion of the AE Case Report Form (CRF) and physical examination performed every 4 weeks until month 3, and then every 3 months thereafter up until month 24 (or upon early withdrawal)</w:t>
      </w:r>
      <w:r w:rsidR="00B34BFC">
        <w:t>.</w:t>
      </w:r>
    </w:p>
    <w:p w:rsidR="007F7628" w:rsidRDefault="007F7628" w:rsidP="007F7628">
      <w:pPr>
        <w:pStyle w:val="ListBullet"/>
      </w:pPr>
      <w:r>
        <w:t>AEs of particular interest, including infections (overall and serious), gastrointestinal perforation, malignancy, interstitial lung disease, Major Adverse Cardiovascular Events (MACE) and drug induced liver disease were assessed by CRF and physical examination as per the schedule for general AE evaluation.</w:t>
      </w:r>
    </w:p>
    <w:p w:rsidR="007F7628" w:rsidRDefault="007F7628" w:rsidP="007F7628">
      <w:pPr>
        <w:pStyle w:val="ListBullet"/>
      </w:pPr>
      <w:r>
        <w:t xml:space="preserve">Laboratory tests, including haematology, clinical chemistry, </w:t>
      </w:r>
      <w:r w:rsidR="00D33257">
        <w:t>and urinalysis</w:t>
      </w:r>
      <w:r>
        <w:t xml:space="preserve"> and urine pregnancy testing (in female subjects) were performed at baseline, every 4 weeks until </w:t>
      </w:r>
      <w:r w:rsidR="008F2D59">
        <w:t>M</w:t>
      </w:r>
      <w:r>
        <w:t xml:space="preserve">onth 3 and then every 3 months thereafter. A fasting lipid profile was collected at baseline, every 3 months until </w:t>
      </w:r>
      <w:r w:rsidR="008F2D59">
        <w:t>M</w:t>
      </w:r>
      <w:r>
        <w:t xml:space="preserve">onth 12 and then at </w:t>
      </w:r>
      <w:r w:rsidR="008F2D59">
        <w:t>M</w:t>
      </w:r>
      <w:r>
        <w:t>onths 18 and 24. Episodes of neutropenia, lymphopenia and abnormalities of liver function tests (particularly, elevated serum transaminases) were an AE of special interest as this was an identified risk with TOF.</w:t>
      </w:r>
    </w:p>
    <w:p w:rsidR="007F7628" w:rsidRDefault="007F7628" w:rsidP="007F7628">
      <w:pPr>
        <w:pStyle w:val="ListBullet"/>
      </w:pPr>
      <w:r>
        <w:t xml:space="preserve">Screening tests for tuberculosis (Chest </w:t>
      </w:r>
      <w:r w:rsidR="0067104C">
        <w:t>x-ray</w:t>
      </w:r>
      <w:r>
        <w:t xml:space="preserve"> and </w:t>
      </w:r>
      <w:proofErr w:type="spellStart"/>
      <w:r>
        <w:t>QuantiFERON</w:t>
      </w:r>
      <w:proofErr w:type="spellEnd"/>
      <w:r>
        <w:t xml:space="preserve"> Gold testing; or PPD skin testing in countries without </w:t>
      </w:r>
      <w:proofErr w:type="spellStart"/>
      <w:r>
        <w:t>QuantiF</w:t>
      </w:r>
      <w:r w:rsidR="00EA068B">
        <w:t>ERON</w:t>
      </w:r>
      <w:proofErr w:type="spellEnd"/>
      <w:r>
        <w:t xml:space="preserve"> Gold testing) were taken at baseline, but not routinely collected thereafter.</w:t>
      </w:r>
    </w:p>
    <w:p w:rsidR="007F7628" w:rsidRDefault="007F7628" w:rsidP="007F7628">
      <w:pPr>
        <w:pStyle w:val="ListBullet"/>
      </w:pPr>
      <w:r>
        <w:t>Vital signs such as blood pressure, heart rate and subject weight were performed at each scheduled study visit.</w:t>
      </w:r>
    </w:p>
    <w:p w:rsidR="007F7628" w:rsidRDefault="007F7628" w:rsidP="007F7628">
      <w:pPr>
        <w:pStyle w:val="ListBullet"/>
      </w:pPr>
      <w:r>
        <w:t>ECG was taken at baseline and at the month 12 and 24 visits.</w:t>
      </w:r>
    </w:p>
    <w:p w:rsidR="00B34BFC" w:rsidRDefault="007F7628" w:rsidP="007F7628">
      <w:pPr>
        <w:pStyle w:val="Bullet1"/>
        <w:numPr>
          <w:ilvl w:val="0"/>
          <w:numId w:val="0"/>
        </w:numPr>
      </w:pPr>
      <w:r>
        <w:t xml:space="preserve">AEs were summarised by the </w:t>
      </w:r>
      <w:proofErr w:type="spellStart"/>
      <w:r>
        <w:t>MedDRA</w:t>
      </w:r>
      <w:proofErr w:type="spellEnd"/>
      <w:r>
        <w:t xml:space="preserve"> classification using the System Organ Class (SOC) and Preferred Term (PT) nomenclature</w:t>
      </w:r>
      <w:r w:rsidR="00B34BFC">
        <w:t>.</w:t>
      </w:r>
    </w:p>
    <w:p w:rsidR="007F7628" w:rsidRDefault="007F7628" w:rsidP="007F7628">
      <w:pPr>
        <w:rPr>
          <w:lang w:eastAsia="ja-JP"/>
        </w:rPr>
      </w:pPr>
      <w:r>
        <w:rPr>
          <w:lang w:eastAsia="ja-JP"/>
        </w:rPr>
        <w:t xml:space="preserve">The final </w:t>
      </w:r>
      <w:r w:rsidR="008F2D59">
        <w:rPr>
          <w:lang w:eastAsia="ja-JP"/>
        </w:rPr>
        <w:t>2 year</w:t>
      </w:r>
      <w:r>
        <w:rPr>
          <w:lang w:eastAsia="ja-JP"/>
        </w:rPr>
        <w:t xml:space="preserve"> report for Study A3921044 has been previously evaluated in detail and that information is included in the current PI. As such, the safety data from that trial will not be considered separately in this report. Nonetheless, safety information from Study A3921044 contributes to the integrated safety population.</w:t>
      </w:r>
    </w:p>
    <w:p w:rsidR="007F7628" w:rsidRDefault="007F7628" w:rsidP="007F7628">
      <w:pPr>
        <w:pStyle w:val="Heading5"/>
      </w:pPr>
      <w:r>
        <w:lastRenderedPageBreak/>
        <w:t>Other</w:t>
      </w:r>
      <w:r w:rsidRPr="00545B14">
        <w:t xml:space="preserve"> studies</w:t>
      </w:r>
      <w:bookmarkEnd w:id="83"/>
      <w:bookmarkEnd w:id="84"/>
      <w:bookmarkEnd w:id="85"/>
    </w:p>
    <w:p w:rsidR="007F7628" w:rsidRPr="00073FEC" w:rsidRDefault="007F7628" w:rsidP="007F7628">
      <w:pPr>
        <w:pStyle w:val="Heading6"/>
      </w:pPr>
      <w:r w:rsidRPr="00073FEC">
        <w:t>Other efficacy studies</w:t>
      </w:r>
    </w:p>
    <w:p w:rsidR="007F7628" w:rsidRDefault="007F7628" w:rsidP="007F7628">
      <w:pPr>
        <w:rPr>
          <w:lang w:eastAsia="ja-JP"/>
        </w:rPr>
      </w:pPr>
      <w:r>
        <w:rPr>
          <w:lang w:eastAsia="ja-JP"/>
        </w:rPr>
        <w:t xml:space="preserve">In addition to Studies </w:t>
      </w:r>
      <w:r w:rsidR="00CF3863">
        <w:rPr>
          <w:lang w:eastAsia="ja-JP"/>
        </w:rPr>
        <w:t>A3921044 and A3921069, another four</w:t>
      </w:r>
      <w:r>
        <w:rPr>
          <w:lang w:eastAsia="ja-JP"/>
        </w:rPr>
        <w:t xml:space="preserve"> </w:t>
      </w:r>
      <w:r w:rsidR="00B34BFC">
        <w:rPr>
          <w:lang w:eastAsia="ja-JP"/>
        </w:rPr>
        <w:t>Phase III</w:t>
      </w:r>
      <w:r>
        <w:rPr>
          <w:lang w:eastAsia="ja-JP"/>
        </w:rPr>
        <w:t xml:space="preserve"> studies (A3921032, A3921045, A3921046 and A3921064) and </w:t>
      </w:r>
      <w:r w:rsidR="00CF3863">
        <w:rPr>
          <w:lang w:eastAsia="ja-JP"/>
        </w:rPr>
        <w:t>two</w:t>
      </w:r>
      <w:r>
        <w:rPr>
          <w:lang w:eastAsia="ja-JP"/>
        </w:rPr>
        <w:t xml:space="preserve"> </w:t>
      </w:r>
      <w:r w:rsidR="008F2D59">
        <w:rPr>
          <w:lang w:eastAsia="ja-JP"/>
        </w:rPr>
        <w:t>open label</w:t>
      </w:r>
      <w:r>
        <w:rPr>
          <w:lang w:eastAsia="ja-JP"/>
        </w:rPr>
        <w:t xml:space="preserve">, LTE studies (A3921024 [ongoing] and A3921041 [completed] have contributed safety data to the integrated safety dataset included in this submission. Two of the </w:t>
      </w:r>
      <w:r w:rsidR="00B34BFC">
        <w:rPr>
          <w:lang w:eastAsia="ja-JP"/>
        </w:rPr>
        <w:t>Phase III</w:t>
      </w:r>
      <w:r>
        <w:rPr>
          <w:lang w:eastAsia="ja-JP"/>
        </w:rPr>
        <w:t xml:space="preserve"> trials (A3921045 and A3921069) were TOF monotherapy studies, w</w:t>
      </w:r>
      <w:r w:rsidR="00CF3863">
        <w:rPr>
          <w:lang w:eastAsia="ja-JP"/>
        </w:rPr>
        <w:t>hereas all of the other four</w:t>
      </w:r>
      <w:r>
        <w:rPr>
          <w:lang w:eastAsia="ja-JP"/>
        </w:rPr>
        <w:t xml:space="preserve"> </w:t>
      </w:r>
      <w:r w:rsidR="00B34BFC">
        <w:rPr>
          <w:lang w:eastAsia="ja-JP"/>
        </w:rPr>
        <w:t>Phase III</w:t>
      </w:r>
      <w:r>
        <w:rPr>
          <w:lang w:eastAsia="ja-JP"/>
        </w:rPr>
        <w:t xml:space="preserve"> studies involved the addition of TOF to background DMARD, mainly MTX. All but one of the trials included 2 dose regimens of TOF</w:t>
      </w:r>
      <w:r w:rsidR="008F2D59">
        <w:rPr>
          <w:lang w:eastAsia="ja-JP"/>
        </w:rPr>
        <w:t>;</w:t>
      </w:r>
      <w:r>
        <w:rPr>
          <w:lang w:eastAsia="ja-JP"/>
        </w:rPr>
        <w:t xml:space="preserve"> 5 mg twice daily and 10 mg twice daily. The TGA approved dose is 5 mg twice daily, but for completeness of the safety data review, the TOF 10 mg twice-daily regimen is considered in this review. Study A3921024 is a global located trial, whereas Study A3921041 was only conducted in Japan. Study A3921041 initiated all subjects on TOF 5 mg twice daily and subjects from China in Study A3921024 also did the same. As a result, there is a geographically skewed distribution of TOF </w:t>
      </w:r>
      <w:r w:rsidR="00B34BFC">
        <w:rPr>
          <w:lang w:eastAsia="ja-JP"/>
        </w:rPr>
        <w:t>5 mg</w:t>
      </w:r>
      <w:r>
        <w:rPr>
          <w:lang w:eastAsia="ja-JP"/>
        </w:rPr>
        <w:t xml:space="preserve"> therapy in Asian subjects overall, which appears to be an at risk population for certain AEs including interstitial lung disease and specific opportunistic infections like </w:t>
      </w:r>
      <w:r w:rsidRPr="00DF555C">
        <w:rPr>
          <w:i/>
          <w:lang w:eastAsia="ja-JP"/>
        </w:rPr>
        <w:t xml:space="preserve">Pneumocystis </w:t>
      </w:r>
      <w:proofErr w:type="spellStart"/>
      <w:r w:rsidRPr="00DF555C">
        <w:rPr>
          <w:i/>
          <w:lang w:eastAsia="ja-JP"/>
        </w:rPr>
        <w:t>jirovecii</w:t>
      </w:r>
      <w:proofErr w:type="spellEnd"/>
      <w:r>
        <w:rPr>
          <w:lang w:eastAsia="ja-JP"/>
        </w:rPr>
        <w:t xml:space="preserve"> pneumonia (PJP).</w:t>
      </w:r>
    </w:p>
    <w:p w:rsidR="007F7628" w:rsidRPr="00073FEC" w:rsidRDefault="007F7628" w:rsidP="007F7628">
      <w:pPr>
        <w:pStyle w:val="Heading6"/>
      </w:pPr>
      <w:r w:rsidRPr="00073FEC">
        <w:t>Studies with evaluable safety data</w:t>
      </w:r>
      <w:r w:rsidR="00D33257">
        <w:t>: dose finding and pharmacology</w:t>
      </w:r>
    </w:p>
    <w:p w:rsidR="00B34BFC" w:rsidRDefault="007F7628" w:rsidP="007F7628">
      <w:pPr>
        <w:rPr>
          <w:lang w:eastAsia="ja-JP"/>
        </w:rPr>
      </w:pPr>
      <w:r>
        <w:rPr>
          <w:lang w:eastAsia="ja-JP"/>
        </w:rPr>
        <w:t xml:space="preserve">The integrated safety population in this submission also included safety information from </w:t>
      </w:r>
      <w:r w:rsidR="00CF3863">
        <w:rPr>
          <w:lang w:eastAsia="ja-JP"/>
        </w:rPr>
        <w:t>two</w:t>
      </w:r>
      <w:r>
        <w:rPr>
          <w:lang w:eastAsia="ja-JP"/>
        </w:rPr>
        <w:t xml:space="preserve"> Phase 1 studi</w:t>
      </w:r>
      <w:r w:rsidR="00CF3863">
        <w:rPr>
          <w:lang w:eastAsia="ja-JP"/>
        </w:rPr>
        <w:t>es (A3921030 and A3921152) and nine</w:t>
      </w:r>
      <w:r>
        <w:rPr>
          <w:lang w:eastAsia="ja-JP"/>
        </w:rPr>
        <w:t xml:space="preserve"> </w:t>
      </w:r>
      <w:r w:rsidR="00B34BFC">
        <w:rPr>
          <w:lang w:eastAsia="ja-JP"/>
        </w:rPr>
        <w:t>Phase II</w:t>
      </w:r>
      <w:r>
        <w:rPr>
          <w:lang w:eastAsia="ja-JP"/>
        </w:rPr>
        <w:t xml:space="preserve"> studies (A3921019, A3921025, A3921035, A3921039, A3921040, A3921068, A3921073, A3921109 and A3921129)</w:t>
      </w:r>
      <w:r w:rsidR="00B34BFC">
        <w:rPr>
          <w:lang w:eastAsia="ja-JP"/>
        </w:rPr>
        <w:t>.</w:t>
      </w:r>
    </w:p>
    <w:p w:rsidR="007F7628" w:rsidRDefault="007F7628" w:rsidP="007F7628">
      <w:pPr>
        <w:pStyle w:val="Heading6"/>
      </w:pPr>
      <w:r w:rsidRPr="00073FEC">
        <w:t>Studies evaluable for safety only</w:t>
      </w:r>
    </w:p>
    <w:p w:rsidR="007F7628" w:rsidRDefault="007F7628" w:rsidP="007F7628">
      <w:pPr>
        <w:rPr>
          <w:lang w:eastAsia="ja-JP"/>
        </w:rPr>
      </w:pPr>
      <w:r>
        <w:rPr>
          <w:lang w:eastAsia="ja-JP"/>
        </w:rPr>
        <w:t>Nil in addition to Study A3921237.</w:t>
      </w:r>
    </w:p>
    <w:p w:rsidR="007F7628" w:rsidRPr="007F7628" w:rsidRDefault="007F7628" w:rsidP="007F7628">
      <w:pPr>
        <w:pStyle w:val="Heading7"/>
        <w:rPr>
          <w:b/>
          <w:lang w:eastAsia="ja-JP"/>
        </w:rPr>
      </w:pPr>
      <w:r w:rsidRPr="007F7628">
        <w:rPr>
          <w:b/>
          <w:lang w:eastAsia="ja-JP"/>
        </w:rPr>
        <w:t>Overview of Safety Data Presentations</w:t>
      </w:r>
    </w:p>
    <w:p w:rsidR="007F7628" w:rsidRDefault="007F7628" w:rsidP="007F7628">
      <w:pPr>
        <w:rPr>
          <w:lang w:eastAsia="ja-JP"/>
        </w:rPr>
      </w:pPr>
      <w:r>
        <w:rPr>
          <w:lang w:eastAsia="ja-JP"/>
        </w:rPr>
        <w:t xml:space="preserve">In this submission, the sponsor presented safety information in 3 main populations. Firstly, the complete </w:t>
      </w:r>
      <w:r w:rsidR="008F2D59">
        <w:rPr>
          <w:lang w:eastAsia="ja-JP"/>
        </w:rPr>
        <w:t>2 year</w:t>
      </w:r>
      <w:r>
        <w:rPr>
          <w:lang w:eastAsia="ja-JP"/>
        </w:rPr>
        <w:t xml:space="preserve"> dataset for Study A3921069 was presented in isolation. Secondly, the sponsor pooled safety data from the controlled periods (0</w:t>
      </w:r>
      <w:r w:rsidR="008F2D59">
        <w:rPr>
          <w:lang w:eastAsia="ja-JP"/>
        </w:rPr>
        <w:t xml:space="preserve"> to </w:t>
      </w:r>
      <w:r>
        <w:rPr>
          <w:lang w:eastAsia="ja-JP"/>
        </w:rPr>
        <w:t>3 months, or 0</w:t>
      </w:r>
      <w:r w:rsidR="008F2D59">
        <w:rPr>
          <w:lang w:eastAsia="ja-JP"/>
        </w:rPr>
        <w:t xml:space="preserve"> to </w:t>
      </w:r>
      <w:r>
        <w:rPr>
          <w:lang w:eastAsia="ja-JP"/>
        </w:rPr>
        <w:t xml:space="preserve">6 months) in all 6 of the </w:t>
      </w:r>
      <w:r w:rsidR="00B34BFC">
        <w:rPr>
          <w:lang w:eastAsia="ja-JP"/>
        </w:rPr>
        <w:t>Phase III</w:t>
      </w:r>
      <w:r>
        <w:rPr>
          <w:lang w:eastAsia="ja-JP"/>
        </w:rPr>
        <w:t xml:space="preserve"> studies to examine certain safety endpoints </w:t>
      </w:r>
      <w:r w:rsidR="00B34BFC">
        <w:rPr>
          <w:lang w:eastAsia="ja-JP"/>
        </w:rPr>
        <w:t>for example</w:t>
      </w:r>
      <w:r>
        <w:rPr>
          <w:lang w:eastAsia="ja-JP"/>
        </w:rPr>
        <w:t xml:space="preserve"> risk of infection and various abnormal laboratory results like hyperlipidaemia. Finally, the total integrated safety dataset, which the sponsor calls the </w:t>
      </w:r>
      <w:r w:rsidR="00B34BFC">
        <w:rPr>
          <w:lang w:eastAsia="ja-JP"/>
        </w:rPr>
        <w:t>‘</w:t>
      </w:r>
      <w:r>
        <w:rPr>
          <w:lang w:eastAsia="ja-JP"/>
        </w:rPr>
        <w:t>P123LTE</w:t>
      </w:r>
      <w:r w:rsidR="00B34BFC">
        <w:rPr>
          <w:lang w:eastAsia="ja-JP"/>
        </w:rPr>
        <w:t>’</w:t>
      </w:r>
      <w:r>
        <w:rPr>
          <w:lang w:eastAsia="ja-JP"/>
        </w:rPr>
        <w:t xml:space="preserve"> population, was provided for certain safety outcomes if changes to the current PI are proposed.</w:t>
      </w:r>
    </w:p>
    <w:p w:rsidR="00605AD4" w:rsidRDefault="00605AD4" w:rsidP="00605AD4">
      <w:pPr>
        <w:pStyle w:val="Heading4"/>
      </w:pPr>
      <w:r w:rsidRPr="00605AD4">
        <w:t>Patient exposure</w:t>
      </w:r>
    </w:p>
    <w:p w:rsidR="00855B7E" w:rsidRDefault="0073440E" w:rsidP="00855B7E">
      <w:pPr>
        <w:rPr>
          <w:lang w:eastAsia="ja-JP"/>
        </w:rPr>
      </w:pPr>
      <w:r>
        <w:rPr>
          <w:lang w:eastAsia="ja-JP"/>
        </w:rPr>
        <w:t>Table 3</w:t>
      </w:r>
      <w:r w:rsidR="00855B7E">
        <w:rPr>
          <w:lang w:eastAsia="ja-JP"/>
        </w:rPr>
        <w:t xml:space="preserve"> presents the total number of subjects with RA who have received at least 1 dose of TOF in clinical trial program, and the same table displays the drug exposure (mean and total) to TOF across the different nominated safety populations such as all 6 </w:t>
      </w:r>
      <w:r w:rsidR="00B34BFC">
        <w:rPr>
          <w:lang w:eastAsia="ja-JP"/>
        </w:rPr>
        <w:t>Phase III</w:t>
      </w:r>
      <w:r w:rsidR="00855B7E">
        <w:rPr>
          <w:lang w:eastAsia="ja-JP"/>
        </w:rPr>
        <w:t xml:space="preserve"> studies combined, Study A3921069 in isolation, the 2 LTE trials combined and finally, the total integrated safety dataset, which the sponsor calls the </w:t>
      </w:r>
      <w:r w:rsidR="00B34BFC">
        <w:rPr>
          <w:lang w:eastAsia="ja-JP"/>
        </w:rPr>
        <w:t>‘</w:t>
      </w:r>
      <w:r w:rsidR="00855B7E">
        <w:rPr>
          <w:lang w:eastAsia="ja-JP"/>
        </w:rPr>
        <w:t>P123LTE</w:t>
      </w:r>
      <w:r w:rsidR="00B34BFC">
        <w:rPr>
          <w:lang w:eastAsia="ja-JP"/>
        </w:rPr>
        <w:t>’</w:t>
      </w:r>
      <w:r w:rsidR="00855B7E">
        <w:rPr>
          <w:lang w:eastAsia="ja-JP"/>
        </w:rPr>
        <w:t xml:space="preserve"> population.</w:t>
      </w:r>
    </w:p>
    <w:p w:rsidR="00855B7E" w:rsidRDefault="0073440E" w:rsidP="0073440E">
      <w:pPr>
        <w:pStyle w:val="TableTitle"/>
        <w:rPr>
          <w:lang w:eastAsia="ja-JP"/>
        </w:rPr>
      </w:pPr>
      <w:r>
        <w:rPr>
          <w:lang w:eastAsia="ja-JP"/>
        </w:rPr>
        <w:lastRenderedPageBreak/>
        <w:t xml:space="preserve">Table 3: </w:t>
      </w:r>
      <w:r w:rsidR="00855B7E">
        <w:rPr>
          <w:lang w:eastAsia="ja-JP"/>
        </w:rPr>
        <w:t xml:space="preserve">TOF Exposure </w:t>
      </w:r>
      <w:r>
        <w:rPr>
          <w:lang w:eastAsia="ja-JP"/>
        </w:rPr>
        <w:t>in Main Safety Populations</w:t>
      </w:r>
    </w:p>
    <w:p w:rsidR="00855B7E" w:rsidRDefault="00B61F83" w:rsidP="00855B7E">
      <w:pPr>
        <w:rPr>
          <w:lang w:eastAsia="ja-JP"/>
        </w:rPr>
      </w:pPr>
      <w:r>
        <w:rPr>
          <w:noProof/>
          <w:lang w:eastAsia="en-AU"/>
        </w:rPr>
        <w:drawing>
          <wp:inline distT="0" distB="0" distL="0" distR="0" wp14:anchorId="4E9839B6" wp14:editId="40EADC99">
            <wp:extent cx="5400040" cy="1894629"/>
            <wp:effectExtent l="0" t="0" r="0" b="0"/>
            <wp:docPr id="2" name="Picture 2" descr="Table 3: TOF Exposure in Main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894629"/>
                    </a:xfrm>
                    <a:prstGeom prst="rect">
                      <a:avLst/>
                    </a:prstGeom>
                  </pic:spPr>
                </pic:pic>
              </a:graphicData>
            </a:graphic>
          </wp:inline>
        </w:drawing>
      </w:r>
    </w:p>
    <w:p w:rsidR="00B34BFC" w:rsidRDefault="00855B7E" w:rsidP="00855B7E">
      <w:pPr>
        <w:rPr>
          <w:lang w:eastAsia="ja-JP"/>
        </w:rPr>
      </w:pPr>
      <w:r>
        <w:rPr>
          <w:lang w:eastAsia="ja-JP"/>
        </w:rPr>
        <w:t>As a comprehensive analysis of the 24 month safety dataset for Study A3921069 is a focus of this submission, the number of subjects exposed to study drug (either dose of TOF or MTX) over time in this particula</w:t>
      </w:r>
      <w:r w:rsidR="0073440E">
        <w:rPr>
          <w:lang w:eastAsia="ja-JP"/>
        </w:rPr>
        <w:t>r trial is presented in Table 4</w:t>
      </w:r>
      <w:r>
        <w:rPr>
          <w:lang w:eastAsia="ja-JP"/>
        </w:rPr>
        <w:t>. In this pivotal trial, most patients (</w:t>
      </w:r>
      <w:r w:rsidR="008F2D59">
        <w:rPr>
          <w:lang w:eastAsia="ja-JP"/>
        </w:rPr>
        <w:t xml:space="preserve">&gt; </w:t>
      </w:r>
      <w:r>
        <w:rPr>
          <w:lang w:eastAsia="ja-JP"/>
        </w:rPr>
        <w:t>60% in the MTX group and almost three quarters in each of the TOF arms) took their alloca</w:t>
      </w:r>
      <w:r w:rsidR="0073440E">
        <w:rPr>
          <w:lang w:eastAsia="ja-JP"/>
        </w:rPr>
        <w:t>ted study treatment for at least</w:t>
      </w:r>
      <w:r>
        <w:rPr>
          <w:lang w:eastAsia="ja-JP"/>
        </w:rPr>
        <w:t xml:space="preserve"> 18 months in Study A3921069</w:t>
      </w:r>
      <w:r w:rsidR="00B34BFC">
        <w:rPr>
          <w:lang w:eastAsia="ja-JP"/>
        </w:rPr>
        <w:t>.</w:t>
      </w:r>
    </w:p>
    <w:p w:rsidR="00855B7E" w:rsidRDefault="0073440E" w:rsidP="0073440E">
      <w:pPr>
        <w:pStyle w:val="TableTitle"/>
        <w:rPr>
          <w:lang w:eastAsia="ja-JP"/>
        </w:rPr>
      </w:pPr>
      <w:r>
        <w:rPr>
          <w:lang w:eastAsia="ja-JP"/>
        </w:rPr>
        <w:t xml:space="preserve">Table 4: </w:t>
      </w:r>
      <w:r w:rsidR="00855B7E">
        <w:rPr>
          <w:lang w:eastAsia="ja-JP"/>
        </w:rPr>
        <w:t>Number of Subjects and Drug Expos</w:t>
      </w:r>
      <w:r w:rsidR="00D33257">
        <w:rPr>
          <w:lang w:eastAsia="ja-JP"/>
        </w:rPr>
        <w:t>ure by Treatment Group in Study </w:t>
      </w:r>
      <w:r w:rsidR="00855B7E">
        <w:rPr>
          <w:lang w:eastAsia="ja-JP"/>
        </w:rPr>
        <w:t>A3920169</w:t>
      </w:r>
    </w:p>
    <w:p w:rsidR="00DF555C" w:rsidRDefault="00DF555C" w:rsidP="00387362">
      <w:pPr>
        <w:rPr>
          <w:lang w:eastAsia="ja-JP"/>
        </w:rPr>
      </w:pPr>
      <w:r>
        <w:rPr>
          <w:noProof/>
          <w:lang w:eastAsia="en-AU"/>
        </w:rPr>
        <w:drawing>
          <wp:inline distT="0" distB="0" distL="0" distR="0" wp14:anchorId="71A8112A" wp14:editId="57A75B89">
            <wp:extent cx="5400040" cy="1354048"/>
            <wp:effectExtent l="0" t="0" r="0" b="0"/>
            <wp:docPr id="1" name="Picture 1" descr="Table 4: Number of Subjects and Drug Exposure by Treatment Group in Study A39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354048"/>
                    </a:xfrm>
                    <a:prstGeom prst="rect">
                      <a:avLst/>
                    </a:prstGeom>
                  </pic:spPr>
                </pic:pic>
              </a:graphicData>
            </a:graphic>
          </wp:inline>
        </w:drawing>
      </w:r>
    </w:p>
    <w:p w:rsidR="00605AD4" w:rsidRPr="00DF555C" w:rsidRDefault="00605AD4" w:rsidP="00DF555C">
      <w:pPr>
        <w:rPr>
          <w:rStyle w:val="Heading4Char"/>
        </w:rPr>
      </w:pPr>
      <w:r w:rsidRPr="00DF555C">
        <w:rPr>
          <w:rStyle w:val="Heading4Char"/>
        </w:rPr>
        <w:t>Safety issues with the potential for major regulatory impact</w:t>
      </w:r>
    </w:p>
    <w:p w:rsidR="0073440E" w:rsidRPr="00545B14" w:rsidRDefault="0073440E" w:rsidP="00083D05">
      <w:pPr>
        <w:pStyle w:val="Heading5"/>
      </w:pPr>
      <w:bookmarkStart w:id="86" w:name="_Toc272414669"/>
      <w:bookmarkStart w:id="87" w:name="_Toc290888533"/>
      <w:bookmarkStart w:id="88" w:name="_Toc416353749"/>
      <w:bookmarkStart w:id="89" w:name="_Toc421005292"/>
      <w:bookmarkStart w:id="90" w:name="_Toc432079169"/>
      <w:bookmarkStart w:id="91" w:name="_Toc432080742"/>
      <w:r w:rsidRPr="00545B14">
        <w:t>Liver function</w:t>
      </w:r>
      <w:bookmarkEnd w:id="86"/>
      <w:bookmarkEnd w:id="87"/>
      <w:bookmarkEnd w:id="88"/>
      <w:bookmarkEnd w:id="89"/>
      <w:r>
        <w:t xml:space="preserve"> and liver toxicity</w:t>
      </w:r>
      <w:bookmarkEnd w:id="90"/>
      <w:bookmarkEnd w:id="91"/>
    </w:p>
    <w:p w:rsidR="0073440E" w:rsidRPr="002B7B05" w:rsidRDefault="0073440E" w:rsidP="00083D05">
      <w:pPr>
        <w:pStyle w:val="Heading6"/>
      </w:pPr>
      <w:r>
        <w:t>I</w:t>
      </w:r>
      <w:r w:rsidRPr="002B7B05">
        <w:t>ntegrated safety analyses</w:t>
      </w:r>
    </w:p>
    <w:p w:rsidR="0073440E" w:rsidRDefault="0073440E" w:rsidP="0073440E">
      <w:pPr>
        <w:rPr>
          <w:lang w:eastAsia="ja-JP"/>
        </w:rPr>
      </w:pPr>
      <w:r>
        <w:rPr>
          <w:lang w:eastAsia="ja-JP"/>
        </w:rPr>
        <w:t>No new information provided in this submission.</w:t>
      </w:r>
    </w:p>
    <w:p w:rsidR="0073440E" w:rsidRPr="00C2074B" w:rsidRDefault="0073440E" w:rsidP="00083D05">
      <w:pPr>
        <w:pStyle w:val="Heading6"/>
      </w:pPr>
      <w:r w:rsidRPr="00C2074B">
        <w:t>Pivotal and/or main efficacy studies</w:t>
      </w:r>
    </w:p>
    <w:p w:rsidR="00B34BFC" w:rsidRDefault="0073440E" w:rsidP="0073440E">
      <w:pPr>
        <w:rPr>
          <w:lang w:eastAsia="ja-JP"/>
        </w:rPr>
      </w:pPr>
      <w:r w:rsidRPr="00F41EA4">
        <w:rPr>
          <w:lang w:eastAsia="ja-JP"/>
        </w:rPr>
        <w:t xml:space="preserve">In Study </w:t>
      </w:r>
      <w:r>
        <w:rPr>
          <w:lang w:eastAsia="ja-JP"/>
        </w:rPr>
        <w:t>A392</w:t>
      </w:r>
      <w:r w:rsidRPr="00F41EA4">
        <w:rPr>
          <w:lang w:eastAsia="ja-JP"/>
        </w:rPr>
        <w:t xml:space="preserve">1069, subjects </w:t>
      </w:r>
      <w:r>
        <w:rPr>
          <w:lang w:eastAsia="ja-JP"/>
        </w:rPr>
        <w:t>tr</w:t>
      </w:r>
      <w:r w:rsidRPr="00F41EA4">
        <w:rPr>
          <w:lang w:eastAsia="ja-JP"/>
        </w:rPr>
        <w:t>e</w:t>
      </w:r>
      <w:r>
        <w:rPr>
          <w:lang w:eastAsia="ja-JP"/>
        </w:rPr>
        <w:t>ated with</w:t>
      </w:r>
      <w:r w:rsidRPr="00F41EA4">
        <w:rPr>
          <w:lang w:eastAsia="ja-JP"/>
        </w:rPr>
        <w:t xml:space="preserve"> </w:t>
      </w:r>
      <w:r>
        <w:rPr>
          <w:lang w:eastAsia="ja-JP"/>
        </w:rPr>
        <w:t>TOF</w:t>
      </w:r>
      <w:r w:rsidRPr="00F41EA4">
        <w:rPr>
          <w:lang w:eastAsia="ja-JP"/>
        </w:rPr>
        <w:t xml:space="preserve"> </w:t>
      </w:r>
      <w:r>
        <w:rPr>
          <w:lang w:eastAsia="ja-JP"/>
        </w:rPr>
        <w:t>showe</w:t>
      </w:r>
      <w:r w:rsidRPr="00F41EA4">
        <w:rPr>
          <w:lang w:eastAsia="ja-JP"/>
        </w:rPr>
        <w:t xml:space="preserve">d a </w:t>
      </w:r>
      <w:r>
        <w:rPr>
          <w:lang w:eastAsia="ja-JP"/>
        </w:rPr>
        <w:t>slight median</w:t>
      </w:r>
      <w:r w:rsidRPr="00F41EA4">
        <w:rPr>
          <w:lang w:eastAsia="ja-JP"/>
        </w:rPr>
        <w:t xml:space="preserve"> increase</w:t>
      </w:r>
      <w:r>
        <w:rPr>
          <w:lang w:eastAsia="ja-JP"/>
        </w:rPr>
        <w:t xml:space="preserve"> from baseline</w:t>
      </w:r>
      <w:r w:rsidRPr="00F41EA4">
        <w:rPr>
          <w:lang w:eastAsia="ja-JP"/>
        </w:rPr>
        <w:t xml:space="preserve"> in</w:t>
      </w:r>
      <w:r>
        <w:rPr>
          <w:lang w:eastAsia="ja-JP"/>
        </w:rPr>
        <w:t xml:space="preserve"> serum </w:t>
      </w:r>
      <w:r w:rsidRPr="00F41EA4">
        <w:rPr>
          <w:lang w:eastAsia="ja-JP"/>
        </w:rPr>
        <w:t>ALT</w:t>
      </w:r>
      <w:r>
        <w:rPr>
          <w:lang w:eastAsia="ja-JP"/>
        </w:rPr>
        <w:t xml:space="preserve"> of 2</w:t>
      </w:r>
      <w:r w:rsidR="008F2D59">
        <w:rPr>
          <w:lang w:eastAsia="ja-JP"/>
        </w:rPr>
        <w:t xml:space="preserve"> to </w:t>
      </w:r>
      <w:r>
        <w:rPr>
          <w:lang w:eastAsia="ja-JP"/>
        </w:rPr>
        <w:t>3 IU/L, which peaked at 6 months and remained stable thereafter up to 24 months.</w:t>
      </w:r>
      <w:r w:rsidRPr="00F41EA4">
        <w:rPr>
          <w:lang w:eastAsia="ja-JP"/>
        </w:rPr>
        <w:t xml:space="preserve"> </w:t>
      </w:r>
      <w:r>
        <w:rPr>
          <w:lang w:eastAsia="ja-JP"/>
        </w:rPr>
        <w:t>Subjects treated with</w:t>
      </w:r>
      <w:r w:rsidRPr="00F41EA4">
        <w:rPr>
          <w:lang w:eastAsia="ja-JP"/>
        </w:rPr>
        <w:t xml:space="preserve"> MTX </w:t>
      </w:r>
      <w:r>
        <w:rPr>
          <w:lang w:eastAsia="ja-JP"/>
        </w:rPr>
        <w:t>show</w:t>
      </w:r>
      <w:r w:rsidRPr="00F41EA4">
        <w:rPr>
          <w:lang w:eastAsia="ja-JP"/>
        </w:rPr>
        <w:t>ed a</w:t>
      </w:r>
      <w:r>
        <w:rPr>
          <w:lang w:eastAsia="ja-JP"/>
        </w:rPr>
        <w:t xml:space="preserve"> median</w:t>
      </w:r>
      <w:r w:rsidRPr="00F41EA4">
        <w:rPr>
          <w:lang w:eastAsia="ja-JP"/>
        </w:rPr>
        <w:t xml:space="preserve"> increase f</w:t>
      </w:r>
      <w:r>
        <w:rPr>
          <w:lang w:eastAsia="ja-JP"/>
        </w:rPr>
        <w:t>rom baseline of 4</w:t>
      </w:r>
      <w:r w:rsidRPr="00F41EA4">
        <w:rPr>
          <w:lang w:eastAsia="ja-JP"/>
        </w:rPr>
        <w:t xml:space="preserve"> IU/L at month 6</w:t>
      </w:r>
      <w:r>
        <w:rPr>
          <w:lang w:eastAsia="ja-JP"/>
        </w:rPr>
        <w:t xml:space="preserve">, which </w:t>
      </w:r>
      <w:r w:rsidRPr="00F41EA4">
        <w:rPr>
          <w:lang w:eastAsia="ja-JP"/>
        </w:rPr>
        <w:t xml:space="preserve">stabilised </w:t>
      </w:r>
      <w:r>
        <w:rPr>
          <w:lang w:eastAsia="ja-JP"/>
        </w:rPr>
        <w:t>th</w:t>
      </w:r>
      <w:r w:rsidRPr="00F41EA4">
        <w:rPr>
          <w:lang w:eastAsia="ja-JP"/>
        </w:rPr>
        <w:t>er</w:t>
      </w:r>
      <w:r>
        <w:rPr>
          <w:lang w:eastAsia="ja-JP"/>
        </w:rPr>
        <w:t>eafter</w:t>
      </w:r>
      <w:r w:rsidRPr="00F41EA4">
        <w:rPr>
          <w:lang w:eastAsia="ja-JP"/>
        </w:rPr>
        <w:t>. Changes of similar magnitude</w:t>
      </w:r>
      <w:r>
        <w:rPr>
          <w:lang w:eastAsia="ja-JP"/>
        </w:rPr>
        <w:t xml:space="preserve"> </w:t>
      </w:r>
      <w:r w:rsidRPr="00F41EA4">
        <w:rPr>
          <w:lang w:eastAsia="ja-JP"/>
        </w:rPr>
        <w:t xml:space="preserve">were observed for </w:t>
      </w:r>
      <w:r>
        <w:rPr>
          <w:lang w:eastAsia="ja-JP"/>
        </w:rPr>
        <w:t xml:space="preserve">serum </w:t>
      </w:r>
      <w:r w:rsidRPr="00F41EA4">
        <w:rPr>
          <w:lang w:eastAsia="ja-JP"/>
        </w:rPr>
        <w:t>AST</w:t>
      </w:r>
      <w:r>
        <w:rPr>
          <w:lang w:eastAsia="ja-JP"/>
        </w:rPr>
        <w:t xml:space="preserve"> in all 3 treatment groups</w:t>
      </w:r>
      <w:r w:rsidRPr="00F41EA4">
        <w:rPr>
          <w:lang w:eastAsia="ja-JP"/>
        </w:rPr>
        <w:t xml:space="preserve">. The median changes from </w:t>
      </w:r>
      <w:r>
        <w:rPr>
          <w:lang w:eastAsia="ja-JP"/>
        </w:rPr>
        <w:t>b</w:t>
      </w:r>
      <w:r w:rsidRPr="00F41EA4">
        <w:rPr>
          <w:lang w:eastAsia="ja-JP"/>
        </w:rPr>
        <w:t xml:space="preserve">aseline in </w:t>
      </w:r>
      <w:r>
        <w:rPr>
          <w:lang w:eastAsia="ja-JP"/>
        </w:rPr>
        <w:t xml:space="preserve">serum total </w:t>
      </w:r>
      <w:r w:rsidRPr="00F41EA4">
        <w:rPr>
          <w:lang w:eastAsia="ja-JP"/>
        </w:rPr>
        <w:t xml:space="preserve">bilirubin through </w:t>
      </w:r>
      <w:r>
        <w:rPr>
          <w:lang w:eastAsia="ja-JP"/>
        </w:rPr>
        <w:t>to 24 m</w:t>
      </w:r>
      <w:r w:rsidRPr="00F41EA4">
        <w:rPr>
          <w:lang w:eastAsia="ja-JP"/>
        </w:rPr>
        <w:t>onth</w:t>
      </w:r>
      <w:r>
        <w:rPr>
          <w:lang w:eastAsia="ja-JP"/>
        </w:rPr>
        <w:t xml:space="preserve">s </w:t>
      </w:r>
      <w:r w:rsidRPr="00F41EA4">
        <w:rPr>
          <w:lang w:eastAsia="ja-JP"/>
        </w:rPr>
        <w:t xml:space="preserve">were minimal in all </w:t>
      </w:r>
      <w:r>
        <w:rPr>
          <w:lang w:eastAsia="ja-JP"/>
        </w:rPr>
        <w:t xml:space="preserve">3 </w:t>
      </w:r>
      <w:r w:rsidRPr="00F41EA4">
        <w:rPr>
          <w:lang w:eastAsia="ja-JP"/>
        </w:rPr>
        <w:t>treatment groups</w:t>
      </w:r>
      <w:r w:rsidR="00B34BFC">
        <w:rPr>
          <w:lang w:eastAsia="ja-JP"/>
        </w:rPr>
        <w:t>.</w:t>
      </w:r>
    </w:p>
    <w:p w:rsidR="0073440E" w:rsidRDefault="0073440E" w:rsidP="0073440E">
      <w:pPr>
        <w:rPr>
          <w:lang w:eastAsia="ja-JP"/>
        </w:rPr>
      </w:pPr>
      <w:r w:rsidRPr="00811FD9">
        <w:rPr>
          <w:lang w:eastAsia="ja-JP"/>
        </w:rPr>
        <w:t xml:space="preserve">In Study </w:t>
      </w:r>
      <w:r>
        <w:rPr>
          <w:lang w:eastAsia="ja-JP"/>
        </w:rPr>
        <w:t>A392</w:t>
      </w:r>
      <w:r w:rsidRPr="00811FD9">
        <w:rPr>
          <w:lang w:eastAsia="ja-JP"/>
        </w:rPr>
        <w:t xml:space="preserve">1069, the majority of subjects </w:t>
      </w:r>
      <w:r>
        <w:rPr>
          <w:lang w:eastAsia="ja-JP"/>
        </w:rPr>
        <w:t xml:space="preserve">in all 3 treatment groups </w:t>
      </w:r>
      <w:r w:rsidRPr="00811FD9">
        <w:rPr>
          <w:lang w:eastAsia="ja-JP"/>
        </w:rPr>
        <w:t xml:space="preserve">remained within normal limits for </w:t>
      </w:r>
      <w:r>
        <w:rPr>
          <w:lang w:eastAsia="ja-JP"/>
        </w:rPr>
        <w:t>serum transaminases (</w:t>
      </w:r>
      <w:r w:rsidRPr="00811FD9">
        <w:rPr>
          <w:lang w:eastAsia="ja-JP"/>
        </w:rPr>
        <w:t>ALT/AST</w:t>
      </w:r>
      <w:r>
        <w:rPr>
          <w:lang w:eastAsia="ja-JP"/>
        </w:rPr>
        <w:t>)</w:t>
      </w:r>
      <w:r w:rsidRPr="00811FD9">
        <w:rPr>
          <w:lang w:eastAsia="ja-JP"/>
        </w:rPr>
        <w:t xml:space="preserve"> and</w:t>
      </w:r>
      <w:r>
        <w:rPr>
          <w:lang w:eastAsia="ja-JP"/>
        </w:rPr>
        <w:t xml:space="preserve"> </w:t>
      </w:r>
      <w:r w:rsidRPr="00811FD9">
        <w:rPr>
          <w:lang w:eastAsia="ja-JP"/>
        </w:rPr>
        <w:t>bilirubin. Most subjects with a</w:t>
      </w:r>
      <w:r>
        <w:rPr>
          <w:lang w:eastAsia="ja-JP"/>
        </w:rPr>
        <w:t>b</w:t>
      </w:r>
      <w:r w:rsidRPr="00811FD9">
        <w:rPr>
          <w:lang w:eastAsia="ja-JP"/>
        </w:rPr>
        <w:t>n</w:t>
      </w:r>
      <w:r>
        <w:rPr>
          <w:lang w:eastAsia="ja-JP"/>
        </w:rPr>
        <w:t>or</w:t>
      </w:r>
      <w:r w:rsidRPr="00811FD9">
        <w:rPr>
          <w:lang w:eastAsia="ja-JP"/>
        </w:rPr>
        <w:t>m</w:t>
      </w:r>
      <w:r>
        <w:rPr>
          <w:lang w:eastAsia="ja-JP"/>
        </w:rPr>
        <w:t>a</w:t>
      </w:r>
      <w:r w:rsidRPr="00811FD9">
        <w:rPr>
          <w:lang w:eastAsia="ja-JP"/>
        </w:rPr>
        <w:t>l</w:t>
      </w:r>
      <w:r>
        <w:rPr>
          <w:lang w:eastAsia="ja-JP"/>
        </w:rPr>
        <w:t xml:space="preserve"> l</w:t>
      </w:r>
      <w:r w:rsidRPr="00811FD9">
        <w:rPr>
          <w:lang w:eastAsia="ja-JP"/>
        </w:rPr>
        <w:t>i</w:t>
      </w:r>
      <w:r>
        <w:rPr>
          <w:lang w:eastAsia="ja-JP"/>
        </w:rPr>
        <w:t>v</w:t>
      </w:r>
      <w:r w:rsidRPr="00811FD9">
        <w:rPr>
          <w:lang w:eastAsia="ja-JP"/>
        </w:rPr>
        <w:t>er</w:t>
      </w:r>
      <w:r>
        <w:rPr>
          <w:lang w:eastAsia="ja-JP"/>
        </w:rPr>
        <w:t xml:space="preserve"> fu</w:t>
      </w:r>
      <w:r w:rsidRPr="00811FD9">
        <w:rPr>
          <w:lang w:eastAsia="ja-JP"/>
        </w:rPr>
        <w:t>n</w:t>
      </w:r>
      <w:r>
        <w:rPr>
          <w:lang w:eastAsia="ja-JP"/>
        </w:rPr>
        <w:t>ction results</w:t>
      </w:r>
      <w:r w:rsidRPr="00811FD9">
        <w:rPr>
          <w:lang w:eastAsia="ja-JP"/>
        </w:rPr>
        <w:t xml:space="preserve"> </w:t>
      </w:r>
      <w:r>
        <w:rPr>
          <w:lang w:eastAsia="ja-JP"/>
        </w:rPr>
        <w:t>w</w:t>
      </w:r>
      <w:r w:rsidRPr="00811FD9">
        <w:rPr>
          <w:lang w:eastAsia="ja-JP"/>
        </w:rPr>
        <w:t>e</w:t>
      </w:r>
      <w:r>
        <w:rPr>
          <w:lang w:eastAsia="ja-JP"/>
        </w:rPr>
        <w:t>re in the</w:t>
      </w:r>
      <w:r w:rsidRPr="00811FD9">
        <w:rPr>
          <w:lang w:eastAsia="ja-JP"/>
        </w:rPr>
        <w:t xml:space="preserve"> </w:t>
      </w:r>
      <w:r w:rsidR="008F2D59">
        <w:rPr>
          <w:lang w:eastAsia="ja-JP"/>
        </w:rPr>
        <w:t xml:space="preserve">≥ </w:t>
      </w:r>
      <w:r w:rsidRPr="00811FD9">
        <w:rPr>
          <w:lang w:eastAsia="ja-JP"/>
        </w:rPr>
        <w:t>1</w:t>
      </w:r>
      <w:r w:rsidR="008F2D59">
        <w:rPr>
          <w:lang w:eastAsia="ja-JP"/>
        </w:rPr>
        <w:t xml:space="preserve"> x </w:t>
      </w:r>
      <w:r w:rsidRPr="00811FD9">
        <w:rPr>
          <w:lang w:eastAsia="ja-JP"/>
        </w:rPr>
        <w:t>ULN category</w:t>
      </w:r>
      <w:r>
        <w:rPr>
          <w:lang w:eastAsia="ja-JP"/>
        </w:rPr>
        <w:t xml:space="preserve">, </w:t>
      </w:r>
      <w:r w:rsidRPr="00811FD9">
        <w:rPr>
          <w:lang w:eastAsia="ja-JP"/>
        </w:rPr>
        <w:t xml:space="preserve">and </w:t>
      </w:r>
      <w:r>
        <w:rPr>
          <w:lang w:eastAsia="ja-JP"/>
        </w:rPr>
        <w:t>the affected subject proportions</w:t>
      </w:r>
      <w:r w:rsidRPr="00811FD9">
        <w:rPr>
          <w:lang w:eastAsia="ja-JP"/>
        </w:rPr>
        <w:t xml:space="preserve"> were as common in the MTX an</w:t>
      </w:r>
      <w:r>
        <w:rPr>
          <w:lang w:eastAsia="ja-JP"/>
        </w:rPr>
        <w:t>d</w:t>
      </w:r>
      <w:r w:rsidRPr="00811FD9">
        <w:rPr>
          <w:lang w:eastAsia="ja-JP"/>
        </w:rPr>
        <w:t xml:space="preserve"> </w:t>
      </w:r>
      <w:r>
        <w:rPr>
          <w:lang w:eastAsia="ja-JP"/>
        </w:rPr>
        <w:t>TOF</w:t>
      </w:r>
      <w:r w:rsidRPr="00811FD9">
        <w:rPr>
          <w:lang w:eastAsia="ja-JP"/>
        </w:rPr>
        <w:t xml:space="preserve"> groups </w:t>
      </w:r>
      <w:r>
        <w:rPr>
          <w:lang w:eastAsia="ja-JP"/>
        </w:rPr>
        <w:t xml:space="preserve">– refer to </w:t>
      </w:r>
      <w:r w:rsidR="00083D05">
        <w:rPr>
          <w:lang w:eastAsia="ja-JP"/>
        </w:rPr>
        <w:t>Table 5</w:t>
      </w:r>
      <w:r w:rsidRPr="00811FD9">
        <w:rPr>
          <w:lang w:eastAsia="ja-JP"/>
        </w:rPr>
        <w:t>. The most</w:t>
      </w:r>
      <w:r>
        <w:rPr>
          <w:lang w:eastAsia="ja-JP"/>
        </w:rPr>
        <w:t xml:space="preserve"> </w:t>
      </w:r>
      <w:r w:rsidRPr="00811FD9">
        <w:rPr>
          <w:lang w:eastAsia="ja-JP"/>
        </w:rPr>
        <w:t xml:space="preserve">notable difference between treatment groups was observed </w:t>
      </w:r>
      <w:r>
        <w:rPr>
          <w:lang w:eastAsia="ja-JP"/>
        </w:rPr>
        <w:t>for the perce</w:t>
      </w:r>
      <w:r w:rsidRPr="00811FD9">
        <w:rPr>
          <w:lang w:eastAsia="ja-JP"/>
        </w:rPr>
        <w:t>n</w:t>
      </w:r>
      <w:r>
        <w:rPr>
          <w:lang w:eastAsia="ja-JP"/>
        </w:rPr>
        <w:t>tage of</w:t>
      </w:r>
      <w:r w:rsidRPr="00811FD9">
        <w:rPr>
          <w:lang w:eastAsia="ja-JP"/>
        </w:rPr>
        <w:t xml:space="preserve"> subjects with ALT or AST </w:t>
      </w:r>
      <w:r w:rsidR="008F2D59">
        <w:rPr>
          <w:lang w:eastAsia="ja-JP"/>
        </w:rPr>
        <w:t xml:space="preserve">≥ </w:t>
      </w:r>
      <w:r w:rsidRPr="00811FD9">
        <w:rPr>
          <w:lang w:eastAsia="ja-JP"/>
        </w:rPr>
        <w:t>3</w:t>
      </w:r>
      <w:r w:rsidR="008F2D59">
        <w:rPr>
          <w:lang w:eastAsia="ja-JP"/>
        </w:rPr>
        <w:t xml:space="preserve"> x </w:t>
      </w:r>
      <w:r w:rsidRPr="00811FD9">
        <w:rPr>
          <w:lang w:eastAsia="ja-JP"/>
        </w:rPr>
        <w:t>ULN</w:t>
      </w:r>
      <w:r>
        <w:rPr>
          <w:lang w:eastAsia="ja-JP"/>
        </w:rPr>
        <w:t>, which was an abnormality s</w:t>
      </w:r>
      <w:r w:rsidRPr="00811FD9">
        <w:rPr>
          <w:lang w:eastAsia="ja-JP"/>
        </w:rPr>
        <w:t>e</w:t>
      </w:r>
      <w:r>
        <w:rPr>
          <w:lang w:eastAsia="ja-JP"/>
        </w:rPr>
        <w:t xml:space="preserve">en at least </w:t>
      </w:r>
      <w:r w:rsidRPr="00811FD9">
        <w:rPr>
          <w:lang w:eastAsia="ja-JP"/>
        </w:rPr>
        <w:t xml:space="preserve">twice as </w:t>
      </w:r>
      <w:r>
        <w:rPr>
          <w:lang w:eastAsia="ja-JP"/>
        </w:rPr>
        <w:t>f</w:t>
      </w:r>
      <w:r w:rsidRPr="00811FD9">
        <w:rPr>
          <w:lang w:eastAsia="ja-JP"/>
        </w:rPr>
        <w:t>re</w:t>
      </w:r>
      <w:r>
        <w:rPr>
          <w:lang w:eastAsia="ja-JP"/>
        </w:rPr>
        <w:t>quently</w:t>
      </w:r>
      <w:r w:rsidRPr="00811FD9">
        <w:rPr>
          <w:lang w:eastAsia="ja-JP"/>
        </w:rPr>
        <w:t xml:space="preserve"> </w:t>
      </w:r>
      <w:r>
        <w:rPr>
          <w:lang w:eastAsia="ja-JP"/>
        </w:rPr>
        <w:t>wi</w:t>
      </w:r>
      <w:r w:rsidRPr="00811FD9">
        <w:rPr>
          <w:lang w:eastAsia="ja-JP"/>
        </w:rPr>
        <w:t>th</w:t>
      </w:r>
      <w:r>
        <w:rPr>
          <w:lang w:eastAsia="ja-JP"/>
        </w:rPr>
        <w:t xml:space="preserve"> </w:t>
      </w:r>
      <w:r w:rsidRPr="00811FD9">
        <w:rPr>
          <w:lang w:eastAsia="ja-JP"/>
        </w:rPr>
        <w:t xml:space="preserve">MTX compared to </w:t>
      </w:r>
      <w:r>
        <w:rPr>
          <w:lang w:eastAsia="ja-JP"/>
        </w:rPr>
        <w:t>TOF</w:t>
      </w:r>
      <w:r w:rsidRPr="00811FD9">
        <w:rPr>
          <w:lang w:eastAsia="ja-JP"/>
        </w:rPr>
        <w:t>.</w:t>
      </w:r>
    </w:p>
    <w:p w:rsidR="0073440E" w:rsidRDefault="00083D05" w:rsidP="00083D05">
      <w:pPr>
        <w:pStyle w:val="TableTitle"/>
        <w:rPr>
          <w:lang w:eastAsia="ja-JP"/>
        </w:rPr>
      </w:pPr>
      <w:r>
        <w:rPr>
          <w:lang w:eastAsia="ja-JP"/>
        </w:rPr>
        <w:lastRenderedPageBreak/>
        <w:t xml:space="preserve">Table 5: </w:t>
      </w:r>
      <w:r w:rsidR="0073440E">
        <w:rPr>
          <w:lang w:eastAsia="ja-JP"/>
        </w:rPr>
        <w:t>Proportion of Subjects with Abnormal Liver F</w:t>
      </w:r>
      <w:r>
        <w:rPr>
          <w:lang w:eastAsia="ja-JP"/>
        </w:rPr>
        <w:t>unction Tests in Study</w:t>
      </w:r>
      <w:r w:rsidR="008F2D59">
        <w:rPr>
          <w:lang w:eastAsia="ja-JP"/>
        </w:rPr>
        <w:t> </w:t>
      </w:r>
      <w:r>
        <w:rPr>
          <w:lang w:eastAsia="ja-JP"/>
        </w:rPr>
        <w:t>A3921069</w:t>
      </w:r>
    </w:p>
    <w:p w:rsidR="0073440E" w:rsidRDefault="00D33257" w:rsidP="00387362">
      <w:pPr>
        <w:rPr>
          <w:lang w:eastAsia="ja-JP"/>
        </w:rPr>
      </w:pPr>
      <w:r>
        <w:rPr>
          <w:noProof/>
          <w:lang w:eastAsia="en-AU"/>
        </w:rPr>
        <w:drawing>
          <wp:inline distT="0" distB="0" distL="0" distR="0" wp14:anchorId="29064188" wp14:editId="700CB4CD">
            <wp:extent cx="5400040" cy="2486557"/>
            <wp:effectExtent l="0" t="0" r="0" b="9525"/>
            <wp:docPr id="5" name="Picture 5" descr="Table 5: Proportion of Subjects with Abnormal Liver Function Tests in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486557"/>
                    </a:xfrm>
                    <a:prstGeom prst="rect">
                      <a:avLst/>
                    </a:prstGeom>
                  </pic:spPr>
                </pic:pic>
              </a:graphicData>
            </a:graphic>
          </wp:inline>
        </w:drawing>
      </w:r>
    </w:p>
    <w:p w:rsidR="0073440E" w:rsidRPr="0087614E" w:rsidRDefault="0073440E" w:rsidP="0073440E">
      <w:pPr>
        <w:autoSpaceDE w:val="0"/>
        <w:autoSpaceDN w:val="0"/>
        <w:adjustRightInd w:val="0"/>
        <w:spacing w:before="0" w:after="0" w:line="240" w:lineRule="auto"/>
        <w:rPr>
          <w:lang w:eastAsia="ja-JP"/>
        </w:rPr>
      </w:pPr>
      <w:r w:rsidRPr="00811FD9">
        <w:rPr>
          <w:lang w:eastAsia="ja-JP"/>
        </w:rPr>
        <w:t xml:space="preserve">In Study </w:t>
      </w:r>
      <w:r>
        <w:rPr>
          <w:lang w:eastAsia="ja-JP"/>
        </w:rPr>
        <w:t>A392</w:t>
      </w:r>
      <w:r w:rsidRPr="00811FD9">
        <w:rPr>
          <w:lang w:eastAsia="ja-JP"/>
        </w:rPr>
        <w:t xml:space="preserve">1069, 12 (3.2%) subjects </w:t>
      </w:r>
      <w:r>
        <w:rPr>
          <w:lang w:eastAsia="ja-JP"/>
        </w:rPr>
        <w:t>i</w:t>
      </w:r>
      <w:r w:rsidRPr="00811FD9">
        <w:rPr>
          <w:lang w:eastAsia="ja-JP"/>
        </w:rPr>
        <w:t>n t</w:t>
      </w:r>
      <w:r>
        <w:rPr>
          <w:lang w:eastAsia="ja-JP"/>
        </w:rPr>
        <w:t xml:space="preserve">he TOF </w:t>
      </w:r>
      <w:r w:rsidRPr="00811FD9">
        <w:rPr>
          <w:lang w:eastAsia="ja-JP"/>
        </w:rPr>
        <w:t xml:space="preserve">5 mg </w:t>
      </w:r>
      <w:r>
        <w:rPr>
          <w:lang w:eastAsia="ja-JP"/>
        </w:rPr>
        <w:t>group</w:t>
      </w:r>
      <w:r w:rsidRPr="00811FD9">
        <w:rPr>
          <w:lang w:eastAsia="ja-JP"/>
        </w:rPr>
        <w:t xml:space="preserve">, 13 (3.3%) </w:t>
      </w:r>
      <w:r>
        <w:rPr>
          <w:lang w:eastAsia="ja-JP"/>
        </w:rPr>
        <w:t>patien</w:t>
      </w:r>
      <w:r w:rsidRPr="00811FD9">
        <w:rPr>
          <w:lang w:eastAsia="ja-JP"/>
        </w:rPr>
        <w:t xml:space="preserve">ts </w:t>
      </w:r>
      <w:r>
        <w:rPr>
          <w:lang w:eastAsia="ja-JP"/>
        </w:rPr>
        <w:t>i</w:t>
      </w:r>
      <w:r w:rsidRPr="00811FD9">
        <w:rPr>
          <w:lang w:eastAsia="ja-JP"/>
        </w:rPr>
        <w:t xml:space="preserve">n </w:t>
      </w:r>
      <w:r>
        <w:rPr>
          <w:lang w:eastAsia="ja-JP"/>
        </w:rPr>
        <w:t xml:space="preserve">the TOF </w:t>
      </w:r>
      <w:r w:rsidRPr="00811FD9">
        <w:rPr>
          <w:lang w:eastAsia="ja-JP"/>
        </w:rPr>
        <w:t xml:space="preserve">10 mg </w:t>
      </w:r>
      <w:r>
        <w:rPr>
          <w:lang w:eastAsia="ja-JP"/>
        </w:rPr>
        <w:t xml:space="preserve">arm </w:t>
      </w:r>
      <w:r w:rsidRPr="00811FD9">
        <w:rPr>
          <w:lang w:eastAsia="ja-JP"/>
        </w:rPr>
        <w:t xml:space="preserve">and 13 subjects (7%) </w:t>
      </w:r>
      <w:r>
        <w:rPr>
          <w:lang w:eastAsia="ja-JP"/>
        </w:rPr>
        <w:t>i</w:t>
      </w:r>
      <w:r w:rsidRPr="00811FD9">
        <w:rPr>
          <w:lang w:eastAsia="ja-JP"/>
        </w:rPr>
        <w:t xml:space="preserve">n </w:t>
      </w:r>
      <w:r>
        <w:rPr>
          <w:lang w:eastAsia="ja-JP"/>
        </w:rPr>
        <w:t xml:space="preserve">the </w:t>
      </w:r>
      <w:r w:rsidRPr="00811FD9">
        <w:rPr>
          <w:lang w:eastAsia="ja-JP"/>
        </w:rPr>
        <w:t xml:space="preserve">MTX </w:t>
      </w:r>
      <w:r>
        <w:rPr>
          <w:lang w:eastAsia="ja-JP"/>
        </w:rPr>
        <w:t xml:space="preserve">group </w:t>
      </w:r>
      <w:r w:rsidRPr="00811FD9">
        <w:rPr>
          <w:lang w:eastAsia="ja-JP"/>
        </w:rPr>
        <w:t xml:space="preserve">met the </w:t>
      </w:r>
      <w:r>
        <w:rPr>
          <w:lang w:eastAsia="ja-JP"/>
        </w:rPr>
        <w:t xml:space="preserve">protocol </w:t>
      </w:r>
      <w:r w:rsidRPr="00811FD9">
        <w:rPr>
          <w:lang w:eastAsia="ja-JP"/>
        </w:rPr>
        <w:t xml:space="preserve">criteria for further </w:t>
      </w:r>
      <w:r>
        <w:rPr>
          <w:lang w:eastAsia="ja-JP"/>
        </w:rPr>
        <w:t xml:space="preserve">intensive </w:t>
      </w:r>
      <w:r w:rsidRPr="00811FD9">
        <w:rPr>
          <w:lang w:eastAsia="ja-JP"/>
        </w:rPr>
        <w:t>monitoring</w:t>
      </w:r>
      <w:r>
        <w:rPr>
          <w:lang w:eastAsia="ja-JP"/>
        </w:rPr>
        <w:t xml:space="preserve"> (</w:t>
      </w:r>
      <w:r w:rsidR="00B34BFC">
        <w:rPr>
          <w:lang w:eastAsia="ja-JP"/>
        </w:rPr>
        <w:t xml:space="preserve">that is </w:t>
      </w:r>
      <w:r>
        <w:rPr>
          <w:lang w:eastAsia="ja-JP"/>
        </w:rPr>
        <w:t>elevated serum transaminases on 2 consecutive readings)</w:t>
      </w:r>
      <w:r w:rsidRPr="00811FD9">
        <w:rPr>
          <w:lang w:eastAsia="ja-JP"/>
        </w:rPr>
        <w:t>. Two subjects in the</w:t>
      </w:r>
      <w:r>
        <w:rPr>
          <w:lang w:eastAsia="ja-JP"/>
        </w:rPr>
        <w:t xml:space="preserve"> TOF </w:t>
      </w:r>
      <w:r w:rsidRPr="00811FD9">
        <w:rPr>
          <w:lang w:eastAsia="ja-JP"/>
        </w:rPr>
        <w:t xml:space="preserve">10 mg group and 1 subject in the MTX </w:t>
      </w:r>
      <w:r>
        <w:rPr>
          <w:lang w:eastAsia="ja-JP"/>
        </w:rPr>
        <w:t>a</w:t>
      </w:r>
      <w:r w:rsidRPr="00811FD9">
        <w:rPr>
          <w:lang w:eastAsia="ja-JP"/>
        </w:rPr>
        <w:t>r</w:t>
      </w:r>
      <w:r>
        <w:rPr>
          <w:lang w:eastAsia="ja-JP"/>
        </w:rPr>
        <w:t>m</w:t>
      </w:r>
      <w:r w:rsidRPr="00811FD9">
        <w:rPr>
          <w:lang w:eastAsia="ja-JP"/>
        </w:rPr>
        <w:t xml:space="preserve"> had to </w:t>
      </w:r>
      <w:r>
        <w:rPr>
          <w:lang w:eastAsia="ja-JP"/>
        </w:rPr>
        <w:t xml:space="preserve">permanently </w:t>
      </w:r>
      <w:r w:rsidRPr="00811FD9">
        <w:rPr>
          <w:lang w:eastAsia="ja-JP"/>
        </w:rPr>
        <w:t xml:space="preserve">discontinue </w:t>
      </w:r>
      <w:r>
        <w:rPr>
          <w:lang w:eastAsia="ja-JP"/>
        </w:rPr>
        <w:t xml:space="preserve">treatment </w:t>
      </w:r>
      <w:r w:rsidRPr="00811FD9">
        <w:rPr>
          <w:lang w:eastAsia="ja-JP"/>
        </w:rPr>
        <w:t xml:space="preserve">due to </w:t>
      </w:r>
      <w:r>
        <w:rPr>
          <w:lang w:eastAsia="ja-JP"/>
        </w:rPr>
        <w:t xml:space="preserve">persistent abnormalities of liver function tests. In addition, </w:t>
      </w:r>
      <w:r w:rsidRPr="0087614E">
        <w:rPr>
          <w:lang w:eastAsia="ja-JP"/>
        </w:rPr>
        <w:t>2 subjects</w:t>
      </w:r>
      <w:r>
        <w:rPr>
          <w:lang w:eastAsia="ja-JP"/>
        </w:rPr>
        <w:t xml:space="preserve"> (both treated with TOF 10 mg therapy) met the initial screening process of </w:t>
      </w:r>
      <w:r w:rsidRPr="0087614E">
        <w:rPr>
          <w:lang w:eastAsia="ja-JP"/>
        </w:rPr>
        <w:t xml:space="preserve">potential </w:t>
      </w:r>
      <w:proofErr w:type="spellStart"/>
      <w:r w:rsidRPr="0087614E">
        <w:rPr>
          <w:lang w:eastAsia="ja-JP"/>
        </w:rPr>
        <w:t>Hy’s</w:t>
      </w:r>
      <w:proofErr w:type="spellEnd"/>
      <w:r w:rsidRPr="0087614E">
        <w:rPr>
          <w:lang w:eastAsia="ja-JP"/>
        </w:rPr>
        <w:t xml:space="preserve"> Law cases </w:t>
      </w:r>
      <w:r>
        <w:rPr>
          <w:lang w:eastAsia="ja-JP"/>
        </w:rPr>
        <w:t>(</w:t>
      </w:r>
      <w:r w:rsidR="00B34BFC">
        <w:rPr>
          <w:lang w:eastAsia="ja-JP"/>
        </w:rPr>
        <w:t xml:space="preserve">that is </w:t>
      </w:r>
      <w:r>
        <w:rPr>
          <w:lang w:eastAsia="ja-JP"/>
        </w:rPr>
        <w:t>serum</w:t>
      </w:r>
      <w:r w:rsidRPr="0087614E">
        <w:rPr>
          <w:lang w:eastAsia="ja-JP"/>
        </w:rPr>
        <w:t xml:space="preserve"> ALT or AST </w:t>
      </w:r>
      <w:r w:rsidR="008F2D59">
        <w:rPr>
          <w:lang w:eastAsia="ja-JP"/>
        </w:rPr>
        <w:t xml:space="preserve">≥ </w:t>
      </w:r>
      <w:r w:rsidRPr="0087614E">
        <w:rPr>
          <w:lang w:eastAsia="ja-JP"/>
        </w:rPr>
        <w:t>3</w:t>
      </w:r>
      <w:r w:rsidR="008F2D59">
        <w:rPr>
          <w:lang w:eastAsia="ja-JP"/>
        </w:rPr>
        <w:t xml:space="preserve"> x </w:t>
      </w:r>
      <w:r w:rsidRPr="0087614E">
        <w:rPr>
          <w:lang w:eastAsia="ja-JP"/>
        </w:rPr>
        <w:t>ULN</w:t>
      </w:r>
      <w:r>
        <w:rPr>
          <w:lang w:eastAsia="ja-JP"/>
        </w:rPr>
        <w:t xml:space="preserve"> </w:t>
      </w:r>
      <w:r w:rsidRPr="0087614E">
        <w:rPr>
          <w:lang w:eastAsia="ja-JP"/>
        </w:rPr>
        <w:t xml:space="preserve">and bilirubin </w:t>
      </w:r>
      <w:r w:rsidR="00E205F5">
        <w:rPr>
          <w:lang w:eastAsia="ja-JP"/>
        </w:rPr>
        <w:t>≥ </w:t>
      </w:r>
      <w:r w:rsidRPr="0087614E">
        <w:rPr>
          <w:lang w:eastAsia="ja-JP"/>
        </w:rPr>
        <w:t>2</w:t>
      </w:r>
      <w:r w:rsidR="00E205F5">
        <w:rPr>
          <w:lang w:eastAsia="ja-JP"/>
        </w:rPr>
        <w:t> x </w:t>
      </w:r>
      <w:r w:rsidRPr="0087614E">
        <w:rPr>
          <w:lang w:eastAsia="ja-JP"/>
        </w:rPr>
        <w:t>ULN</w:t>
      </w:r>
      <w:r>
        <w:rPr>
          <w:lang w:eastAsia="ja-JP"/>
        </w:rPr>
        <w:t>). However, 1 case was subsequently dismissed because she did not meet the bioche</w:t>
      </w:r>
      <w:r w:rsidR="00032481">
        <w:rPr>
          <w:lang w:eastAsia="ja-JP"/>
        </w:rPr>
        <w:t xml:space="preserve">mical definition. This patient </w:t>
      </w:r>
      <w:r>
        <w:rPr>
          <w:lang w:eastAsia="ja-JP"/>
        </w:rPr>
        <w:t xml:space="preserve">had an increase in serum ALP </w:t>
      </w:r>
      <w:r w:rsidR="008F2D59">
        <w:rPr>
          <w:lang w:eastAsia="ja-JP"/>
        </w:rPr>
        <w:t xml:space="preserve">&gt; </w:t>
      </w:r>
      <w:r>
        <w:rPr>
          <w:lang w:eastAsia="ja-JP"/>
        </w:rPr>
        <w:t>2 x ULN in conjunction with raised serum transaminases but normal serum bilirubin. The other case was also subsequently d</w:t>
      </w:r>
      <w:r w:rsidR="00032481">
        <w:rPr>
          <w:lang w:eastAsia="ja-JP"/>
        </w:rPr>
        <w:t xml:space="preserve">ismissed upon sponsor review. Another patient </w:t>
      </w:r>
      <w:r>
        <w:rPr>
          <w:lang w:eastAsia="ja-JP"/>
        </w:rPr>
        <w:t xml:space="preserve">with a history of poorly controlled hypertension and biliary </w:t>
      </w:r>
      <w:proofErr w:type="spellStart"/>
      <w:r>
        <w:rPr>
          <w:lang w:eastAsia="ja-JP"/>
        </w:rPr>
        <w:t>lithiasis</w:t>
      </w:r>
      <w:proofErr w:type="spellEnd"/>
      <w:r>
        <w:rPr>
          <w:lang w:eastAsia="ja-JP"/>
        </w:rPr>
        <w:t xml:space="preserve"> recorded an SAE of biliary colic on study day 478 (co</w:t>
      </w:r>
      <w:r w:rsidR="00E205F5">
        <w:rPr>
          <w:lang w:eastAsia="ja-JP"/>
        </w:rPr>
        <w:t>nfirmed on ultrasound on study D</w:t>
      </w:r>
      <w:r>
        <w:rPr>
          <w:lang w:eastAsia="ja-JP"/>
        </w:rPr>
        <w:t>ay 480), which resolved within 2</w:t>
      </w:r>
      <w:r w:rsidR="008F2D59">
        <w:rPr>
          <w:lang w:eastAsia="ja-JP"/>
        </w:rPr>
        <w:t> </w:t>
      </w:r>
      <w:r>
        <w:rPr>
          <w:lang w:eastAsia="ja-JP"/>
        </w:rPr>
        <w:t>weeks of onset.</w:t>
      </w:r>
    </w:p>
    <w:p w:rsidR="0073440E" w:rsidRPr="00C2074B" w:rsidRDefault="0073440E" w:rsidP="00083D05">
      <w:pPr>
        <w:pStyle w:val="Heading6"/>
      </w:pPr>
      <w:r w:rsidRPr="00C2074B">
        <w:t>Other studies</w:t>
      </w:r>
    </w:p>
    <w:p w:rsidR="0073440E" w:rsidRDefault="0073440E" w:rsidP="0073440E">
      <w:pPr>
        <w:rPr>
          <w:lang w:eastAsia="ja-JP"/>
        </w:rPr>
      </w:pPr>
      <w:bookmarkStart w:id="92" w:name="_Toc272414670"/>
      <w:bookmarkStart w:id="93" w:name="_Toc290888534"/>
      <w:bookmarkStart w:id="94" w:name="_Toc416353750"/>
      <w:bookmarkStart w:id="95" w:name="_Toc421005293"/>
      <w:bookmarkStart w:id="96" w:name="_Toc432079170"/>
      <w:bookmarkStart w:id="97" w:name="_Toc432080743"/>
      <w:r>
        <w:rPr>
          <w:lang w:eastAsia="ja-JP"/>
        </w:rPr>
        <w:t>No new information provided in this submission.</w:t>
      </w:r>
    </w:p>
    <w:p w:rsidR="0073440E" w:rsidRPr="00545B14" w:rsidRDefault="0073440E" w:rsidP="00083D05">
      <w:pPr>
        <w:pStyle w:val="Heading5"/>
      </w:pPr>
      <w:r>
        <w:t xml:space="preserve">Renal </w:t>
      </w:r>
      <w:r w:rsidRPr="00545B14">
        <w:t>function</w:t>
      </w:r>
      <w:bookmarkEnd w:id="92"/>
      <w:bookmarkEnd w:id="93"/>
      <w:bookmarkEnd w:id="94"/>
      <w:bookmarkEnd w:id="95"/>
      <w:r>
        <w:t xml:space="preserve"> and renal toxicity</w:t>
      </w:r>
      <w:bookmarkEnd w:id="96"/>
      <w:bookmarkEnd w:id="97"/>
    </w:p>
    <w:p w:rsidR="0073440E" w:rsidRPr="002B7B05" w:rsidRDefault="0073440E" w:rsidP="00083D05">
      <w:pPr>
        <w:pStyle w:val="Heading6"/>
      </w:pPr>
      <w:r>
        <w:t>I</w:t>
      </w:r>
      <w:r w:rsidRPr="002B7B05">
        <w:t>ntegrated safety analyses</w:t>
      </w:r>
    </w:p>
    <w:p w:rsidR="0073440E" w:rsidRDefault="0073440E" w:rsidP="0073440E">
      <w:pPr>
        <w:rPr>
          <w:lang w:eastAsia="ja-JP"/>
        </w:rPr>
      </w:pPr>
      <w:r>
        <w:rPr>
          <w:lang w:eastAsia="ja-JP"/>
        </w:rPr>
        <w:t xml:space="preserve">In the long term integrated dataset, the proportion of subjects who showed 2 consecutive increases in serum creatinine levels </w:t>
      </w:r>
      <w:r w:rsidR="008F2D59">
        <w:rPr>
          <w:lang w:eastAsia="ja-JP"/>
        </w:rPr>
        <w:t xml:space="preserve">&gt; </w:t>
      </w:r>
      <w:r>
        <w:rPr>
          <w:lang w:eastAsia="ja-JP"/>
        </w:rPr>
        <w:t>50% above their baseline value (</w:t>
      </w:r>
      <w:r w:rsidR="00B34BFC">
        <w:rPr>
          <w:lang w:eastAsia="ja-JP"/>
        </w:rPr>
        <w:t xml:space="preserve">that is </w:t>
      </w:r>
      <w:r>
        <w:rPr>
          <w:lang w:eastAsia="ja-JP"/>
        </w:rPr>
        <w:t>the protocol specified TOF discontinuation criteria) was 2.4%. The 2.4% event figure is slightly higher than the 2% figure quoted in the current PI, so the sponsor has proposed an amendment to the PI to reflect the slightly higher observed incidence of significant change in renal function with long term TOF therapy.</w:t>
      </w:r>
    </w:p>
    <w:p w:rsidR="0073440E" w:rsidRPr="00C2074B" w:rsidRDefault="0073440E" w:rsidP="00083D05">
      <w:pPr>
        <w:pStyle w:val="Heading6"/>
      </w:pPr>
      <w:r w:rsidRPr="00C2074B">
        <w:t>Pivotal and/or main efficacy studies</w:t>
      </w:r>
    </w:p>
    <w:p w:rsidR="00B34BFC" w:rsidRDefault="0073440E" w:rsidP="0073440E">
      <w:pPr>
        <w:rPr>
          <w:lang w:eastAsia="ja-JP"/>
        </w:rPr>
      </w:pPr>
      <w:r w:rsidRPr="0009034C">
        <w:rPr>
          <w:lang w:eastAsia="ja-JP"/>
        </w:rPr>
        <w:t xml:space="preserve">In Study </w:t>
      </w:r>
      <w:r>
        <w:rPr>
          <w:lang w:eastAsia="ja-JP"/>
        </w:rPr>
        <w:t>A392</w:t>
      </w:r>
      <w:r w:rsidRPr="0009034C">
        <w:rPr>
          <w:lang w:eastAsia="ja-JP"/>
        </w:rPr>
        <w:t xml:space="preserve">1069, </w:t>
      </w:r>
      <w:r>
        <w:rPr>
          <w:lang w:eastAsia="ja-JP"/>
        </w:rPr>
        <w:t xml:space="preserve">the </w:t>
      </w:r>
      <w:r w:rsidRPr="0009034C">
        <w:rPr>
          <w:lang w:eastAsia="ja-JP"/>
        </w:rPr>
        <w:t xml:space="preserve">baseline mean serum creatinine levels in the </w:t>
      </w:r>
      <w:r>
        <w:rPr>
          <w:lang w:eastAsia="ja-JP"/>
        </w:rPr>
        <w:t xml:space="preserve">3 </w:t>
      </w:r>
      <w:r w:rsidRPr="0009034C">
        <w:rPr>
          <w:lang w:eastAsia="ja-JP"/>
        </w:rPr>
        <w:t>t</w:t>
      </w:r>
      <w:r>
        <w:rPr>
          <w:lang w:eastAsia="ja-JP"/>
        </w:rPr>
        <w:t>re</w:t>
      </w:r>
      <w:r w:rsidRPr="0009034C">
        <w:rPr>
          <w:lang w:eastAsia="ja-JP"/>
        </w:rPr>
        <w:t>at</w:t>
      </w:r>
      <w:r>
        <w:rPr>
          <w:lang w:eastAsia="ja-JP"/>
        </w:rPr>
        <w:t>me</w:t>
      </w:r>
      <w:r w:rsidRPr="0009034C">
        <w:rPr>
          <w:lang w:eastAsia="ja-JP"/>
        </w:rPr>
        <w:t>n</w:t>
      </w:r>
      <w:r>
        <w:rPr>
          <w:lang w:eastAsia="ja-JP"/>
        </w:rPr>
        <w:t>t</w:t>
      </w:r>
      <w:r w:rsidRPr="0009034C">
        <w:rPr>
          <w:lang w:eastAsia="ja-JP"/>
        </w:rPr>
        <w:t xml:space="preserve"> groups were </w:t>
      </w:r>
      <w:r>
        <w:rPr>
          <w:lang w:eastAsia="ja-JP"/>
        </w:rPr>
        <w:t xml:space="preserve">similar at </w:t>
      </w:r>
      <w:r w:rsidRPr="0009034C">
        <w:rPr>
          <w:lang w:eastAsia="ja-JP"/>
        </w:rPr>
        <w:t xml:space="preserve">64.55 </w:t>
      </w:r>
      <w:r>
        <w:rPr>
          <w:lang w:eastAsia="ja-JP"/>
        </w:rPr>
        <w:t xml:space="preserve">to </w:t>
      </w:r>
      <w:r w:rsidRPr="0009034C">
        <w:rPr>
          <w:lang w:eastAsia="ja-JP"/>
        </w:rPr>
        <w:t xml:space="preserve">65.43 </w:t>
      </w:r>
      <w:proofErr w:type="spellStart"/>
      <w:r w:rsidRPr="0009034C">
        <w:rPr>
          <w:lang w:eastAsia="ja-JP"/>
        </w:rPr>
        <w:t>μmol</w:t>
      </w:r>
      <w:proofErr w:type="spellEnd"/>
      <w:r w:rsidRPr="0009034C">
        <w:rPr>
          <w:lang w:eastAsia="ja-JP"/>
        </w:rPr>
        <w:t xml:space="preserve">/L. </w:t>
      </w:r>
      <w:r>
        <w:rPr>
          <w:lang w:eastAsia="ja-JP"/>
        </w:rPr>
        <w:t>Up to</w:t>
      </w:r>
      <w:r w:rsidRPr="0009034C">
        <w:rPr>
          <w:lang w:eastAsia="ja-JP"/>
        </w:rPr>
        <w:t xml:space="preserve"> 24 months, </w:t>
      </w:r>
      <w:r>
        <w:rPr>
          <w:lang w:eastAsia="ja-JP"/>
        </w:rPr>
        <w:t xml:space="preserve">TOF treatment (either dose) produced a </w:t>
      </w:r>
      <w:r w:rsidRPr="0009034C">
        <w:rPr>
          <w:lang w:eastAsia="ja-JP"/>
        </w:rPr>
        <w:t>mean</w:t>
      </w:r>
      <w:r>
        <w:rPr>
          <w:lang w:eastAsia="ja-JP"/>
        </w:rPr>
        <w:t xml:space="preserve"> increase from baseline of 8.84 </w:t>
      </w:r>
      <w:proofErr w:type="spellStart"/>
      <w:r w:rsidRPr="0009034C">
        <w:rPr>
          <w:lang w:eastAsia="ja-JP"/>
        </w:rPr>
        <w:t>μmol</w:t>
      </w:r>
      <w:proofErr w:type="spellEnd"/>
      <w:r w:rsidRPr="0009034C">
        <w:rPr>
          <w:lang w:eastAsia="ja-JP"/>
        </w:rPr>
        <w:t>/L</w:t>
      </w:r>
      <w:r>
        <w:rPr>
          <w:lang w:eastAsia="ja-JP"/>
        </w:rPr>
        <w:t xml:space="preserve"> in serum cre</w:t>
      </w:r>
      <w:r w:rsidRPr="0009034C">
        <w:rPr>
          <w:lang w:eastAsia="ja-JP"/>
        </w:rPr>
        <w:t xml:space="preserve">atinine </w:t>
      </w:r>
      <w:r>
        <w:rPr>
          <w:lang w:eastAsia="ja-JP"/>
        </w:rPr>
        <w:t>(</w:t>
      </w:r>
      <w:r w:rsidRPr="0009034C">
        <w:rPr>
          <w:lang w:eastAsia="ja-JP"/>
        </w:rPr>
        <w:t>e</w:t>
      </w:r>
      <w:r>
        <w:rPr>
          <w:lang w:eastAsia="ja-JP"/>
        </w:rPr>
        <w:t>v</w:t>
      </w:r>
      <w:r w:rsidRPr="0009034C">
        <w:rPr>
          <w:lang w:eastAsia="ja-JP"/>
        </w:rPr>
        <w:t>i</w:t>
      </w:r>
      <w:r>
        <w:rPr>
          <w:lang w:eastAsia="ja-JP"/>
        </w:rPr>
        <w:t>dent from 6 months and stable thereafter) compared to a mean increase of</w:t>
      </w:r>
      <w:r w:rsidRPr="0009034C">
        <w:rPr>
          <w:lang w:eastAsia="ja-JP"/>
        </w:rPr>
        <w:t xml:space="preserve"> 4.42 </w:t>
      </w:r>
      <w:proofErr w:type="spellStart"/>
      <w:r w:rsidRPr="0009034C">
        <w:rPr>
          <w:lang w:eastAsia="ja-JP"/>
        </w:rPr>
        <w:t>μmol</w:t>
      </w:r>
      <w:proofErr w:type="spellEnd"/>
      <w:r w:rsidRPr="0009034C">
        <w:rPr>
          <w:lang w:eastAsia="ja-JP"/>
        </w:rPr>
        <w:t>/L in the</w:t>
      </w:r>
      <w:r>
        <w:rPr>
          <w:lang w:eastAsia="ja-JP"/>
        </w:rPr>
        <w:t xml:space="preserve"> </w:t>
      </w:r>
      <w:r w:rsidRPr="0009034C">
        <w:rPr>
          <w:lang w:eastAsia="ja-JP"/>
        </w:rPr>
        <w:t>MTX group</w:t>
      </w:r>
      <w:r w:rsidR="00B34BFC">
        <w:rPr>
          <w:lang w:eastAsia="ja-JP"/>
        </w:rPr>
        <w:t>.</w:t>
      </w:r>
    </w:p>
    <w:p w:rsidR="0073440E" w:rsidRDefault="0073440E" w:rsidP="0073440E">
      <w:pPr>
        <w:rPr>
          <w:lang w:eastAsia="ja-JP"/>
        </w:rPr>
      </w:pPr>
      <w:r>
        <w:rPr>
          <w:lang w:eastAsia="ja-JP"/>
        </w:rPr>
        <w:t>In Study A3920169, t</w:t>
      </w:r>
      <w:r w:rsidRPr="00CD6753">
        <w:rPr>
          <w:lang w:eastAsia="ja-JP"/>
        </w:rPr>
        <w:t>he proportions of patients with raised</w:t>
      </w:r>
      <w:r>
        <w:rPr>
          <w:lang w:eastAsia="ja-JP"/>
        </w:rPr>
        <w:t xml:space="preserve"> </w:t>
      </w:r>
      <w:r w:rsidRPr="00CD6753">
        <w:rPr>
          <w:lang w:eastAsia="ja-JP"/>
        </w:rPr>
        <w:t xml:space="preserve">serum creatinine (both </w:t>
      </w:r>
      <w:r w:rsidR="008F2D59">
        <w:rPr>
          <w:lang w:eastAsia="ja-JP"/>
        </w:rPr>
        <w:t xml:space="preserve">≥ </w:t>
      </w:r>
      <w:r w:rsidRPr="00CD6753">
        <w:rPr>
          <w:lang w:eastAsia="ja-JP"/>
        </w:rPr>
        <w:t xml:space="preserve">33% and </w:t>
      </w:r>
      <w:r w:rsidR="008F2D59">
        <w:rPr>
          <w:lang w:eastAsia="ja-JP"/>
        </w:rPr>
        <w:t xml:space="preserve">&gt; </w:t>
      </w:r>
      <w:r w:rsidRPr="00CD6753">
        <w:rPr>
          <w:lang w:eastAsia="ja-JP"/>
        </w:rPr>
        <w:t>50%</w:t>
      </w:r>
      <w:r>
        <w:rPr>
          <w:lang w:eastAsia="ja-JP"/>
        </w:rPr>
        <w:t xml:space="preserve"> of the average of the screening and baseline values; on at least 2</w:t>
      </w:r>
      <w:r w:rsidR="008F2D59">
        <w:rPr>
          <w:lang w:eastAsia="ja-JP"/>
        </w:rPr>
        <w:t> </w:t>
      </w:r>
      <w:r>
        <w:rPr>
          <w:lang w:eastAsia="ja-JP"/>
        </w:rPr>
        <w:t>consecutive visits</w:t>
      </w:r>
      <w:r w:rsidRPr="00CD6753">
        <w:rPr>
          <w:lang w:eastAsia="ja-JP"/>
        </w:rPr>
        <w:t xml:space="preserve">) were greater in the </w:t>
      </w:r>
      <w:r>
        <w:rPr>
          <w:lang w:eastAsia="ja-JP"/>
        </w:rPr>
        <w:t>TOF arms than the MTX</w:t>
      </w:r>
      <w:r w:rsidRPr="00CD6753">
        <w:rPr>
          <w:lang w:eastAsia="ja-JP"/>
        </w:rPr>
        <w:t xml:space="preserve"> group</w:t>
      </w:r>
      <w:r>
        <w:rPr>
          <w:lang w:eastAsia="ja-JP"/>
        </w:rPr>
        <w:t xml:space="preserve">. </w:t>
      </w:r>
      <w:r w:rsidRPr="00CD6753">
        <w:rPr>
          <w:lang w:eastAsia="ja-JP"/>
        </w:rPr>
        <w:t>The proportion of patients wh</w:t>
      </w:r>
      <w:r>
        <w:rPr>
          <w:lang w:eastAsia="ja-JP"/>
        </w:rPr>
        <w:t xml:space="preserve">o </w:t>
      </w:r>
      <w:r>
        <w:rPr>
          <w:lang w:eastAsia="ja-JP"/>
        </w:rPr>
        <w:lastRenderedPageBreak/>
        <w:t>developed</w:t>
      </w:r>
      <w:r w:rsidRPr="00CD6753">
        <w:rPr>
          <w:lang w:eastAsia="ja-JP"/>
        </w:rPr>
        <w:t xml:space="preserve"> raised serum</w:t>
      </w:r>
      <w:r>
        <w:rPr>
          <w:lang w:eastAsia="ja-JP"/>
        </w:rPr>
        <w:t xml:space="preserve"> </w:t>
      </w:r>
      <w:r w:rsidRPr="00CD6753">
        <w:rPr>
          <w:lang w:eastAsia="ja-JP"/>
        </w:rPr>
        <w:t xml:space="preserve">creatinine </w:t>
      </w:r>
      <w:r w:rsidR="00D33257">
        <w:rPr>
          <w:lang w:eastAsia="ja-JP"/>
        </w:rPr>
        <w:t>≥</w:t>
      </w:r>
      <w:r w:rsidR="00D33257" w:rsidRPr="00E205F5">
        <w:rPr>
          <w:lang w:eastAsia="ja-JP"/>
        </w:rPr>
        <w:t xml:space="preserve"> </w:t>
      </w:r>
      <w:r>
        <w:rPr>
          <w:lang w:eastAsia="ja-JP"/>
        </w:rPr>
        <w:t xml:space="preserve">33% of their baseline/screening value (which was the protocol defined threshold for intensive monitoring) </w:t>
      </w:r>
      <w:r w:rsidRPr="00CD6753">
        <w:rPr>
          <w:lang w:eastAsia="ja-JP"/>
        </w:rPr>
        <w:t>was</w:t>
      </w:r>
      <w:r>
        <w:rPr>
          <w:lang w:eastAsia="ja-JP"/>
        </w:rPr>
        <w:t xml:space="preserve"> 9.9% (37</w:t>
      </w:r>
      <w:r w:rsidR="008F2D59">
        <w:rPr>
          <w:lang w:eastAsia="ja-JP"/>
        </w:rPr>
        <w:t xml:space="preserve"> out of </w:t>
      </w:r>
      <w:r>
        <w:rPr>
          <w:lang w:eastAsia="ja-JP"/>
        </w:rPr>
        <w:t>373)</w:t>
      </w:r>
      <w:r w:rsidRPr="00CD6753">
        <w:rPr>
          <w:lang w:eastAsia="ja-JP"/>
        </w:rPr>
        <w:t xml:space="preserve"> in th</w:t>
      </w:r>
      <w:r>
        <w:rPr>
          <w:lang w:eastAsia="ja-JP"/>
        </w:rPr>
        <w:t>e TOF 5 mg group, 9.5% (38</w:t>
      </w:r>
      <w:r w:rsidR="008F2D59">
        <w:rPr>
          <w:lang w:eastAsia="ja-JP"/>
        </w:rPr>
        <w:t xml:space="preserve"> out of </w:t>
      </w:r>
      <w:r>
        <w:rPr>
          <w:lang w:eastAsia="ja-JP"/>
        </w:rPr>
        <w:t>399) in</w:t>
      </w:r>
      <w:r w:rsidRPr="00CD6753">
        <w:rPr>
          <w:lang w:eastAsia="ja-JP"/>
        </w:rPr>
        <w:t xml:space="preserve"> t</w:t>
      </w:r>
      <w:r>
        <w:rPr>
          <w:lang w:eastAsia="ja-JP"/>
        </w:rPr>
        <w:t>he TOF 10 mg a</w:t>
      </w:r>
      <w:r w:rsidRPr="00CD6753">
        <w:rPr>
          <w:lang w:eastAsia="ja-JP"/>
        </w:rPr>
        <w:t>r</w:t>
      </w:r>
      <w:r>
        <w:rPr>
          <w:lang w:eastAsia="ja-JP"/>
        </w:rPr>
        <w:t>m and 2.7% (5</w:t>
      </w:r>
      <w:r w:rsidR="00FF0AA9">
        <w:rPr>
          <w:lang w:eastAsia="ja-JP"/>
        </w:rPr>
        <w:t xml:space="preserve"> out of </w:t>
      </w:r>
      <w:r>
        <w:rPr>
          <w:lang w:eastAsia="ja-JP"/>
        </w:rPr>
        <w:t>186) in the MTX group</w:t>
      </w:r>
      <w:r w:rsidRPr="00CD6753">
        <w:rPr>
          <w:lang w:eastAsia="ja-JP"/>
        </w:rPr>
        <w:t>.</w:t>
      </w:r>
      <w:r>
        <w:rPr>
          <w:lang w:eastAsia="ja-JP"/>
        </w:rPr>
        <w:t xml:space="preserve"> </w:t>
      </w:r>
      <w:r w:rsidRPr="00CD6753">
        <w:rPr>
          <w:lang w:eastAsia="ja-JP"/>
        </w:rPr>
        <w:t>The p</w:t>
      </w:r>
      <w:r>
        <w:rPr>
          <w:lang w:eastAsia="ja-JP"/>
        </w:rPr>
        <w:t>e</w:t>
      </w:r>
      <w:r w:rsidRPr="00CD6753">
        <w:rPr>
          <w:lang w:eastAsia="ja-JP"/>
        </w:rPr>
        <w:t>r</w:t>
      </w:r>
      <w:r>
        <w:rPr>
          <w:lang w:eastAsia="ja-JP"/>
        </w:rPr>
        <w:t>cen</w:t>
      </w:r>
      <w:r w:rsidRPr="00CD6753">
        <w:rPr>
          <w:lang w:eastAsia="ja-JP"/>
        </w:rPr>
        <w:t>t</w:t>
      </w:r>
      <w:r>
        <w:rPr>
          <w:lang w:eastAsia="ja-JP"/>
        </w:rPr>
        <w:t>age</w:t>
      </w:r>
      <w:r w:rsidRPr="00CD6753">
        <w:rPr>
          <w:lang w:eastAsia="ja-JP"/>
        </w:rPr>
        <w:t xml:space="preserve"> of </w:t>
      </w:r>
      <w:r>
        <w:rPr>
          <w:lang w:eastAsia="ja-JP"/>
        </w:rPr>
        <w:t>subjec</w:t>
      </w:r>
      <w:r w:rsidRPr="00CD6753">
        <w:rPr>
          <w:lang w:eastAsia="ja-JP"/>
        </w:rPr>
        <w:t>ts wh</w:t>
      </w:r>
      <w:r>
        <w:rPr>
          <w:lang w:eastAsia="ja-JP"/>
        </w:rPr>
        <w:t>o recorded</w:t>
      </w:r>
      <w:r w:rsidRPr="00CD6753">
        <w:rPr>
          <w:lang w:eastAsia="ja-JP"/>
        </w:rPr>
        <w:t xml:space="preserve"> raised serum</w:t>
      </w:r>
      <w:r>
        <w:rPr>
          <w:lang w:eastAsia="ja-JP"/>
        </w:rPr>
        <w:t xml:space="preserve"> </w:t>
      </w:r>
      <w:r w:rsidRPr="00CD6753">
        <w:rPr>
          <w:lang w:eastAsia="ja-JP"/>
        </w:rPr>
        <w:t xml:space="preserve">creatinine </w:t>
      </w:r>
      <w:r w:rsidR="008F2D59">
        <w:rPr>
          <w:lang w:eastAsia="ja-JP"/>
        </w:rPr>
        <w:t xml:space="preserve">&gt; </w:t>
      </w:r>
      <w:r>
        <w:rPr>
          <w:lang w:eastAsia="ja-JP"/>
        </w:rPr>
        <w:t xml:space="preserve">50% of their baseline/screening value (which was the protocol defined threshold for drug discontinuation) </w:t>
      </w:r>
      <w:r w:rsidRPr="00CD6753">
        <w:rPr>
          <w:lang w:eastAsia="ja-JP"/>
        </w:rPr>
        <w:t>was</w:t>
      </w:r>
      <w:r>
        <w:rPr>
          <w:lang w:eastAsia="ja-JP"/>
        </w:rPr>
        <w:t xml:space="preserve"> 1.6% (6</w:t>
      </w:r>
      <w:r w:rsidR="008F2D59">
        <w:rPr>
          <w:lang w:eastAsia="ja-JP"/>
        </w:rPr>
        <w:t xml:space="preserve"> out of </w:t>
      </w:r>
      <w:r>
        <w:rPr>
          <w:lang w:eastAsia="ja-JP"/>
        </w:rPr>
        <w:t>373)</w:t>
      </w:r>
      <w:r w:rsidRPr="00CD6753">
        <w:rPr>
          <w:lang w:eastAsia="ja-JP"/>
        </w:rPr>
        <w:t xml:space="preserve"> in th</w:t>
      </w:r>
      <w:r>
        <w:rPr>
          <w:lang w:eastAsia="ja-JP"/>
        </w:rPr>
        <w:t>e TOF 5 mg group, 2.5% (10</w:t>
      </w:r>
      <w:r w:rsidR="00FF0AA9">
        <w:rPr>
          <w:lang w:eastAsia="ja-JP"/>
        </w:rPr>
        <w:t xml:space="preserve"> out of </w:t>
      </w:r>
      <w:r>
        <w:rPr>
          <w:lang w:eastAsia="ja-JP"/>
        </w:rPr>
        <w:t>399) in</w:t>
      </w:r>
      <w:r w:rsidRPr="00CD6753">
        <w:rPr>
          <w:lang w:eastAsia="ja-JP"/>
        </w:rPr>
        <w:t xml:space="preserve"> t</w:t>
      </w:r>
      <w:r>
        <w:rPr>
          <w:lang w:eastAsia="ja-JP"/>
        </w:rPr>
        <w:t>he TOF 10 mg a</w:t>
      </w:r>
      <w:r w:rsidRPr="00CD6753">
        <w:rPr>
          <w:lang w:eastAsia="ja-JP"/>
        </w:rPr>
        <w:t>r</w:t>
      </w:r>
      <w:r>
        <w:rPr>
          <w:lang w:eastAsia="ja-JP"/>
        </w:rPr>
        <w:t>m and zero in the MTX group</w:t>
      </w:r>
      <w:r w:rsidRPr="00CD6753">
        <w:rPr>
          <w:lang w:eastAsia="ja-JP"/>
        </w:rPr>
        <w:t>.</w:t>
      </w:r>
    </w:p>
    <w:p w:rsidR="0073440E" w:rsidRPr="00C2074B" w:rsidRDefault="0073440E" w:rsidP="00083D05">
      <w:pPr>
        <w:pStyle w:val="Heading6"/>
      </w:pPr>
      <w:r w:rsidRPr="00C2074B">
        <w:t>Other studies</w:t>
      </w:r>
    </w:p>
    <w:p w:rsidR="0073440E" w:rsidRDefault="0073440E" w:rsidP="0073440E">
      <w:pPr>
        <w:rPr>
          <w:lang w:eastAsia="ja-JP"/>
        </w:rPr>
      </w:pPr>
      <w:bookmarkStart w:id="98" w:name="_Toc272414671"/>
      <w:bookmarkStart w:id="99" w:name="_Toc290888535"/>
      <w:bookmarkStart w:id="100" w:name="_Toc416353751"/>
      <w:bookmarkStart w:id="101" w:name="_Toc421005294"/>
      <w:bookmarkStart w:id="102" w:name="_Toc432079171"/>
      <w:bookmarkStart w:id="103" w:name="_Toc432080744"/>
      <w:r>
        <w:rPr>
          <w:lang w:eastAsia="ja-JP"/>
        </w:rPr>
        <w:t>No new information.</w:t>
      </w:r>
    </w:p>
    <w:p w:rsidR="0073440E" w:rsidRDefault="0073440E" w:rsidP="00083D05">
      <w:pPr>
        <w:pStyle w:val="Heading5"/>
      </w:pPr>
      <w:r w:rsidRPr="00545B14">
        <w:t>Other clinical chemistry</w:t>
      </w:r>
      <w:bookmarkEnd w:id="98"/>
      <w:bookmarkEnd w:id="99"/>
      <w:bookmarkEnd w:id="100"/>
      <w:bookmarkEnd w:id="101"/>
      <w:bookmarkEnd w:id="102"/>
      <w:bookmarkEnd w:id="103"/>
    </w:p>
    <w:p w:rsidR="0073440E" w:rsidRPr="00083D05" w:rsidRDefault="0073440E" w:rsidP="00083D05">
      <w:pPr>
        <w:pStyle w:val="Heading6"/>
      </w:pPr>
      <w:r w:rsidRPr="00083D05">
        <w:t>Integrated safety analyses</w:t>
      </w:r>
    </w:p>
    <w:p w:rsidR="0073440E" w:rsidRDefault="0073440E" w:rsidP="0073440E">
      <w:pPr>
        <w:rPr>
          <w:lang w:eastAsia="ja-JP"/>
        </w:rPr>
      </w:pPr>
      <w:r>
        <w:rPr>
          <w:lang w:eastAsia="ja-JP"/>
        </w:rPr>
        <w:t>No new information.</w:t>
      </w:r>
    </w:p>
    <w:p w:rsidR="0073440E" w:rsidRPr="00C2074B" w:rsidRDefault="0073440E" w:rsidP="00083D05">
      <w:pPr>
        <w:pStyle w:val="Heading6"/>
      </w:pPr>
      <w:r w:rsidRPr="00C2074B">
        <w:t>Pivotal and/or main efficacy studies</w:t>
      </w:r>
    </w:p>
    <w:p w:rsidR="0073440E" w:rsidRDefault="0073440E" w:rsidP="0073440E">
      <w:pPr>
        <w:rPr>
          <w:lang w:eastAsia="ja-JP"/>
        </w:rPr>
      </w:pPr>
      <w:r w:rsidRPr="00D42875">
        <w:rPr>
          <w:lang w:eastAsia="ja-JP"/>
        </w:rPr>
        <w:t xml:space="preserve">Over 24 months of observation </w:t>
      </w:r>
      <w:r>
        <w:rPr>
          <w:lang w:eastAsia="ja-JP"/>
        </w:rPr>
        <w:t xml:space="preserve">in Study A3921069 </w:t>
      </w:r>
      <w:r w:rsidRPr="00D42875">
        <w:rPr>
          <w:lang w:eastAsia="ja-JP"/>
        </w:rPr>
        <w:t>(without</w:t>
      </w:r>
      <w:r>
        <w:rPr>
          <w:lang w:eastAsia="ja-JP"/>
        </w:rPr>
        <w:t xml:space="preserve"> </w:t>
      </w:r>
      <w:r w:rsidRPr="00D42875">
        <w:rPr>
          <w:lang w:eastAsia="ja-JP"/>
        </w:rPr>
        <w:t xml:space="preserve">regard to baseline </w:t>
      </w:r>
      <w:r>
        <w:rPr>
          <w:lang w:eastAsia="ja-JP"/>
        </w:rPr>
        <w:t>values</w:t>
      </w:r>
      <w:r w:rsidRPr="00D42875">
        <w:rPr>
          <w:lang w:eastAsia="ja-JP"/>
        </w:rPr>
        <w:t xml:space="preserve">), the percentage of subjects who experienced a </w:t>
      </w:r>
      <w:r w:rsidR="008F2D59">
        <w:rPr>
          <w:lang w:eastAsia="ja-JP"/>
        </w:rPr>
        <w:t xml:space="preserve">&gt; </w:t>
      </w:r>
      <w:r>
        <w:rPr>
          <w:lang w:eastAsia="ja-JP"/>
        </w:rPr>
        <w:t>2</w:t>
      </w:r>
      <w:r w:rsidR="008F2D59">
        <w:rPr>
          <w:lang w:eastAsia="ja-JP"/>
        </w:rPr>
        <w:t xml:space="preserve"> </w:t>
      </w:r>
      <w:r>
        <w:rPr>
          <w:lang w:eastAsia="ja-JP"/>
        </w:rPr>
        <w:t xml:space="preserve">fold increase in serum </w:t>
      </w:r>
      <w:r w:rsidRPr="00D42875">
        <w:rPr>
          <w:lang w:eastAsia="ja-JP"/>
        </w:rPr>
        <w:t>C</w:t>
      </w:r>
      <w:r>
        <w:rPr>
          <w:lang w:eastAsia="ja-JP"/>
        </w:rPr>
        <w:t>P</w:t>
      </w:r>
      <w:r w:rsidRPr="00D42875">
        <w:rPr>
          <w:lang w:eastAsia="ja-JP"/>
        </w:rPr>
        <w:t xml:space="preserve">K </w:t>
      </w:r>
      <w:r>
        <w:rPr>
          <w:lang w:eastAsia="ja-JP"/>
        </w:rPr>
        <w:t>r</w:t>
      </w:r>
      <w:r w:rsidRPr="00D42875">
        <w:rPr>
          <w:lang w:eastAsia="ja-JP"/>
        </w:rPr>
        <w:t>e</w:t>
      </w:r>
      <w:r>
        <w:rPr>
          <w:lang w:eastAsia="ja-JP"/>
        </w:rPr>
        <w:t xml:space="preserve">ading was significantly higher with </w:t>
      </w:r>
      <w:r w:rsidRPr="00D42875">
        <w:rPr>
          <w:lang w:eastAsia="ja-JP"/>
        </w:rPr>
        <w:t>T</w:t>
      </w:r>
      <w:r>
        <w:rPr>
          <w:lang w:eastAsia="ja-JP"/>
        </w:rPr>
        <w:t>OF therapy (in a d</w:t>
      </w:r>
      <w:r w:rsidRPr="00D42875">
        <w:rPr>
          <w:lang w:eastAsia="ja-JP"/>
        </w:rPr>
        <w:t>os</w:t>
      </w:r>
      <w:r>
        <w:rPr>
          <w:lang w:eastAsia="ja-JP"/>
        </w:rPr>
        <w:t>e related manner) compared to MTX. Overall, 12.5% (46</w:t>
      </w:r>
      <w:r w:rsidR="008F2D59">
        <w:rPr>
          <w:lang w:eastAsia="ja-JP"/>
        </w:rPr>
        <w:t xml:space="preserve"> out of </w:t>
      </w:r>
      <w:r>
        <w:rPr>
          <w:lang w:eastAsia="ja-JP"/>
        </w:rPr>
        <w:t>368) of subjects in the TOF 5 mg group, 22.2% (88</w:t>
      </w:r>
      <w:r w:rsidR="008F2D59">
        <w:rPr>
          <w:lang w:eastAsia="ja-JP"/>
        </w:rPr>
        <w:t xml:space="preserve"> out of </w:t>
      </w:r>
      <w:r>
        <w:rPr>
          <w:lang w:eastAsia="ja-JP"/>
        </w:rPr>
        <w:t>396) of patients i</w:t>
      </w:r>
      <w:r w:rsidRPr="00D42875">
        <w:rPr>
          <w:lang w:eastAsia="ja-JP"/>
        </w:rPr>
        <w:t>n</w:t>
      </w:r>
      <w:r>
        <w:rPr>
          <w:lang w:eastAsia="ja-JP"/>
        </w:rPr>
        <w:t xml:space="preserve"> </w:t>
      </w:r>
      <w:r w:rsidRPr="00D42875">
        <w:rPr>
          <w:lang w:eastAsia="ja-JP"/>
        </w:rPr>
        <w:t>the</w:t>
      </w:r>
      <w:r>
        <w:rPr>
          <w:lang w:eastAsia="ja-JP"/>
        </w:rPr>
        <w:t xml:space="preserve"> TOF </w:t>
      </w:r>
      <w:r w:rsidRPr="00D42875">
        <w:rPr>
          <w:lang w:eastAsia="ja-JP"/>
        </w:rPr>
        <w:t xml:space="preserve">10 mg </w:t>
      </w:r>
      <w:r>
        <w:rPr>
          <w:lang w:eastAsia="ja-JP"/>
        </w:rPr>
        <w:t>arm</w:t>
      </w:r>
      <w:r w:rsidRPr="00D42875">
        <w:rPr>
          <w:lang w:eastAsia="ja-JP"/>
        </w:rPr>
        <w:t xml:space="preserve"> and </w:t>
      </w:r>
      <w:r>
        <w:rPr>
          <w:lang w:eastAsia="ja-JP"/>
        </w:rPr>
        <w:t>3.8% (7</w:t>
      </w:r>
      <w:r w:rsidR="008F2D59">
        <w:rPr>
          <w:lang w:eastAsia="ja-JP"/>
        </w:rPr>
        <w:t xml:space="preserve"> out of </w:t>
      </w:r>
      <w:r>
        <w:rPr>
          <w:lang w:eastAsia="ja-JP"/>
        </w:rPr>
        <w:t xml:space="preserve">184) of subjects in the </w:t>
      </w:r>
      <w:r w:rsidRPr="00D42875">
        <w:rPr>
          <w:lang w:eastAsia="ja-JP"/>
        </w:rPr>
        <w:t>MTX</w:t>
      </w:r>
      <w:r>
        <w:rPr>
          <w:lang w:eastAsia="ja-JP"/>
        </w:rPr>
        <w:t xml:space="preserve"> group developed </w:t>
      </w:r>
      <w:r w:rsidR="008F2D59">
        <w:rPr>
          <w:lang w:eastAsia="ja-JP"/>
        </w:rPr>
        <w:t>2 fold</w:t>
      </w:r>
      <w:r>
        <w:rPr>
          <w:lang w:eastAsia="ja-JP"/>
        </w:rPr>
        <w:t xml:space="preserve"> increases in serum CPK levels</w:t>
      </w:r>
      <w:r w:rsidRPr="00D42875">
        <w:rPr>
          <w:lang w:eastAsia="ja-JP"/>
        </w:rPr>
        <w:t>.</w:t>
      </w:r>
      <w:r>
        <w:rPr>
          <w:lang w:eastAsia="ja-JP"/>
        </w:rPr>
        <w:t xml:space="preserve"> One subject discontinued from Study A3921069 because if increased CPK. A 29 year old male in the TOF 5 mg group permanently discontinued from the trial because of rhabdomyolysis with the peak serum CPK value being 3680 U/L on study day 450. No other patients recorded rhabdomyolysis in Study A3921069. No other significant abnormalities of clinical chemistry were observed.</w:t>
      </w:r>
    </w:p>
    <w:p w:rsidR="0073440E" w:rsidRPr="00C2074B" w:rsidRDefault="0073440E" w:rsidP="00083D05">
      <w:pPr>
        <w:pStyle w:val="Heading6"/>
      </w:pPr>
      <w:r w:rsidRPr="00C2074B">
        <w:t>Other studies</w:t>
      </w:r>
    </w:p>
    <w:p w:rsidR="0073440E" w:rsidRDefault="0073440E" w:rsidP="0073440E">
      <w:pPr>
        <w:rPr>
          <w:lang w:eastAsia="ja-JP"/>
        </w:rPr>
      </w:pPr>
      <w:r>
        <w:rPr>
          <w:lang w:eastAsia="ja-JP"/>
        </w:rPr>
        <w:t>No new information.</w:t>
      </w:r>
    </w:p>
    <w:p w:rsidR="0073440E" w:rsidRPr="00545B14" w:rsidRDefault="0073440E" w:rsidP="00083D05">
      <w:pPr>
        <w:pStyle w:val="Heading5"/>
      </w:pPr>
      <w:bookmarkStart w:id="104" w:name="_Toc272414672"/>
      <w:bookmarkStart w:id="105" w:name="_Toc290888536"/>
      <w:bookmarkStart w:id="106" w:name="_Toc416353752"/>
      <w:bookmarkStart w:id="107" w:name="_Toc421005295"/>
      <w:bookmarkStart w:id="108" w:name="_Toc432079172"/>
      <w:bookmarkStart w:id="109" w:name="_Toc432080745"/>
      <w:r w:rsidRPr="00545B14">
        <w:t>Haematology</w:t>
      </w:r>
      <w:bookmarkEnd w:id="104"/>
      <w:bookmarkEnd w:id="105"/>
      <w:bookmarkEnd w:id="106"/>
      <w:bookmarkEnd w:id="107"/>
      <w:r>
        <w:t xml:space="preserve"> and haematological toxicity</w:t>
      </w:r>
      <w:bookmarkEnd w:id="108"/>
      <w:bookmarkEnd w:id="109"/>
    </w:p>
    <w:p w:rsidR="0073440E" w:rsidRPr="002B7B05" w:rsidRDefault="0073440E" w:rsidP="00083D05">
      <w:pPr>
        <w:pStyle w:val="Heading6"/>
      </w:pPr>
      <w:r>
        <w:t>I</w:t>
      </w:r>
      <w:r w:rsidRPr="002B7B05">
        <w:t>ntegrated safety analyses</w:t>
      </w:r>
    </w:p>
    <w:p w:rsidR="00B34BFC" w:rsidRDefault="0073440E" w:rsidP="0073440E">
      <w:pPr>
        <w:rPr>
          <w:lang w:eastAsia="ja-JP"/>
        </w:rPr>
      </w:pPr>
      <w:r w:rsidRPr="007D404E">
        <w:rPr>
          <w:lang w:eastAsia="ja-JP"/>
        </w:rPr>
        <w:t xml:space="preserve">With the addition of data from Study </w:t>
      </w:r>
      <w:r>
        <w:rPr>
          <w:lang w:eastAsia="ja-JP"/>
        </w:rPr>
        <w:t>A392</w:t>
      </w:r>
      <w:r w:rsidRPr="007D404E">
        <w:rPr>
          <w:lang w:eastAsia="ja-JP"/>
        </w:rPr>
        <w:t>1069 and the latest data cut-off date of 31</w:t>
      </w:r>
      <w:r w:rsidR="008F2D59">
        <w:rPr>
          <w:lang w:eastAsia="ja-JP"/>
        </w:rPr>
        <w:t> </w:t>
      </w:r>
      <w:r w:rsidRPr="007D404E">
        <w:rPr>
          <w:lang w:eastAsia="ja-JP"/>
        </w:rPr>
        <w:t>March 2015,</w:t>
      </w:r>
      <w:r>
        <w:rPr>
          <w:lang w:eastAsia="ja-JP"/>
        </w:rPr>
        <w:t xml:space="preserve"> </w:t>
      </w:r>
      <w:r w:rsidRPr="007D404E">
        <w:rPr>
          <w:lang w:eastAsia="ja-JP"/>
        </w:rPr>
        <w:t xml:space="preserve">the </w:t>
      </w:r>
      <w:r>
        <w:rPr>
          <w:lang w:eastAsia="ja-JP"/>
        </w:rPr>
        <w:t xml:space="preserve">sponsor proposes updating the </w:t>
      </w:r>
      <w:r w:rsidRPr="007D404E">
        <w:rPr>
          <w:lang w:eastAsia="ja-JP"/>
        </w:rPr>
        <w:t xml:space="preserve">rates of </w:t>
      </w:r>
      <w:r>
        <w:rPr>
          <w:lang w:eastAsia="ja-JP"/>
        </w:rPr>
        <w:t>l</w:t>
      </w:r>
      <w:r w:rsidRPr="007D404E">
        <w:rPr>
          <w:lang w:eastAsia="ja-JP"/>
        </w:rPr>
        <w:t>ympho</w:t>
      </w:r>
      <w:r>
        <w:rPr>
          <w:lang w:eastAsia="ja-JP"/>
        </w:rPr>
        <w:t>p</w:t>
      </w:r>
      <w:r w:rsidRPr="007D404E">
        <w:rPr>
          <w:lang w:eastAsia="ja-JP"/>
        </w:rPr>
        <w:t>e</w:t>
      </w:r>
      <w:r>
        <w:rPr>
          <w:lang w:eastAsia="ja-JP"/>
        </w:rPr>
        <w:t>nia</w:t>
      </w:r>
      <w:r w:rsidRPr="007D404E">
        <w:rPr>
          <w:lang w:eastAsia="ja-JP"/>
        </w:rPr>
        <w:t xml:space="preserve"> in the </w:t>
      </w:r>
      <w:r>
        <w:rPr>
          <w:lang w:eastAsia="ja-JP"/>
        </w:rPr>
        <w:t xml:space="preserve">Adverse Effects section of the </w:t>
      </w:r>
      <w:r w:rsidRPr="007D404E">
        <w:rPr>
          <w:lang w:eastAsia="ja-JP"/>
        </w:rPr>
        <w:t xml:space="preserve">PI from </w:t>
      </w:r>
      <w:r>
        <w:rPr>
          <w:lang w:eastAsia="ja-JP"/>
        </w:rPr>
        <w:t xml:space="preserve">the current </w:t>
      </w:r>
      <w:r w:rsidRPr="007D404E">
        <w:rPr>
          <w:lang w:eastAsia="ja-JP"/>
        </w:rPr>
        <w:t>0.21</w:t>
      </w:r>
      <w:r>
        <w:rPr>
          <w:lang w:eastAsia="ja-JP"/>
        </w:rPr>
        <w:t xml:space="preserve">% to </w:t>
      </w:r>
      <w:r w:rsidRPr="007D404E">
        <w:rPr>
          <w:lang w:eastAsia="ja-JP"/>
        </w:rPr>
        <w:t>0.23% f</w:t>
      </w:r>
      <w:r>
        <w:rPr>
          <w:lang w:eastAsia="ja-JP"/>
        </w:rPr>
        <w:t>or</w:t>
      </w:r>
      <w:r w:rsidRPr="007D404E">
        <w:rPr>
          <w:lang w:eastAsia="ja-JP"/>
        </w:rPr>
        <w:t xml:space="preserve"> patients </w:t>
      </w:r>
      <w:r>
        <w:rPr>
          <w:lang w:eastAsia="ja-JP"/>
        </w:rPr>
        <w:t xml:space="preserve">treated with TOF </w:t>
      </w:r>
      <w:r w:rsidRPr="007D404E">
        <w:rPr>
          <w:lang w:eastAsia="ja-JP"/>
        </w:rPr>
        <w:t>in the controlled clinical studies</w:t>
      </w:r>
      <w:r>
        <w:rPr>
          <w:lang w:eastAsia="ja-JP"/>
        </w:rPr>
        <w:t xml:space="preserve">, </w:t>
      </w:r>
      <w:r w:rsidRPr="007D404E">
        <w:rPr>
          <w:lang w:eastAsia="ja-JP"/>
        </w:rPr>
        <w:t>and from 0.31</w:t>
      </w:r>
      <w:r>
        <w:rPr>
          <w:lang w:eastAsia="ja-JP"/>
        </w:rPr>
        <w:t>%</w:t>
      </w:r>
      <w:r w:rsidRPr="007D404E">
        <w:rPr>
          <w:lang w:eastAsia="ja-JP"/>
        </w:rPr>
        <w:t xml:space="preserve"> to 1.3% of patients in the </w:t>
      </w:r>
      <w:r w:rsidR="00B34BFC">
        <w:rPr>
          <w:lang w:eastAsia="ja-JP"/>
        </w:rPr>
        <w:t>long term</w:t>
      </w:r>
      <w:r w:rsidRPr="007D404E">
        <w:rPr>
          <w:lang w:eastAsia="ja-JP"/>
        </w:rPr>
        <w:t xml:space="preserve"> safety</w:t>
      </w:r>
      <w:r>
        <w:rPr>
          <w:lang w:eastAsia="ja-JP"/>
        </w:rPr>
        <w:t xml:space="preserve"> </w:t>
      </w:r>
      <w:r w:rsidRPr="007D404E">
        <w:rPr>
          <w:lang w:eastAsia="ja-JP"/>
        </w:rPr>
        <w:t>population</w:t>
      </w:r>
      <w:r w:rsidR="00B34BFC">
        <w:rPr>
          <w:lang w:eastAsia="ja-JP"/>
        </w:rPr>
        <w:t>.</w:t>
      </w:r>
    </w:p>
    <w:p w:rsidR="0073440E" w:rsidRPr="00083D05" w:rsidRDefault="0073440E" w:rsidP="00083D05">
      <w:pPr>
        <w:pStyle w:val="Heading6"/>
      </w:pPr>
      <w:r w:rsidRPr="00083D05">
        <w:t>Pivotal and/or main efficacy studies</w:t>
      </w:r>
    </w:p>
    <w:p w:rsidR="00B34BFC" w:rsidRDefault="0073440E" w:rsidP="0073440E">
      <w:pPr>
        <w:rPr>
          <w:lang w:eastAsia="ja-JP"/>
        </w:rPr>
      </w:pPr>
      <w:r>
        <w:rPr>
          <w:lang w:eastAsia="ja-JP"/>
        </w:rPr>
        <w:t>A</w:t>
      </w:r>
      <w:r w:rsidRPr="002B1644">
        <w:rPr>
          <w:lang w:eastAsia="ja-JP"/>
        </w:rPr>
        <w:t>fter 24 months of treatment</w:t>
      </w:r>
      <w:r>
        <w:rPr>
          <w:lang w:eastAsia="ja-JP"/>
        </w:rPr>
        <w:t xml:space="preserve"> i</w:t>
      </w:r>
      <w:r w:rsidRPr="002B1644">
        <w:rPr>
          <w:lang w:eastAsia="ja-JP"/>
        </w:rPr>
        <w:t xml:space="preserve">n Study </w:t>
      </w:r>
      <w:r>
        <w:rPr>
          <w:lang w:eastAsia="ja-JP"/>
        </w:rPr>
        <w:t>A392</w:t>
      </w:r>
      <w:r w:rsidRPr="002B1644">
        <w:rPr>
          <w:lang w:eastAsia="ja-JP"/>
        </w:rPr>
        <w:t>1069, the median decrease</w:t>
      </w:r>
      <w:r>
        <w:rPr>
          <w:lang w:eastAsia="ja-JP"/>
        </w:rPr>
        <w:t xml:space="preserve"> from baseline</w:t>
      </w:r>
      <w:r w:rsidRPr="002B1644">
        <w:rPr>
          <w:lang w:eastAsia="ja-JP"/>
        </w:rPr>
        <w:t xml:space="preserve"> in absolute neutrophil</w:t>
      </w:r>
      <w:r>
        <w:rPr>
          <w:lang w:eastAsia="ja-JP"/>
        </w:rPr>
        <w:t xml:space="preserve"> </w:t>
      </w:r>
      <w:r w:rsidRPr="002B1644">
        <w:rPr>
          <w:lang w:eastAsia="ja-JP"/>
        </w:rPr>
        <w:t xml:space="preserve">counts was </w:t>
      </w:r>
      <w:r w:rsidR="008F2D59">
        <w:rPr>
          <w:lang w:eastAsia="ja-JP"/>
        </w:rPr>
        <w:noBreakHyphen/>
      </w:r>
      <w:r w:rsidRPr="002B1644">
        <w:rPr>
          <w:lang w:eastAsia="ja-JP"/>
        </w:rPr>
        <w:t xml:space="preserve">1.17, </w:t>
      </w:r>
      <w:r w:rsidR="008F2D59">
        <w:rPr>
          <w:lang w:eastAsia="ja-JP"/>
        </w:rPr>
        <w:noBreakHyphen/>
      </w:r>
      <w:r w:rsidRPr="002B1644">
        <w:rPr>
          <w:lang w:eastAsia="ja-JP"/>
        </w:rPr>
        <w:t xml:space="preserve">1.57 and </w:t>
      </w:r>
      <w:r w:rsidR="008F2D59">
        <w:rPr>
          <w:lang w:eastAsia="ja-JP"/>
        </w:rPr>
        <w:noBreakHyphen/>
      </w:r>
      <w:r w:rsidRPr="002B1644">
        <w:rPr>
          <w:lang w:eastAsia="ja-JP"/>
        </w:rPr>
        <w:t>0.85 x</w:t>
      </w:r>
      <w:r>
        <w:rPr>
          <w:lang w:eastAsia="ja-JP"/>
        </w:rPr>
        <w:t xml:space="preserve"> </w:t>
      </w:r>
      <w:r w:rsidRPr="002B1644">
        <w:rPr>
          <w:lang w:eastAsia="ja-JP"/>
        </w:rPr>
        <w:t>10</w:t>
      </w:r>
      <w:r>
        <w:rPr>
          <w:vertAlign w:val="superscript"/>
          <w:lang w:eastAsia="ja-JP"/>
        </w:rPr>
        <w:t>9</w:t>
      </w:r>
      <w:r w:rsidRPr="002B1644">
        <w:rPr>
          <w:lang w:eastAsia="ja-JP"/>
        </w:rPr>
        <w:t xml:space="preserve"> cells/L in the </w:t>
      </w:r>
      <w:r>
        <w:rPr>
          <w:lang w:eastAsia="ja-JP"/>
        </w:rPr>
        <w:t>TOF</w:t>
      </w:r>
      <w:r w:rsidRPr="002B1644">
        <w:rPr>
          <w:lang w:eastAsia="ja-JP"/>
        </w:rPr>
        <w:t xml:space="preserve"> 5</w:t>
      </w:r>
      <w:r>
        <w:rPr>
          <w:lang w:eastAsia="ja-JP"/>
        </w:rPr>
        <w:t xml:space="preserve"> </w:t>
      </w:r>
      <w:r w:rsidRPr="002B1644">
        <w:rPr>
          <w:lang w:eastAsia="ja-JP"/>
        </w:rPr>
        <w:t xml:space="preserve">mg, </w:t>
      </w:r>
      <w:r>
        <w:rPr>
          <w:lang w:eastAsia="ja-JP"/>
        </w:rPr>
        <w:t xml:space="preserve">TOF </w:t>
      </w:r>
      <w:r w:rsidRPr="002B1644">
        <w:rPr>
          <w:lang w:eastAsia="ja-JP"/>
        </w:rPr>
        <w:t>10 mg and MTX groups, respectively</w:t>
      </w:r>
      <w:r>
        <w:rPr>
          <w:lang w:eastAsia="ja-JP"/>
        </w:rPr>
        <w:t>. The</w:t>
      </w:r>
      <w:r w:rsidRPr="002B1644">
        <w:rPr>
          <w:lang w:eastAsia="ja-JP"/>
        </w:rPr>
        <w:t xml:space="preserve"> </w:t>
      </w:r>
      <w:r>
        <w:rPr>
          <w:lang w:eastAsia="ja-JP"/>
        </w:rPr>
        <w:t>s</w:t>
      </w:r>
      <w:r w:rsidRPr="002B1644">
        <w:rPr>
          <w:lang w:eastAsia="ja-JP"/>
        </w:rPr>
        <w:t xml:space="preserve">tudy </w:t>
      </w:r>
      <w:r>
        <w:rPr>
          <w:lang w:eastAsia="ja-JP"/>
        </w:rPr>
        <w:t xml:space="preserve">also demonstrated </w:t>
      </w:r>
      <w:r w:rsidRPr="002B1644">
        <w:rPr>
          <w:lang w:eastAsia="ja-JP"/>
        </w:rPr>
        <w:t xml:space="preserve">greater </w:t>
      </w:r>
      <w:r>
        <w:rPr>
          <w:lang w:eastAsia="ja-JP"/>
        </w:rPr>
        <w:t xml:space="preserve">median </w:t>
      </w:r>
      <w:r w:rsidRPr="002B1644">
        <w:rPr>
          <w:lang w:eastAsia="ja-JP"/>
        </w:rPr>
        <w:t xml:space="preserve">decreases </w:t>
      </w:r>
      <w:r>
        <w:rPr>
          <w:lang w:eastAsia="ja-JP"/>
        </w:rPr>
        <w:t xml:space="preserve">from baseline </w:t>
      </w:r>
      <w:r w:rsidRPr="002B1644">
        <w:rPr>
          <w:lang w:eastAsia="ja-JP"/>
        </w:rPr>
        <w:t xml:space="preserve">in </w:t>
      </w:r>
      <w:r>
        <w:rPr>
          <w:lang w:eastAsia="ja-JP"/>
        </w:rPr>
        <w:t>total lymphocyte counts</w:t>
      </w:r>
      <w:r w:rsidRPr="002B1644">
        <w:rPr>
          <w:lang w:eastAsia="ja-JP"/>
        </w:rPr>
        <w:t xml:space="preserve"> with </w:t>
      </w:r>
      <w:r>
        <w:rPr>
          <w:lang w:eastAsia="ja-JP"/>
        </w:rPr>
        <w:t>TOF</w:t>
      </w:r>
      <w:r w:rsidRPr="002B1644">
        <w:rPr>
          <w:lang w:eastAsia="ja-JP"/>
        </w:rPr>
        <w:t xml:space="preserve"> </w:t>
      </w:r>
      <w:r>
        <w:rPr>
          <w:lang w:eastAsia="ja-JP"/>
        </w:rPr>
        <w:t>(</w:t>
      </w:r>
      <w:r w:rsidRPr="002B1644">
        <w:rPr>
          <w:lang w:eastAsia="ja-JP"/>
        </w:rPr>
        <w:t>5 and 10 mg</w:t>
      </w:r>
      <w:r>
        <w:rPr>
          <w:lang w:eastAsia="ja-JP"/>
        </w:rPr>
        <w:t xml:space="preserve"> therapy) </w:t>
      </w:r>
      <w:r w:rsidR="00DF555C">
        <w:rPr>
          <w:lang w:eastAsia="ja-JP"/>
        </w:rPr>
        <w:t xml:space="preserve">compared to MTX over the </w:t>
      </w:r>
      <w:r w:rsidR="008F2D59">
        <w:rPr>
          <w:lang w:eastAsia="ja-JP"/>
        </w:rPr>
        <w:t>2 year</w:t>
      </w:r>
      <w:r w:rsidRPr="002B1644">
        <w:rPr>
          <w:lang w:eastAsia="ja-JP"/>
        </w:rPr>
        <w:t xml:space="preserve"> period. The median change from baseline to last</w:t>
      </w:r>
      <w:r>
        <w:rPr>
          <w:lang w:eastAsia="ja-JP"/>
        </w:rPr>
        <w:t xml:space="preserve"> </w:t>
      </w:r>
      <w:r w:rsidRPr="002B1644">
        <w:rPr>
          <w:lang w:eastAsia="ja-JP"/>
        </w:rPr>
        <w:t xml:space="preserve">observation in </w:t>
      </w:r>
      <w:r>
        <w:rPr>
          <w:lang w:eastAsia="ja-JP"/>
        </w:rPr>
        <w:t>total lymphocyte count</w:t>
      </w:r>
      <w:r w:rsidRPr="002B1644">
        <w:rPr>
          <w:lang w:eastAsia="ja-JP"/>
        </w:rPr>
        <w:t xml:space="preserve"> was </w:t>
      </w:r>
      <w:r w:rsidR="008F2D59">
        <w:rPr>
          <w:lang w:eastAsia="ja-JP"/>
        </w:rPr>
        <w:noBreakHyphen/>
      </w:r>
      <w:r w:rsidRPr="002B1644">
        <w:rPr>
          <w:lang w:eastAsia="ja-JP"/>
        </w:rPr>
        <w:t xml:space="preserve">0.33, </w:t>
      </w:r>
      <w:r w:rsidR="008F2D59">
        <w:rPr>
          <w:lang w:eastAsia="ja-JP"/>
        </w:rPr>
        <w:noBreakHyphen/>
      </w:r>
      <w:r w:rsidRPr="002B1644">
        <w:rPr>
          <w:lang w:eastAsia="ja-JP"/>
        </w:rPr>
        <w:t xml:space="preserve">0.43 and </w:t>
      </w:r>
      <w:r w:rsidR="008F2D59">
        <w:rPr>
          <w:lang w:eastAsia="ja-JP"/>
        </w:rPr>
        <w:noBreakHyphen/>
      </w:r>
      <w:r w:rsidRPr="002B1644">
        <w:rPr>
          <w:lang w:eastAsia="ja-JP"/>
        </w:rPr>
        <w:t>0.16 x</w:t>
      </w:r>
      <w:r>
        <w:rPr>
          <w:lang w:eastAsia="ja-JP"/>
        </w:rPr>
        <w:t xml:space="preserve"> </w:t>
      </w:r>
      <w:r w:rsidRPr="002B1644">
        <w:rPr>
          <w:lang w:eastAsia="ja-JP"/>
        </w:rPr>
        <w:t>10</w:t>
      </w:r>
      <w:r>
        <w:rPr>
          <w:vertAlign w:val="superscript"/>
          <w:lang w:eastAsia="ja-JP"/>
        </w:rPr>
        <w:t>9</w:t>
      </w:r>
      <w:r w:rsidRPr="002B1644">
        <w:rPr>
          <w:lang w:eastAsia="ja-JP"/>
        </w:rPr>
        <w:t xml:space="preserve"> cells/L in the</w:t>
      </w:r>
      <w:r>
        <w:rPr>
          <w:lang w:eastAsia="ja-JP"/>
        </w:rPr>
        <w:t xml:space="preserve"> TOF</w:t>
      </w:r>
      <w:r w:rsidRPr="002B1644">
        <w:rPr>
          <w:lang w:eastAsia="ja-JP"/>
        </w:rPr>
        <w:t xml:space="preserve"> 5 mg, </w:t>
      </w:r>
      <w:r>
        <w:rPr>
          <w:lang w:eastAsia="ja-JP"/>
        </w:rPr>
        <w:t xml:space="preserve">TOF </w:t>
      </w:r>
      <w:r w:rsidRPr="002B1644">
        <w:rPr>
          <w:lang w:eastAsia="ja-JP"/>
        </w:rPr>
        <w:t>10 mg and MTX groups,</w:t>
      </w:r>
      <w:r>
        <w:rPr>
          <w:lang w:eastAsia="ja-JP"/>
        </w:rPr>
        <w:t xml:space="preserve"> </w:t>
      </w:r>
      <w:r w:rsidRPr="002B1644">
        <w:rPr>
          <w:lang w:eastAsia="ja-JP"/>
        </w:rPr>
        <w:t>respectively</w:t>
      </w:r>
      <w:r>
        <w:rPr>
          <w:lang w:eastAsia="ja-JP"/>
        </w:rPr>
        <w:t>. For all 3 groups, no significant mean changes over time in haemoglobin levels were observed</w:t>
      </w:r>
      <w:r w:rsidR="00B34BFC">
        <w:rPr>
          <w:lang w:eastAsia="ja-JP"/>
        </w:rPr>
        <w:t>.</w:t>
      </w:r>
    </w:p>
    <w:p w:rsidR="0073440E" w:rsidRDefault="0073440E" w:rsidP="0073440E">
      <w:pPr>
        <w:rPr>
          <w:lang w:eastAsia="ja-JP"/>
        </w:rPr>
      </w:pPr>
      <w:r>
        <w:rPr>
          <w:lang w:eastAsia="ja-JP"/>
        </w:rPr>
        <w:t xml:space="preserve">As JAK2 is an important mediator of erythrocyte production, anaemia was a safety focus in Study A3921069. </w:t>
      </w:r>
      <w:r w:rsidRPr="00C64FB0">
        <w:rPr>
          <w:lang w:eastAsia="ja-JP"/>
        </w:rPr>
        <w:t>Overall, the proportion of patients who experienced severe</w:t>
      </w:r>
      <w:r>
        <w:rPr>
          <w:lang w:eastAsia="ja-JP"/>
        </w:rPr>
        <w:t xml:space="preserve"> (up to 3.5% incidence with MTX versus up to 1.4% with TOF)</w:t>
      </w:r>
      <w:r w:rsidRPr="00C64FB0">
        <w:rPr>
          <w:lang w:eastAsia="ja-JP"/>
        </w:rPr>
        <w:t xml:space="preserve"> or</w:t>
      </w:r>
      <w:r>
        <w:rPr>
          <w:lang w:eastAsia="ja-JP"/>
        </w:rPr>
        <w:t xml:space="preserve"> </w:t>
      </w:r>
      <w:r w:rsidRPr="00C64FB0">
        <w:rPr>
          <w:lang w:eastAsia="ja-JP"/>
        </w:rPr>
        <w:t xml:space="preserve">potentially life threatening </w:t>
      </w:r>
      <w:r>
        <w:rPr>
          <w:lang w:eastAsia="ja-JP"/>
        </w:rPr>
        <w:t xml:space="preserve">decreases in </w:t>
      </w:r>
      <w:r w:rsidRPr="00C64FB0">
        <w:rPr>
          <w:lang w:eastAsia="ja-JP"/>
        </w:rPr>
        <w:t>h</w:t>
      </w:r>
      <w:r>
        <w:rPr>
          <w:lang w:eastAsia="ja-JP"/>
        </w:rPr>
        <w:t>a</w:t>
      </w:r>
      <w:r w:rsidRPr="00C64FB0">
        <w:rPr>
          <w:lang w:eastAsia="ja-JP"/>
        </w:rPr>
        <w:t xml:space="preserve">emoglobin </w:t>
      </w:r>
      <w:r>
        <w:rPr>
          <w:lang w:eastAsia="ja-JP"/>
        </w:rPr>
        <w:t>levels</w:t>
      </w:r>
      <w:r w:rsidRPr="00C64FB0">
        <w:rPr>
          <w:lang w:eastAsia="ja-JP"/>
        </w:rPr>
        <w:t xml:space="preserve"> was </w:t>
      </w:r>
      <w:r>
        <w:rPr>
          <w:lang w:eastAsia="ja-JP"/>
        </w:rPr>
        <w:t>low</w:t>
      </w:r>
      <w:r w:rsidRPr="00C64FB0">
        <w:rPr>
          <w:lang w:eastAsia="ja-JP"/>
        </w:rPr>
        <w:t xml:space="preserve"> (</w:t>
      </w:r>
      <w:r w:rsidR="008F2D59">
        <w:rPr>
          <w:lang w:eastAsia="ja-JP"/>
        </w:rPr>
        <w:t xml:space="preserve">&lt; </w:t>
      </w:r>
      <w:r w:rsidRPr="00C64FB0">
        <w:rPr>
          <w:lang w:eastAsia="ja-JP"/>
        </w:rPr>
        <w:t>1% of</w:t>
      </w:r>
      <w:r>
        <w:rPr>
          <w:lang w:eastAsia="ja-JP"/>
        </w:rPr>
        <w:t xml:space="preserve"> </w:t>
      </w:r>
      <w:r w:rsidRPr="00C64FB0">
        <w:rPr>
          <w:lang w:eastAsia="ja-JP"/>
        </w:rPr>
        <w:t>patients</w:t>
      </w:r>
      <w:r>
        <w:rPr>
          <w:lang w:eastAsia="ja-JP"/>
        </w:rPr>
        <w:t xml:space="preserve"> in any treatment group)</w:t>
      </w:r>
      <w:r w:rsidRPr="00C64FB0">
        <w:rPr>
          <w:lang w:eastAsia="ja-JP"/>
        </w:rPr>
        <w:t xml:space="preserve"> at any time</w:t>
      </w:r>
      <w:r>
        <w:rPr>
          <w:lang w:eastAsia="ja-JP"/>
        </w:rPr>
        <w:t>-</w:t>
      </w:r>
      <w:r w:rsidRPr="00C64FB0">
        <w:rPr>
          <w:lang w:eastAsia="ja-JP"/>
        </w:rPr>
        <w:t>point</w:t>
      </w:r>
      <w:r>
        <w:rPr>
          <w:lang w:eastAsia="ja-JP"/>
        </w:rPr>
        <w:t xml:space="preserve"> throughout Study A3921069</w:t>
      </w:r>
      <w:r w:rsidRPr="00C64FB0">
        <w:rPr>
          <w:lang w:eastAsia="ja-JP"/>
        </w:rPr>
        <w:t xml:space="preserve">. </w:t>
      </w:r>
      <w:r>
        <w:rPr>
          <w:lang w:eastAsia="ja-JP"/>
        </w:rPr>
        <w:t>Ta</w:t>
      </w:r>
      <w:r w:rsidRPr="00C64FB0">
        <w:rPr>
          <w:lang w:eastAsia="ja-JP"/>
        </w:rPr>
        <w:t>b</w:t>
      </w:r>
      <w:r w:rsidR="00A40895">
        <w:rPr>
          <w:lang w:eastAsia="ja-JP"/>
        </w:rPr>
        <w:t>le 6</w:t>
      </w:r>
      <w:r>
        <w:rPr>
          <w:lang w:eastAsia="ja-JP"/>
        </w:rPr>
        <w:t xml:space="preserve"> </w:t>
      </w:r>
      <w:r w:rsidRPr="00C64FB0">
        <w:rPr>
          <w:lang w:eastAsia="ja-JP"/>
        </w:rPr>
        <w:t>summari</w:t>
      </w:r>
      <w:r>
        <w:rPr>
          <w:lang w:eastAsia="ja-JP"/>
        </w:rPr>
        <w:t>s</w:t>
      </w:r>
      <w:r w:rsidRPr="00C64FB0">
        <w:rPr>
          <w:lang w:eastAsia="ja-JP"/>
        </w:rPr>
        <w:t xml:space="preserve">es the proportions of patients with </w:t>
      </w:r>
      <w:r w:rsidRPr="00C64FB0">
        <w:rPr>
          <w:lang w:eastAsia="ja-JP"/>
        </w:rPr>
        <w:lastRenderedPageBreak/>
        <w:t>decreased h</w:t>
      </w:r>
      <w:r>
        <w:rPr>
          <w:lang w:eastAsia="ja-JP"/>
        </w:rPr>
        <w:t>a</w:t>
      </w:r>
      <w:r w:rsidRPr="00C64FB0">
        <w:rPr>
          <w:lang w:eastAsia="ja-JP"/>
        </w:rPr>
        <w:t xml:space="preserve">emoglobin </w:t>
      </w:r>
      <w:r>
        <w:rPr>
          <w:lang w:eastAsia="ja-JP"/>
        </w:rPr>
        <w:t>values (</w:t>
      </w:r>
      <w:r w:rsidRPr="00C64FB0">
        <w:rPr>
          <w:lang w:eastAsia="ja-JP"/>
        </w:rPr>
        <w:t>based</w:t>
      </w:r>
      <w:r>
        <w:rPr>
          <w:lang w:eastAsia="ja-JP"/>
        </w:rPr>
        <w:t xml:space="preserve"> </w:t>
      </w:r>
      <w:r w:rsidRPr="00C64FB0">
        <w:rPr>
          <w:lang w:eastAsia="ja-JP"/>
        </w:rPr>
        <w:t>on the OMERACT criteria</w:t>
      </w:r>
      <w:r>
        <w:rPr>
          <w:lang w:eastAsia="ja-JP"/>
        </w:rPr>
        <w:t>) by</w:t>
      </w:r>
      <w:r w:rsidRPr="00C64FB0">
        <w:rPr>
          <w:lang w:eastAsia="ja-JP"/>
        </w:rPr>
        <w:t xml:space="preserve"> visit </w:t>
      </w:r>
      <w:r>
        <w:rPr>
          <w:lang w:eastAsia="ja-JP"/>
        </w:rPr>
        <w:t>and treatment group in Study A3921069.</w:t>
      </w:r>
    </w:p>
    <w:p w:rsidR="0073440E" w:rsidRDefault="00083D05" w:rsidP="00A40895">
      <w:pPr>
        <w:pStyle w:val="TableTitle"/>
        <w:rPr>
          <w:lang w:eastAsia="ja-JP"/>
        </w:rPr>
      </w:pPr>
      <w:r>
        <w:rPr>
          <w:lang w:eastAsia="ja-JP"/>
        </w:rPr>
        <w:t xml:space="preserve">Table 6: </w:t>
      </w:r>
      <w:r w:rsidR="0073440E">
        <w:rPr>
          <w:lang w:eastAsia="ja-JP"/>
        </w:rPr>
        <w:t xml:space="preserve">Proportion </w:t>
      </w:r>
      <w:r w:rsidR="008F2D59">
        <w:rPr>
          <w:lang w:eastAsia="ja-JP"/>
        </w:rPr>
        <w:t>of subjects with decreased haemoglobin levels dur</w:t>
      </w:r>
      <w:r w:rsidR="00E205F5">
        <w:rPr>
          <w:lang w:eastAsia="ja-JP"/>
        </w:rPr>
        <w:t>ing Study </w:t>
      </w:r>
      <w:r w:rsidR="0073440E">
        <w:rPr>
          <w:lang w:eastAsia="ja-JP"/>
        </w:rPr>
        <w:t>A3921069</w:t>
      </w:r>
    </w:p>
    <w:p w:rsidR="0073440E" w:rsidRDefault="00B61F83" w:rsidP="0073440E">
      <w:pPr>
        <w:rPr>
          <w:lang w:eastAsia="ja-JP"/>
        </w:rPr>
      </w:pPr>
      <w:r>
        <w:rPr>
          <w:noProof/>
          <w:lang w:eastAsia="en-AU"/>
        </w:rPr>
        <w:drawing>
          <wp:inline distT="0" distB="0" distL="0" distR="0" wp14:anchorId="376BB047" wp14:editId="395673ED">
            <wp:extent cx="5400040" cy="4007337"/>
            <wp:effectExtent l="0" t="0" r="0" b="0"/>
            <wp:docPr id="6" name="Picture 6" descr="Table 6: Proportion of Subjects with Decreased Haemoglobin Levels During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007337"/>
                    </a:xfrm>
                    <a:prstGeom prst="rect">
                      <a:avLst/>
                    </a:prstGeom>
                  </pic:spPr>
                </pic:pic>
              </a:graphicData>
            </a:graphic>
          </wp:inline>
        </w:drawing>
      </w:r>
    </w:p>
    <w:p w:rsidR="0073440E" w:rsidRDefault="0073440E" w:rsidP="0073440E">
      <w:pPr>
        <w:autoSpaceDE w:val="0"/>
        <w:autoSpaceDN w:val="0"/>
        <w:adjustRightInd w:val="0"/>
        <w:spacing w:before="0" w:after="0" w:line="240" w:lineRule="auto"/>
        <w:rPr>
          <w:lang w:eastAsia="ja-JP"/>
        </w:rPr>
      </w:pPr>
      <w:r>
        <w:rPr>
          <w:lang w:eastAsia="ja-JP"/>
        </w:rPr>
        <w:t xml:space="preserve">The case incidence of mild (frequency of up to 3.5%) or moderate to severe neutropenia (incidence </w:t>
      </w:r>
      <w:r w:rsidR="008F2D59">
        <w:rPr>
          <w:lang w:eastAsia="ja-JP"/>
        </w:rPr>
        <w:t xml:space="preserve">≤ </w:t>
      </w:r>
      <w:r>
        <w:rPr>
          <w:lang w:eastAsia="ja-JP"/>
        </w:rPr>
        <w:t>1.8%) was relatively low and comparable between the low dose TOF and MTX groups throughout Study A3921069, but somewhat higher in a consistent pattern for the T</w:t>
      </w:r>
      <w:r w:rsidR="00A40895">
        <w:rPr>
          <w:lang w:eastAsia="ja-JP"/>
        </w:rPr>
        <w:t>OF 10 mg arm</w:t>
      </w:r>
      <w:r w:rsidR="008F2D59">
        <w:rPr>
          <w:lang w:eastAsia="ja-JP"/>
        </w:rPr>
        <w:t>;</w:t>
      </w:r>
      <w:r w:rsidR="00A40895">
        <w:rPr>
          <w:lang w:eastAsia="ja-JP"/>
        </w:rPr>
        <w:t xml:space="preserve"> refer to Table 7</w:t>
      </w:r>
      <w:r>
        <w:rPr>
          <w:lang w:eastAsia="ja-JP"/>
        </w:rPr>
        <w:t>. However, o</w:t>
      </w:r>
      <w:r w:rsidRPr="00947DB4">
        <w:rPr>
          <w:lang w:eastAsia="ja-JP"/>
        </w:rPr>
        <w:t>nly 1 patient d</w:t>
      </w:r>
      <w:r>
        <w:rPr>
          <w:lang w:eastAsia="ja-JP"/>
        </w:rPr>
        <w:t>eveloped</w:t>
      </w:r>
      <w:r w:rsidRPr="00947DB4">
        <w:rPr>
          <w:lang w:eastAsia="ja-JP"/>
        </w:rPr>
        <w:t xml:space="preserve"> potentially</w:t>
      </w:r>
      <w:r>
        <w:rPr>
          <w:lang w:eastAsia="ja-JP"/>
        </w:rPr>
        <w:t xml:space="preserve"> </w:t>
      </w:r>
      <w:r w:rsidRPr="00947DB4">
        <w:rPr>
          <w:lang w:eastAsia="ja-JP"/>
        </w:rPr>
        <w:t>life</w:t>
      </w:r>
      <w:r w:rsidR="008F2D59">
        <w:rPr>
          <w:lang w:eastAsia="ja-JP"/>
        </w:rPr>
        <w:t> </w:t>
      </w:r>
      <w:r w:rsidRPr="00947DB4">
        <w:rPr>
          <w:lang w:eastAsia="ja-JP"/>
        </w:rPr>
        <w:t xml:space="preserve">threatening neutropenia </w:t>
      </w:r>
      <w:r>
        <w:rPr>
          <w:lang w:eastAsia="ja-JP"/>
        </w:rPr>
        <w:t>during the 24 month trial and</w:t>
      </w:r>
      <w:r w:rsidRPr="00947DB4">
        <w:rPr>
          <w:lang w:eastAsia="ja-JP"/>
        </w:rPr>
        <w:t xml:space="preserve"> th</w:t>
      </w:r>
      <w:r>
        <w:rPr>
          <w:lang w:eastAsia="ja-JP"/>
        </w:rPr>
        <w:t xml:space="preserve">at subject was </w:t>
      </w:r>
      <w:r w:rsidRPr="00947DB4">
        <w:rPr>
          <w:lang w:eastAsia="ja-JP"/>
        </w:rPr>
        <w:t>t</w:t>
      </w:r>
      <w:r>
        <w:rPr>
          <w:lang w:eastAsia="ja-JP"/>
        </w:rPr>
        <w:t>re</w:t>
      </w:r>
      <w:r w:rsidRPr="00947DB4">
        <w:rPr>
          <w:lang w:eastAsia="ja-JP"/>
        </w:rPr>
        <w:t>at</w:t>
      </w:r>
      <w:r>
        <w:rPr>
          <w:lang w:eastAsia="ja-JP"/>
        </w:rPr>
        <w:t>ed with TOF</w:t>
      </w:r>
      <w:r w:rsidRPr="00947DB4">
        <w:rPr>
          <w:lang w:eastAsia="ja-JP"/>
        </w:rPr>
        <w:t xml:space="preserve"> 5 mg </w:t>
      </w:r>
      <w:r>
        <w:rPr>
          <w:lang w:eastAsia="ja-JP"/>
        </w:rPr>
        <w:t>therapy</w:t>
      </w:r>
      <w:r w:rsidRPr="00947DB4">
        <w:rPr>
          <w:lang w:eastAsia="ja-JP"/>
        </w:rPr>
        <w:t xml:space="preserve"> </w:t>
      </w:r>
      <w:r>
        <w:rPr>
          <w:lang w:eastAsia="ja-JP"/>
        </w:rPr>
        <w:t xml:space="preserve">(occurred </w:t>
      </w:r>
      <w:r w:rsidRPr="00947DB4">
        <w:rPr>
          <w:lang w:eastAsia="ja-JP"/>
        </w:rPr>
        <w:t xml:space="preserve">at </w:t>
      </w:r>
      <w:r w:rsidR="008F2D59">
        <w:rPr>
          <w:lang w:eastAsia="ja-JP"/>
        </w:rPr>
        <w:t>M</w:t>
      </w:r>
      <w:r w:rsidRPr="00947DB4">
        <w:rPr>
          <w:lang w:eastAsia="ja-JP"/>
        </w:rPr>
        <w:t>onth 15).</w:t>
      </w:r>
    </w:p>
    <w:p w:rsidR="0073440E" w:rsidRDefault="00A40895" w:rsidP="00A40895">
      <w:pPr>
        <w:pStyle w:val="TableTitle"/>
        <w:rPr>
          <w:lang w:eastAsia="ja-JP"/>
        </w:rPr>
      </w:pPr>
      <w:r>
        <w:rPr>
          <w:lang w:eastAsia="ja-JP"/>
        </w:rPr>
        <w:lastRenderedPageBreak/>
        <w:t xml:space="preserve">Table 7: </w:t>
      </w:r>
      <w:r w:rsidR="0073440E">
        <w:rPr>
          <w:lang w:eastAsia="ja-JP"/>
        </w:rPr>
        <w:t>Proportion of Subjects recording Ne</w:t>
      </w:r>
      <w:r w:rsidR="00E205F5">
        <w:rPr>
          <w:lang w:eastAsia="ja-JP"/>
        </w:rPr>
        <w:t>utropenia d</w:t>
      </w:r>
      <w:r w:rsidR="0073440E">
        <w:rPr>
          <w:lang w:eastAsia="ja-JP"/>
        </w:rPr>
        <w:t>uring Study A3921069</w:t>
      </w:r>
    </w:p>
    <w:p w:rsidR="0073440E" w:rsidRDefault="00B61F83" w:rsidP="0073440E">
      <w:pPr>
        <w:rPr>
          <w:lang w:eastAsia="ja-JP"/>
        </w:rPr>
      </w:pPr>
      <w:r>
        <w:rPr>
          <w:noProof/>
          <w:lang w:eastAsia="en-AU"/>
        </w:rPr>
        <w:drawing>
          <wp:inline distT="0" distB="0" distL="0" distR="0" wp14:anchorId="44AA26A9" wp14:editId="4E99F9E2">
            <wp:extent cx="5400040" cy="4814459"/>
            <wp:effectExtent l="0" t="0" r="0" b="5715"/>
            <wp:docPr id="7" name="Picture 7" descr="Table 7: Proportion of Subjects recording Neutropenia During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4814459"/>
                    </a:xfrm>
                    <a:prstGeom prst="rect">
                      <a:avLst/>
                    </a:prstGeom>
                  </pic:spPr>
                </pic:pic>
              </a:graphicData>
            </a:graphic>
          </wp:inline>
        </w:drawing>
      </w:r>
    </w:p>
    <w:p w:rsidR="00B34BFC" w:rsidRDefault="0073440E" w:rsidP="0073440E">
      <w:pPr>
        <w:rPr>
          <w:lang w:eastAsia="ja-JP"/>
        </w:rPr>
      </w:pPr>
      <w:r>
        <w:rPr>
          <w:lang w:eastAsia="ja-JP"/>
        </w:rPr>
        <w:t xml:space="preserve">A total of 5 patients (3 in the TOF 5 mg group, and 1 each in the TOF 10 mg and MTX arms) developed thrombocytopenia (platelet count </w:t>
      </w:r>
      <w:r w:rsidR="008F2D59">
        <w:rPr>
          <w:lang w:eastAsia="ja-JP"/>
        </w:rPr>
        <w:t xml:space="preserve">&lt; </w:t>
      </w:r>
      <w:r>
        <w:rPr>
          <w:lang w:eastAsia="ja-JP"/>
        </w:rPr>
        <w:t>100 x 10</w:t>
      </w:r>
      <w:r>
        <w:rPr>
          <w:vertAlign w:val="superscript"/>
          <w:lang w:eastAsia="ja-JP"/>
        </w:rPr>
        <w:t>9</w:t>
      </w:r>
      <w:r>
        <w:rPr>
          <w:lang w:eastAsia="ja-JP"/>
        </w:rPr>
        <w:t>/L) during Study A3921069. Only 1 subject in the TOF 5 mg group developed significant lymphopenia (</w:t>
      </w:r>
      <w:r w:rsidR="008F2D59">
        <w:rPr>
          <w:lang w:eastAsia="ja-JP"/>
        </w:rPr>
        <w:t xml:space="preserve">&lt; </w:t>
      </w:r>
      <w:r>
        <w:rPr>
          <w:lang w:eastAsia="ja-JP"/>
        </w:rPr>
        <w:t>0.5 x 10</w:t>
      </w:r>
      <w:r>
        <w:rPr>
          <w:vertAlign w:val="superscript"/>
          <w:lang w:eastAsia="ja-JP"/>
        </w:rPr>
        <w:t>9</w:t>
      </w:r>
      <w:r>
        <w:rPr>
          <w:lang w:eastAsia="ja-JP"/>
        </w:rPr>
        <w:t>/L) which persisted on 2 sequential readings during the trial</w:t>
      </w:r>
      <w:r w:rsidR="00B34BFC">
        <w:rPr>
          <w:lang w:eastAsia="ja-JP"/>
        </w:rPr>
        <w:t>.</w:t>
      </w:r>
    </w:p>
    <w:p w:rsidR="0073440E" w:rsidRPr="00C2074B" w:rsidRDefault="0073440E" w:rsidP="00A40895">
      <w:pPr>
        <w:pStyle w:val="Heading6"/>
      </w:pPr>
      <w:r w:rsidRPr="00C2074B">
        <w:t>Other studies</w:t>
      </w:r>
    </w:p>
    <w:p w:rsidR="0073440E" w:rsidRDefault="0073440E" w:rsidP="0073440E">
      <w:pPr>
        <w:rPr>
          <w:lang w:eastAsia="ja-JP"/>
        </w:rPr>
      </w:pPr>
      <w:r>
        <w:rPr>
          <w:lang w:eastAsia="ja-JP"/>
        </w:rPr>
        <w:t>No new information.</w:t>
      </w:r>
    </w:p>
    <w:p w:rsidR="0073440E" w:rsidRPr="00545B14" w:rsidRDefault="0073440E" w:rsidP="00A40895">
      <w:pPr>
        <w:pStyle w:val="Heading5"/>
      </w:pPr>
      <w:bookmarkStart w:id="110" w:name="_Toc272414674"/>
      <w:bookmarkStart w:id="111" w:name="_Toc290888538"/>
      <w:bookmarkStart w:id="112" w:name="_Toc416353753"/>
      <w:bookmarkStart w:id="113" w:name="_Toc421005296"/>
      <w:bookmarkStart w:id="114" w:name="_Toc432079173"/>
      <w:bookmarkStart w:id="115" w:name="_Toc432080746"/>
      <w:r>
        <w:t>Lipid Profiles</w:t>
      </w:r>
      <w:bookmarkEnd w:id="110"/>
      <w:bookmarkEnd w:id="111"/>
      <w:bookmarkEnd w:id="112"/>
      <w:bookmarkEnd w:id="113"/>
      <w:bookmarkEnd w:id="114"/>
      <w:bookmarkEnd w:id="115"/>
    </w:p>
    <w:p w:rsidR="0073440E" w:rsidRPr="002B7B05" w:rsidRDefault="0073440E" w:rsidP="00A40895">
      <w:pPr>
        <w:pStyle w:val="Heading6"/>
      </w:pPr>
      <w:r>
        <w:t>I</w:t>
      </w:r>
      <w:r w:rsidRPr="002B7B05">
        <w:t>ntegrated safety analyses</w:t>
      </w:r>
    </w:p>
    <w:p w:rsidR="0073440E" w:rsidRDefault="0073440E" w:rsidP="0073440E">
      <w:pPr>
        <w:rPr>
          <w:lang w:eastAsia="ja-JP"/>
        </w:rPr>
      </w:pPr>
      <w:r>
        <w:rPr>
          <w:lang w:eastAsia="ja-JP"/>
        </w:rPr>
        <w:t>No new information.</w:t>
      </w:r>
    </w:p>
    <w:p w:rsidR="0073440E" w:rsidRPr="00C2074B" w:rsidRDefault="0073440E" w:rsidP="00A40895">
      <w:pPr>
        <w:pStyle w:val="Heading6"/>
      </w:pPr>
      <w:r w:rsidRPr="00C2074B">
        <w:t>Pivotal and/or main efficacy studies</w:t>
      </w:r>
    </w:p>
    <w:p w:rsidR="0073440E" w:rsidRDefault="0073440E" w:rsidP="0073440E">
      <w:pPr>
        <w:rPr>
          <w:lang w:eastAsia="ja-JP"/>
        </w:rPr>
      </w:pPr>
      <w:r>
        <w:rPr>
          <w:lang w:eastAsia="ja-JP"/>
        </w:rPr>
        <w:t>Treatment with TOF produces a significant, dose dependent increase in serum total cholesterol, which is evident by 3 months of therapy, plateaus at 6 months and remains stable thereafter up to 24 months of treatment follow-up. By 24 months, TOF 5 mg twice daily results in a mean 17.4% increase from baseline in total cholesterol and TOF 10 mg twice daily causes a mean 20.7% increase from baseline. Similar results with TOF were observed for low density lipoprotein levels and serum triglyceride levels. No significant mean changes in any lipid parameters over time are seen with MTX therapy.</w:t>
      </w:r>
    </w:p>
    <w:p w:rsidR="0073440E" w:rsidRPr="00C2074B" w:rsidRDefault="0073440E" w:rsidP="00A40895">
      <w:pPr>
        <w:pStyle w:val="Heading6"/>
      </w:pPr>
      <w:r w:rsidRPr="00C2074B">
        <w:lastRenderedPageBreak/>
        <w:t>Other studies</w:t>
      </w:r>
    </w:p>
    <w:p w:rsidR="0073440E" w:rsidRDefault="0073440E" w:rsidP="0073440E">
      <w:pPr>
        <w:rPr>
          <w:lang w:eastAsia="ja-JP"/>
        </w:rPr>
      </w:pPr>
      <w:r>
        <w:rPr>
          <w:lang w:eastAsia="ja-JP"/>
        </w:rPr>
        <w:t xml:space="preserve">Changes in lipid parameters from baseline through to the end of the controlled trial periods (up to 24 months) in the </w:t>
      </w:r>
      <w:r w:rsidR="00B34BFC">
        <w:rPr>
          <w:lang w:eastAsia="ja-JP"/>
        </w:rPr>
        <w:t>Phase III</w:t>
      </w:r>
      <w:r>
        <w:rPr>
          <w:lang w:eastAsia="ja-JP"/>
        </w:rPr>
        <w:t xml:space="preserve"> studies confirms that significant, dose dependent increases in serum total cholesterol, LDL cholesterol and HDL cholesterol with TOF remain stable after 3</w:t>
      </w:r>
      <w:r w:rsidR="008F2D59">
        <w:rPr>
          <w:lang w:eastAsia="ja-JP"/>
        </w:rPr>
        <w:t xml:space="preserve"> to </w:t>
      </w:r>
      <w:r>
        <w:rPr>
          <w:lang w:eastAsia="ja-JP"/>
        </w:rPr>
        <w:t xml:space="preserve">6 months of drug initiation. The current PI contains data on the impact of TOF upon lipid profiles up to 12 months in the controlled trials, so the update on this issue is appropriate. Table 23 shows the mean percentage change (increase) from baseline to 24 months in LDL cholesterol in the combined </w:t>
      </w:r>
      <w:r w:rsidR="00B34BFC">
        <w:rPr>
          <w:lang w:eastAsia="ja-JP"/>
        </w:rPr>
        <w:t>Phase III</w:t>
      </w:r>
      <w:r>
        <w:rPr>
          <w:lang w:eastAsia="ja-JP"/>
        </w:rPr>
        <w:t xml:space="preserve"> dataset.</w:t>
      </w:r>
    </w:p>
    <w:p w:rsidR="0073440E" w:rsidRDefault="00A40895" w:rsidP="00A40895">
      <w:pPr>
        <w:pStyle w:val="TableTitle"/>
        <w:rPr>
          <w:lang w:eastAsia="ja-JP"/>
        </w:rPr>
      </w:pPr>
      <w:r>
        <w:rPr>
          <w:lang w:eastAsia="ja-JP"/>
        </w:rPr>
        <w:t xml:space="preserve">Table 8: </w:t>
      </w:r>
      <w:r w:rsidR="0073440E">
        <w:rPr>
          <w:lang w:eastAsia="ja-JP"/>
        </w:rPr>
        <w:t xml:space="preserve">Mean </w:t>
      </w:r>
      <w:r w:rsidR="008F2D59">
        <w:rPr>
          <w:lang w:eastAsia="ja-JP"/>
        </w:rPr>
        <w:t xml:space="preserve">percentage change </w:t>
      </w:r>
      <w:r w:rsidR="0073440E">
        <w:rPr>
          <w:lang w:eastAsia="ja-JP"/>
        </w:rPr>
        <w:t xml:space="preserve">from Baseline to 24 Months in LDL </w:t>
      </w:r>
      <w:r w:rsidR="008F2D59">
        <w:rPr>
          <w:lang w:eastAsia="ja-JP"/>
        </w:rPr>
        <w:t>ch</w:t>
      </w:r>
      <w:r w:rsidR="0073440E">
        <w:rPr>
          <w:lang w:eastAsia="ja-JP"/>
        </w:rPr>
        <w:t>olesterol in the com</w:t>
      </w:r>
      <w:r w:rsidR="000D2289">
        <w:rPr>
          <w:lang w:eastAsia="ja-JP"/>
        </w:rPr>
        <w:t xml:space="preserve">bined </w:t>
      </w:r>
      <w:r w:rsidR="00B34BFC">
        <w:rPr>
          <w:lang w:eastAsia="ja-JP"/>
        </w:rPr>
        <w:t>Phase III</w:t>
      </w:r>
      <w:r w:rsidR="000D2289">
        <w:rPr>
          <w:lang w:eastAsia="ja-JP"/>
        </w:rPr>
        <w:t xml:space="preserve"> Trial Population</w:t>
      </w:r>
    </w:p>
    <w:p w:rsidR="0073440E" w:rsidRDefault="000D2289" w:rsidP="0073440E">
      <w:pPr>
        <w:rPr>
          <w:lang w:eastAsia="ja-JP"/>
        </w:rPr>
      </w:pPr>
      <w:bookmarkStart w:id="116" w:name="_Toc272414675"/>
      <w:bookmarkStart w:id="117" w:name="_Toc290888539"/>
      <w:bookmarkStart w:id="118" w:name="_Toc416353754"/>
      <w:bookmarkStart w:id="119" w:name="_Toc421005297"/>
      <w:bookmarkStart w:id="120" w:name="_Toc432079174"/>
      <w:bookmarkStart w:id="121" w:name="_Toc432080747"/>
      <w:r>
        <w:rPr>
          <w:noProof/>
          <w:lang w:eastAsia="en-AU"/>
        </w:rPr>
        <w:drawing>
          <wp:inline distT="0" distB="0" distL="0" distR="0" wp14:anchorId="041440CD" wp14:editId="1806A8F4">
            <wp:extent cx="5400040" cy="2475018"/>
            <wp:effectExtent l="0" t="0" r="0" b="1905"/>
            <wp:docPr id="8" name="Picture 8" descr="Table 8: Mean Percentage Change from Baseline to 24 Months in LDL Cholesterol in the combined Phase 3 Tri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475018"/>
                    </a:xfrm>
                    <a:prstGeom prst="rect">
                      <a:avLst/>
                    </a:prstGeom>
                  </pic:spPr>
                </pic:pic>
              </a:graphicData>
            </a:graphic>
          </wp:inline>
        </w:drawing>
      </w:r>
    </w:p>
    <w:p w:rsidR="0073440E" w:rsidRPr="00545B14" w:rsidRDefault="0073440E" w:rsidP="00A40895">
      <w:pPr>
        <w:pStyle w:val="Heading5"/>
      </w:pPr>
      <w:r w:rsidRPr="00545B14">
        <w:t>Electrocardiograph</w:t>
      </w:r>
      <w:bookmarkEnd w:id="116"/>
      <w:bookmarkEnd w:id="117"/>
      <w:bookmarkEnd w:id="118"/>
      <w:bookmarkEnd w:id="119"/>
      <w:r>
        <w:t xml:space="preserve"> findings and cardiovascular safety</w:t>
      </w:r>
      <w:bookmarkEnd w:id="120"/>
      <w:bookmarkEnd w:id="121"/>
    </w:p>
    <w:p w:rsidR="0073440E" w:rsidRPr="002B7B05" w:rsidRDefault="0073440E" w:rsidP="00A40895">
      <w:pPr>
        <w:pStyle w:val="Heading6"/>
      </w:pPr>
      <w:r>
        <w:t>I</w:t>
      </w:r>
      <w:r w:rsidRPr="002B7B05">
        <w:t>ntegrated safety analyses</w:t>
      </w:r>
    </w:p>
    <w:p w:rsidR="0073440E" w:rsidRDefault="0073440E" w:rsidP="0073440E">
      <w:pPr>
        <w:rPr>
          <w:lang w:eastAsia="ja-JP"/>
        </w:rPr>
      </w:pPr>
      <w:r>
        <w:rPr>
          <w:lang w:eastAsia="ja-JP"/>
        </w:rPr>
        <w:t>No new information.</w:t>
      </w:r>
    </w:p>
    <w:p w:rsidR="0073440E" w:rsidRPr="00C2074B" w:rsidRDefault="0073440E" w:rsidP="00A40895">
      <w:pPr>
        <w:pStyle w:val="Heading6"/>
      </w:pPr>
      <w:r w:rsidRPr="00C2074B">
        <w:t>Pivotal and/or main efficacy studies</w:t>
      </w:r>
    </w:p>
    <w:p w:rsidR="00B34BFC" w:rsidRDefault="0073440E" w:rsidP="0073440E">
      <w:pPr>
        <w:rPr>
          <w:lang w:eastAsia="ja-JP"/>
        </w:rPr>
      </w:pPr>
      <w:r w:rsidRPr="0055574C">
        <w:rPr>
          <w:lang w:eastAsia="ja-JP"/>
        </w:rPr>
        <w:t>Electrocardiograms (ECG) were obtained for all patients at the screening, Month</w:t>
      </w:r>
      <w:r w:rsidR="008F2D59">
        <w:rPr>
          <w:lang w:eastAsia="ja-JP"/>
        </w:rPr>
        <w:t>s</w:t>
      </w:r>
      <w:r w:rsidRPr="0055574C">
        <w:rPr>
          <w:lang w:eastAsia="ja-JP"/>
        </w:rPr>
        <w:t xml:space="preserve"> 12 and 24</w:t>
      </w:r>
      <w:r>
        <w:rPr>
          <w:lang w:eastAsia="ja-JP"/>
        </w:rPr>
        <w:t>.</w:t>
      </w:r>
      <w:r w:rsidRPr="0055574C">
        <w:rPr>
          <w:lang w:eastAsia="ja-JP"/>
        </w:rPr>
        <w:t xml:space="preserve"> At screening, the percentage of patients with ECG abnormalities was small and similar </w:t>
      </w:r>
      <w:r w:rsidR="00EE1D4A">
        <w:rPr>
          <w:lang w:eastAsia="ja-JP"/>
        </w:rPr>
        <w:t xml:space="preserve">(incidence ranging from 3.9 to </w:t>
      </w:r>
      <w:r>
        <w:rPr>
          <w:lang w:eastAsia="ja-JP"/>
        </w:rPr>
        <w:t xml:space="preserve">4.4%) </w:t>
      </w:r>
      <w:r w:rsidRPr="0055574C">
        <w:rPr>
          <w:lang w:eastAsia="ja-JP"/>
        </w:rPr>
        <w:t xml:space="preserve">across </w:t>
      </w:r>
      <w:r>
        <w:rPr>
          <w:lang w:eastAsia="ja-JP"/>
        </w:rPr>
        <w:t>th</w:t>
      </w:r>
      <w:r w:rsidRPr="0055574C">
        <w:rPr>
          <w:lang w:eastAsia="ja-JP"/>
        </w:rPr>
        <w:t xml:space="preserve">e </w:t>
      </w:r>
      <w:r>
        <w:rPr>
          <w:lang w:eastAsia="ja-JP"/>
        </w:rPr>
        <w:t xml:space="preserve">3 treatment </w:t>
      </w:r>
      <w:r w:rsidRPr="0055574C">
        <w:rPr>
          <w:lang w:eastAsia="ja-JP"/>
        </w:rPr>
        <w:t xml:space="preserve">groups. At </w:t>
      </w:r>
      <w:r w:rsidR="008F2D59">
        <w:rPr>
          <w:lang w:eastAsia="ja-JP"/>
        </w:rPr>
        <w:t>M</w:t>
      </w:r>
      <w:r w:rsidRPr="0055574C">
        <w:rPr>
          <w:lang w:eastAsia="ja-JP"/>
        </w:rPr>
        <w:t>onth</w:t>
      </w:r>
      <w:r>
        <w:rPr>
          <w:lang w:eastAsia="ja-JP"/>
        </w:rPr>
        <w:t>s</w:t>
      </w:r>
      <w:r w:rsidRPr="0055574C">
        <w:rPr>
          <w:lang w:eastAsia="ja-JP"/>
        </w:rPr>
        <w:t xml:space="preserve"> 12 </w:t>
      </w:r>
      <w:r>
        <w:rPr>
          <w:lang w:eastAsia="ja-JP"/>
        </w:rPr>
        <w:t>and 24</w:t>
      </w:r>
      <w:r w:rsidRPr="0055574C">
        <w:rPr>
          <w:lang w:eastAsia="ja-JP"/>
        </w:rPr>
        <w:t>, the percentage of patients with an increase from baseline in QT</w:t>
      </w:r>
      <w:r>
        <w:rPr>
          <w:lang w:eastAsia="ja-JP"/>
        </w:rPr>
        <w:t xml:space="preserve"> intervals </w:t>
      </w:r>
      <w:r w:rsidRPr="0055574C">
        <w:rPr>
          <w:lang w:eastAsia="ja-JP"/>
        </w:rPr>
        <w:t xml:space="preserve">of 30 to 60 </w:t>
      </w:r>
      <w:proofErr w:type="spellStart"/>
      <w:r w:rsidRPr="0055574C">
        <w:rPr>
          <w:lang w:eastAsia="ja-JP"/>
        </w:rPr>
        <w:t>msec</w:t>
      </w:r>
      <w:proofErr w:type="spellEnd"/>
      <w:r>
        <w:rPr>
          <w:lang w:eastAsia="ja-JP"/>
        </w:rPr>
        <w:t xml:space="preserve"> </w:t>
      </w:r>
      <w:r w:rsidRPr="0055574C">
        <w:rPr>
          <w:lang w:eastAsia="ja-JP"/>
        </w:rPr>
        <w:t>a</w:t>
      </w:r>
      <w:r>
        <w:rPr>
          <w:lang w:eastAsia="ja-JP"/>
        </w:rPr>
        <w:t>nd</w:t>
      </w:r>
      <w:r w:rsidRPr="0055574C">
        <w:rPr>
          <w:lang w:eastAsia="ja-JP"/>
        </w:rPr>
        <w:t xml:space="preserve"> </w:t>
      </w:r>
      <w:r>
        <w:rPr>
          <w:lang w:eastAsia="ja-JP"/>
        </w:rPr>
        <w:t>an</w:t>
      </w:r>
      <w:r w:rsidRPr="0055574C">
        <w:rPr>
          <w:lang w:eastAsia="ja-JP"/>
        </w:rPr>
        <w:t xml:space="preserve"> increase from baseline of </w:t>
      </w:r>
      <w:r w:rsidR="00EE1D4A">
        <w:rPr>
          <w:lang w:eastAsia="ja-JP"/>
        </w:rPr>
        <w:t>≥</w:t>
      </w:r>
      <w:r w:rsidR="008F2D59">
        <w:rPr>
          <w:lang w:eastAsia="ja-JP"/>
        </w:rPr>
        <w:t xml:space="preserve"> 6</w:t>
      </w:r>
      <w:r w:rsidRPr="0055574C">
        <w:rPr>
          <w:lang w:eastAsia="ja-JP"/>
        </w:rPr>
        <w:t xml:space="preserve">0 </w:t>
      </w:r>
      <w:proofErr w:type="spellStart"/>
      <w:r w:rsidRPr="0055574C">
        <w:rPr>
          <w:lang w:eastAsia="ja-JP"/>
        </w:rPr>
        <w:t>msec</w:t>
      </w:r>
      <w:proofErr w:type="spellEnd"/>
      <w:r w:rsidRPr="0055574C">
        <w:rPr>
          <w:lang w:eastAsia="ja-JP"/>
        </w:rPr>
        <w:t xml:space="preserve"> w</w:t>
      </w:r>
      <w:r>
        <w:rPr>
          <w:lang w:eastAsia="ja-JP"/>
        </w:rPr>
        <w:t>ere</w:t>
      </w:r>
      <w:r w:rsidRPr="0055574C">
        <w:rPr>
          <w:lang w:eastAsia="ja-JP"/>
        </w:rPr>
        <w:t xml:space="preserve"> numerically similar</w:t>
      </w:r>
      <w:r>
        <w:rPr>
          <w:lang w:eastAsia="ja-JP"/>
        </w:rPr>
        <w:t xml:space="preserve"> (incidences ranging from 0</w:t>
      </w:r>
      <w:r w:rsidR="008F2D59">
        <w:rPr>
          <w:lang w:eastAsia="ja-JP"/>
        </w:rPr>
        <w:t xml:space="preserve"> to </w:t>
      </w:r>
      <w:r>
        <w:rPr>
          <w:lang w:eastAsia="ja-JP"/>
        </w:rPr>
        <w:t>0.3%)</w:t>
      </w:r>
      <w:r w:rsidRPr="0055574C">
        <w:rPr>
          <w:lang w:eastAsia="ja-JP"/>
        </w:rPr>
        <w:t xml:space="preserve"> in all treatment groups</w:t>
      </w:r>
      <w:r w:rsidR="00B34BFC">
        <w:rPr>
          <w:lang w:eastAsia="ja-JP"/>
        </w:rPr>
        <w:t>.</w:t>
      </w:r>
    </w:p>
    <w:p w:rsidR="0073440E" w:rsidRPr="00C2074B" w:rsidRDefault="0073440E" w:rsidP="00A40895">
      <w:pPr>
        <w:pStyle w:val="Heading6"/>
      </w:pPr>
      <w:r w:rsidRPr="00C2074B">
        <w:t>Other studies</w:t>
      </w:r>
    </w:p>
    <w:p w:rsidR="00B34BFC" w:rsidRDefault="0073440E" w:rsidP="0073440E">
      <w:pPr>
        <w:rPr>
          <w:lang w:eastAsia="ja-JP"/>
        </w:rPr>
      </w:pPr>
      <w:bookmarkStart w:id="122" w:name="_Toc272414676"/>
      <w:bookmarkStart w:id="123" w:name="_Toc290888540"/>
      <w:bookmarkStart w:id="124" w:name="_Toc416353755"/>
      <w:bookmarkStart w:id="125" w:name="_Toc421005298"/>
      <w:bookmarkStart w:id="126" w:name="_Toc432079175"/>
      <w:bookmarkStart w:id="127" w:name="_Toc432080748"/>
      <w:r>
        <w:rPr>
          <w:lang w:eastAsia="ja-JP"/>
        </w:rPr>
        <w:t>No new information</w:t>
      </w:r>
      <w:r w:rsidR="00B34BFC">
        <w:rPr>
          <w:lang w:eastAsia="ja-JP"/>
        </w:rPr>
        <w:t>.</w:t>
      </w:r>
    </w:p>
    <w:p w:rsidR="0073440E" w:rsidRPr="00545B14" w:rsidRDefault="0073440E" w:rsidP="00A40895">
      <w:pPr>
        <w:pStyle w:val="Heading5"/>
      </w:pPr>
      <w:r w:rsidRPr="00545B14">
        <w:t>Vital signs</w:t>
      </w:r>
      <w:bookmarkEnd w:id="122"/>
      <w:bookmarkEnd w:id="123"/>
      <w:bookmarkEnd w:id="124"/>
      <w:bookmarkEnd w:id="125"/>
      <w:r>
        <w:t xml:space="preserve"> and clinical examination findings</w:t>
      </w:r>
      <w:bookmarkEnd w:id="126"/>
      <w:bookmarkEnd w:id="127"/>
    </w:p>
    <w:p w:rsidR="0073440E" w:rsidRPr="002B7B05" w:rsidRDefault="0073440E" w:rsidP="00A40895">
      <w:pPr>
        <w:pStyle w:val="Heading6"/>
      </w:pPr>
      <w:r>
        <w:t>I</w:t>
      </w:r>
      <w:r w:rsidRPr="002B7B05">
        <w:t>ntegrated safety analyses</w:t>
      </w:r>
    </w:p>
    <w:p w:rsidR="00B34BFC" w:rsidRDefault="0073440E" w:rsidP="0073440E">
      <w:pPr>
        <w:rPr>
          <w:lang w:eastAsia="ja-JP"/>
        </w:rPr>
      </w:pPr>
      <w:r>
        <w:rPr>
          <w:lang w:eastAsia="ja-JP"/>
        </w:rPr>
        <w:t>No new information</w:t>
      </w:r>
      <w:r w:rsidR="00B34BFC">
        <w:rPr>
          <w:lang w:eastAsia="ja-JP"/>
        </w:rPr>
        <w:t>.</w:t>
      </w:r>
    </w:p>
    <w:p w:rsidR="0073440E" w:rsidRPr="00C2074B" w:rsidRDefault="0073440E" w:rsidP="00A40895">
      <w:pPr>
        <w:pStyle w:val="Heading6"/>
      </w:pPr>
      <w:r w:rsidRPr="00C2074B">
        <w:t>Pivotal and/or main efficacy studies</w:t>
      </w:r>
    </w:p>
    <w:p w:rsidR="00B34BFC" w:rsidRDefault="0073440E" w:rsidP="00032481">
      <w:r w:rsidRPr="00032481">
        <w:t>In Study A3921069, the mean increase from baseline in body mass index was numerically greater in the 2 TOF groups than in the MTX arm at all time-points over 2 years, but the overall changes were small in all 3 treatment groups (</w:t>
      </w:r>
      <w:r w:rsidR="008F2D59">
        <w:t xml:space="preserve">&lt; </w:t>
      </w:r>
      <w:r w:rsidRPr="00032481">
        <w:t>1.5 kg/</w:t>
      </w:r>
      <w:r w:rsidR="008F2D59" w:rsidRPr="00032481">
        <w:t>m</w:t>
      </w:r>
      <w:r w:rsidR="008F2D59" w:rsidRPr="00273299">
        <w:rPr>
          <w:vertAlign w:val="superscript"/>
        </w:rPr>
        <w:t>2</w:t>
      </w:r>
      <w:r w:rsidRPr="00032481">
        <w:t xml:space="preserve"> at all time-points). Minimal changes in heart rate were observed during the </w:t>
      </w:r>
      <w:r w:rsidR="008F2D59">
        <w:t>2 year</w:t>
      </w:r>
      <w:r w:rsidR="00E205F5">
        <w:t xml:space="preserve"> treatment period in Study </w:t>
      </w:r>
      <w:r w:rsidRPr="00032481">
        <w:t>A3921069, which were comparable between the 3 treatmen</w:t>
      </w:r>
      <w:r w:rsidR="00032481" w:rsidRPr="00032481">
        <w:t>t groups</w:t>
      </w:r>
      <w:r w:rsidR="00B34BFC">
        <w:t>.</w:t>
      </w:r>
    </w:p>
    <w:p w:rsidR="0073440E" w:rsidRPr="00032481" w:rsidRDefault="0073440E" w:rsidP="00032481">
      <w:r w:rsidRPr="00032481">
        <w:lastRenderedPageBreak/>
        <w:t xml:space="preserve">Although there were no significant mean changes in systolic and diastolic blood pressure over time with any treatment in Study A3921069, a greater proportion of subjects reported hypertension related AEs (as coded for by the Standardised </w:t>
      </w:r>
      <w:proofErr w:type="spellStart"/>
      <w:r w:rsidRPr="00032481">
        <w:t>MedDRA</w:t>
      </w:r>
      <w:proofErr w:type="spellEnd"/>
      <w:r w:rsidRPr="00032481">
        <w:t xml:space="preserve"> Query) in the TOF 5 mg (9.4%; 35</w:t>
      </w:r>
      <w:r w:rsidR="008F2D59">
        <w:t xml:space="preserve"> out of </w:t>
      </w:r>
      <w:r w:rsidRPr="00032481">
        <w:t>373) and TOF 10 mg (10.3%; 41</w:t>
      </w:r>
      <w:r w:rsidR="008F2D59">
        <w:t xml:space="preserve"> out of </w:t>
      </w:r>
      <w:r w:rsidRPr="00032481">
        <w:t>397) groups compared to the MTX arm (4.3%; 8/186). One subject in the TOF 10 mg group permanently discontinued due to hypertension.</w:t>
      </w:r>
    </w:p>
    <w:p w:rsidR="0073440E" w:rsidRPr="00C2074B" w:rsidRDefault="0073440E" w:rsidP="00A40895">
      <w:pPr>
        <w:pStyle w:val="Heading6"/>
      </w:pPr>
      <w:r w:rsidRPr="00C2074B">
        <w:t>Other studies</w:t>
      </w:r>
    </w:p>
    <w:p w:rsidR="0073440E" w:rsidRDefault="0073440E" w:rsidP="0073440E">
      <w:pPr>
        <w:rPr>
          <w:lang w:eastAsia="ja-JP"/>
        </w:rPr>
      </w:pPr>
      <w:bookmarkStart w:id="128" w:name="_Toc432079176"/>
      <w:bookmarkStart w:id="129" w:name="_Toc432080749"/>
      <w:r>
        <w:rPr>
          <w:lang w:eastAsia="ja-JP"/>
        </w:rPr>
        <w:t>No new information.</w:t>
      </w:r>
    </w:p>
    <w:bookmarkEnd w:id="128"/>
    <w:bookmarkEnd w:id="129"/>
    <w:p w:rsidR="00605AD4" w:rsidRDefault="00605AD4" w:rsidP="00605AD4">
      <w:pPr>
        <w:pStyle w:val="Heading4"/>
      </w:pPr>
      <w:r w:rsidRPr="00605AD4">
        <w:t>Post</w:t>
      </w:r>
      <w:r w:rsidR="00E63418">
        <w:t xml:space="preserve"> </w:t>
      </w:r>
      <w:r w:rsidRPr="00605AD4">
        <w:t>marketing data</w:t>
      </w:r>
    </w:p>
    <w:p w:rsidR="0073440E" w:rsidRPr="00C94E87" w:rsidRDefault="0073440E" w:rsidP="00C94E87">
      <w:r w:rsidRPr="00C94E87">
        <w:t>As of November 2015, the sponsor estimates that 34,000 PY of drug exposure with 3 years of global availability (based on sales data) has occurred. However, the Australian post-marketing experience is limited with sales of 4384 packs of 14 tablets recorded up to 31</w:t>
      </w:r>
      <w:r w:rsidR="008F2D59">
        <w:t> </w:t>
      </w:r>
      <w:r w:rsidRPr="00C94E87">
        <w:t>July 2015 since the launch of TOF in Australia in March 2015. No specific post-marketing report was provided in this submission.</w:t>
      </w:r>
    </w:p>
    <w:p w:rsidR="00605AD4" w:rsidRPr="00605AD4" w:rsidRDefault="00605AD4" w:rsidP="00605AD4">
      <w:pPr>
        <w:pStyle w:val="Heading4"/>
      </w:pPr>
      <w:r w:rsidRPr="00605AD4">
        <w:t>Evaluator’s conclusions on safety</w:t>
      </w:r>
    </w:p>
    <w:p w:rsidR="00B34BFC" w:rsidRDefault="00C94E87" w:rsidP="00C94E87">
      <w:pPr>
        <w:autoSpaceDE w:val="0"/>
        <w:autoSpaceDN w:val="0"/>
        <w:adjustRightInd w:val="0"/>
      </w:pPr>
      <w:r>
        <w:t>In this submission for extension of treatment indication in patients with active RA, the sponsor has provided an update to the overall safety datab</w:t>
      </w:r>
      <w:r w:rsidR="00E205F5">
        <w:t>ase for TOF (as of the data cut</w:t>
      </w:r>
      <w:r w:rsidR="00E205F5">
        <w:noBreakHyphen/>
      </w:r>
      <w:r>
        <w:t xml:space="preserve">off date of 31 March 2015), as well as new </w:t>
      </w:r>
      <w:r w:rsidR="00B34BFC">
        <w:t>Phase II</w:t>
      </w:r>
      <w:r>
        <w:t xml:space="preserve"> study (A3921237) which evaluated the effects of TOF 5 mg twice daily on the zoster vaccine immune response in patients with RA</w:t>
      </w:r>
      <w:r w:rsidR="00B34BFC">
        <w:t>.</w:t>
      </w:r>
    </w:p>
    <w:p w:rsidR="00C94E87" w:rsidRDefault="00C94E87" w:rsidP="00C94E87">
      <w:pPr>
        <w:autoSpaceDE w:val="0"/>
        <w:autoSpaceDN w:val="0"/>
        <w:adjustRightInd w:val="0"/>
      </w:pPr>
      <w:r>
        <w:t>The total clinical safety dataset for the use of TOF (any dose) in adult patients with active RA consists of 19,406 PY of drug exposure observed in 6</w:t>
      </w:r>
      <w:r w:rsidR="008F2D59">
        <w:t>,</w:t>
      </w:r>
      <w:r>
        <w:t>194 patients. Of the treated subjects, 3</w:t>
      </w:r>
      <w:r w:rsidR="008F2D59">
        <w:t>,</w:t>
      </w:r>
      <w:r>
        <w:t xml:space="preserve">470 have received treatment for </w:t>
      </w:r>
      <w:r w:rsidR="008F2D59">
        <w:t xml:space="preserve">&gt; </w:t>
      </w:r>
      <w:r>
        <w:t>2 years, 1</w:t>
      </w:r>
      <w:r w:rsidR="008F2D59">
        <w:t>,</w:t>
      </w:r>
      <w:r>
        <w:t xml:space="preserve">443 subjects have received therapy for </w:t>
      </w:r>
      <w:r w:rsidR="008F2D59">
        <w:t xml:space="preserve">&gt; </w:t>
      </w:r>
      <w:r>
        <w:t xml:space="preserve">4 years and 345 patients have been exposed for </w:t>
      </w:r>
      <w:r w:rsidR="008F2D59">
        <w:t xml:space="preserve">&gt; </w:t>
      </w:r>
      <w:r>
        <w:t>6 years. In terms of the approved TOF regimen of 5 mg twice daily, 1</w:t>
      </w:r>
      <w:r w:rsidR="008F2D59">
        <w:t>,</w:t>
      </w:r>
      <w:r>
        <w:t xml:space="preserve">589 patients have been exposed for a total of 1743.9 PY in the </w:t>
      </w:r>
      <w:r w:rsidR="00B34BFC">
        <w:t>Phase III</w:t>
      </w:r>
      <w:r>
        <w:t xml:space="preserve"> controlled studies and in the LTE population, 1</w:t>
      </w:r>
      <w:r w:rsidR="008F2D59">
        <w:t>,</w:t>
      </w:r>
      <w:r>
        <w:t>471 patients have taken TOF for a mean duration of 3.5 years, which represents a total drug exposure at the registered dose of 5278 PY. About 80% of patients in the RA dataset have received concurrent conventional DMARD (usually low dose weekly MTX), more than 70% were taking concomitant NSAID, and approximately half were taking concurrent low dose oral CS. Overall, there is a sufficient volume of data to make a meaningful assessment of TOF safety (5 mg twice daily) for up to 7 years of treatment in adult patients with active RA.</w:t>
      </w:r>
    </w:p>
    <w:p w:rsidR="00C94E87" w:rsidRDefault="00C94E87" w:rsidP="00C94E87">
      <w:pPr>
        <w:autoSpaceDE w:val="0"/>
        <w:autoSpaceDN w:val="0"/>
        <w:adjustRightInd w:val="0"/>
      </w:pPr>
      <w:r>
        <w:t>Up to 24 months in Study A3921069, TOF 5 mg twice daily therapy + low dose weekly MTX showed a similar incidence of overall AEs, SAEs and AEs resulting in permanent treatment discontinuation compared to PBO tablets + continued MTX. However, some types of AEs occurred at a higher incidence in the TOF group (versus MTX) such as increased blood CPK levels, bronchitis and hypertension. In contrast, nausea and diarrhoea were more common with MTX versus MTX. Infection was the most common AE recognised with TOF and these occurred at a higher frequency in the TOF treatment groups versus control during the true PBO</w:t>
      </w:r>
      <w:r w:rsidR="008F2D59">
        <w:t xml:space="preserve"> </w:t>
      </w:r>
      <w:r>
        <w:t>controlled treatment periods (3</w:t>
      </w:r>
      <w:r w:rsidR="008F2D59">
        <w:t xml:space="preserve"> to </w:t>
      </w:r>
      <w:r>
        <w:t xml:space="preserve">6 months for most </w:t>
      </w:r>
      <w:r w:rsidR="00B34BFC">
        <w:t>Phase III</w:t>
      </w:r>
      <w:r>
        <w:t xml:space="preserve"> trials). The majority of infections were mild in severity, self-limiting, and were predominately either nasopharyngitis or URTI. The use of concurrent MTX did not appear to increase the overall risk of AEs, including infection related AEs. SAEs including serious infection related events were reported in a low proportion of TOF</w:t>
      </w:r>
      <w:r w:rsidR="008F2D59">
        <w:t> </w:t>
      </w:r>
      <w:r>
        <w:t>treated patients (</w:t>
      </w:r>
      <w:r w:rsidR="008F2D59">
        <w:t xml:space="preserve">&lt; </w:t>
      </w:r>
      <w:r>
        <w:t xml:space="preserve">3.0 serious infections per 100 PY of exposure). Some patients treated with TOF 10 mg twice daily developed reactivation of latent TB. However, there was an increased risk of herpes virus infections with any dose of TOF. This finding may be expected given the role of multiple cytokines in protective immunity. The majority of herpetic infections were </w:t>
      </w:r>
      <w:r>
        <w:lastRenderedPageBreak/>
        <w:t>rated as mild or moderate in severity, responded to standard treatment and did not result in permanent discontinuation from TOF, but there reports of disseminated herpes zoster.</w:t>
      </w:r>
    </w:p>
    <w:p w:rsidR="00B34BFC" w:rsidRDefault="00C94E87" w:rsidP="00C94E87">
      <w:pPr>
        <w:autoSpaceDE w:val="0"/>
        <w:autoSpaceDN w:val="0"/>
        <w:adjustRightInd w:val="0"/>
      </w:pPr>
      <w:r>
        <w:t>Hypertension is an uncommon type of AE reported at a slightly higher incidence in patients receiving TOF (with no dose response relationship) compared to PBO therapy. Most hypertension related AEs were rated as mild or moderate in severity and did not result in discontinuation from TOF</w:t>
      </w:r>
      <w:r w:rsidR="00B34BFC">
        <w:t>.</w:t>
      </w:r>
    </w:p>
    <w:p w:rsidR="00B34BFC" w:rsidRDefault="00C94E87" w:rsidP="00C94E87">
      <w:pPr>
        <w:autoSpaceDE w:val="0"/>
        <w:autoSpaceDN w:val="0"/>
        <w:adjustRightInd w:val="0"/>
      </w:pPr>
      <w:r>
        <w:t>Cases of gastrointestinal perforation are a safety concern with TOF therapy, but the integrated dataset revealed a relatively low incidence of such events (</w:t>
      </w:r>
      <w:r w:rsidR="008F2D59">
        <w:t xml:space="preserve">&lt; </w:t>
      </w:r>
      <w:r>
        <w:t xml:space="preserve">0.07 per 100 PY) with TOF 5 mg twice daily therapy. Four treatment emergent deaths were reported in Study A3921069 (all in TOF treated subjects) and a total of 90 deaths have been reported in patients with RA in the </w:t>
      </w:r>
      <w:r w:rsidR="00B34BFC">
        <w:t>long term</w:t>
      </w:r>
      <w:r>
        <w:t xml:space="preserve"> safety population. The rate of malignancies observed in Study A3921069 is within expectations of the treatment population and the types of cancer observed did not identify any specific new safety signals with TOF. There were also several MACE reports in Study A3921069, but overall these were within expectations for the selected treatment population. Nonetheless, longer periods of treatment follow-up are required to inform about these potential safety concerns (malignancy and MACE)</w:t>
      </w:r>
      <w:r w:rsidR="00B34BFC">
        <w:t>.</w:t>
      </w:r>
    </w:p>
    <w:p w:rsidR="00B34BFC" w:rsidRDefault="00C94E87" w:rsidP="00C94E87">
      <w:pPr>
        <w:autoSpaceDE w:val="0"/>
        <w:autoSpaceDN w:val="0"/>
        <w:adjustRightInd w:val="0"/>
      </w:pPr>
      <w:r>
        <w:t>Neutropenia and lymphopenia are recognised safety concerns with TOF therapy and the issue was identified in the original TGA submission. In the short term period (first 3</w:t>
      </w:r>
      <w:r w:rsidR="008F2D59">
        <w:t xml:space="preserve"> to </w:t>
      </w:r>
      <w:r w:rsidR="00E205F5">
        <w:t>6 </w:t>
      </w:r>
      <w:r>
        <w:t xml:space="preserve">months) of the </w:t>
      </w:r>
      <w:r w:rsidR="00B34BFC">
        <w:t>Phase III</w:t>
      </w:r>
      <w:r>
        <w:t xml:space="preserve"> studies, the overall incidence of neutropenia and lymphopenia was higher in both TOF (5 and 10 mg twice daily) treatment groups compared with PBO. There were occasional cases of severe neutropenia or lymphopenia observed in both TOF treatment groups, which required treatment discontinuation. Over </w:t>
      </w:r>
      <w:r w:rsidR="00B34BFC">
        <w:t>long term</w:t>
      </w:r>
      <w:r>
        <w:t xml:space="preserve"> follow-up, the incidence of lymphopenia was only 1.3% with TOF. The majority of neutropenic and </w:t>
      </w:r>
      <w:proofErr w:type="spellStart"/>
      <w:r>
        <w:t>lymphopenic</w:t>
      </w:r>
      <w:proofErr w:type="spellEnd"/>
      <w:r>
        <w:t xml:space="preserve"> episodes were transient, and not associated with infection related AEs, but there is an association between severe lymphopenia and the incidence of treated and serious infection</w:t>
      </w:r>
      <w:r w:rsidR="00B34BFC">
        <w:t>.</w:t>
      </w:r>
    </w:p>
    <w:p w:rsidR="00C94E87" w:rsidRDefault="00C94E87" w:rsidP="00C94E87">
      <w:pPr>
        <w:autoSpaceDE w:val="0"/>
        <w:autoSpaceDN w:val="0"/>
        <w:adjustRightInd w:val="0"/>
      </w:pPr>
      <w:r>
        <w:t xml:space="preserve">The total safety dataset also identified 4 other abnormalities of laboratory values which occurred at a numerically higher frequency in the TOF treatment cohorts compared with PBO or control populations. Elevations in hepatic transaminases, cases of raised CPK levels, increased serum creatinine levels and hyperlipidaemia have been associated with TOF. None of these abnormalities appear to display a dose response relationship with TOF. In general, patients who developed </w:t>
      </w:r>
      <w:r w:rsidR="00792D4A">
        <w:t xml:space="preserve">an </w:t>
      </w:r>
      <w:r>
        <w:t>increase in laboratory tests had ch</w:t>
      </w:r>
      <w:r w:rsidR="00E205F5">
        <w:t xml:space="preserve">anges of mild to </w:t>
      </w:r>
      <w:r>
        <w:t>moderate severity, which were mainly transient in nature (apart from the impact upon lipids) and without associated clinical sequelae. There are occasional permanent discontinuations from TOF because of persistent and/or severe abnormal laboratory results.</w:t>
      </w:r>
    </w:p>
    <w:p w:rsidR="00C94E87" w:rsidRDefault="00C94E87" w:rsidP="00C94E87">
      <w:pPr>
        <w:autoSpaceDE w:val="0"/>
        <w:autoSpaceDN w:val="0"/>
        <w:adjustRightInd w:val="0"/>
      </w:pPr>
      <w:r>
        <w:rPr>
          <w:lang w:eastAsia="ja-JP"/>
        </w:rPr>
        <w:t>Study A3921237 demonstrated that in subjects aged at least 50 years with active RA despite MTX, VZV specific IgG responses at 2, 6 and 12 weeks following zoster vaccination were similar in TOF + MTX treated and control subjects (continued MTX monotherapy) indicating similar vaccine induced humoral immune responses. In addition, T</w:t>
      </w:r>
      <w:r w:rsidR="008F2D59">
        <w:rPr>
          <w:lang w:eastAsia="ja-JP"/>
        </w:rPr>
        <w:t xml:space="preserve"> </w:t>
      </w:r>
      <w:r>
        <w:rPr>
          <w:lang w:eastAsia="ja-JP"/>
        </w:rPr>
        <w:t xml:space="preserve">cell subset analyses following zoster vaccination were similar between the 2 treatment groups indicating similar vaccine induced cell-mediated immune responses. The incidence and type of clinical safety outcomes and laboratory test abnormalities observed in Study A3921237 were consistent with the known safety profile of TOF. There were no SAEs observed in the control arm, but 3 subjects treated with TOF permanently discontinued from the trial due to 4 SAEs, all of which resolved by 2 weeks off therapy. In general, zoster vaccination appeared safe in all subjects except 1 patient who lacked pre-existing exposure to varicella infection. Cutaneous dissemination of vaccine strain VZV occurred in </w:t>
      </w:r>
      <w:r w:rsidR="008F2D59">
        <w:rPr>
          <w:lang w:eastAsia="ja-JP"/>
        </w:rPr>
        <w:t>one</w:t>
      </w:r>
      <w:r>
        <w:rPr>
          <w:lang w:eastAsia="ja-JP"/>
        </w:rPr>
        <w:t xml:space="preserve"> TOF treated subject who recovered without sequelae on anti-viral therapy.</w:t>
      </w:r>
    </w:p>
    <w:p w:rsidR="00C94E87" w:rsidRDefault="00C94E87" w:rsidP="00C94E87">
      <w:pPr>
        <w:autoSpaceDE w:val="0"/>
        <w:autoSpaceDN w:val="0"/>
        <w:adjustRightInd w:val="0"/>
        <w:rPr>
          <w:lang w:eastAsia="ja-JP"/>
        </w:rPr>
      </w:pPr>
      <w:r w:rsidRPr="00922A75">
        <w:rPr>
          <w:lang w:eastAsia="ja-JP"/>
        </w:rPr>
        <w:lastRenderedPageBreak/>
        <w:t xml:space="preserve">Because </w:t>
      </w:r>
      <w:r>
        <w:rPr>
          <w:lang w:eastAsia="ja-JP"/>
        </w:rPr>
        <w:t>TOF</w:t>
      </w:r>
      <w:r w:rsidRPr="00922A75">
        <w:rPr>
          <w:lang w:eastAsia="ja-JP"/>
        </w:rPr>
        <w:t xml:space="preserve"> is an oral targeted synthetic DMARD (</w:t>
      </w:r>
      <w:r>
        <w:rPr>
          <w:lang w:eastAsia="ja-JP"/>
        </w:rPr>
        <w:t>in contrast to</w:t>
      </w:r>
      <w:r w:rsidRPr="00922A75">
        <w:rPr>
          <w:lang w:eastAsia="ja-JP"/>
        </w:rPr>
        <w:t xml:space="preserve"> biologic DMARD</w:t>
      </w:r>
      <w:r>
        <w:rPr>
          <w:lang w:eastAsia="ja-JP"/>
        </w:rPr>
        <w:t xml:space="preserve"> therapy administered by intravenous infusion or subcutaneous injection</w:t>
      </w:r>
      <w:r w:rsidRPr="00922A75">
        <w:rPr>
          <w:lang w:eastAsia="ja-JP"/>
        </w:rPr>
        <w:t>) it is n</w:t>
      </w:r>
      <w:r w:rsidR="00792D4A">
        <w:rPr>
          <w:lang w:eastAsia="ja-JP"/>
        </w:rPr>
        <w:t>either</w:t>
      </w:r>
      <w:r w:rsidRPr="00922A75">
        <w:rPr>
          <w:lang w:eastAsia="ja-JP"/>
        </w:rPr>
        <w:t xml:space="preserve"> expected nor observed to produce immunogenicity or </w:t>
      </w:r>
      <w:r>
        <w:rPr>
          <w:lang w:eastAsia="ja-JP"/>
        </w:rPr>
        <w:t xml:space="preserve">an increased incidence of </w:t>
      </w:r>
      <w:r w:rsidRPr="00922A75">
        <w:rPr>
          <w:lang w:eastAsia="ja-JP"/>
        </w:rPr>
        <w:t>allergic skin reactions.</w:t>
      </w:r>
    </w:p>
    <w:p w:rsidR="00B34BFC" w:rsidRDefault="00C94E87" w:rsidP="00C94E87">
      <w:pPr>
        <w:autoSpaceDE w:val="0"/>
        <w:autoSpaceDN w:val="0"/>
        <w:adjustRightInd w:val="0"/>
      </w:pPr>
      <w:r>
        <w:t xml:space="preserve">In summary, the safety data indicates that TOF 5 mg twice daily has an acceptable overall safety profile up to 7 years of therapy in the treatment of adult patients with moderately to severely active RA. There is limited </w:t>
      </w:r>
      <w:r w:rsidR="00B34BFC">
        <w:t>long term</w:t>
      </w:r>
      <w:r>
        <w:t xml:space="preserve"> safety data to assess the risk of some types of AEs such as malignancy and MACE, which will require additional longitudinal safety follow-up. There are some significant identified safety concerns including the risk of overall infection, opportunistic infection (mainly herpes viral infection and TB), neutropenia, lymphopenia, abnormal liver function tests and dyslipidaemia. These safety concerns are consistent with the known </w:t>
      </w:r>
      <w:r w:rsidR="00792D4A">
        <w:t xml:space="preserve">safety </w:t>
      </w:r>
      <w:r>
        <w:t>profile of TOF in adult patients with RA. Ongoing pharmacovigilance will be required for the continued registration of TOF in the treatment of patients with RA. This would include vigilance for opportunistic infections, MACE and malignancy (particularly, non-melanoma skin cancers and lymphoma)</w:t>
      </w:r>
      <w:bookmarkStart w:id="130" w:name="_Toc509307198"/>
      <w:r w:rsidR="00B34BFC">
        <w:t>.</w:t>
      </w:r>
    </w:p>
    <w:p w:rsidR="00605AD4" w:rsidRPr="00605AD4" w:rsidRDefault="00605AD4" w:rsidP="00605AD4">
      <w:pPr>
        <w:pStyle w:val="Heading3"/>
        <w:rPr>
          <w:rFonts w:eastAsia="Cambria"/>
        </w:rPr>
      </w:pPr>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30"/>
    </w:p>
    <w:p w:rsidR="00605AD4" w:rsidRDefault="00605AD4" w:rsidP="00605AD4">
      <w:pPr>
        <w:pStyle w:val="Heading4"/>
      </w:pPr>
      <w:r w:rsidRPr="00605AD4">
        <w:t>First round assessment of benefits</w:t>
      </w:r>
    </w:p>
    <w:p w:rsidR="00C94E87" w:rsidRDefault="00C94E87" w:rsidP="00C94E87">
      <w:r>
        <w:t>In this submission requesting an extension of treatment in</w:t>
      </w:r>
      <w:r w:rsidR="00E205F5">
        <w:t>dication, the benefits of TOF 5 </w:t>
      </w:r>
      <w:r>
        <w:t>mg twice daily (with or without concomitant MTX) in adult patients with active RA are:</w:t>
      </w:r>
    </w:p>
    <w:p w:rsidR="00C94E87" w:rsidRDefault="00C94E87" w:rsidP="00C94E87">
      <w:pPr>
        <w:pStyle w:val="ListBullet"/>
      </w:pPr>
      <w:r>
        <w:t xml:space="preserve">TOF + MTX versus PBO + MTX results in statistically less worsening of structural progression (as measured by mean changes from </w:t>
      </w:r>
      <w:r w:rsidR="00E205F5">
        <w:t xml:space="preserve">baseline in </w:t>
      </w:r>
      <w:proofErr w:type="spellStart"/>
      <w:r w:rsidR="00E205F5">
        <w:t>mTSS</w:t>
      </w:r>
      <w:proofErr w:type="spellEnd"/>
      <w:r w:rsidR="00E205F5">
        <w:t>) over 6 and 12 </w:t>
      </w:r>
      <w:r>
        <w:t xml:space="preserve">months when sensitivity and patient subset analyses (mostly, post hoc analyses) are applied to the </w:t>
      </w:r>
      <w:r w:rsidR="0067104C">
        <w:t>x-ray</w:t>
      </w:r>
      <w:r>
        <w:t xml:space="preserve"> dataset of Study A3921044. However, the primary </w:t>
      </w:r>
      <w:r w:rsidR="0067104C">
        <w:t>x-ray</w:t>
      </w:r>
      <w:r>
        <w:t xml:space="preserve"> analysis did not support a robust finding in favour of TOF therapy in a predominantly second line treatment population with established RA. Trial design and unexpectedly low rates of </w:t>
      </w:r>
      <w:r w:rsidR="0067104C">
        <w:t>x-ray</w:t>
      </w:r>
      <w:r>
        <w:t xml:space="preserve"> progression in the control group may have contributed to the non-statistical finding with the primary analysis.</w:t>
      </w:r>
    </w:p>
    <w:p w:rsidR="00C94E87" w:rsidRDefault="00C94E87" w:rsidP="00C94E87">
      <w:pPr>
        <w:pStyle w:val="ListBullet"/>
      </w:pPr>
      <w:r>
        <w:t xml:space="preserve">TOF therapy (versus MTX) is associated with a lower rate of structural disease progression at months 6, 12 and 24 months of treatment in a RA population with early disease (median </w:t>
      </w:r>
      <w:r w:rsidR="008F2D59">
        <w:t xml:space="preserve">&lt; </w:t>
      </w:r>
      <w:r>
        <w:t>12 months duration) who are mainly naive to DMARD therapy (Study A3921069), however, this is not the current approved treatment population for TOF in Australia and the sponsor is not requesting a change to the recommended patient treatment group.</w:t>
      </w:r>
    </w:p>
    <w:p w:rsidR="00C94E87" w:rsidRDefault="003F559A" w:rsidP="00C94E87">
      <w:pPr>
        <w:pStyle w:val="ListBullet"/>
        <w:rPr>
          <w:lang w:eastAsia="ja-JP"/>
        </w:rPr>
      </w:pPr>
      <w:r>
        <w:t>X-ray</w:t>
      </w:r>
      <w:r w:rsidR="00C94E87">
        <w:t xml:space="preserve"> benefits with TOF versus PBO in Study A3921044 were observed in a treatment response enriched population (</w:t>
      </w:r>
      <w:r w:rsidR="00B34BFC">
        <w:t xml:space="preserve">that is </w:t>
      </w:r>
      <w:r w:rsidR="00C94E87">
        <w:t xml:space="preserve">autoantibody positive subjects with established joint erosions and elevated CRP values at baseline). However, the generalisability of this finding to the Australian clinical practice setting is limited and has not been included in the sponsor proposed </w:t>
      </w:r>
      <w:r w:rsidR="0067104C">
        <w:t>x-ray</w:t>
      </w:r>
      <w:r w:rsidR="00C94E87">
        <w:t xml:space="preserve"> indication wording or PI.</w:t>
      </w:r>
    </w:p>
    <w:p w:rsidR="00C94E87" w:rsidRDefault="00C94E87" w:rsidP="00C94E87">
      <w:pPr>
        <w:pStyle w:val="ListBullet"/>
        <w:rPr>
          <w:lang w:eastAsia="ja-JP"/>
        </w:rPr>
      </w:pPr>
      <w:r>
        <w:rPr>
          <w:lang w:eastAsia="ja-JP"/>
        </w:rPr>
        <w:t xml:space="preserve">The magnitude and clinical relevance of the potential </w:t>
      </w:r>
      <w:r w:rsidR="0067104C">
        <w:rPr>
          <w:lang w:eastAsia="ja-JP"/>
        </w:rPr>
        <w:t>x-ray</w:t>
      </w:r>
      <w:r>
        <w:rPr>
          <w:lang w:eastAsia="ja-JP"/>
        </w:rPr>
        <w:t xml:space="preserve"> benefits with TOF versus alternative treatment options in adult patients with active RA is unclear and cannot be quantified with scientific rigor from the current dataset.</w:t>
      </w:r>
    </w:p>
    <w:p w:rsidR="00C94E87" w:rsidRDefault="00C94E87" w:rsidP="00C94E87">
      <w:pPr>
        <w:pStyle w:val="ListBullet"/>
        <w:rPr>
          <w:lang w:eastAsia="ja-JP"/>
        </w:rPr>
      </w:pPr>
      <w:r>
        <w:t xml:space="preserve">Improvement in the signs and symptoms of RA (as per the ACR clinical response criteria), which appear to be maintained to at least 2 years of treatment in the </w:t>
      </w:r>
      <w:r w:rsidR="00E205F5">
        <w:t>two</w:t>
      </w:r>
      <w:r>
        <w:t xml:space="preserve"> pivotal </w:t>
      </w:r>
      <w:r w:rsidR="00B34BFC">
        <w:t>Phase III</w:t>
      </w:r>
      <w:r>
        <w:t xml:space="preserve"> studies (A3921044 and A3921069).</w:t>
      </w:r>
    </w:p>
    <w:p w:rsidR="00B34BFC" w:rsidRDefault="00C94E87" w:rsidP="00C94E87">
      <w:pPr>
        <w:pStyle w:val="ListBullet"/>
        <w:rPr>
          <w:lang w:eastAsia="ja-JP"/>
        </w:rPr>
      </w:pPr>
      <w:r>
        <w:rPr>
          <w:lang w:eastAsia="ja-JP"/>
        </w:rPr>
        <w:t>Persistence of clinical efficacy response for up to 7 years in the subgroup of patients who are responding to and tolerating TOF 5 mg twice daily therapy (as seen in the LTE Studies A3921024 and A3921041). The volume and recorded outcomes of the extended TOF treatment cohort is a relative strength of the current dataset</w:t>
      </w:r>
      <w:r w:rsidR="00B34BFC">
        <w:rPr>
          <w:lang w:eastAsia="ja-JP"/>
        </w:rPr>
        <w:t>.</w:t>
      </w:r>
    </w:p>
    <w:p w:rsidR="00C94E87" w:rsidRDefault="00C94E87" w:rsidP="00C94E87">
      <w:pPr>
        <w:pStyle w:val="ListBullet"/>
      </w:pPr>
      <w:r>
        <w:lastRenderedPageBreak/>
        <w:t xml:space="preserve">Correlation between improvements in RAMRIS erosion scores on MRI, and </w:t>
      </w:r>
      <w:proofErr w:type="spellStart"/>
      <w:r>
        <w:t>mTSS</w:t>
      </w:r>
      <w:proofErr w:type="spellEnd"/>
      <w:r>
        <w:t xml:space="preserve"> and ES on Plain </w:t>
      </w:r>
      <w:r w:rsidR="0067104C">
        <w:t>x-ray</w:t>
      </w:r>
      <w:r>
        <w:t xml:space="preserve"> at 6 months with TOF therapy (Study A3921068), which supports the plausibility of TOF exerting a possible structural modification effect (preliminary data only).</w:t>
      </w:r>
    </w:p>
    <w:p w:rsidR="00C94E87" w:rsidRDefault="00C94E87" w:rsidP="00C94E87">
      <w:pPr>
        <w:pStyle w:val="ListBullet"/>
      </w:pPr>
      <w:r>
        <w:rPr>
          <w:lang w:eastAsia="ja-JP"/>
        </w:rPr>
        <w:t>Study A3921237 demonstrated that in subjects aged at least 50 years with active RA despite MTX, VZV specific IgG responses at 2, 6 and 12 weeks following zoster vaccination were similar in TOF + MTX treated and control subjects (continued MTX monotherapy) indicating similar vaccine induced humoral immune responses. In addition, T</w:t>
      </w:r>
      <w:r w:rsidR="00DF555C">
        <w:rPr>
          <w:lang w:eastAsia="ja-JP"/>
        </w:rPr>
        <w:t xml:space="preserve"> </w:t>
      </w:r>
      <w:r>
        <w:rPr>
          <w:lang w:eastAsia="ja-JP"/>
        </w:rPr>
        <w:t>cell subset analyses following zoster vaccination were similar between the 2 treatment groups indicati</w:t>
      </w:r>
      <w:r w:rsidR="00E205F5">
        <w:rPr>
          <w:lang w:eastAsia="ja-JP"/>
        </w:rPr>
        <w:t xml:space="preserve">ng similar vaccine induced cell </w:t>
      </w:r>
      <w:r>
        <w:rPr>
          <w:lang w:eastAsia="ja-JP"/>
        </w:rPr>
        <w:t>mediated immune responses.</w:t>
      </w:r>
    </w:p>
    <w:p w:rsidR="00C94E87" w:rsidRDefault="00C94E87" w:rsidP="00C94E87">
      <w:pPr>
        <w:pStyle w:val="ListBullet"/>
      </w:pPr>
      <w:r>
        <w:t>Convenient mode of administration (oral ingestion) with an acceptable dosing schedule (twice daily administration) versus subcutaneous injection for a variety of other DMARD therapies.</w:t>
      </w:r>
    </w:p>
    <w:p w:rsidR="00605AD4" w:rsidRDefault="00605AD4" w:rsidP="00605AD4">
      <w:pPr>
        <w:pStyle w:val="Heading4"/>
      </w:pPr>
      <w:r w:rsidRPr="00605AD4">
        <w:t>First round assessment of risks</w:t>
      </w:r>
    </w:p>
    <w:p w:rsidR="00C94E87" w:rsidRDefault="00C94E87" w:rsidP="00C94E87">
      <w:r>
        <w:t>The risks of TOF in the proposed usage include:</w:t>
      </w:r>
    </w:p>
    <w:p w:rsidR="00C94E87" w:rsidRDefault="00C94E87" w:rsidP="00C94E87">
      <w:pPr>
        <w:pStyle w:val="ListBullet"/>
      </w:pPr>
      <w:r>
        <w:t>Increased incidence of overall infection compared to PBO, which are usually minor in severity (in particular, URTI and nasopharyngitis), but there is also an increased risk of serious infection with TOF.</w:t>
      </w:r>
    </w:p>
    <w:p w:rsidR="00C94E87" w:rsidRDefault="00C94E87" w:rsidP="00C94E87">
      <w:pPr>
        <w:pStyle w:val="ListBullet"/>
      </w:pPr>
      <w:r>
        <w:t>Increased risk of pneumonia (including compared to MTX) and various types of herpes infection (in particular, herpes zoster infection) with TOF.</w:t>
      </w:r>
    </w:p>
    <w:p w:rsidR="00C94E87" w:rsidRDefault="00C94E87" w:rsidP="00C94E87">
      <w:pPr>
        <w:pStyle w:val="ListBullet"/>
      </w:pPr>
      <w:r>
        <w:t>Increased risk of drug induced neutropenia and lymphopenia compared to PBO.</w:t>
      </w:r>
    </w:p>
    <w:p w:rsidR="00C94E87" w:rsidRDefault="00C94E87" w:rsidP="00C94E87">
      <w:pPr>
        <w:pStyle w:val="ListBullet"/>
      </w:pPr>
      <w:r>
        <w:t>Risk of precipitation of gastrointestinal perforation (mainly seen with the higher non-approved dose of TOF</w:t>
      </w:r>
      <w:r w:rsidR="008F2D59">
        <w:t xml:space="preserve">; </w:t>
      </w:r>
      <w:r>
        <w:t>10 mg twice daily).</w:t>
      </w:r>
    </w:p>
    <w:p w:rsidR="00B34BFC" w:rsidRDefault="00C94E87" w:rsidP="00C94E87">
      <w:pPr>
        <w:pStyle w:val="ListBullet"/>
      </w:pPr>
      <w:r>
        <w:t>Increased frequency of raised serum transaminases and atherogenic serum lipid profiles compared to PBO</w:t>
      </w:r>
      <w:r w:rsidR="00B34BFC">
        <w:t>.</w:t>
      </w:r>
    </w:p>
    <w:p w:rsidR="00C94E87" w:rsidRDefault="00C94E87" w:rsidP="00C94E87">
      <w:pPr>
        <w:pStyle w:val="ListBullet"/>
      </w:pPr>
      <w:r>
        <w:t xml:space="preserve">Potential increased risk of malignancy and MACE requiring </w:t>
      </w:r>
      <w:r w:rsidR="00B34BFC">
        <w:t>long term</w:t>
      </w:r>
      <w:r w:rsidR="00E205F5">
        <w:t xml:space="preserve"> surveillance;</w:t>
      </w:r>
      <w:r>
        <w:t xml:space="preserve"> not evident in the current safety dataset.</w:t>
      </w:r>
    </w:p>
    <w:p w:rsidR="00C94E87" w:rsidRDefault="00C94E87" w:rsidP="00C94E87">
      <w:pPr>
        <w:pStyle w:val="ListBullet"/>
      </w:pPr>
      <w:r>
        <w:t>Higher rates of hypertension with TOF versus control therapy, which are usually non-severe in nature and rarely leads to permanent treatment discontinuation.</w:t>
      </w:r>
    </w:p>
    <w:p w:rsidR="00C94E87" w:rsidRDefault="00C94E87" w:rsidP="00C94E87">
      <w:pPr>
        <w:pStyle w:val="ListBullet"/>
      </w:pPr>
      <w:r>
        <w:t>Increased rates of raised serum CPK values and occasional reports of rhabdomyolysis resulting in permanent treatment discontinuation from TOF.</w:t>
      </w:r>
    </w:p>
    <w:p w:rsidR="00B34BFC" w:rsidRDefault="00C94E87" w:rsidP="00C94E87">
      <w:pPr>
        <w:pStyle w:val="ListBullet"/>
      </w:pPr>
      <w:r>
        <w:t>Potential for drug induced interstitial lung disease and reduction in renal function with TOF</w:t>
      </w:r>
      <w:r w:rsidR="00B34BFC">
        <w:t>.</w:t>
      </w:r>
    </w:p>
    <w:p w:rsidR="00C94E87" w:rsidRDefault="00C94E87" w:rsidP="00C94E87">
      <w:pPr>
        <w:pStyle w:val="ListBullet"/>
      </w:pPr>
      <w:r>
        <w:t xml:space="preserve">TOF has not been studied in patients </w:t>
      </w:r>
      <w:r w:rsidR="008F2D59">
        <w:t xml:space="preserve">&lt; </w:t>
      </w:r>
      <w:r>
        <w:t>18 years of age, in subjects with significant organ dysfunction (including renal, hepatic or cardiac failure), those at risk of reactivated latent tuberculosis (requiring meticulous screening at baseline) and in pregnant or lactating women.</w:t>
      </w:r>
    </w:p>
    <w:p w:rsidR="00C94E87" w:rsidRDefault="00C94E87" w:rsidP="00C94E87">
      <w:pPr>
        <w:pStyle w:val="ListBullet"/>
      </w:pPr>
      <w:r>
        <w:t>TOF has not been studied and should not be used in combination with biologic DMARD therapy in patients with RA.</w:t>
      </w:r>
    </w:p>
    <w:p w:rsidR="00605AD4" w:rsidRPr="00605AD4" w:rsidRDefault="00605AD4" w:rsidP="00605AD4">
      <w:pPr>
        <w:pStyle w:val="Heading4"/>
      </w:pPr>
      <w:r w:rsidRPr="00605AD4">
        <w:t>First round assessment of benefit-risk balance</w:t>
      </w:r>
    </w:p>
    <w:p w:rsidR="00B34BFC" w:rsidRDefault="00C94E87" w:rsidP="00C94E87">
      <w:pPr>
        <w:rPr>
          <w:rFonts w:cs="TimesNewRoman"/>
          <w:color w:val="000000"/>
        </w:rPr>
      </w:pPr>
      <w:r>
        <w:t xml:space="preserve">The overall benefit-risk balance of TOF, with or without combination non-biologic DMARD (mainly, weekly low dose oral MTX) in adult patients with moderately to severely active RA, who have had an inadequate response to or intolerant of at least 1 DMARD, with </w:t>
      </w:r>
      <w:r>
        <w:lastRenderedPageBreak/>
        <w:t xml:space="preserve">respect to inhibition of structural progression associated with RA is unclear. The claim of radiographic benefit in RA is an add-on claim to an overall treatment indication, which already includes improvement in the symptoms and signs as well improving physical function. </w:t>
      </w:r>
      <w:r>
        <w:rPr>
          <w:rFonts w:cs="TimesNewRoman"/>
          <w:color w:val="000000"/>
        </w:rPr>
        <w:t>Several</w:t>
      </w:r>
      <w:r w:rsidRPr="00506281">
        <w:rPr>
          <w:rFonts w:cs="TimesNewRoman"/>
          <w:color w:val="000000"/>
        </w:rPr>
        <w:t xml:space="preserve"> </w:t>
      </w:r>
      <w:r>
        <w:rPr>
          <w:rFonts w:cs="TimesNewRoman"/>
          <w:color w:val="000000"/>
        </w:rPr>
        <w:t>biologic</w:t>
      </w:r>
      <w:r w:rsidRPr="00506281">
        <w:rPr>
          <w:rFonts w:cs="TimesNewRoman"/>
          <w:color w:val="000000"/>
        </w:rPr>
        <w:t xml:space="preserve"> </w:t>
      </w:r>
      <w:r>
        <w:rPr>
          <w:rFonts w:cs="TimesNewRoman"/>
          <w:color w:val="000000"/>
        </w:rPr>
        <w:t xml:space="preserve">therapies </w:t>
      </w:r>
      <w:r w:rsidRPr="00506281">
        <w:rPr>
          <w:rFonts w:cs="TimesNewRoman"/>
          <w:color w:val="000000"/>
        </w:rPr>
        <w:t xml:space="preserve">approved </w:t>
      </w:r>
      <w:r>
        <w:rPr>
          <w:rFonts w:cs="TimesNewRoman"/>
          <w:color w:val="000000"/>
        </w:rPr>
        <w:t xml:space="preserve">in Australia </w:t>
      </w:r>
      <w:r w:rsidRPr="00506281">
        <w:rPr>
          <w:rFonts w:cs="TimesNewRoman"/>
          <w:color w:val="000000"/>
        </w:rPr>
        <w:t xml:space="preserve">for the treatment of </w:t>
      </w:r>
      <w:r>
        <w:rPr>
          <w:rFonts w:cs="TimesNewRoman"/>
          <w:color w:val="000000"/>
        </w:rPr>
        <w:t>RA also</w:t>
      </w:r>
      <w:r w:rsidRPr="00506281">
        <w:rPr>
          <w:rFonts w:cs="TimesNewRoman"/>
          <w:color w:val="000000"/>
        </w:rPr>
        <w:t xml:space="preserve"> </w:t>
      </w:r>
      <w:r>
        <w:rPr>
          <w:rFonts w:cs="TimesNewRoman"/>
          <w:color w:val="000000"/>
        </w:rPr>
        <w:t>include a claim of radiographic benefit</w:t>
      </w:r>
      <w:r w:rsidR="00B34BFC">
        <w:rPr>
          <w:rFonts w:cs="TimesNewRoman"/>
          <w:color w:val="000000"/>
        </w:rPr>
        <w:t>.</w:t>
      </w:r>
    </w:p>
    <w:p w:rsidR="00B34BFC" w:rsidRDefault="00C94E87" w:rsidP="00C94E87">
      <w:r>
        <w:t>TOF</w:t>
      </w:r>
      <w:r w:rsidRPr="00F257E4">
        <w:t xml:space="preserve"> is a </w:t>
      </w:r>
      <w:r>
        <w:t>small mo</w:t>
      </w:r>
      <w:r w:rsidRPr="00F257E4">
        <w:t>l</w:t>
      </w:r>
      <w:r>
        <w:t>ecule</w:t>
      </w:r>
      <w:r w:rsidRPr="00F257E4">
        <w:t xml:space="preserve"> </w:t>
      </w:r>
      <w:r>
        <w:t xml:space="preserve">drug that selectively </w:t>
      </w:r>
      <w:r w:rsidRPr="00F257E4">
        <w:t>in</w:t>
      </w:r>
      <w:r>
        <w:t>hibits JAK1 and JAK3, thereby blocking the effects of various</w:t>
      </w:r>
      <w:r w:rsidRPr="00F257E4">
        <w:t xml:space="preserve"> pro-inflammatory cytokine</w:t>
      </w:r>
      <w:r>
        <w:t>s. In this submission, TOF</w:t>
      </w:r>
      <w:r w:rsidRPr="00F257E4">
        <w:t xml:space="preserve"> has been evaluated in a large clinical program, which complied with CHMP guidelines for evaluation of treatment in RA. The clinical studies have evaluated an adequate number of subjects in the target patient popu</w:t>
      </w:r>
      <w:r>
        <w:t>lation and demonstrated that TOF 5 mg twice daily</w:t>
      </w:r>
      <w:r w:rsidRPr="00F257E4">
        <w:t xml:space="preserve"> is an effective in the treatment of active RA. </w:t>
      </w:r>
      <w:r>
        <w:t xml:space="preserve">The complete radiographic dataset </w:t>
      </w:r>
      <w:r w:rsidRPr="00F257E4">
        <w:t xml:space="preserve">questionably </w:t>
      </w:r>
      <w:r>
        <w:t xml:space="preserve">suggests </w:t>
      </w:r>
      <w:r w:rsidRPr="00F257E4">
        <w:t xml:space="preserve">superior inhibition of </w:t>
      </w:r>
      <w:r w:rsidR="0067104C">
        <w:t>x-ray</w:t>
      </w:r>
      <w:r w:rsidRPr="00F257E4">
        <w:t xml:space="preserve"> progression</w:t>
      </w:r>
      <w:r>
        <w:t xml:space="preserve"> in the currently approved treatment population, but superiority of this </w:t>
      </w:r>
      <w:r w:rsidR="0067104C">
        <w:t>x-ray</w:t>
      </w:r>
      <w:r w:rsidRPr="00F257E4">
        <w:t xml:space="preserve"> data has been </w:t>
      </w:r>
      <w:r>
        <w:t>ob</w:t>
      </w:r>
      <w:r w:rsidRPr="00F257E4">
        <w:t>s</w:t>
      </w:r>
      <w:r>
        <w:t>erved in various sensitivity and patient subgroup analyses, many of which were not</w:t>
      </w:r>
      <w:r w:rsidRPr="00F257E4">
        <w:t xml:space="preserve"> pre-specified </w:t>
      </w:r>
      <w:r>
        <w:t xml:space="preserve">in the </w:t>
      </w:r>
      <w:r w:rsidRPr="00F257E4">
        <w:t>statistical testing</w:t>
      </w:r>
      <w:r>
        <w:t xml:space="preserve"> for the </w:t>
      </w:r>
      <w:r w:rsidR="008F2D59">
        <w:t>one</w:t>
      </w:r>
      <w:r>
        <w:t xml:space="preserve"> true pivotal trial that recruited patients consistent with the approved treatment indication (</w:t>
      </w:r>
      <w:r w:rsidR="00B34BFC">
        <w:t xml:space="preserve">that is </w:t>
      </w:r>
      <w:r>
        <w:t>Study A3921044)</w:t>
      </w:r>
      <w:r w:rsidR="00B34BFC">
        <w:t>.</w:t>
      </w:r>
    </w:p>
    <w:p w:rsidR="00C94E87" w:rsidRDefault="00C94E87" w:rsidP="00C94E87">
      <w:r w:rsidRPr="004010F6">
        <w:t xml:space="preserve">The safety profile of </w:t>
      </w:r>
      <w:r>
        <w:t>TOF</w:t>
      </w:r>
      <w:r w:rsidRPr="004010F6">
        <w:t xml:space="preserve"> observed in </w:t>
      </w:r>
      <w:r>
        <w:t>the</w:t>
      </w:r>
      <w:r w:rsidRPr="004010F6">
        <w:t xml:space="preserve"> </w:t>
      </w:r>
      <w:r>
        <w:t xml:space="preserve">extended </w:t>
      </w:r>
      <w:r w:rsidRPr="004010F6">
        <w:t>clinical s</w:t>
      </w:r>
      <w:r>
        <w:t>afe</w:t>
      </w:r>
      <w:r w:rsidRPr="004010F6">
        <w:t>t</w:t>
      </w:r>
      <w:r>
        <w:t xml:space="preserve">y </w:t>
      </w:r>
      <w:r w:rsidRPr="004010F6">
        <w:t>d</w:t>
      </w:r>
      <w:r>
        <w:t xml:space="preserve">ataset included in this submission is largely consistent with that known </w:t>
      </w:r>
      <w:r w:rsidRPr="004010F6">
        <w:t>f</w:t>
      </w:r>
      <w:r>
        <w:t>or TOF</w:t>
      </w:r>
      <w:r w:rsidRPr="004010F6">
        <w:t xml:space="preserve">, based on the </w:t>
      </w:r>
      <w:r>
        <w:t>original TGA submission. The recognis</w:t>
      </w:r>
      <w:r w:rsidRPr="004010F6">
        <w:t xml:space="preserve">ed </w:t>
      </w:r>
      <w:r>
        <w:t>risks with TOF</w:t>
      </w:r>
      <w:r w:rsidRPr="004010F6">
        <w:t xml:space="preserve"> </w:t>
      </w:r>
      <w:r>
        <w:t xml:space="preserve">therapy </w:t>
      </w:r>
      <w:r w:rsidRPr="004010F6">
        <w:t>includ</w:t>
      </w:r>
      <w:r>
        <w:t>e</w:t>
      </w:r>
      <w:r w:rsidRPr="004010F6">
        <w:t xml:space="preserve"> an increased risk </w:t>
      </w:r>
      <w:r>
        <w:t>o</w:t>
      </w:r>
      <w:r w:rsidRPr="004010F6">
        <w:t xml:space="preserve">f infection and changes in </w:t>
      </w:r>
      <w:r>
        <w:t xml:space="preserve">certain </w:t>
      </w:r>
      <w:r w:rsidRPr="004010F6">
        <w:t xml:space="preserve">laboratory parameters, </w:t>
      </w:r>
      <w:r>
        <w:t xml:space="preserve">in </w:t>
      </w:r>
      <w:r w:rsidRPr="004010F6">
        <w:t>p</w:t>
      </w:r>
      <w:r>
        <w:t>arti</w:t>
      </w:r>
      <w:r w:rsidRPr="004010F6">
        <w:t>c</w:t>
      </w:r>
      <w:r>
        <w:t>u</w:t>
      </w:r>
      <w:r w:rsidRPr="004010F6">
        <w:t>l</w:t>
      </w:r>
      <w:r>
        <w:t xml:space="preserve">ar, </w:t>
      </w:r>
      <w:r w:rsidRPr="004010F6">
        <w:t>decrease</w:t>
      </w:r>
      <w:r>
        <w:t>s</w:t>
      </w:r>
      <w:r w:rsidRPr="004010F6">
        <w:t xml:space="preserve"> in neutrophil count and increases in hepatic transaminases and </w:t>
      </w:r>
      <w:r>
        <w:t>serum</w:t>
      </w:r>
      <w:r w:rsidRPr="004010F6">
        <w:t xml:space="preserve"> lipids. </w:t>
      </w:r>
      <w:r>
        <w:t xml:space="preserve">The risk profile of TOF is based on a total of 1589 TOF </w:t>
      </w:r>
      <w:r w:rsidR="00B34BFC">
        <w:t>5 mg</w:t>
      </w:r>
      <w:r>
        <w:t xml:space="preserve"> twice daily </w:t>
      </w:r>
      <w:r w:rsidRPr="00F257E4">
        <w:t>treated patients w</w:t>
      </w:r>
      <w:r>
        <w:t>ith RA involved in the</w:t>
      </w:r>
      <w:r w:rsidRPr="00F257E4">
        <w:t xml:space="preserve"> </w:t>
      </w:r>
      <w:r w:rsidR="00B34BFC">
        <w:t>Phase III</w:t>
      </w:r>
      <w:r w:rsidRPr="00F257E4">
        <w:t xml:space="preserve"> studies, as well as additional saf</w:t>
      </w:r>
      <w:r>
        <w:t xml:space="preserve">ety information collected from </w:t>
      </w:r>
      <w:r w:rsidR="008F2D59">
        <w:t xml:space="preserve">&gt; </w:t>
      </w:r>
      <w:r>
        <w:t>6</w:t>
      </w:r>
      <w:r w:rsidRPr="00F257E4">
        <w:t xml:space="preserve">000 patients treated with any </w:t>
      </w:r>
      <w:r>
        <w:t>dose of TOF in the all exposure population</w:t>
      </w:r>
      <w:r w:rsidRPr="00F257E4">
        <w:t>.</w:t>
      </w:r>
    </w:p>
    <w:p w:rsidR="00B34BFC" w:rsidRDefault="00C94E87" w:rsidP="00C94E87">
      <w:r w:rsidRPr="00F257E4">
        <w:t>In the RA trials, there was an increased incidence in</w:t>
      </w:r>
      <w:r>
        <w:t xml:space="preserve"> overall infections in the 2 TOF dose groups compared to PBO.</w:t>
      </w:r>
      <w:r w:rsidRPr="00F257E4">
        <w:t xml:space="preserve"> The majority of reported infections were mild or moderate, upp</w:t>
      </w:r>
      <w:r>
        <w:t>er respiratory tract</w:t>
      </w:r>
      <w:r w:rsidRPr="00F257E4">
        <w:t xml:space="preserve"> infections. Herpes related infections </w:t>
      </w:r>
      <w:r>
        <w:t>were also more frequent with TOF</w:t>
      </w:r>
      <w:r w:rsidRPr="00F257E4">
        <w:t xml:space="preserve"> co</w:t>
      </w:r>
      <w:r>
        <w:t>mpared to PBO. However, very</w:t>
      </w:r>
      <w:r w:rsidRPr="00F257E4">
        <w:t xml:space="preserve"> serious opportunistic infections </w:t>
      </w:r>
      <w:r>
        <w:t xml:space="preserve">like TB </w:t>
      </w:r>
      <w:r w:rsidRPr="00F257E4">
        <w:t>were rep</w:t>
      </w:r>
      <w:r>
        <w:t>orted with TOF</w:t>
      </w:r>
      <w:r w:rsidR="00B34BFC">
        <w:t>.</w:t>
      </w:r>
    </w:p>
    <w:p w:rsidR="00B34BFC" w:rsidRDefault="00C94E87" w:rsidP="00C94E87">
      <w:r w:rsidRPr="00F257E4">
        <w:t>Neutropenia was much m</w:t>
      </w:r>
      <w:r>
        <w:t>ore frequently observed with TOF</w:t>
      </w:r>
      <w:r w:rsidRPr="00F257E4">
        <w:t xml:space="preserve"> than PBO, but most cases were of mild severity (CTCAE Grade 1-2), transient and reversible. More severe neutropenia (CTCAE Gra</w:t>
      </w:r>
      <w:r>
        <w:t>de 3-4) was also observed with TOF</w:t>
      </w:r>
      <w:r w:rsidRPr="00F257E4">
        <w:t>, but were rarely associated with serious infection. There was also an increased incidence of mild-moderate hepatic transaminase eleva</w:t>
      </w:r>
      <w:r>
        <w:t>tions, increased blood CPK levels and dyslipidaemia with TOF versus PBO</w:t>
      </w:r>
      <w:r w:rsidRPr="00F257E4">
        <w:t>.</w:t>
      </w:r>
      <w:r>
        <w:t xml:space="preserve"> Significant</w:t>
      </w:r>
      <w:r w:rsidRPr="004010F6">
        <w:t xml:space="preserve"> changes in laboratory parameters associated with </w:t>
      </w:r>
      <w:r>
        <w:t xml:space="preserve">TOF </w:t>
      </w:r>
      <w:r w:rsidRPr="004010F6">
        <w:t xml:space="preserve">were </w:t>
      </w:r>
      <w:r>
        <w:t>generally managed by dose i</w:t>
      </w:r>
      <w:r w:rsidRPr="004010F6">
        <w:t>n</w:t>
      </w:r>
      <w:r>
        <w:t>terruptions</w:t>
      </w:r>
      <w:r w:rsidR="00B34BFC">
        <w:t>.</w:t>
      </w:r>
    </w:p>
    <w:p w:rsidR="00B34BFC" w:rsidRDefault="00C94E87" w:rsidP="00C94E87">
      <w:r w:rsidRPr="00F257E4">
        <w:t>Malignancy represents a theoretical risk with any immunosuppressive therapy, b</w:t>
      </w:r>
      <w:r>
        <w:t>ut there is limited evidence that TOF</w:t>
      </w:r>
      <w:r w:rsidRPr="00F257E4">
        <w:t xml:space="preserve"> confers an increased risk for </w:t>
      </w:r>
      <w:r>
        <w:t xml:space="preserve">certain types of </w:t>
      </w:r>
      <w:r w:rsidRPr="00F257E4">
        <w:t xml:space="preserve">malignancy </w:t>
      </w:r>
      <w:r>
        <w:t xml:space="preserve">such as non-melanoma skin cancers and lymphoma </w:t>
      </w:r>
      <w:r w:rsidRPr="00F257E4">
        <w:t>in the current data</w:t>
      </w:r>
      <w:r>
        <w:t>set</w:t>
      </w:r>
      <w:bookmarkStart w:id="131" w:name="_Toc509307199"/>
      <w:r w:rsidR="00B34BFC">
        <w:t>.</w:t>
      </w:r>
    </w:p>
    <w:p w:rsidR="00605AD4" w:rsidRPr="00605AD4" w:rsidRDefault="00605AD4" w:rsidP="00605AD4">
      <w:pPr>
        <w:pStyle w:val="Heading3"/>
        <w:rPr>
          <w:rFonts w:eastAsia="Cambria"/>
        </w:rPr>
      </w:pPr>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31"/>
    </w:p>
    <w:p w:rsidR="00B34BFC" w:rsidRDefault="00226F64" w:rsidP="00FE5A21">
      <w:r>
        <w:t>The evaluator does not</w:t>
      </w:r>
      <w:r w:rsidR="00FE5A21">
        <w:t xml:space="preserve"> recommend acceptance of the sponsor’s request for the extension of TOF registration to include the add-on claim of radiographic benefit in for the treatment of moderately to severely active RA in adult patients who have failed to respond to or are intolerant of at least 1 DMARD. There is only </w:t>
      </w:r>
      <w:r w:rsidR="008F2D59">
        <w:t>one</w:t>
      </w:r>
      <w:r w:rsidR="00FE5A21">
        <w:t xml:space="preserve"> pivotal trial in the current radiographic dataset (Study A3921044), which has rigorously examined for joint structural progression in the treatment population that reflects the approved ind</w:t>
      </w:r>
      <w:r w:rsidR="00E12108">
        <w:t xml:space="preserve">ication for TOF in Australia. The evaluator </w:t>
      </w:r>
      <w:r w:rsidR="00FE5A21">
        <w:t>recommend</w:t>
      </w:r>
      <w:r w:rsidR="00E12108">
        <w:t>s</w:t>
      </w:r>
      <w:r w:rsidR="00FE5A21">
        <w:t xml:space="preserve"> the sponsor be approved to add the </w:t>
      </w:r>
      <w:r w:rsidR="0067104C">
        <w:t>x-ray</w:t>
      </w:r>
      <w:r w:rsidR="00FE5A21">
        <w:t xml:space="preserve"> data (as listed in the proposed PI), but no change to the treatment indication wording is recommended. </w:t>
      </w:r>
      <w:r w:rsidR="00FE5A21" w:rsidRPr="00F257E4">
        <w:t xml:space="preserve">The current submission provides </w:t>
      </w:r>
      <w:r w:rsidR="00FE5A21">
        <w:t>unclear evidence that TOF</w:t>
      </w:r>
      <w:r w:rsidR="00FE5A21" w:rsidRPr="00F257E4">
        <w:t xml:space="preserve"> </w:t>
      </w:r>
      <w:r w:rsidR="00FE5A21">
        <w:t xml:space="preserve">5 mg twice daily </w:t>
      </w:r>
      <w:r w:rsidR="00FE5A21" w:rsidRPr="00F257E4">
        <w:t>is effective in slowing the progression of structural joint damage</w:t>
      </w:r>
      <w:r w:rsidR="00FE5A21">
        <w:t xml:space="preserve"> in RA, but the data does not meet </w:t>
      </w:r>
      <w:r w:rsidR="00FE5A21">
        <w:lastRenderedPageBreak/>
        <w:t>rigorous and robust scientific standards such as being statistically significant on the primary pre-specified analysis of the FAS</w:t>
      </w:r>
      <w:r w:rsidR="00B34BFC">
        <w:t>.</w:t>
      </w:r>
    </w:p>
    <w:p w:rsidR="00B34BFC" w:rsidRDefault="0047307F" w:rsidP="00FE5A21">
      <w:r>
        <w:t xml:space="preserve">The evaluator </w:t>
      </w:r>
      <w:r w:rsidR="00FE5A21">
        <w:t>recommend</w:t>
      </w:r>
      <w:r>
        <w:t>s that</w:t>
      </w:r>
      <w:r w:rsidR="00FE5A21">
        <w:t xml:space="preserve"> the sponsor proposed claim of durability in clinical efficacy response and the various safety updates be included in the updated PI. No significant deficiencies or inaccuracies of that information is proposed in the new PI and all statements have been justified in this submission, except for the proposed changes to the malignancy and interstitial lung disease sections of the PI (subject to another TGA process of assessment)</w:t>
      </w:r>
      <w:r w:rsidR="00B34BFC">
        <w:t>.</w:t>
      </w:r>
    </w:p>
    <w:p w:rsidR="00FE5A21" w:rsidRDefault="00FE5A21" w:rsidP="00FE5A21">
      <w:r>
        <w:t>Should approval of the sponsor’s proposed extension of treatment indication fo</w:t>
      </w:r>
      <w:r w:rsidR="00720BD3">
        <w:t>r TOF in active RA be granted, the evaluator</w:t>
      </w:r>
      <w:r>
        <w:t xml:space="preserve"> also recommend</w:t>
      </w:r>
      <w:r w:rsidR="00720BD3">
        <w:t>s that approval be subject to:</w:t>
      </w:r>
    </w:p>
    <w:p w:rsidR="00FE5A21" w:rsidRDefault="00FE5A21" w:rsidP="00720BD3">
      <w:pPr>
        <w:pStyle w:val="ListBullet"/>
      </w:pPr>
      <w:r>
        <w:t>Satisfactory response to the questions in this report,</w:t>
      </w:r>
    </w:p>
    <w:p w:rsidR="00FE5A21" w:rsidRDefault="00FE5A21" w:rsidP="00720BD3">
      <w:pPr>
        <w:pStyle w:val="ListBullet"/>
      </w:pPr>
      <w:r>
        <w:t>Regular periodic safety update reports, and</w:t>
      </w:r>
    </w:p>
    <w:p w:rsidR="00FE5A21" w:rsidRDefault="00FE5A21" w:rsidP="00720BD3">
      <w:pPr>
        <w:pStyle w:val="ListBullet"/>
      </w:pPr>
      <w:r>
        <w:t>When available, the sponsor provides the TGA with the final clinical study report for the LTE Study A3921024.</w:t>
      </w:r>
    </w:p>
    <w:p w:rsidR="00605AD4" w:rsidRPr="00605AD4" w:rsidRDefault="00605AD4" w:rsidP="00605AD4">
      <w:pPr>
        <w:pStyle w:val="Heading3"/>
        <w:rPr>
          <w:rFonts w:eastAsia="Cambria"/>
        </w:rPr>
      </w:pPr>
      <w:bookmarkStart w:id="132" w:name="_Toc509307200"/>
      <w:r w:rsidRPr="00605AD4">
        <w:rPr>
          <w:rFonts w:eastAsia="Cambria"/>
        </w:rPr>
        <w:t xml:space="preserve">Clinical </w:t>
      </w:r>
      <w:r w:rsidR="00E63418">
        <w:rPr>
          <w:rFonts w:eastAsia="Cambria"/>
        </w:rPr>
        <w:t>q</w:t>
      </w:r>
      <w:r w:rsidRPr="00605AD4">
        <w:rPr>
          <w:rFonts w:eastAsia="Cambria"/>
        </w:rPr>
        <w:t>uestions</w:t>
      </w:r>
      <w:bookmarkEnd w:id="132"/>
    </w:p>
    <w:p w:rsidR="00DE57EA" w:rsidRPr="00DE57EA" w:rsidRDefault="00DE57EA" w:rsidP="00DE57EA">
      <w:pPr>
        <w:pStyle w:val="Heading4"/>
      </w:pPr>
      <w:bookmarkStart w:id="133" w:name="_Toc272414702"/>
      <w:bookmarkStart w:id="134" w:name="_Toc290888568"/>
      <w:bookmarkStart w:id="135" w:name="_Toc416353784"/>
      <w:bookmarkStart w:id="136" w:name="_Toc421005324"/>
      <w:bookmarkStart w:id="137" w:name="_Toc432079195"/>
      <w:bookmarkStart w:id="138" w:name="_Toc432080768"/>
      <w:r w:rsidRPr="00DE57EA">
        <w:t>Pharmacokinetics</w:t>
      </w:r>
      <w:bookmarkEnd w:id="133"/>
      <w:bookmarkEnd w:id="134"/>
      <w:bookmarkEnd w:id="135"/>
      <w:bookmarkEnd w:id="136"/>
      <w:bookmarkEnd w:id="137"/>
      <w:bookmarkEnd w:id="138"/>
    </w:p>
    <w:p w:rsidR="00DE57EA" w:rsidRDefault="00DE57EA" w:rsidP="00DE57EA">
      <w:pPr>
        <w:rPr>
          <w:lang w:eastAsia="ja-JP"/>
        </w:rPr>
      </w:pPr>
      <w:bookmarkStart w:id="139" w:name="_Toc272414703"/>
      <w:bookmarkStart w:id="140" w:name="_Toc290888569"/>
      <w:bookmarkStart w:id="141" w:name="_Toc416353785"/>
      <w:bookmarkStart w:id="142" w:name="_Toc421005325"/>
      <w:bookmarkStart w:id="143" w:name="_Toc432079196"/>
      <w:bookmarkStart w:id="144" w:name="_Toc432080769"/>
      <w:r>
        <w:rPr>
          <w:lang w:eastAsia="ja-JP"/>
        </w:rPr>
        <w:t>Nil</w:t>
      </w:r>
    </w:p>
    <w:p w:rsidR="00DE57EA" w:rsidRPr="00DE57EA" w:rsidRDefault="00DE57EA" w:rsidP="00DE57EA">
      <w:pPr>
        <w:pStyle w:val="Heading4"/>
      </w:pPr>
      <w:r w:rsidRPr="00DE57EA">
        <w:t>Pharmacodynamics</w:t>
      </w:r>
      <w:bookmarkEnd w:id="139"/>
      <w:bookmarkEnd w:id="140"/>
      <w:bookmarkEnd w:id="141"/>
      <w:bookmarkEnd w:id="142"/>
      <w:bookmarkEnd w:id="143"/>
      <w:bookmarkEnd w:id="144"/>
    </w:p>
    <w:p w:rsidR="00DE57EA" w:rsidRDefault="00DE57EA" w:rsidP="00DE57EA">
      <w:pPr>
        <w:rPr>
          <w:lang w:eastAsia="ja-JP"/>
        </w:rPr>
      </w:pPr>
      <w:bookmarkStart w:id="145" w:name="_Toc272414704"/>
      <w:bookmarkStart w:id="146" w:name="_Toc290888570"/>
      <w:bookmarkStart w:id="147" w:name="_Toc416353786"/>
      <w:bookmarkStart w:id="148" w:name="_Toc421005326"/>
      <w:bookmarkStart w:id="149" w:name="_Toc432079197"/>
      <w:bookmarkStart w:id="150" w:name="_Toc432080770"/>
      <w:r>
        <w:rPr>
          <w:lang w:eastAsia="ja-JP"/>
        </w:rPr>
        <w:t>Nil</w:t>
      </w:r>
    </w:p>
    <w:p w:rsidR="00DE57EA" w:rsidRPr="00DE57EA" w:rsidRDefault="00DE57EA" w:rsidP="00DE57EA">
      <w:pPr>
        <w:pStyle w:val="Heading4"/>
      </w:pPr>
      <w:r w:rsidRPr="00DE57EA">
        <w:t>Efficacy</w:t>
      </w:r>
      <w:bookmarkEnd w:id="145"/>
      <w:bookmarkEnd w:id="146"/>
      <w:bookmarkEnd w:id="147"/>
      <w:bookmarkEnd w:id="148"/>
      <w:bookmarkEnd w:id="149"/>
      <w:bookmarkEnd w:id="150"/>
    </w:p>
    <w:p w:rsidR="008F2D59" w:rsidRDefault="008F2D59" w:rsidP="00FF0AA9">
      <w:pPr>
        <w:pStyle w:val="Heading5"/>
      </w:pPr>
      <w:bookmarkStart w:id="151" w:name="_Toc272414705"/>
      <w:bookmarkStart w:id="152" w:name="_Toc290888571"/>
      <w:bookmarkStart w:id="153" w:name="_Toc416353787"/>
      <w:bookmarkStart w:id="154" w:name="_Toc421005327"/>
      <w:bookmarkStart w:id="155" w:name="_Toc432079198"/>
      <w:bookmarkStart w:id="156" w:name="_Toc432080771"/>
      <w:r>
        <w:t>Question 1</w:t>
      </w:r>
    </w:p>
    <w:p w:rsidR="00DE57EA" w:rsidRPr="00D97031" w:rsidRDefault="00DE57EA" w:rsidP="00DE57EA">
      <w:r w:rsidRPr="00D97031">
        <w:t xml:space="preserve">In the pivotal </w:t>
      </w:r>
      <w:r w:rsidR="00B34BFC">
        <w:t>Phase III</w:t>
      </w:r>
      <w:r w:rsidRPr="00D97031">
        <w:t xml:space="preserve"> Study A3921069, the control treatment arm was assigned weekly low dose methotrexate. The clinical study report did not provide information on the dose</w:t>
      </w:r>
      <w:r>
        <w:t xml:space="preserve"> (including the proportion of subjects who received dose split regimens as specified in the protocol)</w:t>
      </w:r>
      <w:r w:rsidRPr="00D97031">
        <w:t xml:space="preserve"> a</w:t>
      </w:r>
      <w:r>
        <w:t>s well as the</w:t>
      </w:r>
      <w:r w:rsidRPr="00D97031">
        <w:t xml:space="preserve"> route of administration of methotrexate after 3 months to allow evaluation of the adequacy of comparator treatment. Recent expert opinion has identified suboptimal methotrexate therapy (dose and route of administration) as a source of biasing findings in favour of biologic therapies in RA clinical trials. Could the sponsor comment on the adequacy of therapy in the control arm of </w:t>
      </w:r>
      <w:r>
        <w:t>S</w:t>
      </w:r>
      <w:r w:rsidRPr="00D97031">
        <w:t>tud</w:t>
      </w:r>
      <w:r>
        <w:t>y</w:t>
      </w:r>
      <w:r w:rsidRPr="00D97031">
        <w:t xml:space="preserve"> </w:t>
      </w:r>
      <w:r>
        <w:t xml:space="preserve">A3921069 (over the entire 24 months) </w:t>
      </w:r>
      <w:r w:rsidRPr="00D97031">
        <w:t>as a potential source of efficacy bias?</w:t>
      </w:r>
      <w:r>
        <w:rPr>
          <w:rStyle w:val="FootnoteReference"/>
        </w:rPr>
        <w:footnoteReference w:id="5"/>
      </w:r>
    </w:p>
    <w:p w:rsidR="008F2D59" w:rsidRPr="00FF0AA9" w:rsidRDefault="008F2D59" w:rsidP="00DE57EA">
      <w:pPr>
        <w:autoSpaceDE w:val="0"/>
        <w:autoSpaceDN w:val="0"/>
        <w:adjustRightInd w:val="0"/>
        <w:rPr>
          <w:rStyle w:val="Heading5Char"/>
          <w:rFonts w:eastAsia="Cambria"/>
        </w:rPr>
      </w:pPr>
      <w:r w:rsidRPr="00FF0AA9">
        <w:rPr>
          <w:rStyle w:val="Heading5Char"/>
          <w:rFonts w:eastAsia="Cambria"/>
        </w:rPr>
        <w:t>Question 2</w:t>
      </w:r>
    </w:p>
    <w:p w:rsidR="00DE57EA" w:rsidRDefault="00DE57EA" w:rsidP="00DE57EA">
      <w:pPr>
        <w:autoSpaceDE w:val="0"/>
        <w:autoSpaceDN w:val="0"/>
        <w:adjustRightInd w:val="0"/>
      </w:pPr>
      <w:r>
        <w:t>C</w:t>
      </w:r>
      <w:r w:rsidRPr="002236A2">
        <w:t>o</w:t>
      </w:r>
      <w:r>
        <w:t>uld the sponsor provide</w:t>
      </w:r>
      <w:r w:rsidRPr="002236A2">
        <w:t xml:space="preserve"> information about the dose and duration of preceding </w:t>
      </w:r>
      <w:r>
        <w:t>methotrexate</w:t>
      </w:r>
      <w:r w:rsidRPr="002236A2">
        <w:t xml:space="preserve"> use, as well as any information regarding the dose</w:t>
      </w:r>
      <w:r>
        <w:t>, persistence and route</w:t>
      </w:r>
      <w:r w:rsidRPr="002236A2">
        <w:t xml:space="preserve"> of concomitant </w:t>
      </w:r>
      <w:r>
        <w:t>methotrexate</w:t>
      </w:r>
      <w:r w:rsidRPr="002236A2">
        <w:t xml:space="preserve"> use</w:t>
      </w:r>
      <w:r>
        <w:t xml:space="preserve"> during the pivotal radiographic Study A3921044?</w:t>
      </w:r>
    </w:p>
    <w:p w:rsidR="008F2D59" w:rsidRDefault="008F2D59" w:rsidP="00FF0AA9">
      <w:pPr>
        <w:pStyle w:val="Heading5"/>
      </w:pPr>
      <w:r>
        <w:t>Question 3</w:t>
      </w:r>
    </w:p>
    <w:p w:rsidR="00DE57EA" w:rsidRDefault="00DE57EA" w:rsidP="00DE57EA">
      <w:pPr>
        <w:autoSpaceDE w:val="0"/>
        <w:autoSpaceDN w:val="0"/>
        <w:adjustRightInd w:val="0"/>
      </w:pPr>
      <w:r>
        <w:t xml:space="preserve">In this submission, the 24 month </w:t>
      </w:r>
      <w:r w:rsidR="0067104C">
        <w:t>x-ray</w:t>
      </w:r>
      <w:r>
        <w:t xml:space="preserve"> dataset of Study A3921044 had various sensitivity and subgroup analyses applied, many of which were post-hoc in nature, which suggested a potential treatment benefit with tofacitinib in reducing the rate of </w:t>
      </w:r>
      <w:r w:rsidR="0067104C">
        <w:t>x-ray</w:t>
      </w:r>
      <w:r>
        <w:t xml:space="preserve"> progression in RA. Can the sponsor comment on the scientific validity and robustness of such findings (in </w:t>
      </w:r>
      <w:r>
        <w:lastRenderedPageBreak/>
        <w:t>particular, the use of post-hoc analyses) with respect to a claim of inhibition of structural damage progression with tofacitinib?</w:t>
      </w:r>
    </w:p>
    <w:p w:rsidR="008F2D59" w:rsidRPr="00FF0AA9" w:rsidRDefault="008F2D59" w:rsidP="00DE57EA">
      <w:pPr>
        <w:autoSpaceDE w:val="0"/>
        <w:autoSpaceDN w:val="0"/>
        <w:adjustRightInd w:val="0"/>
        <w:rPr>
          <w:rStyle w:val="Heading5Char"/>
          <w:rFonts w:eastAsia="Cambria"/>
        </w:rPr>
      </w:pPr>
      <w:r w:rsidRPr="00FF0AA9">
        <w:rPr>
          <w:rStyle w:val="Heading5Char"/>
          <w:rFonts w:eastAsia="Cambria"/>
        </w:rPr>
        <w:t>Question 4</w:t>
      </w:r>
    </w:p>
    <w:p w:rsidR="00DE57EA" w:rsidRDefault="00DE57EA" w:rsidP="00DE57EA">
      <w:pPr>
        <w:autoSpaceDE w:val="0"/>
        <w:autoSpaceDN w:val="0"/>
        <w:adjustRightInd w:val="0"/>
      </w:pPr>
      <w:r>
        <w:t xml:space="preserve">Could the sponsor comment on the clinical relevance of the magnitude of treatment related </w:t>
      </w:r>
      <w:r w:rsidR="0067104C">
        <w:t>x-ray</w:t>
      </w:r>
      <w:r>
        <w:t xml:space="preserve"> differences between tofacitinib and control therapy in both pivotal studies included in this submission? In particular, can the sponsor provide scientific validation of the relationship between radiographic progression and clinical outcomes, and what is the minimal clinically important difference in </w:t>
      </w:r>
      <w:r w:rsidR="0067104C">
        <w:t>x-ray</w:t>
      </w:r>
      <w:r>
        <w:t xml:space="preserve"> scores over time?</w:t>
      </w:r>
    </w:p>
    <w:p w:rsidR="00DE57EA" w:rsidRPr="00DE57EA" w:rsidRDefault="00DE57EA" w:rsidP="00DE57EA">
      <w:pPr>
        <w:pStyle w:val="Heading4"/>
      </w:pPr>
      <w:r w:rsidRPr="00DE57EA">
        <w:t>Safety</w:t>
      </w:r>
      <w:bookmarkEnd w:id="151"/>
      <w:bookmarkEnd w:id="152"/>
      <w:bookmarkEnd w:id="153"/>
      <w:bookmarkEnd w:id="154"/>
      <w:bookmarkEnd w:id="155"/>
      <w:bookmarkEnd w:id="156"/>
    </w:p>
    <w:p w:rsidR="008F2D59" w:rsidRDefault="008F2D59" w:rsidP="00FF0AA9">
      <w:pPr>
        <w:pStyle w:val="Heading5"/>
        <w:rPr>
          <w:lang w:eastAsia="ja-JP"/>
        </w:rPr>
      </w:pPr>
      <w:r>
        <w:rPr>
          <w:lang w:eastAsia="ja-JP"/>
        </w:rPr>
        <w:t>Question 5</w:t>
      </w:r>
    </w:p>
    <w:p w:rsidR="00DE57EA" w:rsidRDefault="00DE57EA" w:rsidP="00DE57EA">
      <w:pPr>
        <w:rPr>
          <w:lang w:eastAsia="ja-JP"/>
        </w:rPr>
      </w:pPr>
      <w:r>
        <w:rPr>
          <w:lang w:eastAsia="ja-JP"/>
        </w:rPr>
        <w:t xml:space="preserve">In the long term safety all exposure population, the incidence rate of </w:t>
      </w:r>
      <w:r w:rsidR="008F2D59">
        <w:rPr>
          <w:lang w:eastAsia="ja-JP"/>
        </w:rPr>
        <w:t>all-cause</w:t>
      </w:r>
      <w:r>
        <w:rPr>
          <w:lang w:eastAsia="ja-JP"/>
        </w:rPr>
        <w:t xml:space="preserve"> mortality with tofacitinib 5 mg twice daily was more than double that observed for tofacitinib 10 mg twice daily therapy (</w:t>
      </w:r>
      <w:r w:rsidR="00032481">
        <w:rPr>
          <w:lang w:eastAsia="ja-JP"/>
        </w:rPr>
        <w:t>RMP</w:t>
      </w:r>
      <w:r>
        <w:rPr>
          <w:lang w:eastAsia="ja-JP"/>
        </w:rPr>
        <w:t>). Could the sponsor comment on the relevance of this observation and provide a potential explanation?</w:t>
      </w:r>
    </w:p>
    <w:p w:rsidR="00605AD4" w:rsidRPr="00605AD4" w:rsidRDefault="00605AD4" w:rsidP="00605AD4">
      <w:pPr>
        <w:pStyle w:val="Heading3"/>
        <w:rPr>
          <w:rFonts w:eastAsia="Cambria"/>
        </w:rPr>
      </w:pPr>
      <w:bookmarkStart w:id="157" w:name="_Toc509307201"/>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57"/>
    </w:p>
    <w:p w:rsidR="00720DBB" w:rsidRPr="00605AD4" w:rsidRDefault="00720DBB" w:rsidP="00720DBB">
      <w:r>
        <w:t>Details of sponsor’s responses to clinical questions and evaluator’s subsequent comments are contained in Attachment 2.</w:t>
      </w:r>
    </w:p>
    <w:p w:rsidR="00605AD4" w:rsidRPr="00605AD4" w:rsidRDefault="00605AD4" w:rsidP="00546154">
      <w:pPr>
        <w:pStyle w:val="Heading3"/>
        <w:rPr>
          <w:rFonts w:eastAsia="Cambria"/>
        </w:rPr>
      </w:pPr>
      <w:bookmarkStart w:id="158" w:name="_Toc509307202"/>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58"/>
    </w:p>
    <w:p w:rsidR="00AA1284" w:rsidRPr="009E5085" w:rsidRDefault="00AA1284" w:rsidP="00AA1284">
      <w:pPr>
        <w:pStyle w:val="Heading4"/>
      </w:pPr>
      <w:bookmarkStart w:id="159" w:name="_Toc272414709"/>
      <w:bookmarkStart w:id="160" w:name="_Toc290846349"/>
      <w:bookmarkStart w:id="161" w:name="_Toc442359398"/>
      <w:r w:rsidRPr="009E5085">
        <w:t>Second round assessment of benefits</w:t>
      </w:r>
      <w:bookmarkEnd w:id="159"/>
      <w:bookmarkEnd w:id="160"/>
      <w:bookmarkEnd w:id="161"/>
    </w:p>
    <w:p w:rsidR="001556EE" w:rsidRDefault="001556EE" w:rsidP="001556EE">
      <w:pPr>
        <w:autoSpaceDE w:val="0"/>
        <w:autoSpaceDN w:val="0"/>
        <w:adjustRightInd w:val="0"/>
      </w:pPr>
      <w:bookmarkStart w:id="162" w:name="_Toc272414710"/>
      <w:bookmarkStart w:id="163" w:name="_Toc290846350"/>
      <w:r>
        <w:t xml:space="preserve">After consideration of the responses to the clinical questions, the benefits of TOF 5 mg twice daily therapy for the treatment of adult patients with active RA in the proposed usage are unchanged to those identified in this report. The current supporting radiographic dataset is limited to a single pivotal </w:t>
      </w:r>
      <w:r w:rsidR="00B34BFC">
        <w:t>Phase III</w:t>
      </w:r>
      <w:r>
        <w:t xml:space="preserve"> study (A3921044) which was well conducted and this trial failed to demonstrate a rob</w:t>
      </w:r>
      <w:r w:rsidR="00E205F5">
        <w:t xml:space="preserve">ust and clinically meaningful </w:t>
      </w:r>
      <w:r w:rsidR="0067104C">
        <w:t>x-ray</w:t>
      </w:r>
      <w:r>
        <w:t xml:space="preserve"> benefit with TOF 5 mg twice daily therapy versus control on the primary pre-specified analysis. The null </w:t>
      </w:r>
      <w:r w:rsidR="0067104C">
        <w:t>x-ray</w:t>
      </w:r>
      <w:r>
        <w:t xml:space="preserve"> result may have been impacted by factors such as an unexpected low rate of </w:t>
      </w:r>
      <w:r w:rsidR="0067104C">
        <w:t>x-ray</w:t>
      </w:r>
      <w:r>
        <w:t xml:space="preserve"> progression in the control arm making it difficult to demonstrate a clear treatment related benefit with low dose TOF, but this has been recognised in several </w:t>
      </w:r>
      <w:r w:rsidR="0067104C">
        <w:t>x-ray</w:t>
      </w:r>
      <w:r>
        <w:t xml:space="preserve"> studies in patients with active RA in the last 7 years, and is also a feature (</w:t>
      </w:r>
      <w:r w:rsidR="00B34BFC">
        <w:t xml:space="preserve">that is </w:t>
      </w:r>
      <w:r>
        <w:t xml:space="preserve">less </w:t>
      </w:r>
      <w:r w:rsidR="0067104C">
        <w:t>x-ray</w:t>
      </w:r>
      <w:r>
        <w:t xml:space="preserve"> progression over time) seen in contemporary Australian whereby patients are generally treated earlier and more effectively. Because of the limitations of post hoc analyses, the </w:t>
      </w:r>
      <w:r w:rsidR="0067104C">
        <w:t>x-ray</w:t>
      </w:r>
      <w:r>
        <w:t xml:space="preserve"> response data provided in the response </w:t>
      </w:r>
      <w:r w:rsidR="008F2D59">
        <w:t xml:space="preserve">to questions </w:t>
      </w:r>
      <w:r>
        <w:t>does not support a robust scientific claim of additional benefit with TOF 5 mg twice daily therapy with respect to inhibition of the progression of structural damage. There are features of Study A3921044, which limit the external validity of its findings. In particular, the screen failure rate was 38% and approximately one third of all subjects (at a similar incidence in the 3 treatment groups) appeared to receive an insuf</w:t>
      </w:r>
      <w:r w:rsidR="00DF555C">
        <w:t>ficient prior dose of MTX (</w:t>
      </w:r>
      <w:r w:rsidR="00B34BFC">
        <w:t xml:space="preserve">that is </w:t>
      </w:r>
      <w:r w:rsidR="008F2D59">
        <w:t xml:space="preserve">≤ </w:t>
      </w:r>
      <w:r w:rsidRPr="00B66EE0">
        <w:t>12.5 mg/week)</w:t>
      </w:r>
      <w:r>
        <w:t xml:space="preserve"> for unclear reasons, before proceeding to second line therapy (with either dose of TOF or continued MTX). Similarly, approximately one third of the PBO treated continued with sub-optimal MTX dosing during Study A3921044. Post hoc analysis of the </w:t>
      </w:r>
      <w:r w:rsidR="0067104C">
        <w:t>x-ray</w:t>
      </w:r>
      <w:r>
        <w:t xml:space="preserve"> data in a high risk patient population was statistically in favour of TOF 5 mg therapy versus PBO, but this observation has the caveat of reducing the generalisability of the observation. To further complicate the assessment for a claim of </w:t>
      </w:r>
      <w:r w:rsidR="0067104C">
        <w:t>x-ray</w:t>
      </w:r>
      <w:r>
        <w:t xml:space="preserve"> benefit with TOF 5 mg twice daily therapy, there is a paucity of published scientific data to define the minimally clinically important difference in </w:t>
      </w:r>
      <w:r w:rsidR="0067104C">
        <w:t>x-ray</w:t>
      </w:r>
      <w:r>
        <w:t xml:space="preserve"> scores over time.</w:t>
      </w:r>
    </w:p>
    <w:p w:rsidR="001556EE" w:rsidRDefault="001556EE" w:rsidP="001556EE">
      <w:pPr>
        <w:autoSpaceDE w:val="0"/>
        <w:autoSpaceDN w:val="0"/>
        <w:adjustRightInd w:val="0"/>
      </w:pPr>
      <w:r>
        <w:lastRenderedPageBreak/>
        <w:t xml:space="preserve">Study A3921069 provides supportive data to the claim of </w:t>
      </w:r>
      <w:r w:rsidR="0067104C">
        <w:t>x-ray</w:t>
      </w:r>
      <w:r>
        <w:t xml:space="preserve"> benefit with TOF 5 mg twice daily, but the main limitation of interpreting this patient dataset is that it examined predominately treatment naïve patients with active RA. This patient group is inconsistent with the current approved treatment indication for TOF 5 mg twice daily therapy (</w:t>
      </w:r>
      <w:r w:rsidR="00B34BFC">
        <w:t xml:space="preserve">that is </w:t>
      </w:r>
      <w:r>
        <w:t>second or subsequent line of treatment option) and the sponsor is not requesting alteration to the line of therapy initiation with this submission. In addition, approximately 40% of subjects (75</w:t>
      </w:r>
      <w:r w:rsidR="008F2D59">
        <w:t xml:space="preserve"> out of </w:t>
      </w:r>
      <w:r>
        <w:t>186) in the MTX arm of Study A3921069 did not reach a weekly MTX dose of 17.5</w:t>
      </w:r>
      <w:r w:rsidR="008F2D59">
        <w:t xml:space="preserve"> to </w:t>
      </w:r>
      <w:r>
        <w:t>20 mg/week for unclear reasons, which suggests a larger than expected cohort of comparator treatment subjects may have received sub-optimal treatment.</w:t>
      </w:r>
    </w:p>
    <w:p w:rsidR="001556EE" w:rsidRPr="00E71190" w:rsidRDefault="001556EE" w:rsidP="001556EE">
      <w:pPr>
        <w:autoSpaceDE w:val="0"/>
        <w:autoSpaceDN w:val="0"/>
        <w:adjustRightInd w:val="0"/>
      </w:pPr>
      <w:r>
        <w:t xml:space="preserve">In conclusion, the </w:t>
      </w:r>
      <w:r w:rsidR="0067104C">
        <w:t>x-ray</w:t>
      </w:r>
      <w:r>
        <w:t xml:space="preserve"> benefit of TOF 5 mg twice daily treatment (using data obtained in Study A3921044 and A3921069) is unclear with respect to a broad group of patients with active RA and the clinical relevance of any statistically significant observations are unc</w:t>
      </w:r>
      <w:r w:rsidR="00C24E50">
        <w:t xml:space="preserve">lear. On the current dataset, the evaluator </w:t>
      </w:r>
      <w:r>
        <w:t>do</w:t>
      </w:r>
      <w:r w:rsidR="00C24E50">
        <w:t>es</w:t>
      </w:r>
      <w:r>
        <w:t xml:space="preserve"> not recommend that the additional treatment indication claim of radiographic benefit with TOF 5 mg twice daily therapy be approved.</w:t>
      </w:r>
    </w:p>
    <w:p w:rsidR="00AA1284" w:rsidRDefault="00AA1284" w:rsidP="00AA1284">
      <w:pPr>
        <w:pStyle w:val="Heading4"/>
      </w:pPr>
      <w:bookmarkStart w:id="164" w:name="_Toc442359399"/>
      <w:r w:rsidRPr="009E5085">
        <w:t>Second round assessment of risks</w:t>
      </w:r>
      <w:bookmarkEnd w:id="162"/>
      <w:bookmarkEnd w:id="163"/>
      <w:bookmarkEnd w:id="164"/>
    </w:p>
    <w:p w:rsidR="001556EE" w:rsidRDefault="001556EE" w:rsidP="001556EE">
      <w:pPr>
        <w:autoSpaceDE w:val="0"/>
        <w:autoSpaceDN w:val="0"/>
        <w:adjustRightInd w:val="0"/>
      </w:pPr>
      <w:r>
        <w:t xml:space="preserve">After consideration of the responses to the clinical questions (principally, </w:t>
      </w:r>
      <w:r w:rsidR="008F2D59">
        <w:t>Q</w:t>
      </w:r>
      <w:r>
        <w:t xml:space="preserve">uestion 5), the risks of TOF are unchanged from those identified in this report. The increased incidence rate of </w:t>
      </w:r>
      <w:r w:rsidR="00EE1D4A">
        <w:t>all-cause</w:t>
      </w:r>
      <w:r>
        <w:t xml:space="preserve"> mortality in the long term TOF 5 mg twice daily treated group of patients versus those who received TOF 10 mg twice daily remains within expectations for the RA population cohort, and the types of deaths recorded is also consistent with expectations. As such, this observation is unlikely to be of clinical significance and does not unfavourably impact upon the overall benefit: risk assessment for long term TOF </w:t>
      </w:r>
      <w:r w:rsidR="00B34BFC">
        <w:t>5 mg</w:t>
      </w:r>
      <w:r>
        <w:t xml:space="preserve"> twice daily therapy.</w:t>
      </w:r>
    </w:p>
    <w:p w:rsidR="00AA1284" w:rsidRPr="009E5085" w:rsidRDefault="00AA1284" w:rsidP="00AA1284">
      <w:pPr>
        <w:pStyle w:val="Heading4"/>
      </w:pPr>
      <w:bookmarkStart w:id="165" w:name="_Toc272414711"/>
      <w:bookmarkStart w:id="166" w:name="_Toc290846351"/>
      <w:bookmarkStart w:id="167" w:name="_Toc442359400"/>
      <w:r w:rsidRPr="009E5085">
        <w:t>Second round assessment of benefit-risk balance</w:t>
      </w:r>
      <w:bookmarkEnd w:id="165"/>
      <w:bookmarkEnd w:id="166"/>
      <w:bookmarkEnd w:id="167"/>
    </w:p>
    <w:p w:rsidR="00B34BFC" w:rsidRDefault="00F2294B" w:rsidP="00F2294B">
      <w:r>
        <w:t xml:space="preserve">After consideration of the responses to the clinical questions, there is no change to the opinion expressed. The overall benefit-risk balance of TOF 5 mg twice daily treatment in the proposed additional treatment indication claim of inhibition of the progression of structural damage in active RA is unclear. Clinically relevant, robust efficacy (with respect to </w:t>
      </w:r>
      <w:r w:rsidR="0067104C">
        <w:t>x-ray</w:t>
      </w:r>
      <w:r>
        <w:t xml:space="preserve"> benefit) has not been observed with TOF 5 mg twice daily therapy in the current approved RA patient population (</w:t>
      </w:r>
      <w:r w:rsidR="00B34BFC">
        <w:t xml:space="preserve">that is </w:t>
      </w:r>
      <w:r>
        <w:t>second line treatment group). However, the durability of clinical response has been presented in the submission. Furthermore, the longer term safety dataset does not reveal any significant changes in the incidence and pattern of unfavourable effects over time and was consistent with the expected profile for TOF. The major risks with TOF therapy (versus PBO) include an increased risk of infection, raised serum transaminases, atherogenic lipid profiles, neutropenia and lymphopenia</w:t>
      </w:r>
      <w:bookmarkStart w:id="168" w:name="_Toc460583202"/>
      <w:bookmarkStart w:id="169" w:name="_Toc509307203"/>
      <w:r w:rsidR="00B34BFC">
        <w:t>.</w:t>
      </w:r>
    </w:p>
    <w:p w:rsidR="00AA1284" w:rsidRDefault="00AA1284" w:rsidP="00AA1284">
      <w:pPr>
        <w:pStyle w:val="Heading3"/>
      </w:pPr>
      <w:r>
        <w:t>Second round recommendation regarding authorisation</w:t>
      </w:r>
      <w:bookmarkEnd w:id="168"/>
      <w:bookmarkEnd w:id="169"/>
    </w:p>
    <w:p w:rsidR="00B34BFC" w:rsidRDefault="00DF555C" w:rsidP="005B5721">
      <w:r>
        <w:t xml:space="preserve">The evaluator </w:t>
      </w:r>
      <w:r w:rsidR="005B5721">
        <w:t>do</w:t>
      </w:r>
      <w:r>
        <w:t>es</w:t>
      </w:r>
      <w:r w:rsidR="005B5721">
        <w:t xml:space="preserve"> not recommend acceptance of the sponsor’s request for the extension of treatment indication of TOF 5 mg twice daily treatment to include a claim of radiographic benefit. There is only 1 pivotal trial in the </w:t>
      </w:r>
      <w:r w:rsidR="0067104C">
        <w:t>x-ray</w:t>
      </w:r>
      <w:r w:rsidR="005B5721">
        <w:t xml:space="preserve"> dataset (Study A3921044), which has rigorously examined for joint structural progression in the approved treatment population and this reveals an unclear benefit with TOF 5 mg twice daily versus PBO (and continued low dose MTX), which is of uncertain clinical relevance. On the balance of scientific evidence and validity, the sponsor proposed add on treatment claim of inhibition of the progression of structural damage as measured by plain </w:t>
      </w:r>
      <w:r w:rsidR="0067104C">
        <w:t>x-ray</w:t>
      </w:r>
      <w:r w:rsidR="005B5721">
        <w:t xml:space="preserve"> for TOF 5 mg twice daily is insufficiently acceptable. The sponsor proposed changes </w:t>
      </w:r>
      <w:r w:rsidR="005B5721" w:rsidRPr="00F257E4">
        <w:t>r</w:t>
      </w:r>
      <w:r w:rsidR="005B5721">
        <w:t>egarding durability of clinical response and updated safety data with TOF are acceptable for inclusion in the amended PI</w:t>
      </w:r>
      <w:r w:rsidR="00B34BFC">
        <w:t>.</w:t>
      </w:r>
    </w:p>
    <w:p w:rsidR="005B5721" w:rsidRDefault="00DF555C" w:rsidP="005B5721">
      <w:r>
        <w:lastRenderedPageBreak/>
        <w:t>The evaluator</w:t>
      </w:r>
      <w:r w:rsidR="005B5721">
        <w:t xml:space="preserve"> recommend</w:t>
      </w:r>
      <w:r>
        <w:t>s</w:t>
      </w:r>
      <w:r w:rsidR="005B5721">
        <w:t xml:space="preserve"> the continued registration of TOF 5 mg twice daily treatment for the treatment of active RA is subject to regular periodic safety update reports and when available, the sponsor provides the TGA with the final clinical study report for the </w:t>
      </w:r>
      <w:r w:rsidR="00B34BFC">
        <w:t>long term</w:t>
      </w:r>
      <w:r w:rsidR="00EE1D4A">
        <w:t xml:space="preserve"> S</w:t>
      </w:r>
      <w:r w:rsidR="005B5721">
        <w:t>tudy A3921024.</w:t>
      </w:r>
    </w:p>
    <w:p w:rsidR="008E7846" w:rsidRPr="00E41208" w:rsidRDefault="008E7846" w:rsidP="00546154">
      <w:pPr>
        <w:pStyle w:val="Heading2"/>
      </w:pPr>
      <w:bookmarkStart w:id="170" w:name="_Toc509307204"/>
      <w:r w:rsidRPr="00E41208">
        <w:t>V</w:t>
      </w:r>
      <w:r w:rsidR="00671314">
        <w:t>I</w:t>
      </w:r>
      <w:r w:rsidRPr="00E41208">
        <w:t xml:space="preserve">. Pharmacovigilance </w:t>
      </w:r>
      <w:r>
        <w:t>f</w:t>
      </w:r>
      <w:r w:rsidRPr="00E41208">
        <w:t>indings</w:t>
      </w:r>
      <w:bookmarkEnd w:id="72"/>
      <w:bookmarkEnd w:id="73"/>
      <w:bookmarkEnd w:id="170"/>
    </w:p>
    <w:p w:rsidR="008E7846" w:rsidRDefault="00386150" w:rsidP="008E7846">
      <w:pPr>
        <w:pStyle w:val="Heading3"/>
        <w:rPr>
          <w:lang w:eastAsia="en-AU"/>
        </w:rPr>
      </w:pPr>
      <w:bookmarkStart w:id="171" w:name="_Toc247691526"/>
      <w:bookmarkStart w:id="172" w:name="_Toc314842509"/>
      <w:bookmarkStart w:id="173" w:name="_Toc509307205"/>
      <w:r>
        <w:rPr>
          <w:lang w:eastAsia="en-AU"/>
        </w:rPr>
        <w:t>Risk m</w:t>
      </w:r>
      <w:r w:rsidR="008E7846">
        <w:rPr>
          <w:lang w:eastAsia="en-AU"/>
        </w:rPr>
        <w:t xml:space="preserve">anagement </w:t>
      </w:r>
      <w:r>
        <w:rPr>
          <w:lang w:eastAsia="en-AU"/>
        </w:rPr>
        <w:t>p</w:t>
      </w:r>
      <w:r w:rsidR="008E7846">
        <w:rPr>
          <w:lang w:eastAsia="en-AU"/>
        </w:rPr>
        <w:t>lan</w:t>
      </w:r>
      <w:bookmarkEnd w:id="171"/>
      <w:bookmarkEnd w:id="172"/>
      <w:bookmarkEnd w:id="173"/>
    </w:p>
    <w:p w:rsidR="00F336DF" w:rsidRDefault="00F336DF" w:rsidP="00F336DF">
      <w:pPr>
        <w:pStyle w:val="Heading4"/>
        <w:rPr>
          <w:lang w:eastAsia="en-AU"/>
        </w:rPr>
      </w:pPr>
      <w:r>
        <w:rPr>
          <w:lang w:eastAsia="en-AU"/>
        </w:rPr>
        <w:t>Summary of RMP evaluation</w:t>
      </w:r>
      <w:r>
        <w:rPr>
          <w:rStyle w:val="FootnoteReference"/>
          <w:lang w:eastAsia="en-AU"/>
        </w:rPr>
        <w:footnoteReference w:id="6"/>
      </w:r>
    </w:p>
    <w:p w:rsidR="00A92F39" w:rsidRPr="00CF2FAD" w:rsidRDefault="00A92F39" w:rsidP="00B278C2">
      <w:pPr>
        <w:pStyle w:val="ListBullet"/>
      </w:pPr>
      <w:r w:rsidRPr="00CF2FAD">
        <w:t xml:space="preserve">The </w:t>
      </w:r>
      <w:r w:rsidR="00C24E50">
        <w:t>s</w:t>
      </w:r>
      <w:r w:rsidRPr="00CF2FAD">
        <w:t xml:space="preserve">ponsor submitted </w:t>
      </w:r>
      <w:r w:rsidR="00C24E50">
        <w:t xml:space="preserve">an </w:t>
      </w:r>
      <w:r w:rsidRPr="00CF2FAD">
        <w:t>Australian specific RMP (version 2.0; 28 January 2016; data lock point 15 June 2015) in support of this application and did not provide a revision with th</w:t>
      </w:r>
      <w:r w:rsidR="00067C40" w:rsidRPr="00CF2FAD">
        <w:t xml:space="preserve">e Section </w:t>
      </w:r>
      <w:r w:rsidRPr="00CF2FAD">
        <w:t>31 response.</w:t>
      </w:r>
    </w:p>
    <w:p w:rsidR="00B7684D" w:rsidRDefault="00A92F39" w:rsidP="00B278C2">
      <w:pPr>
        <w:pStyle w:val="ListBullet"/>
        <w:rPr>
          <w:b/>
        </w:rPr>
      </w:pPr>
      <w:r w:rsidRPr="00CF2FAD">
        <w:t xml:space="preserve">The proposed </w:t>
      </w:r>
      <w:r w:rsidR="00C24E50">
        <w:t>s</w:t>
      </w:r>
      <w:r w:rsidRPr="00CF2FAD">
        <w:t xml:space="preserve">ummary of </w:t>
      </w:r>
      <w:r w:rsidR="00C24E50">
        <w:t>s</w:t>
      </w:r>
      <w:r w:rsidRPr="00CF2FAD">
        <w:t xml:space="preserve">afety </w:t>
      </w:r>
      <w:r w:rsidR="00C24E50">
        <w:t>c</w:t>
      </w:r>
      <w:r w:rsidRPr="00CF2FAD">
        <w:t>oncerns and their associated risk monitoring and mitigation strategies are summarised below</w:t>
      </w:r>
      <w:r w:rsidR="00CF2FAD">
        <w:t>.</w:t>
      </w:r>
    </w:p>
    <w:p w:rsidR="00F336DF" w:rsidRDefault="000565AE" w:rsidP="000565AE">
      <w:pPr>
        <w:pStyle w:val="TableTitle"/>
      </w:pPr>
      <w:r>
        <w:t>Table 9</w:t>
      </w:r>
      <w:r w:rsidR="00A92F39">
        <w:t>:</w:t>
      </w:r>
      <w:r w:rsidR="00067C40">
        <w:t xml:space="preserve"> Summary of safety concerns</w:t>
      </w:r>
    </w:p>
    <w:tbl>
      <w:tblPr>
        <w:tblStyle w:val="TableTGAblue"/>
        <w:tblW w:w="8745" w:type="dxa"/>
        <w:tblLayout w:type="fixed"/>
        <w:tblLook w:val="04A0" w:firstRow="1" w:lastRow="0" w:firstColumn="1" w:lastColumn="0" w:noHBand="0" w:noVBand="1"/>
      </w:tblPr>
      <w:tblGrid>
        <w:gridCol w:w="1526"/>
        <w:gridCol w:w="2268"/>
        <w:gridCol w:w="1276"/>
        <w:gridCol w:w="1417"/>
        <w:gridCol w:w="1210"/>
        <w:gridCol w:w="1048"/>
      </w:tblGrid>
      <w:tr w:rsidR="00B7684D" w:rsidRPr="00387362" w:rsidTr="00387362">
        <w:trPr>
          <w:cnfStyle w:val="100000000000" w:firstRow="1" w:lastRow="0" w:firstColumn="0" w:lastColumn="0" w:oddVBand="0" w:evenVBand="0" w:oddHBand="0" w:evenHBand="0" w:firstRowFirstColumn="0" w:firstRowLastColumn="0" w:lastRowFirstColumn="0" w:lastRowLastColumn="0"/>
          <w:trHeight w:val="131"/>
        </w:trPr>
        <w:tc>
          <w:tcPr>
            <w:tcW w:w="3794" w:type="dxa"/>
            <w:gridSpan w:val="2"/>
            <w:vMerge w:val="restart"/>
          </w:tcPr>
          <w:p w:rsidR="00B7684D" w:rsidRPr="00387362" w:rsidRDefault="00B7684D" w:rsidP="00387362">
            <w:pPr>
              <w:rPr>
                <w:sz w:val="20"/>
                <w:szCs w:val="20"/>
              </w:rPr>
            </w:pPr>
            <w:r w:rsidRPr="00387362">
              <w:rPr>
                <w:sz w:val="20"/>
                <w:szCs w:val="20"/>
              </w:rPr>
              <w:t>Summary of safety concerns</w:t>
            </w:r>
          </w:p>
        </w:tc>
        <w:tc>
          <w:tcPr>
            <w:tcW w:w="2693" w:type="dxa"/>
            <w:gridSpan w:val="2"/>
          </w:tcPr>
          <w:p w:rsidR="00B7684D" w:rsidRPr="00387362" w:rsidRDefault="00B7684D" w:rsidP="00387362">
            <w:pPr>
              <w:ind w:left="21"/>
              <w:rPr>
                <w:sz w:val="20"/>
                <w:szCs w:val="20"/>
              </w:rPr>
            </w:pPr>
            <w:r w:rsidRPr="00387362">
              <w:rPr>
                <w:sz w:val="20"/>
                <w:szCs w:val="20"/>
              </w:rPr>
              <w:t>Pharmacovigilance</w:t>
            </w:r>
          </w:p>
        </w:tc>
        <w:tc>
          <w:tcPr>
            <w:tcW w:w="2258" w:type="dxa"/>
            <w:gridSpan w:val="2"/>
          </w:tcPr>
          <w:p w:rsidR="00B7684D" w:rsidRPr="00387362" w:rsidRDefault="00B7684D" w:rsidP="00387362">
            <w:pPr>
              <w:ind w:left="34"/>
              <w:rPr>
                <w:sz w:val="20"/>
                <w:szCs w:val="20"/>
              </w:rPr>
            </w:pPr>
            <w:r w:rsidRPr="00387362">
              <w:rPr>
                <w:sz w:val="20"/>
                <w:szCs w:val="20"/>
              </w:rPr>
              <w:t>Risk Minimisation</w:t>
            </w:r>
          </w:p>
        </w:tc>
      </w:tr>
      <w:tr w:rsidR="00B7684D" w:rsidRPr="00387362" w:rsidTr="00387362">
        <w:trPr>
          <w:trHeight w:val="275"/>
        </w:trPr>
        <w:tc>
          <w:tcPr>
            <w:tcW w:w="3794" w:type="dxa"/>
            <w:gridSpan w:val="2"/>
            <w:vMerge/>
          </w:tcPr>
          <w:p w:rsidR="00B7684D" w:rsidRPr="00387362" w:rsidRDefault="00B7684D" w:rsidP="00387362">
            <w:pPr>
              <w:rPr>
                <w:sz w:val="20"/>
                <w:szCs w:val="20"/>
              </w:rPr>
            </w:pPr>
          </w:p>
        </w:tc>
        <w:tc>
          <w:tcPr>
            <w:tcW w:w="1276" w:type="dxa"/>
          </w:tcPr>
          <w:p w:rsidR="00B7684D" w:rsidRPr="00387362" w:rsidRDefault="00B7684D" w:rsidP="00387362">
            <w:pPr>
              <w:ind w:left="21"/>
              <w:rPr>
                <w:sz w:val="20"/>
                <w:szCs w:val="20"/>
              </w:rPr>
            </w:pPr>
            <w:r w:rsidRPr="00387362">
              <w:rPr>
                <w:sz w:val="20"/>
                <w:szCs w:val="20"/>
              </w:rPr>
              <w:t>Routine</w:t>
            </w:r>
          </w:p>
        </w:tc>
        <w:tc>
          <w:tcPr>
            <w:tcW w:w="1417" w:type="dxa"/>
          </w:tcPr>
          <w:p w:rsidR="00B7684D" w:rsidRPr="00387362" w:rsidRDefault="00B7684D" w:rsidP="00387362">
            <w:pPr>
              <w:ind w:left="21"/>
              <w:rPr>
                <w:sz w:val="20"/>
                <w:szCs w:val="20"/>
              </w:rPr>
            </w:pPr>
            <w:r w:rsidRPr="00387362">
              <w:rPr>
                <w:sz w:val="20"/>
                <w:szCs w:val="20"/>
              </w:rPr>
              <w:t>Additional</w:t>
            </w:r>
          </w:p>
        </w:tc>
        <w:tc>
          <w:tcPr>
            <w:tcW w:w="1210" w:type="dxa"/>
          </w:tcPr>
          <w:p w:rsidR="00B7684D" w:rsidRPr="00387362" w:rsidRDefault="00B7684D" w:rsidP="00387362">
            <w:pPr>
              <w:ind w:left="34"/>
              <w:rPr>
                <w:sz w:val="20"/>
                <w:szCs w:val="20"/>
              </w:rPr>
            </w:pPr>
            <w:r w:rsidRPr="00387362">
              <w:rPr>
                <w:sz w:val="20"/>
                <w:szCs w:val="20"/>
              </w:rPr>
              <w:t>Routine</w:t>
            </w:r>
          </w:p>
        </w:tc>
        <w:tc>
          <w:tcPr>
            <w:tcW w:w="1048" w:type="dxa"/>
          </w:tcPr>
          <w:p w:rsidR="00B7684D" w:rsidRPr="00387362" w:rsidRDefault="00B7684D" w:rsidP="00387362">
            <w:pPr>
              <w:ind w:left="34"/>
              <w:rPr>
                <w:sz w:val="20"/>
                <w:szCs w:val="20"/>
              </w:rPr>
            </w:pPr>
            <w:r w:rsidRPr="00387362">
              <w:rPr>
                <w:sz w:val="20"/>
                <w:szCs w:val="20"/>
              </w:rPr>
              <w:t>Additional</w:t>
            </w:r>
          </w:p>
        </w:tc>
      </w:tr>
      <w:tr w:rsidR="00B7684D" w:rsidRPr="00387362" w:rsidTr="00387362">
        <w:trPr>
          <w:trHeight w:val="137"/>
        </w:trPr>
        <w:tc>
          <w:tcPr>
            <w:tcW w:w="1526" w:type="dxa"/>
            <w:vMerge w:val="restart"/>
          </w:tcPr>
          <w:p w:rsidR="00B7684D" w:rsidRPr="00387362" w:rsidRDefault="00B7684D" w:rsidP="00387362">
            <w:pPr>
              <w:rPr>
                <w:sz w:val="20"/>
                <w:szCs w:val="20"/>
              </w:rPr>
            </w:pPr>
            <w:r w:rsidRPr="00387362">
              <w:rPr>
                <w:sz w:val="20"/>
                <w:szCs w:val="20"/>
              </w:rPr>
              <w:t>Important identified risks</w:t>
            </w:r>
          </w:p>
        </w:tc>
        <w:tc>
          <w:tcPr>
            <w:tcW w:w="2268" w:type="dxa"/>
          </w:tcPr>
          <w:p w:rsidR="00B7684D" w:rsidRPr="00387362" w:rsidRDefault="00B7684D" w:rsidP="00387362">
            <w:pPr>
              <w:rPr>
                <w:sz w:val="20"/>
                <w:szCs w:val="20"/>
              </w:rPr>
            </w:pPr>
            <w:r w:rsidRPr="00387362">
              <w:rPr>
                <w:sz w:val="20"/>
                <w:szCs w:val="20"/>
              </w:rPr>
              <w:t>Serious and other important infections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94"/>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Decrease in neutrophil counts and neutropenia</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Decrease in lymphocyte counts and lymphopenia</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Decrease in haemoglobin levels and anaemia</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Lipid elevations and hyperlipidaemia</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proofErr w:type="spellStart"/>
            <w:r w:rsidRPr="00387362">
              <w:rPr>
                <w:sz w:val="20"/>
                <w:szCs w:val="20"/>
              </w:rPr>
              <w:t>Nonmelanoma</w:t>
            </w:r>
            <w:proofErr w:type="spellEnd"/>
            <w:r w:rsidRPr="00387362">
              <w:rPr>
                <w:sz w:val="20"/>
                <w:szCs w:val="20"/>
              </w:rPr>
              <w:t xml:space="preserve"> skin cancer</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 xml:space="preserve">Transaminase elevation and potential for </w:t>
            </w:r>
            <w:r w:rsidR="008F2D59" w:rsidRPr="00387362">
              <w:rPr>
                <w:sz w:val="20"/>
                <w:szCs w:val="20"/>
              </w:rPr>
              <w:t>drug induced</w:t>
            </w:r>
            <w:r w:rsidRPr="00387362">
              <w:rPr>
                <w:sz w:val="20"/>
                <w:szCs w:val="20"/>
              </w:rPr>
              <w:t xml:space="preserve"> liver injury</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276"/>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Gastrointestinal perforation</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Hypertension</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Creatine kinase increase</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87"/>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Weight increase</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59"/>
        </w:trPr>
        <w:tc>
          <w:tcPr>
            <w:tcW w:w="1526" w:type="dxa"/>
            <w:vMerge w:val="restart"/>
          </w:tcPr>
          <w:p w:rsidR="00B7684D" w:rsidRPr="00387362" w:rsidRDefault="00B7684D" w:rsidP="00387362">
            <w:pPr>
              <w:rPr>
                <w:sz w:val="20"/>
                <w:szCs w:val="20"/>
              </w:rPr>
            </w:pPr>
            <w:r w:rsidRPr="00387362">
              <w:rPr>
                <w:sz w:val="20"/>
                <w:szCs w:val="20"/>
              </w:rPr>
              <w:t>Important potential risks</w:t>
            </w:r>
          </w:p>
        </w:tc>
        <w:tc>
          <w:tcPr>
            <w:tcW w:w="2268" w:type="dxa"/>
          </w:tcPr>
          <w:p w:rsidR="00B7684D" w:rsidRPr="00387362" w:rsidRDefault="00B7684D" w:rsidP="00387362">
            <w:pPr>
              <w:rPr>
                <w:sz w:val="20"/>
                <w:szCs w:val="20"/>
              </w:rPr>
            </w:pPr>
            <w:r w:rsidRPr="00387362">
              <w:rPr>
                <w:sz w:val="20"/>
                <w:szCs w:val="20"/>
              </w:rPr>
              <w:t>Malignancy (</w:t>
            </w:r>
            <w:proofErr w:type="spellStart"/>
            <w:r w:rsidRPr="00387362">
              <w:rPr>
                <w:sz w:val="20"/>
                <w:szCs w:val="20"/>
              </w:rPr>
              <w:t>excl</w:t>
            </w:r>
            <w:proofErr w:type="spellEnd"/>
            <w:r w:rsidRPr="00387362">
              <w:rPr>
                <w:sz w:val="20"/>
                <w:szCs w:val="20"/>
              </w:rPr>
              <w:t xml:space="preserve"> NMSC) including lymphoma</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2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Cardiovascular risk</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1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Interstitial lung disease</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1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Progressive multifocal leukoencephalopathy</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t>-</w:t>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1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Rhabdomyolysis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t>-</w:t>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1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Epstein-Barr Virus-related events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1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QT prolongation</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t>-</w:t>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12"/>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Reduction in renal function</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78"/>
        </w:trPr>
        <w:tc>
          <w:tcPr>
            <w:tcW w:w="1526" w:type="dxa"/>
          </w:tcPr>
          <w:p w:rsidR="00B7684D" w:rsidRPr="00387362" w:rsidRDefault="00B7684D" w:rsidP="00387362">
            <w:pPr>
              <w:rPr>
                <w:sz w:val="20"/>
                <w:szCs w:val="20"/>
              </w:rPr>
            </w:pPr>
            <w:r w:rsidRPr="00387362" w:rsidDel="00FD7186">
              <w:rPr>
                <w:sz w:val="20"/>
                <w:szCs w:val="20"/>
              </w:rPr>
              <w:t xml:space="preserve"> </w:t>
            </w:r>
            <w:r w:rsidRPr="00387362">
              <w:rPr>
                <w:sz w:val="20"/>
                <w:szCs w:val="20"/>
              </w:rPr>
              <w:t>Modified release formulation only</w:t>
            </w:r>
          </w:p>
        </w:tc>
        <w:tc>
          <w:tcPr>
            <w:tcW w:w="2268" w:type="dxa"/>
          </w:tcPr>
          <w:p w:rsidR="00B7684D" w:rsidRPr="00387362" w:rsidRDefault="00B7684D" w:rsidP="00387362">
            <w:pPr>
              <w:rPr>
                <w:sz w:val="20"/>
                <w:szCs w:val="20"/>
              </w:rPr>
            </w:pPr>
            <w:r w:rsidRPr="00387362">
              <w:rPr>
                <w:sz w:val="20"/>
                <w:szCs w:val="20"/>
              </w:rPr>
              <w:t>Gastrointestinal obstruction</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78"/>
        </w:trPr>
        <w:tc>
          <w:tcPr>
            <w:tcW w:w="1526" w:type="dxa"/>
            <w:vMerge w:val="restart"/>
          </w:tcPr>
          <w:p w:rsidR="00B7684D" w:rsidRPr="00387362" w:rsidRDefault="00B7684D" w:rsidP="00387362">
            <w:pPr>
              <w:rPr>
                <w:sz w:val="20"/>
                <w:szCs w:val="20"/>
              </w:rPr>
            </w:pPr>
            <w:r w:rsidRPr="00387362">
              <w:rPr>
                <w:sz w:val="20"/>
                <w:szCs w:val="20"/>
              </w:rPr>
              <w:t>Missing information</w:t>
            </w:r>
          </w:p>
        </w:tc>
        <w:tc>
          <w:tcPr>
            <w:tcW w:w="2268" w:type="dxa"/>
          </w:tcPr>
          <w:p w:rsidR="00B7684D" w:rsidRPr="00387362" w:rsidRDefault="00B7684D" w:rsidP="00387362">
            <w:pPr>
              <w:rPr>
                <w:sz w:val="20"/>
                <w:szCs w:val="20"/>
              </w:rPr>
            </w:pPr>
            <w:r w:rsidRPr="00387362">
              <w:rPr>
                <w:sz w:val="20"/>
                <w:szCs w:val="20"/>
              </w:rPr>
              <w:t>Effects on pregnancy and the foetus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78"/>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breastfeeding</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03"/>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Effect on vaccination efficacy and the use of live/attenuated vaccines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sym w:font="Wingdings" w:char="F0FC"/>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paediatric patients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sym w:font="Wingdings" w:char="F0FC"/>
            </w: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combination with biologic DMARDs, other biologic RA therapies, and immunosuppressants including B lymphocyte depleting agents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mild, moderate, or severe hepatic impairment</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moderate or severe renal impairment</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patients with evidence of hepatitis B or hepatitis C infection</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patients with elevated transaminases</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r w:rsidR="00B7684D" w:rsidRPr="00387362" w:rsidTr="00387362">
        <w:trPr>
          <w:trHeight w:val="140"/>
        </w:trPr>
        <w:tc>
          <w:tcPr>
            <w:tcW w:w="1526" w:type="dxa"/>
            <w:vMerge/>
          </w:tcPr>
          <w:p w:rsidR="00B7684D" w:rsidRPr="00387362" w:rsidRDefault="00B7684D" w:rsidP="00387362">
            <w:pPr>
              <w:rPr>
                <w:sz w:val="20"/>
                <w:szCs w:val="20"/>
              </w:rPr>
            </w:pPr>
          </w:p>
        </w:tc>
        <w:tc>
          <w:tcPr>
            <w:tcW w:w="2268" w:type="dxa"/>
          </w:tcPr>
          <w:p w:rsidR="00B7684D" w:rsidRPr="00387362" w:rsidRDefault="00B7684D" w:rsidP="00387362">
            <w:pPr>
              <w:rPr>
                <w:sz w:val="20"/>
                <w:szCs w:val="20"/>
              </w:rPr>
            </w:pPr>
            <w:r w:rsidRPr="00387362">
              <w:rPr>
                <w:sz w:val="20"/>
                <w:szCs w:val="20"/>
              </w:rPr>
              <w:t>Use in patients with malignancy</w:t>
            </w:r>
          </w:p>
        </w:tc>
        <w:tc>
          <w:tcPr>
            <w:tcW w:w="1276" w:type="dxa"/>
          </w:tcPr>
          <w:p w:rsidR="00B7684D" w:rsidRPr="00387362" w:rsidRDefault="00B7684D" w:rsidP="00387362">
            <w:pPr>
              <w:ind w:left="21"/>
              <w:rPr>
                <w:sz w:val="20"/>
                <w:szCs w:val="20"/>
              </w:rPr>
            </w:pPr>
            <w:r w:rsidRPr="00387362">
              <w:rPr>
                <w:sz w:val="20"/>
                <w:szCs w:val="20"/>
              </w:rPr>
              <w:sym w:font="Wingdings" w:char="F0FC"/>
            </w:r>
          </w:p>
        </w:tc>
        <w:tc>
          <w:tcPr>
            <w:tcW w:w="1417" w:type="dxa"/>
          </w:tcPr>
          <w:p w:rsidR="00B7684D" w:rsidRPr="00387362" w:rsidRDefault="00B7684D" w:rsidP="00387362">
            <w:pPr>
              <w:ind w:left="21"/>
              <w:rPr>
                <w:sz w:val="20"/>
                <w:szCs w:val="20"/>
              </w:rPr>
            </w:pPr>
            <w:r w:rsidRPr="00387362">
              <w:rPr>
                <w:sz w:val="20"/>
                <w:szCs w:val="20"/>
              </w:rPr>
              <w:t>-</w:t>
            </w:r>
          </w:p>
        </w:tc>
        <w:tc>
          <w:tcPr>
            <w:tcW w:w="1210" w:type="dxa"/>
          </w:tcPr>
          <w:p w:rsidR="00B7684D" w:rsidRPr="00387362" w:rsidRDefault="00B7684D" w:rsidP="00387362">
            <w:pPr>
              <w:ind w:left="34"/>
              <w:rPr>
                <w:sz w:val="20"/>
                <w:szCs w:val="20"/>
              </w:rPr>
            </w:pPr>
            <w:r w:rsidRPr="00387362">
              <w:rPr>
                <w:sz w:val="20"/>
                <w:szCs w:val="20"/>
              </w:rPr>
              <w:sym w:font="Wingdings" w:char="F0FC"/>
            </w:r>
          </w:p>
        </w:tc>
        <w:tc>
          <w:tcPr>
            <w:tcW w:w="1048" w:type="dxa"/>
          </w:tcPr>
          <w:p w:rsidR="00B7684D" w:rsidRPr="00387362" w:rsidRDefault="00B7684D" w:rsidP="00387362">
            <w:pPr>
              <w:ind w:left="34"/>
              <w:rPr>
                <w:sz w:val="20"/>
                <w:szCs w:val="20"/>
              </w:rPr>
            </w:pPr>
            <w:r w:rsidRPr="00387362">
              <w:rPr>
                <w:sz w:val="20"/>
                <w:szCs w:val="20"/>
              </w:rPr>
              <w:t>-</w:t>
            </w:r>
          </w:p>
        </w:tc>
      </w:tr>
    </w:tbl>
    <w:p w:rsidR="00B7684D" w:rsidRPr="00153EA3" w:rsidRDefault="00B7684D" w:rsidP="00B7684D">
      <w:pPr>
        <w:pStyle w:val="TableDescription"/>
      </w:pPr>
      <w:r>
        <w:rPr>
          <w:snapToGrid w:val="0"/>
        </w:rPr>
        <w:t xml:space="preserve">* = US-PASS registry; ^ = clinical trials; </w:t>
      </w:r>
      <w:r w:rsidRPr="00153EA3">
        <w:rPr>
          <w:snapToGrid w:val="0"/>
          <w:szCs w:val="24"/>
          <w:vertAlign w:val="superscript"/>
        </w:rPr>
        <w:t>#</w:t>
      </w:r>
      <w:r>
        <w:rPr>
          <w:snapToGrid w:val="0"/>
          <w:szCs w:val="24"/>
        </w:rPr>
        <w:t xml:space="preserve"> = pregnancy registry</w:t>
      </w:r>
    </w:p>
    <w:p w:rsidR="00B7684D" w:rsidRPr="00B7684D" w:rsidRDefault="00B7684D" w:rsidP="00B7684D">
      <w:pPr>
        <w:pStyle w:val="ListBullet"/>
      </w:pPr>
      <w:r w:rsidRPr="00B7684D">
        <w:t>Additional pharmacovigilance activities are ongoing for the safety concern</w:t>
      </w:r>
      <w:r w:rsidR="00CD2EF8">
        <w:t>s indicated in the table above.</w:t>
      </w:r>
    </w:p>
    <w:p w:rsidR="00B7684D" w:rsidRPr="00B7684D" w:rsidRDefault="00B7684D" w:rsidP="00B7684D">
      <w:pPr>
        <w:pStyle w:val="ListBullet"/>
      </w:pPr>
      <w:r w:rsidRPr="00B7684D">
        <w:t>Additional risk minimisation, in the form of patient and healthcare professional education and a patient alert card have all been implemented to address the safety concerns indicated in the table above. The exception to this is that only prescriber education is being conducted for the important potenti</w:t>
      </w:r>
      <w:r w:rsidR="00E205F5">
        <w:t xml:space="preserve">al risks of ‘Epstein-Barr virus </w:t>
      </w:r>
      <w:r w:rsidRPr="00B7684D">
        <w:t>related events’ and ‘reduction in renal function’</w:t>
      </w:r>
      <w:r w:rsidR="00CD2EF8">
        <w:t>.</w:t>
      </w:r>
    </w:p>
    <w:p w:rsidR="00F336DF" w:rsidRDefault="00F336DF" w:rsidP="00F336DF">
      <w:pPr>
        <w:pStyle w:val="Heading4"/>
      </w:pPr>
      <w:bookmarkStart w:id="174" w:name="_Toc477354123"/>
      <w:r>
        <w:t>New and outstanding recommendations from second round evaluation</w:t>
      </w:r>
      <w:bookmarkEnd w:id="174"/>
    </w:p>
    <w:p w:rsidR="00F336DF" w:rsidRDefault="00B7684D" w:rsidP="00B7684D">
      <w:pPr>
        <w:pStyle w:val="ListBullet"/>
      </w:pPr>
      <w:r w:rsidRPr="004674E7">
        <w:t>The sponsor has addressed the Round 1 RMP recommendations</w:t>
      </w:r>
      <w:r>
        <w:t>.</w:t>
      </w:r>
    </w:p>
    <w:p w:rsidR="00F336DF" w:rsidRPr="00BB4B51" w:rsidRDefault="00F336DF" w:rsidP="00F336DF">
      <w:pPr>
        <w:pStyle w:val="Heading4"/>
      </w:pPr>
      <w:bookmarkStart w:id="175" w:name="_Toc477354124"/>
      <w:r>
        <w:lastRenderedPageBreak/>
        <w:t>Proposed wording for conditions of registration</w:t>
      </w:r>
      <w:bookmarkEnd w:id="175"/>
    </w:p>
    <w:p w:rsidR="00B7684D" w:rsidRPr="00CF2FAD" w:rsidRDefault="00B7684D" w:rsidP="00CF2FAD">
      <w:r w:rsidRPr="00CF2FAD">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B87152">
        <w:t>.</w:t>
      </w:r>
    </w:p>
    <w:p w:rsidR="00CF2FAD" w:rsidRDefault="00CF2FAD" w:rsidP="00CF2FAD">
      <w:r>
        <w:t>The suggested wording is:</w:t>
      </w:r>
    </w:p>
    <w:p w:rsidR="00B7684D" w:rsidRPr="00CF2FAD" w:rsidRDefault="00B7684D" w:rsidP="00CF2FAD">
      <w:pPr>
        <w:pStyle w:val="ListBullet"/>
      </w:pPr>
      <w:r w:rsidRPr="00CF2FAD">
        <w:t>Implement AUS-RMP version 2.0, 28 January 2016; data lock point 15 June 2015 submitted with PM-2015-04750-1-3 and any future updates as a condition of registration.</w:t>
      </w:r>
    </w:p>
    <w:p w:rsidR="008E7846" w:rsidRPr="00792A32" w:rsidRDefault="008E7846" w:rsidP="008E7846">
      <w:pPr>
        <w:pStyle w:val="Heading2"/>
      </w:pPr>
      <w:bookmarkStart w:id="176" w:name="_Toc247691527"/>
      <w:bookmarkStart w:id="177" w:name="_Toc314842510"/>
      <w:bookmarkStart w:id="178" w:name="_Toc509307206"/>
      <w:r>
        <w:t>V</w:t>
      </w:r>
      <w:r w:rsidR="00671314">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176"/>
      <w:bookmarkEnd w:id="177"/>
      <w:bookmarkEnd w:id="178"/>
    </w:p>
    <w:p w:rsidR="008E7846" w:rsidRDefault="008E7846" w:rsidP="008E7846">
      <w:bookmarkStart w:id="17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80" w:name="_Toc314842511"/>
      <w:bookmarkStart w:id="181" w:name="_Toc509307207"/>
      <w:r>
        <w:t>Quality</w:t>
      </w:r>
      <w:bookmarkEnd w:id="179"/>
      <w:bookmarkEnd w:id="180"/>
      <w:bookmarkEnd w:id="181"/>
    </w:p>
    <w:p w:rsidR="001963E2" w:rsidRPr="00485548" w:rsidRDefault="001963E2" w:rsidP="001963E2">
      <w:r w:rsidRPr="00485548">
        <w:t xml:space="preserve">No new </w:t>
      </w:r>
      <w:r>
        <w:t>quality</w:t>
      </w:r>
      <w:r w:rsidRPr="00485548">
        <w:t xml:space="preserve"> data were included in this submission.</w:t>
      </w:r>
    </w:p>
    <w:p w:rsidR="008E7846" w:rsidRDefault="008E7846" w:rsidP="008E7846">
      <w:pPr>
        <w:pStyle w:val="Heading3"/>
      </w:pPr>
      <w:bookmarkStart w:id="182" w:name="_Toc314842512"/>
      <w:bookmarkStart w:id="183" w:name="_Toc509307208"/>
      <w:r>
        <w:t>Nonclinical</w:t>
      </w:r>
      <w:bookmarkEnd w:id="182"/>
      <w:bookmarkEnd w:id="183"/>
    </w:p>
    <w:p w:rsidR="001963E2" w:rsidRPr="00485548" w:rsidRDefault="001963E2" w:rsidP="001963E2">
      <w:r w:rsidRPr="00485548">
        <w:t>No new nonclinical data were included in this submission.</w:t>
      </w:r>
    </w:p>
    <w:p w:rsidR="008E7846" w:rsidRDefault="008E7846" w:rsidP="008E7846">
      <w:pPr>
        <w:pStyle w:val="Heading3"/>
      </w:pPr>
      <w:bookmarkStart w:id="184" w:name="_Toc247691530"/>
      <w:bookmarkStart w:id="185" w:name="_Toc314842513"/>
      <w:bookmarkStart w:id="186" w:name="_Toc509307209"/>
      <w:r>
        <w:t>Clinical</w:t>
      </w:r>
      <w:bookmarkEnd w:id="184"/>
      <w:bookmarkEnd w:id="185"/>
      <w:bookmarkEnd w:id="186"/>
    </w:p>
    <w:p w:rsidR="00B34BFC" w:rsidRDefault="001963E2" w:rsidP="001963E2">
      <w:bookmarkStart w:id="187" w:name="_Toc314842514"/>
      <w:r w:rsidRPr="001F1552">
        <w:t>The clinical evaluator</w:t>
      </w:r>
      <w:r>
        <w:t xml:space="preserve"> has not</w:t>
      </w:r>
      <w:r w:rsidRPr="001F1552">
        <w:t xml:space="preserve"> recommended </w:t>
      </w:r>
      <w:r>
        <w:t xml:space="preserve">approval of the </w:t>
      </w:r>
      <w:r w:rsidRPr="001F1552">
        <w:t xml:space="preserve">extension of indications for tofacitinib </w:t>
      </w:r>
      <w:r>
        <w:t xml:space="preserve">to include a claim of radiological benefit </w:t>
      </w:r>
      <w:r w:rsidRPr="001F1552">
        <w:t xml:space="preserve">based on there being only one pivotal trial in the </w:t>
      </w:r>
      <w:r w:rsidR="0067104C">
        <w:t>x-ray</w:t>
      </w:r>
      <w:r w:rsidRPr="001F1552">
        <w:t xml:space="preserve"> data set which rigorously examined for joint structural progression in the approved treatment population </w:t>
      </w:r>
      <w:r>
        <w:t>(Study A3921044)</w:t>
      </w:r>
      <w:r w:rsidRPr="001F1552">
        <w:t xml:space="preserve">. This study found an unclear benefit of tofacitinib 5 mg </w:t>
      </w:r>
      <w:r>
        <w:t>BD</w:t>
      </w:r>
      <w:r w:rsidRPr="001F1552">
        <w:t xml:space="preserve"> compared to </w:t>
      </w:r>
      <w:r>
        <w:t xml:space="preserve">PBO </w:t>
      </w:r>
      <w:r w:rsidRPr="001F1552">
        <w:t xml:space="preserve">which </w:t>
      </w:r>
      <w:r>
        <w:t>was</w:t>
      </w:r>
      <w:r w:rsidRPr="001F1552">
        <w:t xml:space="preserve"> of uncertain clinical relevance. The </w:t>
      </w:r>
      <w:r>
        <w:t xml:space="preserve">evaluator considered the </w:t>
      </w:r>
      <w:r w:rsidRPr="001F1552">
        <w:t>proposed changes to the PI regarding the durability of clinical response and updated safety data acceptable</w:t>
      </w:r>
      <w:r>
        <w:t xml:space="preserve"> for inclusion in the PI</w:t>
      </w:r>
      <w:r w:rsidR="00B34BFC">
        <w:t>.</w:t>
      </w:r>
    </w:p>
    <w:p w:rsidR="001963E2" w:rsidRDefault="001963E2" w:rsidP="001963E2">
      <w:r>
        <w:t>The clinical evaluator has reviewed the following submitted data:</w:t>
      </w:r>
    </w:p>
    <w:p w:rsidR="001963E2" w:rsidRPr="007C7AD0" w:rsidRDefault="001963E2" w:rsidP="001963E2">
      <w:pPr>
        <w:pStyle w:val="ListBullet"/>
      </w:pPr>
      <w:r w:rsidRPr="007C7AD0">
        <w:t xml:space="preserve">Three </w:t>
      </w:r>
      <w:r w:rsidR="00B34BFC">
        <w:t>Phase II</w:t>
      </w:r>
      <w:r w:rsidRPr="007C7AD0">
        <w:t xml:space="preserve"> studies (A3921068, A3921073 and A3921237)</w:t>
      </w:r>
    </w:p>
    <w:p w:rsidR="001963E2" w:rsidRPr="007C7AD0" w:rsidRDefault="001963E2" w:rsidP="001963E2">
      <w:pPr>
        <w:pStyle w:val="ListBullet"/>
      </w:pPr>
      <w:r w:rsidRPr="007C7AD0">
        <w:t xml:space="preserve">Two </w:t>
      </w:r>
      <w:r w:rsidR="00B34BFC">
        <w:t>Phase III</w:t>
      </w:r>
      <w:r w:rsidRPr="007C7AD0">
        <w:t xml:space="preserve"> studies (</w:t>
      </w:r>
      <w:r w:rsidR="008F2D59">
        <w:t>2 year</w:t>
      </w:r>
      <w:r w:rsidRPr="007C7AD0">
        <w:t xml:space="preserve"> CSR for</w:t>
      </w:r>
      <w:r w:rsidR="00EE1D4A">
        <w:t xml:space="preserve"> Studies A3921044 and A3921069)</w:t>
      </w:r>
    </w:p>
    <w:p w:rsidR="001963E2" w:rsidRPr="007C7AD0" w:rsidRDefault="001963E2" w:rsidP="001963E2">
      <w:pPr>
        <w:pStyle w:val="ListBullet2"/>
      </w:pPr>
      <w:r w:rsidRPr="007C7AD0">
        <w:t xml:space="preserve">Additional sensitivity and subgroup analyses </w:t>
      </w:r>
      <w:r w:rsidR="00EE1D4A">
        <w:t>of the data from Study A3921044</w:t>
      </w:r>
    </w:p>
    <w:p w:rsidR="001963E2" w:rsidRPr="007C7AD0" w:rsidRDefault="001963E2" w:rsidP="001963E2">
      <w:pPr>
        <w:pStyle w:val="ListBullet"/>
      </w:pPr>
      <w:r w:rsidRPr="007C7AD0">
        <w:t xml:space="preserve">Two </w:t>
      </w:r>
      <w:r w:rsidR="008F2D59">
        <w:t>open label</w:t>
      </w:r>
      <w:r w:rsidRPr="007C7AD0">
        <w:t>, extension studies (one completed [A392104</w:t>
      </w:r>
      <w:r>
        <w:t>1] and one ongoing [A3921024])</w:t>
      </w:r>
    </w:p>
    <w:p w:rsidR="001963E2" w:rsidRPr="007C7AD0" w:rsidRDefault="001963E2" w:rsidP="001963E2">
      <w:pPr>
        <w:pStyle w:val="ListBullet"/>
      </w:pPr>
      <w:r w:rsidRPr="007C7AD0">
        <w:t>Updated safety data</w:t>
      </w:r>
    </w:p>
    <w:p w:rsidR="001963E2" w:rsidRPr="00D91F2C" w:rsidRDefault="001963E2" w:rsidP="001963E2">
      <w:r>
        <w:t>Benefits noted by the evaluator included:</w:t>
      </w:r>
    </w:p>
    <w:p w:rsidR="00B34BFC" w:rsidRDefault="001963E2" w:rsidP="00BE0162">
      <w:pPr>
        <w:pStyle w:val="ListBullet"/>
      </w:pPr>
      <w:r>
        <w:t xml:space="preserve">TOF+MTX versus PBO+MTX resulted in statistically less worsening of structural progression (mean change in </w:t>
      </w:r>
      <w:proofErr w:type="spellStart"/>
      <w:r>
        <w:t>mTSS</w:t>
      </w:r>
      <w:proofErr w:type="spellEnd"/>
      <w:r>
        <w:t xml:space="preserve">) over 6 and 12 months when sensitivity and patient subset analyses were applied to the </w:t>
      </w:r>
      <w:r w:rsidR="0067104C">
        <w:t>x-ray</w:t>
      </w:r>
      <w:r>
        <w:t xml:space="preserve"> dataset of Study A3921044</w:t>
      </w:r>
      <w:r w:rsidR="00B34BFC">
        <w:t>.</w:t>
      </w:r>
    </w:p>
    <w:p w:rsidR="00B34BFC" w:rsidRDefault="003F559A" w:rsidP="00BE0162">
      <w:pPr>
        <w:pStyle w:val="ListBullet"/>
      </w:pPr>
      <w:r>
        <w:t>X</w:t>
      </w:r>
      <w:r w:rsidR="0067104C">
        <w:t>-ray</w:t>
      </w:r>
      <w:r w:rsidR="001963E2">
        <w:t xml:space="preserve"> benefits with TOF versus PBO in Study A3921044 were observed in a treatment response enriched population</w:t>
      </w:r>
      <w:r w:rsidR="00B34BFC">
        <w:t>.</w:t>
      </w:r>
    </w:p>
    <w:p w:rsidR="001963E2" w:rsidRDefault="001963E2" w:rsidP="00BE0162">
      <w:pPr>
        <w:pStyle w:val="ListBullet"/>
      </w:pPr>
      <w:r>
        <w:lastRenderedPageBreak/>
        <w:t>TOF therapy (versus MTX) is associated with a lower rate of structural disease progression at 6, 12 and 24 months of treatment in a RA population with early disease who are mainly naive to DMARD therapy (Study A3921069).</w:t>
      </w:r>
    </w:p>
    <w:p w:rsidR="001963E2" w:rsidRDefault="001963E2" w:rsidP="00BE0162">
      <w:pPr>
        <w:pStyle w:val="ListBullet"/>
        <w:rPr>
          <w:lang w:eastAsia="ja-JP"/>
        </w:rPr>
      </w:pPr>
      <w:r>
        <w:t>Improvement in the signs and symptoms of RA appear</w:t>
      </w:r>
      <w:r w:rsidR="00E205F5">
        <w:t xml:space="preserve"> to be maintained to at least 2 </w:t>
      </w:r>
      <w:r>
        <w:t>years of treatment (A3921044 and A3921069).</w:t>
      </w:r>
    </w:p>
    <w:p w:rsidR="001963E2" w:rsidRDefault="001963E2" w:rsidP="00BE0162">
      <w:pPr>
        <w:pStyle w:val="ListBullet"/>
        <w:rPr>
          <w:lang w:eastAsia="ja-JP"/>
        </w:rPr>
      </w:pPr>
      <w:r>
        <w:rPr>
          <w:lang w:eastAsia="ja-JP"/>
        </w:rPr>
        <w:t>Persistence of clinical efficacy response for up to 7 years in the subgroup of patients responding to TOF 5 mg BD therapy (LTE Studies A3921024 and A3921041).</w:t>
      </w:r>
    </w:p>
    <w:p w:rsidR="001963E2" w:rsidRDefault="001963E2" w:rsidP="00BE0162">
      <w:pPr>
        <w:pStyle w:val="ListBullet"/>
      </w:pPr>
      <w:r>
        <w:t xml:space="preserve">Correlation between improvements in Rheumatoid Arthritis Magnetic Resonance Imaging Score (RAMRIS) erosion scores on MRI, and </w:t>
      </w:r>
      <w:proofErr w:type="spellStart"/>
      <w:r>
        <w:t>mTSS</w:t>
      </w:r>
      <w:proofErr w:type="spellEnd"/>
      <w:r>
        <w:t xml:space="preserve"> and ES on Plain </w:t>
      </w:r>
      <w:r w:rsidR="0067104C">
        <w:t>x-ray</w:t>
      </w:r>
      <w:r>
        <w:t xml:space="preserve"> at 6</w:t>
      </w:r>
      <w:r w:rsidR="008F2D59">
        <w:t> </w:t>
      </w:r>
      <w:r>
        <w:t>months with TOF therapy (Study A3921068)</w:t>
      </w:r>
    </w:p>
    <w:p w:rsidR="00B34BFC" w:rsidRDefault="001963E2" w:rsidP="00BE0162">
      <w:pPr>
        <w:pStyle w:val="ListBullet"/>
        <w:rPr>
          <w:lang w:eastAsia="ja-JP"/>
        </w:rPr>
      </w:pPr>
      <w:r>
        <w:rPr>
          <w:lang w:eastAsia="ja-JP"/>
        </w:rPr>
        <w:t>Similar v</w:t>
      </w:r>
      <w:r w:rsidR="00E205F5">
        <w:rPr>
          <w:lang w:eastAsia="ja-JP"/>
        </w:rPr>
        <w:t xml:space="preserve">accine induced humoral and cell </w:t>
      </w:r>
      <w:r>
        <w:rPr>
          <w:lang w:eastAsia="ja-JP"/>
        </w:rPr>
        <w:t>mediated immune responses in subjects with active RA treated with TOF+MTX compared to MTX monotherapy (Study A3921237) at 2, 6 and 12 weeks following zoster vaccination</w:t>
      </w:r>
      <w:r w:rsidR="00B34BFC">
        <w:rPr>
          <w:lang w:eastAsia="ja-JP"/>
        </w:rPr>
        <w:t>.</w:t>
      </w:r>
    </w:p>
    <w:p w:rsidR="001963E2" w:rsidRDefault="001963E2" w:rsidP="001963E2">
      <w:r w:rsidRPr="00D91F2C">
        <w:t>Concerns noted by the evaluator included:</w:t>
      </w:r>
    </w:p>
    <w:p w:rsidR="00B34BFC" w:rsidRDefault="001963E2" w:rsidP="00BE0162">
      <w:pPr>
        <w:pStyle w:val="ListBullet"/>
      </w:pPr>
      <w:r>
        <w:t xml:space="preserve">The findings of the primary </w:t>
      </w:r>
      <w:r w:rsidR="0067104C">
        <w:t>x-ray</w:t>
      </w:r>
      <w:r>
        <w:t xml:space="preserve"> analysis of Study A3921044 were not supportive of an </w:t>
      </w:r>
      <w:r w:rsidR="0067104C">
        <w:t>x-ray</w:t>
      </w:r>
      <w:r>
        <w:t xml:space="preserve"> claim for TOF therapy in a predominantly second line treatment population with established RA</w:t>
      </w:r>
      <w:r w:rsidR="00B34BFC">
        <w:t>.</w:t>
      </w:r>
    </w:p>
    <w:p w:rsidR="00B34BFC" w:rsidRDefault="001963E2" w:rsidP="00BE0162">
      <w:pPr>
        <w:pStyle w:val="ListBullet"/>
        <w:rPr>
          <w:lang w:eastAsia="ja-JP"/>
        </w:rPr>
      </w:pPr>
      <w:r>
        <w:rPr>
          <w:lang w:eastAsia="ja-JP"/>
        </w:rPr>
        <w:t xml:space="preserve">The magnitude and clinical relevance of the potential </w:t>
      </w:r>
      <w:r w:rsidR="0067104C">
        <w:rPr>
          <w:lang w:eastAsia="ja-JP"/>
        </w:rPr>
        <w:t>x-ray</w:t>
      </w:r>
      <w:r>
        <w:rPr>
          <w:lang w:eastAsia="ja-JP"/>
        </w:rPr>
        <w:t xml:space="preserve"> benefits with TOF versus alternative treatment options in adult patients with active RA is unclear</w:t>
      </w:r>
      <w:r w:rsidR="00B34BFC">
        <w:rPr>
          <w:lang w:eastAsia="ja-JP"/>
        </w:rPr>
        <w:t>.</w:t>
      </w:r>
    </w:p>
    <w:p w:rsidR="00B34BFC" w:rsidRDefault="001963E2" w:rsidP="00BE0162">
      <w:pPr>
        <w:pStyle w:val="ListBullet"/>
      </w:pPr>
      <w:r>
        <w:t xml:space="preserve">The generalisability of the </w:t>
      </w:r>
      <w:r w:rsidR="0067104C">
        <w:t>x-ray</w:t>
      </w:r>
      <w:r>
        <w:t xml:space="preserve"> results to the Australian clinical practice setting is limited</w:t>
      </w:r>
      <w:r w:rsidR="00B34BFC">
        <w:t>.</w:t>
      </w:r>
    </w:p>
    <w:p w:rsidR="001963E2" w:rsidRPr="00C9406F" w:rsidRDefault="001963E2" w:rsidP="00BE0162">
      <w:pPr>
        <w:pStyle w:val="Heading4"/>
      </w:pPr>
      <w:r w:rsidRPr="00C9406F">
        <w:t>Pharmacology</w:t>
      </w:r>
    </w:p>
    <w:p w:rsidR="00B34BFC" w:rsidRDefault="001963E2" w:rsidP="001963E2">
      <w:bookmarkStart w:id="188" w:name="Bridging"/>
      <w:bookmarkEnd w:id="188"/>
      <w:r w:rsidRPr="00BE0162">
        <w:t>Study A392</w:t>
      </w:r>
      <w:r w:rsidR="002D2F85">
        <w:t xml:space="preserve">1024 is an ongoing, </w:t>
      </w:r>
      <w:r w:rsidR="008F2D59">
        <w:t xml:space="preserve">open </w:t>
      </w:r>
      <w:r w:rsidR="00EE1D4A">
        <w:t>label;</w:t>
      </w:r>
      <w:r w:rsidR="002D2F85">
        <w:t xml:space="preserve"> </w:t>
      </w:r>
      <w:r w:rsidRPr="00BE0162">
        <w:t xml:space="preserve">LTE study in which lymphocyte subset cell counts were collected for a median duration of 5 years in TOF treated subjects. The </w:t>
      </w:r>
      <w:r w:rsidR="00B34BFC">
        <w:t>long term</w:t>
      </w:r>
      <w:r w:rsidRPr="00BE0162">
        <w:t xml:space="preserve"> data shows a persistent median reduction f</w:t>
      </w:r>
      <w:r w:rsidR="00EE1D4A">
        <w:t xml:space="preserve">rom baseline of CD4+ and CD8+ T </w:t>
      </w:r>
      <w:r w:rsidRPr="00BE0162">
        <w:t>cells of 28% and 27%, respectively. However, CD4</w:t>
      </w:r>
      <w:r w:rsidR="008F2D59">
        <w:t>+</w:t>
      </w:r>
      <w:r w:rsidRPr="00BE0162">
        <w:t xml:space="preserve"> and CD8</w:t>
      </w:r>
      <w:r w:rsidR="008F2D59">
        <w:t>+</w:t>
      </w:r>
      <w:r w:rsidRPr="00BE0162">
        <w:t xml:space="preserve"> cell counts recover to baseline values after 4 weeks of treatment discontinuation. Moreover, in contrast to the observed decrease in NK cell counts with 3</w:t>
      </w:r>
      <w:r w:rsidR="008F2D59">
        <w:t xml:space="preserve"> to </w:t>
      </w:r>
      <w:r w:rsidRPr="00BE0162">
        <w:t>6 months of TOF treatment,</w:t>
      </w:r>
      <w:r>
        <w:t xml:space="preserve"> long term therapy (2</w:t>
      </w:r>
      <w:r w:rsidR="008F2D59">
        <w:t xml:space="preserve"> to </w:t>
      </w:r>
      <w:r>
        <w:t>5 years) shows a median increase of up to 73% in this lymphocyte subset. Treatment with TOF also results in dose dependent increases in CD19</w:t>
      </w:r>
      <w:r w:rsidR="008F2D59">
        <w:t>+</w:t>
      </w:r>
      <w:r w:rsidR="00EE1D4A">
        <w:t xml:space="preserve"> B </w:t>
      </w:r>
      <w:r>
        <w:t>cell counts, which show no further increases with prolonged TOF treatment. The study did not find evidence of an increased risk of serious infection in subjects with low CD4</w:t>
      </w:r>
      <w:r w:rsidR="008F2D59">
        <w:t>+</w:t>
      </w:r>
      <w:r>
        <w:t>/8</w:t>
      </w:r>
      <w:r w:rsidR="008F2D59">
        <w:t>+</w:t>
      </w:r>
      <w:r>
        <w:t xml:space="preserve">/NK cell counts or high B-cell counts. </w:t>
      </w:r>
      <w:r w:rsidRPr="00242AA2">
        <w:t>Ther</w:t>
      </w:r>
      <w:r w:rsidR="00E205F5">
        <w:t xml:space="preserve">efore, specific monitoring of T </w:t>
      </w:r>
      <w:r w:rsidRPr="00242AA2">
        <w:t xml:space="preserve">cell subsets does not appear to be an effective risk minimisation strategy with TOF treatment. However, there is a correlation between the risk of serious infection and an absolute lymphocyte cell count of </w:t>
      </w:r>
      <w:r w:rsidR="00EE1D4A">
        <w:t>&lt; 0.5 x </w:t>
      </w:r>
      <w:r w:rsidRPr="00242AA2">
        <w:t>10</w:t>
      </w:r>
      <w:r w:rsidRPr="00242AA2">
        <w:rPr>
          <w:vertAlign w:val="superscript"/>
        </w:rPr>
        <w:t>9</w:t>
      </w:r>
      <w:r w:rsidRPr="00242AA2">
        <w:t>/L, which is already included in the current PI</w:t>
      </w:r>
      <w:r w:rsidR="00B34BFC">
        <w:t>.</w:t>
      </w:r>
    </w:p>
    <w:p w:rsidR="001963E2" w:rsidRDefault="001963E2" w:rsidP="00BE0162">
      <w:pPr>
        <w:pStyle w:val="Heading4"/>
      </w:pPr>
      <w:r w:rsidRPr="00485548">
        <w:t>Efficacy</w:t>
      </w:r>
    </w:p>
    <w:p w:rsidR="00344583" w:rsidRDefault="00344583" w:rsidP="00344583">
      <w:pPr>
        <w:pStyle w:val="Heading5"/>
      </w:pPr>
      <w:r w:rsidRPr="00BE0162">
        <w:t>Study A3921044</w:t>
      </w:r>
    </w:p>
    <w:p w:rsidR="00B34BFC" w:rsidRDefault="001963E2" w:rsidP="0067104C">
      <w:r w:rsidRPr="00344583">
        <w:t>Study A3921044</w:t>
      </w:r>
      <w:r w:rsidRPr="00BE0162">
        <w:t xml:space="preserve"> was a </w:t>
      </w:r>
      <w:r w:rsidR="00B34BFC">
        <w:t>Phase III</w:t>
      </w:r>
      <w:r w:rsidRPr="00BE0162">
        <w:t xml:space="preserve">, randomised, </w:t>
      </w:r>
      <w:r w:rsidR="008F2D59">
        <w:t>double blind</w:t>
      </w:r>
      <w:r w:rsidRPr="00BE0162">
        <w:t>, placebo controlled trial of 2</w:t>
      </w:r>
      <w:r w:rsidR="0067104C">
        <w:t> </w:t>
      </w:r>
      <w:r>
        <w:t>years duration in which subjects were randomised to one of fou</w:t>
      </w:r>
      <w:r w:rsidR="002D2F85">
        <w:t>r parallel treatment sequences</w:t>
      </w:r>
      <w:r>
        <w:t>. The study allowed for early escape to rescue treatment for patients randomised to PBO with insufficient improvement at the 3</w:t>
      </w:r>
      <w:r w:rsidR="008F2D59">
        <w:t xml:space="preserve"> </w:t>
      </w:r>
      <w:r>
        <w:t>month visit</w:t>
      </w:r>
      <w:r w:rsidR="00B34BFC">
        <w:t>.</w:t>
      </w:r>
    </w:p>
    <w:p w:rsidR="001963E2" w:rsidRDefault="001963E2" w:rsidP="0067104C">
      <w:r>
        <w:t>The study included 797 patients, 18 years of age or older, with a diagnosis of active RA</w:t>
      </w:r>
      <w:r w:rsidRPr="009A6052">
        <w:t xml:space="preserve"> </w:t>
      </w:r>
      <w:r>
        <w:t xml:space="preserve">plus at least one of the following three features: at least three documented joint erosions on plain </w:t>
      </w:r>
      <w:r w:rsidR="0067104C">
        <w:t>x-ray</w:t>
      </w:r>
      <w:r>
        <w:t xml:space="preserve">, or positive serology for anti-CCP antibodies or for RF. Subjects were </w:t>
      </w:r>
      <w:r>
        <w:lastRenderedPageBreak/>
        <w:t>required to be on a stable weekly dose of MTX 15</w:t>
      </w:r>
      <w:r w:rsidR="008F2D59">
        <w:t xml:space="preserve"> to </w:t>
      </w:r>
      <w:r>
        <w:t xml:space="preserve">25 mg, although MTX doses </w:t>
      </w:r>
      <w:r w:rsidR="008F2D59">
        <w:t>&lt; </w:t>
      </w:r>
      <w:r>
        <w:t>15</w:t>
      </w:r>
      <w:r w:rsidR="008F2D59">
        <w:t> </w:t>
      </w:r>
      <w:r>
        <w:t>mg/week were allowed for patients intolerant of higher doses or recruited in countries where the higher dose would contravene local labelling recommendations. Overall, 67.6% (539) of patients completed 2 years of treatment. A total of 257 subjects (32.2%) discontinued from the trial, including 124 patients (15.6%) wit</w:t>
      </w:r>
      <w:r w:rsidR="002D2F85">
        <w:t xml:space="preserve">hdrawing due to </w:t>
      </w:r>
      <w:r>
        <w:t>AEs (91 patients had AEs considered to be treatment related).</w:t>
      </w:r>
    </w:p>
    <w:p w:rsidR="00B34BFC" w:rsidRDefault="001963E2" w:rsidP="0067104C">
      <w:r>
        <w:t xml:space="preserve">There were 4 primary efficacy objectives, one of which was the assessment of slowing the progression of structural damage, which is the focus of this submission. The 4 primary efficacy objectives of Study A3921044 were evaluated in the initial TGA submission. A secondary objective of Study A3921044 was to evaluate the durability of various levels of ACR response, clinical remission (DAS28 score </w:t>
      </w:r>
      <w:r w:rsidR="008F2D59">
        <w:t xml:space="preserve">&lt; </w:t>
      </w:r>
      <w:r>
        <w:t xml:space="preserve">2.6) </w:t>
      </w:r>
      <w:r w:rsidR="0067104C">
        <w:t>and low disease activity (DAS28 </w:t>
      </w:r>
      <w:r>
        <w:t xml:space="preserve">score </w:t>
      </w:r>
      <w:r w:rsidR="008F2D59">
        <w:t xml:space="preserve">&lt; </w:t>
      </w:r>
      <w:r>
        <w:t>3.2) with extended treatment follow-up</w:t>
      </w:r>
      <w:r w:rsidR="00B34BFC">
        <w:t>.</w:t>
      </w:r>
    </w:p>
    <w:p w:rsidR="00B34BFC" w:rsidRDefault="001963E2" w:rsidP="0067104C">
      <w:r>
        <w:t xml:space="preserve">The main radiographic outcome was the mean change from baseline in the </w:t>
      </w:r>
      <w:proofErr w:type="spellStart"/>
      <w:r>
        <w:t>mTSS</w:t>
      </w:r>
      <w:proofErr w:type="spellEnd"/>
      <w:r>
        <w:t xml:space="preserve">. The plain </w:t>
      </w:r>
      <w:r w:rsidR="0067104C">
        <w:t>x-ray</w:t>
      </w:r>
      <w:r w:rsidR="003F559A">
        <w:t>s</w:t>
      </w:r>
      <w:r>
        <w:t xml:space="preserve"> were read in two campaigns. Campaign 1 involved the reading of </w:t>
      </w:r>
      <w:r w:rsidR="0067104C">
        <w:t>x-rays</w:t>
      </w:r>
      <w:r>
        <w:t xml:space="preserve"> up to 12 months. For Campaign 2, data up 24 months, all </w:t>
      </w:r>
      <w:r w:rsidR="00344583">
        <w:t>x-rays</w:t>
      </w:r>
      <w:r>
        <w:t xml:space="preserve"> were re-read by 2 independent, blinded readers. The primary clinical endpoints were the rate of ACR20 response, mean change over time in the HAQ-DI score and other validated composite measures of disease activity and response in RA</w:t>
      </w:r>
      <w:r w:rsidR="00B34BFC">
        <w:t>.</w:t>
      </w:r>
    </w:p>
    <w:p w:rsidR="00B34BFC" w:rsidRDefault="001963E2" w:rsidP="0067104C">
      <w:r>
        <w:t>Approximately one third of all subjects appear to have received an insuf</w:t>
      </w:r>
      <w:r w:rsidR="00BE0162">
        <w:t>ficient dose of prior MTX (</w:t>
      </w:r>
      <w:r w:rsidR="00B34BFC">
        <w:t xml:space="preserve">that is </w:t>
      </w:r>
      <w:r w:rsidR="008F2D59">
        <w:t xml:space="preserve">≤ </w:t>
      </w:r>
      <w:r>
        <w:t xml:space="preserve">12.5 mg/week) before proceeding to JAK inhibition. Detail on the relevant percentage of very low dose MTX recipients who recorded intolerability to MTX versus local prescribing restrictions was not provided. </w:t>
      </w:r>
      <w:r w:rsidRPr="000C09B9">
        <w:t>The PBO control arm did not receive maximal standard comparator treatment with MTX as their pre-existing regimen, for which they recorded inadequate response at baseline, was continued during the trial. In addition, the study had a screening failure rate of 38% (491</w:t>
      </w:r>
      <w:r w:rsidR="008F2D59">
        <w:t xml:space="preserve"> out of </w:t>
      </w:r>
      <w:r w:rsidRPr="000C09B9">
        <w:t>1291). The potential sub-optimal preceding treatment reduces the generalisability of the study results</w:t>
      </w:r>
      <w:r w:rsidR="00B34BFC">
        <w:t>.</w:t>
      </w:r>
    </w:p>
    <w:p w:rsidR="001963E2" w:rsidRDefault="001963E2" w:rsidP="0067104C">
      <w:r>
        <w:t>The majority patients were female (85.1%; 678</w:t>
      </w:r>
      <w:r w:rsidR="008F2D59">
        <w:t xml:space="preserve"> out of </w:t>
      </w:r>
      <w:r>
        <w:t>797) and either White (46.2%; 368</w:t>
      </w:r>
      <w:r w:rsidR="00E205F5">
        <w:t xml:space="preserve"> o</w:t>
      </w:r>
      <w:r w:rsidR="008F2D59">
        <w:t xml:space="preserve">ut of </w:t>
      </w:r>
      <w:r>
        <w:t>797) or Asian (42.4%; 338</w:t>
      </w:r>
      <w:r w:rsidR="008F2D59">
        <w:t xml:space="preserve"> out of </w:t>
      </w:r>
      <w:r>
        <w:t>797). The mean a</w:t>
      </w:r>
      <w:r w:rsidR="0067104C">
        <w:t>ge of patients ranged from 52.0 </w:t>
      </w:r>
      <w:r>
        <w:t>years to 53.7 years (range 18 to 82 years). The treatment groups were similar with respect to baseline RA disease characteristics. The mean duration of RA was 8.8</w:t>
      </w:r>
      <w:r w:rsidR="008F2D59">
        <w:t xml:space="preserve"> to </w:t>
      </w:r>
      <w:r>
        <w:t>9.5 years (range: 0.3</w:t>
      </w:r>
      <w:r w:rsidR="008F2D59">
        <w:t xml:space="preserve"> to </w:t>
      </w:r>
      <w:r>
        <w:t>43.5 years). All patients were to have moderately to severely active RA with joint erosions or positive RF or positive anti-CCP antibodies at enrolment. These characteristics were meant to enrich the study population for they are associated with high risk of structural damage.</w:t>
      </w:r>
    </w:p>
    <w:p w:rsidR="001963E2" w:rsidRPr="00D96527" w:rsidRDefault="001963E2" w:rsidP="00344583">
      <w:pPr>
        <w:pStyle w:val="Heading6"/>
      </w:pPr>
      <w:r w:rsidRPr="00D96527">
        <w:t>Results for the radiographic efficacy outcome</w:t>
      </w:r>
    </w:p>
    <w:p w:rsidR="00B34BFC" w:rsidRDefault="001963E2" w:rsidP="001963E2">
      <w:pPr>
        <w:rPr>
          <w:lang w:eastAsia="en-AU"/>
        </w:rPr>
      </w:pPr>
      <w:r w:rsidRPr="00EA62D8">
        <w:rPr>
          <w:lang w:eastAsia="en-AU"/>
        </w:rPr>
        <w:t xml:space="preserve">At </w:t>
      </w:r>
      <w:r>
        <w:rPr>
          <w:lang w:eastAsia="en-AU"/>
        </w:rPr>
        <w:t>b</w:t>
      </w:r>
      <w:r w:rsidRPr="00EA62D8">
        <w:rPr>
          <w:lang w:eastAsia="en-AU"/>
        </w:rPr>
        <w:t xml:space="preserve">aseline, </w:t>
      </w:r>
      <w:r>
        <w:rPr>
          <w:lang w:eastAsia="en-AU"/>
        </w:rPr>
        <w:t xml:space="preserve">the </w:t>
      </w:r>
      <w:r w:rsidRPr="00EA62D8">
        <w:rPr>
          <w:lang w:eastAsia="en-AU"/>
        </w:rPr>
        <w:t xml:space="preserve">LS mean </w:t>
      </w:r>
      <w:proofErr w:type="spellStart"/>
      <w:r w:rsidRPr="00EA62D8">
        <w:rPr>
          <w:lang w:eastAsia="en-AU"/>
        </w:rPr>
        <w:t>mTSS</w:t>
      </w:r>
      <w:proofErr w:type="spellEnd"/>
      <w:r w:rsidRPr="00EA62D8">
        <w:rPr>
          <w:lang w:eastAsia="en-AU"/>
        </w:rPr>
        <w:t xml:space="preserve"> values were 31.26, 31.03 and 35.86 in the </w:t>
      </w:r>
      <w:r>
        <w:rPr>
          <w:lang w:eastAsia="en-AU"/>
        </w:rPr>
        <w:t>PBO (</w:t>
      </w:r>
      <w:r w:rsidR="008F2D59">
        <w:rPr>
          <w:lang w:eastAsia="en-AU"/>
        </w:rPr>
        <w:t xml:space="preserve">n = </w:t>
      </w:r>
      <w:r>
        <w:rPr>
          <w:lang w:eastAsia="en-AU"/>
        </w:rPr>
        <w:t>139 subjects)</w:t>
      </w:r>
      <w:r w:rsidRPr="00EA62D8">
        <w:rPr>
          <w:lang w:eastAsia="en-AU"/>
        </w:rPr>
        <w:t xml:space="preserve">, </w:t>
      </w:r>
      <w:r>
        <w:t>TOF</w:t>
      </w:r>
      <w:r>
        <w:rPr>
          <w:lang w:eastAsia="en-AU"/>
        </w:rPr>
        <w:t xml:space="preserve"> </w:t>
      </w:r>
      <w:r w:rsidRPr="00EA62D8">
        <w:rPr>
          <w:lang w:eastAsia="en-AU"/>
        </w:rPr>
        <w:t xml:space="preserve">5 mg </w:t>
      </w:r>
      <w:r>
        <w:rPr>
          <w:lang w:eastAsia="en-AU"/>
        </w:rPr>
        <w:t>(</w:t>
      </w:r>
      <w:r w:rsidR="008F2D59">
        <w:rPr>
          <w:lang w:eastAsia="en-AU"/>
        </w:rPr>
        <w:t xml:space="preserve">n = </w:t>
      </w:r>
      <w:r>
        <w:rPr>
          <w:lang w:eastAsia="en-AU"/>
        </w:rPr>
        <w:t xml:space="preserve">287 subjects) </w:t>
      </w:r>
      <w:r w:rsidRPr="00EA62D8">
        <w:rPr>
          <w:lang w:eastAsia="en-AU"/>
        </w:rPr>
        <w:t xml:space="preserve">and </w:t>
      </w:r>
      <w:r>
        <w:t>TOF</w:t>
      </w:r>
      <w:r>
        <w:rPr>
          <w:lang w:eastAsia="en-AU"/>
        </w:rPr>
        <w:t xml:space="preserve"> </w:t>
      </w:r>
      <w:r w:rsidRPr="00EA62D8">
        <w:rPr>
          <w:lang w:eastAsia="en-AU"/>
        </w:rPr>
        <w:t>10 mg groups</w:t>
      </w:r>
      <w:r>
        <w:rPr>
          <w:lang w:eastAsia="en-AU"/>
        </w:rPr>
        <w:t xml:space="preserve"> (</w:t>
      </w:r>
      <w:r w:rsidR="008F2D59">
        <w:rPr>
          <w:lang w:eastAsia="en-AU"/>
        </w:rPr>
        <w:t xml:space="preserve">n = </w:t>
      </w:r>
      <w:r>
        <w:rPr>
          <w:lang w:eastAsia="en-AU"/>
        </w:rPr>
        <w:t>298 subjects)</w:t>
      </w:r>
      <w:r w:rsidRPr="00EA62D8">
        <w:rPr>
          <w:lang w:eastAsia="en-AU"/>
        </w:rPr>
        <w:t>, respectively</w:t>
      </w:r>
      <w:r>
        <w:rPr>
          <w:lang w:eastAsia="en-AU"/>
        </w:rPr>
        <w:t>.</w:t>
      </w:r>
      <w:r w:rsidRPr="00EA62D8">
        <w:rPr>
          <w:lang w:eastAsia="en-AU"/>
        </w:rPr>
        <w:t xml:space="preserve"> Treatment with</w:t>
      </w:r>
      <w:r>
        <w:rPr>
          <w:lang w:eastAsia="en-AU"/>
        </w:rPr>
        <w:t xml:space="preserve"> </w:t>
      </w:r>
      <w:r>
        <w:t>TOF</w:t>
      </w:r>
      <w:r w:rsidRPr="00EA62D8">
        <w:rPr>
          <w:lang w:eastAsia="en-AU"/>
        </w:rPr>
        <w:t xml:space="preserve"> (5 mg or 10 mg) resulted in </w:t>
      </w:r>
      <w:r>
        <w:rPr>
          <w:lang w:eastAsia="en-AU"/>
        </w:rPr>
        <w:t xml:space="preserve">numerically </w:t>
      </w:r>
      <w:r w:rsidRPr="00EA62D8">
        <w:rPr>
          <w:lang w:eastAsia="en-AU"/>
        </w:rPr>
        <w:t xml:space="preserve">less progression from </w:t>
      </w:r>
      <w:r>
        <w:rPr>
          <w:lang w:eastAsia="en-AU"/>
        </w:rPr>
        <w:t>b</w:t>
      </w:r>
      <w:r w:rsidRPr="00EA62D8">
        <w:rPr>
          <w:lang w:eastAsia="en-AU"/>
        </w:rPr>
        <w:t xml:space="preserve">aseline in </w:t>
      </w:r>
      <w:r>
        <w:rPr>
          <w:lang w:eastAsia="en-AU"/>
        </w:rPr>
        <w:t xml:space="preserve">the LS mean changes in </w:t>
      </w:r>
      <w:proofErr w:type="spellStart"/>
      <w:r w:rsidRPr="00EA62D8">
        <w:rPr>
          <w:lang w:eastAsia="en-AU"/>
        </w:rPr>
        <w:t>mTSS</w:t>
      </w:r>
      <w:proofErr w:type="spellEnd"/>
      <w:r w:rsidRPr="00EA62D8">
        <w:rPr>
          <w:lang w:eastAsia="en-AU"/>
        </w:rPr>
        <w:t xml:space="preserve"> </w:t>
      </w:r>
      <w:r>
        <w:rPr>
          <w:lang w:eastAsia="en-AU"/>
        </w:rPr>
        <w:t xml:space="preserve">scores </w:t>
      </w:r>
      <w:r w:rsidRPr="00EA62D8">
        <w:rPr>
          <w:lang w:eastAsia="en-AU"/>
        </w:rPr>
        <w:t xml:space="preserve">compared to </w:t>
      </w:r>
      <w:r>
        <w:rPr>
          <w:lang w:eastAsia="en-AU"/>
        </w:rPr>
        <w:t>PBO</w:t>
      </w:r>
      <w:r w:rsidRPr="00EA62D8">
        <w:rPr>
          <w:lang w:eastAsia="en-AU"/>
        </w:rPr>
        <w:t xml:space="preserve"> extrapolated at </w:t>
      </w:r>
      <w:r>
        <w:rPr>
          <w:lang w:eastAsia="en-AU"/>
        </w:rPr>
        <w:t>m</w:t>
      </w:r>
      <w:r w:rsidRPr="00EA62D8">
        <w:rPr>
          <w:lang w:eastAsia="en-AU"/>
        </w:rPr>
        <w:t>onths</w:t>
      </w:r>
      <w:r>
        <w:rPr>
          <w:lang w:eastAsia="en-AU"/>
        </w:rPr>
        <w:t xml:space="preserve"> 6,</w:t>
      </w:r>
      <w:r w:rsidRPr="00EA62D8">
        <w:rPr>
          <w:lang w:eastAsia="en-AU"/>
        </w:rPr>
        <w:t xml:space="preserve"> 12 and 24</w:t>
      </w:r>
      <w:r>
        <w:rPr>
          <w:lang w:eastAsia="en-AU"/>
        </w:rPr>
        <w:t>, but this did not reach statis</w:t>
      </w:r>
      <w:r w:rsidR="00344583">
        <w:rPr>
          <w:lang w:eastAsia="en-AU"/>
        </w:rPr>
        <w:t xml:space="preserve">tical significance for any pair </w:t>
      </w:r>
      <w:r>
        <w:rPr>
          <w:lang w:eastAsia="en-AU"/>
        </w:rPr>
        <w:t xml:space="preserve">wise comparison between active treatment with </w:t>
      </w:r>
      <w:r>
        <w:t>TOF</w:t>
      </w:r>
      <w:r>
        <w:rPr>
          <w:lang w:eastAsia="en-AU"/>
        </w:rPr>
        <w:t xml:space="preserve"> and </w:t>
      </w:r>
      <w:r w:rsidR="00DF555C">
        <w:rPr>
          <w:lang w:eastAsia="en-AU"/>
        </w:rPr>
        <w:t>PBO</w:t>
      </w:r>
      <w:r w:rsidR="00B34BFC">
        <w:rPr>
          <w:lang w:eastAsia="en-AU"/>
        </w:rPr>
        <w:t>.</w:t>
      </w:r>
    </w:p>
    <w:p w:rsidR="001963E2" w:rsidRPr="00CA7313" w:rsidRDefault="001963E2" w:rsidP="001963E2">
      <w:pPr>
        <w:rPr>
          <w:lang w:eastAsia="en-AU"/>
        </w:rPr>
      </w:pPr>
      <w:r w:rsidRPr="00CA7313">
        <w:rPr>
          <w:lang w:eastAsia="en-AU"/>
        </w:rPr>
        <w:t xml:space="preserve">The use of a significant amount of extrapolated </w:t>
      </w:r>
      <w:r w:rsidR="0067104C">
        <w:rPr>
          <w:lang w:eastAsia="en-AU"/>
        </w:rPr>
        <w:t>x-ray</w:t>
      </w:r>
      <w:r w:rsidRPr="00CA7313">
        <w:rPr>
          <w:lang w:eastAsia="en-AU"/>
        </w:rPr>
        <w:t xml:space="preserve"> data for the control group </w:t>
      </w:r>
      <w:r>
        <w:rPr>
          <w:lang w:eastAsia="en-AU"/>
        </w:rPr>
        <w:t xml:space="preserve">may have </w:t>
      </w:r>
      <w:r w:rsidRPr="00CA7313">
        <w:rPr>
          <w:lang w:eastAsia="en-AU"/>
        </w:rPr>
        <w:t xml:space="preserve">diluted the results of the </w:t>
      </w:r>
      <w:r w:rsidR="0067104C">
        <w:rPr>
          <w:lang w:eastAsia="en-AU"/>
        </w:rPr>
        <w:t>x-ray</w:t>
      </w:r>
      <w:r w:rsidRPr="00CA7313">
        <w:rPr>
          <w:lang w:eastAsia="en-AU"/>
        </w:rPr>
        <w:t xml:space="preserve"> dataset</w:t>
      </w:r>
      <w:r>
        <w:rPr>
          <w:lang w:eastAsia="en-AU"/>
        </w:rPr>
        <w:t>.</w:t>
      </w:r>
      <w:r w:rsidRPr="00CA7313">
        <w:rPr>
          <w:lang w:eastAsia="en-AU"/>
        </w:rPr>
        <w:t xml:space="preserve"> </w:t>
      </w:r>
      <w:r>
        <w:rPr>
          <w:lang w:eastAsia="en-AU"/>
        </w:rPr>
        <w:t>Two</w:t>
      </w:r>
      <w:r w:rsidRPr="00CA7313">
        <w:rPr>
          <w:lang w:eastAsia="en-AU"/>
        </w:rPr>
        <w:t xml:space="preserve"> additional post-hoc</w:t>
      </w:r>
      <w:r>
        <w:rPr>
          <w:lang w:eastAsia="en-AU"/>
        </w:rPr>
        <w:t xml:space="preserve"> analyses, which focussed on the primary radiographic endpoint (LS mean ch</w:t>
      </w:r>
      <w:r w:rsidR="00344583">
        <w:rPr>
          <w:lang w:eastAsia="en-AU"/>
        </w:rPr>
        <w:t xml:space="preserve">ange from baseline in </w:t>
      </w:r>
      <w:proofErr w:type="spellStart"/>
      <w:r w:rsidR="00344583">
        <w:rPr>
          <w:lang w:eastAsia="en-AU"/>
        </w:rPr>
        <w:t>mTSS</w:t>
      </w:r>
      <w:proofErr w:type="spellEnd"/>
      <w:r w:rsidR="00344583">
        <w:rPr>
          <w:lang w:eastAsia="en-AU"/>
        </w:rPr>
        <w:t xml:space="preserve"> at 6 </w:t>
      </w:r>
      <w:r>
        <w:rPr>
          <w:lang w:eastAsia="en-AU"/>
        </w:rPr>
        <w:t xml:space="preserve">months) were submitted. The first sensitivity analysis used the observed data for </w:t>
      </w:r>
      <w:r>
        <w:t>TOF</w:t>
      </w:r>
      <w:r>
        <w:rPr>
          <w:lang w:eastAsia="en-AU"/>
        </w:rPr>
        <w:t xml:space="preserve"> and PBO treated subjects. Missing values at </w:t>
      </w:r>
      <w:r w:rsidR="008F2D59">
        <w:rPr>
          <w:lang w:eastAsia="en-AU"/>
        </w:rPr>
        <w:t>M</w:t>
      </w:r>
      <w:r>
        <w:rPr>
          <w:lang w:eastAsia="en-AU"/>
        </w:rPr>
        <w:t xml:space="preserve">onth 6 were only extrapolated from 3 months for PBO treated subjects who advanced to </w:t>
      </w:r>
      <w:r>
        <w:t>TOF</w:t>
      </w:r>
      <w:r>
        <w:rPr>
          <w:lang w:eastAsia="en-AU"/>
        </w:rPr>
        <w:t xml:space="preserve"> due to inadequate response. The second post-hoc sensitivity analysis was a random coefficients model that utilised all observed data between </w:t>
      </w:r>
      <w:r w:rsidR="008F2D59">
        <w:rPr>
          <w:lang w:eastAsia="en-AU"/>
        </w:rPr>
        <w:t>M</w:t>
      </w:r>
      <w:r>
        <w:rPr>
          <w:lang w:eastAsia="en-AU"/>
        </w:rPr>
        <w:t xml:space="preserve">onths 3 and 12. PBO treated subjects who advanced to </w:t>
      </w:r>
      <w:r>
        <w:t>TOF</w:t>
      </w:r>
      <w:r>
        <w:rPr>
          <w:lang w:eastAsia="en-AU"/>
        </w:rPr>
        <w:t xml:space="preserve"> were set to missing after advancement. This model used all observed data to estimate an average rate of change, which was then used to compute the </w:t>
      </w:r>
      <w:r w:rsidR="0057574B">
        <w:rPr>
          <w:lang w:eastAsia="en-AU"/>
        </w:rPr>
        <w:t xml:space="preserve">six </w:t>
      </w:r>
      <w:r>
        <w:rPr>
          <w:lang w:eastAsia="en-AU"/>
        </w:rPr>
        <w:t xml:space="preserve">month changes from </w:t>
      </w:r>
      <w:r>
        <w:rPr>
          <w:lang w:eastAsia="en-AU"/>
        </w:rPr>
        <w:lastRenderedPageBreak/>
        <w:t xml:space="preserve">baseline. Both </w:t>
      </w:r>
      <w:r w:rsidRPr="0057574B">
        <w:rPr>
          <w:lang w:eastAsia="en-AU"/>
        </w:rPr>
        <w:t xml:space="preserve">sensitivity analyses showed a statistically significant reduction in the LS mean change from baseline to 6 months </w:t>
      </w:r>
      <w:r w:rsidR="002D2F85" w:rsidRPr="00B82BB1">
        <w:rPr>
          <w:lang w:eastAsia="en-AU"/>
        </w:rPr>
        <w:t xml:space="preserve">in </w:t>
      </w:r>
      <w:proofErr w:type="spellStart"/>
      <w:r w:rsidR="002D2F85" w:rsidRPr="00B82BB1">
        <w:rPr>
          <w:lang w:eastAsia="en-AU"/>
        </w:rPr>
        <w:t>mTSS</w:t>
      </w:r>
      <w:proofErr w:type="spellEnd"/>
      <w:r w:rsidR="002D2F85" w:rsidRPr="00B82BB1">
        <w:rPr>
          <w:lang w:eastAsia="en-AU"/>
        </w:rPr>
        <w:t xml:space="preserve"> (ranging from </w:t>
      </w:r>
      <w:r w:rsidR="008F2D59">
        <w:rPr>
          <w:lang w:eastAsia="en-AU"/>
        </w:rPr>
        <w:noBreakHyphen/>
      </w:r>
      <w:r w:rsidR="002D2F85" w:rsidRPr="00B82BB1">
        <w:rPr>
          <w:lang w:eastAsia="en-AU"/>
        </w:rPr>
        <w:t xml:space="preserve">0.33 to </w:t>
      </w:r>
      <w:r w:rsidR="008F2D59">
        <w:rPr>
          <w:lang w:eastAsia="en-AU"/>
        </w:rPr>
        <w:noBreakHyphen/>
      </w:r>
      <w:r w:rsidRPr="0057574B">
        <w:rPr>
          <w:lang w:eastAsia="en-AU"/>
        </w:rPr>
        <w:t xml:space="preserve">0.42 treatment related difference) for both doses of </w:t>
      </w:r>
      <w:r w:rsidRPr="0057574B">
        <w:t>TOF</w:t>
      </w:r>
      <w:r w:rsidR="00DF555C" w:rsidRPr="0057574B">
        <w:rPr>
          <w:lang w:eastAsia="en-AU"/>
        </w:rPr>
        <w:t xml:space="preserve"> in comparison to PBO</w:t>
      </w:r>
      <w:r w:rsidRPr="0057574B">
        <w:rPr>
          <w:lang w:eastAsia="en-AU"/>
        </w:rPr>
        <w:t>.</w:t>
      </w:r>
    </w:p>
    <w:p w:rsidR="00B34BFC" w:rsidRDefault="001963E2" w:rsidP="001963E2">
      <w:pPr>
        <w:rPr>
          <w:lang w:eastAsia="en-AU"/>
        </w:rPr>
      </w:pPr>
      <w:r>
        <w:rPr>
          <w:lang w:eastAsia="en-AU"/>
        </w:rPr>
        <w:t>Another series of sensitivity analyses aimed to exclude the effect of data anomalies such as large changes from baseline values at the extremes of the distribution (upper 20% of values). In general, the largest changes were seen in subjects in the PBO group, but the 2</w:t>
      </w:r>
      <w:r w:rsidR="00BF3E77">
        <w:rPr>
          <w:lang w:eastAsia="en-AU"/>
        </w:rPr>
        <w:t> </w:t>
      </w:r>
      <w:r>
        <w:rPr>
          <w:lang w:eastAsia="en-AU"/>
        </w:rPr>
        <w:t xml:space="preserve">subjects with the largest mean changes from baseline in </w:t>
      </w:r>
      <w:proofErr w:type="spellStart"/>
      <w:r>
        <w:rPr>
          <w:lang w:eastAsia="en-AU"/>
        </w:rPr>
        <w:t>mTSS</w:t>
      </w:r>
      <w:proofErr w:type="spellEnd"/>
      <w:r>
        <w:rPr>
          <w:lang w:eastAsia="en-AU"/>
        </w:rPr>
        <w:t xml:space="preserve"> at 6 months were recorded in the </w:t>
      </w:r>
      <w:r>
        <w:t>TOF</w:t>
      </w:r>
      <w:r>
        <w:rPr>
          <w:lang w:eastAsia="en-AU"/>
        </w:rPr>
        <w:t xml:space="preserve"> 5 mg group. The </w:t>
      </w:r>
      <w:r w:rsidR="00DF555C">
        <w:rPr>
          <w:lang w:eastAsia="en-AU"/>
        </w:rPr>
        <w:t>s</w:t>
      </w:r>
      <w:r>
        <w:rPr>
          <w:lang w:eastAsia="en-AU"/>
        </w:rPr>
        <w:t xml:space="preserve">ponsor provided a pre-specified rank analysis and a post-hoc trimmed analysis to reduce the effect of large change values on the overall dataset. The rank analysis showed a statistically significant LS mean change from baseline to 6 months in </w:t>
      </w:r>
      <w:proofErr w:type="spellStart"/>
      <w:r>
        <w:rPr>
          <w:lang w:eastAsia="en-AU"/>
        </w:rPr>
        <w:t>mTSS</w:t>
      </w:r>
      <w:proofErr w:type="spellEnd"/>
      <w:r>
        <w:rPr>
          <w:lang w:eastAsia="en-AU"/>
        </w:rPr>
        <w:t xml:space="preserve"> for </w:t>
      </w:r>
      <w:r>
        <w:t>TOF</w:t>
      </w:r>
      <w:r>
        <w:rPr>
          <w:lang w:eastAsia="en-AU"/>
        </w:rPr>
        <w:t xml:space="preserve"> 5 mg versus PBO (</w:t>
      </w:r>
      <w:r w:rsidR="00BF3E77">
        <w:rPr>
          <w:lang w:eastAsia="en-AU"/>
        </w:rPr>
        <w:t>p = 0</w:t>
      </w:r>
      <w:r>
        <w:rPr>
          <w:lang w:eastAsia="en-AU"/>
        </w:rPr>
        <w:t xml:space="preserve">.0237), but not for </w:t>
      </w:r>
      <w:r>
        <w:t>TOF</w:t>
      </w:r>
      <w:r>
        <w:rPr>
          <w:lang w:eastAsia="en-AU"/>
        </w:rPr>
        <w:t xml:space="preserve"> 10 mg versus PBO (</w:t>
      </w:r>
      <w:r w:rsidR="00BF3E77">
        <w:rPr>
          <w:lang w:eastAsia="en-AU"/>
        </w:rPr>
        <w:t>p = 0</w:t>
      </w:r>
      <w:r>
        <w:rPr>
          <w:lang w:eastAsia="en-AU"/>
        </w:rPr>
        <w:t xml:space="preserve">.1978). The trimmed analysis showed a -0.37 LS mean difference at 6 months for both doses of </w:t>
      </w:r>
      <w:r>
        <w:t>TOF</w:t>
      </w:r>
      <w:r>
        <w:rPr>
          <w:lang w:eastAsia="en-AU"/>
        </w:rPr>
        <w:t xml:space="preserve"> versus PBO, which we</w:t>
      </w:r>
      <w:r w:rsidR="00EE1D4A">
        <w:rPr>
          <w:lang w:eastAsia="en-AU"/>
        </w:rPr>
        <w:t xml:space="preserve">re statistically significant (p </w:t>
      </w:r>
      <w:r>
        <w:rPr>
          <w:lang w:eastAsia="en-AU"/>
        </w:rPr>
        <w:t>value</w:t>
      </w:r>
      <w:r w:rsidR="00EE1D4A">
        <w:rPr>
          <w:lang w:eastAsia="en-AU"/>
        </w:rPr>
        <w:t xml:space="preserve"> </w:t>
      </w:r>
      <w:r w:rsidR="008F2D59">
        <w:rPr>
          <w:lang w:eastAsia="en-AU"/>
        </w:rPr>
        <w:t xml:space="preserve">&lt; </w:t>
      </w:r>
      <w:r>
        <w:rPr>
          <w:lang w:eastAsia="en-AU"/>
        </w:rPr>
        <w:t>0.03)</w:t>
      </w:r>
      <w:r w:rsidR="00B34BFC">
        <w:rPr>
          <w:lang w:eastAsia="en-AU"/>
        </w:rPr>
        <w:t>.</w:t>
      </w:r>
    </w:p>
    <w:p w:rsidR="001963E2" w:rsidRDefault="001963E2" w:rsidP="001963E2">
      <w:pPr>
        <w:rPr>
          <w:lang w:eastAsia="en-AU"/>
        </w:rPr>
      </w:pPr>
      <w:r>
        <w:rPr>
          <w:lang w:eastAsia="en-AU"/>
        </w:rPr>
        <w:t xml:space="preserve">The </w:t>
      </w:r>
      <w:r w:rsidR="00DF555C">
        <w:rPr>
          <w:lang w:eastAsia="en-AU"/>
        </w:rPr>
        <w:t>s</w:t>
      </w:r>
      <w:r>
        <w:rPr>
          <w:lang w:eastAsia="en-AU"/>
        </w:rPr>
        <w:t xml:space="preserve">ponsor also provided a post-hoc analysis of the Campaign 1 </w:t>
      </w:r>
      <w:r w:rsidR="0067104C">
        <w:rPr>
          <w:lang w:eastAsia="en-AU"/>
        </w:rPr>
        <w:t>x-ray</w:t>
      </w:r>
      <w:r>
        <w:rPr>
          <w:lang w:eastAsia="en-AU"/>
        </w:rPr>
        <w:t xml:space="preserve"> data acquired in the second line treatment population (</w:t>
      </w:r>
      <w:r w:rsidR="00B34BFC">
        <w:rPr>
          <w:lang w:eastAsia="en-AU"/>
        </w:rPr>
        <w:t xml:space="preserve">that is </w:t>
      </w:r>
      <w:r>
        <w:rPr>
          <w:lang w:eastAsia="en-AU"/>
        </w:rPr>
        <w:t xml:space="preserve">subjects who were inadequate responder to or intolerant of conventional DMARD, but not an inadequate responder to or intolerant of biologic therapy). The majority of patients in each of the three treatment groups met the definition of second line therapy: 87.5% (281/321) of subjects in the </w:t>
      </w:r>
      <w:r>
        <w:t>TOF</w:t>
      </w:r>
      <w:r>
        <w:rPr>
          <w:lang w:eastAsia="en-AU"/>
        </w:rPr>
        <w:t xml:space="preserve"> 5 mg group, 89.0% (284/319) of patients in the </w:t>
      </w:r>
      <w:r>
        <w:t>TOF</w:t>
      </w:r>
      <w:r>
        <w:rPr>
          <w:lang w:eastAsia="en-AU"/>
        </w:rPr>
        <w:t xml:space="preserve"> 10 mg arm and 95.0% (152/160) of subjects in the control group. Using the second line treatment population, the LS mean change from baseline to months 6 and 12 were statistically less for both </w:t>
      </w:r>
      <w:r>
        <w:t>TOF</w:t>
      </w:r>
      <w:r>
        <w:rPr>
          <w:lang w:eastAsia="en-AU"/>
        </w:rPr>
        <w:t xml:space="preserve"> dose groups v</w:t>
      </w:r>
      <w:r w:rsidR="002D2F85">
        <w:rPr>
          <w:lang w:eastAsia="en-AU"/>
        </w:rPr>
        <w:t>ersus PBO</w:t>
      </w:r>
      <w:r>
        <w:rPr>
          <w:lang w:eastAsia="en-AU"/>
        </w:rPr>
        <w:t>.</w:t>
      </w:r>
    </w:p>
    <w:p w:rsidR="001963E2" w:rsidRDefault="001963E2" w:rsidP="001963E2">
      <w:pPr>
        <w:rPr>
          <w:rFonts w:cs="TimesNewRoman"/>
          <w:color w:val="000000"/>
          <w:lang w:eastAsia="en-AU"/>
        </w:rPr>
      </w:pPr>
      <w:r w:rsidRPr="00F01DDE">
        <w:rPr>
          <w:rFonts w:cs="TimesNewRoman"/>
          <w:color w:val="000000"/>
          <w:lang w:eastAsia="en-AU"/>
        </w:rPr>
        <w:t>The submission included a subset analysis of the at-risk population for structural progression. This treatment response enriched population had poor prognostic factors at baseline associated with progressive structural joint damage. Patients treated with PBO (</w:t>
      </w:r>
      <w:r w:rsidR="00EE1D4A">
        <w:rPr>
          <w:rFonts w:cs="TimesNewRoman"/>
          <w:color w:val="000000"/>
          <w:lang w:eastAsia="en-AU"/>
        </w:rPr>
        <w:t>n </w:t>
      </w:r>
      <w:r w:rsidR="008F2D59">
        <w:rPr>
          <w:rFonts w:cs="TimesNewRoman"/>
          <w:color w:val="000000"/>
          <w:lang w:eastAsia="en-AU"/>
        </w:rPr>
        <w:t xml:space="preserve">= </w:t>
      </w:r>
      <w:r w:rsidRPr="00F01DDE">
        <w:rPr>
          <w:rFonts w:cs="TimesNewRoman"/>
          <w:color w:val="000000"/>
          <w:lang w:eastAsia="en-AU"/>
        </w:rPr>
        <w:t xml:space="preserve">139 subjects) had greater LS mean increases from baseline in </w:t>
      </w:r>
      <w:proofErr w:type="spellStart"/>
      <w:r w:rsidRPr="00F01DDE">
        <w:rPr>
          <w:rFonts w:cs="TimesNewRoman"/>
          <w:color w:val="000000"/>
          <w:lang w:eastAsia="en-AU"/>
        </w:rPr>
        <w:t>mTSS</w:t>
      </w:r>
      <w:proofErr w:type="spellEnd"/>
      <w:r w:rsidRPr="00F01DDE">
        <w:rPr>
          <w:rFonts w:cs="TimesNewRoman"/>
          <w:color w:val="000000"/>
          <w:lang w:eastAsia="en-AU"/>
        </w:rPr>
        <w:t xml:space="preserve"> at 6 months (increase of 0.47 sharp units) and 12 months (increase of 0.92 sharp units) compared to </w:t>
      </w:r>
      <w:r w:rsidRPr="00F01DDE">
        <w:t>TOF</w:t>
      </w:r>
      <w:r w:rsidRPr="00F01DDE">
        <w:rPr>
          <w:rFonts w:cs="TimesNewRoman"/>
          <w:color w:val="000000"/>
          <w:lang w:eastAsia="en-AU"/>
        </w:rPr>
        <w:t xml:space="preserve"> 5 mg BD (</w:t>
      </w:r>
      <w:r w:rsidR="008F2D59">
        <w:rPr>
          <w:rFonts w:cs="TimesNewRoman"/>
          <w:color w:val="000000"/>
          <w:lang w:eastAsia="en-AU"/>
        </w:rPr>
        <w:t xml:space="preserve">n = </w:t>
      </w:r>
      <w:r w:rsidRPr="00F01DDE">
        <w:rPr>
          <w:rFonts w:cs="TimesNewRoman"/>
          <w:color w:val="000000"/>
          <w:lang w:eastAsia="en-AU"/>
        </w:rPr>
        <w:t>277-286 subjects; increase of 0.12 a</w:t>
      </w:r>
      <w:r w:rsidR="00EE1D4A">
        <w:rPr>
          <w:rFonts w:cs="TimesNewRoman"/>
          <w:color w:val="000000"/>
          <w:lang w:eastAsia="en-AU"/>
        </w:rPr>
        <w:t>nd 0.29 sharp units at 6 and 12 </w:t>
      </w:r>
      <w:r w:rsidRPr="00F01DDE">
        <w:rPr>
          <w:rFonts w:cs="TimesNewRoman"/>
          <w:color w:val="000000"/>
          <w:lang w:eastAsia="en-AU"/>
        </w:rPr>
        <w:t xml:space="preserve">months respectively) and </w:t>
      </w:r>
      <w:r w:rsidRPr="00F01DDE">
        <w:t>TOF</w:t>
      </w:r>
      <w:r w:rsidRPr="00F01DDE">
        <w:rPr>
          <w:rFonts w:cs="TimesNewRoman"/>
          <w:color w:val="000000"/>
          <w:lang w:eastAsia="en-AU"/>
        </w:rPr>
        <w:t xml:space="preserve"> 10 mg BD (</w:t>
      </w:r>
      <w:r w:rsidR="008F2D59">
        <w:rPr>
          <w:rFonts w:cs="TimesNewRoman"/>
          <w:color w:val="000000"/>
          <w:lang w:eastAsia="en-AU"/>
        </w:rPr>
        <w:t xml:space="preserve">n = </w:t>
      </w:r>
      <w:r w:rsidR="00344583">
        <w:rPr>
          <w:rFonts w:cs="TimesNewRoman"/>
          <w:color w:val="000000"/>
          <w:lang w:eastAsia="en-AU"/>
        </w:rPr>
        <w:t xml:space="preserve">290 to </w:t>
      </w:r>
      <w:r w:rsidRPr="00F01DDE">
        <w:rPr>
          <w:rFonts w:cs="TimesNewRoman"/>
          <w:color w:val="000000"/>
          <w:lang w:eastAsia="en-AU"/>
        </w:rPr>
        <w:t xml:space="preserve">295 subjects; increase of 0.06 and 0.05 sharp units at 6 and 12 months </w:t>
      </w:r>
      <w:r w:rsidR="00344583">
        <w:rPr>
          <w:rFonts w:cs="TimesNewRoman"/>
          <w:color w:val="000000"/>
          <w:lang w:eastAsia="en-AU"/>
        </w:rPr>
        <w:t>respectively). Each of the pair</w:t>
      </w:r>
      <w:r w:rsidRPr="00F01DDE">
        <w:rPr>
          <w:rFonts w:cs="TimesNewRoman"/>
          <w:color w:val="000000"/>
          <w:lang w:eastAsia="en-AU"/>
        </w:rPr>
        <w:t xml:space="preserve">wise comparisons of each </w:t>
      </w:r>
      <w:r w:rsidRPr="00F01DDE">
        <w:t>TOF</w:t>
      </w:r>
      <w:r w:rsidRPr="00F01DDE">
        <w:rPr>
          <w:rFonts w:cs="TimesNewRoman"/>
          <w:color w:val="000000"/>
          <w:lang w:eastAsia="en-AU"/>
        </w:rPr>
        <w:t xml:space="preserve"> dose versus PBO at 6 and 12 months for the LS mean change from baseline in </w:t>
      </w:r>
      <w:proofErr w:type="spellStart"/>
      <w:r w:rsidRPr="00F01DDE">
        <w:rPr>
          <w:rFonts w:cs="TimesNewRoman"/>
          <w:color w:val="000000"/>
          <w:lang w:eastAsia="en-AU"/>
        </w:rPr>
        <w:t>mTSS</w:t>
      </w:r>
      <w:proofErr w:type="spellEnd"/>
      <w:r w:rsidRPr="00F01DDE">
        <w:rPr>
          <w:rFonts w:cs="TimesNewRoman"/>
          <w:color w:val="000000"/>
          <w:lang w:eastAsia="en-AU"/>
        </w:rPr>
        <w:t xml:space="preserve"> in the at-risk population were statistically significant, apart from </w:t>
      </w:r>
      <w:r w:rsidRPr="00F01DDE">
        <w:t>TOF</w:t>
      </w:r>
      <w:r w:rsidRPr="00F01DDE">
        <w:rPr>
          <w:rFonts w:cs="TimesNewRoman"/>
          <w:color w:val="000000"/>
          <w:lang w:eastAsia="en-AU"/>
        </w:rPr>
        <w:t xml:space="preserve"> 5 mg therapy versus control at 6 months for the high risk population of DAS28 [ESR] score </w:t>
      </w:r>
      <w:r w:rsidR="008F2D59">
        <w:rPr>
          <w:rFonts w:cs="TimesNewRoman"/>
          <w:color w:val="000000"/>
          <w:lang w:eastAsia="en-AU"/>
        </w:rPr>
        <w:t xml:space="preserve">&gt; </w:t>
      </w:r>
      <w:r w:rsidRPr="00F01DDE">
        <w:rPr>
          <w:rFonts w:cs="TimesNewRoman"/>
          <w:color w:val="000000"/>
          <w:lang w:eastAsia="en-AU"/>
        </w:rPr>
        <w:t>5.1 at baseline (</w:t>
      </w:r>
      <w:r w:rsidR="00BF3E77">
        <w:rPr>
          <w:rFonts w:cs="TimesNewRoman"/>
          <w:color w:val="000000"/>
          <w:lang w:eastAsia="en-AU"/>
        </w:rPr>
        <w:t>p = 0</w:t>
      </w:r>
      <w:r w:rsidRPr="00F01DDE">
        <w:rPr>
          <w:rFonts w:cs="TimesNewRoman"/>
          <w:color w:val="000000"/>
          <w:lang w:eastAsia="en-AU"/>
        </w:rPr>
        <w:t>.0975). Pair-wise treatment comparisons also examined the LS mean change from baseline at 6 months with increasing CRP strata levels at baseline (</w:t>
      </w:r>
      <w:r w:rsidR="008F2D59">
        <w:rPr>
          <w:rFonts w:cs="TimesNewRoman"/>
          <w:color w:val="000000"/>
          <w:lang w:eastAsia="en-AU"/>
        </w:rPr>
        <w:t xml:space="preserve">&gt; </w:t>
      </w:r>
      <w:r w:rsidRPr="00F01DDE">
        <w:rPr>
          <w:rFonts w:cs="TimesNewRoman"/>
          <w:color w:val="000000"/>
          <w:lang w:eastAsia="en-AU"/>
        </w:rPr>
        <w:t xml:space="preserve">3, </w:t>
      </w:r>
      <w:r w:rsidR="008F2D59">
        <w:rPr>
          <w:rFonts w:cs="TimesNewRoman"/>
          <w:color w:val="000000"/>
          <w:lang w:eastAsia="en-AU"/>
        </w:rPr>
        <w:t xml:space="preserve">&gt; </w:t>
      </w:r>
      <w:r w:rsidRPr="00F01DDE">
        <w:rPr>
          <w:rFonts w:cs="TimesNewRoman"/>
          <w:color w:val="000000"/>
          <w:lang w:eastAsia="en-AU"/>
        </w:rPr>
        <w:t xml:space="preserve">7, </w:t>
      </w:r>
      <w:r w:rsidR="00EE1D4A">
        <w:rPr>
          <w:rFonts w:cs="TimesNewRoman"/>
          <w:color w:val="000000"/>
          <w:lang w:eastAsia="en-AU"/>
        </w:rPr>
        <w:t>&gt; </w:t>
      </w:r>
      <w:r w:rsidRPr="00F01DDE">
        <w:rPr>
          <w:rFonts w:cs="TimesNewRoman"/>
          <w:color w:val="000000"/>
          <w:lang w:eastAsia="en-AU"/>
        </w:rPr>
        <w:t xml:space="preserve">10 and </w:t>
      </w:r>
      <w:r w:rsidR="00EE1D4A">
        <w:rPr>
          <w:rFonts w:cs="TimesNewRoman"/>
          <w:color w:val="000000"/>
          <w:lang w:eastAsia="en-AU"/>
        </w:rPr>
        <w:t>&gt;</w:t>
      </w:r>
      <w:r w:rsidR="008F2D59">
        <w:rPr>
          <w:rFonts w:cs="TimesNewRoman"/>
          <w:color w:val="000000"/>
          <w:lang w:eastAsia="en-AU"/>
        </w:rPr>
        <w:t xml:space="preserve"> 15</w:t>
      </w:r>
      <w:r w:rsidRPr="00F01DDE">
        <w:rPr>
          <w:rFonts w:cs="TimesNewRoman"/>
          <w:color w:val="000000"/>
          <w:lang w:eastAsia="en-AU"/>
        </w:rPr>
        <w:t xml:space="preserve"> mg/L) and showed there were greater differences between </w:t>
      </w:r>
      <w:r w:rsidRPr="00F01DDE">
        <w:t>TOF</w:t>
      </w:r>
      <w:r w:rsidRPr="00F01DDE">
        <w:rPr>
          <w:rFonts w:cs="TimesNewRoman"/>
          <w:color w:val="000000"/>
          <w:lang w:eastAsia="en-AU"/>
        </w:rPr>
        <w:t xml:space="preserve"> and PBO.</w:t>
      </w:r>
    </w:p>
    <w:p w:rsidR="00B34BFC" w:rsidRDefault="001963E2" w:rsidP="001963E2">
      <w:pPr>
        <w:autoSpaceDE w:val="0"/>
        <w:autoSpaceDN w:val="0"/>
        <w:spacing w:before="0" w:after="0" w:line="240" w:lineRule="auto"/>
        <w:rPr>
          <w:rFonts w:cs="TimesNewRoman"/>
          <w:color w:val="000000"/>
          <w:lang w:eastAsia="en-AU"/>
        </w:rPr>
      </w:pPr>
      <w:r w:rsidRPr="00EA62D8">
        <w:rPr>
          <w:rFonts w:cs="TimesNewRoman"/>
          <w:color w:val="000000"/>
          <w:lang w:eastAsia="en-AU"/>
        </w:rPr>
        <w:t>The mean changes</w:t>
      </w:r>
      <w:r>
        <w:rPr>
          <w:rFonts w:cs="TimesNewRoman"/>
          <w:color w:val="000000"/>
          <w:lang w:eastAsia="en-AU"/>
        </w:rPr>
        <w:t xml:space="preserve"> </w:t>
      </w:r>
      <w:r w:rsidRPr="00EA62D8">
        <w:rPr>
          <w:rFonts w:cs="TimesNewRoman"/>
          <w:color w:val="000000"/>
          <w:lang w:eastAsia="en-AU"/>
        </w:rPr>
        <w:t>from</w:t>
      </w:r>
      <w:r>
        <w:rPr>
          <w:rFonts w:cs="TimesNewRoman"/>
          <w:color w:val="000000"/>
          <w:lang w:eastAsia="en-AU"/>
        </w:rPr>
        <w:t xml:space="preserve"> b</w:t>
      </w:r>
      <w:r w:rsidRPr="00EA62D8">
        <w:rPr>
          <w:rFonts w:cs="TimesNewRoman"/>
          <w:color w:val="000000"/>
          <w:lang w:eastAsia="en-AU"/>
        </w:rPr>
        <w:t xml:space="preserve">aseline in </w:t>
      </w:r>
      <w:r>
        <w:rPr>
          <w:rFonts w:cs="TimesNewRoman"/>
          <w:color w:val="000000"/>
          <w:lang w:eastAsia="en-AU"/>
        </w:rPr>
        <w:t xml:space="preserve">JSN scores were numerically lower, but none statistically significant for both doses </w:t>
      </w:r>
      <w:r w:rsidRPr="00EA62D8">
        <w:rPr>
          <w:rFonts w:cs="TimesNewRoman"/>
          <w:color w:val="000000"/>
          <w:lang w:eastAsia="en-AU"/>
        </w:rPr>
        <w:t>of</w:t>
      </w:r>
      <w:r>
        <w:rPr>
          <w:rFonts w:cs="TimesNewRoman"/>
          <w:color w:val="000000"/>
          <w:lang w:eastAsia="en-AU"/>
        </w:rPr>
        <w:t xml:space="preserve"> </w:t>
      </w:r>
      <w:r>
        <w:t>TOF</w:t>
      </w:r>
      <w:r w:rsidRPr="00EA62D8">
        <w:rPr>
          <w:rFonts w:cs="TimesNewRoman"/>
          <w:color w:val="000000"/>
          <w:lang w:eastAsia="en-AU"/>
        </w:rPr>
        <w:t xml:space="preserve"> </w:t>
      </w:r>
      <w:r>
        <w:rPr>
          <w:rFonts w:cs="TimesNewRoman"/>
          <w:color w:val="000000"/>
          <w:lang w:eastAsia="en-AU"/>
        </w:rPr>
        <w:t>at 6, 12 and 24 months v</w:t>
      </w:r>
      <w:r w:rsidRPr="00EA62D8">
        <w:rPr>
          <w:rFonts w:cs="TimesNewRoman"/>
          <w:color w:val="000000"/>
          <w:lang w:eastAsia="en-AU"/>
        </w:rPr>
        <w:t>er</w:t>
      </w:r>
      <w:r>
        <w:rPr>
          <w:rFonts w:cs="TimesNewRoman"/>
          <w:color w:val="000000"/>
          <w:lang w:eastAsia="en-AU"/>
        </w:rPr>
        <w:t>sus the extrapolated PBO group</w:t>
      </w:r>
      <w:r w:rsidR="00B34BFC">
        <w:rPr>
          <w:rFonts w:cs="TimesNewRoman"/>
          <w:color w:val="000000"/>
          <w:lang w:eastAsia="en-AU"/>
        </w:rPr>
        <w:t>.</w:t>
      </w:r>
    </w:p>
    <w:p w:rsidR="001963E2" w:rsidRPr="00166EDE" w:rsidRDefault="001963E2" w:rsidP="001963E2">
      <w:pPr>
        <w:rPr>
          <w:lang w:eastAsia="en-AU"/>
        </w:rPr>
      </w:pPr>
      <w:r w:rsidRPr="00F01DDE">
        <w:rPr>
          <w:lang w:eastAsia="en-AU"/>
        </w:rPr>
        <w:t xml:space="preserve">The mean rates of progression in ES at months 6, 12 and 24 were similar for the </w:t>
      </w:r>
      <w:r w:rsidRPr="00F01DDE">
        <w:t>TOF</w:t>
      </w:r>
      <w:r w:rsidRPr="00F01DDE">
        <w:rPr>
          <w:lang w:eastAsia="en-AU"/>
        </w:rPr>
        <w:t xml:space="preserve"> 5 mg and extrapolated PBO groups, with a modest (non-statistically significant) improvement from baseline in the </w:t>
      </w:r>
      <w:r w:rsidRPr="00F01DDE">
        <w:t>TOF</w:t>
      </w:r>
      <w:r w:rsidRPr="00F01DDE">
        <w:rPr>
          <w:lang w:eastAsia="en-AU"/>
        </w:rPr>
        <w:t xml:space="preserve"> 10 mg group. The </w:t>
      </w:r>
      <w:r w:rsidR="00EE1D4A">
        <w:rPr>
          <w:lang w:eastAsia="en-AU"/>
        </w:rPr>
        <w:t>s</w:t>
      </w:r>
      <w:r w:rsidRPr="00F01DDE">
        <w:rPr>
          <w:lang w:eastAsia="en-AU"/>
        </w:rPr>
        <w:t xml:space="preserve">ponsor asserts that there was minimal change in mean ES in Campaign 2 for all three treatment groups and this may have diluted the beneficial treatment effect of </w:t>
      </w:r>
      <w:r w:rsidRPr="00F01DDE">
        <w:t>TOF</w:t>
      </w:r>
      <w:r w:rsidRPr="00F01DDE">
        <w:rPr>
          <w:lang w:eastAsia="en-AU"/>
        </w:rPr>
        <w:t xml:space="preserve"> for the development of joint erosions.</w:t>
      </w:r>
    </w:p>
    <w:p w:rsidR="00B34BFC" w:rsidRDefault="001963E2" w:rsidP="001963E2">
      <w:r>
        <w:t xml:space="preserve">No </w:t>
      </w:r>
      <w:r w:rsidR="0067104C">
        <w:t>x-ray</w:t>
      </w:r>
      <w:r w:rsidR="002D2F85">
        <w:t xml:space="preserve"> progression was defined as </w:t>
      </w:r>
      <w:r w:rsidR="008F2D59">
        <w:t xml:space="preserve">≤ </w:t>
      </w:r>
      <w:r>
        <w:t xml:space="preserve">0.5 unit increase </w:t>
      </w:r>
      <w:r w:rsidR="00344583">
        <w:t xml:space="preserve">from baseline in the relevant </w:t>
      </w:r>
      <w:r w:rsidR="0067104C">
        <w:t>x-rays</w:t>
      </w:r>
      <w:r>
        <w:t xml:space="preserve"> variable. </w:t>
      </w:r>
      <w:r>
        <w:rPr>
          <w:lang w:eastAsia="en-AU"/>
        </w:rPr>
        <w:t xml:space="preserve">Both </w:t>
      </w:r>
      <w:r>
        <w:t>TOF</w:t>
      </w:r>
      <w:r>
        <w:rPr>
          <w:lang w:eastAsia="en-AU"/>
        </w:rPr>
        <w:t xml:space="preserve"> treatment groups had similar percentag</w:t>
      </w:r>
      <w:r w:rsidRPr="00520973">
        <w:rPr>
          <w:lang w:eastAsia="en-AU"/>
        </w:rPr>
        <w:t>es of patients with no progression in</w:t>
      </w:r>
      <w:r>
        <w:rPr>
          <w:lang w:eastAsia="en-AU"/>
        </w:rPr>
        <w:t xml:space="preserve"> </w:t>
      </w:r>
      <w:proofErr w:type="spellStart"/>
      <w:r w:rsidRPr="00520973">
        <w:rPr>
          <w:lang w:eastAsia="en-AU"/>
        </w:rPr>
        <w:t>mTSS</w:t>
      </w:r>
      <w:proofErr w:type="spellEnd"/>
      <w:r w:rsidRPr="00520973">
        <w:rPr>
          <w:lang w:eastAsia="en-AU"/>
        </w:rPr>
        <w:t xml:space="preserve"> </w:t>
      </w:r>
      <w:r>
        <w:rPr>
          <w:lang w:eastAsia="en-AU"/>
        </w:rPr>
        <w:t>at 12 and 24 months</w:t>
      </w:r>
      <w:r w:rsidRPr="00520973">
        <w:rPr>
          <w:lang w:eastAsia="en-AU"/>
        </w:rPr>
        <w:t xml:space="preserve"> from </w:t>
      </w:r>
      <w:r>
        <w:rPr>
          <w:lang w:eastAsia="en-AU"/>
        </w:rPr>
        <w:t>b</w:t>
      </w:r>
      <w:r w:rsidRPr="00520973">
        <w:rPr>
          <w:lang w:eastAsia="en-AU"/>
        </w:rPr>
        <w:t>aseline</w:t>
      </w:r>
      <w:r>
        <w:t>. However, neither dose of TOF was statistically superior to the extrapolated PBO group for this outcome</w:t>
      </w:r>
      <w:r w:rsidR="00B34BFC">
        <w:t>.</w:t>
      </w:r>
    </w:p>
    <w:p w:rsidR="001963E2" w:rsidRDefault="001963E2" w:rsidP="001963E2">
      <w:pPr>
        <w:autoSpaceDE w:val="0"/>
        <w:autoSpaceDN w:val="0"/>
        <w:spacing w:before="0" w:after="0" w:line="240" w:lineRule="auto"/>
      </w:pPr>
      <w:r>
        <w:t>Similar findings were observed for the incidence of subjects with no progression in ES. At 12 months, the incidence of no ES progression was 89.9% (258</w:t>
      </w:r>
      <w:r w:rsidR="00BF3E77">
        <w:t xml:space="preserve"> out of </w:t>
      </w:r>
      <w:r>
        <w:t>287) in the TOF 5 mg group, 92.95% (277</w:t>
      </w:r>
      <w:r w:rsidR="00BF3E77">
        <w:t xml:space="preserve"> out of </w:t>
      </w:r>
      <w:r>
        <w:t>298) in the TOF 10 mg arm and 87.8% (122</w:t>
      </w:r>
      <w:r w:rsidR="00BF3E77">
        <w:t xml:space="preserve"> out of </w:t>
      </w:r>
      <w:r>
        <w:t xml:space="preserve">139) in the extrapolated PBO group. At 24 months, the incidence of no ES progression was 86.7% </w:t>
      </w:r>
      <w:r>
        <w:lastRenderedPageBreak/>
        <w:t>(249</w:t>
      </w:r>
      <w:r w:rsidR="00BF3E77">
        <w:t xml:space="preserve"> out of </w:t>
      </w:r>
      <w:r>
        <w:t>287) in the TOF 5 mg group, 89.9% (268/298) in the TOF 10 mg arm and 87.8% (122</w:t>
      </w:r>
      <w:r w:rsidR="00BF3E77">
        <w:t xml:space="preserve"> out of </w:t>
      </w:r>
      <w:r>
        <w:t>139) in the extrapolated PBO group.</w:t>
      </w:r>
    </w:p>
    <w:p w:rsidR="00344583" w:rsidRDefault="00344583" w:rsidP="00344583">
      <w:pPr>
        <w:pStyle w:val="Heading5"/>
      </w:pPr>
      <w:r w:rsidRPr="0047335A">
        <w:t>Study A3921069</w:t>
      </w:r>
    </w:p>
    <w:p w:rsidR="001963E2" w:rsidRDefault="001963E2" w:rsidP="001963E2">
      <w:r w:rsidRPr="00344583">
        <w:t xml:space="preserve">Study A3921069 was a </w:t>
      </w:r>
      <w:r w:rsidR="00B34BFC" w:rsidRPr="00344583">
        <w:t>Phase III</w:t>
      </w:r>
      <w:r w:rsidRPr="00344583">
        <w:t xml:space="preserve">, randomised, </w:t>
      </w:r>
      <w:r w:rsidR="008F2D59" w:rsidRPr="00344583">
        <w:t>double blind</w:t>
      </w:r>
      <w:r w:rsidRPr="00344583">
        <w:t>, parallel group trial of 2 years</w:t>
      </w:r>
      <w:r>
        <w:t xml:space="preserve"> duration in adult subjects wit</w:t>
      </w:r>
      <w:r w:rsidR="00810CB7">
        <w:t>h active RA who were MTX naïve (</w:t>
      </w:r>
      <w:r w:rsidR="008F2D59">
        <w:t xml:space="preserve">≤ </w:t>
      </w:r>
      <w:r>
        <w:t>3 prior weekly doses). Enrolled subjects were randomised in a 2:2:1 ratio to one of three parallel treatment sequences: TOF 5 mg BD, TOF 10 mg BD or up-titrated oral MTX therapy (10</w:t>
      </w:r>
      <w:r w:rsidR="00BF3E77">
        <w:t xml:space="preserve"> to </w:t>
      </w:r>
      <w:r>
        <w:t xml:space="preserve">20 mg/week). The MTX control group was maintained throughout the entire </w:t>
      </w:r>
      <w:r w:rsidR="008F2D59">
        <w:t>2 year</w:t>
      </w:r>
      <w:r>
        <w:t xml:space="preserve"> period. The study included 956 patients with active RA</w:t>
      </w:r>
      <w:r w:rsidRPr="003A457D">
        <w:t xml:space="preserve"> </w:t>
      </w:r>
      <w:r>
        <w:t>who were either naïve to MTX or had a history of minimal exposure to MTX.</w:t>
      </w:r>
    </w:p>
    <w:p w:rsidR="00B34BFC" w:rsidRDefault="001963E2" w:rsidP="001963E2">
      <w:r>
        <w:t xml:space="preserve">There were two primary efficacy objectives, one of which was the assessment of slowing the progression of structural damage (as measured by joint damage seen on sequential plain </w:t>
      </w:r>
      <w:r w:rsidR="0067104C">
        <w:t>x-rays</w:t>
      </w:r>
      <w:r>
        <w:t xml:space="preserve">). The other primary efficacy objective of Study A3921069 was the ACR70 response rate at 6 months which has previously been evaluated. A secondary objective of Study A3921069 was to evaluate the durability of various levels of ACR response, clinical remission (DAS28 score </w:t>
      </w:r>
      <w:r w:rsidR="008F2D59">
        <w:t xml:space="preserve">&lt; </w:t>
      </w:r>
      <w:r>
        <w:t xml:space="preserve">2.6) and low disease activity (DAS28 score </w:t>
      </w:r>
      <w:r w:rsidR="008F2D59">
        <w:t xml:space="preserve">&lt; </w:t>
      </w:r>
      <w:r>
        <w:t>3.2) with extended treatment follow-up</w:t>
      </w:r>
      <w:r w:rsidR="00B34BFC">
        <w:t>.</w:t>
      </w:r>
    </w:p>
    <w:p w:rsidR="001963E2" w:rsidRDefault="001963E2" w:rsidP="001963E2">
      <w:r>
        <w:t xml:space="preserve">Plain </w:t>
      </w:r>
      <w:r w:rsidR="00344583">
        <w:t>x-rays</w:t>
      </w:r>
      <w:r>
        <w:t xml:space="preserve"> were read in two distinct campaigns. Campaign 1 involved the reading of </w:t>
      </w:r>
      <w:r w:rsidR="00344583">
        <w:t>x-rays</w:t>
      </w:r>
      <w:r>
        <w:t xml:space="preserve"> up to 12 months. For Campaign 2, all </w:t>
      </w:r>
      <w:r w:rsidR="00344583">
        <w:t>x-rays</w:t>
      </w:r>
      <w:r w:rsidR="00EE1D4A">
        <w:t xml:space="preserve"> up 24 months were re-read by 2 </w:t>
      </w:r>
      <w:r>
        <w:t>independent, blinded readers.</w:t>
      </w:r>
    </w:p>
    <w:p w:rsidR="001963E2" w:rsidRDefault="001963E2" w:rsidP="001963E2">
      <w:r>
        <w:t>A higher proportion of subjects in each TOF treatment group (71.3% in the TOF 5 mg group and 71.7% in the TOF 10 mg arm) completed 2 years of treatment compared to those in the MTX treatment group (57.0%). A total of 298 subjects (31.2%) discontinued from the trial, which included 101 patients (10.6%) withdrawing due to AEs (66 were treatment related AEs). There was a higher rate of discontinuation due to lack of efficacy in patients treated with MTX (14.0%) compared to TOF. At 2 years, the higher dose of TOF recorded the lowest rate of discontinuation due to lack of efficacy (2.8% for 10 mg BD versus 5.4% for 5 mg BD).</w:t>
      </w:r>
    </w:p>
    <w:p w:rsidR="00B34BFC" w:rsidRDefault="001963E2" w:rsidP="001963E2">
      <w:pPr>
        <w:autoSpaceDE w:val="0"/>
        <w:autoSpaceDN w:val="0"/>
      </w:pPr>
      <w:r>
        <w:t>The three treatment groups were well balanced with respect to demographic characteristics. The majority of patients were female (79.3%; 758</w:t>
      </w:r>
      <w:r w:rsidR="00BF3E77">
        <w:t xml:space="preserve"> out of </w:t>
      </w:r>
      <w:r>
        <w:t>956) and the most frequent races recorded were White (66.1%; 632</w:t>
      </w:r>
      <w:r w:rsidR="00BF3E77">
        <w:t xml:space="preserve"> out of </w:t>
      </w:r>
      <w:r>
        <w:t>956) and Asian (17.2%; 164</w:t>
      </w:r>
      <w:r w:rsidR="00BF3E77">
        <w:t xml:space="preserve"> out of </w:t>
      </w:r>
      <w:r>
        <w:t>956). Across the three treatment groups, the mean age of patients ranged from 48.8 years in the MTX group to 50.3 years in the TOF 5 mg arm (overall age range 18 to 83 years). The majority of recruited subjects were aged between 45 and 64 years (57.8%; 553</w:t>
      </w:r>
      <w:r w:rsidR="00BF3E77">
        <w:t xml:space="preserve"> out of </w:t>
      </w:r>
      <w:r>
        <w:t xml:space="preserve">956) with a small percentage of subjects aged </w:t>
      </w:r>
      <w:r w:rsidR="00EE1D4A">
        <w:t>≥</w:t>
      </w:r>
      <w:r w:rsidR="008F2D59" w:rsidRPr="00EE1D4A">
        <w:t xml:space="preserve"> </w:t>
      </w:r>
      <w:r>
        <w:t>65 years (10.8%; 103</w:t>
      </w:r>
      <w:r w:rsidR="00BF3E77">
        <w:t xml:space="preserve"> out of </w:t>
      </w:r>
      <w:r>
        <w:t>956)</w:t>
      </w:r>
      <w:r w:rsidR="00B34BFC">
        <w:t>.</w:t>
      </w:r>
    </w:p>
    <w:p w:rsidR="001963E2" w:rsidRDefault="001963E2" w:rsidP="001963E2">
      <w:pPr>
        <w:autoSpaceDE w:val="0"/>
        <w:autoSpaceDN w:val="0"/>
      </w:pPr>
      <w:r>
        <w:t xml:space="preserve">The treatment groups were similar with respect to baseline RA disease characteristics. The mean (and median) duration of RA was 2.9 years (0.8 years) in the TOF 5 mg group, 3.4 years (0.8 years) in the TOF 10 mg arm and 2.7 years (0.7 years) in </w:t>
      </w:r>
      <w:r w:rsidR="00EE1D4A">
        <w:t xml:space="preserve">the MTX range (overall range: 0 to </w:t>
      </w:r>
      <w:r>
        <w:t>44 years). All patients were to have moderate to severely active RA with joint erosions or positive RF or positive anti-CCP antibodies at enrolment. These characteristics were meant to enrich the study population for they are associated with high risk of structural damage. The majority of patients were seropositive for RA at baseline (82.4% [788</w:t>
      </w:r>
      <w:r w:rsidR="00BF3E77">
        <w:t xml:space="preserve"> out of </w:t>
      </w:r>
      <w:r>
        <w:t>956] were positive for RF and 83.7% [800</w:t>
      </w:r>
      <w:r w:rsidR="00BF3E77">
        <w:t xml:space="preserve"> out of </w:t>
      </w:r>
      <w:r>
        <w:t>956] were positive for anti-CCP antibodies). It was unclear what proportion of subjects met the inclusion criterion of radiographic erosion present at baseline.</w:t>
      </w:r>
    </w:p>
    <w:p w:rsidR="001963E2" w:rsidRPr="0088558C" w:rsidRDefault="001963E2" w:rsidP="00344583">
      <w:pPr>
        <w:pStyle w:val="Heading6"/>
      </w:pPr>
      <w:r w:rsidRPr="0088558C">
        <w:t>Results for the radiographic efficacy outcomes</w:t>
      </w:r>
    </w:p>
    <w:p w:rsidR="00B34BFC" w:rsidRDefault="001963E2" w:rsidP="001963E2">
      <w:pPr>
        <w:autoSpaceDE w:val="0"/>
        <w:autoSpaceDN w:val="0"/>
      </w:pPr>
      <w:r>
        <w:t>Statistically significant differences (</w:t>
      </w:r>
      <w:r w:rsidR="00B34BFC">
        <w:t xml:space="preserve">that is </w:t>
      </w:r>
      <w:r>
        <w:t xml:space="preserve">smaller increases) in the LS mean change from baseline in the </w:t>
      </w:r>
      <w:proofErr w:type="spellStart"/>
      <w:r>
        <w:t>mTSS</w:t>
      </w:r>
      <w:proofErr w:type="spellEnd"/>
      <w:r>
        <w:t xml:space="preserve"> were observed for both doses of TOF versus MTX at 6, 1</w:t>
      </w:r>
      <w:r w:rsidR="00344583">
        <w:t>2 and 24 </w:t>
      </w:r>
      <w:r>
        <w:t xml:space="preserve">months. At 24 months, both doses of TOF </w:t>
      </w:r>
      <w:r w:rsidR="00810CB7">
        <w:t xml:space="preserve">were observed to have </w:t>
      </w:r>
      <w:r w:rsidR="008F2D59">
        <w:t xml:space="preserve">≤ </w:t>
      </w:r>
      <w:r w:rsidR="00344583">
        <w:t>0.5 sharp unit LS </w:t>
      </w:r>
      <w:r>
        <w:t xml:space="preserve">mean increase from baseline in </w:t>
      </w:r>
      <w:proofErr w:type="spellStart"/>
      <w:r>
        <w:t>mTSS</w:t>
      </w:r>
      <w:proofErr w:type="spellEnd"/>
      <w:r>
        <w:t xml:space="preserve"> compared to just over 2 sharp units recorded in </w:t>
      </w:r>
      <w:r>
        <w:lastRenderedPageBreak/>
        <w:t xml:space="preserve">the MTX group. At baseline, the </w:t>
      </w:r>
      <w:proofErr w:type="spellStart"/>
      <w:r>
        <w:t>mTSS</w:t>
      </w:r>
      <w:proofErr w:type="spellEnd"/>
      <w:r>
        <w:t xml:space="preserve"> scores ranged between 16.5 and 20.3 sharp units, so the absolute change from baseline was small in magnitude for all 3 treatment groups</w:t>
      </w:r>
      <w:r w:rsidR="00B34BFC">
        <w:t>.</w:t>
      </w:r>
    </w:p>
    <w:p w:rsidR="00B34BFC" w:rsidRDefault="001963E2" w:rsidP="001963E2">
      <w:r>
        <w:t xml:space="preserve">The total change in </w:t>
      </w:r>
      <w:proofErr w:type="spellStart"/>
      <w:r>
        <w:t>mTSS</w:t>
      </w:r>
      <w:proofErr w:type="spellEnd"/>
      <w:r>
        <w:t xml:space="preserve"> over 2 years was equally accounted for by each component score in the MTX group, and predominantly by changes over time in the JSN score for both TOF treatment groups. There was minimal change from baseline over 2 years in the ES for both TOF treatment groups, but the ES incremented upwards by almost 1 sharp unit for subjects treated with MTX. For the LS mean change from baseline over 2 years in</w:t>
      </w:r>
      <w:r w:rsidR="00344583">
        <w:t xml:space="preserve"> the JSN score, there was a 0.2 to </w:t>
      </w:r>
      <w:r>
        <w:t xml:space="preserve">0.4 sharp unit increase for the TOF treatment groups and </w:t>
      </w:r>
      <w:r w:rsidR="00344583">
        <w:t>&gt; 1 </w:t>
      </w:r>
      <w:r>
        <w:t>sharp unit increase for the MTX arm</w:t>
      </w:r>
      <w:r w:rsidR="00B34BFC">
        <w:t>.</w:t>
      </w:r>
    </w:p>
    <w:p w:rsidR="00B34BFC" w:rsidRDefault="001963E2" w:rsidP="001963E2">
      <w:r>
        <w:t xml:space="preserve">Both doses of TOF showed statistically higher rates of patients with no </w:t>
      </w:r>
      <w:r w:rsidR="0067104C">
        <w:t>x-ray</w:t>
      </w:r>
      <w:r>
        <w:t xml:space="preserve"> progression compared to MTX at 6, 12 and 24 months. At 24 months, 79.9% (278</w:t>
      </w:r>
      <w:r w:rsidR="00BF3E77">
        <w:t xml:space="preserve"> out of </w:t>
      </w:r>
      <w:r>
        <w:t>348) of patients treated with TOF 5 mg BD and 83.65% (312</w:t>
      </w:r>
      <w:r w:rsidR="00BF3E77">
        <w:t xml:space="preserve"> out of </w:t>
      </w:r>
      <w:r>
        <w:t xml:space="preserve">373) of subjects treated with TOF 10 mg BD recorded a </w:t>
      </w:r>
      <w:r w:rsidR="00810CB7">
        <w:t xml:space="preserve">change from baseline in </w:t>
      </w:r>
      <w:proofErr w:type="spellStart"/>
      <w:r w:rsidR="00810CB7">
        <w:t>mTSS</w:t>
      </w:r>
      <w:proofErr w:type="spellEnd"/>
      <w:r w:rsidR="00810CB7">
        <w:t xml:space="preserve"> of </w:t>
      </w:r>
      <w:r w:rsidR="008F2D59">
        <w:t xml:space="preserve">≤ </w:t>
      </w:r>
      <w:r>
        <w:t>0.5 sharp units compared with 64.9% (111</w:t>
      </w:r>
      <w:r w:rsidR="00BF3E77">
        <w:t xml:space="preserve"> out of </w:t>
      </w:r>
      <w:r>
        <w:t>171) treated with MTX</w:t>
      </w:r>
      <w:r w:rsidR="00B34BFC">
        <w:t>.</w:t>
      </w:r>
    </w:p>
    <w:p w:rsidR="001963E2" w:rsidRPr="0047335A" w:rsidRDefault="001963E2" w:rsidP="00344583">
      <w:pPr>
        <w:pStyle w:val="Heading6"/>
      </w:pPr>
      <w:r w:rsidRPr="0047335A">
        <w:t>Results for the clinical efficacy outcomes</w:t>
      </w:r>
    </w:p>
    <w:p w:rsidR="00B34BFC" w:rsidRDefault="001963E2" w:rsidP="001963E2">
      <w:r>
        <w:t>ACR70 response rates over time (up to 24 months) were statistically higher (p</w:t>
      </w:r>
      <w:r w:rsidR="00EE1D4A">
        <w:t xml:space="preserve"> ≤ </w:t>
      </w:r>
      <w:r>
        <w:t>0.0002) for both doses of TOF versus MTX at all measured time points from 1 month to 24 months. At 24 months, the rate of ACR70 response was 34.4% (127</w:t>
      </w:r>
      <w:r w:rsidR="00BF3E77">
        <w:t xml:space="preserve"> out of </w:t>
      </w:r>
      <w:r>
        <w:t>369) in the TOF 5 mg group, 37.6% (148</w:t>
      </w:r>
      <w:r w:rsidR="00BF3E77">
        <w:t xml:space="preserve"> out of </w:t>
      </w:r>
      <w:r>
        <w:t>394) in the TOF 10 mg arm and 15.2% (28</w:t>
      </w:r>
      <w:r w:rsidR="00BF3E77">
        <w:t xml:space="preserve"> out of </w:t>
      </w:r>
      <w:r>
        <w:t>184) in the MTX group. In addition, the rate of sustained ACR70 response over 24 months (</w:t>
      </w:r>
      <w:r w:rsidR="00B34BFC">
        <w:t xml:space="preserve">that is </w:t>
      </w:r>
      <w:r>
        <w:t>at least 6 continuous months of ACR70 response) was higher in the TOF 5 mg BD group at 28.4%(106</w:t>
      </w:r>
      <w:r w:rsidR="00BF3E77">
        <w:t xml:space="preserve"> out of </w:t>
      </w:r>
      <w:r>
        <w:t>373) and 38.5% (153</w:t>
      </w:r>
      <w:r w:rsidR="00BF3E77">
        <w:t xml:space="preserve"> out of </w:t>
      </w:r>
      <w:r>
        <w:t>397) in the TOF 10 mg BD arm compared to 14.0% (26</w:t>
      </w:r>
      <w:r w:rsidR="00BF3E77">
        <w:t xml:space="preserve"> out of </w:t>
      </w:r>
      <w:r>
        <w:t>186) in the MTX group</w:t>
      </w:r>
      <w:r w:rsidR="00B34BFC">
        <w:t>.</w:t>
      </w:r>
    </w:p>
    <w:p w:rsidR="00B34BFC" w:rsidRDefault="001963E2" w:rsidP="001963E2">
      <w:r>
        <w:t>Up to 24 months of follow-up, the rates of ACR20 and ACR50 response, the mean changes from baseline in HAQ-DI scores, rates of DAS28 remission (score</w:t>
      </w:r>
      <w:r w:rsidR="00810CB7">
        <w:t xml:space="preserve"> </w:t>
      </w:r>
      <w:r w:rsidR="008F2D59">
        <w:t xml:space="preserve">&lt; </w:t>
      </w:r>
      <w:r>
        <w:t>2.6)</w:t>
      </w:r>
      <w:r w:rsidR="00BE0162">
        <w:t xml:space="preserve"> and low disease activity (score </w:t>
      </w:r>
      <w:r w:rsidR="008F2D59">
        <w:t xml:space="preserve">≤ </w:t>
      </w:r>
      <w:r>
        <w:t>3.2) demonstrate maintenance of treatment benefit with both doses of TOF compared to MTX at all time points commencing at 1 month. The rate of ACR20 response was 69.9% (258</w:t>
      </w:r>
      <w:r w:rsidR="00BF3E77">
        <w:t xml:space="preserve"> out of </w:t>
      </w:r>
      <w:r>
        <w:t>369) at 3 months with TOF 5 mg BD therapy and remained between 64% and 72% at all time points between 3 and 24 months. For the TOF 10 mg BD group the rate of ACR20 response at 3 months was 77.9% (307</w:t>
      </w:r>
      <w:r w:rsidR="00BF3E77">
        <w:t xml:space="preserve"> out of </w:t>
      </w:r>
      <w:r>
        <w:t>394) and remained between 62% and 76% between 3 and 24 months. In contrast, the ACR20 response rate was 51.6% (95</w:t>
      </w:r>
      <w:r w:rsidR="00BF3E77">
        <w:t xml:space="preserve"> out of </w:t>
      </w:r>
      <w:r>
        <w:t>184) in the MTX arm at 3 months and remained between 42% and 55% between 3 and 24 months</w:t>
      </w:r>
      <w:r w:rsidR="00B34BFC">
        <w:t>.</w:t>
      </w:r>
    </w:p>
    <w:p w:rsidR="001963E2" w:rsidRDefault="001963E2" w:rsidP="001963E2">
      <w:r>
        <w:t>The mean changes (improvement) from baseline in HAQ-DI scores appeared to reach their maximal response at 6 months in each of the treatment groups and thereafter plateau. At 6 months, the mean improvements from baseline in the HAQ-DI score were -0.6 in the MTX group, -0.8 in the TOF 5 mg arm and -0.9 in the TOF 10 mg group.</w:t>
      </w:r>
    </w:p>
    <w:p w:rsidR="00B34BFC" w:rsidRDefault="001963E2" w:rsidP="001963E2">
      <w:r>
        <w:t>The proportion of patients achieving</w:t>
      </w:r>
      <w:r w:rsidR="00810CB7">
        <w:t xml:space="preserve"> DAS28 (ESR) scores of </w:t>
      </w:r>
      <w:r w:rsidR="008F2D59">
        <w:t xml:space="preserve">&lt; </w:t>
      </w:r>
      <w:r w:rsidR="00810CB7">
        <w:t xml:space="preserve">2.6 and </w:t>
      </w:r>
      <w:r w:rsidR="008F2D59">
        <w:t xml:space="preserve">≤ </w:t>
      </w:r>
      <w:r>
        <w:t>3.2 were also statistically greater in both TOF groups compared to the MTX arm, however, the response rate curves appear to be numerically higher for the higher (non-approved) TOF dose versus 5 mg BD for both endpoints at all measured time points apart from 24 months</w:t>
      </w:r>
      <w:r w:rsidR="00B34BFC">
        <w:t>.</w:t>
      </w:r>
    </w:p>
    <w:p w:rsidR="00B34BFC" w:rsidRDefault="001963E2" w:rsidP="001963E2">
      <w:r>
        <w:t xml:space="preserve">The </w:t>
      </w:r>
      <w:r w:rsidR="0067104C">
        <w:t>x-ray</w:t>
      </w:r>
      <w:r>
        <w:t xml:space="preserve"> results of Campaign 2 (pre-specified analysis) were consistent with the results of Campaign 1, demonstrating that both doses of TOF monotherapy (5 mg and 10 mg BD) were statistically superior compared with MTX in a first line treatment population (</w:t>
      </w:r>
      <w:r w:rsidR="00B34BFC">
        <w:t xml:space="preserve">that is </w:t>
      </w:r>
      <w:r>
        <w:t>mostly MTX naïve subjects) for all primary and secondar</w:t>
      </w:r>
      <w:r w:rsidR="00EE1D4A">
        <w:t>y radiographic endpoints over 2 </w:t>
      </w:r>
      <w:r>
        <w:t>years of treatment follow-up</w:t>
      </w:r>
      <w:r w:rsidR="00B34BFC">
        <w:t>.</w:t>
      </w:r>
    </w:p>
    <w:p w:rsidR="00344583" w:rsidRDefault="00344583" w:rsidP="0067104C">
      <w:pPr>
        <w:pStyle w:val="Heading5"/>
      </w:pPr>
      <w:r w:rsidRPr="0047335A">
        <w:t>Study A3921068</w:t>
      </w:r>
    </w:p>
    <w:p w:rsidR="00B34BFC" w:rsidRDefault="001963E2" w:rsidP="001963E2">
      <w:r w:rsidRPr="0067104C">
        <w:t>Study A3921068 was</w:t>
      </w:r>
      <w:r>
        <w:t xml:space="preserve"> an exploratory </w:t>
      </w:r>
      <w:r w:rsidR="00B34BFC">
        <w:t>Phase II</w:t>
      </w:r>
      <w:r>
        <w:t xml:space="preserve">, randomised, </w:t>
      </w:r>
      <w:r w:rsidR="008F2D59">
        <w:t>double blind</w:t>
      </w:r>
      <w:r>
        <w:t>, parallel group trial in MTX naïve subjects with early active RA (</w:t>
      </w:r>
      <w:r w:rsidR="008F2D59">
        <w:t xml:space="preserve">≤ </w:t>
      </w:r>
      <w:r>
        <w:t xml:space="preserve">2 years since diagnosis) which had the primary objective of assessing the effect of TOF 10 mg BD as monotherapy or in </w:t>
      </w:r>
      <w:r>
        <w:lastRenderedPageBreak/>
        <w:t>combination with MTX versus MTX alone on MRI endpoints at 3 and 6 months. Subjects were randomised in a 1:1:1 design to receive either TOF 10 mg BD plus up-titrated weekly MTX, TOF 10 mg BD with weekly PBO MTX tablets, or PBO tofacitinib tablets BD with weekly MTX therapy. After a screening period of up to 28 days, randomised subjects were scheduled to attend 6 post-baseline visits (months 1, 2, 3, 6, 9 and 12)</w:t>
      </w:r>
      <w:r w:rsidR="00B34BFC">
        <w:t>.</w:t>
      </w:r>
    </w:p>
    <w:p w:rsidR="00B34BFC" w:rsidRDefault="001963E2" w:rsidP="001963E2">
      <w:r w:rsidRPr="00446CF6">
        <w:t>To be eligible for inclusion</w:t>
      </w:r>
      <w:r>
        <w:t xml:space="preserve">, patients were required to be at least 18 years of age with a diagnosis of RA of </w:t>
      </w:r>
      <w:r w:rsidR="008F2D59">
        <w:t xml:space="preserve">≤ </w:t>
      </w:r>
      <w:r>
        <w:t>2 years duration, which was active at the time of enrolment (</w:t>
      </w:r>
      <w:r w:rsidR="008F2D59">
        <w:t xml:space="preserve">&gt; </w:t>
      </w:r>
      <w:r>
        <w:t>6 tender and swollen joints plus at least one ra</w:t>
      </w:r>
      <w:r w:rsidR="00EE1D4A">
        <w:t>ised serum inflammatory marker;</w:t>
      </w:r>
      <w:r>
        <w:t xml:space="preserve"> ESR </w:t>
      </w:r>
      <w:r w:rsidR="00EE1D4A">
        <w:t>&gt; 28 </w:t>
      </w:r>
      <w:r>
        <w:t xml:space="preserve">mm/hour and CRP </w:t>
      </w:r>
      <w:r w:rsidR="008F2D59">
        <w:t xml:space="preserve">&gt; </w:t>
      </w:r>
      <w:r>
        <w:t xml:space="preserve">7 mg/L). Patients were required to be naïve to MTX and have unequivocal evidence of at least one joint erosion on hand and wrist </w:t>
      </w:r>
      <w:r w:rsidR="0067104C">
        <w:t>x-ray</w:t>
      </w:r>
      <w:r>
        <w:t xml:space="preserve"> at screening. Subjects were also required to have evidence of clinical synovitis of an index wrist or MCP joint at screening and baseline</w:t>
      </w:r>
      <w:r w:rsidR="00B34BFC">
        <w:t>.</w:t>
      </w:r>
    </w:p>
    <w:p w:rsidR="001963E2" w:rsidRDefault="001963E2" w:rsidP="001963E2">
      <w:r>
        <w:t>The primary efficacy endpoints were: (1) the change from baseline in the OMERACT RAMRIS wrist and MCP bo</w:t>
      </w:r>
      <w:r w:rsidR="00584450">
        <w:t xml:space="preserve">ne marrow oedema score (range 0 to </w:t>
      </w:r>
      <w:r>
        <w:t>75) at 6 months, and (2) the change from baseline in the OMERACT RAMRIS wrist a</w:t>
      </w:r>
      <w:r w:rsidR="00584450">
        <w:t xml:space="preserve">nd MCP synovitis score (range 0 to </w:t>
      </w:r>
      <w:r>
        <w:t xml:space="preserve">24) at 3 months. Secondary efficacy endpoints included structure related outcomes such as the change from baseline in the </w:t>
      </w:r>
      <w:proofErr w:type="spellStart"/>
      <w:r>
        <w:t>mTSS</w:t>
      </w:r>
      <w:proofErr w:type="spellEnd"/>
      <w:r>
        <w:t xml:space="preserve"> and its components (ES and JSN score) on plain </w:t>
      </w:r>
      <w:r w:rsidR="00344583">
        <w:t>x-rays</w:t>
      </w:r>
      <w:r>
        <w:t xml:space="preserve"> at 6 and 12 months, RAMRIS bone marrow oedema and synovitis scores at other time points, LS mean change from baseline over time in the RAMRIS erosion score, as well as clinical response measures such as ACR20/50/70 response rates and the mean change from baseline in DAS28 score.</w:t>
      </w:r>
    </w:p>
    <w:p w:rsidR="00B34BFC" w:rsidRDefault="001963E2" w:rsidP="001963E2">
      <w:r>
        <w:t>A total of 241 subjects were screened for inclusion, and 1</w:t>
      </w:r>
      <w:r w:rsidR="00584450">
        <w:t>09 patients were randomised: 36 </w:t>
      </w:r>
      <w:r>
        <w:t>subjects to each of the TOF treatment groups, and 37 subjects were randomised to the MTX alone arm. The majority of subjects in the TOF treatment groups (</w:t>
      </w:r>
      <w:r w:rsidR="008F2D59">
        <w:t xml:space="preserve">n = </w:t>
      </w:r>
      <w:r w:rsidR="00584450">
        <w:t xml:space="preserve">27 to 28; 75 to </w:t>
      </w:r>
      <w:r>
        <w:t>78% of 36) completed the study, but there was a significantly lower rate of completion in the MTX arm (56.8%; 21</w:t>
      </w:r>
      <w:r w:rsidR="00BF3E77">
        <w:t xml:space="preserve"> out of </w:t>
      </w:r>
      <w:r>
        <w:t>37). A total of 16 patients prematurely discontinued from the MTX arm, 6 due to insufficient clinical response (versus no subjects in either TOF arm), 5 because of AEs (versus 2 subjects in the TOF monotherapy group and 4 in the TOF</w:t>
      </w:r>
      <w:r w:rsidR="00584450">
        <w:t xml:space="preserve"> </w:t>
      </w:r>
      <w:r>
        <w:t>+</w:t>
      </w:r>
      <w:r w:rsidR="00584450">
        <w:t xml:space="preserve"> </w:t>
      </w:r>
      <w:r>
        <w:t>MTX arm), 3 withdrew consent (versus 5 in the TOF alone group and 2 in the TOF</w:t>
      </w:r>
      <w:r w:rsidR="00584450">
        <w:t xml:space="preserve"> </w:t>
      </w:r>
      <w:r>
        <w:t>+</w:t>
      </w:r>
      <w:r w:rsidR="00584450">
        <w:t xml:space="preserve"> </w:t>
      </w:r>
      <w:r>
        <w:t>MTX group) and 2 encountered protocol violations</w:t>
      </w:r>
      <w:r w:rsidR="00B34BFC">
        <w:t>.</w:t>
      </w:r>
    </w:p>
    <w:p w:rsidR="00B34BFC" w:rsidRDefault="001963E2" w:rsidP="001963E2">
      <w:r>
        <w:t>The three treatment groups were reasonably well matched for baseline features. The majority of enrolled patients were female (82.6%; 90</w:t>
      </w:r>
      <w:r w:rsidR="00BF3E77">
        <w:t xml:space="preserve"> out of </w:t>
      </w:r>
      <w:r>
        <w:t>109) and Caucasian (55.0%; 60</w:t>
      </w:r>
      <w:r w:rsidR="00BF3E77">
        <w:t xml:space="preserve"> out of </w:t>
      </w:r>
      <w:r>
        <w:t>109). The mean age was 47.8 years in the TOF</w:t>
      </w:r>
      <w:r w:rsidR="00584450">
        <w:t xml:space="preserve"> </w:t>
      </w:r>
      <w:r>
        <w:t>+</w:t>
      </w:r>
      <w:r w:rsidR="00584450">
        <w:t xml:space="preserve"> </w:t>
      </w:r>
      <w:r>
        <w:t>MTX and MTX groups and 50.8 years in the</w:t>
      </w:r>
      <w:r w:rsidR="00584450">
        <w:t xml:space="preserve"> TOF monotherapy arm (range: 24 to </w:t>
      </w:r>
      <w:r>
        <w:t>79 years). The mean duration of RA since first diagnosis was 0.8 years in the both TOF groups and 0.6 years in the MTX alone arm</w:t>
      </w:r>
      <w:r w:rsidR="00B34BFC">
        <w:t>.</w:t>
      </w:r>
    </w:p>
    <w:p w:rsidR="001963E2" w:rsidRPr="00BB00DA" w:rsidRDefault="001963E2" w:rsidP="0067104C">
      <w:pPr>
        <w:pStyle w:val="Heading6"/>
      </w:pPr>
      <w:r w:rsidRPr="00BB00DA">
        <w:t xml:space="preserve">Efficacy </w:t>
      </w:r>
      <w:r w:rsidR="00387362">
        <w:t>r</w:t>
      </w:r>
      <w:r w:rsidRPr="00BB00DA">
        <w:t>esults</w:t>
      </w:r>
    </w:p>
    <w:p w:rsidR="001963E2" w:rsidRPr="000A7218" w:rsidRDefault="001963E2" w:rsidP="0067104C">
      <w:pPr>
        <w:pStyle w:val="Heading7"/>
      </w:pPr>
      <w:r w:rsidRPr="000A7218">
        <w:t xml:space="preserve">Primary MRI </w:t>
      </w:r>
      <w:r w:rsidR="00387362">
        <w:t>e</w:t>
      </w:r>
      <w:r w:rsidRPr="000A7218">
        <w:t>ndpoints</w:t>
      </w:r>
    </w:p>
    <w:p w:rsidR="001963E2" w:rsidRDefault="001963E2" w:rsidP="001963E2">
      <w:r>
        <w:t>At 6 months, the LS mean decrease from baseline in the RAMRIS wrist and MCP bone marrow oedema score (range: 0-75) was -1.26 for the TOF+MTX group and -1.45 for TOF monotherapy arm versus 0.29 for MTX control group. The treatment related difference in the LS mean change from baseline in the RAMRIS bone marrow oedema score was -1.55 (90% CI -2.52, -0.58) for TOF+MTX and -1.74 (90% CI -2.72, -0.76) for TOF alone versus MTX, both of which were statistically significant (</w:t>
      </w:r>
      <w:r w:rsidR="00BF3E77">
        <w:t>p = 0</w:t>
      </w:r>
      <w:r>
        <w:t xml:space="preserve">.0089 and </w:t>
      </w:r>
      <w:r w:rsidR="00BF3E77">
        <w:t>p = 0</w:t>
      </w:r>
      <w:r>
        <w:t>.0038, respectively).</w:t>
      </w:r>
    </w:p>
    <w:p w:rsidR="001963E2" w:rsidRDefault="001963E2" w:rsidP="001963E2">
      <w:r>
        <w:t>At 3 months, the LS mean decrease from baseline in the RAMRIS wrist an</w:t>
      </w:r>
      <w:r w:rsidR="00344583">
        <w:t xml:space="preserve">d MCP synovitis score (range: 0 to </w:t>
      </w:r>
      <w:r>
        <w:t>24) was -0.80 for the TOF+MTX group and -0.69 for TOF monotherapy arm versus -0.17 for MTX control group. The treatment related difference in the LS mean change from baseline in the RAMRIS synovitis score was -0.63 (90% CI -1.58, 0.31) for TOF+MTX and -0.52 (90% CI -1.46, 0.41) for TOF alone versus MTX, neither of which were statistically significant.</w:t>
      </w:r>
    </w:p>
    <w:p w:rsidR="001963E2" w:rsidRPr="006976CF" w:rsidRDefault="001963E2" w:rsidP="0067104C">
      <w:pPr>
        <w:pStyle w:val="Heading7"/>
      </w:pPr>
      <w:r w:rsidRPr="006976CF">
        <w:lastRenderedPageBreak/>
        <w:t xml:space="preserve">Secondary X-Ray </w:t>
      </w:r>
      <w:r w:rsidR="00387362">
        <w:t>e</w:t>
      </w:r>
      <w:r w:rsidRPr="006976CF">
        <w:t>ndpoints</w:t>
      </w:r>
    </w:p>
    <w:p w:rsidR="001963E2" w:rsidRDefault="001963E2" w:rsidP="001963E2">
      <w:r>
        <w:t xml:space="preserve">In the MMRM </w:t>
      </w:r>
      <w:r w:rsidR="00344583">
        <w:t>analysis at other time points (M</w:t>
      </w:r>
      <w:r>
        <w:t>onths 1, 3 and 12), the LS mean changes from baseline in the RAMRIS bone marrow oedema score</w:t>
      </w:r>
      <w:r w:rsidR="0057574B">
        <w:t>s</w:t>
      </w:r>
      <w:r>
        <w:t xml:space="preserve"> were statistically significant in favour of both TOF treatment groups versus MTX alone at 3 and 12 months, but not at 1 month. The LS mean changes from baseline in the RAMRIS synovitis scores were statistically significant in favour of both TOF treatment groups versus MTX alone at 6 and 12 months, but not at 1 month.</w:t>
      </w:r>
    </w:p>
    <w:p w:rsidR="00B34BFC" w:rsidRDefault="001963E2" w:rsidP="001963E2">
      <w:r>
        <w:t xml:space="preserve">The LS mean changes from baseline in the RAMRIS wrist </w:t>
      </w:r>
      <w:r w:rsidR="00344583">
        <w:t xml:space="preserve">and MCP erosion scores (range 0 to </w:t>
      </w:r>
      <w:r>
        <w:t>250) were statistically significant in favour of both T</w:t>
      </w:r>
      <w:r w:rsidR="00344583">
        <w:t>OF treatment groups at 6 and 12 </w:t>
      </w:r>
      <w:r>
        <w:t>months, but not at 1 and 3 months. However, the absolute LS mean changes from baseline were small in magnitude and of unclear clinical significance</w:t>
      </w:r>
      <w:r w:rsidR="00B34BFC">
        <w:t>.</w:t>
      </w:r>
    </w:p>
    <w:p w:rsidR="00B34BFC" w:rsidRDefault="001963E2" w:rsidP="001963E2">
      <w:r>
        <w:t>The LS mean change from baseline to 6 months in the RAMRIS ES was -0.06 for TOF+MTX and -0.02 for TOF alone versus 0.65 for MTX alone. The LS mean change from baseline to 12 months in the RAMRIS ES was -0.11 for TOF+MTX and -0.08 for TOF alone versus 1.18 for MTX alone</w:t>
      </w:r>
      <w:r w:rsidR="00B34BFC">
        <w:t>.</w:t>
      </w:r>
    </w:p>
    <w:p w:rsidR="00B34BFC" w:rsidRDefault="001963E2" w:rsidP="001963E2">
      <w:r>
        <w:t xml:space="preserve">There was a numerically smaller change (deterioration) from baseline to 6 and 12 months with TOF treatment (alone or in combination with MTX) versus MTX alone with respect to </w:t>
      </w:r>
      <w:proofErr w:type="spellStart"/>
      <w:r>
        <w:t>mTSS</w:t>
      </w:r>
      <w:proofErr w:type="spellEnd"/>
      <w:r>
        <w:t>, ES and JSN scores, however, the results are descriptive in nature only and should be interpreted with caution as the study was not powered for formal hypothesis testing and the sample size was small</w:t>
      </w:r>
      <w:r w:rsidR="00B34BFC">
        <w:t>.</w:t>
      </w:r>
    </w:p>
    <w:p w:rsidR="00B34BFC" w:rsidRDefault="001963E2" w:rsidP="001963E2">
      <w:r>
        <w:t xml:space="preserve">In the Spearman Rank Correlation analysis, there was a weak correlation between all of the plain </w:t>
      </w:r>
      <w:r w:rsidR="0067104C">
        <w:t>x-ray</w:t>
      </w:r>
      <w:r>
        <w:t xml:space="preserve"> outcomes and RAMRIS bone marrow oedema and synovitis scores, but a moderately strong correlation between RAMRIS erosion scores and </w:t>
      </w:r>
      <w:proofErr w:type="spellStart"/>
      <w:r>
        <w:t>mTSS</w:t>
      </w:r>
      <w:proofErr w:type="spellEnd"/>
      <w:r>
        <w:t xml:space="preserve"> as well as ES on Plain </w:t>
      </w:r>
      <w:r w:rsidR="00344583">
        <w:t>x-rays</w:t>
      </w:r>
      <w:r w:rsidR="00B34BFC">
        <w:t>.</w:t>
      </w:r>
    </w:p>
    <w:p w:rsidR="001963E2" w:rsidRPr="00D06849" w:rsidRDefault="001963E2" w:rsidP="0067104C">
      <w:pPr>
        <w:pStyle w:val="Heading7"/>
      </w:pPr>
      <w:r w:rsidRPr="00D06849">
        <w:t xml:space="preserve">Secondary </w:t>
      </w:r>
      <w:r w:rsidR="00387362" w:rsidRPr="00D06849">
        <w:t>clinical endpoints</w:t>
      </w:r>
    </w:p>
    <w:p w:rsidR="00B34BFC" w:rsidRDefault="001963E2" w:rsidP="001963E2">
      <w:r>
        <w:t>Patients who received treatment with TOF 10 mg BD (alone or in combination with MTX) had numerically higher rates of ACR response compared to those who were treated with MTX, but the differences in response were only statistically significant at earlier time points. The proportion of subjects treated with TOF+MTX and TOF alone who achieved ACR20, ACR50 and ACR70 response at 6 months using non-responder imputation (NRI) were 74.3% (26</w:t>
      </w:r>
      <w:r w:rsidR="00BF3E77">
        <w:t xml:space="preserve"> out of </w:t>
      </w:r>
      <w:r>
        <w:t>35) and 66.7% (24</w:t>
      </w:r>
      <w:r w:rsidR="00BF3E77">
        <w:t xml:space="preserve"> out of </w:t>
      </w:r>
      <w:r>
        <w:t>36), 57.1% (20</w:t>
      </w:r>
      <w:r w:rsidR="00BF3E77">
        <w:t xml:space="preserve"> out of </w:t>
      </w:r>
      <w:r>
        <w:t>35) and 47.2% (17</w:t>
      </w:r>
      <w:r w:rsidR="00BF3E77">
        <w:t xml:space="preserve"> out of </w:t>
      </w:r>
      <w:r>
        <w:t>36); and 34.3% (12</w:t>
      </w:r>
      <w:r w:rsidR="00BF3E77">
        <w:t xml:space="preserve"> out of </w:t>
      </w:r>
      <w:r>
        <w:t>35) and 30.6% (11</w:t>
      </w:r>
      <w:r w:rsidR="00BF3E77">
        <w:t xml:space="preserve"> out of </w:t>
      </w:r>
      <w:r>
        <w:t>36), respectively. In contrast, the rates of ACR20/50/70 response at 6 months using NRI in the MTX monotherapy arm were numerically lower at 46.0% (17</w:t>
      </w:r>
      <w:r w:rsidR="00BF3E77">
        <w:t xml:space="preserve"> out of </w:t>
      </w:r>
      <w:r>
        <w:t>37), 21.6% (8</w:t>
      </w:r>
      <w:r w:rsidR="00BF3E77">
        <w:t xml:space="preserve"> out of </w:t>
      </w:r>
      <w:r>
        <w:t>37) and 21.6% (8</w:t>
      </w:r>
      <w:r w:rsidR="00BF3E77">
        <w:t xml:space="preserve"> out of </w:t>
      </w:r>
      <w:r>
        <w:t>37)</w:t>
      </w:r>
      <w:r w:rsidR="00B34BFC">
        <w:t>.</w:t>
      </w:r>
    </w:p>
    <w:p w:rsidR="001963E2" w:rsidRDefault="001963E2" w:rsidP="001963E2">
      <w:r>
        <w:t>Patients treated with TOF 10 mg BD (alone or in combination with MTX) showed a greater reduction DAS28 (CRP and ESR) scores over time compared with the MTX monotherapy group. At 6 months, subjects treated with TOF+MTX showed a mean -2.53 change (improvement) from baseline (5.14) in DAS28 (CRP) score which was similar to that observed in the TOF monotherapy arm (mean change of -2.75 from a baseline of 5.48). Patients treated with MTX alone had a mean -1.58 change at 6 months from baseline (5.36) in DAS28 (CRP) score.</w:t>
      </w:r>
    </w:p>
    <w:p w:rsidR="001963E2" w:rsidRDefault="001963E2" w:rsidP="001963E2">
      <w:r>
        <w:t>There was no clear relationship between imaging endpoints (bone marrow oedema, synovitis and erosions) and clinical response (</w:t>
      </w:r>
      <w:r w:rsidR="00B34BFC">
        <w:t>for example</w:t>
      </w:r>
      <w:r>
        <w:t xml:space="preserve"> changes in DAS28 score over time) as shown in the Spearman Rank Correlation analysis.</w:t>
      </w:r>
    </w:p>
    <w:p w:rsidR="0067104C" w:rsidRDefault="001963E2" w:rsidP="0067104C">
      <w:pPr>
        <w:pStyle w:val="Heading5"/>
      </w:pPr>
      <w:r w:rsidRPr="00651600">
        <w:t>Study A3921073</w:t>
      </w:r>
    </w:p>
    <w:p w:rsidR="001963E2" w:rsidRDefault="0067104C" w:rsidP="001963E2">
      <w:r w:rsidRPr="0067104C">
        <w:t xml:space="preserve">Study A3921073 </w:t>
      </w:r>
      <w:r w:rsidR="001963E2" w:rsidRPr="0067104C">
        <w:t xml:space="preserve">was an exploratory, </w:t>
      </w:r>
      <w:r w:rsidR="00B34BFC" w:rsidRPr="0067104C">
        <w:t>Phase II</w:t>
      </w:r>
      <w:r w:rsidR="001963E2" w:rsidRPr="0067104C">
        <w:t xml:space="preserve">, randomised, </w:t>
      </w:r>
      <w:r w:rsidR="008F2D59" w:rsidRPr="0067104C">
        <w:t>double blind</w:t>
      </w:r>
      <w:r w:rsidR="001963E2" w:rsidRPr="0067104C">
        <w:t>, parallel group,</w:t>
      </w:r>
      <w:r w:rsidR="001963E2">
        <w:t xml:space="preserve"> placebo-controlled trial with the primary objective of examining the effects of oral TOF 10 </w:t>
      </w:r>
      <w:r w:rsidR="001963E2">
        <w:lastRenderedPageBreak/>
        <w:t>mg BD over 4 weeks in adults with active RA upon blood and synovial tissue biomarkers.</w:t>
      </w:r>
      <w:r w:rsidR="001963E2" w:rsidRPr="00252CF9">
        <w:t xml:space="preserve"> </w:t>
      </w:r>
      <w:r w:rsidR="001963E2">
        <w:t>Subjects received either TOF 10 mg BD or matching PBO tablets.</w:t>
      </w:r>
    </w:p>
    <w:p w:rsidR="00B34BFC" w:rsidRDefault="001963E2" w:rsidP="001963E2">
      <w:r>
        <w:t>A total of 64 subjects were screened, and 15 patients were randomised to TOF 10 mg BD therapy and 14 subjects were randomised to the PBO arm. The majority of enrolled patients were female (26</w:t>
      </w:r>
      <w:r w:rsidR="00BF3E77">
        <w:t xml:space="preserve"> out of </w:t>
      </w:r>
      <w:r>
        <w:t>29) and Caucasian (23</w:t>
      </w:r>
      <w:r w:rsidR="00BF3E77">
        <w:t xml:space="preserve"> out of </w:t>
      </w:r>
      <w:r>
        <w:t>29). The mean age of all sub</w:t>
      </w:r>
      <w:r w:rsidR="00584450">
        <w:t xml:space="preserve">jects was 53.3 years (range: 27 to </w:t>
      </w:r>
      <w:r>
        <w:t>77 years)</w:t>
      </w:r>
      <w:r w:rsidR="00B34BFC">
        <w:t>.</w:t>
      </w:r>
    </w:p>
    <w:p w:rsidR="001963E2" w:rsidRPr="00FA6173" w:rsidRDefault="001963E2" w:rsidP="0067104C">
      <w:pPr>
        <w:pStyle w:val="Heading6"/>
      </w:pPr>
      <w:r w:rsidRPr="00FA6173">
        <w:t xml:space="preserve">Efficacy </w:t>
      </w:r>
      <w:r w:rsidR="002D2F85">
        <w:t>r</w:t>
      </w:r>
      <w:r w:rsidRPr="00FA6173">
        <w:t>esults</w:t>
      </w:r>
    </w:p>
    <w:p w:rsidR="001963E2" w:rsidRPr="00FA6173" w:rsidRDefault="001963E2" w:rsidP="001963E2">
      <w:r w:rsidRPr="00FA6173">
        <w:t xml:space="preserve">At 28 days, the rate of ACR20, ACR50 and ACR70 response in the </w:t>
      </w:r>
      <w:r>
        <w:t>TOF</w:t>
      </w:r>
      <w:r w:rsidRPr="00FA6173">
        <w:t xml:space="preserve"> group was 60.0% (9</w:t>
      </w:r>
      <w:r w:rsidR="00584450">
        <w:t> </w:t>
      </w:r>
      <w:r w:rsidR="00BF3E77">
        <w:t xml:space="preserve">out of </w:t>
      </w:r>
      <w:r w:rsidRPr="00FA6173">
        <w:t>15), 40.0% (6</w:t>
      </w:r>
      <w:r w:rsidR="00BF3E77">
        <w:t xml:space="preserve"> out of </w:t>
      </w:r>
      <w:r w:rsidRPr="00FA6173">
        <w:t>15) and 6.7% (1</w:t>
      </w:r>
      <w:r w:rsidR="00BF3E77">
        <w:t xml:space="preserve"> out of </w:t>
      </w:r>
      <w:r w:rsidRPr="00FA6173">
        <w:t>15), respectively, compared to no ACR responses (at any level) recorded in the control arm (</w:t>
      </w:r>
      <w:r w:rsidR="008F2D59">
        <w:t xml:space="preserve">n = </w:t>
      </w:r>
      <w:r w:rsidRPr="00FA6173">
        <w:t>14 subjects).</w:t>
      </w:r>
    </w:p>
    <w:p w:rsidR="00B34BFC" w:rsidRDefault="001963E2" w:rsidP="001963E2">
      <w:r w:rsidRPr="00FA6173">
        <w:t xml:space="preserve">For the </w:t>
      </w:r>
      <w:r>
        <w:t>TOF</w:t>
      </w:r>
      <w:r w:rsidRPr="00FA6173">
        <w:t xml:space="preserve"> group, the mean number of tender joints decreased from 36.9 at baseline to 19.9 at day 28, which was a numerically greater decrease compared to the PBO arm where the tender joint count decreased from a baseline of 28.6 to 24.9 at day 28. The mean number of swollen joints decrease</w:t>
      </w:r>
      <w:r w:rsidR="00584450">
        <w:t>d from baseline (22 joints) to D</w:t>
      </w:r>
      <w:r w:rsidRPr="00FA6173">
        <w:t xml:space="preserve">ay 28 (13.9 joints) for </w:t>
      </w:r>
      <w:r>
        <w:t>the</w:t>
      </w:r>
      <w:r w:rsidRPr="00FA6173">
        <w:t xml:space="preserve"> </w:t>
      </w:r>
      <w:r>
        <w:t>TOF group</w:t>
      </w:r>
      <w:r w:rsidRPr="00FA6173">
        <w:t xml:space="preserve">, but patients in the control arm showed an increase in the mean number of swollen joints (16.9 to 19.2 joints). The mean baseline HAQ-DI score was higher in the </w:t>
      </w:r>
      <w:r>
        <w:t>TOF</w:t>
      </w:r>
      <w:r w:rsidRPr="00FA6173">
        <w:t xml:space="preserve"> group compared to PBO (1.76 versus 1.40) and subjects treated with </w:t>
      </w:r>
      <w:r>
        <w:t>TOF</w:t>
      </w:r>
      <w:r w:rsidRPr="00FA6173">
        <w:t xml:space="preserve"> showed a greater improvement over 4 weeks (1.27 for </w:t>
      </w:r>
      <w:r>
        <w:t>TOF</w:t>
      </w:r>
      <w:r w:rsidRPr="00FA6173">
        <w:t xml:space="preserve"> and 1.24 for PBO). The mean baseline CRP value was slightly higher in the </w:t>
      </w:r>
      <w:r>
        <w:t>TOF</w:t>
      </w:r>
      <w:r w:rsidRPr="00FA6173">
        <w:t xml:space="preserve"> group (14.19 mg/L versus 10.54 mg/L in the PBO arm) and both treatment groups showed small decreases in mean CRP values</w:t>
      </w:r>
      <w:r w:rsidR="00B34BFC">
        <w:t>.</w:t>
      </w:r>
    </w:p>
    <w:p w:rsidR="00B34BFC" w:rsidRDefault="001963E2" w:rsidP="001963E2">
      <w:r w:rsidRPr="00FA6173">
        <w:t xml:space="preserve">The mean DAS28 (CRP) score decreased from a baseline value of 5.57 to 4.06 at 28 days for subjects treated with </w:t>
      </w:r>
      <w:r>
        <w:t>TOF</w:t>
      </w:r>
      <w:r w:rsidRPr="00FA6173">
        <w:t xml:space="preserve"> compared with a smaller decrease observed in the PBO group (baselin</w:t>
      </w:r>
      <w:r>
        <w:t xml:space="preserve">e of 5.22 to 4.91 at 28 days). </w:t>
      </w:r>
      <w:r w:rsidRPr="00FA6173">
        <w:t>A small proportion of subjects in each treatment group achieved low disease activity (DAS</w:t>
      </w:r>
      <w:r w:rsidR="00810CB7">
        <w:t xml:space="preserve"> </w:t>
      </w:r>
      <w:r w:rsidR="008F2D59">
        <w:t xml:space="preserve">≤ </w:t>
      </w:r>
      <w:r w:rsidRPr="00FA6173">
        <w:t>3.2) at 28 days: 20.0% (3</w:t>
      </w:r>
      <w:r w:rsidR="00BF3E77">
        <w:t xml:space="preserve"> out of </w:t>
      </w:r>
      <w:r w:rsidRPr="00FA6173">
        <w:t xml:space="preserve">15) of subjects in the </w:t>
      </w:r>
      <w:r>
        <w:t>TOF</w:t>
      </w:r>
      <w:r w:rsidRPr="00FA6173">
        <w:t xml:space="preserve"> arm and 14.3% (2</w:t>
      </w:r>
      <w:r w:rsidR="00BF3E77">
        <w:t xml:space="preserve"> out of </w:t>
      </w:r>
      <w:r w:rsidRPr="00FA6173">
        <w:t xml:space="preserve">14) of patients in the control group. No subjects reached DAS remission (score of </w:t>
      </w:r>
      <w:r w:rsidR="008F2D59">
        <w:t xml:space="preserve">&lt; </w:t>
      </w:r>
      <w:r w:rsidRPr="00FA6173">
        <w:t>2.6) at 28 days</w:t>
      </w:r>
      <w:r w:rsidR="00B34BFC">
        <w:t>.</w:t>
      </w:r>
    </w:p>
    <w:p w:rsidR="001963E2" w:rsidRPr="00FA6173" w:rsidRDefault="001963E2" w:rsidP="001963E2">
      <w:r w:rsidRPr="00FA6173">
        <w:t xml:space="preserve">No apparent correlation between the PD markers (synovial tissue biopsy results and various serum cytokine levels) and DAS28 scores was observed apart from a possible relationship (correlation coefficients </w:t>
      </w:r>
      <w:r w:rsidR="008F2D59">
        <w:t xml:space="preserve">&gt; </w:t>
      </w:r>
      <w:r w:rsidRPr="00FA6173">
        <w:t>0.72) between DAS28 (CRP</w:t>
      </w:r>
      <w:r>
        <w:t xml:space="preserve">) score and IL-1β mRNA </w:t>
      </w:r>
      <w:r w:rsidRPr="00FA6173">
        <w:t xml:space="preserve">and IL-6 </w:t>
      </w:r>
      <w:r>
        <w:t>m</w:t>
      </w:r>
      <w:r w:rsidRPr="00FA6173">
        <w:t xml:space="preserve">RNA expression on synovial tissue biopsy at day 28 for subjects treated with </w:t>
      </w:r>
      <w:r>
        <w:t>TOF</w:t>
      </w:r>
      <w:r w:rsidRPr="00FA6173">
        <w:t xml:space="preserve"> 10 mg </w:t>
      </w:r>
      <w:r>
        <w:t>BD.</w:t>
      </w:r>
    </w:p>
    <w:p w:rsidR="001963E2" w:rsidRPr="000004BC" w:rsidRDefault="001963E2" w:rsidP="00BE0162">
      <w:pPr>
        <w:pStyle w:val="Heading5"/>
      </w:pPr>
      <w:r w:rsidRPr="000004BC">
        <w:t>Long term extensions studies (A3921024 and A3921041)</w:t>
      </w:r>
    </w:p>
    <w:p w:rsidR="00B34BFC" w:rsidRDefault="001963E2" w:rsidP="001963E2">
      <w:r>
        <w:t xml:space="preserve">Pooled data from 2 </w:t>
      </w:r>
      <w:r w:rsidR="00B34BFC">
        <w:t>long term</w:t>
      </w:r>
      <w:r>
        <w:t xml:space="preserve">, </w:t>
      </w:r>
      <w:r w:rsidR="008F2D59">
        <w:t>open label</w:t>
      </w:r>
      <w:r>
        <w:t xml:space="preserve"> extension studies was included in this submission to support the persistence of clinical efficacy with continued tofacitinib. Study A3921024 is an ongoing LTE trial that enrolled subjects w</w:t>
      </w:r>
      <w:r w:rsidR="00584450">
        <w:t>ho participated and completed 1 </w:t>
      </w:r>
      <w:r>
        <w:t>of 15 preceding RA trials. A total of 4381 subjects have been enrolled in Study A3921024 and 1059 subjects were assigned treatment with TOF 5 mg BD and 3322 subjects were treated with TOF 10 mg BD in the LTE phase. An interim study report for this trial was provided in this submission</w:t>
      </w:r>
      <w:r w:rsidR="00B34BFC">
        <w:t>.</w:t>
      </w:r>
    </w:p>
    <w:p w:rsidR="00B34BFC" w:rsidRDefault="001963E2" w:rsidP="001963E2">
      <w:r>
        <w:t xml:space="preserve">Study A3921041 is a completed </w:t>
      </w:r>
      <w:r w:rsidR="008F2D59">
        <w:t>open label</w:t>
      </w:r>
      <w:r>
        <w:t>, LTE trial that was conducted in 486 Japanese patients. It enrolled subjects who participate</w:t>
      </w:r>
      <w:r w:rsidR="002D2F85">
        <w:t>d and completed involvement in two</w:t>
      </w:r>
      <w:r>
        <w:t xml:space="preserve"> </w:t>
      </w:r>
      <w:r w:rsidR="00B34BFC">
        <w:t>Phase II</w:t>
      </w:r>
      <w:r>
        <w:t xml:space="preserve"> studies (A3921039 [</w:t>
      </w:r>
      <w:r w:rsidR="008F2D59">
        <w:t xml:space="preserve">n = </w:t>
      </w:r>
      <w:r>
        <w:t>113 subjects] and A3921040 [</w:t>
      </w:r>
      <w:r w:rsidR="008F2D59">
        <w:t xml:space="preserve">n = </w:t>
      </w:r>
      <w:r>
        <w:t>291 subjects]) as well as Study A3921044 (</w:t>
      </w:r>
      <w:r w:rsidR="008F2D59">
        <w:t xml:space="preserve">n = </w:t>
      </w:r>
      <w:r>
        <w:t>82 subjects). The majority of patients received TOF 5 mg BD (</w:t>
      </w:r>
      <w:r w:rsidR="008F2D59">
        <w:t xml:space="preserve">n = </w:t>
      </w:r>
      <w:r>
        <w:t>381 subjects), but 21.6% (105</w:t>
      </w:r>
      <w:r w:rsidR="00BF3E77">
        <w:t xml:space="preserve"> out of </w:t>
      </w:r>
      <w:r>
        <w:t>486) were treated with TOF 10 mg BD. However, throughout the course of both LTE trials the dose of tofacitinib could be adjusted from 5 mg to 10 mg BD or vice versa or temporarily discontinued</w:t>
      </w:r>
      <w:r w:rsidR="00B34BFC">
        <w:t>.</w:t>
      </w:r>
    </w:p>
    <w:p w:rsidR="001963E2" w:rsidRDefault="001963E2" w:rsidP="001963E2">
      <w:r>
        <w:t>Efficacy data for both LTE studies was pooled and reported as three TOF dose groups: TOF 5 mg BD, TOF 10 mg BD and all TOF therapy (5 and 10 mg dose pooled)</w:t>
      </w:r>
      <w:r w:rsidR="00810CB7">
        <w:t xml:space="preserve">. If the average daily dose was </w:t>
      </w:r>
      <w:r w:rsidR="008F2D59">
        <w:t xml:space="preserve">≥ </w:t>
      </w:r>
      <w:r>
        <w:t xml:space="preserve">15 mg then patients were assigned the TOF 10 mg BD, and if their average daily dose was </w:t>
      </w:r>
      <w:r w:rsidR="008F2D59">
        <w:t xml:space="preserve">&lt; </w:t>
      </w:r>
      <w:r>
        <w:t>15 mg then they were allocated to the TOF 5 mg BD group.</w:t>
      </w:r>
    </w:p>
    <w:p w:rsidR="00B34BFC" w:rsidRDefault="001963E2" w:rsidP="001963E2">
      <w:r>
        <w:lastRenderedPageBreak/>
        <w:t xml:space="preserve">Up to 84 months of treatment in the pooled, </w:t>
      </w:r>
      <w:r w:rsidR="008F2D59">
        <w:t>open label</w:t>
      </w:r>
      <w:r>
        <w:t xml:space="preserve">, LTE trial dataset, both dose regimens of TOF demonstrated maintenance of clinical response as measured by the rate of ACR20 response, rate of clinical remission as determined by DAS28 (ESR) score </w:t>
      </w:r>
      <w:r w:rsidR="008F2D59">
        <w:t xml:space="preserve">&lt; </w:t>
      </w:r>
      <w:r>
        <w:t>2.6 and the mean improvement from baseline in HAQ-DI score. However, a limitation of the LTE trial dataset is that very few patients (50 subjects or less) were treated beyond 60 months with TOF 10 mg BD therapy. Approximately 80% of tofacitinib treated patients maintain ACR20 response up to 84 months, which is the considered the minimal most clinically relevant response. Just over 20% of tofacitinib treated subjects achieve a persistence of DAS28 clinical remission, which is a comparable figure to other DMARD therapy. The mean change from baseline in HAQ-DI score was maintained at approximately 0.5 units, which is also a similar observation to that seen with other DMARD treatment in adults with RA</w:t>
      </w:r>
      <w:r w:rsidR="00B34BFC">
        <w:t>.</w:t>
      </w:r>
    </w:p>
    <w:p w:rsidR="001963E2" w:rsidRDefault="001963E2" w:rsidP="00BE0162">
      <w:pPr>
        <w:pStyle w:val="Heading4"/>
      </w:pPr>
      <w:r w:rsidRPr="00485548">
        <w:t>Safety</w:t>
      </w:r>
    </w:p>
    <w:p w:rsidR="0067104C" w:rsidRDefault="001963E2" w:rsidP="0067104C">
      <w:pPr>
        <w:pStyle w:val="Heading5"/>
      </w:pPr>
      <w:r w:rsidRPr="00BE0162">
        <w:t>Study A3921237</w:t>
      </w:r>
    </w:p>
    <w:p w:rsidR="00B34BFC" w:rsidRDefault="0067104C" w:rsidP="00BE0162">
      <w:r w:rsidRPr="0067104C">
        <w:t xml:space="preserve">Study A3921237 was a 14 </w:t>
      </w:r>
      <w:r w:rsidR="001963E2" w:rsidRPr="0067104C">
        <w:t xml:space="preserve">week, randomised, </w:t>
      </w:r>
      <w:r w:rsidR="008F2D59" w:rsidRPr="0067104C">
        <w:t>double blind</w:t>
      </w:r>
      <w:r>
        <w:t xml:space="preserve">, PBO </w:t>
      </w:r>
      <w:r w:rsidR="001963E2" w:rsidRPr="0067104C">
        <w:t>controlled, parallel</w:t>
      </w:r>
      <w:r w:rsidR="001963E2" w:rsidRPr="00BE0162">
        <w:t xml:space="preserve"> group </w:t>
      </w:r>
      <w:r w:rsidR="00B34BFC">
        <w:t>Phase II</w:t>
      </w:r>
      <w:r w:rsidR="001963E2" w:rsidRPr="00BE0162">
        <w:t xml:space="preserve"> trial with the primary objective of evaluating the effect of TOF on varicella-zoster (VZV) specific immunoglobulin (Ig) responses 6 weeks after zoster vaccination in subjects with RA on concomitant MTX. The secondary objective was to evaluate the effect of TOF on VZV-specific Ig responses at 2 and 14 weeks post-vaccination. Subjects were randomised 1:1 to receive either TOF 5 mg BD or PBO. Study treatment was initiated 2-3 weeks following immunisation. A total of 112 subjects, at least 50 years of age with an active RA were included in the study (55 in the TOF 5 mg BD arm and 57 in the PBO arm). Patients were required to have a stable background dose of MTX for a minimum of 4 months prior to screening</w:t>
      </w:r>
      <w:r w:rsidR="00B34BFC">
        <w:t>.</w:t>
      </w:r>
    </w:p>
    <w:p w:rsidR="00B34BFC" w:rsidRDefault="001963E2" w:rsidP="001963E2">
      <w:r>
        <w:t>A total of 16 patients prematurely discontinued from the study, 4 due to drug related AEs (2 in each arm), 3 due to insufficient clinical response (2 in the PBO arm and 1 in the TOF arm), and another 9 non-drug related AEs (7 in the PBO group versus 2 in the TOF arm)</w:t>
      </w:r>
      <w:r w:rsidR="00B34BFC">
        <w:t>.</w:t>
      </w:r>
    </w:p>
    <w:p w:rsidR="00B34BFC" w:rsidRDefault="001963E2" w:rsidP="001963E2">
      <w:r>
        <w:t>The two treatment groups were reasonably well matched for baseline features. The majority of patients were female (71.4%; 80</w:t>
      </w:r>
      <w:r w:rsidR="00BF3E77">
        <w:t xml:space="preserve"> out of </w:t>
      </w:r>
      <w:r>
        <w:t>112) and Caucasian (92.9%; 104</w:t>
      </w:r>
      <w:r w:rsidR="00BF3E77">
        <w:t xml:space="preserve"> out of </w:t>
      </w:r>
      <w:r>
        <w:t>112). The mean age of subjects in each treatment group was 62 years with the majority of subjects (52.7%; 59</w:t>
      </w:r>
      <w:r w:rsidR="00BF3E77">
        <w:t xml:space="preserve"> out of </w:t>
      </w:r>
      <w:r>
        <w:t>112) being aged bet</w:t>
      </w:r>
      <w:r w:rsidR="00584450">
        <w:t xml:space="preserve">ween 60 and 74 years (range: 50 to </w:t>
      </w:r>
      <w:r>
        <w:t xml:space="preserve">81 years). There were more patients aged </w:t>
      </w:r>
      <w:r w:rsidR="008F2D59">
        <w:t xml:space="preserve">≥ </w:t>
      </w:r>
      <w:r>
        <w:t>75 years in the PBO gr</w:t>
      </w:r>
      <w:r w:rsidR="00810CB7">
        <w:t xml:space="preserve">oup than in the TOF group (5 </w:t>
      </w:r>
      <w:r w:rsidR="00FF0AA9">
        <w:t>versus</w:t>
      </w:r>
      <w:r>
        <w:t xml:space="preserve"> 0)</w:t>
      </w:r>
      <w:r w:rsidR="00B34BFC">
        <w:t>.</w:t>
      </w:r>
    </w:p>
    <w:p w:rsidR="001963E2" w:rsidRPr="0088558C" w:rsidRDefault="001963E2" w:rsidP="0067104C">
      <w:pPr>
        <w:pStyle w:val="Heading6"/>
      </w:pPr>
      <w:r>
        <w:t>Results for the immunogenicity safety outcomes</w:t>
      </w:r>
    </w:p>
    <w:p w:rsidR="00B34BFC" w:rsidRDefault="001963E2" w:rsidP="001963E2">
      <w:r>
        <w:t>Overall, subjects treated with</w:t>
      </w:r>
      <w:r w:rsidRPr="00E21FC8">
        <w:t xml:space="preserve"> </w:t>
      </w:r>
      <w:r>
        <w:t>TOF 5 mg BD + MTX achieved a fold rise in VZV-specific IgG antibody levels that was similar to that seen in the PBO + MTX group. The VZV specific IgG geometric mean titre (GMT) ratios (of TOF/PBO) were slightly above 1.0 at baseline and at all subsequent visits, indicating that VZV specific IgG responses were similar between TOF and PBO throughout the trial</w:t>
      </w:r>
      <w:r w:rsidR="00B34BFC">
        <w:t>.</w:t>
      </w:r>
    </w:p>
    <w:p w:rsidR="00B34BFC" w:rsidRDefault="001963E2" w:rsidP="001963E2">
      <w:r>
        <w:t>At visit 2 (study day 1), the p</w:t>
      </w:r>
      <w:r w:rsidR="002D2F85">
        <w:t>ercentage of immune responders (</w:t>
      </w:r>
      <w:r w:rsidR="008F2D59">
        <w:t xml:space="preserve">≥ </w:t>
      </w:r>
      <w:r>
        <w:t>1.5 titre rise from baseline) was higher in the TOF (55.6%; 30</w:t>
      </w:r>
      <w:r w:rsidR="00BF3E77">
        <w:t xml:space="preserve"> out of </w:t>
      </w:r>
      <w:r>
        <w:t>54) versus PBO group (47.2%; 25</w:t>
      </w:r>
      <w:r w:rsidR="00BF3E77">
        <w:t xml:space="preserve"> out of </w:t>
      </w:r>
      <w:r>
        <w:t>53) and this trend was observed at week 4 and 12 of study treatment. At day 1 and week 12, the GMFRs in VZV specific IgG levels were numerically similar between the 2 treatment groups</w:t>
      </w:r>
      <w:r w:rsidR="00B34BFC">
        <w:t>.</w:t>
      </w:r>
    </w:p>
    <w:p w:rsidR="001963E2" w:rsidRDefault="001963E2" w:rsidP="001963E2">
      <w:r>
        <w:t>Analysis of VZV specific cell mediated immunity (using ELISPOT) at 2, 6 and 14 weeks post-vaccination were numerically slightly higher in the tofacitinib group compared to PBO, but with overlapping CIs for the mean results to indicate similar vaccine induced, cell mediated immune responses between the two treatment groups.</w:t>
      </w:r>
    </w:p>
    <w:p w:rsidR="001963E2" w:rsidRPr="0088558C" w:rsidRDefault="001963E2" w:rsidP="0067104C">
      <w:pPr>
        <w:pStyle w:val="Heading6"/>
      </w:pPr>
      <w:r w:rsidRPr="0088558C">
        <w:lastRenderedPageBreak/>
        <w:t>Results for other safety outcomes</w:t>
      </w:r>
    </w:p>
    <w:p w:rsidR="00B34BFC" w:rsidRDefault="001963E2" w:rsidP="001963E2">
      <w:r>
        <w:t>Overall, 21 subjects (36.8%) reported 39 AEs in the PBO group and 16 subjects (29.1%) recorded 40 AEs in the TOF arm. The most frequently reported types of AE were musculoskeletal disorders and infection. The most common types of infection were URTI, bronchitis, nasopharyngitis and oral herpes. All other infections were single cases, including one case each of candida infection, viral gastroenteritis, EBV infection and disseminated herpes zoster, which were only recorded in the TOF group. A total of 3 subjects in the TOF arm had a treatment related infection (5.5%)</w:t>
      </w:r>
      <w:r w:rsidR="00B34BFC">
        <w:t>.</w:t>
      </w:r>
    </w:p>
    <w:p w:rsidR="001963E2" w:rsidRDefault="001963E2" w:rsidP="001963E2">
      <w:r>
        <w:t xml:space="preserve">Three subjects in the TOF group (5.5% </w:t>
      </w:r>
      <w:r w:rsidR="00FF0AA9">
        <w:t>versus</w:t>
      </w:r>
      <w:r>
        <w:t>. none in the PBO arm) experienced 4 SAEs including one case each of disseminated herpes zoster, bronchitis (considered drug related) and cholangitis with bile duct stone (deemed unrelated to TOF). The case of disseminated VZV infection occurred in a female subject 16 days after vaccination and two days after commencing treatment with TOF. The subject was previously varicella virus naïve. TOF was discontinued and the subject recovered without sequelae after treatment with anti-viral therapy. The subject made robust anti-varicella T-cell and antibody responses at 6 weeks post-vaccination but not at 2 weeks post-vaccination. This was interpreted as being consistent with primary VZV infection. No subject</w:t>
      </w:r>
      <w:r w:rsidR="0057574B">
        <w:t>s</w:t>
      </w:r>
      <w:r>
        <w:t xml:space="preserve"> died in this study.</w:t>
      </w:r>
    </w:p>
    <w:p w:rsidR="00B34BFC" w:rsidRDefault="001963E2" w:rsidP="001963E2">
      <w:r>
        <w:t xml:space="preserve">In the PBO group, 15.8% (9) of subjects permanently discontinued from the study due to AEs, including 7 subjects who did so because of worsening of RA symptoms. In the TOF group, 7.3% (4) of subjects withdrew, which includes the 3 subjects who experienced SAEs as well as another patient who discontinued because of RA worsening. Another 5 subjects (1 in the PBO group and 4 in the TOF arm) had temporary treatment discontinuations or dose reductions of study treatment because of AEs, which were mainly due to </w:t>
      </w:r>
      <w:proofErr w:type="spellStart"/>
      <w:r>
        <w:t>intercurrent</w:t>
      </w:r>
      <w:proofErr w:type="spellEnd"/>
      <w:r>
        <w:t xml:space="preserve"> infection or laboratory abnormalities</w:t>
      </w:r>
      <w:r w:rsidR="00B34BFC">
        <w:t>.</w:t>
      </w:r>
    </w:p>
    <w:p w:rsidR="00BE0162" w:rsidRDefault="001963E2" w:rsidP="001963E2">
      <w:r>
        <w:t xml:space="preserve">Among subjects with normal baseline test results, laboratory test abnormalities were recorded in 17.5% (10) of subjects in the control group and 20% (11) of patients in the TOF arm. The most frequent new laboratory test abnormalities were </w:t>
      </w:r>
      <w:proofErr w:type="spellStart"/>
      <w:r>
        <w:t>leucopaenia</w:t>
      </w:r>
      <w:proofErr w:type="spellEnd"/>
      <w:r>
        <w:t xml:space="preserve">, </w:t>
      </w:r>
      <w:proofErr w:type="spellStart"/>
      <w:r>
        <w:t>neutropaenia</w:t>
      </w:r>
      <w:proofErr w:type="spellEnd"/>
      <w:r>
        <w:t xml:space="preserve">, </w:t>
      </w:r>
      <w:proofErr w:type="spellStart"/>
      <w:r>
        <w:t>lymphopaenia</w:t>
      </w:r>
      <w:proofErr w:type="spellEnd"/>
      <w:r>
        <w:t xml:space="preserve">, anaemia (one case each in the PBO arm), heparin induced thrombocytopenia, </w:t>
      </w:r>
      <w:proofErr w:type="spellStart"/>
      <w:r>
        <w:t>hypercholesteraemia</w:t>
      </w:r>
      <w:proofErr w:type="spellEnd"/>
      <w:r>
        <w:t xml:space="preserve"> and raised liver function tests (one case each in the TOF arm).</w:t>
      </w:r>
    </w:p>
    <w:p w:rsidR="0067104C" w:rsidRDefault="0067104C" w:rsidP="0067104C">
      <w:pPr>
        <w:pStyle w:val="Heading5"/>
      </w:pPr>
      <w:r>
        <w:t>Study A3921044</w:t>
      </w:r>
    </w:p>
    <w:p w:rsidR="001963E2" w:rsidRPr="0067104C" w:rsidRDefault="0067104C" w:rsidP="001963E2">
      <w:pPr>
        <w:rPr>
          <w:b/>
        </w:rPr>
      </w:pPr>
      <w:r w:rsidRPr="0067104C">
        <w:t>Study A3921044</w:t>
      </w:r>
      <w:r>
        <w:t>:</w:t>
      </w:r>
      <w:r w:rsidRPr="0067104C">
        <w:t xml:space="preserve"> </w:t>
      </w:r>
      <w:r w:rsidR="001963E2" w:rsidRPr="0067104C">
        <w:t xml:space="preserve">The final </w:t>
      </w:r>
      <w:r w:rsidR="008F2D59" w:rsidRPr="0067104C">
        <w:t>2 year</w:t>
      </w:r>
      <w:r w:rsidR="001963E2" w:rsidRPr="0067104C">
        <w:t xml:space="preserve"> report for Study A3921044 has been previously</w:t>
      </w:r>
      <w:r w:rsidR="001963E2" w:rsidRPr="003A0CCA">
        <w:t xml:space="preserve"> evaluated and that information is included in the current PI.</w:t>
      </w:r>
      <w:r w:rsidR="001963E2">
        <w:t xml:space="preserve"> Safety information from this study contributes to the integrated safety population.</w:t>
      </w:r>
    </w:p>
    <w:p w:rsidR="0067104C" w:rsidRDefault="0067104C" w:rsidP="0067104C">
      <w:pPr>
        <w:pStyle w:val="Heading5"/>
      </w:pPr>
      <w:r>
        <w:t>Study A3921069</w:t>
      </w:r>
    </w:p>
    <w:p w:rsidR="00B34BFC" w:rsidRDefault="001963E2" w:rsidP="001963E2">
      <w:r w:rsidRPr="0067104C">
        <w:t>Study A3921069</w:t>
      </w:r>
      <w:r w:rsidR="0067104C">
        <w:t>:</w:t>
      </w:r>
      <w:r w:rsidRPr="0067104C">
        <w:t xml:space="preserve"> </w:t>
      </w:r>
      <w:r w:rsidR="00584450" w:rsidRPr="0067104C">
        <w:t>The interim</w:t>
      </w:r>
      <w:r w:rsidR="00584450">
        <w:t xml:space="preserve"> 1 </w:t>
      </w:r>
      <w:r>
        <w:t>year results of Study A3921069 have previously been evaluated. The ful</w:t>
      </w:r>
      <w:r w:rsidR="00584450">
        <w:t xml:space="preserve">l 24 </w:t>
      </w:r>
      <w:r>
        <w:t>month safety dataset was considered with submission. The most common types of AEs with TOF treatment were infections, gastrointestinal disorders and abnormal investigations</w:t>
      </w:r>
      <w:r w:rsidR="00B34BFC">
        <w:t>.</w:t>
      </w:r>
    </w:p>
    <w:p w:rsidR="00B34BFC" w:rsidRDefault="001963E2" w:rsidP="001963E2">
      <w:r>
        <w:t xml:space="preserve">Treatment related AEs recorded only in TOF treatment groups or at a higher frequency with TOF versus MTX included increased blood CPK levels, hypertension, herpes zoster infection and </w:t>
      </w:r>
      <w:proofErr w:type="spellStart"/>
      <w:r>
        <w:t>hypercholesteraemia</w:t>
      </w:r>
      <w:proofErr w:type="spellEnd"/>
      <w:r w:rsidR="00B34BFC">
        <w:t>.</w:t>
      </w:r>
    </w:p>
    <w:p w:rsidR="001963E2" w:rsidRDefault="001963E2" w:rsidP="001963E2">
      <w:r>
        <w:t xml:space="preserve">A total of four subjects died (3, 1 and 0 for the TOF </w:t>
      </w:r>
      <w:r w:rsidR="00B34BFC">
        <w:t>5 mg</w:t>
      </w:r>
      <w:r>
        <w:t>, TOF 10 mg and MTX groups</w:t>
      </w:r>
      <w:r w:rsidR="00B9173F">
        <w:t>,</w:t>
      </w:r>
      <w:r>
        <w:t xml:space="preserve"> respectively). A case of sudden and unexplained cardiac death and a case of Non-</w:t>
      </w:r>
      <w:r w:rsidR="00F2650E">
        <w:t>Hodgkin’s</w:t>
      </w:r>
      <w:r>
        <w:t xml:space="preserve"> lymphoma were possibly related to study medication. One case of cardiac failure was deemed not treatment related. One death due to advanced stage colon cancer in the TOF 10mg BD group was considered not treatment related.</w:t>
      </w:r>
    </w:p>
    <w:p w:rsidR="00B34BFC" w:rsidRDefault="001963E2" w:rsidP="001963E2">
      <w:r>
        <w:t xml:space="preserve">The proportion of subjects who experienced SAEs was comparable in each of the 3 treatment groups. Infection was the most frequent type of SAE (2.9%, 2.8% and 2.7% for </w:t>
      </w:r>
      <w:r>
        <w:lastRenderedPageBreak/>
        <w:t xml:space="preserve">the TOF </w:t>
      </w:r>
      <w:r w:rsidR="00B34BFC">
        <w:t>5 mg</w:t>
      </w:r>
      <w:r>
        <w:t>, TOF 10 mg and MTX groups respectively). Excluding musculoskeletal disorders, gastrointestinal disorders were the second most frequent SAE (1.3%, 1.5% and 2.2%). One subject treated with TOF 5 mg therapy experienced perforation of a gastric ulcer</w:t>
      </w:r>
      <w:r w:rsidR="00B34BFC">
        <w:t>.</w:t>
      </w:r>
    </w:p>
    <w:p w:rsidR="001963E2" w:rsidRDefault="001963E2" w:rsidP="001963E2">
      <w:r>
        <w:t>The most common type of infectious SAE was pneumonia, which was recorded in two subjects in each of the TOF dose groups versus no cases in the MTX arm. One additional patient in the TOF 10 mg arm had an SAE of lower respiratory tract infection. Gastroenteritis was the second most common type of infectious SAE affecting one patient each in the TOF 5 mg and MTX groups and two subjects in the TOF 10 mg arm. Two cases of herpes zoster infection (one in each TOF dose group) were recorded, plus a patient in the TOF 10 mg arm experienced an additional case of disseminated herpes zoster infection. One subject in the MTX group developed varicella as an SAE. Other single cases of note were bone TB (TOF 10 mg) and sepsis (TOF 5 mg arm).</w:t>
      </w:r>
    </w:p>
    <w:p w:rsidR="00B34BFC" w:rsidRDefault="001963E2" w:rsidP="001963E2">
      <w:r>
        <w:t>Regarding MACE, 2 subjects (1 in each TOF group) recorded myocardial ischaemia up to 24 months, 3 patients experienced DVT (2 subjects in the MTX arm and 1 in the TOF 5 mg group), 3 subjects developed angina (all in the TOF 5 mg group), 3 patients experienced stroke (2 in the TOF 10 mg arm and 1 in the TOF 5 mg group) and 2 patients recorded cardiac failure (1 in each TOF arm)</w:t>
      </w:r>
      <w:r w:rsidR="00B34BFC">
        <w:t>.</w:t>
      </w:r>
    </w:p>
    <w:p w:rsidR="00B34BFC" w:rsidRDefault="001963E2" w:rsidP="001963E2">
      <w:r>
        <w:t>Of note, 1 case of demyelinating polyneuropathy was recorded in a subject treated with TOF 10 mg BD</w:t>
      </w:r>
      <w:r w:rsidR="00B34BFC">
        <w:t>.</w:t>
      </w:r>
    </w:p>
    <w:p w:rsidR="00B34BFC" w:rsidRDefault="001963E2" w:rsidP="001963E2">
      <w:r>
        <w:t>Neoplasms were reported at a slightly higher incidence in the TOF treatment groups (1.1% (4) in the 5 mg group and 0.8% (3) in the 10 mg group) versus MTX (0.5% (1)). Three cases of haematological malignancy were reported including Non-Hodgkin’s lymphoma</w:t>
      </w:r>
      <w:r w:rsidR="00F2650E">
        <w:t xml:space="preserve"> (TOF 5 mg group), high grade B </w:t>
      </w:r>
      <w:r>
        <w:t>cell l</w:t>
      </w:r>
      <w:r w:rsidR="00F2650E">
        <w:t xml:space="preserve">ymphoma (TOF 10 mg group) and T </w:t>
      </w:r>
      <w:r>
        <w:t>cell chronic lymphocytic leukaemia (TOF 5 mg group)</w:t>
      </w:r>
      <w:r w:rsidR="00B34BFC">
        <w:t>.</w:t>
      </w:r>
    </w:p>
    <w:p w:rsidR="00B34BFC" w:rsidRDefault="001963E2" w:rsidP="001963E2">
      <w:r w:rsidRPr="000C09B9">
        <w:t>A slightly higher percentage of subjects in the MTX arm (13.4%; 25</w:t>
      </w:r>
      <w:r w:rsidR="00BF3E77">
        <w:t xml:space="preserve"> out of </w:t>
      </w:r>
      <w:r w:rsidRPr="000C09B9">
        <w:t>186) discontinued due to AEs compared to both TOF dose groups (10.7% [40</w:t>
      </w:r>
      <w:r w:rsidR="00BF3E77">
        <w:t xml:space="preserve"> out of </w:t>
      </w:r>
      <w:r w:rsidRPr="000C09B9">
        <w:t>373] in the 5 mg group and 10.3% [41</w:t>
      </w:r>
      <w:r w:rsidR="00BF3E77">
        <w:t xml:space="preserve"> out of </w:t>
      </w:r>
      <w:r w:rsidRPr="000C09B9">
        <w:t>397] in the 10 mg arm). Abnormal investigation results (11 subjects) and various types of infection (8 patients) were the 2 most common reasons for treatment related AEs leading to withdrawal for patients in the TOF 5 mg group. The 11 subjects affected by abnormal investigation results included 3 cases of elevated serum transaminases, 3 cases of increased CPK levels and 2 cases of increased serum creatinine. Patients discontinuing from TOF 10 mg therapy showed a similar pattern of AEs, with the notable exception of 2 cases of TB being the precipitating treatment related AE</w:t>
      </w:r>
      <w:r w:rsidR="00B34BFC">
        <w:t>.</w:t>
      </w:r>
    </w:p>
    <w:p w:rsidR="001963E2" w:rsidRDefault="001963E2" w:rsidP="001963E2">
      <w:r w:rsidRPr="00811FD9">
        <w:t xml:space="preserve">In </w:t>
      </w:r>
      <w:r>
        <w:t>this s</w:t>
      </w:r>
      <w:r w:rsidRPr="00811FD9">
        <w:t xml:space="preserve">tudy, 12 (3.2%) subjects </w:t>
      </w:r>
      <w:r>
        <w:t>i</w:t>
      </w:r>
      <w:r w:rsidRPr="00811FD9">
        <w:t>n t</w:t>
      </w:r>
      <w:r>
        <w:t xml:space="preserve">he TOF </w:t>
      </w:r>
      <w:r w:rsidRPr="00811FD9">
        <w:t xml:space="preserve">5 mg </w:t>
      </w:r>
      <w:r>
        <w:t>group</w:t>
      </w:r>
      <w:r w:rsidRPr="00811FD9">
        <w:t xml:space="preserve">, 13 (3.3%) </w:t>
      </w:r>
      <w:r>
        <w:t>patien</w:t>
      </w:r>
      <w:r w:rsidRPr="00811FD9">
        <w:t xml:space="preserve">ts </w:t>
      </w:r>
      <w:r>
        <w:t>i</w:t>
      </w:r>
      <w:r w:rsidRPr="00811FD9">
        <w:t xml:space="preserve">n </w:t>
      </w:r>
      <w:r>
        <w:t xml:space="preserve">the TOF </w:t>
      </w:r>
      <w:r w:rsidRPr="00811FD9">
        <w:t xml:space="preserve">10 mg </w:t>
      </w:r>
      <w:r>
        <w:t xml:space="preserve">arm </w:t>
      </w:r>
      <w:r w:rsidRPr="00811FD9">
        <w:t xml:space="preserve">and 13 subjects (7%) </w:t>
      </w:r>
      <w:r>
        <w:t>i</w:t>
      </w:r>
      <w:r w:rsidRPr="00811FD9">
        <w:t xml:space="preserve">n </w:t>
      </w:r>
      <w:r>
        <w:t xml:space="preserve">the </w:t>
      </w:r>
      <w:r w:rsidRPr="00811FD9">
        <w:t xml:space="preserve">MTX </w:t>
      </w:r>
      <w:r>
        <w:t xml:space="preserve">group </w:t>
      </w:r>
      <w:r w:rsidRPr="00811FD9">
        <w:t xml:space="preserve">met the </w:t>
      </w:r>
      <w:r>
        <w:t xml:space="preserve">protocol </w:t>
      </w:r>
      <w:r w:rsidRPr="00811FD9">
        <w:t xml:space="preserve">criteria for further </w:t>
      </w:r>
      <w:r>
        <w:t xml:space="preserve">intensive </w:t>
      </w:r>
      <w:r w:rsidRPr="00811FD9">
        <w:t>monitoring</w:t>
      </w:r>
      <w:r>
        <w:t xml:space="preserve"> (</w:t>
      </w:r>
      <w:r w:rsidR="00B34BFC">
        <w:t xml:space="preserve">that is </w:t>
      </w:r>
      <w:r>
        <w:t>elevated serum transaminases on 2 consecutive readings)</w:t>
      </w:r>
      <w:r w:rsidRPr="00811FD9">
        <w:t>. Two subjects in the</w:t>
      </w:r>
      <w:r>
        <w:t xml:space="preserve"> TOF </w:t>
      </w:r>
      <w:r w:rsidRPr="00811FD9">
        <w:t xml:space="preserve">10 mg group and 1 subject in the MTX </w:t>
      </w:r>
      <w:r>
        <w:t>a</w:t>
      </w:r>
      <w:r w:rsidRPr="00811FD9">
        <w:t>r</w:t>
      </w:r>
      <w:r>
        <w:t>m</w:t>
      </w:r>
      <w:r w:rsidRPr="00811FD9">
        <w:t xml:space="preserve"> had to </w:t>
      </w:r>
      <w:r>
        <w:t xml:space="preserve">permanently </w:t>
      </w:r>
      <w:r w:rsidRPr="00811FD9">
        <w:t xml:space="preserve">discontinue </w:t>
      </w:r>
      <w:r>
        <w:t xml:space="preserve">treatment </w:t>
      </w:r>
      <w:r w:rsidRPr="00811FD9">
        <w:t xml:space="preserve">due to </w:t>
      </w:r>
      <w:r>
        <w:t xml:space="preserve">persistent abnormalities of liver function tests. In addition, </w:t>
      </w:r>
      <w:r w:rsidR="00584450">
        <w:t>2 </w:t>
      </w:r>
      <w:r w:rsidRPr="0087614E">
        <w:t>subjects</w:t>
      </w:r>
      <w:r>
        <w:t xml:space="preserve"> (both treated with TOF 10 mg therapy) met the initial screening process of </w:t>
      </w:r>
      <w:r w:rsidRPr="0087614E">
        <w:t xml:space="preserve">potential </w:t>
      </w:r>
      <w:proofErr w:type="spellStart"/>
      <w:r w:rsidRPr="0087614E">
        <w:t>Hy’s</w:t>
      </w:r>
      <w:proofErr w:type="spellEnd"/>
      <w:r w:rsidRPr="0087614E">
        <w:t xml:space="preserve"> Law cases </w:t>
      </w:r>
      <w:r>
        <w:t>(</w:t>
      </w:r>
      <w:r w:rsidR="00B34BFC">
        <w:t xml:space="preserve">that is </w:t>
      </w:r>
      <w:r>
        <w:t>serum</w:t>
      </w:r>
      <w:r w:rsidRPr="0087614E">
        <w:t xml:space="preserve"> ALT or AST </w:t>
      </w:r>
      <w:r w:rsidR="008F2D59">
        <w:t xml:space="preserve">≥ </w:t>
      </w:r>
      <w:r w:rsidRPr="0087614E">
        <w:t>3</w:t>
      </w:r>
      <w:r w:rsidR="008F2D59">
        <w:t xml:space="preserve"> x </w:t>
      </w:r>
      <w:r w:rsidRPr="0087614E">
        <w:t>ULN</w:t>
      </w:r>
      <w:r>
        <w:t xml:space="preserve"> </w:t>
      </w:r>
      <w:r w:rsidRPr="0087614E">
        <w:t xml:space="preserve">and bilirubin </w:t>
      </w:r>
      <w:r w:rsidR="008F2D59">
        <w:t xml:space="preserve">≥ </w:t>
      </w:r>
      <w:r w:rsidRPr="0087614E">
        <w:t>2</w:t>
      </w:r>
      <w:r w:rsidR="008F2D59">
        <w:t xml:space="preserve"> x </w:t>
      </w:r>
      <w:r w:rsidRPr="0087614E">
        <w:t>ULN</w:t>
      </w:r>
      <w:r>
        <w:t>). However both cases were subsequently dismissed.</w:t>
      </w:r>
    </w:p>
    <w:p w:rsidR="001963E2" w:rsidRDefault="001963E2" w:rsidP="001963E2">
      <w:r>
        <w:t>T</w:t>
      </w:r>
      <w:r w:rsidRPr="00CD6753">
        <w:t>he proportions of patients with raised</w:t>
      </w:r>
      <w:r>
        <w:t xml:space="preserve"> </w:t>
      </w:r>
      <w:r w:rsidRPr="00CD6753">
        <w:t xml:space="preserve">serum creatinine were greater in the </w:t>
      </w:r>
      <w:r>
        <w:t>TOF arms than the MTX</w:t>
      </w:r>
      <w:r w:rsidRPr="00CD6753">
        <w:t xml:space="preserve"> group</w:t>
      </w:r>
      <w:r>
        <w:t xml:space="preserve">. </w:t>
      </w:r>
      <w:r w:rsidRPr="00CD6753">
        <w:t>The proportion of patients wh</w:t>
      </w:r>
      <w:r>
        <w:t>o developed</w:t>
      </w:r>
      <w:r w:rsidRPr="00CD6753">
        <w:t xml:space="preserve"> raised serum</w:t>
      </w:r>
      <w:r>
        <w:t xml:space="preserve"> </w:t>
      </w:r>
      <w:r w:rsidR="00BE0162">
        <w:t xml:space="preserve">creatinine </w:t>
      </w:r>
      <w:r w:rsidR="00584450">
        <w:t>≥ </w:t>
      </w:r>
      <w:r>
        <w:t xml:space="preserve">33% of their baseline/screening value </w:t>
      </w:r>
      <w:r w:rsidRPr="00CD6753">
        <w:t>was</w:t>
      </w:r>
      <w:r>
        <w:t xml:space="preserve"> 9.9% (37</w:t>
      </w:r>
      <w:r w:rsidR="00BF3E77">
        <w:t xml:space="preserve"> out of </w:t>
      </w:r>
      <w:r>
        <w:t>373)</w:t>
      </w:r>
      <w:r w:rsidRPr="00CD6753">
        <w:t xml:space="preserve"> in th</w:t>
      </w:r>
      <w:r>
        <w:t>e TOF 5 mg group, 9.5% (38</w:t>
      </w:r>
      <w:r w:rsidR="00BF3E77">
        <w:t xml:space="preserve"> out of </w:t>
      </w:r>
      <w:r>
        <w:t>399) in</w:t>
      </w:r>
      <w:r w:rsidRPr="00CD6753">
        <w:t xml:space="preserve"> t</w:t>
      </w:r>
      <w:r>
        <w:t>he TOF 10 mg a</w:t>
      </w:r>
      <w:r w:rsidRPr="00CD6753">
        <w:t>r</w:t>
      </w:r>
      <w:r>
        <w:t>m and 2.7% (5</w:t>
      </w:r>
      <w:r w:rsidR="00BF3E77">
        <w:t xml:space="preserve"> out of </w:t>
      </w:r>
      <w:r>
        <w:t>186) in the MTX group</w:t>
      </w:r>
      <w:r w:rsidRPr="00CD6753">
        <w:t>.</w:t>
      </w:r>
      <w:r>
        <w:t xml:space="preserve"> </w:t>
      </w:r>
      <w:r w:rsidRPr="00CD6753">
        <w:t>The p</w:t>
      </w:r>
      <w:r>
        <w:t>e</w:t>
      </w:r>
      <w:r w:rsidRPr="00CD6753">
        <w:t>r</w:t>
      </w:r>
      <w:r>
        <w:t>cen</w:t>
      </w:r>
      <w:r w:rsidRPr="00CD6753">
        <w:t>t</w:t>
      </w:r>
      <w:r>
        <w:t>age</w:t>
      </w:r>
      <w:r w:rsidRPr="00CD6753">
        <w:t xml:space="preserve"> of </w:t>
      </w:r>
      <w:r>
        <w:t>subjec</w:t>
      </w:r>
      <w:r w:rsidRPr="00CD6753">
        <w:t>ts wh</w:t>
      </w:r>
      <w:r>
        <w:t>o recorded</w:t>
      </w:r>
      <w:r w:rsidRPr="00CD6753">
        <w:t xml:space="preserve"> raised serum</w:t>
      </w:r>
      <w:r>
        <w:t xml:space="preserve"> </w:t>
      </w:r>
      <w:r w:rsidRPr="00CD6753">
        <w:t xml:space="preserve">creatinine </w:t>
      </w:r>
      <w:r w:rsidR="008F2D59">
        <w:t xml:space="preserve">&gt; </w:t>
      </w:r>
      <w:r>
        <w:t xml:space="preserve">50% of their baseline/screening value </w:t>
      </w:r>
      <w:r w:rsidRPr="00CD6753">
        <w:t>was</w:t>
      </w:r>
      <w:r>
        <w:t xml:space="preserve"> 1.6% (6</w:t>
      </w:r>
      <w:r w:rsidR="00BF3E77">
        <w:t xml:space="preserve"> out of </w:t>
      </w:r>
      <w:r>
        <w:t>373)</w:t>
      </w:r>
      <w:r w:rsidRPr="00CD6753">
        <w:t xml:space="preserve"> in th</w:t>
      </w:r>
      <w:r>
        <w:t>e TOF 5 mg group, 2.5% (10</w:t>
      </w:r>
      <w:r w:rsidR="00BF3E77">
        <w:t xml:space="preserve"> out of </w:t>
      </w:r>
      <w:r>
        <w:t>399) in</w:t>
      </w:r>
      <w:r w:rsidRPr="00CD6753">
        <w:t xml:space="preserve"> t</w:t>
      </w:r>
      <w:r>
        <w:t>he TOF 10 mg a</w:t>
      </w:r>
      <w:r w:rsidRPr="00CD6753">
        <w:t>r</w:t>
      </w:r>
      <w:r>
        <w:t>m and zero in the MTX group</w:t>
      </w:r>
      <w:r w:rsidRPr="00CD6753">
        <w:t>.</w:t>
      </w:r>
    </w:p>
    <w:p w:rsidR="00B34BFC" w:rsidRDefault="001963E2" w:rsidP="001963E2">
      <w:r>
        <w:lastRenderedPageBreak/>
        <w:t>T</w:t>
      </w:r>
      <w:r w:rsidRPr="00D42875">
        <w:t xml:space="preserve">he percentage of subjects who experienced a </w:t>
      </w:r>
      <w:r w:rsidR="008F2D59">
        <w:t>&gt; 2 fold</w:t>
      </w:r>
      <w:r>
        <w:t xml:space="preserve"> increase in serum </w:t>
      </w:r>
      <w:r w:rsidRPr="00D42875">
        <w:t>C</w:t>
      </w:r>
      <w:r>
        <w:t>P</w:t>
      </w:r>
      <w:r w:rsidRPr="00D42875">
        <w:t xml:space="preserve">K </w:t>
      </w:r>
      <w:r>
        <w:t>r</w:t>
      </w:r>
      <w:r w:rsidRPr="00D42875">
        <w:t>e</w:t>
      </w:r>
      <w:r>
        <w:t xml:space="preserve">ading was significantly higher with </w:t>
      </w:r>
      <w:r w:rsidRPr="00D42875">
        <w:t>T</w:t>
      </w:r>
      <w:r>
        <w:t>OF therapy (in a d</w:t>
      </w:r>
      <w:r w:rsidRPr="00D42875">
        <w:t>os</w:t>
      </w:r>
      <w:r>
        <w:t>e related manner) compared to MTX. Overall, 12.5% (46</w:t>
      </w:r>
      <w:r w:rsidR="00BF3E77">
        <w:t xml:space="preserve"> out of </w:t>
      </w:r>
      <w:r>
        <w:t>368) of subjects in the TOF 5 mg group, 22.2% (88</w:t>
      </w:r>
      <w:r w:rsidR="00BF3E77">
        <w:t xml:space="preserve"> out of </w:t>
      </w:r>
      <w:r>
        <w:t>396) of patients i</w:t>
      </w:r>
      <w:r w:rsidRPr="00D42875">
        <w:t>n</w:t>
      </w:r>
      <w:r>
        <w:t xml:space="preserve"> </w:t>
      </w:r>
      <w:r w:rsidRPr="00D42875">
        <w:t>the</w:t>
      </w:r>
      <w:r>
        <w:t xml:space="preserve"> TOF </w:t>
      </w:r>
      <w:r w:rsidRPr="00D42875">
        <w:t xml:space="preserve">10 mg </w:t>
      </w:r>
      <w:r>
        <w:t>arm</w:t>
      </w:r>
      <w:r w:rsidRPr="00D42875">
        <w:t xml:space="preserve"> and </w:t>
      </w:r>
      <w:r>
        <w:t>3.8% (7</w:t>
      </w:r>
      <w:r w:rsidR="00BF3E77">
        <w:t xml:space="preserve"> out of </w:t>
      </w:r>
      <w:r>
        <w:t xml:space="preserve">184) of subjects in the </w:t>
      </w:r>
      <w:r w:rsidRPr="00D42875">
        <w:t>MTX</w:t>
      </w:r>
      <w:r>
        <w:t xml:space="preserve"> group developed </w:t>
      </w:r>
      <w:r w:rsidR="008F2D59">
        <w:t>2 fold</w:t>
      </w:r>
      <w:r>
        <w:t xml:space="preserve"> increases in serum CPK levels</w:t>
      </w:r>
      <w:r w:rsidRPr="00D42875">
        <w:t>.</w:t>
      </w:r>
      <w:r>
        <w:t xml:space="preserve"> A 29 year old male in the TOF 5 mg group permanently discontinued from the trial because of rhabdomyolysis with the peak serum CPK value being 3680 U/L on study day 450. No other patients recorded rhabdomyolysis</w:t>
      </w:r>
      <w:r w:rsidR="00B34BFC">
        <w:t>.</w:t>
      </w:r>
    </w:p>
    <w:p w:rsidR="00B34BFC" w:rsidRDefault="001963E2" w:rsidP="001963E2">
      <w:r>
        <w:t>T</w:t>
      </w:r>
      <w:r w:rsidRPr="002B1644">
        <w:t>he median decrease</w:t>
      </w:r>
      <w:r>
        <w:t xml:space="preserve"> from baseline</w:t>
      </w:r>
      <w:r w:rsidRPr="002B1644">
        <w:t xml:space="preserve"> in absolute neutrophil</w:t>
      </w:r>
      <w:r>
        <w:t xml:space="preserve"> </w:t>
      </w:r>
      <w:r w:rsidR="00584450">
        <w:t xml:space="preserve">counts was -1.17, -1.57 and </w:t>
      </w:r>
      <w:r w:rsidR="00584450">
        <w:noBreakHyphen/>
      </w:r>
      <w:r w:rsidRPr="002B1644">
        <w:t>0.85 x</w:t>
      </w:r>
      <w:r>
        <w:t xml:space="preserve"> </w:t>
      </w:r>
      <w:r w:rsidRPr="002B1644">
        <w:t>10</w:t>
      </w:r>
      <w:r>
        <w:rPr>
          <w:vertAlign w:val="superscript"/>
        </w:rPr>
        <w:t>9</w:t>
      </w:r>
      <w:r w:rsidRPr="002B1644">
        <w:t xml:space="preserve"> cells/L in the </w:t>
      </w:r>
      <w:r>
        <w:t>TOF</w:t>
      </w:r>
      <w:r w:rsidRPr="002B1644">
        <w:t xml:space="preserve"> 5</w:t>
      </w:r>
      <w:r>
        <w:t xml:space="preserve"> </w:t>
      </w:r>
      <w:r w:rsidRPr="002B1644">
        <w:t xml:space="preserve">mg, </w:t>
      </w:r>
      <w:r>
        <w:t xml:space="preserve">TOF </w:t>
      </w:r>
      <w:r w:rsidRPr="002B1644">
        <w:t>10 mg and MTX groups, respectively</w:t>
      </w:r>
      <w:r>
        <w:t>. There were</w:t>
      </w:r>
      <w:r w:rsidRPr="002B1644">
        <w:t xml:space="preserve"> </w:t>
      </w:r>
      <w:r>
        <w:t xml:space="preserve">also </w:t>
      </w:r>
      <w:r w:rsidRPr="002B1644">
        <w:t xml:space="preserve">greater </w:t>
      </w:r>
      <w:r>
        <w:t xml:space="preserve">median </w:t>
      </w:r>
      <w:r w:rsidRPr="002B1644">
        <w:t xml:space="preserve">decreases </w:t>
      </w:r>
      <w:r>
        <w:t xml:space="preserve">from baseline </w:t>
      </w:r>
      <w:r w:rsidRPr="002B1644">
        <w:t xml:space="preserve">in </w:t>
      </w:r>
      <w:r>
        <w:t>total lymphocyte counts</w:t>
      </w:r>
      <w:r w:rsidRPr="002B1644">
        <w:t xml:space="preserve"> with </w:t>
      </w:r>
      <w:r>
        <w:t>TOF</w:t>
      </w:r>
      <w:r w:rsidRPr="002B1644">
        <w:t xml:space="preserve"> </w:t>
      </w:r>
      <w:r>
        <w:t>(</w:t>
      </w:r>
      <w:r w:rsidRPr="002B1644">
        <w:t>5 and 10 mg</w:t>
      </w:r>
      <w:r>
        <w:t xml:space="preserve"> therapy) </w:t>
      </w:r>
      <w:r w:rsidR="00B9173F">
        <w:t xml:space="preserve">compared to MTX over the </w:t>
      </w:r>
      <w:r w:rsidR="008F2D59">
        <w:t>2 year</w:t>
      </w:r>
      <w:r w:rsidRPr="002B1644">
        <w:t xml:space="preserve"> period. </w:t>
      </w:r>
      <w:r>
        <w:t>The incidence of mild or moderate to severe neutropaenia was relatively low and comparable between the low dose TOF and MTX groups throughout the study but somewhat higher for the TOF 10 mg arm. One</w:t>
      </w:r>
      <w:r w:rsidRPr="00947DB4">
        <w:t xml:space="preserve"> patient d</w:t>
      </w:r>
      <w:r>
        <w:t>eveloped</w:t>
      </w:r>
      <w:r w:rsidRPr="00947DB4">
        <w:t xml:space="preserve"> potentially</w:t>
      </w:r>
      <w:r>
        <w:t xml:space="preserve"> </w:t>
      </w:r>
      <w:r w:rsidRPr="00947DB4">
        <w:t>life-threatening neutrop</w:t>
      </w:r>
      <w:r>
        <w:t>a</w:t>
      </w:r>
      <w:r w:rsidRPr="00947DB4">
        <w:t xml:space="preserve">enia </w:t>
      </w:r>
      <w:r>
        <w:t>during the trial and</w:t>
      </w:r>
      <w:r w:rsidRPr="00947DB4">
        <w:t xml:space="preserve"> th</w:t>
      </w:r>
      <w:r>
        <w:t xml:space="preserve">at subject was </w:t>
      </w:r>
      <w:r w:rsidRPr="00947DB4">
        <w:t>t</w:t>
      </w:r>
      <w:r>
        <w:t>re</w:t>
      </w:r>
      <w:r w:rsidRPr="00947DB4">
        <w:t>at</w:t>
      </w:r>
      <w:r>
        <w:t>ed with TOF</w:t>
      </w:r>
      <w:r w:rsidRPr="00947DB4">
        <w:t xml:space="preserve"> 5 mg </w:t>
      </w:r>
      <w:r>
        <w:t>therapy</w:t>
      </w:r>
      <w:r w:rsidRPr="00947DB4">
        <w:t>.</w:t>
      </w:r>
      <w:r>
        <w:t xml:space="preserve"> A total of 5 patients (3 in the TOF 5 mg group, and 1 each in the TOF 10 mg and MTX arms) developed thrombocytopenia. Only one subject in the TOF 5 mg group developed significant </w:t>
      </w:r>
      <w:proofErr w:type="spellStart"/>
      <w:r>
        <w:t>lymphopaenia</w:t>
      </w:r>
      <w:proofErr w:type="spellEnd"/>
      <w:r>
        <w:t xml:space="preserve"> which persisted on two sequential readings during the trial</w:t>
      </w:r>
      <w:r w:rsidR="00B34BFC">
        <w:t>.</w:t>
      </w:r>
    </w:p>
    <w:p w:rsidR="00B34BFC" w:rsidRDefault="001963E2" w:rsidP="001963E2">
      <w:r>
        <w:t>Treatment with TOF produces a significant, dose dependent increase in serum total cholesterol, which is evident by 3 months of therapy, plateaus at 6 months and remains stable thereafter up to 24 months of treatment follow-up. By 24 months, TOF 5 mg BD resulted in a mean 17.4% increase from baseline in total cholesterol and TOF 10 mg BD causes a mean 20.7% increase from baseline. Similar results with TOF were observed for low density lipoprotein levels and serum triglyceride levels</w:t>
      </w:r>
      <w:r w:rsidR="00B34BFC">
        <w:t>.</w:t>
      </w:r>
    </w:p>
    <w:p w:rsidR="00BE0162" w:rsidRDefault="001963E2" w:rsidP="00BE0162">
      <w:pPr>
        <w:pStyle w:val="Heading5"/>
      </w:pPr>
      <w:r w:rsidRPr="00233149">
        <w:t>Integrated analysis</w:t>
      </w:r>
    </w:p>
    <w:p w:rsidR="00B34BFC" w:rsidRDefault="001963E2" w:rsidP="001963E2">
      <w:r>
        <w:t xml:space="preserve">In addition to studies A3921044 and A3921069, another 4 </w:t>
      </w:r>
      <w:r w:rsidR="00B34BFC">
        <w:t>Phase III</w:t>
      </w:r>
      <w:r>
        <w:t xml:space="preserve"> studies (A3921032, A3921045, A3921046 and A3921064) and 2 </w:t>
      </w:r>
      <w:r w:rsidR="008F2D59">
        <w:t>open label</w:t>
      </w:r>
      <w:r>
        <w:t xml:space="preserve">, LTE studies (A3921024 and A3921041) have contributed safety data to the integrated safety dataset. Two of the </w:t>
      </w:r>
      <w:r w:rsidR="00584450">
        <w:t>Phase </w:t>
      </w:r>
      <w:r w:rsidR="00B34BFC">
        <w:t>III</w:t>
      </w:r>
      <w:r>
        <w:t xml:space="preserve"> trials (A3921045 and A3921069) were TOF monotherapy studies, whereas all of the other four </w:t>
      </w:r>
      <w:r w:rsidR="00B34BFC">
        <w:t>Phase III</w:t>
      </w:r>
      <w:r>
        <w:t xml:space="preserve"> studies involved the addition of TOF to background DMARD, mainly MTX. All but one trial included two dose regimens of TOF (5 mg BD and 10 mg BD). The integrated safety population also included safety information from 2 Phase 1 studies (A3921030 and A3921152) and 9 </w:t>
      </w:r>
      <w:r w:rsidR="00B34BFC">
        <w:t>Phase II</w:t>
      </w:r>
      <w:r>
        <w:t xml:space="preserve"> studies (A3921019, A3921025, A3921035, A3921039, A3921040, A3921068, A3921073, A3921109 and A3921129)</w:t>
      </w:r>
      <w:r w:rsidR="00B34BFC">
        <w:t>.</w:t>
      </w:r>
    </w:p>
    <w:p w:rsidR="001963E2" w:rsidRDefault="001963E2" w:rsidP="001963E2">
      <w:r>
        <w:t>A total of 6194 subjects with RA in the total integrated data set (P123LTE) have received at least one dose of TOF in the P123LTE population. The total patient exposure was 19405.8 PY with a mean duration of 3.13 years.</w:t>
      </w:r>
    </w:p>
    <w:p w:rsidR="00B34BFC" w:rsidRDefault="001963E2" w:rsidP="001963E2">
      <w:r>
        <w:t>In the long term safety all exposure population (</w:t>
      </w:r>
      <w:r w:rsidR="008F2D59">
        <w:t xml:space="preserve">n = </w:t>
      </w:r>
      <w:r>
        <w:t>4867 subjects, 14925.8 PY total exposure), t</w:t>
      </w:r>
      <w:r w:rsidRPr="00F21994">
        <w:t xml:space="preserve">he </w:t>
      </w:r>
      <w:r>
        <w:t>r</w:t>
      </w:r>
      <w:r w:rsidRPr="00F21994">
        <w:t>ate</w:t>
      </w:r>
      <w:r>
        <w:t>s</w:t>
      </w:r>
      <w:r w:rsidRPr="00F21994">
        <w:t xml:space="preserve"> of </w:t>
      </w:r>
      <w:r>
        <w:t xml:space="preserve">overall </w:t>
      </w:r>
      <w:r w:rsidRPr="00F21994">
        <w:t xml:space="preserve">infection with </w:t>
      </w:r>
      <w:r>
        <w:t>TOF</w:t>
      </w:r>
      <w:r w:rsidRPr="00F21994">
        <w:t xml:space="preserve"> </w:t>
      </w:r>
      <w:r>
        <w:t xml:space="preserve">5 mg BD therapy was </w:t>
      </w:r>
      <w:r w:rsidRPr="00F21994">
        <w:t>4</w:t>
      </w:r>
      <w:r>
        <w:t>3.8 events p</w:t>
      </w:r>
      <w:r w:rsidRPr="00F21994">
        <w:t xml:space="preserve">er 100 </w:t>
      </w:r>
      <w:r>
        <w:t>PY</w:t>
      </w:r>
      <w:r w:rsidRPr="00F21994">
        <w:t xml:space="preserve"> (</w:t>
      </w:r>
      <w:r>
        <w:t xml:space="preserve">95% CI </w:t>
      </w:r>
      <w:r w:rsidRPr="00F21994">
        <w:t>4</w:t>
      </w:r>
      <w:r>
        <w:t>1</w:t>
      </w:r>
      <w:r w:rsidRPr="00F21994">
        <w:t>.</w:t>
      </w:r>
      <w:r>
        <w:t>2, 46.55 events per 100 PY)</w:t>
      </w:r>
      <w:r w:rsidRPr="00F21994">
        <w:t xml:space="preserve"> and 47.2</w:t>
      </w:r>
      <w:r>
        <w:t xml:space="preserve"> </w:t>
      </w:r>
      <w:r w:rsidRPr="00F21994">
        <w:t>e</w:t>
      </w:r>
      <w:r>
        <w:t>ve</w:t>
      </w:r>
      <w:r w:rsidRPr="00F21994">
        <w:t xml:space="preserve">nts </w:t>
      </w:r>
      <w:r>
        <w:t>p</w:t>
      </w:r>
      <w:r w:rsidRPr="00F21994">
        <w:t>e</w:t>
      </w:r>
      <w:r>
        <w:t>r 100 PY (95% CI 45.25, 49.16 events per 100 PY)</w:t>
      </w:r>
      <w:r w:rsidRPr="00F21994">
        <w:t xml:space="preserve"> for </w:t>
      </w:r>
      <w:r>
        <w:t xml:space="preserve">TOF </w:t>
      </w:r>
      <w:r w:rsidRPr="00F21994">
        <w:t>10 mg</w:t>
      </w:r>
      <w:r>
        <w:t xml:space="preserve"> BD t</w:t>
      </w:r>
      <w:r w:rsidRPr="00F21994">
        <w:t>re</w:t>
      </w:r>
      <w:r>
        <w:t>a</w:t>
      </w:r>
      <w:r w:rsidRPr="00F21994">
        <w:t>t</w:t>
      </w:r>
      <w:r>
        <w:t>m</w:t>
      </w:r>
      <w:r w:rsidRPr="00F21994">
        <w:t>e</w:t>
      </w:r>
      <w:r>
        <w:t>nt</w:t>
      </w:r>
      <w:r w:rsidRPr="00F21994">
        <w:t xml:space="preserve">. For patients on </w:t>
      </w:r>
      <w:r>
        <w:t xml:space="preserve">TOF </w:t>
      </w:r>
      <w:r w:rsidRPr="00F21994">
        <w:t>monotherapy (</w:t>
      </w:r>
      <w:r w:rsidR="008F2D59">
        <w:t xml:space="preserve">n = </w:t>
      </w:r>
      <w:r w:rsidRPr="00F21994">
        <w:t>1750</w:t>
      </w:r>
      <w:r>
        <w:t xml:space="preserve"> subjects</w:t>
      </w:r>
      <w:r w:rsidRPr="00F21994">
        <w:t>), the rates</w:t>
      </w:r>
      <w:r>
        <w:t xml:space="preserve"> of overall infection </w:t>
      </w:r>
      <w:r w:rsidRPr="00F21994">
        <w:t xml:space="preserve">were 48.9 and 41.9 events per 100 </w:t>
      </w:r>
      <w:r>
        <w:t>PY</w:t>
      </w:r>
      <w:r w:rsidRPr="00F21994">
        <w:t xml:space="preserve"> for 5 mg and 10 mg </w:t>
      </w:r>
      <w:r>
        <w:t>BD</w:t>
      </w:r>
      <w:r w:rsidRPr="00F21994">
        <w:t xml:space="preserve">, respectively. For patients </w:t>
      </w:r>
      <w:r>
        <w:t>taking TOF with concomitant</w:t>
      </w:r>
      <w:r w:rsidRPr="00F21994">
        <w:t xml:space="preserve"> DMARD (</w:t>
      </w:r>
      <w:r w:rsidR="00584450">
        <w:t>n = </w:t>
      </w:r>
      <w:r w:rsidRPr="00F21994">
        <w:t>3117</w:t>
      </w:r>
      <w:r>
        <w:t xml:space="preserve"> subjects</w:t>
      </w:r>
      <w:r w:rsidRPr="00F21994">
        <w:t>), the rates</w:t>
      </w:r>
      <w:r>
        <w:t xml:space="preserve"> of overall infection w</w:t>
      </w:r>
      <w:r w:rsidRPr="00F21994">
        <w:t xml:space="preserve">ere 41.0 and 50.3 events per 100 </w:t>
      </w:r>
      <w:r>
        <w:t>PY</w:t>
      </w:r>
      <w:r w:rsidRPr="00F21994">
        <w:t xml:space="preserve"> for </w:t>
      </w:r>
      <w:r>
        <w:t xml:space="preserve">TOF </w:t>
      </w:r>
      <w:r w:rsidRPr="00F21994">
        <w:t xml:space="preserve">5 mg and 10 mg </w:t>
      </w:r>
      <w:r>
        <w:t>BD therapy</w:t>
      </w:r>
      <w:r w:rsidRPr="00F21994">
        <w:t>, respectively</w:t>
      </w:r>
      <w:r w:rsidR="00B34BFC">
        <w:t>.</w:t>
      </w:r>
    </w:p>
    <w:p w:rsidR="00B34BFC" w:rsidRDefault="001963E2" w:rsidP="001963E2">
      <w:r>
        <w:t>The incidence of serious infection was 2.38 events per 100 PY (95% CI 1.98, 2.84) for patients treated with TOF 5 mg BD and 2.97 events per 100 PY (95% CI 2.64, 3.34) for patients treated with TOF 10 mg BD. The most common types of serious infection in the long term dataset are pneumonia, herpes zoster, urinary tract infection, cellulitis, gastroenteritis and diverticulitis, all of which are included in the proposed PI</w:t>
      </w:r>
      <w:r w:rsidR="00B34BFC">
        <w:t>.</w:t>
      </w:r>
    </w:p>
    <w:p w:rsidR="001963E2" w:rsidRDefault="001963E2" w:rsidP="001963E2">
      <w:r w:rsidRPr="005D3D13">
        <w:lastRenderedPageBreak/>
        <w:t xml:space="preserve">The incidence of adjudicated gastrointestinal perforations </w:t>
      </w:r>
      <w:r>
        <w:t>wa</w:t>
      </w:r>
      <w:r w:rsidR="00584450">
        <w:t xml:space="preserve">s low at 0 to </w:t>
      </w:r>
      <w:r w:rsidRPr="005D3D13">
        <w:t>0.07 events per 100 PY for TOF 5 mg therapy, b</w:t>
      </w:r>
      <w:r w:rsidR="00584450">
        <w:t xml:space="preserve">ut significantly higher at 0.14 to </w:t>
      </w:r>
      <w:r w:rsidRPr="005D3D13">
        <w:t>0.15 events per 100 PY in those treated with TOF 10 mg BD</w:t>
      </w:r>
      <w:r>
        <w:t>.</w:t>
      </w:r>
    </w:p>
    <w:p w:rsidR="00B34BFC" w:rsidRDefault="001963E2" w:rsidP="001963E2">
      <w:r>
        <w:t>A total of 90 deaths in association with TOF therapy have been recorded in the long term safety dataset (1.45% of 6194 subjects) at an incidence rate of 0.47 deaths per 100 PY (95% CI 0.37, 0.57). Regarding the 5 mg BD regimen, 37 deaths (2.5% of 1471) have been reported at an incidence rate of 0.70 deaths per 100 PY (95% CI 0.49, 0.97), which is more than double the all-cause mortality results observed with TOF 10 mg BD (32 deaths [0.94% of 3396] at an incidence rate of 0.33 deaths per 100 PY [95% CI 0.23, 0.47])</w:t>
      </w:r>
      <w:r w:rsidR="00B34BFC">
        <w:t>.</w:t>
      </w:r>
    </w:p>
    <w:p w:rsidR="001963E2" w:rsidRDefault="001963E2" w:rsidP="00BE0162">
      <w:pPr>
        <w:pStyle w:val="Heading5"/>
      </w:pPr>
      <w:r w:rsidRPr="0097444D">
        <w:t>Other studies</w:t>
      </w:r>
    </w:p>
    <w:p w:rsidR="00B34BFC" w:rsidRDefault="001963E2" w:rsidP="001963E2">
      <w:r>
        <w:t>T</w:t>
      </w:r>
      <w:r w:rsidRPr="00C62089">
        <w:t xml:space="preserve">he most commonly reported </w:t>
      </w:r>
      <w:r>
        <w:t>AE</w:t>
      </w:r>
      <w:r w:rsidRPr="00C62089">
        <w:t>s</w:t>
      </w:r>
      <w:r>
        <w:t xml:space="preserve"> </w:t>
      </w:r>
      <w:r w:rsidRPr="00C62089">
        <w:t xml:space="preserve">during the first 3 months </w:t>
      </w:r>
      <w:r>
        <w:t xml:space="preserve">of TOF therapy </w:t>
      </w:r>
      <w:r w:rsidRPr="00C62089">
        <w:t xml:space="preserve">in the 6 </w:t>
      </w:r>
      <w:r w:rsidR="00584450">
        <w:t>Phase </w:t>
      </w:r>
      <w:r w:rsidR="00B34BFC">
        <w:t>III</w:t>
      </w:r>
      <w:r>
        <w:t xml:space="preserve"> clinical trials</w:t>
      </w:r>
      <w:r w:rsidRPr="00C62089">
        <w:t xml:space="preserve"> were headache,</w:t>
      </w:r>
      <w:r>
        <w:t xml:space="preserve"> URTI</w:t>
      </w:r>
      <w:r w:rsidRPr="00C62089">
        <w:t>, nasopharyngitis, diarrhoea, nausea and</w:t>
      </w:r>
      <w:r>
        <w:t xml:space="preserve"> </w:t>
      </w:r>
      <w:r w:rsidRPr="00C62089">
        <w:t>hypertension</w:t>
      </w:r>
      <w:r>
        <w:t xml:space="preserve">. </w:t>
      </w:r>
      <w:r w:rsidRPr="00D625C5">
        <w:t xml:space="preserve">In the controlled portion (0-3 months) of the </w:t>
      </w:r>
      <w:r w:rsidR="002D2F85">
        <w:t>two</w:t>
      </w:r>
      <w:r>
        <w:t xml:space="preserve"> </w:t>
      </w:r>
      <w:r w:rsidR="00B34BFC">
        <w:t>Phase III</w:t>
      </w:r>
      <w:r w:rsidRPr="00D625C5">
        <w:t xml:space="preserve"> monotherapy studies,</w:t>
      </w:r>
      <w:r>
        <w:t xml:space="preserve"> </w:t>
      </w:r>
      <w:r w:rsidRPr="00D625C5">
        <w:t>the rate</w:t>
      </w:r>
      <w:r>
        <w:t>s</w:t>
      </w:r>
      <w:r w:rsidRPr="00D625C5">
        <w:t xml:space="preserve"> of </w:t>
      </w:r>
      <w:r>
        <w:t xml:space="preserve">overall </w:t>
      </w:r>
      <w:r w:rsidRPr="00D625C5">
        <w:t>infection</w:t>
      </w:r>
      <w:r>
        <w:t xml:space="preserve"> w</w:t>
      </w:r>
      <w:r w:rsidRPr="00D625C5">
        <w:t>ith</w:t>
      </w:r>
      <w:r>
        <w:t xml:space="preserve"> TOF</w:t>
      </w:r>
      <w:r w:rsidRPr="00D625C5">
        <w:t xml:space="preserve"> 5 mg </w:t>
      </w:r>
      <w:r>
        <w:t>BD</w:t>
      </w:r>
      <w:r w:rsidRPr="00D625C5">
        <w:t xml:space="preserve"> and 10 mg </w:t>
      </w:r>
      <w:r>
        <w:t>BD</w:t>
      </w:r>
      <w:r w:rsidRPr="00D625C5">
        <w:t xml:space="preserve"> monotherapy</w:t>
      </w:r>
      <w:r>
        <w:t xml:space="preserve"> </w:t>
      </w:r>
      <w:r w:rsidRPr="00D625C5">
        <w:t>were 16.1% and 17.8%,</w:t>
      </w:r>
      <w:r>
        <w:t xml:space="preserve"> </w:t>
      </w:r>
      <w:r w:rsidRPr="00D625C5">
        <w:t xml:space="preserve">respectively, compared to 18.9% in the </w:t>
      </w:r>
      <w:r>
        <w:t>control</w:t>
      </w:r>
      <w:r w:rsidRPr="00D625C5">
        <w:t xml:space="preserve"> group. In the</w:t>
      </w:r>
      <w:r>
        <w:t xml:space="preserve"> </w:t>
      </w:r>
      <w:r w:rsidRPr="00D625C5">
        <w:t>controlled portion of the</w:t>
      </w:r>
      <w:r w:rsidR="00B9173F">
        <w:t xml:space="preserve"> four</w:t>
      </w:r>
      <w:r w:rsidRPr="00D625C5">
        <w:t xml:space="preserve"> </w:t>
      </w:r>
      <w:r w:rsidR="00B34BFC">
        <w:t>Phase III</w:t>
      </w:r>
      <w:r>
        <w:t xml:space="preserve"> studies</w:t>
      </w:r>
      <w:r w:rsidRPr="00D625C5">
        <w:t xml:space="preserve"> wh</w:t>
      </w:r>
      <w:r>
        <w:t xml:space="preserve">ere TOF was combined with </w:t>
      </w:r>
      <w:r w:rsidRPr="00D625C5">
        <w:t xml:space="preserve">background DMARD, the rates of </w:t>
      </w:r>
      <w:r>
        <w:t xml:space="preserve">overall </w:t>
      </w:r>
      <w:r w:rsidRPr="00D625C5">
        <w:t xml:space="preserve">infection in the 5 mg </w:t>
      </w:r>
      <w:r>
        <w:t>BD</w:t>
      </w:r>
      <w:r w:rsidRPr="00D625C5">
        <w:t xml:space="preserve"> and 10 mg </w:t>
      </w:r>
      <w:r>
        <w:t xml:space="preserve">BD </w:t>
      </w:r>
      <w:r w:rsidRPr="00D625C5">
        <w:t>groups were 21.3% and 21.8%, respectively, compared to 18.4% in</w:t>
      </w:r>
      <w:r>
        <w:t xml:space="preserve"> </w:t>
      </w:r>
      <w:r w:rsidRPr="00D625C5">
        <w:t xml:space="preserve">the </w:t>
      </w:r>
      <w:r>
        <w:t>PBO</w:t>
      </w:r>
      <w:r w:rsidRPr="00D625C5">
        <w:t xml:space="preserve"> plus DMARD </w:t>
      </w:r>
      <w:r>
        <w:t>a</w:t>
      </w:r>
      <w:r w:rsidRPr="00D625C5">
        <w:t>r</w:t>
      </w:r>
      <w:r>
        <w:t>m</w:t>
      </w:r>
      <w:r w:rsidRPr="00D625C5">
        <w:t xml:space="preserve">. </w:t>
      </w:r>
      <w:r>
        <w:t xml:space="preserve">With extended combination treatment follow-up </w:t>
      </w:r>
      <w:r w:rsidR="00584450">
        <w:t xml:space="preserve">(0 to </w:t>
      </w:r>
      <w:r w:rsidRPr="00D625C5">
        <w:t xml:space="preserve">6 months of the </w:t>
      </w:r>
      <w:r w:rsidR="00B9173F">
        <w:t>three</w:t>
      </w:r>
      <w:r>
        <w:t xml:space="preserve"> </w:t>
      </w:r>
      <w:r w:rsidR="00B34BFC">
        <w:t>Phase III</w:t>
      </w:r>
      <w:r>
        <w:t xml:space="preserve"> </w:t>
      </w:r>
      <w:r w:rsidRPr="00D625C5">
        <w:t>studies</w:t>
      </w:r>
      <w:r>
        <w:t>) where TOF</w:t>
      </w:r>
      <w:r w:rsidRPr="00D625C5">
        <w:t xml:space="preserve"> </w:t>
      </w:r>
      <w:r>
        <w:t>plus</w:t>
      </w:r>
      <w:r w:rsidRPr="00D625C5">
        <w:t xml:space="preserve"> DMARD</w:t>
      </w:r>
      <w:r>
        <w:t xml:space="preserve"> wa</w:t>
      </w:r>
      <w:r w:rsidRPr="00D625C5">
        <w:t>s</w:t>
      </w:r>
      <w:r>
        <w:t xml:space="preserve"> used</w:t>
      </w:r>
      <w:r w:rsidRPr="00D625C5">
        <w:t xml:space="preserve">, the rates of </w:t>
      </w:r>
      <w:r>
        <w:t xml:space="preserve">overall </w:t>
      </w:r>
      <w:r w:rsidRPr="00D625C5">
        <w:t>infection in the 5 mg</w:t>
      </w:r>
      <w:r>
        <w:t xml:space="preserve"> BD</w:t>
      </w:r>
      <w:r w:rsidRPr="00D625C5">
        <w:t xml:space="preserve"> and 10 mg </w:t>
      </w:r>
      <w:r>
        <w:t>BD</w:t>
      </w:r>
      <w:r w:rsidRPr="00D625C5">
        <w:t xml:space="preserve"> </w:t>
      </w:r>
      <w:r>
        <w:t xml:space="preserve">TOF </w:t>
      </w:r>
      <w:r w:rsidRPr="00D625C5">
        <w:t>plus DMARD groups were 34.6% and 32.8%,</w:t>
      </w:r>
      <w:r>
        <w:t xml:space="preserve"> </w:t>
      </w:r>
      <w:r w:rsidRPr="00D625C5">
        <w:t xml:space="preserve">respectively, compared to 21.3% in the </w:t>
      </w:r>
      <w:r>
        <w:t>PBO</w:t>
      </w:r>
      <w:r w:rsidRPr="00D625C5">
        <w:t xml:space="preserve"> plus DMARD group. The most commonly reported </w:t>
      </w:r>
      <w:r>
        <w:t xml:space="preserve">types of </w:t>
      </w:r>
      <w:r w:rsidRPr="00D625C5">
        <w:t xml:space="preserve">infections were </w:t>
      </w:r>
      <w:r>
        <w:t xml:space="preserve">URTI </w:t>
      </w:r>
      <w:r w:rsidRPr="00D625C5">
        <w:t>and</w:t>
      </w:r>
      <w:r>
        <w:t xml:space="preserve"> </w:t>
      </w:r>
      <w:r w:rsidRPr="00D625C5">
        <w:t>nasopharyngitis</w:t>
      </w:r>
      <w:r w:rsidR="00B34BFC">
        <w:t>.</w:t>
      </w:r>
    </w:p>
    <w:p w:rsidR="00B34BFC" w:rsidRDefault="001963E2" w:rsidP="001963E2">
      <w:r w:rsidRPr="00D625C5">
        <w:t xml:space="preserve">In the controlled portion of the </w:t>
      </w:r>
      <w:r w:rsidR="00B9173F">
        <w:t>two</w:t>
      </w:r>
      <w:r>
        <w:t xml:space="preserve"> </w:t>
      </w:r>
      <w:r w:rsidR="00B34BFC">
        <w:t>Phase III</w:t>
      </w:r>
      <w:r w:rsidRPr="00D625C5">
        <w:t xml:space="preserve"> monotherapy studies,</w:t>
      </w:r>
      <w:r>
        <w:t xml:space="preserve"> </w:t>
      </w:r>
      <w:r w:rsidRPr="00D625C5">
        <w:t>the rate</w:t>
      </w:r>
      <w:r>
        <w:t>s</w:t>
      </w:r>
      <w:r w:rsidRPr="00D625C5">
        <w:t xml:space="preserve"> of </w:t>
      </w:r>
      <w:r>
        <w:t xml:space="preserve">serious </w:t>
      </w:r>
      <w:r w:rsidRPr="00D625C5">
        <w:t>infection</w:t>
      </w:r>
      <w:r>
        <w:t xml:space="preserve"> w</w:t>
      </w:r>
      <w:r w:rsidRPr="00D625C5">
        <w:t>ith</w:t>
      </w:r>
      <w:r>
        <w:t xml:space="preserve"> TOF</w:t>
      </w:r>
      <w:r w:rsidRPr="00D625C5">
        <w:t xml:space="preserve"> 5 mg </w:t>
      </w:r>
      <w:r>
        <w:t>BD</w:t>
      </w:r>
      <w:r w:rsidRPr="00D625C5">
        <w:t xml:space="preserve"> and 10 mg </w:t>
      </w:r>
      <w:r>
        <w:t>BD</w:t>
      </w:r>
      <w:r w:rsidRPr="00D625C5">
        <w:t xml:space="preserve"> were </w:t>
      </w:r>
      <w:r>
        <w:t>0.2</w:t>
      </w:r>
      <w:r w:rsidRPr="00D625C5">
        <w:t xml:space="preserve">% and </w:t>
      </w:r>
      <w:r>
        <w:t>0.3</w:t>
      </w:r>
      <w:r w:rsidRPr="00D625C5">
        <w:t>%,</w:t>
      </w:r>
      <w:r>
        <w:t xml:space="preserve"> </w:t>
      </w:r>
      <w:r w:rsidRPr="00D625C5">
        <w:t xml:space="preserve">respectively, compared to </w:t>
      </w:r>
      <w:r>
        <w:t>zero</w:t>
      </w:r>
      <w:r w:rsidRPr="00D625C5">
        <w:t xml:space="preserve"> in the </w:t>
      </w:r>
      <w:r>
        <w:t>control</w:t>
      </w:r>
      <w:r w:rsidRPr="00D625C5">
        <w:t xml:space="preserve"> group. In the</w:t>
      </w:r>
      <w:r>
        <w:t xml:space="preserve"> </w:t>
      </w:r>
      <w:r w:rsidRPr="00D625C5">
        <w:t>controlled portion of the</w:t>
      </w:r>
      <w:r>
        <w:t xml:space="preserve"> 4</w:t>
      </w:r>
      <w:r w:rsidRPr="00D625C5">
        <w:t xml:space="preserve"> </w:t>
      </w:r>
      <w:r w:rsidR="00B34BFC">
        <w:t>Phase III</w:t>
      </w:r>
      <w:r w:rsidRPr="00D625C5">
        <w:t xml:space="preserve"> studies wh</w:t>
      </w:r>
      <w:r>
        <w:t xml:space="preserve">ere TOF was combined with </w:t>
      </w:r>
      <w:r w:rsidRPr="00D625C5">
        <w:t xml:space="preserve">background DMARD, the rates of </w:t>
      </w:r>
      <w:r>
        <w:t xml:space="preserve">serious </w:t>
      </w:r>
      <w:r w:rsidRPr="00D625C5">
        <w:t xml:space="preserve">infection in the 5 mg </w:t>
      </w:r>
      <w:r>
        <w:t>BD</w:t>
      </w:r>
      <w:r w:rsidRPr="00D625C5">
        <w:t xml:space="preserve"> and 10 mg </w:t>
      </w:r>
      <w:r>
        <w:t xml:space="preserve">BD </w:t>
      </w:r>
      <w:r w:rsidRPr="00D625C5">
        <w:t xml:space="preserve">plus DMARD groups were </w:t>
      </w:r>
      <w:r>
        <w:t>0.8</w:t>
      </w:r>
      <w:r w:rsidRPr="00D625C5">
        <w:t xml:space="preserve">% and </w:t>
      </w:r>
      <w:r>
        <w:t>0</w:t>
      </w:r>
      <w:r w:rsidRPr="00D625C5">
        <w:t xml:space="preserve">.8%, respectively, compared to </w:t>
      </w:r>
      <w:r>
        <w:t>0</w:t>
      </w:r>
      <w:r w:rsidRPr="00D625C5">
        <w:t>.4% in</w:t>
      </w:r>
      <w:r>
        <w:t xml:space="preserve"> </w:t>
      </w:r>
      <w:r w:rsidRPr="00D625C5">
        <w:t xml:space="preserve">the </w:t>
      </w:r>
      <w:r>
        <w:t>PBO</w:t>
      </w:r>
      <w:r w:rsidRPr="00D625C5">
        <w:t xml:space="preserve"> plus DMARD </w:t>
      </w:r>
      <w:r>
        <w:t>a</w:t>
      </w:r>
      <w:r w:rsidRPr="00D625C5">
        <w:t>r</w:t>
      </w:r>
      <w:r>
        <w:t>m</w:t>
      </w:r>
      <w:r w:rsidRPr="00D625C5">
        <w:t xml:space="preserve">. </w:t>
      </w:r>
      <w:r>
        <w:t xml:space="preserve">With extended combination treatment follow-up </w:t>
      </w:r>
      <w:r w:rsidR="00584450">
        <w:t xml:space="preserve">(0 to </w:t>
      </w:r>
      <w:r w:rsidRPr="00D625C5">
        <w:t xml:space="preserve">6 months of the </w:t>
      </w:r>
      <w:r>
        <w:t xml:space="preserve">3 </w:t>
      </w:r>
      <w:r w:rsidR="00B34BFC">
        <w:t>Phase III</w:t>
      </w:r>
      <w:r>
        <w:t xml:space="preserve"> </w:t>
      </w:r>
      <w:r w:rsidRPr="00D625C5">
        <w:t>studies</w:t>
      </w:r>
      <w:r>
        <w:t>)</w:t>
      </w:r>
      <w:r w:rsidRPr="00D625C5">
        <w:t xml:space="preserve">, the rates of </w:t>
      </w:r>
      <w:r>
        <w:t xml:space="preserve">overall </w:t>
      </w:r>
      <w:r w:rsidRPr="00D625C5">
        <w:t>infection in the 5 mg</w:t>
      </w:r>
      <w:r>
        <w:t xml:space="preserve"> BD</w:t>
      </w:r>
      <w:r w:rsidRPr="00D625C5">
        <w:t xml:space="preserve"> and 10 mg </w:t>
      </w:r>
      <w:r>
        <w:t>BD</w:t>
      </w:r>
      <w:r w:rsidRPr="00D625C5">
        <w:t xml:space="preserve"> </w:t>
      </w:r>
      <w:r>
        <w:t xml:space="preserve">TOF </w:t>
      </w:r>
      <w:r w:rsidRPr="00D625C5">
        <w:t xml:space="preserve">plus DMARD groups were </w:t>
      </w:r>
      <w:r>
        <w:t>1.8</w:t>
      </w:r>
      <w:r w:rsidRPr="00D625C5">
        <w:t xml:space="preserve">% and </w:t>
      </w:r>
      <w:r>
        <w:t>1.4</w:t>
      </w:r>
      <w:r w:rsidRPr="00D625C5">
        <w:t>%,</w:t>
      </w:r>
      <w:r>
        <w:t xml:space="preserve"> </w:t>
      </w:r>
      <w:r w:rsidRPr="00D625C5">
        <w:t xml:space="preserve">respectively, compared to </w:t>
      </w:r>
      <w:r>
        <w:t>0.5</w:t>
      </w:r>
      <w:r w:rsidRPr="00D625C5">
        <w:t xml:space="preserve">% in the </w:t>
      </w:r>
      <w:r>
        <w:t>PBO</w:t>
      </w:r>
      <w:r w:rsidRPr="00D625C5">
        <w:t xml:space="preserve"> plus DMARD group. The most commonly reported </w:t>
      </w:r>
      <w:r>
        <w:t xml:space="preserve">types of serious </w:t>
      </w:r>
      <w:r w:rsidRPr="00D625C5">
        <w:t xml:space="preserve">infections were </w:t>
      </w:r>
      <w:r>
        <w:t>lowe</w:t>
      </w:r>
      <w:r w:rsidRPr="00D625C5">
        <w:t>r respiratory tract infections</w:t>
      </w:r>
      <w:r>
        <w:t xml:space="preserve">/pneumonia, various types of soft tissue infections </w:t>
      </w:r>
      <w:r w:rsidRPr="00D625C5">
        <w:t>and</w:t>
      </w:r>
      <w:r>
        <w:t xml:space="preserve"> uri</w:t>
      </w:r>
      <w:r w:rsidRPr="00D625C5">
        <w:t>nary</w:t>
      </w:r>
      <w:r>
        <w:t xml:space="preserve"> </w:t>
      </w:r>
      <w:r w:rsidRPr="00D625C5">
        <w:t>t</w:t>
      </w:r>
      <w:r>
        <w:t>ract infections</w:t>
      </w:r>
      <w:r w:rsidR="00B34BFC">
        <w:t>.</w:t>
      </w:r>
    </w:p>
    <w:p w:rsidR="00B34BFC" w:rsidRDefault="001963E2" w:rsidP="001963E2">
      <w:r>
        <w:t xml:space="preserve">Changes in lipid parameters from baseline through to the end of the controlled trial periods (up to 24 months) in the </w:t>
      </w:r>
      <w:r w:rsidR="00B34BFC">
        <w:t>Phase III</w:t>
      </w:r>
      <w:r>
        <w:t xml:space="preserve"> studies confirms that significant, dose dependent increases in serum total cholesterol, LDL cholesterol and HDL cholesterol</w:t>
      </w:r>
      <w:r w:rsidR="00584450">
        <w:t xml:space="preserve"> with TOF remain stable after 3 to </w:t>
      </w:r>
      <w:r>
        <w:t>6 months of drug initiation</w:t>
      </w:r>
      <w:bookmarkStart w:id="189" w:name="_Toc509307210"/>
      <w:r w:rsidR="00B34BFC">
        <w:t>.</w:t>
      </w:r>
    </w:p>
    <w:p w:rsidR="008E7846" w:rsidRDefault="00386150" w:rsidP="007B6132">
      <w:pPr>
        <w:pStyle w:val="Heading3"/>
        <w:rPr>
          <w:lang w:eastAsia="en-AU"/>
        </w:rPr>
      </w:pPr>
      <w:r>
        <w:rPr>
          <w:lang w:eastAsia="en-AU"/>
        </w:rPr>
        <w:t>Risk m</w:t>
      </w:r>
      <w:r w:rsidR="008E7846">
        <w:rPr>
          <w:lang w:eastAsia="en-AU"/>
        </w:rPr>
        <w:t xml:space="preserve">anagement </w:t>
      </w:r>
      <w:r>
        <w:rPr>
          <w:lang w:eastAsia="en-AU"/>
        </w:rPr>
        <w:t>p</w:t>
      </w:r>
      <w:r w:rsidR="008E7846">
        <w:rPr>
          <w:lang w:eastAsia="en-AU"/>
        </w:rPr>
        <w:t>lan</w:t>
      </w:r>
      <w:bookmarkEnd w:id="187"/>
      <w:bookmarkEnd w:id="189"/>
    </w:p>
    <w:p w:rsidR="00BE0162" w:rsidRPr="00BE0162" w:rsidRDefault="00BE0162" w:rsidP="00BE0162">
      <w:r w:rsidRPr="00BE0162">
        <w:t>The Pharmacovigilance and Special Access Branch has considered AUS-RMP version 2.0, 28 January 2016</w:t>
      </w:r>
      <w:r w:rsidR="00D7380F">
        <w:t>; data lock point 15 June 2015</w:t>
      </w:r>
      <w:r w:rsidRPr="00BE0162">
        <w:t>.</w:t>
      </w:r>
    </w:p>
    <w:p w:rsidR="00BE0162" w:rsidRPr="00BE0162" w:rsidRDefault="00BE0162" w:rsidP="00BE0162">
      <w:r w:rsidRPr="00BE0162">
        <w:t>The RMP Evaluator raised no objection to the implementation of the Xeljanz RMP and requested that the pharmacovigilance plan be updated to reflect the current status of activities.</w:t>
      </w:r>
    </w:p>
    <w:p w:rsidR="008E7846" w:rsidRDefault="00AA0ED0" w:rsidP="008E7846">
      <w:pPr>
        <w:pStyle w:val="Heading3"/>
      </w:pPr>
      <w:bookmarkStart w:id="190" w:name="_Toc247691531"/>
      <w:bookmarkStart w:id="191" w:name="_Toc314842515"/>
      <w:bookmarkStart w:id="192" w:name="_Toc509307211"/>
      <w:bookmarkStart w:id="193" w:name="_Toc196046505"/>
      <w:bookmarkStart w:id="194" w:name="_Toc196046949"/>
      <w:r>
        <w:lastRenderedPageBreak/>
        <w:t>Risk-benefit a</w:t>
      </w:r>
      <w:r w:rsidR="008E7846">
        <w:t>nalysis</w:t>
      </w:r>
      <w:bookmarkEnd w:id="190"/>
      <w:bookmarkEnd w:id="191"/>
      <w:bookmarkEnd w:id="192"/>
    </w:p>
    <w:p w:rsidR="00D23139" w:rsidRDefault="00584450" w:rsidP="00D23139">
      <w:pPr>
        <w:pStyle w:val="Heading4"/>
      </w:pPr>
      <w:r>
        <w:t>Delegate’s considerations</w:t>
      </w:r>
    </w:p>
    <w:p w:rsidR="00BE0162" w:rsidRDefault="00BE0162" w:rsidP="00BE0162">
      <w:pPr>
        <w:pStyle w:val="Heading5"/>
      </w:pPr>
      <w:r w:rsidRPr="001D4C2F">
        <w:t>Efficacy</w:t>
      </w:r>
    </w:p>
    <w:p w:rsidR="00B34BFC" w:rsidRDefault="00BE0162" w:rsidP="00BE0162">
      <w:r w:rsidRPr="00BE0162">
        <w:t xml:space="preserve">To support the addition of a radiological benefit claim to the current indication wording for tofacitinib, it must be demonstrated that a TOF dose of 5 mg BD has robust </w:t>
      </w:r>
      <w:r w:rsidR="0067104C">
        <w:t>x-ray</w:t>
      </w:r>
      <w:r w:rsidRPr="00BE0162">
        <w:t xml:space="preserve"> evidence of benefit over a 2 year treatment time frame in the population for which it is currently approved (patients with an inadequate response to or who are intolerant of MTX)</w:t>
      </w:r>
      <w:r w:rsidR="00B34BFC">
        <w:t>.</w:t>
      </w:r>
    </w:p>
    <w:p w:rsidR="00BE0162" w:rsidRPr="00BE0162" w:rsidRDefault="00BE0162" w:rsidP="00BE0162">
      <w:r w:rsidRPr="00BE0162">
        <w:t xml:space="preserve">The supporting radiographic dataset was limited to </w:t>
      </w:r>
      <w:r w:rsidR="006C5DCA">
        <w:t>Study</w:t>
      </w:r>
      <w:r w:rsidRPr="00BE0162">
        <w:t xml:space="preserve"> A3921044. This study found that treatment with TOF (5 mg or 10 mg) resulted less prog</w:t>
      </w:r>
      <w:r w:rsidR="00584450">
        <w:t>ression from baseline in the LS </w:t>
      </w:r>
      <w:r w:rsidRPr="00BE0162">
        <w:t xml:space="preserve">mean changes in </w:t>
      </w:r>
      <w:proofErr w:type="spellStart"/>
      <w:r w:rsidRPr="00BE0162">
        <w:t>mTSS</w:t>
      </w:r>
      <w:proofErr w:type="spellEnd"/>
      <w:r w:rsidRPr="00BE0162">
        <w:t xml:space="preserve"> scores c</w:t>
      </w:r>
      <w:r w:rsidR="00584450">
        <w:t>ompared to PBO extrapolated at M</w:t>
      </w:r>
      <w:r w:rsidRPr="00BE0162">
        <w:t xml:space="preserve">onths 6, 12 and 24. However, these results did not reach statistical significance for any pair-wise comparison between active treatment with TOF and PBO in the primary pre-specified analysis. Unexpectedly low rates of </w:t>
      </w:r>
      <w:r w:rsidR="0067104C">
        <w:t>x-ray</w:t>
      </w:r>
      <w:r w:rsidRPr="00BE0162">
        <w:t xml:space="preserve"> progression in the control group may have contributed to the findings of the primary analysis. Post-hoc sensitivity and subset analyses identified statistically less worsening of structural progression over 6 months and 12 months for TOF</w:t>
      </w:r>
      <w:r w:rsidR="00584450">
        <w:t xml:space="preserve"> </w:t>
      </w:r>
      <w:r w:rsidRPr="00BE0162">
        <w:t>+</w:t>
      </w:r>
      <w:r w:rsidR="00584450">
        <w:t xml:space="preserve"> </w:t>
      </w:r>
      <w:r w:rsidRPr="00BE0162">
        <w:t>MTX treatment compared to PBO +</w:t>
      </w:r>
      <w:r w:rsidR="00584450">
        <w:t xml:space="preserve"> </w:t>
      </w:r>
      <w:r w:rsidRPr="00BE0162">
        <w:t>MTX. In addition to the post-hoc nature of the supportive analyses the clinical evaluator notes several limitations to the external validity of the study findings such as the a screen failure rate of 38%, insufficient dosing of MTX prior to study entry (</w:t>
      </w:r>
      <w:r w:rsidR="00B34BFC">
        <w:t xml:space="preserve">that is </w:t>
      </w:r>
      <w:r w:rsidR="008F2D59">
        <w:t xml:space="preserve">&lt; </w:t>
      </w:r>
      <w:r w:rsidRPr="00BE0162">
        <w:t xml:space="preserve">12.5 mg/week) for unclear reasons and approximately one third of the PBO treated continued with sub-optimal MTX dosing during the study. In addition, an acceptable minimally clinically important difference in </w:t>
      </w:r>
      <w:r w:rsidR="0067104C">
        <w:t>x-ray</w:t>
      </w:r>
      <w:r w:rsidRPr="00BE0162">
        <w:t xml:space="preserve"> scores has not been established. The threshold of 0.5 sharp units appears to reflect the smallest detectable difference rather than a difference of clinical relevance.</w:t>
      </w:r>
    </w:p>
    <w:p w:rsidR="00BE0162" w:rsidRPr="00BE0162" w:rsidRDefault="00BE0162" w:rsidP="00BE0162">
      <w:r w:rsidRPr="00BE0162">
        <w:t xml:space="preserve">Study A3921069 found that TOF therapy was associated with a lower rate of structural disease progression at 6, 12 and 24 months of treatment in a RA population with early disease who were mainly naïve to DMARD therapy. This study population is not consistent with the approved treatment indication in Australia and the </w:t>
      </w:r>
      <w:r w:rsidR="00B9173F">
        <w:t>s</w:t>
      </w:r>
      <w:r w:rsidRPr="00BE0162">
        <w:t xml:space="preserve">ponsor is not requesting alteration to the line of therapy initiation with this submission. It is noted that approximately 40% of subjects in the MTX arm did not </w:t>
      </w:r>
      <w:r w:rsidR="00584450">
        <w:t xml:space="preserve">reach a weekly MTX dose of 17.5 to </w:t>
      </w:r>
      <w:r w:rsidRPr="00BE0162">
        <w:t>20 mg/week for unclear reasons. This suggests a larger than expected cohort of comparator treatment subjects may have received treatment viewed as suboptimal in the Australian context. As stated above, the study population differs from the approved treatment indication (</w:t>
      </w:r>
      <w:r w:rsidR="00B34BFC">
        <w:t xml:space="preserve">that is </w:t>
      </w:r>
      <w:r w:rsidRPr="00BE0162">
        <w:t>MTX inadequate response or intolerance).</w:t>
      </w:r>
    </w:p>
    <w:p w:rsidR="00B34BFC" w:rsidRDefault="00BE0162" w:rsidP="00BE0162">
      <w:r w:rsidRPr="00BE0162">
        <w:t xml:space="preserve">Due to the limitations described above the </w:t>
      </w:r>
      <w:r w:rsidR="0067104C">
        <w:t>x-ray</w:t>
      </w:r>
      <w:r w:rsidRPr="00BE0162">
        <w:t xml:space="preserve"> benefit of TOF 5 mg BD in the Australian approved treatment population is unclear. In addition the clinical relevance of the statistically significant findings is also unclear</w:t>
      </w:r>
      <w:r w:rsidR="00B34BFC">
        <w:t>.</w:t>
      </w:r>
    </w:p>
    <w:p w:rsidR="00BE0162" w:rsidRPr="00485548" w:rsidRDefault="00BE0162" w:rsidP="00BE0162">
      <w:pPr>
        <w:pStyle w:val="Heading5"/>
      </w:pPr>
      <w:r w:rsidRPr="00485548">
        <w:t>Safety</w:t>
      </w:r>
    </w:p>
    <w:p w:rsidR="00BE0162" w:rsidRPr="00BE0162" w:rsidRDefault="00BE0162" w:rsidP="00BE0162">
      <w:r w:rsidRPr="00BE0162">
        <w:t>The safety of tofacitinib in patients with RA has previously been assessed and no new safety concerns have been identified. However, the results of an integrated analysis have further characterised the safety profile of tofacitinib therapy.</w:t>
      </w:r>
    </w:p>
    <w:p w:rsidR="00B34BFC" w:rsidRDefault="00BE0162" w:rsidP="00BE0162">
      <w:r w:rsidRPr="00BE0162">
        <w:t xml:space="preserve">In this submission, the </w:t>
      </w:r>
      <w:r w:rsidR="00B9173F">
        <w:t>s</w:t>
      </w:r>
      <w:r w:rsidRPr="00BE0162">
        <w:t xml:space="preserve">ponsor has responded to the prior key issues that have impeded the registration of TOF in Australia and the EU including: the incidence and type of serious and opportunistic infection, gastrointestinal perforation, malignancy potential (particularly, lymphoma and pancreatic cancer), risk of developing interstitial lung disease, </w:t>
      </w:r>
      <w:proofErr w:type="spellStart"/>
      <w:r w:rsidRPr="00BE0162">
        <w:t>cytopenia</w:t>
      </w:r>
      <w:proofErr w:type="spellEnd"/>
      <w:r w:rsidRPr="00BE0162">
        <w:t>, hepatic enzyme elevations/</w:t>
      </w:r>
      <w:r w:rsidR="008F2D59">
        <w:t>drug induced</w:t>
      </w:r>
      <w:r w:rsidRPr="00BE0162">
        <w:t xml:space="preserve"> liver injury, elevations in serum lipids (with an atherogenic profile) and the risk of major adverse cardiovascular events</w:t>
      </w:r>
      <w:r w:rsidR="00B34BFC">
        <w:t>.</w:t>
      </w:r>
    </w:p>
    <w:p w:rsidR="00BE0162" w:rsidRPr="001D4C2F" w:rsidRDefault="00BE0162" w:rsidP="00BE0162">
      <w:pPr>
        <w:pStyle w:val="Heading5"/>
      </w:pPr>
      <w:r w:rsidRPr="001D4C2F">
        <w:lastRenderedPageBreak/>
        <w:t>Conclusion</w:t>
      </w:r>
    </w:p>
    <w:p w:rsidR="00BE0162" w:rsidRPr="00BE0162" w:rsidRDefault="00BE0162" w:rsidP="00BE0162">
      <w:r w:rsidRPr="00BE0162">
        <w:t xml:space="preserve">In conclusion, the </w:t>
      </w:r>
      <w:r w:rsidR="0067104C">
        <w:t>x-ray</w:t>
      </w:r>
      <w:r w:rsidRPr="00BE0162">
        <w:t xml:space="preserve"> benefit of TOF 5 mg twice daily treatment (using data obtained in Study A3921044 and A3921069) is unclear with respect to a broad group of patients with active RA and the clinical relevance of any statistically significant observations are unclear and the </w:t>
      </w:r>
      <w:r w:rsidR="00B9173F">
        <w:t>s</w:t>
      </w:r>
      <w:r w:rsidRPr="00BE0162">
        <w:t>ponsor’s request is not supported.</w:t>
      </w:r>
    </w:p>
    <w:p w:rsidR="00BE0162" w:rsidRPr="001D7305" w:rsidRDefault="00BE0162" w:rsidP="00BE0162">
      <w:pPr>
        <w:pStyle w:val="Heading5"/>
      </w:pPr>
      <w:r w:rsidRPr="001D7305">
        <w:t>Data deficiencies</w:t>
      </w:r>
    </w:p>
    <w:p w:rsidR="00BE0162" w:rsidRPr="00BE0162" w:rsidRDefault="00BE0162" w:rsidP="00BE0162">
      <w:r w:rsidRPr="00BE0162">
        <w:t xml:space="preserve">There were data deficiencies with respect to clinical studies supporting the radiological benefit claim for tofacitinib </w:t>
      </w:r>
      <w:r w:rsidR="00B34BFC">
        <w:t>5 mg</w:t>
      </w:r>
      <w:r w:rsidRPr="00BE0162">
        <w:t xml:space="preserve"> BD therapy for the approved indication. The clinical relevance of the results that demonstrated statistically significance is unclear.</w:t>
      </w:r>
    </w:p>
    <w:p w:rsidR="00BE0162" w:rsidRPr="001D7305" w:rsidRDefault="00BE0162" w:rsidP="00BE0162">
      <w:pPr>
        <w:pStyle w:val="Heading5"/>
      </w:pPr>
      <w:r w:rsidRPr="001D7305">
        <w:t xml:space="preserve">Conditions of </w:t>
      </w:r>
      <w:r>
        <w:t>r</w:t>
      </w:r>
      <w:r w:rsidRPr="001D7305">
        <w:t>egistration</w:t>
      </w:r>
    </w:p>
    <w:p w:rsidR="00BE0162" w:rsidRPr="00BE0162" w:rsidRDefault="00BE0162" w:rsidP="00BE0162">
      <w:r w:rsidRPr="00BE0162">
        <w:t xml:space="preserve">The following conditions of registration are proposed, and provided here for the </w:t>
      </w:r>
      <w:r w:rsidR="006C5DCA">
        <w:t>sponsor</w:t>
      </w:r>
      <w:r w:rsidRPr="00BE0162">
        <w:t>’s comment:</w:t>
      </w:r>
    </w:p>
    <w:p w:rsidR="00BE0162" w:rsidRPr="002617C2" w:rsidRDefault="00BE0162" w:rsidP="00BE0162">
      <w:pPr>
        <w:pStyle w:val="ListBullet"/>
        <w:rPr>
          <w:rFonts w:asciiTheme="minorHAnsi" w:hAnsiTheme="minorHAnsi"/>
        </w:rPr>
      </w:pPr>
      <w:r>
        <w:t xml:space="preserve">The </w:t>
      </w:r>
      <w:r w:rsidR="00B9173F">
        <w:t>Xeljanz</w:t>
      </w:r>
      <w:r w:rsidRPr="00DE3FDB">
        <w:t xml:space="preserve"> Australian-specific RMP version 2.0, 28 January 2016; data lock point 15 June 2015</w:t>
      </w:r>
      <w:r>
        <w:t>, revised as recommended in the Round 1 evaluation,</w:t>
      </w:r>
      <w:r w:rsidRPr="00DE3FDB">
        <w:t xml:space="preserve"> and any future updates</w:t>
      </w:r>
      <w:r w:rsidR="007D298B">
        <w:t xml:space="preserve"> as agreed with</w:t>
      </w:r>
      <w:r>
        <w:t xml:space="preserve"> TGA, must be implemented</w:t>
      </w:r>
      <w:r w:rsidRPr="00DE3FDB">
        <w:t xml:space="preserve"> as a condition of registration.</w:t>
      </w:r>
    </w:p>
    <w:p w:rsidR="00BE0162" w:rsidRPr="002617C2" w:rsidRDefault="00BE0162" w:rsidP="00BE0162">
      <w:pPr>
        <w:pStyle w:val="ListBullet"/>
        <w:rPr>
          <w:rFonts w:asciiTheme="minorHAnsi" w:hAnsiTheme="minorHAnsi"/>
        </w:rPr>
      </w:pPr>
      <w:r>
        <w:rPr>
          <w:rFonts w:asciiTheme="minorHAnsi" w:hAnsiTheme="minorHAnsi"/>
        </w:rPr>
        <w:t xml:space="preserve">Provide the </w:t>
      </w:r>
      <w:r w:rsidRPr="002617C2">
        <w:rPr>
          <w:rFonts w:asciiTheme="minorHAnsi" w:hAnsiTheme="minorHAnsi"/>
        </w:rPr>
        <w:t>following studies for e</w:t>
      </w:r>
      <w:r w:rsidR="007D298B">
        <w:rPr>
          <w:rFonts w:asciiTheme="minorHAnsi" w:hAnsiTheme="minorHAnsi"/>
        </w:rPr>
        <w:t>valuation by</w:t>
      </w:r>
      <w:r w:rsidRPr="002617C2">
        <w:rPr>
          <w:rFonts w:asciiTheme="minorHAnsi" w:hAnsiTheme="minorHAnsi"/>
        </w:rPr>
        <w:t xml:space="preserve"> TGA as soon as they become available:</w:t>
      </w:r>
    </w:p>
    <w:p w:rsidR="00BE0162" w:rsidRPr="002617C2" w:rsidRDefault="00BE0162" w:rsidP="00BE0162">
      <w:pPr>
        <w:pStyle w:val="ListBullet2"/>
      </w:pPr>
      <w:r w:rsidRPr="002617C2">
        <w:t xml:space="preserve">The final clinical study </w:t>
      </w:r>
      <w:r w:rsidR="007D298B">
        <w:t>report for LTE Study A3921024</w:t>
      </w:r>
    </w:p>
    <w:p w:rsidR="00BE0162" w:rsidRPr="001D7305" w:rsidRDefault="00BE0162" w:rsidP="00BE0162">
      <w:pPr>
        <w:rPr>
          <w:b/>
        </w:rPr>
      </w:pPr>
      <w:r w:rsidRPr="001D7305">
        <w:rPr>
          <w:b/>
        </w:rPr>
        <w:t xml:space="preserve">Questions for the </w:t>
      </w:r>
      <w:r w:rsidR="007D298B">
        <w:rPr>
          <w:b/>
        </w:rPr>
        <w:t>s</w:t>
      </w:r>
      <w:r w:rsidRPr="001D7305">
        <w:rPr>
          <w:b/>
        </w:rPr>
        <w:t>ponsor</w:t>
      </w:r>
    </w:p>
    <w:p w:rsidR="00BE0162" w:rsidRPr="009602F5" w:rsidRDefault="00BE0162" w:rsidP="009602F5">
      <w:r w:rsidRPr="009602F5">
        <w:t>Please provide an update on the overseas regulatory status of similar submissions of the radiographic dataset.</w:t>
      </w:r>
    </w:p>
    <w:p w:rsidR="00911025" w:rsidRDefault="00911025" w:rsidP="00D23139">
      <w:pPr>
        <w:pStyle w:val="Heading4"/>
      </w:pPr>
      <w:r>
        <w:t>Summary of issues</w:t>
      </w:r>
    </w:p>
    <w:p w:rsidR="00911025" w:rsidRPr="00911025" w:rsidRDefault="00911025" w:rsidP="00911025">
      <w:r w:rsidRPr="00911025">
        <w:t xml:space="preserve">The primary </w:t>
      </w:r>
      <w:r w:rsidR="00F2650E">
        <w:t>issues with the submission are:</w:t>
      </w:r>
    </w:p>
    <w:p w:rsidR="00911025" w:rsidRPr="00911025" w:rsidRDefault="00911025" w:rsidP="00911025">
      <w:pPr>
        <w:pStyle w:val="ListBullet"/>
      </w:pPr>
      <w:r w:rsidRPr="00911025">
        <w:t xml:space="preserve">Whether the results of the primary analysis of radiographic outcome and supporting post-hoc analyses from </w:t>
      </w:r>
      <w:r w:rsidR="006C5DCA">
        <w:t>Study</w:t>
      </w:r>
      <w:r w:rsidRPr="00911025">
        <w:t xml:space="preserve"> A3921044 are sufficiently robust.</w:t>
      </w:r>
    </w:p>
    <w:p w:rsidR="00911025" w:rsidRPr="00911025" w:rsidRDefault="00911025" w:rsidP="00911025">
      <w:pPr>
        <w:pStyle w:val="ListBullet"/>
      </w:pPr>
      <w:r w:rsidRPr="00911025">
        <w:t xml:space="preserve">Whether the results of the primary analysis of radiographic outcome and supporting analyses from </w:t>
      </w:r>
      <w:r w:rsidR="006C5DCA">
        <w:t>Study</w:t>
      </w:r>
      <w:r w:rsidRPr="00911025">
        <w:t xml:space="preserve"> A3921044 are clinically relevant.</w:t>
      </w:r>
    </w:p>
    <w:p w:rsidR="00911025" w:rsidRPr="00911025" w:rsidRDefault="00911025" w:rsidP="00911025">
      <w:pPr>
        <w:pStyle w:val="ListBullet"/>
      </w:pPr>
      <w:r w:rsidRPr="00911025">
        <w:t>The durability of clinical response up to 7 years</w:t>
      </w:r>
      <w:r w:rsidR="00F2650E">
        <w:t>.</w:t>
      </w:r>
    </w:p>
    <w:p w:rsidR="00D23139" w:rsidRDefault="00D23139" w:rsidP="00D23139">
      <w:pPr>
        <w:pStyle w:val="Heading4"/>
      </w:pPr>
      <w:r w:rsidRPr="00D23139">
        <w:t>Proposed action</w:t>
      </w:r>
    </w:p>
    <w:p w:rsidR="00232A97" w:rsidRPr="007D298B" w:rsidRDefault="007D298B" w:rsidP="007D298B">
      <w:r>
        <w:t xml:space="preserve">The Delegate is </w:t>
      </w:r>
      <w:r w:rsidRPr="007D298B">
        <w:t xml:space="preserve">not inclined to say, at this time, that the application for </w:t>
      </w:r>
      <w:r w:rsidR="00B9173F">
        <w:t>Xeljanz</w:t>
      </w:r>
      <w:r>
        <w:t xml:space="preserve"> should be approved because the Delegate has</w:t>
      </w:r>
      <w:r w:rsidRPr="007D298B">
        <w:t xml:space="preserve"> not found the </w:t>
      </w:r>
      <w:r w:rsidR="0067104C">
        <w:t>x-ray</w:t>
      </w:r>
      <w:r w:rsidRPr="007D298B">
        <w:t xml:space="preserve"> benefit of tofacitinib for the proposed treatment indication to be robust or clinically relevant.</w:t>
      </w:r>
    </w:p>
    <w:p w:rsidR="00D23139" w:rsidRDefault="00D23139" w:rsidP="00D23139">
      <w:pPr>
        <w:pStyle w:val="Heading4"/>
      </w:pPr>
      <w:r w:rsidRPr="00D23139">
        <w:t>Request for ACPM advice</w:t>
      </w:r>
    </w:p>
    <w:p w:rsidR="00911025" w:rsidRPr="00911025" w:rsidRDefault="00911025" w:rsidP="00911025">
      <w:r w:rsidRPr="00911025">
        <w:t>The committee is requested to provide advice on the following specific issues:</w:t>
      </w:r>
    </w:p>
    <w:p w:rsidR="00911025" w:rsidRPr="00911025" w:rsidRDefault="00911025" w:rsidP="00911025">
      <w:pPr>
        <w:pStyle w:val="Numberbullet0"/>
      </w:pPr>
      <w:r w:rsidRPr="00911025">
        <w:t xml:space="preserve">Are the results of </w:t>
      </w:r>
      <w:r w:rsidR="006C5DCA">
        <w:t>Study</w:t>
      </w:r>
      <w:r w:rsidRPr="00911025">
        <w:t xml:space="preserve"> A3921044 and the supporting analyses robust enough to support the proposed indication in the approved treatment population?</w:t>
      </w:r>
    </w:p>
    <w:p w:rsidR="00911025" w:rsidRPr="00911025" w:rsidRDefault="00911025" w:rsidP="00911025">
      <w:pPr>
        <w:pStyle w:val="Numberbullet0"/>
      </w:pPr>
      <w:r w:rsidRPr="00911025">
        <w:t xml:space="preserve">Are the results of </w:t>
      </w:r>
      <w:r w:rsidR="006C5DCA">
        <w:t>Study</w:t>
      </w:r>
      <w:r w:rsidRPr="00911025">
        <w:t xml:space="preserve"> A3921044 considered clinically relevant for the approved treatment indication?</w:t>
      </w:r>
    </w:p>
    <w:p w:rsidR="00911025" w:rsidRPr="00911025" w:rsidRDefault="00911025" w:rsidP="00911025">
      <w:pPr>
        <w:pStyle w:val="Numberbullet0"/>
      </w:pPr>
      <w:r w:rsidRPr="00911025">
        <w:t>Is the committee satisfied that the durability of clinical response has been demonstrated for up to 7 years?</w:t>
      </w:r>
    </w:p>
    <w:p w:rsidR="00232A97" w:rsidRPr="00911025" w:rsidRDefault="00911025" w:rsidP="00911025">
      <w:r w:rsidRPr="00911025">
        <w:lastRenderedPageBreak/>
        <w:t>The committee is (also) requested to provide advice on any other issues that it thinks may be relevant to a decision on whether or not to approve this application.</w:t>
      </w:r>
    </w:p>
    <w:p w:rsidR="00232A97" w:rsidRDefault="00232A97" w:rsidP="00286B29">
      <w:pPr>
        <w:pStyle w:val="Heading4"/>
      </w:pPr>
      <w:r>
        <w:t>Response from s</w:t>
      </w:r>
      <w:r w:rsidR="009602F5">
        <w:t>ponsor</w:t>
      </w:r>
    </w:p>
    <w:p w:rsidR="00286B29" w:rsidRDefault="00286B29" w:rsidP="00286B29">
      <w:r w:rsidRPr="00286B29">
        <w:t>Pfizer Australia welcomes the opportunity to comment on the issues raised in the Delegate’s Overview for consideration by the Advisor</w:t>
      </w:r>
      <w:r>
        <w:t>y Committee on Medicines (ACM).</w:t>
      </w:r>
    </w:p>
    <w:p w:rsidR="00286B29" w:rsidRDefault="00286B29" w:rsidP="00286B29">
      <w:r w:rsidRPr="00286B29">
        <w:t>The indication sought</w:t>
      </w:r>
      <w:r>
        <w:t xml:space="preserve"> remains as initially proposed:</w:t>
      </w:r>
    </w:p>
    <w:p w:rsidR="00286B29" w:rsidRPr="00286B29" w:rsidRDefault="00B9173F" w:rsidP="00286B29">
      <w:pPr>
        <w:ind w:left="720"/>
        <w:rPr>
          <w:i/>
        </w:rPr>
      </w:pPr>
      <w:r>
        <w:rPr>
          <w:i/>
        </w:rPr>
        <w:t>Xeljanz</w:t>
      </w:r>
      <w:r w:rsidR="00286B29" w:rsidRPr="00286B29">
        <w:rPr>
          <w:i/>
        </w:rPr>
        <w:t xml:space="preserve"> is indicated for the treatment of moderate to severe active rheumatoid arthritis in adults who have had an inadequate response or are int</w:t>
      </w:r>
      <w:r>
        <w:rPr>
          <w:i/>
        </w:rPr>
        <w:t>olerant to methotrexate. Xeljanz</w:t>
      </w:r>
      <w:r w:rsidR="00286B29" w:rsidRPr="00286B29">
        <w:rPr>
          <w:i/>
        </w:rPr>
        <w:t xml:space="preserve"> can be used alone or in combination with </w:t>
      </w:r>
      <w:proofErr w:type="spellStart"/>
      <w:r w:rsidR="00286B29" w:rsidRPr="00286B29">
        <w:rPr>
          <w:i/>
        </w:rPr>
        <w:t>nonbiological</w:t>
      </w:r>
      <w:proofErr w:type="spellEnd"/>
      <w:r w:rsidR="00286B29" w:rsidRPr="00286B29">
        <w:rPr>
          <w:i/>
        </w:rPr>
        <w:t xml:space="preserve"> DMARDs, including metho</w:t>
      </w:r>
      <w:r>
        <w:rPr>
          <w:i/>
        </w:rPr>
        <w:t>trexate. Xeljanz</w:t>
      </w:r>
      <w:r w:rsidR="00286B29" w:rsidRPr="00286B29">
        <w:rPr>
          <w:i/>
        </w:rPr>
        <w:t xml:space="preserve"> has been shown to inhibit the progression of structural damage as measure</w:t>
      </w:r>
      <w:r>
        <w:rPr>
          <w:i/>
        </w:rPr>
        <w:t xml:space="preserve">d by </w:t>
      </w:r>
      <w:r w:rsidR="0067104C">
        <w:rPr>
          <w:i/>
        </w:rPr>
        <w:t>x-ray</w:t>
      </w:r>
      <w:r>
        <w:rPr>
          <w:i/>
        </w:rPr>
        <w:t>. Therapy with Xeljanz</w:t>
      </w:r>
      <w:r w:rsidR="00286B29" w:rsidRPr="00286B29">
        <w:rPr>
          <w:i/>
        </w:rPr>
        <w:t xml:space="preserve"> should be initiated and monitored by a rheumatologist or specialist physician with expertise in the management of rheumatoid arthritis.</w:t>
      </w:r>
    </w:p>
    <w:p w:rsidR="00FF0455" w:rsidRDefault="00FF0455" w:rsidP="00286B29">
      <w:r w:rsidRPr="00FF0455">
        <w:t xml:space="preserve">In the response below, whilst addressing the questions raised by the Delegate, the </w:t>
      </w:r>
      <w:r w:rsidR="006C5DCA">
        <w:t>sponsor</w:t>
      </w:r>
      <w:r>
        <w:t xml:space="preserve"> will demonstrate that:</w:t>
      </w:r>
    </w:p>
    <w:p w:rsidR="00FF0455" w:rsidRDefault="00FF0455" w:rsidP="00FF0455">
      <w:pPr>
        <w:pStyle w:val="ListBullet"/>
      </w:pPr>
      <w:r w:rsidRPr="00FF0455">
        <w:t>Tofacitinib has shown the ability to inhibit structural damage, in patients who are methotrexate (MTX)-naïve and in those who are inadequate responders or intolerant to MTX (MT</w:t>
      </w:r>
      <w:r>
        <w:t>X-IR).</w:t>
      </w:r>
    </w:p>
    <w:p w:rsidR="00FF0455" w:rsidRDefault="00FF0455" w:rsidP="00FF0455">
      <w:pPr>
        <w:pStyle w:val="ListBullet"/>
      </w:pPr>
      <w:r w:rsidRPr="00FF0455">
        <w:t xml:space="preserve">The structural preservation effect can be extrapolated from a </w:t>
      </w:r>
      <w:r w:rsidR="009602F5">
        <w:t xml:space="preserve">first </w:t>
      </w:r>
      <w:r w:rsidRPr="00FF0455">
        <w:t xml:space="preserve">line to a </w:t>
      </w:r>
      <w:r w:rsidR="009602F5">
        <w:t xml:space="preserve">second </w:t>
      </w:r>
      <w:r w:rsidRPr="00FF0455">
        <w:t>line population as there is no argument for an artificial differentiation between patients to influence disease or</w:t>
      </w:r>
      <w:r>
        <w:t xml:space="preserve"> </w:t>
      </w:r>
      <w:proofErr w:type="spellStart"/>
      <w:r>
        <w:t>patho</w:t>
      </w:r>
      <w:proofErr w:type="spellEnd"/>
      <w:r>
        <w:t>-physiological process.</w:t>
      </w:r>
    </w:p>
    <w:p w:rsidR="00FF0455" w:rsidRDefault="009602F5" w:rsidP="00FF0455">
      <w:pPr>
        <w:pStyle w:val="ListBullet"/>
      </w:pPr>
      <w:r>
        <w:t xml:space="preserve">The disease </w:t>
      </w:r>
      <w:r w:rsidR="00FF0455" w:rsidRPr="00FF0455">
        <w:t>modifying properties of tofacitinib are broadly recognised by major regulators and expert committees, and must be known to prescribers</w:t>
      </w:r>
      <w:r w:rsidR="00FF0455">
        <w:t xml:space="preserve"> to inform treatment decisions.</w:t>
      </w:r>
    </w:p>
    <w:p w:rsidR="00286B29" w:rsidRDefault="00FF0455" w:rsidP="00286B29">
      <w:r w:rsidRPr="00FF0455">
        <w:t>Therefore, the proposed updates to the tofacitinib Product Information (PI) are fully justified.</w:t>
      </w:r>
    </w:p>
    <w:p w:rsidR="00FF0455" w:rsidRDefault="009602F5" w:rsidP="00FF0455">
      <w:pPr>
        <w:pStyle w:val="Heading5"/>
      </w:pPr>
      <w:r>
        <w:t>Question</w:t>
      </w:r>
      <w:r w:rsidR="00FF0455">
        <w:t xml:space="preserve"> for the </w:t>
      </w:r>
      <w:r w:rsidR="00B9173F">
        <w:t>s</w:t>
      </w:r>
      <w:r w:rsidR="00FF0455">
        <w:t>ponsor</w:t>
      </w:r>
    </w:p>
    <w:p w:rsidR="00FF0455" w:rsidRPr="009602F5" w:rsidRDefault="00FF0455" w:rsidP="009602F5">
      <w:pPr>
        <w:rPr>
          <w:b/>
          <w:i/>
        </w:rPr>
      </w:pPr>
      <w:r w:rsidRPr="009602F5">
        <w:rPr>
          <w:b/>
          <w:i/>
        </w:rPr>
        <w:t>Please provide an update on the overseas regulatory status of similar submissions of the radiographic dataset.</w:t>
      </w:r>
    </w:p>
    <w:p w:rsidR="00FF0455" w:rsidRPr="009602F5" w:rsidRDefault="00FF0455" w:rsidP="00286B29">
      <w:r w:rsidRPr="009602F5">
        <w:t xml:space="preserve">United States (US): The indicated population is, as for Australia, in adults with moderately to severely active RA patients who have had an inadequate response or intolerance to MTX, described as 2nd-line. The radiographic response to tofacitinib, as shown in studies A3921069 and A3921044, has been described in the US Prescribing </w:t>
      </w:r>
      <w:r w:rsidR="007823E1" w:rsidRPr="009602F5">
        <w:t>Information (USPI) since 21 February 20</w:t>
      </w:r>
      <w:r w:rsidRPr="009602F5">
        <w:t xml:space="preserve">14. Results from the primary endpoint, change from baseline in </w:t>
      </w:r>
      <w:proofErr w:type="spellStart"/>
      <w:r w:rsidRPr="009602F5">
        <w:t>mTSS</w:t>
      </w:r>
      <w:proofErr w:type="spellEnd"/>
      <w:r w:rsidRPr="009602F5">
        <w:t xml:space="preserve"> and the secondary endpoint of no radiographic progression, are included for both 5 mg and 10 mg twice daily (BID) doses. As in Australia, only the 5 mg BID dose is registered.</w:t>
      </w:r>
    </w:p>
    <w:p w:rsidR="00FF0455" w:rsidRDefault="00FF0455" w:rsidP="00286B29">
      <w:r w:rsidRPr="009602F5">
        <w:t>European Union (EU): The TGA is aware that ground</w:t>
      </w:r>
      <w:r w:rsidRPr="00FF0455">
        <w:t xml:space="preserve"> 3 for refusal of the first M</w:t>
      </w:r>
      <w:r w:rsidR="009602F5">
        <w:t>AA in July </w:t>
      </w:r>
      <w:r w:rsidRPr="00FF0455">
        <w:t xml:space="preserve">2013 included </w:t>
      </w:r>
      <w:r w:rsidR="00B34BFC">
        <w:t>‘</w:t>
      </w:r>
      <w:r w:rsidRPr="00FF0455">
        <w:t>uncertainties related to safety […] not offset by the benefits of treatment, […] in addition not supported by robust evidence on the prevention of structural damage a</w:t>
      </w:r>
      <w:r w:rsidR="00B9173F">
        <w:t>t the proposed dose [5 mg BID</w:t>
      </w:r>
      <w:r w:rsidRPr="00FF0455">
        <w:t>] in the proposed treatment population</w:t>
      </w:r>
      <w:r w:rsidR="00B9173F">
        <w:t>.</w:t>
      </w:r>
      <w:r w:rsidR="00B34BFC">
        <w:t>’</w:t>
      </w:r>
      <w:r w:rsidR="00B9173F">
        <w:t xml:space="preserve"> A new MAA submitted on 4 March 20</w:t>
      </w:r>
      <w:r w:rsidRPr="00FF0455">
        <w:t>16, including the same radiographic dataset submitted to the TGA, re</w:t>
      </w:r>
      <w:r w:rsidR="00B9173F">
        <w:t>ceived a positive opinion on 26 January 20</w:t>
      </w:r>
      <w:r w:rsidRPr="00FF0455">
        <w:t>17. The indication is also for 2nd-line patients and a section on radiographic response is included in the Summary of Product Characteristics (</w:t>
      </w:r>
      <w:proofErr w:type="spellStart"/>
      <w:r w:rsidRPr="00FF0455">
        <w:t>SmPC</w:t>
      </w:r>
      <w:proofErr w:type="spellEnd"/>
      <w:r w:rsidRPr="00FF0455">
        <w:t>), with results from both pivotal studies at both doses.</w:t>
      </w:r>
    </w:p>
    <w:p w:rsidR="00FF0455" w:rsidRDefault="00FF0455" w:rsidP="00286B29">
      <w:r w:rsidRPr="00FF0455">
        <w:t xml:space="preserve">At the time of the first MAA, the Committee for Human Medicinal Products (CHMP) shared the same concerns as the TGA regarding pivotal </w:t>
      </w:r>
      <w:r w:rsidR="006C5DCA">
        <w:t>Study</w:t>
      </w:r>
      <w:r w:rsidRPr="00FF0455">
        <w:t xml:space="preserve"> A3921044 having just missed its </w:t>
      </w:r>
      <w:r w:rsidRPr="00FF0455">
        <w:lastRenderedPageBreak/>
        <w:t>primary endpoint for structural prevention at the 5 mg BID dose. However, it has since become clear that, due</w:t>
      </w:r>
      <w:r>
        <w:t xml:space="preserve"> </w:t>
      </w:r>
      <w:r w:rsidRPr="00FF0455">
        <w:t>to a number of factors, which are explained in d</w:t>
      </w:r>
      <w:r w:rsidR="00346A35">
        <w:t>etail in the expert opinion,</w:t>
      </w:r>
      <w:r w:rsidRPr="00FF0455">
        <w:t xml:space="preserve"> RA patients entering modern trials, particularly if they have long standing disease, show slower rates of radiological progression, making it increasingly difficult to show structural damage prevention compared to agents registered 10 years ago. As a result, the CHMP’s view on how best to demonstrate inhibition of structural damage has evolved. This can be seen in revision 2 of the draft guideline for the tr</w:t>
      </w:r>
      <w:r>
        <w:t>eatment of RA, dated March 2015</w:t>
      </w:r>
      <w:r>
        <w:rPr>
          <w:rStyle w:val="FootnoteReference"/>
        </w:rPr>
        <w:footnoteReference w:id="7"/>
      </w:r>
      <w:r w:rsidRPr="00FF0455">
        <w:t xml:space="preserve"> which is an advanced version of a revision to the Points to C</w:t>
      </w:r>
      <w:r w:rsidR="00A4351F">
        <w:t xml:space="preserve">onsider of 2003 (adopted by </w:t>
      </w:r>
      <w:r w:rsidRPr="00FF0455">
        <w:t xml:space="preserve">TGA). In particular, Section 6.3.1 states that </w:t>
      </w:r>
      <w:r w:rsidR="00B34BFC">
        <w:t>‘</w:t>
      </w:r>
      <w:r w:rsidRPr="00FF0455">
        <w:t>…as the progression of joint damage is often more prominent in the early phase of active RA disease, a study in early arthritis would be recommended to demonstrate prevention of structural damage progression.</w:t>
      </w:r>
      <w:r w:rsidR="00B34BFC">
        <w:t>’</w:t>
      </w:r>
      <w:r w:rsidRPr="00FF0455">
        <w:t xml:space="preserve"> It is therefore the rate of progression, not line of therapy, which is important to the demonstration of effect.</w:t>
      </w:r>
    </w:p>
    <w:p w:rsidR="00FF0455" w:rsidRDefault="00FF0455" w:rsidP="00286B29">
      <w:r w:rsidRPr="00FF0455">
        <w:t xml:space="preserve">During the assessment of the MAA, the CHMP took this into account. Because of the robust evidence of structural preservation, maintained out to 24 months on treatment in </w:t>
      </w:r>
      <w:r w:rsidR="006C5DCA">
        <w:t>Study</w:t>
      </w:r>
      <w:r w:rsidRPr="00FF0455">
        <w:t xml:space="preserve"> A3921069, combined with the initial results and additional analyses of </w:t>
      </w:r>
      <w:r w:rsidR="006C5DCA">
        <w:t>Study</w:t>
      </w:r>
      <w:r w:rsidRPr="00FF0455">
        <w:t xml:space="preserve"> A3921044 (data provided to the TGA), the CHMP accepted that the outcome had been demonstrated. The efficacy grounds for refusal were considered to be resolved and </w:t>
      </w:r>
      <w:r w:rsidR="00B34BFC">
        <w:t>‘</w:t>
      </w:r>
      <w:r w:rsidRPr="00FF0455">
        <w:t>the discrepancy between treatment lines [was] not of itself considered a major issue</w:t>
      </w:r>
      <w:r w:rsidR="00B34BFC">
        <w:t>’</w:t>
      </w:r>
      <w:r w:rsidRPr="00FF0455">
        <w:t xml:space="preserve"> at Day 120 of the procedure </w:t>
      </w:r>
      <w:r w:rsidR="00B34BFC">
        <w:t>‘</w:t>
      </w:r>
      <w:r w:rsidRPr="00FF0455">
        <w:t>given that extrapolation of structural benefit from the 1st line to the 2nd and subsequent line settings is considered in principle to be valid, in the sense that a subset of patients potentially responsive to structural modifiers is likely to remain so, as one moves through</w:t>
      </w:r>
      <w:r>
        <w:t xml:space="preserve"> the treatment line settings.</w:t>
      </w:r>
      <w:r w:rsidR="00B34BFC">
        <w:t>’</w:t>
      </w:r>
      <w:r>
        <w:rPr>
          <w:rStyle w:val="FootnoteReference"/>
        </w:rPr>
        <w:footnoteReference w:id="8"/>
      </w:r>
    </w:p>
    <w:p w:rsidR="00FF0455" w:rsidRDefault="00FF0455" w:rsidP="00286B29">
      <w:r w:rsidRPr="00FF0455">
        <w:t xml:space="preserve">At Day 150 of the procedure, the Rapporteurs' Joint Response Assessment Report concluded: </w:t>
      </w:r>
      <w:r w:rsidR="00B34BFC">
        <w:t>‘</w:t>
      </w:r>
      <w:r w:rsidRPr="00FF0455">
        <w:t>despite differences in the rate of radiographic progression betwee</w:t>
      </w:r>
      <w:r w:rsidR="006C5DCA">
        <w:t>n the 2 </w:t>
      </w:r>
      <w:r w:rsidRPr="00FF0455">
        <w:t>studies (A3921044 and A3921069), subgroups with unfavourable prognostic factors (</w:t>
      </w:r>
      <w:r w:rsidR="006C5DCA">
        <w:t>that is</w:t>
      </w:r>
      <w:r w:rsidRPr="00FF0455">
        <w:t>, vulnerable populations with respect to progression) that did have progression while on background MTX demonstrated the benefit of adding tofacitinib 5 mg. The analysis has confirmed the structure benefit of tofacitinib in subjects that are MTX-naïve or in those that have an inadequate response to MTX. This structure benefit is evident if tofacitinib i</w:t>
      </w:r>
      <w:r>
        <w:t>s given with and without MTX.</w:t>
      </w:r>
      <w:r w:rsidR="00B34BFC">
        <w:t>’</w:t>
      </w:r>
      <w:r>
        <w:rPr>
          <w:rStyle w:val="FootnoteReference"/>
        </w:rPr>
        <w:footnoteReference w:id="9"/>
      </w:r>
    </w:p>
    <w:p w:rsidR="00FF0455" w:rsidRDefault="00FF0455" w:rsidP="00286B29">
      <w:r w:rsidRPr="009602F5">
        <w:t>In summary, the</w:t>
      </w:r>
      <w:r w:rsidRPr="00FF0455">
        <w:t xml:space="preserve"> EU </w:t>
      </w:r>
      <w:proofErr w:type="spellStart"/>
      <w:r w:rsidRPr="00FF0455">
        <w:t>SmPC</w:t>
      </w:r>
      <w:proofErr w:type="spellEnd"/>
      <w:r w:rsidRPr="00FF0455">
        <w:t xml:space="preserve"> and USPI include radiographic response data from studies A3921069 and A3921044, with 2nd-line indications, thereby endorsing tofaci</w:t>
      </w:r>
      <w:r>
        <w:t>tinib as a structural modifier.</w:t>
      </w:r>
    </w:p>
    <w:p w:rsidR="00FF0455" w:rsidRDefault="00FF0455" w:rsidP="00286B29">
      <w:r w:rsidRPr="009602F5">
        <w:t>Other countries: Singapore is aligned with the EU and US. There have been no further</w:t>
      </w:r>
      <w:r w:rsidRPr="00FF0455">
        <w:t xml:space="preserve"> developments in Canada or Switzerland since submission of the Category 1 application.</w:t>
      </w:r>
    </w:p>
    <w:p w:rsidR="00FF0455" w:rsidRDefault="00FF0455" w:rsidP="00FF0455">
      <w:pPr>
        <w:pStyle w:val="Heading5"/>
      </w:pPr>
      <w:r>
        <w:t>Advice requested from the ACM</w:t>
      </w:r>
    </w:p>
    <w:p w:rsidR="00FF0455" w:rsidRPr="009602F5" w:rsidRDefault="00FF0455" w:rsidP="009602F5">
      <w:pPr>
        <w:pStyle w:val="Numberbullet0"/>
        <w:numPr>
          <w:ilvl w:val="0"/>
          <w:numId w:val="48"/>
        </w:numPr>
        <w:rPr>
          <w:b/>
          <w:i/>
        </w:rPr>
      </w:pPr>
      <w:r w:rsidRPr="009602F5">
        <w:rPr>
          <w:b/>
          <w:i/>
        </w:rPr>
        <w:t xml:space="preserve">Are the results of </w:t>
      </w:r>
      <w:r w:rsidR="006C5DCA" w:rsidRPr="009602F5">
        <w:rPr>
          <w:b/>
          <w:i/>
        </w:rPr>
        <w:t>Study</w:t>
      </w:r>
      <w:r w:rsidRPr="009602F5">
        <w:rPr>
          <w:b/>
          <w:i/>
        </w:rPr>
        <w:t xml:space="preserve"> A3921044 and the supporting analyses robust enough to support the proposed indication in the approved treatment population?</w:t>
      </w:r>
    </w:p>
    <w:p w:rsidR="00F85781" w:rsidRDefault="00FF0455" w:rsidP="00286B29">
      <w:r w:rsidRPr="00FF0455">
        <w:t xml:space="preserve">The </w:t>
      </w:r>
      <w:r w:rsidR="005E28C6">
        <w:t>s</w:t>
      </w:r>
      <w:r w:rsidRPr="00FF0455">
        <w:t>ponsor</w:t>
      </w:r>
      <w:r w:rsidR="006C5DCA">
        <w:t xml:space="preserve"> submits that the results from S</w:t>
      </w:r>
      <w:r w:rsidRPr="00FF0455">
        <w:t xml:space="preserve">tudy A3921044 prove structural preservation by tofacitinib 5 mg BID in the approved </w:t>
      </w:r>
      <w:r w:rsidR="006C5DCA">
        <w:t xml:space="preserve">second </w:t>
      </w:r>
      <w:r w:rsidRPr="00FF0455">
        <w:t>line populatio</w:t>
      </w:r>
      <w:r w:rsidR="006C5DCA">
        <w:t>n. Indeed, in S</w:t>
      </w:r>
      <w:r w:rsidR="00F85781">
        <w:t>tudy A3921044:</w:t>
      </w:r>
    </w:p>
    <w:p w:rsidR="00F85781" w:rsidRDefault="00FF0455" w:rsidP="00286B29">
      <w:pPr>
        <w:pStyle w:val="ListBullet"/>
      </w:pPr>
      <w:r w:rsidRPr="00FF0455">
        <w:t>Placebo patients demonstrated 4 times as much radiographic progression at 6 months (mean change (</w:t>
      </w:r>
      <w:r w:rsidR="00FF0AA9">
        <w:t>Δ</w:t>
      </w:r>
      <w:r w:rsidRPr="00FF0455">
        <w:t xml:space="preserve">) </w:t>
      </w:r>
      <w:proofErr w:type="spellStart"/>
      <w:r w:rsidRPr="00FF0455">
        <w:t>mTSS</w:t>
      </w:r>
      <w:proofErr w:type="spellEnd"/>
      <w:r w:rsidRPr="00FF0455">
        <w:t xml:space="preserve"> 0.47 units) </w:t>
      </w:r>
      <w:r w:rsidR="00FF0AA9">
        <w:t>versus</w:t>
      </w:r>
      <w:r w:rsidRPr="00FF0455">
        <w:t xml:space="preserve">. tofacitinib 5 mg BID (Δ </w:t>
      </w:r>
      <w:proofErr w:type="spellStart"/>
      <w:r w:rsidRPr="00FF0455">
        <w:t>mTSS</w:t>
      </w:r>
      <w:proofErr w:type="spellEnd"/>
      <w:r w:rsidRPr="00FF0455">
        <w:t xml:space="preserve"> 0.12 units).</w:t>
      </w:r>
    </w:p>
    <w:p w:rsidR="00F85781" w:rsidRDefault="00F85781" w:rsidP="00286B29">
      <w:pPr>
        <w:pStyle w:val="ListBullet"/>
      </w:pPr>
      <w:r w:rsidRPr="00F85781">
        <w:lastRenderedPageBreak/>
        <w:t xml:space="preserve">The structure preserving effect of the 10 mg BID dose was even greater (Δ </w:t>
      </w:r>
      <w:proofErr w:type="spellStart"/>
      <w:r w:rsidRPr="00F85781">
        <w:t>mTSS</w:t>
      </w:r>
      <w:proofErr w:type="spellEnd"/>
      <w:r w:rsidRPr="00F85781">
        <w:t xml:space="preserve"> 0.06 units, </w:t>
      </w:r>
      <w:r w:rsidR="00BF3E77">
        <w:t>p = 0</w:t>
      </w:r>
      <w:r w:rsidRPr="00F85781">
        <w:t xml:space="preserve">.0376 </w:t>
      </w:r>
      <w:r w:rsidR="00FF0AA9">
        <w:t>versus</w:t>
      </w:r>
      <w:r w:rsidRPr="00F85781">
        <w:t>. placebo), demonstrating a dos</w:t>
      </w:r>
      <w:r>
        <w:t>e response.</w:t>
      </w:r>
    </w:p>
    <w:p w:rsidR="00F85781" w:rsidRDefault="00F85781" w:rsidP="00286B29">
      <w:pPr>
        <w:pStyle w:val="ListBullet"/>
      </w:pPr>
      <w:r w:rsidRPr="00F85781">
        <w:t>The 5 mg BID dose group showed a definite trend to benefit over placebo and, while it narrowly missed statistical significance in this study (</w:t>
      </w:r>
      <w:r w:rsidR="00BF3E77">
        <w:t>p = 0</w:t>
      </w:r>
      <w:r w:rsidRPr="00F85781">
        <w:t>.0792), this was an artefact of the lower than expected progression in the placebo arm, rather than a lack of effect of the medicine. Two leading experts in the field of Rheumatology have provided in-depth</w:t>
      </w:r>
      <w:r w:rsidR="00A4351F">
        <w:t xml:space="preserve"> justification for this anomaly</w:t>
      </w:r>
      <w:r>
        <w:t>.</w:t>
      </w:r>
      <w:r>
        <w:rPr>
          <w:rStyle w:val="FootnoteReference"/>
        </w:rPr>
        <w:footnoteReference w:id="10"/>
      </w:r>
    </w:p>
    <w:p w:rsidR="00F85781" w:rsidRDefault="00F85781" w:rsidP="00286B29">
      <w:pPr>
        <w:pStyle w:val="ListBullet"/>
      </w:pPr>
      <w:r w:rsidRPr="00F85781">
        <w:t>For the pre-specified and clinically meaningful endpoint</w:t>
      </w:r>
      <w:r w:rsidR="0003448C">
        <w:rPr>
          <w:rStyle w:val="FootnoteReference"/>
        </w:rPr>
        <w:footnoteReference w:id="11"/>
      </w:r>
      <w:r w:rsidRPr="00F85781">
        <w:t xml:space="preserve"> of </w:t>
      </w:r>
      <w:r w:rsidR="00B34BFC">
        <w:t>‘</w:t>
      </w:r>
      <w:r w:rsidRPr="00F85781">
        <w:t>no radiographic progression</w:t>
      </w:r>
      <w:r w:rsidR="008F2D59">
        <w:t>’</w:t>
      </w:r>
      <w:r w:rsidRPr="00F85781">
        <w:t xml:space="preserve">, a highly statistically significant difference was seen between 5 mg BID patients compared to placebo at Month 6 (89% </w:t>
      </w:r>
      <w:r w:rsidR="00FF0AA9">
        <w:t>versus</w:t>
      </w:r>
      <w:r w:rsidRPr="00F85781">
        <w:t xml:space="preserve"> 78%, </w:t>
      </w:r>
      <w:r w:rsidR="00BF3E77">
        <w:t>p = 0</w:t>
      </w:r>
      <w:r w:rsidRPr="00F85781">
        <w:t xml:space="preserve">.0055) and Month 12 (86% </w:t>
      </w:r>
      <w:r w:rsidR="00FF0AA9">
        <w:t>versus</w:t>
      </w:r>
      <w:r w:rsidRPr="00F85781">
        <w:t xml:space="preserve"> 74%, </w:t>
      </w:r>
      <w:r w:rsidR="00BF3E77">
        <w:t>p = 0</w:t>
      </w:r>
      <w:r w:rsidRPr="00F85781">
        <w:t xml:space="preserve">.0050). A similar effect was seen at the 10 mg </w:t>
      </w:r>
      <w:r>
        <w:t>BID dose.</w:t>
      </w:r>
    </w:p>
    <w:p w:rsidR="00F85781" w:rsidRDefault="00F85781" w:rsidP="00286B29">
      <w:pPr>
        <w:pStyle w:val="ListBullet"/>
      </w:pPr>
      <w:r w:rsidRPr="00F85781">
        <w:t xml:space="preserve">Sensitivity analyses showed statistically significantly less progression for 5 mg BID </w:t>
      </w:r>
      <w:r w:rsidR="00FF0AA9">
        <w:t>versus</w:t>
      </w:r>
      <w:r w:rsidRPr="00F85781">
        <w:t>. placebo in subjects at heightened risk for radiographic progression (</w:t>
      </w:r>
      <w:r w:rsidR="00B34BFC">
        <w:t>for example</w:t>
      </w:r>
      <w:r w:rsidRPr="00F85781">
        <w:t xml:space="preserve"> those positive for rheumatoid factor or antibodies to cyclic citrullinated peptide, with a baseline Erosion Score </w:t>
      </w:r>
      <w:r w:rsidR="008F2D59">
        <w:t xml:space="preserve">≥ </w:t>
      </w:r>
      <w:r w:rsidRPr="00F85781">
        <w:t xml:space="preserve">3, or baseline </w:t>
      </w:r>
      <w:proofErr w:type="spellStart"/>
      <w:r w:rsidRPr="00F85781">
        <w:t>mTSS</w:t>
      </w:r>
      <w:proofErr w:type="spellEnd"/>
      <w:r w:rsidR="006C5DCA">
        <w:t xml:space="preserve"> </w:t>
      </w:r>
      <w:r w:rsidR="008F2D59">
        <w:t xml:space="preserve">&gt; </w:t>
      </w:r>
      <w:r w:rsidRPr="00F85781">
        <w:t>median), a population representing 80% of patients seen in a leading rhe</w:t>
      </w:r>
      <w:r>
        <w:t>umatology centre in Queensland.</w:t>
      </w:r>
    </w:p>
    <w:p w:rsidR="00F85781" w:rsidRDefault="00F85781" w:rsidP="00286B29">
      <w:r w:rsidRPr="00F85781">
        <w:t xml:space="preserve">The </w:t>
      </w:r>
      <w:r w:rsidR="0044792E">
        <w:t>s</w:t>
      </w:r>
      <w:r w:rsidRPr="00F85781">
        <w:t>ponsor believes that to only consider the above data for the assessment of tofacitinib’s structural modification properties, on the basis of an artificial distinction between patients who have not been treated with MTX and those that have, is not just</w:t>
      </w:r>
      <w:r>
        <w:t>ified. This is explained below.</w:t>
      </w:r>
    </w:p>
    <w:p w:rsidR="00F85781" w:rsidRPr="009602F5" w:rsidRDefault="00F85781" w:rsidP="009602F5">
      <w:pPr>
        <w:rPr>
          <w:i/>
        </w:rPr>
      </w:pPr>
      <w:r w:rsidRPr="009602F5">
        <w:rPr>
          <w:i/>
        </w:rPr>
        <w:t>Relevance of structural pres</w:t>
      </w:r>
      <w:r w:rsidR="006C5DCA" w:rsidRPr="009602F5">
        <w:rPr>
          <w:i/>
        </w:rPr>
        <w:t>ervation seen in S</w:t>
      </w:r>
      <w:r w:rsidRPr="009602F5">
        <w:rPr>
          <w:i/>
        </w:rPr>
        <w:t>tudy A3921069</w:t>
      </w:r>
    </w:p>
    <w:p w:rsidR="00F85781" w:rsidRDefault="006C5DCA" w:rsidP="00286B29">
      <w:r>
        <w:t>That S</w:t>
      </w:r>
      <w:r w:rsidR="00F85781" w:rsidRPr="00F85781">
        <w:t xml:space="preserve">tudy A3921069 had a clearly positive outcome in demonstrating evidence of superior structural preservation with tofacitinib 5 mg BID compared with MTX at 6, 12 and 24 months, has not been contested. Indeed, this was demonstrated by highly statistically significant differences in Δ </w:t>
      </w:r>
      <w:proofErr w:type="spellStart"/>
      <w:r w:rsidR="00F85781" w:rsidRPr="00F85781">
        <w:t>mTSS</w:t>
      </w:r>
      <w:proofErr w:type="spellEnd"/>
      <w:r w:rsidR="00F85781" w:rsidRPr="00F85781">
        <w:t xml:space="preserve">, with 66% less mean progression in </w:t>
      </w:r>
      <w:proofErr w:type="spellStart"/>
      <w:r w:rsidR="00F85781" w:rsidRPr="00F85781">
        <w:t>mTSS</w:t>
      </w:r>
      <w:proofErr w:type="spellEnd"/>
      <w:r w:rsidR="00F85781" w:rsidRPr="00F85781">
        <w:t xml:space="preserve"> at 6 months for 5 mg BID </w:t>
      </w:r>
      <w:r w:rsidR="00FF0AA9">
        <w:t>versus</w:t>
      </w:r>
      <w:r w:rsidR="00F85781" w:rsidRPr="00F85781">
        <w:t xml:space="preserve"> MTX (p = 0.0006), maintained over 2 years, and rates of no progression at 6 months of 12.9% for tofacitinib 5 mg BID </w:t>
      </w:r>
      <w:r w:rsidR="00FF0AA9">
        <w:t>versus</w:t>
      </w:r>
      <w:r w:rsidR="00F85781" w:rsidRPr="00F85781">
        <w:t xml:space="preserve"> 26.4% for MTX (</w:t>
      </w:r>
      <w:r>
        <w:t>p = </w:t>
      </w:r>
      <w:r w:rsidR="00BF3E77">
        <w:t>0</w:t>
      </w:r>
      <w:r w:rsidR="00F85781" w:rsidRPr="00F85781">
        <w:t>.0004), also maintained over 2 years.</w:t>
      </w:r>
    </w:p>
    <w:p w:rsidR="00F85781" w:rsidRDefault="00F85781" w:rsidP="00286B29">
      <w:r w:rsidRPr="00F85781">
        <w:t xml:space="preserve">However, there remains a difference in interpretation between the </w:t>
      </w:r>
      <w:r w:rsidR="006C5DCA">
        <w:t>sponsor</w:t>
      </w:r>
      <w:r w:rsidRPr="00F85781">
        <w:t xml:space="preserve"> and the TGA, regarding the relevance of </w:t>
      </w:r>
      <w:r w:rsidR="006C5DCA">
        <w:t>Study</w:t>
      </w:r>
      <w:r w:rsidRPr="00F85781">
        <w:t xml:space="preserve"> A3921069 data to the approved patient population. The </w:t>
      </w:r>
      <w:r w:rsidR="006C5DCA">
        <w:t>sponsor</w:t>
      </w:r>
      <w:r w:rsidRPr="00F85781">
        <w:t xml:space="preserve"> maintains that, even though the study was conducted in MTX-naïve, </w:t>
      </w:r>
      <w:r w:rsidR="006C5DCA">
        <w:t>first</w:t>
      </w:r>
      <w:r w:rsidRPr="00F85781">
        <w:t xml:space="preserve"> line patients, extrapolation of structural benefit from </w:t>
      </w:r>
      <w:r w:rsidR="006C5DCA">
        <w:t xml:space="preserve">first </w:t>
      </w:r>
      <w:r w:rsidRPr="00F85781">
        <w:t xml:space="preserve">line to </w:t>
      </w:r>
      <w:r w:rsidR="006C5DCA">
        <w:t xml:space="preserve">second </w:t>
      </w:r>
      <w:r w:rsidRPr="00F85781">
        <w:t>and subsequent line settings is considered val</w:t>
      </w:r>
      <w:r>
        <w:t>id for the following reasons:</w:t>
      </w:r>
    </w:p>
    <w:p w:rsidR="00F85781" w:rsidRDefault="00F85781" w:rsidP="00F85781">
      <w:pPr>
        <w:pStyle w:val="ListBullet"/>
      </w:pPr>
      <w:r w:rsidRPr="00F85781">
        <w:t xml:space="preserve">There are no data suggesting that MTX-IR and MTX-naïve patients have different patterns </w:t>
      </w:r>
      <w:r>
        <w:t>of disease.</w:t>
      </w:r>
    </w:p>
    <w:p w:rsidR="00F85781" w:rsidRDefault="00B34BFC" w:rsidP="00F85781">
      <w:pPr>
        <w:pStyle w:val="ListBullet"/>
      </w:pPr>
      <w:r>
        <w:t>‘</w:t>
      </w:r>
      <w:r w:rsidR="00F85781" w:rsidRPr="00F85781">
        <w:t>Line of therapy</w:t>
      </w:r>
      <w:r w:rsidR="008F2D59">
        <w:t>’</w:t>
      </w:r>
      <w:r w:rsidR="00F85781" w:rsidRPr="00F85781">
        <w:t xml:space="preserve"> and </w:t>
      </w:r>
      <w:r>
        <w:t>‘</w:t>
      </w:r>
      <w:r w:rsidR="00F85781" w:rsidRPr="00F85781">
        <w:t>early</w:t>
      </w:r>
      <w:r w:rsidR="008F2D59">
        <w:t>’</w:t>
      </w:r>
      <w:r w:rsidR="00F85781" w:rsidRPr="00F85781">
        <w:t xml:space="preserve"> </w:t>
      </w:r>
      <w:r w:rsidR="00FF0AA9">
        <w:t>versus</w:t>
      </w:r>
      <w:r w:rsidR="00F85781" w:rsidRPr="00F85781">
        <w:t xml:space="preserve"> </w:t>
      </w:r>
      <w:r>
        <w:t>‘</w:t>
      </w:r>
      <w:r w:rsidR="00F85781" w:rsidRPr="00F85781">
        <w:t>late</w:t>
      </w:r>
      <w:r w:rsidR="008F2D59">
        <w:t>’</w:t>
      </w:r>
      <w:r w:rsidR="00F85781" w:rsidRPr="00F85781">
        <w:t xml:space="preserve"> RA are artificial constructs and do not represent different pathologic processes of disease. Indeed, early</w:t>
      </w:r>
      <w:r w:rsidR="006C5DCA">
        <w:t xml:space="preserve"> RA now refers to the first 12 to</w:t>
      </w:r>
      <w:r w:rsidR="00F85781" w:rsidRPr="00F85781">
        <w:t xml:space="preserve"> 24 months after diagnosis rather than 5 years of disease as his</w:t>
      </w:r>
      <w:r w:rsidR="00F85781">
        <w:t>torically defined</w:t>
      </w:r>
      <w:r w:rsidR="00F85781" w:rsidRPr="00F85781">
        <w:t>.</w:t>
      </w:r>
      <w:r w:rsidR="00F85781">
        <w:rPr>
          <w:rStyle w:val="FootnoteReference"/>
        </w:rPr>
        <w:footnoteReference w:id="12"/>
      </w:r>
      <w:r w:rsidR="00F85781" w:rsidRPr="00F85781">
        <w:t xml:space="preserve"> Thus, a stoic patient with longstanding, but moderate untreated RA who finally agrees to MTX is considered </w:t>
      </w:r>
      <w:r w:rsidR="006C5DCA">
        <w:t xml:space="preserve">first </w:t>
      </w:r>
      <w:r w:rsidR="00F85781" w:rsidRPr="00F85781">
        <w:t>line, while a rapidly progressing severe early RA patient who is intolerant to MTX and fails a TNF inhibitor (</w:t>
      </w:r>
      <w:proofErr w:type="spellStart"/>
      <w:r w:rsidR="00F85781" w:rsidRPr="00F85781">
        <w:t>TNFi</w:t>
      </w:r>
      <w:proofErr w:type="spellEnd"/>
      <w:r w:rsidR="00F85781" w:rsidRPr="00F85781">
        <w:t>) is consid</w:t>
      </w:r>
      <w:r w:rsidR="00F85781">
        <w:t xml:space="preserve">ered </w:t>
      </w:r>
      <w:r w:rsidR="006C5DCA">
        <w:t xml:space="preserve">third </w:t>
      </w:r>
      <w:r w:rsidR="00F85781">
        <w:t>line.</w:t>
      </w:r>
    </w:p>
    <w:p w:rsidR="00F85781" w:rsidRDefault="00F85781" w:rsidP="00F85781">
      <w:pPr>
        <w:pStyle w:val="ListBullet"/>
      </w:pPr>
      <w:r w:rsidRPr="00F85781">
        <w:t xml:space="preserve">The features of the synovium are similar in early RA and longstanding disease, indicating that no </w:t>
      </w:r>
      <w:proofErr w:type="spellStart"/>
      <w:r w:rsidRPr="00F85781">
        <w:t>patho</w:t>
      </w:r>
      <w:proofErr w:type="spellEnd"/>
      <w:r w:rsidRPr="00F85781">
        <w:t xml:space="preserve">-physiological arguments currently exist for the effect of </w:t>
      </w:r>
      <w:r w:rsidRPr="00F85781">
        <w:lastRenderedPageBreak/>
        <w:t>therapeutic intervention on synovial inflammation varying between different s</w:t>
      </w:r>
      <w:r>
        <w:t>tages of the disease.</w:t>
      </w:r>
    </w:p>
    <w:p w:rsidR="00F85781" w:rsidRDefault="00F85781" w:rsidP="00F85781">
      <w:pPr>
        <w:pStyle w:val="ListBullet"/>
      </w:pPr>
      <w:r w:rsidRPr="00F85781">
        <w:t xml:space="preserve">The currently available DMARDs, </w:t>
      </w:r>
      <w:proofErr w:type="spellStart"/>
      <w:r w:rsidRPr="00F85781">
        <w:t>bDMARDs</w:t>
      </w:r>
      <w:proofErr w:type="spellEnd"/>
      <w:r w:rsidRPr="00F85781">
        <w:t xml:space="preserve">, and </w:t>
      </w:r>
      <w:proofErr w:type="spellStart"/>
      <w:r w:rsidRPr="00F85781">
        <w:t>tsDMARDs</w:t>
      </w:r>
      <w:proofErr w:type="spellEnd"/>
      <w:r w:rsidRPr="00F85781">
        <w:t xml:space="preserve"> for the treatment of RA have altered the expected course of the disease. </w:t>
      </w:r>
      <w:r w:rsidR="00B34BFC">
        <w:t>‘</w:t>
      </w:r>
      <w:r w:rsidRPr="00F85781">
        <w:t xml:space="preserve">Current therapy for RA is such that progression from symptom onset to significant disability is now no </w:t>
      </w:r>
      <w:r>
        <w:t>longer inevitable.</w:t>
      </w:r>
      <w:r w:rsidR="008F2D59">
        <w:t>’</w:t>
      </w:r>
      <w:r>
        <w:rPr>
          <w:rStyle w:val="FootnoteReference"/>
        </w:rPr>
        <w:footnoteReference w:id="13"/>
      </w:r>
    </w:p>
    <w:p w:rsidR="00F85781" w:rsidRDefault="00F85781" w:rsidP="00F85781">
      <w:pPr>
        <w:pStyle w:val="ListBullet"/>
      </w:pPr>
      <w:r w:rsidRPr="00F85781">
        <w:t>Regulatory guidance is evolving as well</w:t>
      </w:r>
      <w:r w:rsidR="00FF0AA9">
        <w:t>;</w:t>
      </w:r>
      <w:r w:rsidRPr="00F85781">
        <w:t xml:space="preserve"> in recognition of this, </w:t>
      </w:r>
      <w:r w:rsidR="00FF0AA9">
        <w:t xml:space="preserve">and </w:t>
      </w:r>
      <w:r w:rsidRPr="00F85781">
        <w:t>as previously noted, recommen</w:t>
      </w:r>
      <w:r w:rsidR="00FF0AA9">
        <w:t>ds</w:t>
      </w:r>
      <w:r w:rsidRPr="00F85781">
        <w:t xml:space="preserve"> a study in early arthritis to demonstrate prevention of </w:t>
      </w:r>
      <w:r>
        <w:t>structural damage progression.</w:t>
      </w:r>
      <w:r>
        <w:rPr>
          <w:rStyle w:val="FootnoteReference"/>
        </w:rPr>
        <w:footnoteReference w:id="14"/>
      </w:r>
      <w:r>
        <w:t xml:space="preserve"> </w:t>
      </w:r>
      <w:r w:rsidRPr="00F85781">
        <w:t>The ability to preserve structure is regarded as an inherent effect of the compound irrespe</w:t>
      </w:r>
      <w:r>
        <w:t>ctive of the line of therapy.</w:t>
      </w:r>
    </w:p>
    <w:p w:rsidR="00F85781" w:rsidRDefault="00F85781" w:rsidP="00F85781">
      <w:pPr>
        <w:pStyle w:val="ListBullet"/>
      </w:pPr>
      <w:r w:rsidRPr="00F85781">
        <w:t xml:space="preserve">Approved biological DMARDs, and TNF inhibitors in particular, have shown structural preservation in both lines of therapy and early and late stages of disease. </w:t>
      </w:r>
      <w:r w:rsidR="00B34BFC">
        <w:t>‘</w:t>
      </w:r>
      <w:r w:rsidRPr="00F85781">
        <w:t>Remarkable consistency in the extent of the interference with progression of structural damage by all TNF inhibitors in patients with early or late RA</w:t>
      </w:r>
      <w:r w:rsidR="008F2D59">
        <w:t>’</w:t>
      </w:r>
      <w:r w:rsidRPr="00F85781">
        <w:t xml:space="preserve"> was noted in a comparative analysis of trials with infliximab, adalimumab, rituximab, abatacept, certolizumab, and tocilizuma</w:t>
      </w:r>
      <w:r>
        <w:t>b</w:t>
      </w:r>
      <w:r w:rsidRPr="00F85781">
        <w:t>.</w:t>
      </w:r>
      <w:r>
        <w:rPr>
          <w:rStyle w:val="FootnoteReference"/>
        </w:rPr>
        <w:footnoteReference w:id="15"/>
      </w:r>
      <w:r w:rsidRPr="00F85781">
        <w:t xml:space="preserve"> The authors also noted that </w:t>
      </w:r>
      <w:r w:rsidR="00B34BFC">
        <w:t>‘</w:t>
      </w:r>
      <w:r w:rsidRPr="00F85781">
        <w:t>the range of the structural effects exerted by TNF blockade plus methotrexate treatment are strikingly similar in patients with early and late RA, which is in contrast to the differences in clinical and functional efficacy (much more pronounced in early than late RA). Thus, we infer that the final pathways to joint destruction in patients with RA do not become refractory to cytokine-blocking treatment with increasing disease duration, or with an increasing number of previou</w:t>
      </w:r>
      <w:r>
        <w:t>s failed therapies.</w:t>
      </w:r>
      <w:r w:rsidR="008F2D59">
        <w:t>’</w:t>
      </w:r>
      <w:r>
        <w:rPr>
          <w:rStyle w:val="FootnoteReference"/>
        </w:rPr>
        <w:footnoteReference w:id="16"/>
      </w:r>
    </w:p>
    <w:p w:rsidR="00F85781" w:rsidRDefault="00F85781" w:rsidP="00F85781">
      <w:pPr>
        <w:pStyle w:val="ListBullet"/>
      </w:pPr>
      <w:r w:rsidRPr="00F85781">
        <w:t>Whilst tofacitinib was first in its class of JAK inhibitors, data have now become available that demonstrate an effect of JAK inhibitor baricitinib (recently approved in Europe) on structural progression in moderately to severely active RA patie</w:t>
      </w:r>
      <w:r w:rsidR="0033599C">
        <w:t>nts, both MTX-naïve and MTX-IR</w:t>
      </w:r>
      <w:r w:rsidRPr="00F85781">
        <w:t>.</w:t>
      </w:r>
      <w:r w:rsidR="0033599C">
        <w:rPr>
          <w:rStyle w:val="FootnoteReference"/>
        </w:rPr>
        <w:footnoteReference w:id="17"/>
      </w:r>
      <w:r w:rsidRPr="00F85781">
        <w:t xml:space="preserve"> Tofacitinib and baricitinib have been grouped in a new target synthetic DMARD (</w:t>
      </w:r>
      <w:proofErr w:type="spellStart"/>
      <w:r w:rsidRPr="00F85781">
        <w:t>tsDMARD</w:t>
      </w:r>
      <w:proofErr w:type="spellEnd"/>
      <w:r w:rsidRPr="00F85781">
        <w:t>) category i</w:t>
      </w:r>
      <w:r>
        <w:t>n the latest EULAR guidelines.</w:t>
      </w:r>
      <w:r>
        <w:rPr>
          <w:rStyle w:val="FootnoteReference"/>
        </w:rPr>
        <w:footnoteReference w:id="18"/>
      </w:r>
    </w:p>
    <w:p w:rsidR="00F85781" w:rsidRDefault="00F85781" w:rsidP="00286B29">
      <w:r w:rsidRPr="00F85781">
        <w:t xml:space="preserve">Therefore, the </w:t>
      </w:r>
      <w:r w:rsidR="005E28C6">
        <w:t>s</w:t>
      </w:r>
      <w:r w:rsidRPr="00F85781">
        <w:t xml:space="preserve">ponsor proposes that, </w:t>
      </w:r>
      <w:r>
        <w:t>perhaps in much the same way:</w:t>
      </w:r>
    </w:p>
    <w:p w:rsidR="00F85781" w:rsidRDefault="00F85781" w:rsidP="00F85781">
      <w:pPr>
        <w:pStyle w:val="ListBullet"/>
      </w:pPr>
      <w:r w:rsidRPr="00F85781">
        <w:t>The non-significant results for structural preservation from golimumab Stu</w:t>
      </w:r>
      <w:r>
        <w:t>dy C0524T06 in MTX-IR patients</w:t>
      </w:r>
      <w:r>
        <w:rPr>
          <w:rStyle w:val="FootnoteReference"/>
        </w:rPr>
        <w:footnoteReference w:id="19"/>
      </w:r>
      <w:r w:rsidRPr="00F85781">
        <w:t xml:space="preserve"> represent an exception amongst the totality of evidence for golimumab in particular and TNF inhibitors in general, due</w:t>
      </w:r>
      <w:r>
        <w:t xml:space="preserve"> to methodological artefacts,</w:t>
      </w:r>
    </w:p>
    <w:p w:rsidR="00F85781" w:rsidRDefault="00F85781" w:rsidP="00F85781">
      <w:pPr>
        <w:pStyle w:val="ListBullet"/>
      </w:pPr>
      <w:r w:rsidRPr="00F85781">
        <w:t xml:space="preserve">The non-significant result for structural preservation from tofacitinib </w:t>
      </w:r>
      <w:r w:rsidR="006C5DCA">
        <w:t>Study</w:t>
      </w:r>
      <w:r w:rsidRPr="00F85781">
        <w:t xml:space="preserve"> A3921044 in MTXIR patients represents an exception amongst the totality of evidence for tofacitinib in particular and JAK inhibitors in general, due to a similar methodological artefact.</w:t>
      </w:r>
    </w:p>
    <w:p w:rsidR="00F85781" w:rsidRPr="009602F5" w:rsidRDefault="00F85781" w:rsidP="009602F5">
      <w:pPr>
        <w:rPr>
          <w:i/>
        </w:rPr>
      </w:pPr>
      <w:r w:rsidRPr="009602F5">
        <w:rPr>
          <w:i/>
        </w:rPr>
        <w:t>Convergence across endpoints and persistence of efficacy</w:t>
      </w:r>
    </w:p>
    <w:p w:rsidR="00F85781" w:rsidRDefault="00F85781" w:rsidP="00286B29">
      <w:r w:rsidRPr="00F85781">
        <w:lastRenderedPageBreak/>
        <w:t>The significant effects on the Health Assessment Questionnaire Disability Index (HAQ-DI) and disease activity score 28 joints (DAS28-4) erythrocyte sedimentation rate (ESR) add supporting value to the radiographic findings, as correlations between these endpo</w:t>
      </w:r>
      <w:r>
        <w:t>ints have been established.</w:t>
      </w:r>
    </w:p>
    <w:p w:rsidR="00F85781" w:rsidRDefault="00F85781" w:rsidP="00286B29">
      <w:r w:rsidRPr="00F85781">
        <w:t xml:space="preserve">In </w:t>
      </w:r>
      <w:r w:rsidR="006C5DCA">
        <w:t>Study</w:t>
      </w:r>
      <w:r w:rsidRPr="00F85781">
        <w:t xml:space="preserve"> A3921044, 7.17% of patients receiving tofacitinib 5 mg BID achieved DAS28-4(ESR) </w:t>
      </w:r>
      <w:r w:rsidR="008F2D59">
        <w:t xml:space="preserve">&lt; </w:t>
      </w:r>
      <w:r w:rsidRPr="00F85781">
        <w:t>2.6 at 6 months, a measure of remission, compared with only 1.5% of patients in the placebo arm (despite treatment advancement to tofacitinib in some patients at 3 months and continuation of background MTX in all). HAQ-DI scores (for which the minimal clinically i</w:t>
      </w:r>
      <w:r>
        <w:t>mportant difference is 0.22</w:t>
      </w:r>
      <w:r w:rsidRPr="00F85781">
        <w:t>)</w:t>
      </w:r>
      <w:r>
        <w:rPr>
          <w:rStyle w:val="FootnoteReference"/>
        </w:rPr>
        <w:footnoteReference w:id="20"/>
      </w:r>
      <w:r w:rsidRPr="00F85781">
        <w:t xml:space="preserve"> for tofacitinib treated patients decreased at 3 months, by 0.40 </w:t>
      </w:r>
      <w:r w:rsidR="00FF0AA9">
        <w:t>versus</w:t>
      </w:r>
      <w:r w:rsidRPr="00F85781">
        <w:t xml:space="preserve"> 0.15 for placebo, indicating improved physical function in these patients. Pooled analyses of </w:t>
      </w:r>
      <w:r w:rsidR="00B34BFC">
        <w:t>long term</w:t>
      </w:r>
      <w:r w:rsidRPr="00F85781">
        <w:t xml:space="preserve"> extension studies demonstrated persistence of efficacy for these endpoints with tofacitinib treatment for up to 7 y</w:t>
      </w:r>
      <w:r>
        <w:t>ears.</w:t>
      </w:r>
    </w:p>
    <w:p w:rsidR="00F85781" w:rsidRPr="009602F5" w:rsidRDefault="00F85781" w:rsidP="009602F5">
      <w:pPr>
        <w:rPr>
          <w:i/>
        </w:rPr>
      </w:pPr>
      <w:r w:rsidRPr="009602F5">
        <w:rPr>
          <w:i/>
        </w:rPr>
        <w:t xml:space="preserve">MTX dose in </w:t>
      </w:r>
      <w:r w:rsidR="006C5DCA" w:rsidRPr="009602F5">
        <w:rPr>
          <w:i/>
        </w:rPr>
        <w:t>Study</w:t>
      </w:r>
      <w:r w:rsidRPr="009602F5">
        <w:rPr>
          <w:i/>
        </w:rPr>
        <w:t xml:space="preserve"> A3921044 reflects real world</w:t>
      </w:r>
    </w:p>
    <w:p w:rsidR="00F85781" w:rsidRDefault="00F85781" w:rsidP="00286B29">
      <w:r w:rsidRPr="00F85781">
        <w:t xml:space="preserve">TGA has considered the dose of MTX received by patients prior to and during </w:t>
      </w:r>
      <w:r w:rsidR="006C5DCA">
        <w:t>Study</w:t>
      </w:r>
      <w:r w:rsidRPr="00F85781">
        <w:t xml:space="preserve"> A3921044 to have been ‘sub-optimal’ and a ground for questioning the validity and applicability of the data to the Au</w:t>
      </w:r>
      <w:r>
        <w:t>stralian setting.</w:t>
      </w:r>
    </w:p>
    <w:p w:rsidR="00F85781" w:rsidRDefault="00F85781" w:rsidP="00286B29">
      <w:r w:rsidRPr="00F85781">
        <w:t xml:space="preserve">In </w:t>
      </w:r>
      <w:r w:rsidR="006C5DCA">
        <w:t>Study</w:t>
      </w:r>
      <w:r w:rsidRPr="00F85781">
        <w:t xml:space="preserve"> A3921044, however, the median weekly dose of preceding methotrexate use was 15 mg for all treatment groups. The mean area under the plasma concentration-time curve (AUC) of MTX</w:t>
      </w:r>
      <w:r>
        <w:t xml:space="preserve"> </w:t>
      </w:r>
      <w:r w:rsidRPr="00F85781">
        <w:t>starts plateauing at 15 mg per week and there is no further increase in AUC when the oral dose administe</w:t>
      </w:r>
      <w:r>
        <w:t>red is 25 mg relative to 20 mg</w:t>
      </w:r>
      <w:r w:rsidRPr="00F85781">
        <w:t xml:space="preserve">. In addition, </w:t>
      </w:r>
      <w:r w:rsidR="00B34BFC">
        <w:t>‘</w:t>
      </w:r>
      <w:r w:rsidRPr="00F85781">
        <w:t>the ‘optimal’ dose of MTX needed to preserve</w:t>
      </w:r>
      <w:r>
        <w:t xml:space="preserve"> structural benefit is unknown</w:t>
      </w:r>
      <w:r w:rsidR="008F2D59">
        <w:t>’</w:t>
      </w:r>
      <w:r w:rsidRPr="00F85781">
        <w:t xml:space="preserve"> and the dose administered is patient specific. Studies supporting treatment with MTX in RA used doses of 10 to 25 mg, as either monotherapy or in</w:t>
      </w:r>
      <w:r>
        <w:t xml:space="preserve"> combination with other drugs.</w:t>
      </w:r>
      <w:r>
        <w:rPr>
          <w:rStyle w:val="FootnoteReference"/>
        </w:rPr>
        <w:footnoteReference w:id="21"/>
      </w:r>
    </w:p>
    <w:p w:rsidR="00F85781" w:rsidRDefault="00F85781" w:rsidP="00286B29">
      <w:r w:rsidRPr="00F85781">
        <w:t xml:space="preserve">In Australia, an analysis of </w:t>
      </w:r>
      <w:r w:rsidR="00B34BFC">
        <w:t>‘</w:t>
      </w:r>
      <w:r w:rsidRPr="00F85781">
        <w:t xml:space="preserve">MTX dosing in 1200 consecutive RA patients with established disease [revealed that,] for a variety of reasons, 36% of patients regularly take 10 mgs or less MTX per week and another 15% dose between 10 and </w:t>
      </w:r>
      <w:r w:rsidR="008F2D59">
        <w:t xml:space="preserve">&lt; </w:t>
      </w:r>
      <w:r w:rsidRPr="00F85781">
        <w:t>20mgs per week. The mean dosing of 1</w:t>
      </w:r>
      <w:r w:rsidR="00B34BFC">
        <w:t>5 mg</w:t>
      </w:r>
      <w:r w:rsidRPr="00F85781">
        <w:t>s MTX per week in these trials is consistent with r</w:t>
      </w:r>
      <w:r>
        <w:t>eal life clinical practice.</w:t>
      </w:r>
      <w:r w:rsidR="008F2D59">
        <w:t>’</w:t>
      </w:r>
      <w:r>
        <w:rPr>
          <w:rStyle w:val="FootnoteReference"/>
        </w:rPr>
        <w:footnoteReference w:id="22"/>
      </w:r>
    </w:p>
    <w:p w:rsidR="00F85781" w:rsidRDefault="00F85781" w:rsidP="00286B29">
      <w:r w:rsidRPr="00F85781">
        <w:t xml:space="preserve">Therefore, the dose of MTX before and during the study was consistent with common practice in Australia and, as previously noted, </w:t>
      </w:r>
      <w:r w:rsidR="00B82BB1">
        <w:t xml:space="preserve">with </w:t>
      </w:r>
      <w:r w:rsidRPr="00F85781">
        <w:t>other published</w:t>
      </w:r>
      <w:r>
        <w:t xml:space="preserve"> studies of registered DMARDs.</w:t>
      </w:r>
    </w:p>
    <w:p w:rsidR="00F85781" w:rsidRPr="009602F5" w:rsidRDefault="00F85781" w:rsidP="009602F5">
      <w:pPr>
        <w:rPr>
          <w:i/>
        </w:rPr>
      </w:pPr>
      <w:r w:rsidRPr="009602F5">
        <w:rPr>
          <w:i/>
        </w:rPr>
        <w:t>Overall conclusion</w:t>
      </w:r>
    </w:p>
    <w:p w:rsidR="00F85781" w:rsidRDefault="00F85781" w:rsidP="00286B29">
      <w:r w:rsidRPr="00F85781">
        <w:t>The preponderance of evidence demonstrates that inhibition of structural damage with tofacitinib is based on sound, scientifically valid and robust data, is supported by other major regulators and clinical experts, and should therefore be described in the Australian PI.</w:t>
      </w:r>
    </w:p>
    <w:p w:rsidR="00F85781" w:rsidRPr="009602F5" w:rsidRDefault="00F85781" w:rsidP="009602F5">
      <w:pPr>
        <w:pStyle w:val="Numberbullet0"/>
        <w:rPr>
          <w:b/>
          <w:i/>
        </w:rPr>
      </w:pPr>
      <w:r w:rsidRPr="009602F5">
        <w:rPr>
          <w:b/>
          <w:i/>
        </w:rPr>
        <w:t xml:space="preserve">Are the results of </w:t>
      </w:r>
      <w:r w:rsidR="006C5DCA" w:rsidRPr="009602F5">
        <w:rPr>
          <w:b/>
          <w:i/>
        </w:rPr>
        <w:t>Study</w:t>
      </w:r>
      <w:r w:rsidRPr="009602F5">
        <w:rPr>
          <w:b/>
          <w:i/>
        </w:rPr>
        <w:t xml:space="preserve"> A3921044 considered clinically relevant for the approved treatment indication?</w:t>
      </w:r>
    </w:p>
    <w:p w:rsidR="00F85781" w:rsidRDefault="00F85781" w:rsidP="00286B29">
      <w:r w:rsidRPr="00F85781">
        <w:t xml:space="preserve">In regards to radiographic response, using </w:t>
      </w:r>
      <w:proofErr w:type="spellStart"/>
      <w:r w:rsidRPr="00F85781">
        <w:t>mTSS</w:t>
      </w:r>
      <w:proofErr w:type="spellEnd"/>
      <w:r w:rsidRPr="00F85781">
        <w:t xml:space="preserve"> as the endpoint serves to prove, within a relatively short timeframe in clinical trials, whether or not a medicine is able to modify the </w:t>
      </w:r>
      <w:r w:rsidR="009602F5">
        <w:t>patho</w:t>
      </w:r>
      <w:r w:rsidRPr="00F85781">
        <w:t>physiological processes leading to joint destruction. This is what differentiates disease-modifying a</w:t>
      </w:r>
      <w:r>
        <w:t>gents from anti-inflammato</w:t>
      </w:r>
      <w:r w:rsidR="00B82BB1">
        <w:t>ry drugs.</w:t>
      </w:r>
    </w:p>
    <w:p w:rsidR="00F85781" w:rsidRDefault="00F85781" w:rsidP="00286B29">
      <w:r w:rsidRPr="00F85781">
        <w:lastRenderedPageBreak/>
        <w:t>For reasons mentioned earlier, the magnitude of change seen in more recent trials, and espec</w:t>
      </w:r>
      <w:r w:rsidR="009602F5">
        <w:t xml:space="preserve">ially in patients with long </w:t>
      </w:r>
      <w:r w:rsidRPr="00F85781">
        <w:t xml:space="preserve">established disease, may be less than before the advent of DMARDs. However, the </w:t>
      </w:r>
      <w:proofErr w:type="spellStart"/>
      <w:r w:rsidRPr="00F85781">
        <w:t>mTSS</w:t>
      </w:r>
      <w:proofErr w:type="spellEnd"/>
      <w:r w:rsidRPr="00F85781">
        <w:t xml:space="preserve"> scale is sufficiently sensitive to detect a difference of </w:t>
      </w:r>
      <w:r w:rsidR="009602F5">
        <w:t>≥ 0.5 </w:t>
      </w:r>
      <w:r w:rsidRPr="00F85781">
        <w:t>units and to establish whether structural damage is progressing or not,</w:t>
      </w:r>
      <w:r>
        <w:t xml:space="preserve"> which is the relevant outcome.</w:t>
      </w:r>
    </w:p>
    <w:p w:rsidR="00F85781" w:rsidRDefault="00F85781" w:rsidP="00286B29">
      <w:r w:rsidRPr="00F85781">
        <w:t>If the progression seen over 2 years in the comparator arms of the A3921044 and A3921069 studies, whilst appearing to be relatively small, continued over the longer term, the consequences to patients could include irreversible joint damage and progressive disability.</w:t>
      </w:r>
    </w:p>
    <w:p w:rsidR="00F85781" w:rsidRDefault="00F85781" w:rsidP="00286B29">
      <w:r w:rsidRPr="00F85781">
        <w:t xml:space="preserve">The Delegate has noted the clinical evaluator’s concern regarding </w:t>
      </w:r>
      <w:r w:rsidR="00B34BFC">
        <w:t>‘</w:t>
      </w:r>
      <w:r w:rsidRPr="00F85781">
        <w:t xml:space="preserve">the magnitude and clinical relevance of the potential </w:t>
      </w:r>
      <w:r w:rsidR="0067104C">
        <w:t>x-ray</w:t>
      </w:r>
      <w:r w:rsidRPr="00F85781">
        <w:t xml:space="preserve"> benefits with [tofacitinib] versus alternative treatment options</w:t>
      </w:r>
      <w:r w:rsidR="008F2D59">
        <w:t>’</w:t>
      </w:r>
      <w:r w:rsidRPr="00F85781">
        <w:t xml:space="preserve">. Whilst direct comparison of radiographic outcomes between tofacitinib and approved biological DMARDs is not available, the </w:t>
      </w:r>
      <w:r w:rsidR="006C5DCA">
        <w:t>sponsor</w:t>
      </w:r>
      <w:r w:rsidRPr="00F85781">
        <w:t xml:space="preserve"> has previously shown that changes in </w:t>
      </w:r>
      <w:proofErr w:type="spellStart"/>
      <w:r w:rsidRPr="00F85781">
        <w:t>mTSS</w:t>
      </w:r>
      <w:proofErr w:type="spellEnd"/>
      <w:r w:rsidRPr="00F85781">
        <w:t xml:space="preserve"> from baseline for tofacitinib were overall comparable with those of certolizu</w:t>
      </w:r>
      <w:r>
        <w:t>mab, tocilizumab and golimumab</w:t>
      </w:r>
      <w:r w:rsidRPr="00F85781">
        <w:t>. The magnitude of effect seen in patients with moderately to severe active RA for JAK inhibitor baricitinib, which was recently approved in Eu</w:t>
      </w:r>
      <w:r>
        <w:t>rope, is also comparable.</w:t>
      </w:r>
      <w:r>
        <w:rPr>
          <w:rStyle w:val="FootnoteReference"/>
        </w:rPr>
        <w:footnoteReference w:id="23"/>
      </w:r>
    </w:p>
    <w:p w:rsidR="00F85781" w:rsidRDefault="00F85781" w:rsidP="00286B29">
      <w:r w:rsidRPr="00F85781">
        <w:t xml:space="preserve">The Delegate and clinical evaluator agree that </w:t>
      </w:r>
      <w:r w:rsidR="00B34BFC">
        <w:t>‘</w:t>
      </w:r>
      <w:r w:rsidRPr="00F85781">
        <w:t xml:space="preserve">an impact on inhibiting the structural bone damage of RA is associated with better </w:t>
      </w:r>
      <w:r w:rsidR="00B34BFC">
        <w:t>long term</w:t>
      </w:r>
      <w:r w:rsidRPr="00F85781">
        <w:t xml:space="preserve"> patient outcomes particularly regarding maintenance of physical function and quality of life.</w:t>
      </w:r>
      <w:r w:rsidR="008F2D59">
        <w:t>’</w:t>
      </w:r>
      <w:r w:rsidRPr="00F85781">
        <w:t xml:space="preserve"> There is therefore no doubt that the ability to inhibit progression of this damage, which tofacitinib has been proven to have, is most clinically relevant.</w:t>
      </w:r>
    </w:p>
    <w:p w:rsidR="00F85781" w:rsidRPr="009602F5" w:rsidRDefault="00F85781" w:rsidP="009602F5">
      <w:pPr>
        <w:pStyle w:val="Numberbullet0"/>
        <w:rPr>
          <w:b/>
          <w:i/>
        </w:rPr>
      </w:pPr>
      <w:r w:rsidRPr="009602F5">
        <w:rPr>
          <w:b/>
          <w:i/>
        </w:rPr>
        <w:t>Is the committee satisfied that the durability of clinical response has been demonstrated for up to 7 years?</w:t>
      </w:r>
    </w:p>
    <w:p w:rsidR="00F85781" w:rsidRDefault="00F85781" w:rsidP="00286B29">
      <w:r w:rsidRPr="00F85781">
        <w:t xml:space="preserve">It is important for prescribers to make informed decisions about </w:t>
      </w:r>
      <w:r w:rsidR="00B34BFC">
        <w:t>long term</w:t>
      </w:r>
      <w:r w:rsidRPr="00F85781">
        <w:t xml:space="preserve"> treatment of RA patients given the chronic and frequently progressive nature of their disease</w:t>
      </w:r>
      <w:r>
        <w:t>.</w:t>
      </w:r>
    </w:p>
    <w:p w:rsidR="00F85781" w:rsidRDefault="00F85781" w:rsidP="00286B29">
      <w:r w:rsidRPr="00F85781">
        <w:t xml:space="preserve">The persistence of tofacitinib’s effect was clearly demonstrated for 2 years in controlled </w:t>
      </w:r>
      <w:r w:rsidR="00B34BFC">
        <w:t>Phase III</w:t>
      </w:r>
      <w:r w:rsidRPr="00F85781">
        <w:t xml:space="preserve"> studies A3921044 and A3921069. Durability of effect was assessed by ACR20, ACR50, ACR70 response rates, mean change (Δ) in HAQ-DI, and mean DAS28-4(ESR) me</w:t>
      </w:r>
      <w:r>
        <w:t>asuring disease activity.</w:t>
      </w:r>
    </w:p>
    <w:p w:rsidR="00F85781" w:rsidRDefault="00F85781" w:rsidP="00286B29">
      <w:r w:rsidRPr="00F85781">
        <w:t xml:space="preserve">In </w:t>
      </w:r>
      <w:r w:rsidR="008F2D59">
        <w:t>open label</w:t>
      </w:r>
      <w:r w:rsidRPr="00F85781">
        <w:t xml:space="preserve"> LTE studies A3921024 and A3921041, tofacitinib 5 and 10 mg BID demonstrated sustained efficacy through 84 months of treatment as measured by ACR20, DAS28-4(ESR) </w:t>
      </w:r>
      <w:r w:rsidR="008F2D59">
        <w:t xml:space="preserve">&lt; </w:t>
      </w:r>
      <w:r w:rsidRPr="00F85781">
        <w:t>2.6 response rates and improvement i</w:t>
      </w:r>
      <w:r>
        <w:t>n physical function (Δ HAQ-DI).</w:t>
      </w:r>
    </w:p>
    <w:p w:rsidR="00F85781" w:rsidRDefault="00F85781" w:rsidP="00286B29">
      <w:r w:rsidRPr="00F85781">
        <w:t>Persistent achievement of low disease activity, a major treatment target, has been shown to stabilise functional ability and reduce radiol</w:t>
      </w:r>
      <w:r>
        <w:t>ogic progression of disease</w:t>
      </w:r>
      <w:r>
        <w:rPr>
          <w:rStyle w:val="FootnoteReference"/>
        </w:rPr>
        <w:footnoteReference w:id="24"/>
      </w:r>
      <w:r w:rsidRPr="00F85781">
        <w:t xml:space="preserve"> making the durability of response to tofacitinib compelling and adding further plausibility to the preserving effects seen on structural progression.</w:t>
      </w:r>
    </w:p>
    <w:p w:rsidR="00F85781" w:rsidRDefault="00F85781" w:rsidP="00F85781">
      <w:pPr>
        <w:pStyle w:val="Heading5"/>
      </w:pPr>
      <w:r>
        <w:t>Benefit/risk</w:t>
      </w:r>
    </w:p>
    <w:p w:rsidR="00F85781" w:rsidRDefault="00F85781" w:rsidP="00286B29">
      <w:r w:rsidRPr="00F85781">
        <w:t xml:space="preserve">Tofacitinib 5 mg BID has consistently resulted in statistically significant and clinically meaningful improvement in signs and symptoms of RA (ACR20/50/70), health related quality of life including physical function (HAQ-DI) and reduction in disease activity (DAS28-4(ESR)). Importantly, tofacitinib significantly reduced inflammatory markers </w:t>
      </w:r>
      <w:r w:rsidRPr="00F85781">
        <w:lastRenderedPageBreak/>
        <w:t xml:space="preserve">(CRP and ESR) and, therefore, the underlying inflammatory process. The totality of evidence supports a structure preserving effect in both MTX-naïve and MTX-IR RA patients, consistent with the structural benefits of </w:t>
      </w:r>
      <w:proofErr w:type="spellStart"/>
      <w:r w:rsidRPr="00F85781">
        <w:t>bDMARDs</w:t>
      </w:r>
      <w:proofErr w:type="spellEnd"/>
      <w:r>
        <w:t xml:space="preserve"> and JAK inhibitor baricitinib.</w:t>
      </w:r>
    </w:p>
    <w:p w:rsidR="00F85781" w:rsidRDefault="00F85781" w:rsidP="00286B29">
      <w:r w:rsidRPr="00F85781">
        <w:t xml:space="preserve">The Delegate has acknowledged that, from the safety perspective, </w:t>
      </w:r>
      <w:r w:rsidR="00B34BFC">
        <w:t>‘</w:t>
      </w:r>
      <w:r w:rsidRPr="00F85781">
        <w:t xml:space="preserve">in this submission, the </w:t>
      </w:r>
      <w:r w:rsidR="00767735">
        <w:t>s</w:t>
      </w:r>
      <w:r w:rsidRPr="00F85781">
        <w:t>ponsor has responded to the prior key issues that have impeded the registration of [tofacitinib] in Australia and the EU</w:t>
      </w:r>
      <w:r w:rsidR="008F2D59">
        <w:t>’</w:t>
      </w:r>
      <w:r w:rsidRPr="00F85781">
        <w:t>. There were no new safety concerns identified in this submission and, therefore, the benefit/risk of tofacitinib in the indicat</w:t>
      </w:r>
      <w:r>
        <w:t>ed population remains positive.</w:t>
      </w:r>
    </w:p>
    <w:p w:rsidR="00427B1B" w:rsidRDefault="00427B1B" w:rsidP="00427B1B">
      <w:pPr>
        <w:pStyle w:val="Heading4"/>
      </w:pPr>
      <w:r>
        <w:t>Advisory Committee Considerations</w:t>
      </w:r>
      <w:r>
        <w:rPr>
          <w:rStyle w:val="FootnoteReference"/>
        </w:rPr>
        <w:footnoteReference w:id="25"/>
      </w:r>
    </w:p>
    <w:p w:rsidR="00374E01" w:rsidRDefault="00374E01" w:rsidP="00374E01">
      <w:r>
        <w:t>The ACM taking into account the submitted evidence of efficacy, safety and quality, agreed with the delegate and did not support the proposed extension of indications for X</w:t>
      </w:r>
      <w:r w:rsidR="006A4047">
        <w:t>eljanz</w:t>
      </w:r>
      <w:r>
        <w:t xml:space="preserve"> immediate release tablet containing 5 mg (tofacitinib as citrate) for the additional indication below:</w:t>
      </w:r>
    </w:p>
    <w:p w:rsidR="00374E01" w:rsidRPr="006A4047" w:rsidRDefault="00374E01" w:rsidP="006A4047">
      <w:pPr>
        <w:ind w:left="720"/>
        <w:rPr>
          <w:i/>
        </w:rPr>
      </w:pPr>
      <w:r w:rsidRPr="006A4047">
        <w:rPr>
          <w:i/>
        </w:rPr>
        <w:t xml:space="preserve">XELJANZ has been shown to inhibit the progression of structural damage as measured by </w:t>
      </w:r>
      <w:r w:rsidR="006A4047">
        <w:rPr>
          <w:i/>
        </w:rPr>
        <w:t>x</w:t>
      </w:r>
      <w:r w:rsidRPr="006A4047">
        <w:rPr>
          <w:i/>
        </w:rPr>
        <w:t>-ray.</w:t>
      </w:r>
    </w:p>
    <w:p w:rsidR="00374E01" w:rsidRPr="004A6809" w:rsidRDefault="00374E01" w:rsidP="00374E01">
      <w:r w:rsidRPr="004A6809">
        <w:t>In making this recommendation the ACM noted:</w:t>
      </w:r>
    </w:p>
    <w:p w:rsidR="00374E01" w:rsidRPr="004A6809" w:rsidRDefault="00374E01" w:rsidP="00374E01">
      <w:pPr>
        <w:pStyle w:val="ListBullet"/>
      </w:pPr>
      <w:r w:rsidRPr="004A6809">
        <w:t xml:space="preserve">The findings of the primary </w:t>
      </w:r>
      <w:r w:rsidR="006A4047" w:rsidRPr="004A6809">
        <w:t>x</w:t>
      </w:r>
      <w:r w:rsidRPr="004A6809">
        <w:t xml:space="preserve">-ray analysis of Study A3921044 were not supportive of an </w:t>
      </w:r>
      <w:r w:rsidR="006A4047" w:rsidRPr="004A6809">
        <w:t>x</w:t>
      </w:r>
      <w:r w:rsidRPr="004A6809">
        <w:t xml:space="preserve">-ray claim for TOF therapy in a predominantly second line treatment </w:t>
      </w:r>
      <w:r w:rsidR="006A4047" w:rsidRPr="004A6809">
        <w:t>population with established RA.</w:t>
      </w:r>
    </w:p>
    <w:p w:rsidR="00374E01" w:rsidRPr="004A6809" w:rsidRDefault="00374E01" w:rsidP="00374E01">
      <w:pPr>
        <w:pStyle w:val="ListBullet"/>
      </w:pPr>
      <w:r w:rsidRPr="004A6809">
        <w:t xml:space="preserve">Low rates of </w:t>
      </w:r>
      <w:r w:rsidR="006A4047" w:rsidRPr="004A6809">
        <w:t>x</w:t>
      </w:r>
      <w:r w:rsidRPr="004A6809">
        <w:t>-ray progression in the control group in Study A3921044 may explain the lack of finding of structural benefit in the primary analysis but this explanation is not an acceptable justification for not</w:t>
      </w:r>
      <w:r w:rsidR="006A4047" w:rsidRPr="004A6809">
        <w:t xml:space="preserve"> confirming structural benefit.</w:t>
      </w:r>
    </w:p>
    <w:p w:rsidR="00374E01" w:rsidRPr="004A6809" w:rsidRDefault="00374E01" w:rsidP="00374E01">
      <w:pPr>
        <w:pStyle w:val="ListBullet"/>
      </w:pPr>
      <w:r w:rsidRPr="004A6809">
        <w:t xml:space="preserve">The magnitude and clinical relevance of the </w:t>
      </w:r>
      <w:r w:rsidR="006A4047" w:rsidRPr="004A6809">
        <w:t>x</w:t>
      </w:r>
      <w:r w:rsidRPr="004A6809">
        <w:t>-ray benefits of TOF with active RA were not sufficient to support the proposed i</w:t>
      </w:r>
      <w:r w:rsidR="006A4047" w:rsidRPr="004A6809">
        <w:t>ndication.</w:t>
      </w:r>
    </w:p>
    <w:p w:rsidR="00374E01" w:rsidRPr="004A6809" w:rsidRDefault="00374E01" w:rsidP="00374E01">
      <w:pPr>
        <w:pStyle w:val="ListBullet"/>
      </w:pPr>
      <w:r w:rsidRPr="004A6809">
        <w:t>Concerns with low MTX dosing prior to enro</w:t>
      </w:r>
      <w:r w:rsidR="006A4047" w:rsidRPr="004A6809">
        <w:t>lment in one third of patients.</w:t>
      </w:r>
    </w:p>
    <w:p w:rsidR="00374E01" w:rsidRPr="004A6809" w:rsidRDefault="00374E01" w:rsidP="00374E01">
      <w:pPr>
        <w:pStyle w:val="ListBullet"/>
      </w:pPr>
      <w:r w:rsidRPr="004A6809">
        <w:t>Post-hoc and sensitivity analyses to demonstrate structural benefit are not considered as robust as the primary analysis for de</w:t>
      </w:r>
      <w:r w:rsidR="006A4047" w:rsidRPr="004A6809">
        <w:t>monstrating structural benefit.</w:t>
      </w:r>
    </w:p>
    <w:p w:rsidR="00374E01" w:rsidRPr="004A6809" w:rsidRDefault="00374E01" w:rsidP="00374E01">
      <w:pPr>
        <w:pStyle w:val="ListBullet"/>
      </w:pPr>
      <w:r w:rsidRPr="004A6809">
        <w:t>The inclusion of radiographic response data from study A3921044 in the clinical trials section of the PI was supported but the data from study A3921069 was considered less relevant as the patient population was inconsistent with the line of therapy for which TOF is c</w:t>
      </w:r>
      <w:r w:rsidR="006A4047" w:rsidRPr="004A6809">
        <w:t>urrently approved in Australia.</w:t>
      </w:r>
    </w:p>
    <w:p w:rsidR="00374E01" w:rsidRPr="004A6809" w:rsidRDefault="00374E01" w:rsidP="008E7846">
      <w:pPr>
        <w:pStyle w:val="ListBullet"/>
      </w:pPr>
      <w:r w:rsidRPr="004A6809">
        <w:t>The committee noted that historically, endpoint claims have been included in the indication for some drugs for the treatment of rheumatoid arthritis, but that in the future this information would better placed in the clin</w:t>
      </w:r>
      <w:r w:rsidR="006A4047" w:rsidRPr="004A6809">
        <w:t>ical trials section in the PI.</w:t>
      </w:r>
    </w:p>
    <w:p w:rsidR="006A4047" w:rsidRDefault="006A4047" w:rsidP="006A4047">
      <w:pPr>
        <w:pStyle w:val="Heading5"/>
      </w:pPr>
      <w:r>
        <w:t xml:space="preserve">Specific </w:t>
      </w:r>
      <w:r w:rsidR="00BC4F11">
        <w:t>a</w:t>
      </w:r>
      <w:r>
        <w:t>dvice</w:t>
      </w:r>
    </w:p>
    <w:p w:rsidR="00911025" w:rsidRDefault="00911025" w:rsidP="008E7846">
      <w:r w:rsidRPr="00911025">
        <w:t>ACM advised the following in response to the Delegate’s specif</w:t>
      </w:r>
      <w:r>
        <w:t>ic questions on the submission.</w:t>
      </w:r>
    </w:p>
    <w:p w:rsidR="00911025" w:rsidRPr="006A4047" w:rsidRDefault="00911025" w:rsidP="006A4047">
      <w:pPr>
        <w:pStyle w:val="Numberbullet0"/>
        <w:numPr>
          <w:ilvl w:val="0"/>
          <w:numId w:val="49"/>
        </w:numPr>
        <w:rPr>
          <w:i/>
        </w:rPr>
      </w:pPr>
      <w:r w:rsidRPr="006A4047">
        <w:rPr>
          <w:i/>
        </w:rPr>
        <w:lastRenderedPageBreak/>
        <w:t xml:space="preserve">Are the results of </w:t>
      </w:r>
      <w:r w:rsidR="006C5DCA" w:rsidRPr="006A4047">
        <w:rPr>
          <w:i/>
        </w:rPr>
        <w:t>Study</w:t>
      </w:r>
      <w:r w:rsidRPr="006A4047">
        <w:rPr>
          <w:i/>
        </w:rPr>
        <w:t xml:space="preserve"> A3921044 and the supporting analyses robust enough to support the proposed indication in the approved treatment population?</w:t>
      </w:r>
    </w:p>
    <w:p w:rsidR="00911025" w:rsidRDefault="00911025" w:rsidP="008E7846">
      <w:r w:rsidRPr="00911025">
        <w:t xml:space="preserve">ACM advised that the </w:t>
      </w:r>
      <w:r w:rsidR="00625891">
        <w:t>modified Total Sharp Score (</w:t>
      </w:r>
      <w:proofErr w:type="spellStart"/>
      <w:r w:rsidRPr="00911025">
        <w:t>mTSS</w:t>
      </w:r>
      <w:proofErr w:type="spellEnd"/>
      <w:r w:rsidR="00625891">
        <w:t>)</w:t>
      </w:r>
      <w:r w:rsidRPr="00911025">
        <w:t xml:space="preserve"> results presented in </w:t>
      </w:r>
      <w:r w:rsidR="006C5DCA">
        <w:t>Study</w:t>
      </w:r>
      <w:r w:rsidR="00EA068B">
        <w:t> </w:t>
      </w:r>
      <w:r w:rsidRPr="00911025">
        <w:t>A3921044 do not support a robust case for the proposed indication relating to structural bene</w:t>
      </w:r>
      <w:r w:rsidR="006C5DCA">
        <w:t>fit deriving from TOF 5 mg BD</w:t>
      </w:r>
      <w:r w:rsidRPr="00911025">
        <w:t xml:space="preserve"> In the primary analysis the point est</w:t>
      </w:r>
      <w:r w:rsidR="005E28C6">
        <w:t>i</w:t>
      </w:r>
      <w:r w:rsidR="006C5DCA">
        <w:t>mates of the placebo and 5 mg B</w:t>
      </w:r>
      <w:r w:rsidR="005E28C6">
        <w:t>D</w:t>
      </w:r>
      <w:r w:rsidRPr="00911025">
        <w:t xml:space="preserve"> arms were not statistically significantly different, possibly as a result of the lower than expected progression of the placebo group. The post-hoc and sensitivity analyses were generally supportive of an effect on structural damage but were not considered robust enough to s</w:t>
      </w:r>
      <w:r>
        <w:t>upport the proposed indication.</w:t>
      </w:r>
    </w:p>
    <w:p w:rsidR="00911025" w:rsidRPr="006A4047" w:rsidRDefault="00911025" w:rsidP="006A4047">
      <w:pPr>
        <w:pStyle w:val="Numberbullet0"/>
        <w:rPr>
          <w:i/>
        </w:rPr>
      </w:pPr>
      <w:r w:rsidRPr="006A4047">
        <w:rPr>
          <w:i/>
        </w:rPr>
        <w:t xml:space="preserve">Are the results of </w:t>
      </w:r>
      <w:r w:rsidR="006C5DCA" w:rsidRPr="006A4047">
        <w:rPr>
          <w:i/>
        </w:rPr>
        <w:t>Study</w:t>
      </w:r>
      <w:r w:rsidRPr="006A4047">
        <w:rPr>
          <w:i/>
        </w:rPr>
        <w:t xml:space="preserve"> A3921044 considered clinically relevant for the approved treatment indication?</w:t>
      </w:r>
    </w:p>
    <w:p w:rsidR="00911025" w:rsidRDefault="00911025" w:rsidP="008E7846">
      <w:r w:rsidRPr="00911025">
        <w:t xml:space="preserve">ACM advised that the recorded mean changes in </w:t>
      </w:r>
      <w:proofErr w:type="spellStart"/>
      <w:r w:rsidRPr="00911025">
        <w:t>mTSS</w:t>
      </w:r>
      <w:proofErr w:type="spellEnd"/>
      <w:r w:rsidRPr="00911025">
        <w:t xml:space="preserve"> were small and probably not clinically significant. Subgroups of patients with risk factors for structural damage may benefit more from tofacitinib treatment. Supporting studies suggest that tofacitinib has a positive effective on structural damage but possibly not at a clinically significant level.</w:t>
      </w:r>
    </w:p>
    <w:p w:rsidR="00911025" w:rsidRPr="006A4047" w:rsidRDefault="00911025" w:rsidP="006A4047">
      <w:pPr>
        <w:pStyle w:val="Numberbullet0"/>
        <w:rPr>
          <w:i/>
        </w:rPr>
      </w:pPr>
      <w:r w:rsidRPr="006A4047">
        <w:rPr>
          <w:i/>
        </w:rPr>
        <w:t>Is the committee satisfied that the durability of clinical response has been demonstrated for up to 7 years?</w:t>
      </w:r>
    </w:p>
    <w:p w:rsidR="001F766F" w:rsidRDefault="00911025" w:rsidP="008E7846">
      <w:r w:rsidRPr="00911025">
        <w:t>ACM advised that clinical response has been reasonably demonstrated to 5 years with small numbers of patients maintai</w:t>
      </w:r>
      <w:r w:rsidR="00CF3863">
        <w:t xml:space="preserve">ning a response at 7 years. </w:t>
      </w:r>
      <w:r w:rsidRPr="00911025">
        <w:t>ACM concluded that the submitted evidence provided in the sponsor’s submission did not satisfactorily establish th</w:t>
      </w:r>
      <w:r w:rsidR="00CF3863">
        <w:t>e safety and efficacy of Xeljanz</w:t>
      </w:r>
      <w:r w:rsidRPr="00911025">
        <w:t xml:space="preserve"> immediate release tablet containing 5 mg of tofacitinib (as citrate) for the proposed indication.</w:t>
      </w:r>
    </w:p>
    <w:p w:rsidR="001F766F" w:rsidRPr="004A6809" w:rsidRDefault="001F766F" w:rsidP="001F766F">
      <w:pPr>
        <w:pStyle w:val="Heading4"/>
      </w:pPr>
      <w:r w:rsidRPr="004A6809">
        <w:t xml:space="preserve">Post ACM </w:t>
      </w:r>
      <w:r w:rsidR="00BC4F11">
        <w:t>n</w:t>
      </w:r>
      <w:bookmarkStart w:id="195" w:name="_GoBack"/>
      <w:bookmarkEnd w:id="195"/>
      <w:r w:rsidRPr="004A6809">
        <w:t>egotiations</w:t>
      </w:r>
    </w:p>
    <w:p w:rsidR="001F766F" w:rsidRPr="004A6809" w:rsidRDefault="00115F02" w:rsidP="001F766F">
      <w:r w:rsidRPr="004A6809">
        <w:t>The Delegate in correspondence with the sponsor (</w:t>
      </w:r>
      <w:r w:rsidR="00625891" w:rsidRPr="004A6809">
        <w:t xml:space="preserve">dated </w:t>
      </w:r>
      <w:r w:rsidR="00A102F8" w:rsidRPr="004A6809">
        <w:t>21 April 2017</w:t>
      </w:r>
      <w:r w:rsidRPr="004A6809">
        <w:t>)</w:t>
      </w:r>
      <w:r w:rsidR="00A102F8" w:rsidRPr="004A6809">
        <w:t xml:space="preserve"> </w:t>
      </w:r>
      <w:r w:rsidRPr="004A6809">
        <w:t>recommended the following:</w:t>
      </w:r>
    </w:p>
    <w:p w:rsidR="00A102F8" w:rsidRPr="004A6809" w:rsidRDefault="00A102F8" w:rsidP="00A102F8">
      <w:r w:rsidRPr="004A6809">
        <w:t>The Delegate considered and accepted the committee’s advice and reviewed the sponsor’s Pre-ACPM response. The Delegate proposed to reject the addition of a radiographic benefit claim to the indications for Xeljanz, however, other proposed changes may become acceptable if issues in relation to the Product Information are satisfactorily addressed.</w:t>
      </w:r>
    </w:p>
    <w:p w:rsidR="00115F02" w:rsidRPr="004A6809" w:rsidRDefault="00625891" w:rsidP="001F766F">
      <w:r w:rsidRPr="004A6809">
        <w:t>The s</w:t>
      </w:r>
      <w:r w:rsidR="00115F02" w:rsidRPr="004A6809">
        <w:t>ponsor</w:t>
      </w:r>
      <w:r w:rsidRPr="004A6809">
        <w:t>’s</w:t>
      </w:r>
      <w:r w:rsidR="00115F02" w:rsidRPr="004A6809">
        <w:t xml:space="preserve"> response </w:t>
      </w:r>
      <w:r w:rsidRPr="004A6809">
        <w:t>(</w:t>
      </w:r>
      <w:r w:rsidR="00115F02" w:rsidRPr="004A6809">
        <w:t>d</w:t>
      </w:r>
      <w:r w:rsidRPr="004A6809">
        <w:t>ated 8 May 2017</w:t>
      </w:r>
      <w:r w:rsidR="00115F02" w:rsidRPr="004A6809">
        <w:t>)</w:t>
      </w:r>
      <w:r w:rsidRPr="004A6809">
        <w:t xml:space="preserve"> proposed the following revision to the wording of the indications:</w:t>
      </w:r>
    </w:p>
    <w:p w:rsidR="00EA068B" w:rsidRPr="004A6809" w:rsidRDefault="00625891" w:rsidP="00EA068B">
      <w:pPr>
        <w:pStyle w:val="ListBullet"/>
      </w:pPr>
      <w:r w:rsidRPr="004A6809">
        <w:t>Remove the statement regarding the i</w:t>
      </w:r>
      <w:r w:rsidR="00EA068B" w:rsidRPr="004A6809">
        <w:t>nhibition of structural damage.</w:t>
      </w:r>
    </w:p>
    <w:p w:rsidR="00625891" w:rsidRPr="004A6809" w:rsidRDefault="00625891" w:rsidP="00EA068B">
      <w:pPr>
        <w:pStyle w:val="ListBullet"/>
      </w:pPr>
      <w:r w:rsidRPr="004A6809">
        <w:t>The deletion of ‘signs and symptoms of’ is considered acceptable.</w:t>
      </w:r>
    </w:p>
    <w:p w:rsidR="00625891" w:rsidRPr="004A6809" w:rsidRDefault="00625891" w:rsidP="001F766F">
      <w:r w:rsidRPr="004A6809">
        <w:t>The revised indication as accepted by the sponsor was</w:t>
      </w:r>
    </w:p>
    <w:p w:rsidR="00387362" w:rsidRDefault="00625891" w:rsidP="00625891">
      <w:pPr>
        <w:ind w:left="720"/>
        <w:rPr>
          <w:i/>
        </w:rPr>
      </w:pPr>
      <w:r w:rsidRPr="004A6809">
        <w:rPr>
          <w:i/>
        </w:rPr>
        <w:t xml:space="preserve">Xeljanz is indicated for the treatment of moderate to severe active rheumatoid arthritis in adults who have had an inadequate response or are intolerant to methotrexate. Xeljanz can be used alone or in combination with </w:t>
      </w:r>
      <w:proofErr w:type="spellStart"/>
      <w:r w:rsidRPr="004A6809">
        <w:rPr>
          <w:i/>
        </w:rPr>
        <w:t>nonbiological</w:t>
      </w:r>
      <w:proofErr w:type="spellEnd"/>
      <w:r w:rsidRPr="004A6809">
        <w:rPr>
          <w:i/>
        </w:rPr>
        <w:t xml:space="preserve"> DMARDs, including methotrexate</w:t>
      </w:r>
      <w:r w:rsidR="00387362">
        <w:rPr>
          <w:i/>
        </w:rPr>
        <w:t>.</w:t>
      </w:r>
    </w:p>
    <w:p w:rsidR="00625891" w:rsidRPr="00625891" w:rsidRDefault="00625891" w:rsidP="00625891">
      <w:pPr>
        <w:ind w:left="720"/>
        <w:rPr>
          <w:i/>
        </w:rPr>
      </w:pPr>
      <w:r w:rsidRPr="004A6809">
        <w:rPr>
          <w:i/>
        </w:rPr>
        <w:t xml:space="preserve">Therapy with </w:t>
      </w:r>
      <w:proofErr w:type="spellStart"/>
      <w:r w:rsidRPr="004A6809">
        <w:rPr>
          <w:i/>
        </w:rPr>
        <w:t>Xeljanz</w:t>
      </w:r>
      <w:proofErr w:type="spellEnd"/>
      <w:r w:rsidRPr="004A6809">
        <w:rPr>
          <w:i/>
        </w:rPr>
        <w:t xml:space="preserve"> should be initiated and monitored by a rheumatologist or specialist physician with expertise in the management of rheumatoid arthritis.</w:t>
      </w:r>
    </w:p>
    <w:p w:rsidR="008E7846" w:rsidRPr="002E238E" w:rsidRDefault="008E7846" w:rsidP="008E7846">
      <w:pPr>
        <w:pStyle w:val="Heading3"/>
      </w:pPr>
      <w:bookmarkStart w:id="196" w:name="_Toc247691532"/>
      <w:bookmarkStart w:id="197" w:name="_Toc314842516"/>
      <w:bookmarkStart w:id="198" w:name="_Toc509307212"/>
      <w:bookmarkEnd w:id="75"/>
      <w:bookmarkEnd w:id="193"/>
      <w:bookmarkEnd w:id="194"/>
      <w:r>
        <w:t>Outcome</w:t>
      </w:r>
      <w:bookmarkEnd w:id="196"/>
      <w:bookmarkEnd w:id="197"/>
      <w:bookmarkEnd w:id="198"/>
    </w:p>
    <w:p w:rsidR="009E7B11" w:rsidRDefault="00D23139" w:rsidP="00D23139">
      <w:bookmarkStart w:id="199" w:name="_Toc247691533"/>
      <w:bookmarkStart w:id="200" w:name="_Toc314842517"/>
      <w:r w:rsidRPr="00D23139">
        <w:t>Based on a review of quality, safety and efficacy, T</w:t>
      </w:r>
      <w:r w:rsidR="00903217">
        <w:t>GA approved the registration of Xeljanz (tofacitinib [as citrate])</w:t>
      </w:r>
      <w:r w:rsidR="009E7B11" w:rsidRPr="009E7B11">
        <w:t xml:space="preserve"> immediate release tablet 5 mg</w:t>
      </w:r>
      <w:r w:rsidR="00CB4850">
        <w:t xml:space="preserve"> for the new indication</w:t>
      </w:r>
      <w:r w:rsidR="009E7B11">
        <w:t>:</w:t>
      </w:r>
    </w:p>
    <w:p w:rsidR="009E7B11" w:rsidRPr="009E7B11" w:rsidRDefault="00CB4850" w:rsidP="009E7B11">
      <w:pPr>
        <w:ind w:left="720"/>
        <w:rPr>
          <w:i/>
        </w:rPr>
      </w:pPr>
      <w:r>
        <w:rPr>
          <w:i/>
        </w:rPr>
        <w:lastRenderedPageBreak/>
        <w:t xml:space="preserve">Xeljanz </w:t>
      </w:r>
      <w:r w:rsidR="009E7B11" w:rsidRPr="009E7B11">
        <w:rPr>
          <w:i/>
        </w:rPr>
        <w:t xml:space="preserve">is indicated for the treatment of moderate to severe active rheumatoid arthritis in adults who have had an inadequate response or are intolerant to methotrexate. </w:t>
      </w:r>
      <w:r>
        <w:rPr>
          <w:i/>
        </w:rPr>
        <w:t xml:space="preserve">Xeljanz </w:t>
      </w:r>
      <w:r w:rsidR="009E7B11" w:rsidRPr="009E7B11">
        <w:rPr>
          <w:i/>
        </w:rPr>
        <w:t xml:space="preserve">can be used alone or in combination with </w:t>
      </w:r>
      <w:proofErr w:type="spellStart"/>
      <w:r w:rsidR="009E7B11" w:rsidRPr="009E7B11">
        <w:rPr>
          <w:i/>
        </w:rPr>
        <w:t>nonbiological</w:t>
      </w:r>
      <w:proofErr w:type="spellEnd"/>
      <w:r w:rsidR="009E7B11" w:rsidRPr="009E7B11">
        <w:rPr>
          <w:i/>
        </w:rPr>
        <w:t xml:space="preserve"> DMARDs, including methotrexate.</w:t>
      </w:r>
    </w:p>
    <w:p w:rsidR="009E7B11" w:rsidRDefault="009E7B11" w:rsidP="009E7B11">
      <w:pPr>
        <w:ind w:left="720"/>
      </w:pPr>
      <w:r w:rsidRPr="009E7B11">
        <w:rPr>
          <w:i/>
        </w:rPr>
        <w:t xml:space="preserve">Therapy with </w:t>
      </w:r>
      <w:r w:rsidR="00CB4850">
        <w:rPr>
          <w:i/>
        </w:rPr>
        <w:t>Xeljanz</w:t>
      </w:r>
      <w:r w:rsidRPr="009E7B11">
        <w:rPr>
          <w:i/>
        </w:rPr>
        <w:t xml:space="preserve"> should be initiated and monitored by a rheumatologist or specialist physician with expertise in the management of rheumatoid arthritis.</w:t>
      </w:r>
    </w:p>
    <w:p w:rsidR="00D23139" w:rsidRPr="00D23139" w:rsidRDefault="00D23139" w:rsidP="00D23139">
      <w:pPr>
        <w:pStyle w:val="Heading4"/>
      </w:pPr>
      <w:r w:rsidRPr="00D23139">
        <w:t>Specific conditions of registration applying to these goods</w:t>
      </w:r>
    </w:p>
    <w:p w:rsidR="00D23139" w:rsidRDefault="00CB4850" w:rsidP="00CB4850">
      <w:pPr>
        <w:pStyle w:val="ListBullet"/>
      </w:pPr>
      <w:r w:rsidRPr="00CB4850">
        <w:t xml:space="preserve">The tofacitinib Australian-specific </w:t>
      </w:r>
      <w:r>
        <w:t>RMP</w:t>
      </w:r>
      <w:r w:rsidRPr="00CB4850">
        <w:t>, version 2.0, 28 January 2016; data lock point 15 June 2015, revised as recommended in the Round 1 evaluation and as per the sponsor’s email included with submission, and any subsequen</w:t>
      </w:r>
      <w:r>
        <w:t xml:space="preserve">t revisions, as agreed with </w:t>
      </w:r>
      <w:r w:rsidRPr="00CB4850">
        <w:t>TGA will be implemented in Australia.</w:t>
      </w:r>
    </w:p>
    <w:p w:rsidR="00DE30DA" w:rsidRPr="004A6809" w:rsidRDefault="00DE30DA" w:rsidP="00DE30DA">
      <w:pPr>
        <w:pStyle w:val="ListBullet"/>
      </w:pPr>
      <w:r w:rsidRPr="004A6809">
        <w:t>The following study reports must be submitted to the TGA as soon as possible after completion, for evaluation as Category 1 submission: The final clinical study report for LTE Study A3921024.</w:t>
      </w:r>
    </w:p>
    <w:p w:rsidR="008E7846" w:rsidRDefault="00A80B5B" w:rsidP="00D23139">
      <w:pPr>
        <w:pStyle w:val="Heading2"/>
      </w:pPr>
      <w:bookmarkStart w:id="201" w:name="_Toc509307213"/>
      <w:proofErr w:type="gramStart"/>
      <w:r>
        <w:t>Attachment 1.</w:t>
      </w:r>
      <w:proofErr w:type="gramEnd"/>
      <w:r>
        <w:t xml:space="preserve"> </w:t>
      </w:r>
      <w:r w:rsidR="008E7846">
        <w:t xml:space="preserve">Product </w:t>
      </w:r>
      <w:r w:rsidR="00AA0ED0">
        <w:t>I</w:t>
      </w:r>
      <w:r w:rsidR="008E7846">
        <w:t>nformation</w:t>
      </w:r>
      <w:bookmarkEnd w:id="199"/>
      <w:bookmarkEnd w:id="200"/>
      <w:bookmarkEnd w:id="201"/>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A2235D">
        <w:t xml:space="preserve">Xeljanz </w:t>
      </w:r>
      <w:r w:rsidRPr="00232A97">
        <w:t xml:space="preserve">at the time this AusPAR was published is at Attachment 1. For the most recent </w:t>
      </w:r>
      <w:r w:rsidR="00133A1B" w:rsidRPr="00232A97">
        <w:t>PI,</w:t>
      </w:r>
      <w:r w:rsidRPr="00232A97">
        <w:t xml:space="preserve"> please refer to the </w:t>
      </w:r>
      <w:r w:rsidR="007C6B9B" w:rsidRPr="00232A97">
        <w:t>TGA website at &lt;</w:t>
      </w:r>
      <w:hyperlink r:id="rId21"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202" w:name="_Toc509307214"/>
      <w:proofErr w:type="gramStart"/>
      <w:r>
        <w:rPr>
          <w:lang w:eastAsia="en-AU"/>
        </w:rPr>
        <w:t>Attachment 2.</w:t>
      </w:r>
      <w:proofErr w:type="gramEnd"/>
      <w:r w:rsidR="00A80B5B">
        <w:rPr>
          <w:lang w:eastAsia="en-AU"/>
        </w:rPr>
        <w:t xml:space="preserve"> </w:t>
      </w:r>
      <w:r>
        <w:rPr>
          <w:lang w:eastAsia="en-AU"/>
        </w:rPr>
        <w:t>Extract from the Clinical Evaluation Report</w:t>
      </w:r>
      <w:bookmarkEnd w:id="202"/>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6" w:history="1">
              <w:r w:rsidRPr="004C239D">
                <w:rPr>
                  <w:rStyle w:val="Hyperlink"/>
                </w:rPr>
                <w:t>info@tga.gov.au</w:t>
              </w:r>
            </w:hyperlink>
            <w:r w:rsidR="00B34BFC">
              <w:t xml:space="preserve">  </w:t>
            </w:r>
            <w:r w:rsidRPr="00487162">
              <w:t>Phone: 1800 020 653</w:t>
            </w:r>
            <w:r w:rsidR="00B34BFC">
              <w:t xml:space="preserve">  </w:t>
            </w:r>
            <w:r w:rsidRPr="00487162">
              <w:t>Fax: 02 6232 8605</w:t>
            </w:r>
          </w:p>
          <w:p w:rsidR="001C32CD" w:rsidRPr="004C239D" w:rsidRDefault="00387362" w:rsidP="00A05FA4">
            <w:pPr>
              <w:pStyle w:val="Address"/>
              <w:spacing w:line="260" w:lineRule="atLeast"/>
              <w:rPr>
                <w:b/>
                <w:color w:val="0000FF"/>
                <w:u w:val="single"/>
              </w:rPr>
            </w:pPr>
            <w:hyperlink r:id="rId27"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362" w:rsidRDefault="00387362" w:rsidP="00C40A36">
      <w:pPr>
        <w:spacing w:after="0"/>
      </w:pPr>
      <w:r>
        <w:separator/>
      </w:r>
    </w:p>
  </w:endnote>
  <w:endnote w:type="continuationSeparator" w:id="0">
    <w:p w:rsidR="00387362" w:rsidRDefault="0038736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87362" w:rsidRPr="00487162" w:rsidTr="00DB750B">
      <w:trPr>
        <w:trHeight w:val="269"/>
      </w:trPr>
      <w:tc>
        <w:tcPr>
          <w:tcW w:w="7371" w:type="dxa"/>
          <w:tcMar>
            <w:top w:w="142" w:type="dxa"/>
            <w:bottom w:w="0" w:type="dxa"/>
          </w:tcMar>
        </w:tcPr>
        <w:p w:rsidR="00387362" w:rsidRPr="00487162" w:rsidRDefault="00387362" w:rsidP="0006607A">
          <w:pPr>
            <w:pStyle w:val="Footer"/>
          </w:pPr>
          <w:r>
            <w:t xml:space="preserve">AusPAR </w:t>
          </w:r>
          <w:proofErr w:type="spellStart"/>
          <w:r>
            <w:t>Xeljanz</w:t>
          </w:r>
          <w:proofErr w:type="spellEnd"/>
          <w:r>
            <w:t xml:space="preserve"> </w:t>
          </w:r>
          <w:proofErr w:type="spellStart"/>
          <w:r w:rsidRPr="00CB2365">
            <w:t>Tofacitinib</w:t>
          </w:r>
          <w:proofErr w:type="spellEnd"/>
          <w:r w:rsidRPr="00CB2365">
            <w:t xml:space="preserve"> (as citrate)</w:t>
          </w:r>
          <w:r>
            <w:t xml:space="preserve"> </w:t>
          </w:r>
          <w:r w:rsidRPr="0081612A">
            <w:t>Pfizer</w:t>
          </w:r>
          <w:r w:rsidRPr="005F4659">
            <w:t xml:space="preserve"> Australia Pty Ltd</w:t>
          </w:r>
          <w:r>
            <w:t xml:space="preserve"> </w:t>
          </w:r>
          <w:r w:rsidRPr="005F4659">
            <w:t>PM-2016-00757-1-3</w:t>
          </w:r>
          <w:r>
            <w:t xml:space="preserve"> FINAL 25 May 2018</w:t>
          </w:r>
        </w:p>
      </w:tc>
      <w:tc>
        <w:tcPr>
          <w:tcW w:w="1490" w:type="dxa"/>
          <w:tcMar>
            <w:top w:w="142" w:type="dxa"/>
            <w:bottom w:w="0" w:type="dxa"/>
          </w:tcMar>
        </w:tcPr>
        <w:p w:rsidR="00387362" w:rsidRPr="00487162" w:rsidRDefault="00387362" w:rsidP="00DB750B">
          <w:pPr>
            <w:pStyle w:val="Footer"/>
            <w:jc w:val="right"/>
          </w:pPr>
          <w:r w:rsidRPr="00487162">
            <w:t xml:space="preserve">Page </w:t>
          </w:r>
          <w:r>
            <w:fldChar w:fldCharType="begin"/>
          </w:r>
          <w:r>
            <w:instrText xml:space="preserve"> PAGE  \* Arabic </w:instrText>
          </w:r>
          <w:r>
            <w:fldChar w:fldCharType="separate"/>
          </w:r>
          <w:r w:rsidR="00BC4F11">
            <w:rPr>
              <w:noProof/>
            </w:rPr>
            <w:t>64</w:t>
          </w:r>
          <w:r>
            <w:fldChar w:fldCharType="end"/>
          </w:r>
          <w:r w:rsidRPr="00487162">
            <w:t xml:space="preserve"> of </w:t>
          </w:r>
          <w:fldSimple w:instr=" NUMPAGES  \* Arabic ">
            <w:r w:rsidR="00BC4F11">
              <w:rPr>
                <w:noProof/>
              </w:rPr>
              <w:t>65</w:t>
            </w:r>
          </w:fldSimple>
        </w:p>
      </w:tc>
    </w:tr>
  </w:tbl>
  <w:p w:rsidR="00387362" w:rsidRDefault="0038736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87362" w:rsidRPr="00487162" w:rsidTr="00E45619">
      <w:trPr>
        <w:trHeight w:val="269"/>
      </w:trPr>
      <w:tc>
        <w:tcPr>
          <w:tcW w:w="4519" w:type="dxa"/>
          <w:tcBorders>
            <w:top w:val="single" w:sz="4" w:space="0" w:color="auto"/>
          </w:tcBorders>
          <w:tcMar>
            <w:top w:w="142" w:type="dxa"/>
            <w:bottom w:w="0" w:type="dxa"/>
          </w:tcMar>
        </w:tcPr>
        <w:p w:rsidR="00387362" w:rsidRPr="00487162" w:rsidRDefault="00387362" w:rsidP="00FE1DEE">
          <w:pPr>
            <w:pStyle w:val="Footer"/>
          </w:pPr>
          <w:r w:rsidRPr="00487162">
            <w:t>Document title, Part #, Section # - Section title</w:t>
          </w:r>
        </w:p>
        <w:p w:rsidR="00387362" w:rsidRPr="00487162" w:rsidRDefault="00387362" w:rsidP="00FE1DEE">
          <w:pPr>
            <w:pStyle w:val="Footer"/>
          </w:pPr>
          <w:r w:rsidRPr="00487162">
            <w:t>V1.0 October 2010</w:t>
          </w:r>
        </w:p>
      </w:tc>
      <w:tc>
        <w:tcPr>
          <w:tcW w:w="4342" w:type="dxa"/>
          <w:tcBorders>
            <w:top w:val="single" w:sz="4" w:space="0" w:color="auto"/>
          </w:tcBorders>
          <w:tcMar>
            <w:top w:w="142" w:type="dxa"/>
            <w:bottom w:w="0" w:type="dxa"/>
          </w:tcMar>
        </w:tcPr>
        <w:p w:rsidR="00387362" w:rsidRPr="00487162" w:rsidRDefault="0038736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15</w:t>
            </w:r>
          </w:fldSimple>
        </w:p>
      </w:tc>
    </w:tr>
  </w:tbl>
  <w:p w:rsidR="00387362" w:rsidRDefault="003873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Pr="001C32CD" w:rsidRDefault="0038736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87362" w:rsidTr="0010601F">
      <w:trPr>
        <w:trHeight w:val="108"/>
      </w:trPr>
      <w:tc>
        <w:tcPr>
          <w:tcW w:w="8875" w:type="dxa"/>
          <w:gridSpan w:val="2"/>
          <w:tcBorders>
            <w:bottom w:val="single" w:sz="4" w:space="0" w:color="auto"/>
          </w:tcBorders>
          <w:tcMar>
            <w:right w:w="284" w:type="dxa"/>
          </w:tcMar>
        </w:tcPr>
        <w:p w:rsidR="00387362" w:rsidRDefault="00387362" w:rsidP="006E08B3">
          <w:pPr>
            <w:pStyle w:val="Heading3"/>
          </w:pPr>
          <w:r>
            <w:t>Copyright</w:t>
          </w:r>
        </w:p>
        <w:p w:rsidR="00387362" w:rsidRDefault="00387362" w:rsidP="006E08B3">
          <w:r>
            <w:rPr>
              <w:rFonts w:cs="Arial"/>
            </w:rPr>
            <w:t>©</w:t>
          </w:r>
          <w:r>
            <w:t xml:space="preserve"> Commonwealth of Australia [add year]</w:t>
          </w:r>
        </w:p>
        <w:p w:rsidR="00387362" w:rsidRDefault="00387362" w:rsidP="006E08B3"/>
        <w:p w:rsidR="00387362" w:rsidRDefault="0038736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87362" w:rsidRDefault="00387362" w:rsidP="006E08B3"/>
        <w:p w:rsidR="00387362" w:rsidRDefault="00387362" w:rsidP="006E08B3">
          <w:pPr>
            <w:pStyle w:val="Heading3"/>
          </w:pPr>
          <w:r>
            <w:t>Confidentiality</w:t>
          </w:r>
        </w:p>
        <w:p w:rsidR="00387362" w:rsidRDefault="0038736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87362" w:rsidRDefault="00387362" w:rsidP="006E08B3"/>
        <w:p w:rsidR="00387362" w:rsidRDefault="00387362" w:rsidP="006E08B3">
          <w:r>
            <w:t>For submission made by individuals, all personal details, other than your name, will be removed from your submission before it is published on the TGA’s Internet site.</w:t>
          </w:r>
        </w:p>
        <w:p w:rsidR="00387362" w:rsidRDefault="00387362" w:rsidP="006E08B3"/>
        <w:p w:rsidR="00387362" w:rsidRDefault="0038736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87362" w:rsidTr="0010601F">
      <w:trPr>
        <w:trHeight w:val="417"/>
      </w:trPr>
      <w:tc>
        <w:tcPr>
          <w:tcW w:w="4519" w:type="dxa"/>
          <w:tcBorders>
            <w:top w:val="single" w:sz="4" w:space="0" w:color="auto"/>
          </w:tcBorders>
          <w:tcMar>
            <w:top w:w="142" w:type="dxa"/>
            <w:bottom w:w="0" w:type="dxa"/>
          </w:tcMar>
        </w:tcPr>
        <w:p w:rsidR="00387362" w:rsidRDefault="00387362" w:rsidP="006E08B3">
          <w:r>
            <w:t>Document title, Part #, Section # - Section title</w:t>
          </w:r>
        </w:p>
        <w:p w:rsidR="00387362" w:rsidRDefault="00387362" w:rsidP="006E08B3">
          <w:r>
            <w:t>V1.0 October 2010</w:t>
          </w:r>
        </w:p>
      </w:tc>
      <w:tc>
        <w:tcPr>
          <w:tcW w:w="4356" w:type="dxa"/>
          <w:tcBorders>
            <w:top w:val="single" w:sz="4" w:space="0" w:color="auto"/>
          </w:tcBorders>
          <w:tcMar>
            <w:top w:w="142" w:type="dxa"/>
            <w:bottom w:w="0" w:type="dxa"/>
          </w:tcMar>
        </w:tcPr>
        <w:p w:rsidR="00387362" w:rsidRDefault="0038736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15</w:t>
            </w:r>
          </w:fldSimple>
          <w:r>
            <w:t xml:space="preserve">  </w:t>
          </w:r>
        </w:p>
      </w:tc>
    </w:tr>
  </w:tbl>
  <w:p w:rsidR="00387362" w:rsidRDefault="003873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362" w:rsidRDefault="00387362" w:rsidP="00C40A36">
      <w:pPr>
        <w:spacing w:after="0"/>
      </w:pPr>
      <w:r>
        <w:separator/>
      </w:r>
    </w:p>
  </w:footnote>
  <w:footnote w:type="continuationSeparator" w:id="0">
    <w:p w:rsidR="00387362" w:rsidRDefault="00387362" w:rsidP="00C40A36">
      <w:pPr>
        <w:spacing w:after="0"/>
      </w:pPr>
      <w:r>
        <w:continuationSeparator/>
      </w:r>
    </w:p>
  </w:footnote>
  <w:footnote w:id="1">
    <w:p w:rsidR="00387362" w:rsidRPr="00D33257" w:rsidRDefault="00387362" w:rsidP="00D33257">
      <w:pPr>
        <w:pStyle w:val="FootnoteText"/>
      </w:pPr>
      <w:r w:rsidRPr="00D33257">
        <w:rPr>
          <w:rStyle w:val="FootnoteReference"/>
          <w:vertAlign w:val="baseline"/>
        </w:rPr>
        <w:footnoteRef/>
      </w:r>
      <w:r w:rsidRPr="00D33257">
        <w:t xml:space="preserve"> In October 2011, a Marketing Authorisation Application (MAA) was submitted in Europe via the centralised procedure to register tofacitinib but, for reasons previously described to the TGA in detail during the Australian registration process, was not granted. Following extensive consultation with European regulators and additional analyses to address the grounds for refusal, a new MAA was submitted in March 2016 which included the radiographic dataset.</w:t>
      </w:r>
    </w:p>
  </w:footnote>
  <w:footnote w:id="2">
    <w:p w:rsidR="00387362" w:rsidRPr="00347AC7" w:rsidRDefault="00387362">
      <w:pPr>
        <w:pStyle w:val="FootnoteText"/>
        <w:rPr>
          <w:lang w:val="en-US"/>
        </w:rPr>
      </w:pPr>
      <w:r>
        <w:rPr>
          <w:rStyle w:val="FootnoteReference"/>
        </w:rPr>
        <w:footnoteRef/>
      </w:r>
      <w:r>
        <w:t xml:space="preserve"> </w:t>
      </w:r>
      <w:r w:rsidRPr="0063370D">
        <w:t>Inclusion of a radiographic claim and data in the foreign PIs was not accepted at the time tofacitinib was initially registered in those markets. Plans for re-submission of the radiographic data are underway.</w:t>
      </w:r>
    </w:p>
  </w:footnote>
  <w:footnote w:id="3">
    <w:p w:rsidR="00387362" w:rsidRPr="00347AC7" w:rsidRDefault="00387362">
      <w:pPr>
        <w:pStyle w:val="FootnoteText"/>
        <w:rPr>
          <w:lang w:val="en-US"/>
        </w:rPr>
      </w:pPr>
      <w:r>
        <w:rPr>
          <w:rStyle w:val="FootnoteReference"/>
        </w:rPr>
        <w:footnoteRef/>
      </w:r>
      <w:r>
        <w:t xml:space="preserve"> </w:t>
      </w:r>
      <w:r w:rsidRPr="0063370D">
        <w:t>Inclusion of a radiographic claim and data in the foreign PIs was not accepted at the time tofacitinib was initially registered in those markets. Plans for re-submission of the radiographic data are underway.</w:t>
      </w:r>
    </w:p>
  </w:footnote>
  <w:footnote w:id="4">
    <w:p w:rsidR="00387362" w:rsidRPr="00CF3863" w:rsidRDefault="00387362">
      <w:pPr>
        <w:pStyle w:val="FootnoteText"/>
        <w:rPr>
          <w:lang w:val="en-US"/>
        </w:rPr>
      </w:pPr>
      <w:r>
        <w:rPr>
          <w:rStyle w:val="FootnoteReference"/>
        </w:rPr>
        <w:footnoteRef/>
      </w:r>
      <w:r w:rsidRPr="00CF3863">
        <w:t xml:space="preserve"> </w:t>
      </w:r>
      <w:proofErr w:type="spellStart"/>
      <w:r>
        <w:t>Durán</w:t>
      </w:r>
      <w:proofErr w:type="spellEnd"/>
      <w:r>
        <w:t xml:space="preserve"> J, et al. </w:t>
      </w:r>
      <w:r w:rsidRPr="00CF3863">
        <w:t>Methotrexate dosage as a source of bias in biological trials in rheumatoid arthritis: a systematic r</w:t>
      </w:r>
      <w:r>
        <w:t xml:space="preserve">eview. </w:t>
      </w:r>
      <w:proofErr w:type="gramStart"/>
      <w:r w:rsidRPr="00CF3863">
        <w:rPr>
          <w:i/>
        </w:rPr>
        <w:t>Ann Rheum Dis.</w:t>
      </w:r>
      <w:r>
        <w:t xml:space="preserve"> 75</w:t>
      </w:r>
      <w:r w:rsidRPr="00CF3863">
        <w:t>:</w:t>
      </w:r>
      <w:r>
        <w:t xml:space="preserve"> </w:t>
      </w:r>
      <w:r w:rsidRPr="00CF3863">
        <w:t>1595-8</w:t>
      </w:r>
      <w:r>
        <w:t xml:space="preserve"> (2016).</w:t>
      </w:r>
      <w:proofErr w:type="gramEnd"/>
    </w:p>
  </w:footnote>
  <w:footnote w:id="5">
    <w:p w:rsidR="00387362" w:rsidRPr="00DE57EA" w:rsidRDefault="00387362">
      <w:pPr>
        <w:pStyle w:val="FootnoteText"/>
        <w:rPr>
          <w:lang w:val="en-US"/>
        </w:rPr>
      </w:pPr>
      <w:r>
        <w:rPr>
          <w:rStyle w:val="FootnoteReference"/>
        </w:rPr>
        <w:footnoteRef/>
      </w:r>
      <w:r w:rsidRPr="00DE57EA">
        <w:t xml:space="preserve"> </w:t>
      </w:r>
      <w:proofErr w:type="spellStart"/>
      <w:r w:rsidRPr="00DE57EA">
        <w:t>Durán</w:t>
      </w:r>
      <w:proofErr w:type="spellEnd"/>
      <w:r w:rsidRPr="00DE57EA">
        <w:t xml:space="preserve"> J</w:t>
      </w:r>
      <w:r>
        <w:t xml:space="preserve">, et al. </w:t>
      </w:r>
      <w:r w:rsidRPr="00DE57EA">
        <w:t xml:space="preserve">Methotrexate dosage as a source of bias in biological trials in rheumatoid arthritis: a systematic review. </w:t>
      </w:r>
      <w:r w:rsidRPr="001556EE">
        <w:rPr>
          <w:i/>
        </w:rPr>
        <w:t>Ann Rheum Dis.</w:t>
      </w:r>
      <w:r>
        <w:t xml:space="preserve"> 75</w:t>
      </w:r>
      <w:r w:rsidRPr="00DE57EA">
        <w:t>:</w:t>
      </w:r>
      <w:r>
        <w:t xml:space="preserve"> </w:t>
      </w:r>
      <w:r w:rsidRPr="00DE57EA">
        <w:t>1595-</w:t>
      </w:r>
      <w:r>
        <w:t>159</w:t>
      </w:r>
      <w:r w:rsidRPr="00DE57EA">
        <w:t>8</w:t>
      </w:r>
      <w:r>
        <w:t xml:space="preserve"> (2016).</w:t>
      </w:r>
    </w:p>
  </w:footnote>
  <w:footnote w:id="6">
    <w:p w:rsidR="00387362" w:rsidRDefault="00387362" w:rsidP="00F336DF">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387362" w:rsidRDefault="00387362" w:rsidP="00F336DF">
      <w:pPr>
        <w:pStyle w:val="FootnoteText"/>
      </w:pPr>
      <w:r w:rsidRPr="00F12492">
        <w:rPr>
          <w:i/>
        </w:rPr>
        <w:t>Routine pharmacovigilance</w:t>
      </w:r>
      <w:r>
        <w:t xml:space="preserve"> practices involve the following activities:</w:t>
      </w:r>
    </w:p>
    <w:p w:rsidR="00387362" w:rsidRDefault="00387362" w:rsidP="00F336DF">
      <w:pPr>
        <w:pStyle w:val="FootnoteText"/>
        <w:ind w:left="709" w:hanging="709"/>
      </w:pPr>
      <w:r>
        <w:t>•</w:t>
      </w:r>
      <w:r>
        <w:tab/>
        <w:t>All suspected adverse reactions that are reported to the personnel of the company are collected and collated in an accessible manner;</w:t>
      </w:r>
    </w:p>
    <w:p w:rsidR="00387362" w:rsidRDefault="00387362" w:rsidP="00F336DF">
      <w:pPr>
        <w:pStyle w:val="FootnoteText"/>
        <w:ind w:left="709" w:hanging="709"/>
      </w:pPr>
      <w:r>
        <w:t>•</w:t>
      </w:r>
      <w:r>
        <w:tab/>
        <w:t>Reporting to regulatory authorities;</w:t>
      </w:r>
    </w:p>
    <w:p w:rsidR="00387362" w:rsidRDefault="00387362" w:rsidP="00F336DF">
      <w:pPr>
        <w:pStyle w:val="FootnoteText"/>
        <w:ind w:left="709" w:hanging="709"/>
      </w:pPr>
      <w:r>
        <w:t>•</w:t>
      </w:r>
      <w:r>
        <w:tab/>
        <w:t>Continuous monitoring of the safety profiles of approved products including signal detection and updating of labelling;</w:t>
      </w:r>
    </w:p>
    <w:p w:rsidR="00387362" w:rsidRDefault="00387362" w:rsidP="00F336DF">
      <w:pPr>
        <w:pStyle w:val="FootnoteText"/>
      </w:pPr>
      <w:r>
        <w:t>•</w:t>
      </w:r>
      <w:r>
        <w:tab/>
        <w:t>Submission of PSURs;</w:t>
      </w:r>
    </w:p>
    <w:p w:rsidR="00387362" w:rsidRPr="00F12492" w:rsidRDefault="00387362" w:rsidP="00F336DF">
      <w:pPr>
        <w:pStyle w:val="FootnoteText"/>
        <w:rPr>
          <w:lang w:val="en-US"/>
        </w:rPr>
      </w:pPr>
      <w:r>
        <w:t>•</w:t>
      </w:r>
      <w:r>
        <w:tab/>
        <w:t>Meeting other local regulatory agency requirements.</w:t>
      </w:r>
    </w:p>
  </w:footnote>
  <w:footnote w:id="7">
    <w:p w:rsidR="00387362" w:rsidRPr="00FF0455" w:rsidRDefault="00387362">
      <w:pPr>
        <w:pStyle w:val="FootnoteText"/>
        <w:rPr>
          <w:lang w:val="en-US"/>
        </w:rPr>
      </w:pPr>
      <w:r>
        <w:rPr>
          <w:rStyle w:val="FootnoteReference"/>
        </w:rPr>
        <w:footnoteRef/>
      </w:r>
      <w:r>
        <w:t xml:space="preserve"> </w:t>
      </w:r>
      <w:proofErr w:type="gramStart"/>
      <w:r w:rsidRPr="00D204E0">
        <w:t>Guideline on clinical investigation of medicinal products other than NSAIDs for treatment of rheumatoid arthritis (CPMP/EWP/556/95 Rev. 2) Draft, 20 March 2015.</w:t>
      </w:r>
      <w:proofErr w:type="gramEnd"/>
    </w:p>
  </w:footnote>
  <w:footnote w:id="8">
    <w:p w:rsidR="00387362" w:rsidRPr="00FF0455" w:rsidRDefault="00387362" w:rsidP="00A4351F">
      <w:pPr>
        <w:pStyle w:val="FootnoteText"/>
        <w:tabs>
          <w:tab w:val="left" w:pos="1299"/>
        </w:tabs>
        <w:rPr>
          <w:lang w:val="en-US"/>
        </w:rPr>
      </w:pPr>
      <w:r>
        <w:rPr>
          <w:rStyle w:val="FootnoteReference"/>
        </w:rPr>
        <w:footnoteRef/>
      </w:r>
      <w:r>
        <w:t xml:space="preserve"> </w:t>
      </w:r>
      <w:r w:rsidRPr="00A4351F">
        <w:t xml:space="preserve">CHMP day 120 </w:t>
      </w:r>
      <w:proofErr w:type="gramStart"/>
      <w:r w:rsidRPr="00A4351F">
        <w:t>list</w:t>
      </w:r>
      <w:proofErr w:type="gramEnd"/>
      <w:r w:rsidRPr="00A4351F">
        <w:t xml:space="preserve"> of questions, 21 July 2016, Procedure No. </w:t>
      </w:r>
      <w:proofErr w:type="gramStart"/>
      <w:r w:rsidRPr="00A4351F">
        <w:t>EMEA/H/C/4214</w:t>
      </w:r>
      <w:r>
        <w:t>.</w:t>
      </w:r>
      <w:proofErr w:type="gramEnd"/>
    </w:p>
  </w:footnote>
  <w:footnote w:id="9">
    <w:p w:rsidR="00387362" w:rsidRPr="00FF0455" w:rsidRDefault="00387362" w:rsidP="00A4351F">
      <w:pPr>
        <w:pStyle w:val="FootnoteText"/>
        <w:tabs>
          <w:tab w:val="left" w:pos="1687"/>
        </w:tabs>
        <w:rPr>
          <w:lang w:val="en-US"/>
        </w:rPr>
      </w:pPr>
      <w:r>
        <w:rPr>
          <w:rStyle w:val="FootnoteReference"/>
        </w:rPr>
        <w:footnoteRef/>
      </w:r>
      <w:r>
        <w:t xml:space="preserve"> </w:t>
      </w:r>
      <w:r w:rsidRPr="00A4351F">
        <w:t>Rapporteurs Day 150 Joint CHMP and PRAC Response Assessment Report, Clinical Aspects, 21 November 2016</w:t>
      </w:r>
      <w:r>
        <w:t>.</w:t>
      </w:r>
    </w:p>
  </w:footnote>
  <w:footnote w:id="10">
    <w:p w:rsidR="00387362" w:rsidRPr="00F85781" w:rsidRDefault="00387362">
      <w:pPr>
        <w:pStyle w:val="FootnoteText"/>
        <w:rPr>
          <w:lang w:val="en-US"/>
        </w:rPr>
      </w:pPr>
      <w:r>
        <w:rPr>
          <w:rStyle w:val="FootnoteReference"/>
        </w:rPr>
        <w:footnoteRef/>
      </w:r>
      <w:r>
        <w:t xml:space="preserve"> </w:t>
      </w:r>
      <w:proofErr w:type="spellStart"/>
      <w:r w:rsidRPr="00A4351F">
        <w:t>Landewé</w:t>
      </w:r>
      <w:proofErr w:type="spellEnd"/>
      <w:r w:rsidRPr="00A4351F">
        <w:t xml:space="preserve"> </w:t>
      </w:r>
      <w:r>
        <w:t xml:space="preserve">RB, </w:t>
      </w:r>
      <w:r w:rsidRPr="00A4351F">
        <w:t xml:space="preserve">et al. Is radiographic progression in modern rheumatoid arthritis trials still a robust outcome? </w:t>
      </w:r>
      <w:proofErr w:type="gramStart"/>
      <w:r w:rsidRPr="00A4351F">
        <w:t>Experience from tofacitinib clinical trials.</w:t>
      </w:r>
      <w:proofErr w:type="gramEnd"/>
      <w:r w:rsidRPr="00A4351F">
        <w:t xml:space="preserve"> </w:t>
      </w:r>
      <w:proofErr w:type="gramStart"/>
      <w:r w:rsidRPr="00920D06">
        <w:rPr>
          <w:i/>
        </w:rPr>
        <w:t>Arthritis Research &amp; Therapy</w:t>
      </w:r>
      <w:r w:rsidRPr="00A4351F">
        <w:t xml:space="preserve"> 18:212</w:t>
      </w:r>
      <w:r>
        <w:t xml:space="preserve"> (2016).</w:t>
      </w:r>
      <w:proofErr w:type="gramEnd"/>
    </w:p>
  </w:footnote>
  <w:footnote w:id="11">
    <w:p w:rsidR="00387362" w:rsidRPr="0003448C" w:rsidRDefault="00387362">
      <w:pPr>
        <w:pStyle w:val="FootnoteText"/>
        <w:rPr>
          <w:lang w:val="en-US"/>
        </w:rPr>
      </w:pPr>
      <w:r>
        <w:rPr>
          <w:rStyle w:val="FootnoteReference"/>
        </w:rPr>
        <w:footnoteRef/>
      </w:r>
      <w:r>
        <w:t xml:space="preserve"> </w:t>
      </w:r>
      <w:proofErr w:type="gramStart"/>
      <w:r w:rsidRPr="0003448C">
        <w:t>Guideline on clinical investigation of medicinal products other than NSAIDs for treatment of rheumatoid arthritis (CPMP/EWP/556/95 Rev. 2) Draft, 20 March 2015.</w:t>
      </w:r>
      <w:proofErr w:type="gramEnd"/>
    </w:p>
  </w:footnote>
  <w:footnote w:id="12">
    <w:p w:rsidR="00387362" w:rsidRPr="00F85781" w:rsidRDefault="00387362">
      <w:pPr>
        <w:pStyle w:val="FootnoteText"/>
        <w:rPr>
          <w:lang w:val="en-US"/>
        </w:rPr>
      </w:pPr>
      <w:r>
        <w:rPr>
          <w:rStyle w:val="FootnoteReference"/>
        </w:rPr>
        <w:footnoteRef/>
      </w:r>
      <w:r>
        <w:t xml:space="preserve"> Scott DL</w:t>
      </w:r>
      <w:r w:rsidRPr="0044792E">
        <w:t>.</w:t>
      </w:r>
      <w:r>
        <w:t xml:space="preserve"> </w:t>
      </w:r>
      <w:proofErr w:type="gramStart"/>
      <w:r w:rsidRPr="0044792E">
        <w:t>Early</w:t>
      </w:r>
      <w:r>
        <w:t xml:space="preserve"> rheumatoid arthritis.</w:t>
      </w:r>
      <w:proofErr w:type="gramEnd"/>
      <w:r>
        <w:t xml:space="preserve"> </w:t>
      </w:r>
      <w:r w:rsidRPr="0002554F">
        <w:rPr>
          <w:i/>
        </w:rPr>
        <w:t>Br Med Bull.</w:t>
      </w:r>
      <w:r>
        <w:t xml:space="preserve"> 81-82: 97-114 (2007).</w:t>
      </w:r>
    </w:p>
  </w:footnote>
  <w:footnote w:id="13">
    <w:p w:rsidR="00387362" w:rsidRPr="00F85781" w:rsidRDefault="00387362" w:rsidP="007534B5">
      <w:pPr>
        <w:pStyle w:val="FootnoteText"/>
        <w:tabs>
          <w:tab w:val="left" w:pos="1140"/>
        </w:tabs>
        <w:rPr>
          <w:lang w:val="en-US"/>
        </w:rPr>
      </w:pPr>
      <w:r>
        <w:rPr>
          <w:rStyle w:val="FootnoteReference"/>
        </w:rPr>
        <w:footnoteRef/>
      </w:r>
      <w:r>
        <w:t xml:space="preserve"> Upchurch K, </w:t>
      </w:r>
      <w:r w:rsidRPr="007534B5">
        <w:t>Kay</w:t>
      </w:r>
      <w:r>
        <w:t xml:space="preserve"> J</w:t>
      </w:r>
      <w:r w:rsidRPr="007534B5">
        <w:t>. Evolution of treatment for rheumato</w:t>
      </w:r>
      <w:r>
        <w:t xml:space="preserve">id arthritis. </w:t>
      </w:r>
      <w:r w:rsidRPr="00B22763">
        <w:rPr>
          <w:i/>
        </w:rPr>
        <w:t xml:space="preserve">Rheumatology </w:t>
      </w:r>
      <w:r w:rsidRPr="007534B5">
        <w:t>51:</w:t>
      </w:r>
      <w:r>
        <w:t xml:space="preserve"> </w:t>
      </w:r>
      <w:r w:rsidRPr="007534B5">
        <w:t>vi28- vi36</w:t>
      </w:r>
      <w:r>
        <w:t xml:space="preserve"> (2012).</w:t>
      </w:r>
    </w:p>
  </w:footnote>
  <w:footnote w:id="14">
    <w:p w:rsidR="00387362" w:rsidRPr="00F85781" w:rsidRDefault="00387362">
      <w:pPr>
        <w:pStyle w:val="FootnoteText"/>
        <w:rPr>
          <w:lang w:val="en-US"/>
        </w:rPr>
      </w:pPr>
      <w:r>
        <w:rPr>
          <w:rStyle w:val="FootnoteReference"/>
        </w:rPr>
        <w:footnoteRef/>
      </w:r>
      <w:r>
        <w:t xml:space="preserve"> </w:t>
      </w:r>
      <w:proofErr w:type="gramStart"/>
      <w:r w:rsidRPr="00B22763">
        <w:t>Guideline on clinical investigation of medicinal products other than NSAIDs for treatment of rheumatoid arthritis (CPMP/EWP/556/95 Rev. 2) Draft, 20 March 2015.</w:t>
      </w:r>
      <w:proofErr w:type="gramEnd"/>
    </w:p>
  </w:footnote>
  <w:footnote w:id="15">
    <w:p w:rsidR="00387362" w:rsidRPr="00F85781" w:rsidRDefault="00387362">
      <w:pPr>
        <w:pStyle w:val="FootnoteText"/>
        <w:rPr>
          <w:lang w:val="en-US"/>
        </w:rPr>
      </w:pPr>
      <w:r>
        <w:rPr>
          <w:rStyle w:val="FootnoteReference"/>
        </w:rPr>
        <w:footnoteRef/>
      </w:r>
      <w:r>
        <w:t xml:space="preserve"> </w:t>
      </w:r>
      <w:proofErr w:type="spellStart"/>
      <w:r>
        <w:t>Smolen</w:t>
      </w:r>
      <w:proofErr w:type="spellEnd"/>
      <w:r>
        <w:t xml:space="preserve"> J</w:t>
      </w:r>
      <w:r w:rsidRPr="00B22763">
        <w:t>S</w:t>
      </w:r>
      <w:r>
        <w:t>, e</w:t>
      </w:r>
      <w:r w:rsidRPr="00B22763">
        <w:t xml:space="preserve">t al. The pathogenesis of rheumatoid arthritis: new insights from old clinical data? </w:t>
      </w:r>
      <w:r w:rsidRPr="0033599C">
        <w:rPr>
          <w:i/>
        </w:rPr>
        <w:t xml:space="preserve">Nat. Rev. </w:t>
      </w:r>
      <w:proofErr w:type="spellStart"/>
      <w:r w:rsidRPr="0033599C">
        <w:rPr>
          <w:i/>
        </w:rPr>
        <w:t>Rheumatol</w:t>
      </w:r>
      <w:proofErr w:type="spellEnd"/>
      <w:r w:rsidRPr="0033599C">
        <w:rPr>
          <w:i/>
        </w:rPr>
        <w:t>.</w:t>
      </w:r>
      <w:r>
        <w:t xml:space="preserve"> 8: 235-243 (2012).</w:t>
      </w:r>
    </w:p>
  </w:footnote>
  <w:footnote w:id="16">
    <w:p w:rsidR="00387362" w:rsidRPr="00F85781" w:rsidRDefault="00387362">
      <w:pPr>
        <w:pStyle w:val="FootnoteText"/>
        <w:rPr>
          <w:lang w:val="en-US"/>
        </w:rPr>
      </w:pPr>
      <w:r>
        <w:rPr>
          <w:rStyle w:val="FootnoteReference"/>
        </w:rPr>
        <w:footnoteRef/>
      </w:r>
      <w:r>
        <w:t xml:space="preserve"> </w:t>
      </w:r>
      <w:proofErr w:type="spellStart"/>
      <w:r>
        <w:t>Smolen</w:t>
      </w:r>
      <w:proofErr w:type="spellEnd"/>
      <w:r>
        <w:t xml:space="preserve"> J</w:t>
      </w:r>
      <w:r w:rsidRPr="00B22763">
        <w:t>S</w:t>
      </w:r>
      <w:r>
        <w:t>, e</w:t>
      </w:r>
      <w:r w:rsidRPr="00B22763">
        <w:t xml:space="preserve">t al. The pathogenesis of rheumatoid arthritis: new insights from old clinical data? </w:t>
      </w:r>
      <w:r w:rsidRPr="0033599C">
        <w:rPr>
          <w:i/>
        </w:rPr>
        <w:t xml:space="preserve">Nat. Rev. </w:t>
      </w:r>
      <w:proofErr w:type="spellStart"/>
      <w:r w:rsidRPr="0033599C">
        <w:rPr>
          <w:i/>
        </w:rPr>
        <w:t>Rheumatol</w:t>
      </w:r>
      <w:proofErr w:type="spellEnd"/>
      <w:r w:rsidRPr="0033599C">
        <w:rPr>
          <w:i/>
        </w:rPr>
        <w:t>.</w:t>
      </w:r>
      <w:r>
        <w:t xml:space="preserve"> 8: 235-243 (2012).</w:t>
      </w:r>
    </w:p>
  </w:footnote>
  <w:footnote w:id="17">
    <w:p w:rsidR="00387362" w:rsidRPr="0033599C" w:rsidRDefault="00387362">
      <w:pPr>
        <w:pStyle w:val="FootnoteText"/>
        <w:rPr>
          <w:lang w:val="en-US"/>
        </w:rPr>
      </w:pPr>
      <w:r>
        <w:rPr>
          <w:rStyle w:val="FootnoteReference"/>
        </w:rPr>
        <w:footnoteRef/>
      </w:r>
      <w:r>
        <w:t xml:space="preserve"> </w:t>
      </w:r>
      <w:proofErr w:type="spellStart"/>
      <w:r w:rsidRPr="0033599C">
        <w:t>Olumiant</w:t>
      </w:r>
      <w:proofErr w:type="spellEnd"/>
      <w:r w:rsidRPr="0033599C">
        <w:t xml:space="preserve"> (</w:t>
      </w:r>
      <w:proofErr w:type="spellStart"/>
      <w:r w:rsidRPr="0033599C">
        <w:t>baricitinib</w:t>
      </w:r>
      <w:proofErr w:type="spellEnd"/>
      <w:r w:rsidRPr="0033599C">
        <w:t>), Committee for Medicinal Products for Human Use, Assessment Report, 15 December 2016</w:t>
      </w:r>
      <w:r>
        <w:t>.</w:t>
      </w:r>
    </w:p>
  </w:footnote>
  <w:footnote w:id="18">
    <w:p w:rsidR="00387362" w:rsidRPr="00F85781" w:rsidRDefault="00387362">
      <w:pPr>
        <w:pStyle w:val="FootnoteText"/>
        <w:rPr>
          <w:lang w:val="en-US"/>
        </w:rPr>
      </w:pPr>
      <w:r>
        <w:rPr>
          <w:rStyle w:val="FootnoteReference"/>
        </w:rPr>
        <w:footnoteRef/>
      </w:r>
      <w:r>
        <w:t xml:space="preserve"> </w:t>
      </w:r>
      <w:proofErr w:type="spellStart"/>
      <w:r w:rsidRPr="0033599C">
        <w:t>Smolen</w:t>
      </w:r>
      <w:proofErr w:type="spellEnd"/>
      <w:r w:rsidRPr="0033599C">
        <w:t xml:space="preserve"> JS</w:t>
      </w:r>
      <w:r>
        <w:t xml:space="preserve">, et al. </w:t>
      </w:r>
      <w:r w:rsidRPr="0033599C">
        <w:t xml:space="preserve">EULAR recommendations for the management of rheumatoid arthritis with synthetic and biological disease-modifying </w:t>
      </w:r>
      <w:proofErr w:type="spellStart"/>
      <w:r w:rsidRPr="0033599C">
        <w:t>antirheumatic</w:t>
      </w:r>
      <w:proofErr w:type="spellEnd"/>
      <w:r w:rsidRPr="0033599C">
        <w:t xml:space="preserve"> drugs: 2016 update. </w:t>
      </w:r>
      <w:r w:rsidRPr="00394276">
        <w:rPr>
          <w:i/>
        </w:rPr>
        <w:t>Ann Rheum Dis.</w:t>
      </w:r>
      <w:r>
        <w:t xml:space="preserve"> 76: 960-977 (2017).</w:t>
      </w:r>
    </w:p>
  </w:footnote>
  <w:footnote w:id="19">
    <w:p w:rsidR="00387362" w:rsidRPr="00F85781" w:rsidRDefault="00387362">
      <w:pPr>
        <w:pStyle w:val="FootnoteText"/>
        <w:rPr>
          <w:lang w:val="en-US"/>
        </w:rPr>
      </w:pPr>
      <w:r>
        <w:rPr>
          <w:rStyle w:val="FootnoteReference"/>
        </w:rPr>
        <w:footnoteRef/>
      </w:r>
      <w:r>
        <w:t xml:space="preserve"> </w:t>
      </w:r>
      <w:proofErr w:type="gramStart"/>
      <w:r w:rsidRPr="00B00A0A">
        <w:t xml:space="preserve">AusPAR </w:t>
      </w:r>
      <w:proofErr w:type="spellStart"/>
      <w:r w:rsidRPr="00B00A0A">
        <w:t>Simponi</w:t>
      </w:r>
      <w:proofErr w:type="spellEnd"/>
      <w:r w:rsidRPr="00B00A0A">
        <w:t xml:space="preserve"> and </w:t>
      </w:r>
      <w:proofErr w:type="spellStart"/>
      <w:r w:rsidRPr="00B00A0A">
        <w:t>Simponi</w:t>
      </w:r>
      <w:proofErr w:type="spellEnd"/>
      <w:r w:rsidRPr="00B00A0A">
        <w:t xml:space="preserve"> </w:t>
      </w:r>
      <w:proofErr w:type="spellStart"/>
      <w:r w:rsidRPr="00B00A0A">
        <w:t>Smartject</w:t>
      </w:r>
      <w:proofErr w:type="spellEnd"/>
      <w:r w:rsidRPr="00B00A0A">
        <w:t xml:space="preserve"> injector; </w:t>
      </w:r>
      <w:proofErr w:type="spellStart"/>
      <w:r w:rsidRPr="00B00A0A">
        <w:t>golimumab</w:t>
      </w:r>
      <w:proofErr w:type="spellEnd"/>
      <w:r w:rsidRPr="00B00A0A">
        <w:t xml:space="preserve"> (</w:t>
      </w:r>
      <w:proofErr w:type="spellStart"/>
      <w:r w:rsidRPr="00B00A0A">
        <w:t>rmc</w:t>
      </w:r>
      <w:proofErr w:type="spellEnd"/>
      <w:r w:rsidRPr="00B00A0A">
        <w:t>); Janssen-</w:t>
      </w:r>
      <w:proofErr w:type="spellStart"/>
      <w:r w:rsidRPr="00B00A0A">
        <w:t>Cilag</w:t>
      </w:r>
      <w:proofErr w:type="spellEnd"/>
      <w:r w:rsidRPr="00B00A0A">
        <w:t xml:space="preserve"> Pty Ltd. PM-2012- 01202-3-3, Date of Finalisation 16 August 2013</w:t>
      </w:r>
      <w:r>
        <w:t>.</w:t>
      </w:r>
      <w:proofErr w:type="gramEnd"/>
    </w:p>
  </w:footnote>
  <w:footnote w:id="20">
    <w:p w:rsidR="00387362" w:rsidRPr="00F85781" w:rsidRDefault="00387362">
      <w:pPr>
        <w:pStyle w:val="FootnoteText"/>
        <w:rPr>
          <w:lang w:val="en-US"/>
        </w:rPr>
      </w:pPr>
      <w:r>
        <w:rPr>
          <w:rStyle w:val="FootnoteReference"/>
        </w:rPr>
        <w:footnoteRef/>
      </w:r>
      <w:r>
        <w:t xml:space="preserve"> </w:t>
      </w:r>
      <w:r w:rsidRPr="00B00A0A">
        <w:t>Bruce B, Fries JF. The Stanford Health Assessment Questionnaire: A review of its history, issues, progress, and documentation.</w:t>
      </w:r>
      <w:r>
        <w:t xml:space="preserve"> </w:t>
      </w:r>
      <w:proofErr w:type="gramStart"/>
      <w:r w:rsidRPr="00B00A0A">
        <w:rPr>
          <w:i/>
        </w:rPr>
        <w:t xml:space="preserve">J </w:t>
      </w:r>
      <w:proofErr w:type="spellStart"/>
      <w:r w:rsidRPr="00B00A0A">
        <w:rPr>
          <w:i/>
        </w:rPr>
        <w:t>Rheumatol</w:t>
      </w:r>
      <w:proofErr w:type="spellEnd"/>
      <w:r w:rsidRPr="00B00A0A">
        <w:rPr>
          <w:i/>
        </w:rPr>
        <w:t>.</w:t>
      </w:r>
      <w:proofErr w:type="gramEnd"/>
      <w:r>
        <w:t xml:space="preserve"> 30: 167-78 (2003); </w:t>
      </w:r>
      <w:proofErr w:type="spellStart"/>
      <w:r w:rsidRPr="00B00A0A">
        <w:t>Kosinski</w:t>
      </w:r>
      <w:proofErr w:type="spellEnd"/>
      <w:r w:rsidRPr="00B00A0A">
        <w:t xml:space="preserve"> M, </w:t>
      </w:r>
      <w:r>
        <w:t>et al.</w:t>
      </w:r>
      <w:r w:rsidRPr="00B00A0A">
        <w:t xml:space="preserve"> Determining minimally important changes in generic and disease-specific health-related quality of life questionnaires in clinical trials of rheumatoid arthritis</w:t>
      </w:r>
      <w:r>
        <w:t xml:space="preserve">. </w:t>
      </w:r>
      <w:proofErr w:type="gramStart"/>
      <w:r w:rsidRPr="00F41F93">
        <w:rPr>
          <w:i/>
        </w:rPr>
        <w:t>Arthritis Rheum.</w:t>
      </w:r>
      <w:proofErr w:type="gramEnd"/>
      <w:r>
        <w:t xml:space="preserve"> 43: 1478-</w:t>
      </w:r>
      <w:r w:rsidRPr="00B00A0A">
        <w:t>87</w:t>
      </w:r>
      <w:r>
        <w:t xml:space="preserve"> (2000).</w:t>
      </w:r>
    </w:p>
  </w:footnote>
  <w:footnote w:id="21">
    <w:p w:rsidR="00387362" w:rsidRPr="00F85781" w:rsidRDefault="00387362">
      <w:pPr>
        <w:pStyle w:val="FootnoteText"/>
        <w:rPr>
          <w:lang w:val="en-US"/>
        </w:rPr>
      </w:pPr>
      <w:r>
        <w:rPr>
          <w:rStyle w:val="FootnoteReference"/>
        </w:rPr>
        <w:footnoteRef/>
      </w:r>
      <w:r>
        <w:t xml:space="preserve"> </w:t>
      </w:r>
      <w:proofErr w:type="spellStart"/>
      <w:r w:rsidRPr="002F7100">
        <w:t>Weinblatt</w:t>
      </w:r>
      <w:proofErr w:type="spellEnd"/>
      <w:r w:rsidRPr="002F7100">
        <w:t xml:space="preserve"> ME. Methotrexate in Rheumatoid Arthritis: A Quarter Century of Development</w:t>
      </w:r>
      <w:r>
        <w:t>.</w:t>
      </w:r>
      <w:r w:rsidRPr="002F7100">
        <w:t xml:space="preserve"> </w:t>
      </w:r>
      <w:r w:rsidRPr="00756BC1">
        <w:rPr>
          <w:i/>
        </w:rPr>
        <w:t xml:space="preserve">Trans Am </w:t>
      </w:r>
      <w:proofErr w:type="spellStart"/>
      <w:r w:rsidRPr="00756BC1">
        <w:rPr>
          <w:i/>
        </w:rPr>
        <w:t>Clin</w:t>
      </w:r>
      <w:proofErr w:type="spellEnd"/>
      <w:r w:rsidRPr="00756BC1">
        <w:rPr>
          <w:i/>
        </w:rPr>
        <w:t xml:space="preserve"> </w:t>
      </w:r>
      <w:proofErr w:type="spellStart"/>
      <w:r w:rsidRPr="00756BC1">
        <w:rPr>
          <w:i/>
        </w:rPr>
        <w:t>Climatol</w:t>
      </w:r>
      <w:proofErr w:type="spellEnd"/>
      <w:r w:rsidRPr="00756BC1">
        <w:rPr>
          <w:i/>
        </w:rPr>
        <w:t xml:space="preserve"> Assoc. </w:t>
      </w:r>
      <w:r>
        <w:t>124: 16-25 (2013).</w:t>
      </w:r>
    </w:p>
  </w:footnote>
  <w:footnote w:id="22">
    <w:p w:rsidR="00387362" w:rsidRPr="00F85781" w:rsidRDefault="00387362">
      <w:pPr>
        <w:pStyle w:val="FootnoteText"/>
        <w:rPr>
          <w:lang w:val="en-US"/>
        </w:rPr>
      </w:pPr>
      <w:r>
        <w:rPr>
          <w:rStyle w:val="FootnoteReference"/>
        </w:rPr>
        <w:footnoteRef/>
      </w:r>
      <w:r>
        <w:t xml:space="preserve"> Nash P</w:t>
      </w:r>
      <w:r w:rsidRPr="00756BC1">
        <w:t>, Nicholls D. Perceptions of methotrexate use in rheumatoid arthritis by rheumatologists and their patients: an Australian survey study</w:t>
      </w:r>
      <w:r>
        <w:t>.</w:t>
      </w:r>
      <w:r w:rsidRPr="00756BC1">
        <w:t xml:space="preserve"> </w:t>
      </w:r>
      <w:r w:rsidRPr="00903D06">
        <w:rPr>
          <w:i/>
        </w:rPr>
        <w:t>Int. J. Rheum. Dis.</w:t>
      </w:r>
      <w:r>
        <w:t xml:space="preserve"> </w:t>
      </w:r>
      <w:r w:rsidRPr="00756BC1">
        <w:t>16:</w:t>
      </w:r>
      <w:r>
        <w:t xml:space="preserve"> </w:t>
      </w:r>
      <w:r w:rsidRPr="00756BC1">
        <w:t>652-661</w:t>
      </w:r>
      <w:r>
        <w:t xml:space="preserve"> (2013).</w:t>
      </w:r>
    </w:p>
  </w:footnote>
  <w:footnote w:id="23">
    <w:p w:rsidR="00387362" w:rsidRPr="00F85781" w:rsidRDefault="00387362">
      <w:pPr>
        <w:pStyle w:val="FootnoteText"/>
        <w:rPr>
          <w:lang w:val="en-US"/>
        </w:rPr>
      </w:pPr>
      <w:r>
        <w:rPr>
          <w:rStyle w:val="FootnoteReference"/>
        </w:rPr>
        <w:footnoteRef/>
      </w:r>
      <w:r>
        <w:t xml:space="preserve"> </w:t>
      </w:r>
      <w:proofErr w:type="spellStart"/>
      <w:r w:rsidRPr="00690344">
        <w:t>Olumiant</w:t>
      </w:r>
      <w:proofErr w:type="spellEnd"/>
      <w:r w:rsidRPr="00690344">
        <w:t xml:space="preserve"> (</w:t>
      </w:r>
      <w:proofErr w:type="spellStart"/>
      <w:r w:rsidRPr="00690344">
        <w:t>baricitinib</w:t>
      </w:r>
      <w:proofErr w:type="spellEnd"/>
      <w:r w:rsidRPr="00690344">
        <w:t>), Committee for Medicinal Products for Human Use, Assessment Report, 15 December 2016</w:t>
      </w:r>
      <w:r>
        <w:t>;</w:t>
      </w:r>
      <w:r w:rsidRPr="00690344">
        <w:t xml:space="preserve"> </w:t>
      </w:r>
      <w:proofErr w:type="spellStart"/>
      <w:r w:rsidRPr="00690344">
        <w:t>Dougados</w:t>
      </w:r>
      <w:proofErr w:type="spellEnd"/>
      <w:r w:rsidRPr="00690344">
        <w:t xml:space="preserve"> M</w:t>
      </w:r>
      <w:r>
        <w:t xml:space="preserve">, et al. </w:t>
      </w:r>
      <w:r w:rsidRPr="00690344">
        <w:t xml:space="preserve">Baricitinib in patients with inadequate response or intolerance to conventional synthetic DMARDs: results from the RA-BUILD study. </w:t>
      </w:r>
      <w:r w:rsidRPr="00690344">
        <w:rPr>
          <w:i/>
        </w:rPr>
        <w:t>Ann Rheum Dis.</w:t>
      </w:r>
      <w:r>
        <w:t xml:space="preserve"> 76</w:t>
      </w:r>
      <w:r w:rsidRPr="00690344">
        <w:t>:</w:t>
      </w:r>
      <w:r>
        <w:t xml:space="preserve"> </w:t>
      </w:r>
      <w:r w:rsidRPr="00690344">
        <w:t>88-95</w:t>
      </w:r>
      <w:r>
        <w:t xml:space="preserve"> (2017); </w:t>
      </w:r>
      <w:r w:rsidRPr="00091657">
        <w:t>Taylor PC, et al. Baricitinib versus Placebo or Adalimumab in Rheumato</w:t>
      </w:r>
      <w:r>
        <w:t xml:space="preserve">id Arthritis. </w:t>
      </w:r>
      <w:r w:rsidRPr="00091657">
        <w:rPr>
          <w:i/>
        </w:rPr>
        <w:t xml:space="preserve">N </w:t>
      </w:r>
      <w:proofErr w:type="spellStart"/>
      <w:r w:rsidRPr="00091657">
        <w:rPr>
          <w:i/>
        </w:rPr>
        <w:t>Engl</w:t>
      </w:r>
      <w:proofErr w:type="spellEnd"/>
      <w:r w:rsidRPr="00091657">
        <w:rPr>
          <w:i/>
        </w:rPr>
        <w:t xml:space="preserve"> J Med.</w:t>
      </w:r>
      <w:r>
        <w:t xml:space="preserve"> </w:t>
      </w:r>
      <w:r w:rsidRPr="00091657">
        <w:t>376:</w:t>
      </w:r>
      <w:r>
        <w:t xml:space="preserve"> </w:t>
      </w:r>
      <w:r w:rsidRPr="00091657">
        <w:t>652-</w:t>
      </w:r>
      <w:r>
        <w:t>6</w:t>
      </w:r>
      <w:r w:rsidRPr="00091657">
        <w:t>62</w:t>
      </w:r>
      <w:r>
        <w:t xml:space="preserve"> (2017).</w:t>
      </w:r>
    </w:p>
  </w:footnote>
  <w:footnote w:id="24">
    <w:p w:rsidR="00387362" w:rsidRPr="00F85781" w:rsidRDefault="00387362">
      <w:pPr>
        <w:pStyle w:val="FootnoteText"/>
        <w:rPr>
          <w:lang w:val="en-US"/>
        </w:rPr>
      </w:pPr>
      <w:r>
        <w:rPr>
          <w:rStyle w:val="FootnoteReference"/>
        </w:rPr>
        <w:footnoteRef/>
      </w:r>
      <w:r>
        <w:t xml:space="preserve"> </w:t>
      </w:r>
      <w:proofErr w:type="gramStart"/>
      <w:r w:rsidRPr="00091657">
        <w:t>van</w:t>
      </w:r>
      <w:proofErr w:type="gramEnd"/>
      <w:r w:rsidRPr="00091657">
        <w:t xml:space="preserve"> den </w:t>
      </w:r>
      <w:proofErr w:type="spellStart"/>
      <w:r w:rsidRPr="00091657">
        <w:t>Broek</w:t>
      </w:r>
      <w:proofErr w:type="spellEnd"/>
      <w:r w:rsidRPr="00091657">
        <w:t xml:space="preserve"> M, </w:t>
      </w:r>
      <w:r>
        <w:t>et al</w:t>
      </w:r>
      <w:r w:rsidRPr="00091657">
        <w:t xml:space="preserve">. </w:t>
      </w:r>
      <w:proofErr w:type="spellStart"/>
      <w:r w:rsidRPr="00091657">
        <w:t>BeSt</w:t>
      </w:r>
      <w:proofErr w:type="spellEnd"/>
      <w:r w:rsidRPr="00091657">
        <w:t xml:space="preserve"> practice: The success of early-targeted treatment in rheumatoid arthr</w:t>
      </w:r>
      <w:r>
        <w:t xml:space="preserve">itis. </w:t>
      </w:r>
      <w:proofErr w:type="spellStart"/>
      <w:r w:rsidRPr="00091657">
        <w:rPr>
          <w:i/>
        </w:rPr>
        <w:t>Clin</w:t>
      </w:r>
      <w:proofErr w:type="spellEnd"/>
      <w:r w:rsidRPr="00091657">
        <w:rPr>
          <w:i/>
        </w:rPr>
        <w:t xml:space="preserve"> </w:t>
      </w:r>
      <w:proofErr w:type="spellStart"/>
      <w:r w:rsidRPr="00091657">
        <w:rPr>
          <w:i/>
        </w:rPr>
        <w:t>Exp</w:t>
      </w:r>
      <w:proofErr w:type="spellEnd"/>
      <w:r w:rsidRPr="00091657">
        <w:rPr>
          <w:i/>
        </w:rPr>
        <w:t xml:space="preserve"> </w:t>
      </w:r>
      <w:proofErr w:type="spellStart"/>
      <w:r w:rsidRPr="00091657">
        <w:rPr>
          <w:i/>
        </w:rPr>
        <w:t>Rheumatol</w:t>
      </w:r>
      <w:proofErr w:type="spellEnd"/>
      <w:r w:rsidRPr="00091657">
        <w:rPr>
          <w:i/>
        </w:rPr>
        <w:t xml:space="preserve">. </w:t>
      </w:r>
      <w:r w:rsidRPr="00091657">
        <w:t>30(</w:t>
      </w:r>
      <w:proofErr w:type="spellStart"/>
      <w:r w:rsidRPr="00091657">
        <w:t>Suppl</w:t>
      </w:r>
      <w:proofErr w:type="spellEnd"/>
      <w:r w:rsidRPr="00091657">
        <w:t xml:space="preserve"> 69): S35-S38</w:t>
      </w:r>
      <w:r>
        <w:t xml:space="preserve"> (2012); </w:t>
      </w:r>
      <w:proofErr w:type="spellStart"/>
      <w:r w:rsidRPr="002675FA">
        <w:t>Allaart</w:t>
      </w:r>
      <w:proofErr w:type="spellEnd"/>
      <w:r w:rsidRPr="002675FA">
        <w:t xml:space="preserve"> C, </w:t>
      </w:r>
      <w:r>
        <w:t>et al</w:t>
      </w:r>
      <w:r w:rsidRPr="002675FA">
        <w:t xml:space="preserve">. Treatment of recent-onset rheumatoid arthritis: Lessons from the </w:t>
      </w:r>
      <w:proofErr w:type="spellStart"/>
      <w:r w:rsidRPr="002675FA">
        <w:t>BeSt</w:t>
      </w:r>
      <w:proofErr w:type="spellEnd"/>
      <w:r w:rsidRPr="002675FA">
        <w:t xml:space="preserve"> study. </w:t>
      </w:r>
      <w:proofErr w:type="gramStart"/>
      <w:r w:rsidRPr="00715063">
        <w:rPr>
          <w:i/>
        </w:rPr>
        <w:t xml:space="preserve">J </w:t>
      </w:r>
      <w:proofErr w:type="spellStart"/>
      <w:r w:rsidRPr="00715063">
        <w:rPr>
          <w:i/>
        </w:rPr>
        <w:t>Rheumatol</w:t>
      </w:r>
      <w:proofErr w:type="spellEnd"/>
      <w:r w:rsidRPr="00715063">
        <w:rPr>
          <w:i/>
        </w:rPr>
        <w:t xml:space="preserve"> Suppl.</w:t>
      </w:r>
      <w:r>
        <w:t xml:space="preserve"> </w:t>
      </w:r>
      <w:r w:rsidRPr="002675FA">
        <w:t>2007; 80: 25-33</w:t>
      </w:r>
      <w:r>
        <w:t xml:space="preserve"> (2007).</w:t>
      </w:r>
      <w:proofErr w:type="gramEnd"/>
    </w:p>
  </w:footnote>
  <w:footnote w:id="25">
    <w:p w:rsidR="00387362" w:rsidRPr="002A2C9C" w:rsidRDefault="00387362" w:rsidP="00427B1B">
      <w:pPr>
        <w:pStyle w:val="FootnoteText"/>
      </w:pPr>
      <w:r>
        <w:rPr>
          <w:rStyle w:val="FootnoteReference"/>
        </w:rPr>
        <w:footnoteRef/>
      </w:r>
      <w:r>
        <w:t xml:space="preserve"> ACM provides independent medical and scientific advice to the Minister for Health and TGA on issues relating to the safety, quality and efficacy of medicines supplied in Australia, including issues relating to pre- and post-market functions for medicines. ACM is established under Regulation 35 of the </w:t>
      </w:r>
      <w:r w:rsidRPr="002A2C9C">
        <w:rPr>
          <w:i/>
        </w:rPr>
        <w:t>Therapeutic Goods Regulations 1990</w:t>
      </w:r>
      <w:r>
        <w:t xml:space="preserve">. Members are appointed by the Minister. ACM was established in January 2017 replacing the </w:t>
      </w:r>
      <w:r w:rsidRPr="009E0C19">
        <w:t>Advisory Committee on Presc</w:t>
      </w:r>
      <w:r>
        <w:t xml:space="preserve">ription Medicines (ACPM), which </w:t>
      </w:r>
      <w:r w:rsidRPr="009E0C19">
        <w:t>was formed in January 2010</w:t>
      </w:r>
      <w:r>
        <w:t>. ACM encompasses pre- and post-market advice for medicines following the consolidation of the previous functions of the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pPr>
      <w:rPr>
        <w:noProof/>
        <w:lang w:eastAsia="en-AU"/>
      </w:rPr>
    </w:pPr>
    <w:r w:rsidRPr="00347824">
      <w:rPr>
        <w:noProof/>
        <w:lang w:eastAsia="en-AU"/>
      </w:rPr>
      <w:drawing>
        <wp:anchor distT="0" distB="0" distL="114300" distR="114300" simplePos="0" relativeHeight="251659264" behindDoc="1" locked="0" layoutInCell="1" allowOverlap="1" wp14:anchorId="4496AA0E" wp14:editId="6306BEE3">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87362" w:rsidRDefault="00387362" w:rsidP="00593AD1">
    <w:pPr>
      <w:pStyle w:val="HeaderNoLine"/>
    </w:pPr>
    <w:r>
      <w:rPr>
        <w:noProof/>
        <w:lang w:eastAsia="en-AU"/>
      </w:rPr>
      <w:drawing>
        <wp:inline distT="0" distB="0" distL="0" distR="0" wp14:anchorId="14D60892" wp14:editId="72139769">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362" w:rsidRDefault="00387362" w:rsidP="006E08B3">
    <w:r>
      <w:t>Therapeutic Goods Administration</w:t>
    </w:r>
  </w:p>
  <w:p w:rsidR="00387362" w:rsidRDefault="0038736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DA25AA"/>
    <w:lvl w:ilvl="0">
      <w:start w:val="1"/>
      <w:numFmt w:val="decimal"/>
      <w:lvlText w:val="%1."/>
      <w:lvlJc w:val="left"/>
      <w:pPr>
        <w:tabs>
          <w:tab w:val="num" w:pos="1492"/>
        </w:tabs>
        <w:ind w:left="1492" w:hanging="360"/>
      </w:pPr>
    </w:lvl>
  </w:abstractNum>
  <w:abstractNum w:abstractNumId="1">
    <w:nsid w:val="FFFFFF7D"/>
    <w:multiLevelType w:val="singleLevel"/>
    <w:tmpl w:val="387AF51C"/>
    <w:lvl w:ilvl="0">
      <w:start w:val="1"/>
      <w:numFmt w:val="decimal"/>
      <w:lvlText w:val="%1."/>
      <w:lvlJc w:val="left"/>
      <w:pPr>
        <w:tabs>
          <w:tab w:val="num" w:pos="1209"/>
        </w:tabs>
        <w:ind w:left="1209" w:hanging="360"/>
      </w:pPr>
    </w:lvl>
  </w:abstractNum>
  <w:abstractNum w:abstractNumId="2">
    <w:nsid w:val="FFFFFF7E"/>
    <w:multiLevelType w:val="singleLevel"/>
    <w:tmpl w:val="3D88053E"/>
    <w:lvl w:ilvl="0">
      <w:start w:val="1"/>
      <w:numFmt w:val="decimal"/>
      <w:lvlText w:val="%1."/>
      <w:lvlJc w:val="left"/>
      <w:pPr>
        <w:tabs>
          <w:tab w:val="num" w:pos="926"/>
        </w:tabs>
        <w:ind w:left="926" w:hanging="360"/>
      </w:pPr>
    </w:lvl>
  </w:abstractNum>
  <w:abstractNum w:abstractNumId="3">
    <w:nsid w:val="FFFFFF7F"/>
    <w:multiLevelType w:val="singleLevel"/>
    <w:tmpl w:val="99720FC4"/>
    <w:lvl w:ilvl="0">
      <w:start w:val="1"/>
      <w:numFmt w:val="decimal"/>
      <w:lvlText w:val="%1."/>
      <w:lvlJc w:val="left"/>
      <w:pPr>
        <w:tabs>
          <w:tab w:val="num" w:pos="643"/>
        </w:tabs>
        <w:ind w:left="643" w:hanging="360"/>
      </w:pPr>
    </w:lvl>
  </w:abstractNum>
  <w:abstractNum w:abstractNumId="4">
    <w:nsid w:val="FFFFFF80"/>
    <w:multiLevelType w:val="singleLevel"/>
    <w:tmpl w:val="678862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0A52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7C82EDD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0220C89"/>
    <w:multiLevelType w:val="hybridMultilevel"/>
    <w:tmpl w:val="8126F692"/>
    <w:lvl w:ilvl="0" w:tplc="0E0662E8">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8F13E9"/>
    <w:multiLevelType w:val="multilevel"/>
    <w:tmpl w:val="DA360B98"/>
    <w:styleLink w:val="ListBullets"/>
    <w:lvl w:ilvl="0">
      <w:start w:val="1"/>
      <w:numFmt w:val="bullet"/>
      <w:pStyle w:val="ListBullet"/>
      <w:lvlText w:val=""/>
      <w:lvlJc w:val="left"/>
      <w:pPr>
        <w:ind w:left="502"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8EC73A5"/>
    <w:multiLevelType w:val="hybridMultilevel"/>
    <w:tmpl w:val="AEF8FD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1D5349"/>
    <w:multiLevelType w:val="hybridMultilevel"/>
    <w:tmpl w:val="FEFA8C04"/>
    <w:lvl w:ilvl="0" w:tplc="0C09000F">
      <w:start w:val="1"/>
      <w:numFmt w:val="decimal"/>
      <w:lvlText w:val="%1."/>
      <w:lvlJc w:val="left"/>
      <w:pPr>
        <w:ind w:left="720" w:hanging="360"/>
      </w:pPr>
      <w:rPr>
        <w:rFonts w:hint="default"/>
        <w:b w:val="0"/>
      </w:rPr>
    </w:lvl>
    <w:lvl w:ilvl="1" w:tplc="0C09000F">
      <w:start w:val="1"/>
      <w:numFmt w:val="decimal"/>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CA11CB2"/>
    <w:multiLevelType w:val="hybridMultilevel"/>
    <w:tmpl w:val="FEFA8C04"/>
    <w:lvl w:ilvl="0" w:tplc="0C09000F">
      <w:start w:val="1"/>
      <w:numFmt w:val="decimal"/>
      <w:lvlText w:val="%1."/>
      <w:lvlJc w:val="left"/>
      <w:pPr>
        <w:ind w:left="720" w:hanging="360"/>
      </w:pPr>
      <w:rPr>
        <w:rFonts w:hint="default"/>
        <w:b w:val="0"/>
      </w:rPr>
    </w:lvl>
    <w:lvl w:ilvl="1" w:tplc="0C09000F">
      <w:start w:val="1"/>
      <w:numFmt w:val="decimal"/>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DB04FF9"/>
    <w:multiLevelType w:val="multilevel"/>
    <w:tmpl w:val="D3FAAFB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5"/>
        </w:tabs>
        <w:ind w:left="1135" w:hanging="1022"/>
      </w:pPr>
      <w:rPr>
        <w:rFonts w:cs="Times New Roman" w:hint="default"/>
      </w:rPr>
    </w:lvl>
    <w:lvl w:ilvl="2">
      <w:start w:val="1"/>
      <w:numFmt w:val="decimal"/>
      <w:lvlText w:val="%1.%2.%3."/>
      <w:lvlJc w:val="left"/>
      <w:pPr>
        <w:tabs>
          <w:tab w:val="num" w:pos="1134"/>
        </w:tabs>
        <w:ind w:left="1134" w:hanging="964"/>
      </w:pPr>
      <w:rPr>
        <w:rFonts w:cs="Times New Roman" w:hint="default"/>
      </w:rPr>
    </w:lvl>
    <w:lvl w:ilvl="3">
      <w:start w:val="1"/>
      <w:numFmt w:val="decimal"/>
      <w:lvlText w:val="%1.%2.%3.%4."/>
      <w:lvlJc w:val="left"/>
      <w:pPr>
        <w:tabs>
          <w:tab w:val="num" w:pos="1418"/>
        </w:tabs>
        <w:ind w:left="1418" w:hanging="1191"/>
      </w:pPr>
      <w:rPr>
        <w:rFonts w:cs="Times New Roman" w:hint="default"/>
      </w:rPr>
    </w:lvl>
    <w:lvl w:ilvl="4">
      <w:start w:val="1"/>
      <w:numFmt w:val="decimal"/>
      <w:lvlText w:val="%1.%2.%3.%4.%5."/>
      <w:lvlJc w:val="left"/>
      <w:pPr>
        <w:tabs>
          <w:tab w:val="num" w:pos="1701"/>
        </w:tabs>
        <w:ind w:left="1701" w:hanging="1417"/>
      </w:pPr>
      <w:rPr>
        <w:rFonts w:cs="Times New Roman" w:hint="default"/>
      </w:rPr>
    </w:lvl>
    <w:lvl w:ilvl="5">
      <w:start w:val="1"/>
      <w:numFmt w:val="decimal"/>
      <w:lvlText w:val="%1.%2.%3.%4.%5.%6."/>
      <w:lvlJc w:val="left"/>
      <w:pPr>
        <w:tabs>
          <w:tab w:val="num" w:pos="1985"/>
        </w:tabs>
        <w:ind w:left="1985" w:hanging="1645"/>
      </w:pPr>
      <w:rPr>
        <w:rFonts w:cs="Times New Roman" w:hint="default"/>
      </w:rPr>
    </w:lvl>
    <w:lvl w:ilvl="6">
      <w:start w:val="1"/>
      <w:numFmt w:val="decimal"/>
      <w:lvlText w:val="%1.%2.%3.%4.%5.%6.%7."/>
      <w:lvlJc w:val="left"/>
      <w:pPr>
        <w:tabs>
          <w:tab w:val="num" w:pos="2268"/>
        </w:tabs>
        <w:ind w:left="2268" w:hanging="1871"/>
      </w:pPr>
      <w:rPr>
        <w:rFonts w:cs="Times New Roman" w:hint="default"/>
      </w:rPr>
    </w:lvl>
    <w:lvl w:ilvl="7">
      <w:start w:val="1"/>
      <w:numFmt w:val="none"/>
      <w:lvlText w:val=""/>
      <w:lvlJc w:val="left"/>
      <w:pPr>
        <w:tabs>
          <w:tab w:val="num" w:pos="510"/>
        </w:tabs>
        <w:ind w:firstLine="510"/>
      </w:pPr>
      <w:rPr>
        <w:rFonts w:cs="Times New Roman" w:hint="default"/>
      </w:rPr>
    </w:lvl>
    <w:lvl w:ilvl="8">
      <w:start w:val="1"/>
      <w:numFmt w:val="none"/>
      <w:lvlText w:val=""/>
      <w:lvlJc w:val="left"/>
      <w:pPr>
        <w:ind w:firstLine="567"/>
      </w:pPr>
      <w:rPr>
        <w:rFonts w:cs="Times New Roman" w:hint="default"/>
      </w:rPr>
    </w:lvl>
  </w:abstractNum>
  <w:abstractNum w:abstractNumId="20">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Roman"/>
      <w:lvlText w:val="(%7)"/>
      <w:lvlJc w:val="left"/>
      <w:pPr>
        <w:ind w:left="360" w:hanging="360"/>
      </w:pPr>
      <w:rPr>
        <w:rFonts w:ascii="Cambria" w:eastAsia="Times New Roman" w:hAnsi="Cambria" w:cs="Times New Roman"/>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1377BA6"/>
    <w:multiLevelType w:val="hybridMultilevel"/>
    <w:tmpl w:val="D62CF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82B35FA"/>
    <w:multiLevelType w:val="hybridMultilevel"/>
    <w:tmpl w:val="CA26A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D0B1B75"/>
    <w:multiLevelType w:val="multilevel"/>
    <w:tmpl w:val="D3FAAFB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1135"/>
        </w:tabs>
        <w:ind w:left="1135" w:hanging="1022"/>
      </w:pPr>
      <w:rPr>
        <w:rFonts w:cs="Times New Roman" w:hint="default"/>
      </w:rPr>
    </w:lvl>
    <w:lvl w:ilvl="2">
      <w:start w:val="1"/>
      <w:numFmt w:val="decimal"/>
      <w:lvlText w:val="%1.%2.%3."/>
      <w:lvlJc w:val="left"/>
      <w:pPr>
        <w:tabs>
          <w:tab w:val="num" w:pos="1134"/>
        </w:tabs>
        <w:ind w:left="1134" w:hanging="964"/>
      </w:pPr>
      <w:rPr>
        <w:rFonts w:cs="Times New Roman" w:hint="default"/>
      </w:rPr>
    </w:lvl>
    <w:lvl w:ilvl="3">
      <w:start w:val="1"/>
      <w:numFmt w:val="decimal"/>
      <w:lvlText w:val="%1.%2.%3.%4."/>
      <w:lvlJc w:val="left"/>
      <w:pPr>
        <w:tabs>
          <w:tab w:val="num" w:pos="1418"/>
        </w:tabs>
        <w:ind w:left="1418" w:hanging="1191"/>
      </w:pPr>
      <w:rPr>
        <w:rFonts w:cs="Times New Roman" w:hint="default"/>
      </w:rPr>
    </w:lvl>
    <w:lvl w:ilvl="4">
      <w:start w:val="1"/>
      <w:numFmt w:val="decimal"/>
      <w:lvlText w:val="%1.%2.%3.%4.%5."/>
      <w:lvlJc w:val="left"/>
      <w:pPr>
        <w:tabs>
          <w:tab w:val="num" w:pos="1701"/>
        </w:tabs>
        <w:ind w:left="1701" w:hanging="1417"/>
      </w:pPr>
      <w:rPr>
        <w:rFonts w:cs="Times New Roman" w:hint="default"/>
      </w:rPr>
    </w:lvl>
    <w:lvl w:ilvl="5">
      <w:start w:val="1"/>
      <w:numFmt w:val="decimal"/>
      <w:lvlText w:val="%1.%2.%3.%4.%5.%6."/>
      <w:lvlJc w:val="left"/>
      <w:pPr>
        <w:tabs>
          <w:tab w:val="num" w:pos="1985"/>
        </w:tabs>
        <w:ind w:left="1985" w:hanging="1645"/>
      </w:pPr>
      <w:rPr>
        <w:rFonts w:cs="Times New Roman" w:hint="default"/>
      </w:rPr>
    </w:lvl>
    <w:lvl w:ilvl="6">
      <w:start w:val="1"/>
      <w:numFmt w:val="decimal"/>
      <w:lvlText w:val="%1.%2.%3.%4.%5.%6.%7."/>
      <w:lvlJc w:val="left"/>
      <w:pPr>
        <w:tabs>
          <w:tab w:val="num" w:pos="2268"/>
        </w:tabs>
        <w:ind w:left="2268" w:hanging="1871"/>
      </w:pPr>
      <w:rPr>
        <w:rFonts w:cs="Times New Roman" w:hint="default"/>
      </w:rPr>
    </w:lvl>
    <w:lvl w:ilvl="7">
      <w:start w:val="1"/>
      <w:numFmt w:val="none"/>
      <w:lvlText w:val=""/>
      <w:lvlJc w:val="left"/>
      <w:pPr>
        <w:tabs>
          <w:tab w:val="num" w:pos="510"/>
        </w:tabs>
        <w:ind w:firstLine="510"/>
      </w:pPr>
      <w:rPr>
        <w:rFonts w:cs="Times New Roman" w:hint="default"/>
      </w:rPr>
    </w:lvl>
    <w:lvl w:ilvl="8">
      <w:start w:val="1"/>
      <w:numFmt w:val="none"/>
      <w:lvlText w:val=""/>
      <w:lvlJc w:val="left"/>
      <w:pPr>
        <w:ind w:firstLine="567"/>
      </w:pPr>
      <w:rPr>
        <w:rFonts w:cs="Times New Roman" w:hint="default"/>
      </w:rPr>
    </w:lvl>
  </w:abstractNum>
  <w:abstractNum w:abstractNumId="24">
    <w:nsid w:val="75F62E3C"/>
    <w:multiLevelType w:val="hybridMultilevel"/>
    <w:tmpl w:val="FEFA8C04"/>
    <w:lvl w:ilvl="0" w:tplc="0C09000F">
      <w:start w:val="1"/>
      <w:numFmt w:val="decimal"/>
      <w:lvlText w:val="%1."/>
      <w:lvlJc w:val="left"/>
      <w:pPr>
        <w:ind w:left="720" w:hanging="360"/>
      </w:pPr>
      <w:rPr>
        <w:rFonts w:hint="default"/>
        <w:b w:val="0"/>
      </w:rPr>
    </w:lvl>
    <w:lvl w:ilvl="1" w:tplc="0C09000F">
      <w:start w:val="1"/>
      <w:numFmt w:val="decimal"/>
      <w:lvlText w:val="%2."/>
      <w:lvlJc w:val="left"/>
      <w:pPr>
        <w:ind w:left="1440"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5FA4AC2"/>
    <w:multiLevelType w:val="hybridMultilevel"/>
    <w:tmpl w:val="9726161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4"/>
  </w:num>
  <w:num w:numId="28">
    <w:abstractNumId w:val="22"/>
  </w:num>
  <w:num w:numId="29">
    <w:abstractNumId w:val="21"/>
  </w:num>
  <w:num w:numId="30">
    <w:abstractNumId w:val="15"/>
  </w:num>
  <w:num w:numId="31">
    <w:abstractNumId w:val="17"/>
  </w:num>
  <w:num w:numId="32">
    <w:abstractNumId w:val="18"/>
  </w:num>
  <w:num w:numId="33">
    <w:abstractNumId w:val="25"/>
  </w:num>
  <w:num w:numId="34">
    <w:abstractNumId w:val="16"/>
  </w:num>
  <w:num w:numId="35">
    <w:abstractNumId w:val="13"/>
  </w:num>
  <w:num w:numId="36">
    <w:abstractNumId w:val="23"/>
  </w:num>
  <w:num w:numId="37">
    <w:abstractNumId w:val="26"/>
  </w:num>
  <w:num w:numId="38">
    <w:abstractNumId w:val="19"/>
  </w:num>
  <w:num w:numId="39">
    <w:abstractNumId w:val="11"/>
  </w:num>
  <w:num w:numId="40">
    <w:abstractNumId w:val="20"/>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4BE2"/>
    <w:rsid w:val="00006B22"/>
    <w:rsid w:val="00007B79"/>
    <w:rsid w:val="00010C55"/>
    <w:rsid w:val="0001276A"/>
    <w:rsid w:val="000246AE"/>
    <w:rsid w:val="0002554F"/>
    <w:rsid w:val="00025C67"/>
    <w:rsid w:val="00032481"/>
    <w:rsid w:val="0003448C"/>
    <w:rsid w:val="000441AA"/>
    <w:rsid w:val="00044399"/>
    <w:rsid w:val="00044772"/>
    <w:rsid w:val="0005559E"/>
    <w:rsid w:val="000565AE"/>
    <w:rsid w:val="000604D6"/>
    <w:rsid w:val="0006607A"/>
    <w:rsid w:val="00067C40"/>
    <w:rsid w:val="000734D8"/>
    <w:rsid w:val="00077775"/>
    <w:rsid w:val="00081DC7"/>
    <w:rsid w:val="00083D05"/>
    <w:rsid w:val="00085175"/>
    <w:rsid w:val="00090471"/>
    <w:rsid w:val="00091657"/>
    <w:rsid w:val="00096AA7"/>
    <w:rsid w:val="000A2FF3"/>
    <w:rsid w:val="000A3AED"/>
    <w:rsid w:val="000B3532"/>
    <w:rsid w:val="000B3A75"/>
    <w:rsid w:val="000B442F"/>
    <w:rsid w:val="000C00C2"/>
    <w:rsid w:val="000C690F"/>
    <w:rsid w:val="000D1295"/>
    <w:rsid w:val="000D1621"/>
    <w:rsid w:val="000D2289"/>
    <w:rsid w:val="000D391B"/>
    <w:rsid w:val="000D3D6D"/>
    <w:rsid w:val="000D4FC7"/>
    <w:rsid w:val="000E6196"/>
    <w:rsid w:val="000F4869"/>
    <w:rsid w:val="000F5B42"/>
    <w:rsid w:val="000F6730"/>
    <w:rsid w:val="000F6E6F"/>
    <w:rsid w:val="0010601F"/>
    <w:rsid w:val="0010788A"/>
    <w:rsid w:val="00107A31"/>
    <w:rsid w:val="00110EA5"/>
    <w:rsid w:val="00112F56"/>
    <w:rsid w:val="00115F02"/>
    <w:rsid w:val="00125099"/>
    <w:rsid w:val="00125318"/>
    <w:rsid w:val="001305A2"/>
    <w:rsid w:val="00133238"/>
    <w:rsid w:val="00133A1B"/>
    <w:rsid w:val="0013536E"/>
    <w:rsid w:val="0014197B"/>
    <w:rsid w:val="001447CD"/>
    <w:rsid w:val="001516B1"/>
    <w:rsid w:val="00154EBB"/>
    <w:rsid w:val="001556EE"/>
    <w:rsid w:val="00156316"/>
    <w:rsid w:val="00161181"/>
    <w:rsid w:val="00162D14"/>
    <w:rsid w:val="00165389"/>
    <w:rsid w:val="0017693F"/>
    <w:rsid w:val="0018110E"/>
    <w:rsid w:val="00181684"/>
    <w:rsid w:val="001843C6"/>
    <w:rsid w:val="001850E0"/>
    <w:rsid w:val="00187DB6"/>
    <w:rsid w:val="001963E2"/>
    <w:rsid w:val="001A2158"/>
    <w:rsid w:val="001A525F"/>
    <w:rsid w:val="001A5AE8"/>
    <w:rsid w:val="001B09F9"/>
    <w:rsid w:val="001B5C90"/>
    <w:rsid w:val="001B6448"/>
    <w:rsid w:val="001C32CD"/>
    <w:rsid w:val="001D2984"/>
    <w:rsid w:val="001D5F7B"/>
    <w:rsid w:val="001E07CF"/>
    <w:rsid w:val="001E59F1"/>
    <w:rsid w:val="001E6D8F"/>
    <w:rsid w:val="001F2CEE"/>
    <w:rsid w:val="001F49EB"/>
    <w:rsid w:val="001F6CBA"/>
    <w:rsid w:val="001F766F"/>
    <w:rsid w:val="00201D4E"/>
    <w:rsid w:val="002076C9"/>
    <w:rsid w:val="00215C7C"/>
    <w:rsid w:val="00220B8A"/>
    <w:rsid w:val="002257F3"/>
    <w:rsid w:val="00226F64"/>
    <w:rsid w:val="00232A97"/>
    <w:rsid w:val="00233456"/>
    <w:rsid w:val="00233780"/>
    <w:rsid w:val="002339A5"/>
    <w:rsid w:val="002444F0"/>
    <w:rsid w:val="00257848"/>
    <w:rsid w:val="002675FA"/>
    <w:rsid w:val="0027084A"/>
    <w:rsid w:val="00286434"/>
    <w:rsid w:val="00286B29"/>
    <w:rsid w:val="00286C59"/>
    <w:rsid w:val="00286DD0"/>
    <w:rsid w:val="00291957"/>
    <w:rsid w:val="002942D1"/>
    <w:rsid w:val="0029501A"/>
    <w:rsid w:val="002A2C9C"/>
    <w:rsid w:val="002A35F8"/>
    <w:rsid w:val="002A3721"/>
    <w:rsid w:val="002B1638"/>
    <w:rsid w:val="002B3624"/>
    <w:rsid w:val="002C247F"/>
    <w:rsid w:val="002D0952"/>
    <w:rsid w:val="002D2F85"/>
    <w:rsid w:val="002E40B3"/>
    <w:rsid w:val="002E4C9A"/>
    <w:rsid w:val="002F11F8"/>
    <w:rsid w:val="002F3F56"/>
    <w:rsid w:val="002F44B5"/>
    <w:rsid w:val="002F7100"/>
    <w:rsid w:val="00302855"/>
    <w:rsid w:val="00311AC0"/>
    <w:rsid w:val="0031697A"/>
    <w:rsid w:val="00317A34"/>
    <w:rsid w:val="00323A05"/>
    <w:rsid w:val="0032583B"/>
    <w:rsid w:val="00327883"/>
    <w:rsid w:val="00335504"/>
    <w:rsid w:val="0033599C"/>
    <w:rsid w:val="00336ED5"/>
    <w:rsid w:val="00340C18"/>
    <w:rsid w:val="003442FD"/>
    <w:rsid w:val="00344583"/>
    <w:rsid w:val="00346A35"/>
    <w:rsid w:val="00347824"/>
    <w:rsid w:val="00347AC7"/>
    <w:rsid w:val="00350567"/>
    <w:rsid w:val="003516DE"/>
    <w:rsid w:val="003521E8"/>
    <w:rsid w:val="00366E90"/>
    <w:rsid w:val="00370CE3"/>
    <w:rsid w:val="003728F3"/>
    <w:rsid w:val="0037496E"/>
    <w:rsid w:val="00374E01"/>
    <w:rsid w:val="00383221"/>
    <w:rsid w:val="00386150"/>
    <w:rsid w:val="00387362"/>
    <w:rsid w:val="003874CE"/>
    <w:rsid w:val="00390900"/>
    <w:rsid w:val="00394276"/>
    <w:rsid w:val="00395F6E"/>
    <w:rsid w:val="003A7F6C"/>
    <w:rsid w:val="003B4D60"/>
    <w:rsid w:val="003B7E39"/>
    <w:rsid w:val="003C51AE"/>
    <w:rsid w:val="003C58DC"/>
    <w:rsid w:val="003D1E62"/>
    <w:rsid w:val="003E0099"/>
    <w:rsid w:val="003E0B99"/>
    <w:rsid w:val="003E2486"/>
    <w:rsid w:val="003E3208"/>
    <w:rsid w:val="003F0B04"/>
    <w:rsid w:val="003F559A"/>
    <w:rsid w:val="003F7586"/>
    <w:rsid w:val="0040134E"/>
    <w:rsid w:val="00427B1B"/>
    <w:rsid w:val="004334C7"/>
    <w:rsid w:val="00440A2D"/>
    <w:rsid w:val="00441C3F"/>
    <w:rsid w:val="0044792E"/>
    <w:rsid w:val="004543C1"/>
    <w:rsid w:val="004564A7"/>
    <w:rsid w:val="00457581"/>
    <w:rsid w:val="004617BF"/>
    <w:rsid w:val="00463658"/>
    <w:rsid w:val="004637A0"/>
    <w:rsid w:val="0047207D"/>
    <w:rsid w:val="004722CC"/>
    <w:rsid w:val="0047307F"/>
    <w:rsid w:val="0048016F"/>
    <w:rsid w:val="004936E4"/>
    <w:rsid w:val="00494E60"/>
    <w:rsid w:val="00497487"/>
    <w:rsid w:val="004A2D34"/>
    <w:rsid w:val="004A6189"/>
    <w:rsid w:val="004A6809"/>
    <w:rsid w:val="004A7390"/>
    <w:rsid w:val="004B1633"/>
    <w:rsid w:val="004B43AA"/>
    <w:rsid w:val="004B7B76"/>
    <w:rsid w:val="004C239D"/>
    <w:rsid w:val="004C2DCA"/>
    <w:rsid w:val="004C61D2"/>
    <w:rsid w:val="004D247F"/>
    <w:rsid w:val="004F00BF"/>
    <w:rsid w:val="004F0C4A"/>
    <w:rsid w:val="004F0F38"/>
    <w:rsid w:val="004F440E"/>
    <w:rsid w:val="004F47D6"/>
    <w:rsid w:val="00501921"/>
    <w:rsid w:val="00505553"/>
    <w:rsid w:val="00530354"/>
    <w:rsid w:val="005331E9"/>
    <w:rsid w:val="0053625B"/>
    <w:rsid w:val="005434C6"/>
    <w:rsid w:val="00543B39"/>
    <w:rsid w:val="00546154"/>
    <w:rsid w:val="00550096"/>
    <w:rsid w:val="00550C33"/>
    <w:rsid w:val="00555280"/>
    <w:rsid w:val="00557FF9"/>
    <w:rsid w:val="00562327"/>
    <w:rsid w:val="0056311B"/>
    <w:rsid w:val="00563FC9"/>
    <w:rsid w:val="005711D5"/>
    <w:rsid w:val="0057574B"/>
    <w:rsid w:val="00576378"/>
    <w:rsid w:val="00577130"/>
    <w:rsid w:val="00577443"/>
    <w:rsid w:val="00577945"/>
    <w:rsid w:val="00577E38"/>
    <w:rsid w:val="00584450"/>
    <w:rsid w:val="00585322"/>
    <w:rsid w:val="005857C6"/>
    <w:rsid w:val="00592F6E"/>
    <w:rsid w:val="00593AD1"/>
    <w:rsid w:val="005A68B6"/>
    <w:rsid w:val="005A6C65"/>
    <w:rsid w:val="005B5721"/>
    <w:rsid w:val="005C0FFC"/>
    <w:rsid w:val="005C3C43"/>
    <w:rsid w:val="005C5570"/>
    <w:rsid w:val="005C79A4"/>
    <w:rsid w:val="005D21F9"/>
    <w:rsid w:val="005D399E"/>
    <w:rsid w:val="005D5442"/>
    <w:rsid w:val="005E28C6"/>
    <w:rsid w:val="005F4659"/>
    <w:rsid w:val="00603F32"/>
    <w:rsid w:val="00605AD4"/>
    <w:rsid w:val="006163E3"/>
    <w:rsid w:val="00625891"/>
    <w:rsid w:val="00625A6E"/>
    <w:rsid w:val="00632398"/>
    <w:rsid w:val="0063370D"/>
    <w:rsid w:val="00640FC3"/>
    <w:rsid w:val="00642020"/>
    <w:rsid w:val="0065337B"/>
    <w:rsid w:val="0065419D"/>
    <w:rsid w:val="006604D8"/>
    <w:rsid w:val="00660EF9"/>
    <w:rsid w:val="00664A5B"/>
    <w:rsid w:val="0066735C"/>
    <w:rsid w:val="006709F0"/>
    <w:rsid w:val="0067104C"/>
    <w:rsid w:val="00671314"/>
    <w:rsid w:val="006763D2"/>
    <w:rsid w:val="00680C08"/>
    <w:rsid w:val="00682E41"/>
    <w:rsid w:val="00690344"/>
    <w:rsid w:val="006916A0"/>
    <w:rsid w:val="006931B1"/>
    <w:rsid w:val="006A15C0"/>
    <w:rsid w:val="006A4047"/>
    <w:rsid w:val="006A6D47"/>
    <w:rsid w:val="006C3E2A"/>
    <w:rsid w:val="006C5DCA"/>
    <w:rsid w:val="006C642F"/>
    <w:rsid w:val="006D03E5"/>
    <w:rsid w:val="006D5D3E"/>
    <w:rsid w:val="006E0555"/>
    <w:rsid w:val="006E08B3"/>
    <w:rsid w:val="006E5743"/>
    <w:rsid w:val="006F17AC"/>
    <w:rsid w:val="006F237A"/>
    <w:rsid w:val="006F25B8"/>
    <w:rsid w:val="006F572E"/>
    <w:rsid w:val="00700174"/>
    <w:rsid w:val="0070133A"/>
    <w:rsid w:val="007046D6"/>
    <w:rsid w:val="00705DB0"/>
    <w:rsid w:val="00715063"/>
    <w:rsid w:val="00720BD3"/>
    <w:rsid w:val="00720DBB"/>
    <w:rsid w:val="00722B57"/>
    <w:rsid w:val="00724D69"/>
    <w:rsid w:val="00726BCA"/>
    <w:rsid w:val="00730F8A"/>
    <w:rsid w:val="00731263"/>
    <w:rsid w:val="0073440E"/>
    <w:rsid w:val="00735A8C"/>
    <w:rsid w:val="0074253D"/>
    <w:rsid w:val="0074429B"/>
    <w:rsid w:val="007534B5"/>
    <w:rsid w:val="00756BC1"/>
    <w:rsid w:val="007615BC"/>
    <w:rsid w:val="00762F05"/>
    <w:rsid w:val="007652FF"/>
    <w:rsid w:val="00767735"/>
    <w:rsid w:val="00770CAC"/>
    <w:rsid w:val="00770EF1"/>
    <w:rsid w:val="00773EF7"/>
    <w:rsid w:val="00774E1D"/>
    <w:rsid w:val="007765D8"/>
    <w:rsid w:val="0077675A"/>
    <w:rsid w:val="00780355"/>
    <w:rsid w:val="007819FD"/>
    <w:rsid w:val="007823E1"/>
    <w:rsid w:val="00785717"/>
    <w:rsid w:val="00785721"/>
    <w:rsid w:val="00792D4A"/>
    <w:rsid w:val="00793A59"/>
    <w:rsid w:val="00795B3C"/>
    <w:rsid w:val="007A3B0A"/>
    <w:rsid w:val="007B6132"/>
    <w:rsid w:val="007B6E9F"/>
    <w:rsid w:val="007C1216"/>
    <w:rsid w:val="007C1AF7"/>
    <w:rsid w:val="007C6B9B"/>
    <w:rsid w:val="007D11BA"/>
    <w:rsid w:val="007D298B"/>
    <w:rsid w:val="007F7628"/>
    <w:rsid w:val="00802B65"/>
    <w:rsid w:val="00805D27"/>
    <w:rsid w:val="00806DCB"/>
    <w:rsid w:val="00810CB7"/>
    <w:rsid w:val="0081612A"/>
    <w:rsid w:val="00821776"/>
    <w:rsid w:val="008321F5"/>
    <w:rsid w:val="00832369"/>
    <w:rsid w:val="00834660"/>
    <w:rsid w:val="00836BC2"/>
    <w:rsid w:val="008408D4"/>
    <w:rsid w:val="0084305A"/>
    <w:rsid w:val="0085156D"/>
    <w:rsid w:val="00855B7E"/>
    <w:rsid w:val="0085641B"/>
    <w:rsid w:val="00857136"/>
    <w:rsid w:val="0085734E"/>
    <w:rsid w:val="00865206"/>
    <w:rsid w:val="00884E10"/>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2D59"/>
    <w:rsid w:val="008F6943"/>
    <w:rsid w:val="00901390"/>
    <w:rsid w:val="00902A21"/>
    <w:rsid w:val="00903217"/>
    <w:rsid w:val="00903D06"/>
    <w:rsid w:val="00911025"/>
    <w:rsid w:val="00920330"/>
    <w:rsid w:val="00920D06"/>
    <w:rsid w:val="009219D7"/>
    <w:rsid w:val="00922D53"/>
    <w:rsid w:val="00923B70"/>
    <w:rsid w:val="00924482"/>
    <w:rsid w:val="00930237"/>
    <w:rsid w:val="00937C17"/>
    <w:rsid w:val="00940A89"/>
    <w:rsid w:val="00946EA5"/>
    <w:rsid w:val="009602F5"/>
    <w:rsid w:val="00963C08"/>
    <w:rsid w:val="009752A5"/>
    <w:rsid w:val="00976534"/>
    <w:rsid w:val="009836B8"/>
    <w:rsid w:val="0098585A"/>
    <w:rsid w:val="009A4CED"/>
    <w:rsid w:val="009A690D"/>
    <w:rsid w:val="009B0FDC"/>
    <w:rsid w:val="009B1D12"/>
    <w:rsid w:val="009B416B"/>
    <w:rsid w:val="009C4BD5"/>
    <w:rsid w:val="009C5C20"/>
    <w:rsid w:val="009D7B77"/>
    <w:rsid w:val="009E0BB0"/>
    <w:rsid w:val="009E3FBB"/>
    <w:rsid w:val="009E7B11"/>
    <w:rsid w:val="009F7353"/>
    <w:rsid w:val="00A01204"/>
    <w:rsid w:val="00A04F85"/>
    <w:rsid w:val="00A05FA4"/>
    <w:rsid w:val="00A06113"/>
    <w:rsid w:val="00A102E4"/>
    <w:rsid w:val="00A102F8"/>
    <w:rsid w:val="00A12C42"/>
    <w:rsid w:val="00A14DF7"/>
    <w:rsid w:val="00A2235D"/>
    <w:rsid w:val="00A3246D"/>
    <w:rsid w:val="00A36FA7"/>
    <w:rsid w:val="00A40895"/>
    <w:rsid w:val="00A4351F"/>
    <w:rsid w:val="00A44DDB"/>
    <w:rsid w:val="00A475B7"/>
    <w:rsid w:val="00A47AF7"/>
    <w:rsid w:val="00A47C3E"/>
    <w:rsid w:val="00A50226"/>
    <w:rsid w:val="00A56A12"/>
    <w:rsid w:val="00A60BAD"/>
    <w:rsid w:val="00A61AD1"/>
    <w:rsid w:val="00A64E9D"/>
    <w:rsid w:val="00A80B5B"/>
    <w:rsid w:val="00A84E36"/>
    <w:rsid w:val="00A92F39"/>
    <w:rsid w:val="00A964D1"/>
    <w:rsid w:val="00AA0ED0"/>
    <w:rsid w:val="00AA1284"/>
    <w:rsid w:val="00AB5535"/>
    <w:rsid w:val="00AC2B40"/>
    <w:rsid w:val="00AC2BB2"/>
    <w:rsid w:val="00AC2C3C"/>
    <w:rsid w:val="00AC512D"/>
    <w:rsid w:val="00AD0083"/>
    <w:rsid w:val="00AD3935"/>
    <w:rsid w:val="00AE1EF9"/>
    <w:rsid w:val="00AE65EB"/>
    <w:rsid w:val="00AE67A7"/>
    <w:rsid w:val="00AF1D94"/>
    <w:rsid w:val="00AF52D3"/>
    <w:rsid w:val="00AF5C8B"/>
    <w:rsid w:val="00AF60C5"/>
    <w:rsid w:val="00B009C6"/>
    <w:rsid w:val="00B00A0A"/>
    <w:rsid w:val="00B01548"/>
    <w:rsid w:val="00B05F37"/>
    <w:rsid w:val="00B13EBD"/>
    <w:rsid w:val="00B21D29"/>
    <w:rsid w:val="00B22763"/>
    <w:rsid w:val="00B23049"/>
    <w:rsid w:val="00B25034"/>
    <w:rsid w:val="00B278C2"/>
    <w:rsid w:val="00B27D7C"/>
    <w:rsid w:val="00B33588"/>
    <w:rsid w:val="00B33863"/>
    <w:rsid w:val="00B34BFC"/>
    <w:rsid w:val="00B37D17"/>
    <w:rsid w:val="00B4175E"/>
    <w:rsid w:val="00B452CE"/>
    <w:rsid w:val="00B51D08"/>
    <w:rsid w:val="00B54C25"/>
    <w:rsid w:val="00B5563F"/>
    <w:rsid w:val="00B55FA1"/>
    <w:rsid w:val="00B61F83"/>
    <w:rsid w:val="00B73D61"/>
    <w:rsid w:val="00B7684D"/>
    <w:rsid w:val="00B76B91"/>
    <w:rsid w:val="00B77EB1"/>
    <w:rsid w:val="00B77FB2"/>
    <w:rsid w:val="00B811C6"/>
    <w:rsid w:val="00B82BB1"/>
    <w:rsid w:val="00B855B0"/>
    <w:rsid w:val="00B87152"/>
    <w:rsid w:val="00B9173F"/>
    <w:rsid w:val="00B92E08"/>
    <w:rsid w:val="00BC4F11"/>
    <w:rsid w:val="00BC622A"/>
    <w:rsid w:val="00BE0162"/>
    <w:rsid w:val="00BE0A78"/>
    <w:rsid w:val="00BE79F0"/>
    <w:rsid w:val="00BF046D"/>
    <w:rsid w:val="00BF1190"/>
    <w:rsid w:val="00BF17FF"/>
    <w:rsid w:val="00BF3E77"/>
    <w:rsid w:val="00BF5D04"/>
    <w:rsid w:val="00C009AA"/>
    <w:rsid w:val="00C1164D"/>
    <w:rsid w:val="00C16861"/>
    <w:rsid w:val="00C24E50"/>
    <w:rsid w:val="00C2796E"/>
    <w:rsid w:val="00C346AB"/>
    <w:rsid w:val="00C374CD"/>
    <w:rsid w:val="00C404A6"/>
    <w:rsid w:val="00C40A36"/>
    <w:rsid w:val="00C44419"/>
    <w:rsid w:val="00C45E7B"/>
    <w:rsid w:val="00C471B1"/>
    <w:rsid w:val="00C53864"/>
    <w:rsid w:val="00C61113"/>
    <w:rsid w:val="00C6316B"/>
    <w:rsid w:val="00C634A9"/>
    <w:rsid w:val="00C64586"/>
    <w:rsid w:val="00C70D53"/>
    <w:rsid w:val="00C73D0B"/>
    <w:rsid w:val="00C772FF"/>
    <w:rsid w:val="00C80137"/>
    <w:rsid w:val="00C801AF"/>
    <w:rsid w:val="00C80256"/>
    <w:rsid w:val="00C9475A"/>
    <w:rsid w:val="00C94959"/>
    <w:rsid w:val="00C94CD4"/>
    <w:rsid w:val="00C94E87"/>
    <w:rsid w:val="00C9584C"/>
    <w:rsid w:val="00C9747E"/>
    <w:rsid w:val="00CA0AF3"/>
    <w:rsid w:val="00CB4850"/>
    <w:rsid w:val="00CB6BC0"/>
    <w:rsid w:val="00CC1B7C"/>
    <w:rsid w:val="00CC66CA"/>
    <w:rsid w:val="00CC727F"/>
    <w:rsid w:val="00CD2EF8"/>
    <w:rsid w:val="00CF15C3"/>
    <w:rsid w:val="00CF2B6F"/>
    <w:rsid w:val="00CF2F3E"/>
    <w:rsid w:val="00CF2FAD"/>
    <w:rsid w:val="00CF3863"/>
    <w:rsid w:val="00CF58B6"/>
    <w:rsid w:val="00D0062D"/>
    <w:rsid w:val="00D017ED"/>
    <w:rsid w:val="00D040D3"/>
    <w:rsid w:val="00D04C65"/>
    <w:rsid w:val="00D201D2"/>
    <w:rsid w:val="00D204E0"/>
    <w:rsid w:val="00D224FE"/>
    <w:rsid w:val="00D23139"/>
    <w:rsid w:val="00D33257"/>
    <w:rsid w:val="00D425BB"/>
    <w:rsid w:val="00D53F5E"/>
    <w:rsid w:val="00D6493E"/>
    <w:rsid w:val="00D64E6B"/>
    <w:rsid w:val="00D7195D"/>
    <w:rsid w:val="00D7301E"/>
    <w:rsid w:val="00D7380F"/>
    <w:rsid w:val="00D75B67"/>
    <w:rsid w:val="00D76C61"/>
    <w:rsid w:val="00D823D7"/>
    <w:rsid w:val="00D83AE1"/>
    <w:rsid w:val="00D855D4"/>
    <w:rsid w:val="00D902C9"/>
    <w:rsid w:val="00D93466"/>
    <w:rsid w:val="00D9408E"/>
    <w:rsid w:val="00DA1124"/>
    <w:rsid w:val="00DB6124"/>
    <w:rsid w:val="00DB750B"/>
    <w:rsid w:val="00DB75B7"/>
    <w:rsid w:val="00DC2D94"/>
    <w:rsid w:val="00DC6E02"/>
    <w:rsid w:val="00DD0D26"/>
    <w:rsid w:val="00DD1EFD"/>
    <w:rsid w:val="00DD28CD"/>
    <w:rsid w:val="00DD6C26"/>
    <w:rsid w:val="00DE02AE"/>
    <w:rsid w:val="00DE30DA"/>
    <w:rsid w:val="00DE57EA"/>
    <w:rsid w:val="00DF1D7F"/>
    <w:rsid w:val="00DF4BE4"/>
    <w:rsid w:val="00DF555C"/>
    <w:rsid w:val="00E02FB4"/>
    <w:rsid w:val="00E0701A"/>
    <w:rsid w:val="00E12108"/>
    <w:rsid w:val="00E13FC7"/>
    <w:rsid w:val="00E20571"/>
    <w:rsid w:val="00E205F5"/>
    <w:rsid w:val="00E235F7"/>
    <w:rsid w:val="00E23659"/>
    <w:rsid w:val="00E239D4"/>
    <w:rsid w:val="00E26130"/>
    <w:rsid w:val="00E361ED"/>
    <w:rsid w:val="00E40B22"/>
    <w:rsid w:val="00E44ED1"/>
    <w:rsid w:val="00E45619"/>
    <w:rsid w:val="00E4588F"/>
    <w:rsid w:val="00E46DA3"/>
    <w:rsid w:val="00E51BB1"/>
    <w:rsid w:val="00E624A5"/>
    <w:rsid w:val="00E63418"/>
    <w:rsid w:val="00E64BA4"/>
    <w:rsid w:val="00E7344E"/>
    <w:rsid w:val="00E8034A"/>
    <w:rsid w:val="00E82665"/>
    <w:rsid w:val="00E92C08"/>
    <w:rsid w:val="00EA068B"/>
    <w:rsid w:val="00EA3F9A"/>
    <w:rsid w:val="00EA4A91"/>
    <w:rsid w:val="00EB0798"/>
    <w:rsid w:val="00EB40AD"/>
    <w:rsid w:val="00EB586E"/>
    <w:rsid w:val="00EB5FC8"/>
    <w:rsid w:val="00EC24DE"/>
    <w:rsid w:val="00EC463D"/>
    <w:rsid w:val="00EC7A85"/>
    <w:rsid w:val="00ED2922"/>
    <w:rsid w:val="00ED3CAD"/>
    <w:rsid w:val="00ED5A41"/>
    <w:rsid w:val="00EE1D4A"/>
    <w:rsid w:val="00EE1DE8"/>
    <w:rsid w:val="00EE27C2"/>
    <w:rsid w:val="00EF4BAD"/>
    <w:rsid w:val="00EF6E60"/>
    <w:rsid w:val="00F033EC"/>
    <w:rsid w:val="00F04F68"/>
    <w:rsid w:val="00F10F68"/>
    <w:rsid w:val="00F1158B"/>
    <w:rsid w:val="00F12670"/>
    <w:rsid w:val="00F135D9"/>
    <w:rsid w:val="00F14B27"/>
    <w:rsid w:val="00F2294B"/>
    <w:rsid w:val="00F23E41"/>
    <w:rsid w:val="00F2650E"/>
    <w:rsid w:val="00F3148D"/>
    <w:rsid w:val="00F325C5"/>
    <w:rsid w:val="00F32FE0"/>
    <w:rsid w:val="00F336DF"/>
    <w:rsid w:val="00F35298"/>
    <w:rsid w:val="00F41F93"/>
    <w:rsid w:val="00F45446"/>
    <w:rsid w:val="00F47333"/>
    <w:rsid w:val="00F47E37"/>
    <w:rsid w:val="00F53C07"/>
    <w:rsid w:val="00F54B65"/>
    <w:rsid w:val="00F640B6"/>
    <w:rsid w:val="00F66DF2"/>
    <w:rsid w:val="00F71ADA"/>
    <w:rsid w:val="00F75990"/>
    <w:rsid w:val="00F80E40"/>
    <w:rsid w:val="00F848D9"/>
    <w:rsid w:val="00F85781"/>
    <w:rsid w:val="00F95B2B"/>
    <w:rsid w:val="00FA5B82"/>
    <w:rsid w:val="00FA639E"/>
    <w:rsid w:val="00FA63BB"/>
    <w:rsid w:val="00FB2995"/>
    <w:rsid w:val="00FC1FCA"/>
    <w:rsid w:val="00FC25E4"/>
    <w:rsid w:val="00FC4EF7"/>
    <w:rsid w:val="00FD0824"/>
    <w:rsid w:val="00FD119B"/>
    <w:rsid w:val="00FD1EDC"/>
    <w:rsid w:val="00FE0597"/>
    <w:rsid w:val="00FE1DEE"/>
    <w:rsid w:val="00FE5A21"/>
    <w:rsid w:val="00FF0455"/>
    <w:rsid w:val="00FF0AA9"/>
    <w:rsid w:val="00FF2126"/>
    <w:rsid w:val="00FF269C"/>
    <w:rsid w:val="00FF371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602F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ind w:left="360"/>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543C1"/>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uiPriority w:val="99"/>
    <w:rsid w:val="001963E2"/>
    <w:pPr>
      <w:numPr>
        <w:numId w:val="30"/>
      </w:numPr>
      <w:spacing w:after="0" w:line="240" w:lineRule="auto"/>
    </w:pPr>
    <w:rPr>
      <w:kern w:val="24"/>
      <w:szCs w:val="24"/>
      <w:lang w:eastAsia="en-AU"/>
    </w:rPr>
  </w:style>
  <w:style w:type="paragraph" w:customStyle="1" w:styleId="Bulletlist">
    <w:name w:val="Bullet list"/>
    <w:basedOn w:val="Normal"/>
    <w:link w:val="BulletlistChar"/>
    <w:qFormat/>
    <w:rsid w:val="00A92F39"/>
    <w:pPr>
      <w:numPr>
        <w:numId w:val="39"/>
      </w:numPr>
      <w:spacing w:before="0" w:after="180" w:line="252" w:lineRule="auto"/>
      <w:ind w:left="426" w:hanging="284"/>
    </w:pPr>
    <w:rPr>
      <w:rFonts w:eastAsia="Times New Roman"/>
      <w:snapToGrid w:val="0"/>
      <w:kern w:val="2"/>
      <w:sz w:val="23"/>
    </w:rPr>
  </w:style>
  <w:style w:type="numbering" w:customStyle="1" w:styleId="Recommendations">
    <w:name w:val="Recommendations"/>
    <w:uiPriority w:val="99"/>
    <w:rsid w:val="00A92F39"/>
    <w:pPr>
      <w:numPr>
        <w:numId w:val="40"/>
      </w:numPr>
    </w:pPr>
  </w:style>
  <w:style w:type="character" w:customStyle="1" w:styleId="BulletlistChar">
    <w:name w:val="Bullet list Char"/>
    <w:basedOn w:val="DefaultParagraphFont"/>
    <w:link w:val="Bulletlist"/>
    <w:rsid w:val="00A92F39"/>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B7684D"/>
    <w:rPr>
      <w:rFonts w:ascii="Cambria" w:eastAsia="Cambria" w:hAnsi="Cambria" w:cs="Times New Roman"/>
      <w:sz w:val="19"/>
    </w:rPr>
  </w:style>
  <w:style w:type="paragraph" w:customStyle="1" w:styleId="Standard">
    <w:name w:val="Standard"/>
    <w:basedOn w:val="Normal"/>
    <w:link w:val="StandardChar"/>
    <w:qFormat/>
    <w:rsid w:val="00B7684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7684D"/>
    <w:rPr>
      <w:rFonts w:ascii="Cambria" w:eastAsia="Times New Roman" w:hAnsi="Cambria" w:cs="Times New Roman"/>
      <w:snapToGrid w:val="0"/>
      <w:kern w:val="16"/>
      <w:sz w:val="23"/>
      <w:szCs w:val="24"/>
    </w:rPr>
  </w:style>
  <w:style w:type="paragraph" w:customStyle="1" w:styleId="Default">
    <w:name w:val="Default"/>
    <w:rsid w:val="00374E01"/>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602F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ind w:left="360"/>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543C1"/>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uiPriority w:val="99"/>
    <w:rsid w:val="001963E2"/>
    <w:pPr>
      <w:numPr>
        <w:numId w:val="30"/>
      </w:numPr>
      <w:spacing w:after="0" w:line="240" w:lineRule="auto"/>
    </w:pPr>
    <w:rPr>
      <w:kern w:val="24"/>
      <w:szCs w:val="24"/>
      <w:lang w:eastAsia="en-AU"/>
    </w:rPr>
  </w:style>
  <w:style w:type="paragraph" w:customStyle="1" w:styleId="Bulletlist">
    <w:name w:val="Bullet list"/>
    <w:basedOn w:val="Normal"/>
    <w:link w:val="BulletlistChar"/>
    <w:qFormat/>
    <w:rsid w:val="00A92F39"/>
    <w:pPr>
      <w:numPr>
        <w:numId w:val="39"/>
      </w:numPr>
      <w:spacing w:before="0" w:after="180" w:line="252" w:lineRule="auto"/>
      <w:ind w:left="426" w:hanging="284"/>
    </w:pPr>
    <w:rPr>
      <w:rFonts w:eastAsia="Times New Roman"/>
      <w:snapToGrid w:val="0"/>
      <w:kern w:val="2"/>
      <w:sz w:val="23"/>
    </w:rPr>
  </w:style>
  <w:style w:type="numbering" w:customStyle="1" w:styleId="Recommendations">
    <w:name w:val="Recommendations"/>
    <w:uiPriority w:val="99"/>
    <w:rsid w:val="00A92F39"/>
    <w:pPr>
      <w:numPr>
        <w:numId w:val="40"/>
      </w:numPr>
    </w:pPr>
  </w:style>
  <w:style w:type="character" w:customStyle="1" w:styleId="BulletlistChar">
    <w:name w:val="Bullet list Char"/>
    <w:basedOn w:val="DefaultParagraphFont"/>
    <w:link w:val="Bulletlist"/>
    <w:rsid w:val="00A92F39"/>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B7684D"/>
    <w:rPr>
      <w:rFonts w:ascii="Cambria" w:eastAsia="Cambria" w:hAnsi="Cambria" w:cs="Times New Roman"/>
      <w:sz w:val="19"/>
    </w:rPr>
  </w:style>
  <w:style w:type="paragraph" w:customStyle="1" w:styleId="Standard">
    <w:name w:val="Standard"/>
    <w:basedOn w:val="Normal"/>
    <w:link w:val="StandardChar"/>
    <w:qFormat/>
    <w:rsid w:val="00B7684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B7684D"/>
    <w:rPr>
      <w:rFonts w:ascii="Cambria" w:eastAsia="Times New Roman" w:hAnsi="Cambria" w:cs="Times New Roman"/>
      <w:snapToGrid w:val="0"/>
      <w:kern w:val="16"/>
      <w:sz w:val="23"/>
      <w:szCs w:val="24"/>
    </w:rPr>
  </w:style>
  <w:style w:type="paragraph" w:customStyle="1" w:styleId="Default">
    <w:name w:val="Default"/>
    <w:rsid w:val="00374E01"/>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41F8B-77AD-4940-83E4-7D9E846E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12</TotalTime>
  <Pages>65</Pages>
  <Words>27366</Words>
  <Characters>154077</Characters>
  <Application>Microsoft Office Word</Application>
  <DocSecurity>0</DocSecurity>
  <Lines>4279</Lines>
  <Paragraphs>2485</Paragraphs>
  <ScaleCrop>false</ScaleCrop>
  <HeadingPairs>
    <vt:vector size="2" baseType="variant">
      <vt:variant>
        <vt:lpstr>Title</vt:lpstr>
      </vt:variant>
      <vt:variant>
        <vt:i4>1</vt:i4>
      </vt:variant>
    </vt:vector>
  </HeadingPairs>
  <TitlesOfParts>
    <vt:vector size="1" baseType="lpstr">
      <vt:lpstr>Australian Public Assessment Report for Tofacitinib (as citrate)</vt:lpstr>
    </vt:vector>
  </TitlesOfParts>
  <Company>Department of Health Therapeutic Goods Administration</Company>
  <LinksUpToDate>false</LinksUpToDate>
  <CharactersWithSpaces>178958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Tofacitinib (as citrate)</dc:title>
  <dc:subject>prescription medicines</dc:subject>
  <dc:creator>Therapeutic Goods Administration</dc:creator>
  <cp:keywords>AusPARs</cp:keywords>
  <cp:lastModifiedBy>LACK, Janet</cp:lastModifiedBy>
  <cp:revision>3</cp:revision>
  <cp:lastPrinted>2017-12-13T01:19:00Z</cp:lastPrinted>
  <dcterms:created xsi:type="dcterms:W3CDTF">2018-07-09T06:10:00Z</dcterms:created>
  <dcterms:modified xsi:type="dcterms:W3CDTF">2018-07-09T06:56:00Z</dcterms:modified>
  <cp:category/>
</cp:coreProperties>
</file>