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2C89C" w14:textId="252C394A" w:rsidR="006C34D9" w:rsidRPr="00CB5041" w:rsidRDefault="00CB5041" w:rsidP="00CB5041">
      <w:pPr>
        <w:pStyle w:val="BodyText"/>
        <w:spacing w:before="67" w:after="360" w:line="214" w:lineRule="auto"/>
        <w:ind w:left="1378" w:right="658"/>
        <w:jc w:val="both"/>
      </w:pPr>
      <w:r>
        <w:rPr>
          <w:rFonts w:ascii="SimSun" w:hAnsi="SimSun"/>
          <w:sz w:val="40"/>
        </w:rPr>
        <w:t>▼</w:t>
      </w:r>
      <w:r>
        <w:rPr>
          <w:position w:val="1"/>
        </w:rPr>
        <w:t>This medicinal product is subject to additional monitoring in Australia due to</w:t>
      </w:r>
      <w:r>
        <w:rPr>
          <w:spacing w:val="1"/>
          <w:position w:val="1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extension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indications.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allow</w:t>
      </w:r>
      <w:r>
        <w:rPr>
          <w:spacing w:val="-9"/>
        </w:rPr>
        <w:t xml:space="preserve"> </w:t>
      </w:r>
      <w:r>
        <w:t>quick</w:t>
      </w:r>
      <w:r>
        <w:rPr>
          <w:spacing w:val="-10"/>
        </w:rPr>
        <w:t xml:space="preserve"> </w:t>
      </w:r>
      <w:r>
        <w:t>identification</w:t>
      </w:r>
      <w:r>
        <w:rPr>
          <w:spacing w:val="-5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safety</w:t>
      </w:r>
      <w:r>
        <w:rPr>
          <w:spacing w:val="6"/>
        </w:rPr>
        <w:t xml:space="preserve"> </w:t>
      </w:r>
      <w:r>
        <w:t>information.</w:t>
      </w:r>
      <w:r>
        <w:rPr>
          <w:spacing w:val="7"/>
        </w:rPr>
        <w:t xml:space="preserve"> </w:t>
      </w:r>
      <w:r>
        <w:t>Healthcare</w:t>
      </w:r>
      <w:r>
        <w:rPr>
          <w:spacing w:val="6"/>
        </w:rPr>
        <w:t xml:space="preserve"> </w:t>
      </w:r>
      <w:r>
        <w:t>professionals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asked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suspected adverse</w:t>
      </w:r>
      <w:r>
        <w:rPr>
          <w:spacing w:val="-4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7">
        <w:r>
          <w:rPr>
            <w:color w:val="0000FF"/>
            <w:u w:val="single" w:color="0000FF"/>
          </w:rPr>
          <w:t>https://www.tga.gov.au/reporting-problems</w:t>
        </w:r>
      </w:hyperlink>
      <w:r>
        <w:t>.</w:t>
      </w:r>
    </w:p>
    <w:p w14:paraId="6B76FCBC" w14:textId="77777777" w:rsidR="006C34D9" w:rsidRDefault="00CB5041">
      <w:pPr>
        <w:pStyle w:val="Title"/>
        <w:spacing w:before="88"/>
        <w:ind w:right="2431"/>
      </w:pPr>
      <w:r>
        <w:t>AUSTRALIAN</w:t>
      </w:r>
      <w:r>
        <w:rPr>
          <w:spacing w:val="-6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INFORMATION</w:t>
      </w:r>
    </w:p>
    <w:p w14:paraId="4E68E276" w14:textId="11BE8D60" w:rsidR="006C34D9" w:rsidRPr="00CB5041" w:rsidRDefault="00CB5041" w:rsidP="00CB5041">
      <w:pPr>
        <w:pStyle w:val="Title"/>
        <w:spacing w:after="360"/>
        <w:ind w:left="2432" w:right="2432"/>
      </w:pPr>
      <w:r>
        <w:t>Actemra</w:t>
      </w:r>
      <w:r>
        <w:rPr>
          <w:vertAlign w:val="superscript"/>
        </w:rPr>
        <w:t>®</w:t>
      </w:r>
      <w:r>
        <w:rPr>
          <w:spacing w:val="-5"/>
        </w:rPr>
        <w:t xml:space="preserve"> </w:t>
      </w:r>
      <w:r>
        <w:t>(tocilizumab)</w:t>
      </w:r>
    </w:p>
    <w:p w14:paraId="28C4A721" w14:textId="77777777" w:rsidR="006C34D9" w:rsidRDefault="00CB5041">
      <w:pPr>
        <w:pStyle w:val="Heading1"/>
        <w:numPr>
          <w:ilvl w:val="0"/>
          <w:numId w:val="10"/>
        </w:numPr>
        <w:tabs>
          <w:tab w:val="left" w:pos="1020"/>
        </w:tabs>
        <w:spacing w:before="1"/>
      </w:pPr>
      <w:bookmarkStart w:id="0" w:name="1._NAME_OF_THE_MEDICINE"/>
      <w:bookmarkEnd w:id="0"/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MEDICINE</w:t>
      </w:r>
    </w:p>
    <w:p w14:paraId="5C9D5589" w14:textId="4680A68A" w:rsidR="006C34D9" w:rsidRPr="00CB5041" w:rsidRDefault="00CB5041" w:rsidP="00CB5041">
      <w:pPr>
        <w:pStyle w:val="BodyText"/>
        <w:spacing w:after="120" w:line="275" w:lineRule="exact"/>
        <w:ind w:left="658"/>
      </w:pPr>
      <w:r>
        <w:t>Tocilizumab</w:t>
      </w:r>
    </w:p>
    <w:p w14:paraId="1AE74D1A" w14:textId="77777777" w:rsidR="006C34D9" w:rsidRDefault="00CB5041">
      <w:pPr>
        <w:pStyle w:val="Heading1"/>
        <w:numPr>
          <w:ilvl w:val="0"/>
          <w:numId w:val="10"/>
        </w:numPr>
        <w:tabs>
          <w:tab w:val="left" w:pos="1020"/>
        </w:tabs>
        <w:spacing w:before="1"/>
      </w:pPr>
      <w:bookmarkStart w:id="1" w:name="2._QUALITATIVE_AND_QUANTITATIVE_COMPOSIT"/>
      <w:bookmarkEnd w:id="1"/>
      <w:r>
        <w:t>QUALITATIVE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QUANTITATIVE</w:t>
      </w:r>
      <w:r>
        <w:rPr>
          <w:spacing w:val="-6"/>
        </w:rPr>
        <w:t xml:space="preserve"> </w:t>
      </w:r>
      <w:r>
        <w:t>COMPOSITION</w:t>
      </w:r>
    </w:p>
    <w:p w14:paraId="3E7AEE0D" w14:textId="1F8CAD01" w:rsidR="006C34D9" w:rsidRPr="00CB5041" w:rsidRDefault="00CB5041" w:rsidP="00CB5041">
      <w:pPr>
        <w:pStyle w:val="BodyText"/>
        <w:spacing w:after="120"/>
        <w:ind w:left="658" w:right="658"/>
        <w:jc w:val="both"/>
      </w:pPr>
      <w:r>
        <w:t>Actemra 80 mg/ 4mL concentrate solution for intravenous infusion vial contains 80 mg</w:t>
      </w:r>
      <w:r>
        <w:rPr>
          <w:spacing w:val="1"/>
        </w:rPr>
        <w:t xml:space="preserve"> </w:t>
      </w:r>
      <w:r>
        <w:t>tocilizumab</w:t>
      </w:r>
    </w:p>
    <w:p w14:paraId="04643BB8" w14:textId="688F4C4E" w:rsidR="006C34D9" w:rsidRPr="00CB5041" w:rsidRDefault="00CB5041" w:rsidP="00CB5041">
      <w:pPr>
        <w:pStyle w:val="BodyText"/>
        <w:spacing w:after="120"/>
        <w:ind w:left="658" w:right="658"/>
        <w:jc w:val="both"/>
      </w:pPr>
      <w:r>
        <w:t>Actemra 200 mg/ 10 mL concentrate solution for intravenous infusion vial contains 200mg</w:t>
      </w:r>
      <w:r>
        <w:rPr>
          <w:spacing w:val="1"/>
        </w:rPr>
        <w:t xml:space="preserve"> </w:t>
      </w:r>
      <w:r>
        <w:t>tocilizumab</w:t>
      </w:r>
    </w:p>
    <w:p w14:paraId="1453C655" w14:textId="77777777" w:rsidR="006C34D9" w:rsidRDefault="00CB5041">
      <w:pPr>
        <w:pStyle w:val="BodyText"/>
        <w:ind w:right="659"/>
        <w:jc w:val="both"/>
      </w:pPr>
      <w:r>
        <w:t>Actemra 400 mg/ 20mL concentrate solution for intravenous infusion vial contains 400mg</w:t>
      </w:r>
      <w:r>
        <w:rPr>
          <w:spacing w:val="1"/>
        </w:rPr>
        <w:t xml:space="preserve"> </w:t>
      </w:r>
      <w:r>
        <w:t>tocilizumab</w:t>
      </w:r>
    </w:p>
    <w:p w14:paraId="6CEC5F1A" w14:textId="77777777" w:rsidR="006C34D9" w:rsidRDefault="00CB5041">
      <w:pPr>
        <w:pStyle w:val="BodyText"/>
        <w:spacing w:before="23" w:line="552" w:lineRule="exact"/>
        <w:ind w:right="659"/>
        <w:jc w:val="both"/>
      </w:pPr>
      <w:r>
        <w:rPr>
          <w:spacing w:val="-1"/>
        </w:rPr>
        <w:t>Actemra</w:t>
      </w:r>
      <w:r>
        <w:rPr>
          <w:spacing w:val="-15"/>
        </w:rPr>
        <w:t xml:space="preserve"> </w:t>
      </w:r>
      <w:r>
        <w:rPr>
          <w:spacing w:val="-1"/>
        </w:rPr>
        <w:t>162</w:t>
      </w:r>
      <w:r>
        <w:rPr>
          <w:spacing w:val="-14"/>
        </w:rPr>
        <w:t xml:space="preserve"> </w:t>
      </w:r>
      <w:r>
        <w:rPr>
          <w:spacing w:val="-1"/>
        </w:rPr>
        <w:t>mg/</w:t>
      </w:r>
      <w:r>
        <w:rPr>
          <w:spacing w:val="-13"/>
        </w:rPr>
        <w:t xml:space="preserve"> </w:t>
      </w:r>
      <w:r>
        <w:rPr>
          <w:spacing w:val="-1"/>
        </w:rPr>
        <w:t>0.9</w:t>
      </w:r>
      <w:r>
        <w:rPr>
          <w:spacing w:val="-14"/>
        </w:rPr>
        <w:t xml:space="preserve"> </w:t>
      </w:r>
      <w:r>
        <w:rPr>
          <w:spacing w:val="-1"/>
        </w:rPr>
        <w:t>mL</w:t>
      </w:r>
      <w:r>
        <w:rPr>
          <w:spacing w:val="-15"/>
        </w:rPr>
        <w:t xml:space="preserve"> </w:t>
      </w:r>
      <w:r>
        <w:rPr>
          <w:spacing w:val="-1"/>
        </w:rPr>
        <w:t>solution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subcutaneous</w:t>
      </w:r>
      <w:r>
        <w:rPr>
          <w:spacing w:val="-15"/>
        </w:rPr>
        <w:t xml:space="preserve"> </w:t>
      </w:r>
      <w:r>
        <w:t>(SC)</w:t>
      </w:r>
      <w:r>
        <w:rPr>
          <w:spacing w:val="-13"/>
        </w:rPr>
        <w:t xml:space="preserve"> </w:t>
      </w:r>
      <w:r>
        <w:t>injection</w:t>
      </w:r>
      <w:r>
        <w:rPr>
          <w:spacing w:val="-15"/>
        </w:rPr>
        <w:t xml:space="preserve"> </w:t>
      </w:r>
      <w:r>
        <w:t>contains</w:t>
      </w:r>
      <w:r>
        <w:rPr>
          <w:spacing w:val="-16"/>
        </w:rPr>
        <w:t xml:space="preserve"> </w:t>
      </w:r>
      <w:r>
        <w:t>162</w:t>
      </w:r>
      <w:r>
        <w:rPr>
          <w:spacing w:val="-12"/>
        </w:rPr>
        <w:t xml:space="preserve"> </w:t>
      </w:r>
      <w:r>
        <w:t>mg</w:t>
      </w:r>
      <w:r>
        <w:rPr>
          <w:spacing w:val="-15"/>
        </w:rPr>
        <w:t xml:space="preserve"> </w:t>
      </w:r>
      <w:r>
        <w:t>tocilizumab</w:t>
      </w:r>
      <w:r>
        <w:rPr>
          <w:spacing w:val="-58"/>
        </w:rPr>
        <w:t xml:space="preserve"> </w:t>
      </w:r>
      <w:bookmarkStart w:id="2" w:name="Excipients_with_known_effect"/>
      <w:bookmarkEnd w:id="2"/>
      <w:r>
        <w:t>Actemra</w:t>
      </w:r>
      <w:r>
        <w:rPr>
          <w:spacing w:val="-1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162 mg/ 0.9 mL</w:t>
      </w:r>
      <w:r>
        <w:rPr>
          <w:spacing w:val="-2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162</w:t>
      </w:r>
      <w:r>
        <w:rPr>
          <w:spacing w:val="-1"/>
        </w:rPr>
        <w:t xml:space="preserve"> </w:t>
      </w:r>
      <w:r>
        <w:t>mg tocilizumab.</w:t>
      </w:r>
    </w:p>
    <w:p w14:paraId="43095970" w14:textId="77777777" w:rsidR="006C34D9" w:rsidRDefault="00CB5041">
      <w:pPr>
        <w:pStyle w:val="BodyText"/>
        <w:spacing w:before="142"/>
        <w:jc w:val="both"/>
      </w:pPr>
      <w:r>
        <w:rPr>
          <w:u w:val="single"/>
        </w:rPr>
        <w:t>Excipients</w:t>
      </w:r>
      <w:r>
        <w:rPr>
          <w:spacing w:val="-3"/>
          <w:u w:val="single"/>
        </w:rPr>
        <w:t xml:space="preserve"> </w:t>
      </w:r>
      <w:r>
        <w:rPr>
          <w:u w:val="single"/>
        </w:rPr>
        <w:t>with</w:t>
      </w:r>
      <w:r>
        <w:rPr>
          <w:spacing w:val="-2"/>
          <w:u w:val="single"/>
        </w:rPr>
        <w:t xml:space="preserve"> </w:t>
      </w:r>
      <w:r>
        <w:rPr>
          <w:u w:val="single"/>
        </w:rPr>
        <w:t>known</w:t>
      </w:r>
      <w:r>
        <w:rPr>
          <w:spacing w:val="-1"/>
          <w:u w:val="single"/>
        </w:rPr>
        <w:t xml:space="preserve"> </w:t>
      </w:r>
      <w:r>
        <w:rPr>
          <w:u w:val="single"/>
        </w:rPr>
        <w:t>effect</w:t>
      </w:r>
    </w:p>
    <w:p w14:paraId="58B8F43A" w14:textId="77777777" w:rsidR="006C34D9" w:rsidRDefault="00CB5041">
      <w:pPr>
        <w:pStyle w:val="BodyText"/>
        <w:spacing w:line="448" w:lineRule="auto"/>
        <w:ind w:right="2671"/>
      </w:pPr>
      <w:r>
        <w:t>Actemra concentrated solution for intravenous infusion contains sodium.</w:t>
      </w:r>
      <w:r>
        <w:rPr>
          <w:spacing w:val="-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full</w:t>
      </w:r>
      <w:r>
        <w:rPr>
          <w:spacing w:val="-2"/>
        </w:rPr>
        <w:t xml:space="preserve"> </w:t>
      </w:r>
      <w:r>
        <w:t>list of</w:t>
      </w:r>
      <w:r>
        <w:rPr>
          <w:spacing w:val="-2"/>
        </w:rPr>
        <w:t xml:space="preserve"> </w:t>
      </w:r>
      <w:r>
        <w:t>excipients, see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6.1 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Excipients.</w:t>
      </w:r>
    </w:p>
    <w:p w14:paraId="4A7E4D68" w14:textId="77777777" w:rsidR="006C34D9" w:rsidRDefault="00CB5041">
      <w:pPr>
        <w:pStyle w:val="Heading1"/>
        <w:numPr>
          <w:ilvl w:val="0"/>
          <w:numId w:val="10"/>
        </w:numPr>
        <w:tabs>
          <w:tab w:val="left" w:pos="1020"/>
        </w:tabs>
        <w:spacing w:before="2" w:line="240" w:lineRule="auto"/>
      </w:pPr>
      <w:bookmarkStart w:id="3" w:name="3._PHARMACEUTICAL_FORM"/>
      <w:bookmarkEnd w:id="3"/>
      <w:r>
        <w:t>PHARMACEUTICAL</w:t>
      </w:r>
      <w:r>
        <w:rPr>
          <w:spacing w:val="-12"/>
        </w:rPr>
        <w:t xml:space="preserve"> </w:t>
      </w:r>
      <w:r>
        <w:t>FORM</w:t>
      </w:r>
    </w:p>
    <w:p w14:paraId="6A6C5DAE" w14:textId="77777777" w:rsidR="006C34D9" w:rsidRDefault="00CB5041">
      <w:pPr>
        <w:pStyle w:val="Heading2"/>
        <w:spacing w:before="199"/>
      </w:pPr>
      <w:r>
        <w:t>Concentrated</w:t>
      </w:r>
      <w:r>
        <w:rPr>
          <w:spacing w:val="-4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intravenous</w:t>
      </w:r>
      <w:r>
        <w:rPr>
          <w:spacing w:val="-2"/>
        </w:rPr>
        <w:t xml:space="preserve"> </w:t>
      </w:r>
      <w:r>
        <w:t>infusion</w:t>
      </w:r>
    </w:p>
    <w:p w14:paraId="5A52C050" w14:textId="77777777" w:rsidR="006C34D9" w:rsidRDefault="00CB5041">
      <w:pPr>
        <w:pStyle w:val="BodyText"/>
        <w:spacing w:before="34"/>
        <w:ind w:right="659"/>
        <w:jc w:val="both"/>
      </w:pPr>
      <w:r>
        <w:t>Actemra</w:t>
      </w:r>
      <w:r>
        <w:rPr>
          <w:spacing w:val="-9"/>
        </w:rPr>
        <w:t xml:space="preserve"> </w:t>
      </w:r>
      <w:r>
        <w:t>concentrated</w:t>
      </w:r>
      <w:r>
        <w:rPr>
          <w:spacing w:val="-10"/>
        </w:rPr>
        <w:t xml:space="preserve"> </w:t>
      </w:r>
      <w:r>
        <w:t>solution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intravenous</w:t>
      </w:r>
      <w:r>
        <w:rPr>
          <w:spacing w:val="-9"/>
        </w:rPr>
        <w:t xml:space="preserve"> </w:t>
      </w:r>
      <w:r>
        <w:t>(IV)</w:t>
      </w:r>
      <w:r>
        <w:rPr>
          <w:spacing w:val="-8"/>
        </w:rPr>
        <w:t xml:space="preserve"> </w:t>
      </w:r>
      <w:r>
        <w:t>infusion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opalescent,</w:t>
      </w:r>
      <w:r>
        <w:rPr>
          <w:spacing w:val="-10"/>
        </w:rPr>
        <w:t xml:space="preserve"> </w:t>
      </w:r>
      <w:proofErr w:type="spellStart"/>
      <w:r>
        <w:t>colourless</w:t>
      </w:r>
      <w:proofErr w:type="spellEnd"/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pale yellow</w:t>
      </w:r>
      <w:r>
        <w:rPr>
          <w:spacing w:val="-1"/>
        </w:rPr>
        <w:t xml:space="preserve"> </w:t>
      </w:r>
      <w:r>
        <w:t>sterile solution</w:t>
      </w:r>
    </w:p>
    <w:p w14:paraId="33A8B0AE" w14:textId="77777777" w:rsidR="006C34D9" w:rsidRDefault="00CB5041">
      <w:pPr>
        <w:pStyle w:val="Heading2"/>
        <w:spacing w:before="201"/>
      </w:pPr>
      <w:r>
        <w:t>Solution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subcutaneous</w:t>
      </w:r>
      <w:r>
        <w:rPr>
          <w:spacing w:val="-3"/>
        </w:rPr>
        <w:t xml:space="preserve"> </w:t>
      </w:r>
      <w:r>
        <w:t>injection</w:t>
      </w:r>
    </w:p>
    <w:p w14:paraId="2492DDA3" w14:textId="1766E248" w:rsidR="006C34D9" w:rsidRPr="00CB5041" w:rsidRDefault="00CB5041" w:rsidP="00CB5041">
      <w:pPr>
        <w:pStyle w:val="BodyText"/>
        <w:spacing w:before="35" w:after="130"/>
        <w:ind w:left="658" w:right="658"/>
        <w:jc w:val="both"/>
      </w:pPr>
      <w:r>
        <w:t xml:space="preserve">Actemra solution for subcutaneous (SC) injection is a clear to strongly opalescent, </w:t>
      </w:r>
      <w:proofErr w:type="spellStart"/>
      <w:r>
        <w:t>colourless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slightly yellowish sterile solution</w:t>
      </w:r>
    </w:p>
    <w:p w14:paraId="314D6BDD" w14:textId="77777777" w:rsidR="006C34D9" w:rsidRDefault="00CB5041">
      <w:pPr>
        <w:pStyle w:val="Heading1"/>
        <w:numPr>
          <w:ilvl w:val="0"/>
          <w:numId w:val="10"/>
        </w:numPr>
        <w:tabs>
          <w:tab w:val="left" w:pos="1020"/>
        </w:tabs>
        <w:spacing w:line="240" w:lineRule="auto"/>
      </w:pPr>
      <w:bookmarkStart w:id="4" w:name="4._CLINICAL_PARTICULARS"/>
      <w:bookmarkEnd w:id="4"/>
      <w:r>
        <w:t>CLINICAL</w:t>
      </w:r>
      <w:r>
        <w:rPr>
          <w:spacing w:val="-13"/>
        </w:rPr>
        <w:t xml:space="preserve"> </w:t>
      </w:r>
      <w:r>
        <w:t>PARTICULARS</w:t>
      </w:r>
    </w:p>
    <w:p w14:paraId="022FD93A" w14:textId="3C30AA88" w:rsidR="006C34D9" w:rsidRDefault="00CB5041" w:rsidP="00CB5041">
      <w:pPr>
        <w:pStyle w:val="Heading2"/>
        <w:numPr>
          <w:ilvl w:val="1"/>
          <w:numId w:val="10"/>
        </w:numPr>
        <w:tabs>
          <w:tab w:val="left" w:pos="1418"/>
        </w:tabs>
        <w:spacing w:before="199"/>
        <w:ind w:left="658" w:right="4768" w:firstLine="0"/>
        <w:jc w:val="left"/>
      </w:pPr>
      <w:bookmarkStart w:id="5" w:name="4.1_THERAPEUTIC_INDICATIONS"/>
      <w:bookmarkStart w:id="6" w:name="Rheumatoid_Arthritis_(IV_and_SC_formulat"/>
      <w:bookmarkEnd w:id="5"/>
      <w:bookmarkEnd w:id="6"/>
      <w:r>
        <w:t>THERAPEUTIC INDICATIONS</w:t>
      </w:r>
      <w:r>
        <w:rPr>
          <w:spacing w:val="1"/>
        </w:rPr>
        <w:t xml:space="preserve"> </w:t>
      </w:r>
      <w:r>
        <w:t>Rheumatoid</w:t>
      </w:r>
      <w:r>
        <w:rPr>
          <w:spacing w:val="-4"/>
        </w:rPr>
        <w:t xml:space="preserve"> </w:t>
      </w:r>
      <w:r>
        <w:t>Arthritis</w:t>
      </w:r>
      <w:r>
        <w:rPr>
          <w:spacing w:val="-4"/>
        </w:rPr>
        <w:t xml:space="preserve"> </w:t>
      </w:r>
      <w:r>
        <w:t>(IV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</w:t>
      </w:r>
      <w:r>
        <w:rPr>
          <w:spacing w:val="-2"/>
        </w:rPr>
        <w:t xml:space="preserve"> </w:t>
      </w:r>
      <w:r>
        <w:t>formulations)</w:t>
      </w:r>
    </w:p>
    <w:p w14:paraId="00AD34AE" w14:textId="77777777" w:rsidR="006C34D9" w:rsidRDefault="00CB5041">
      <w:pPr>
        <w:pStyle w:val="BodyText"/>
        <w:spacing w:before="34"/>
        <w:ind w:right="657"/>
        <w:jc w:val="both"/>
      </w:pPr>
      <w:r>
        <w:t>Actemra is indicated for the treatment of moderate to severe active rheumatoid arthritis (RA)</w:t>
      </w:r>
      <w:r>
        <w:rPr>
          <w:spacing w:val="1"/>
        </w:rPr>
        <w:t xml:space="preserve"> </w:t>
      </w:r>
      <w:r>
        <w:t>in adult patients in combination with methotrexate (MTX) or other non-biological disease-</w:t>
      </w:r>
      <w:r>
        <w:rPr>
          <w:spacing w:val="1"/>
        </w:rPr>
        <w:t xml:space="preserve"> </w:t>
      </w:r>
      <w:r>
        <w:t>modifying anti-rheumatic drugs (DMARDs)</w:t>
      </w:r>
      <w:r>
        <w:rPr>
          <w:spacing w:val="1"/>
        </w:rPr>
        <w:t xml:space="preserve"> </w:t>
      </w:r>
      <w:r>
        <w:t>in case of either</w:t>
      </w:r>
      <w:r>
        <w:rPr>
          <w:spacing w:val="1"/>
        </w:rPr>
        <w:t xml:space="preserve"> </w:t>
      </w:r>
      <w:r>
        <w:t>an inadequate response or</w:t>
      </w:r>
      <w:r>
        <w:rPr>
          <w:spacing w:val="1"/>
        </w:rPr>
        <w:t xml:space="preserve"> </w:t>
      </w:r>
      <w:r>
        <w:t>intolerance</w:t>
      </w:r>
      <w:r>
        <w:rPr>
          <w:spacing w:val="-1"/>
        </w:rPr>
        <w:t xml:space="preserve"> </w:t>
      </w:r>
      <w:r>
        <w:t>to previous</w:t>
      </w:r>
      <w:r>
        <w:rPr>
          <w:spacing w:val="-1"/>
        </w:rPr>
        <w:t xml:space="preserve"> </w:t>
      </w:r>
      <w:r>
        <w:t>therapy with</w:t>
      </w:r>
      <w:r>
        <w:rPr>
          <w:spacing w:val="-2"/>
        </w:rPr>
        <w:t xml:space="preserve"> </w:t>
      </w:r>
      <w:r>
        <w:t>one or</w:t>
      </w:r>
      <w:r>
        <w:rPr>
          <w:spacing w:val="-1"/>
        </w:rPr>
        <w:t xml:space="preserve"> </w:t>
      </w:r>
      <w:r>
        <w:t>more DMARDs.</w:t>
      </w:r>
    </w:p>
    <w:p w14:paraId="0FCAA9F1" w14:textId="77777777" w:rsidR="006C34D9" w:rsidRDefault="006C34D9">
      <w:pPr>
        <w:jc w:val="both"/>
        <w:sectPr w:rsidR="006C34D9">
          <w:headerReference w:type="default" r:id="rId8"/>
          <w:footerReference w:type="default" r:id="rId9"/>
          <w:type w:val="continuous"/>
          <w:pgSz w:w="11910" w:h="16840"/>
          <w:pgMar w:top="1400" w:right="780" w:bottom="780" w:left="780" w:header="0" w:footer="592" w:gutter="0"/>
          <w:pgNumType w:start="1"/>
          <w:cols w:space="720"/>
        </w:sectPr>
      </w:pPr>
    </w:p>
    <w:p w14:paraId="59FA9CF6" w14:textId="48B34DB4" w:rsidR="006C34D9" w:rsidRPr="00CB5041" w:rsidRDefault="00CB5041" w:rsidP="00CB5041">
      <w:pPr>
        <w:pStyle w:val="BodyText"/>
        <w:spacing w:before="79" w:after="120"/>
        <w:ind w:left="658" w:right="658"/>
        <w:jc w:val="both"/>
      </w:pPr>
      <w:r>
        <w:lastRenderedPageBreak/>
        <w:t>Actemra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indicated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treatment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moderate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severe</w:t>
      </w:r>
      <w:r>
        <w:rPr>
          <w:spacing w:val="-11"/>
        </w:rPr>
        <w:t xml:space="preserve"> </w:t>
      </w:r>
      <w:r>
        <w:t>active</w:t>
      </w:r>
      <w:r>
        <w:rPr>
          <w:spacing w:val="-12"/>
        </w:rPr>
        <w:t xml:space="preserve"> </w:t>
      </w:r>
      <w:r>
        <w:t>rheumatoid</w:t>
      </w:r>
      <w:r>
        <w:rPr>
          <w:spacing w:val="-12"/>
        </w:rPr>
        <w:t xml:space="preserve"> </w:t>
      </w:r>
      <w:r>
        <w:t>arthritis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adult</w:t>
      </w:r>
      <w:r>
        <w:rPr>
          <w:spacing w:val="-57"/>
        </w:rPr>
        <w:t xml:space="preserve"> </w:t>
      </w:r>
      <w:r>
        <w:t>patients with poor prognostic factors (see section 5.1 Pharmacodynamic Properties, Clinical</w:t>
      </w:r>
      <w:r>
        <w:rPr>
          <w:spacing w:val="1"/>
        </w:rPr>
        <w:t xml:space="preserve"> </w:t>
      </w:r>
      <w:r>
        <w:t>Trials)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combination</w:t>
      </w:r>
      <w:r>
        <w:rPr>
          <w:spacing w:val="-1"/>
        </w:rPr>
        <w:t xml:space="preserve"> </w:t>
      </w:r>
      <w:r>
        <w:t>with MTX</w:t>
      </w:r>
      <w:r>
        <w:rPr>
          <w:spacing w:val="-2"/>
        </w:rPr>
        <w:t xml:space="preserve"> </w:t>
      </w:r>
      <w:r>
        <w:t>in those</w:t>
      </w:r>
      <w:r>
        <w:rPr>
          <w:spacing w:val="-1"/>
        </w:rPr>
        <w:t xml:space="preserve"> </w:t>
      </w:r>
      <w:r>
        <w:t>not previously treated</w:t>
      </w:r>
      <w:r>
        <w:rPr>
          <w:spacing w:val="-1"/>
        </w:rPr>
        <w:t xml:space="preserve"> </w:t>
      </w:r>
      <w:r>
        <w:t>with MTX.</w:t>
      </w:r>
    </w:p>
    <w:p w14:paraId="6F2A184C" w14:textId="1F53D485" w:rsidR="006C34D9" w:rsidRPr="00CB5041" w:rsidRDefault="00CB5041" w:rsidP="00CB5041">
      <w:pPr>
        <w:pStyle w:val="BodyText"/>
        <w:spacing w:after="120"/>
        <w:ind w:left="658" w:right="658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 groups</w:t>
      </w:r>
      <w:r>
        <w:rPr>
          <w:spacing w:val="1"/>
        </w:rPr>
        <w:t xml:space="preserve"> </w:t>
      </w:r>
      <w:r>
        <w:t>of patients above,</w:t>
      </w:r>
      <w:r>
        <w:rPr>
          <w:spacing w:val="1"/>
        </w:rPr>
        <w:t xml:space="preserve"> </w:t>
      </w:r>
      <w:r>
        <w:t>Actemra can</w:t>
      </w:r>
      <w:r>
        <w:rPr>
          <w:spacing w:val="1"/>
        </w:rPr>
        <w:t xml:space="preserve"> </w:t>
      </w:r>
      <w:r>
        <w:t>be given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monotherapy in 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intolerance</w:t>
      </w:r>
      <w:r>
        <w:rPr>
          <w:spacing w:val="-1"/>
        </w:rPr>
        <w:t xml:space="preserve"> </w:t>
      </w:r>
      <w:r>
        <w:t>to MTX</w:t>
      </w:r>
      <w:r>
        <w:rPr>
          <w:spacing w:val="-2"/>
        </w:rPr>
        <w:t xml:space="preserve"> </w:t>
      </w:r>
      <w:r>
        <w:t>or where</w:t>
      </w:r>
      <w:r>
        <w:rPr>
          <w:spacing w:val="-1"/>
        </w:rPr>
        <w:t xml:space="preserve"> </w:t>
      </w:r>
      <w:r>
        <w:t>continued treatment</w:t>
      </w:r>
      <w:r>
        <w:rPr>
          <w:spacing w:val="-1"/>
        </w:rPr>
        <w:t xml:space="preserve"> </w:t>
      </w:r>
      <w:r>
        <w:t>with MTX</w:t>
      </w:r>
      <w:r>
        <w:rPr>
          <w:spacing w:val="-2"/>
        </w:rPr>
        <w:t xml:space="preserve"> </w:t>
      </w:r>
      <w:r>
        <w:t>is inappropriate.</w:t>
      </w:r>
    </w:p>
    <w:p w14:paraId="3CF31E36" w14:textId="77777777" w:rsidR="006C34D9" w:rsidRDefault="00CB5041">
      <w:pPr>
        <w:pStyle w:val="BodyText"/>
        <w:ind w:left="659" w:right="659"/>
        <w:jc w:val="both"/>
      </w:pPr>
      <w:r>
        <w:t>Actemra has been shown to inhibit the progression of joint damage in adults, as measured by</w:t>
      </w:r>
      <w:r>
        <w:rPr>
          <w:spacing w:val="1"/>
        </w:rPr>
        <w:t xml:space="preserve"> </w:t>
      </w:r>
      <w:r>
        <w:t>X-ray,</w:t>
      </w:r>
      <w:r>
        <w:rPr>
          <w:spacing w:val="-1"/>
        </w:rPr>
        <w:t xml:space="preserve"> </w:t>
      </w:r>
      <w:r>
        <w:t>when given in combination with methotrexate.</w:t>
      </w:r>
    </w:p>
    <w:p w14:paraId="55DAC82B" w14:textId="77777777" w:rsidR="006C34D9" w:rsidRDefault="00CB5041">
      <w:pPr>
        <w:pStyle w:val="Heading2"/>
        <w:spacing w:before="202"/>
        <w:ind w:left="659"/>
      </w:pPr>
      <w:bookmarkStart w:id="8" w:name="Giant_Cell_Arteritis_(SC_formulations_on"/>
      <w:bookmarkEnd w:id="8"/>
      <w:r>
        <w:t>Giant</w:t>
      </w:r>
      <w:r>
        <w:rPr>
          <w:spacing w:val="-3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Arteritis</w:t>
      </w:r>
      <w:r>
        <w:rPr>
          <w:spacing w:val="-3"/>
        </w:rPr>
        <w:t xml:space="preserve"> </w:t>
      </w:r>
      <w:r>
        <w:t>(SC</w:t>
      </w:r>
      <w:r>
        <w:rPr>
          <w:spacing w:val="-3"/>
        </w:rPr>
        <w:t xml:space="preserve"> </w:t>
      </w:r>
      <w:r>
        <w:t>formulations</w:t>
      </w:r>
      <w:r>
        <w:rPr>
          <w:spacing w:val="-2"/>
        </w:rPr>
        <w:t xml:space="preserve"> </w:t>
      </w:r>
      <w:r>
        <w:t>only)</w:t>
      </w:r>
    </w:p>
    <w:p w14:paraId="453E0F8F" w14:textId="77777777" w:rsidR="006C34D9" w:rsidRDefault="00CB5041">
      <w:pPr>
        <w:pStyle w:val="BodyText"/>
        <w:spacing w:before="34"/>
        <w:jc w:val="both"/>
      </w:pPr>
      <w:r>
        <w:t>Actemra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giant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arteritis</w:t>
      </w:r>
      <w:r>
        <w:rPr>
          <w:spacing w:val="-2"/>
        </w:rPr>
        <w:t xml:space="preserve"> </w:t>
      </w:r>
      <w:r>
        <w:t>(GCA)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patients.</w:t>
      </w:r>
    </w:p>
    <w:p w14:paraId="78E7B70A" w14:textId="77777777" w:rsidR="006C34D9" w:rsidRDefault="00CB5041">
      <w:pPr>
        <w:pStyle w:val="Heading2"/>
        <w:spacing w:before="201"/>
      </w:pPr>
      <w:bookmarkStart w:id="9" w:name="Coronavirus_disease_2019_(COVID-19)_(IV_"/>
      <w:bookmarkEnd w:id="9"/>
      <w:r>
        <w:t>Coronavirus</w:t>
      </w:r>
      <w:r>
        <w:rPr>
          <w:spacing w:val="-3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(COVID-19)</w:t>
      </w:r>
      <w:r>
        <w:rPr>
          <w:spacing w:val="-3"/>
        </w:rPr>
        <w:t xml:space="preserve"> </w:t>
      </w:r>
      <w:r>
        <w:t>(IV</w:t>
      </w:r>
      <w:r>
        <w:rPr>
          <w:spacing w:val="-3"/>
        </w:rPr>
        <w:t xml:space="preserve"> </w:t>
      </w:r>
      <w:r>
        <w:t>formulation</w:t>
      </w:r>
      <w:r>
        <w:rPr>
          <w:spacing w:val="-4"/>
        </w:rPr>
        <w:t xml:space="preserve"> </w:t>
      </w:r>
      <w:r>
        <w:t>only)</w:t>
      </w:r>
    </w:p>
    <w:p w14:paraId="1DA2A8F2" w14:textId="2B9742F6" w:rsidR="006C34D9" w:rsidRPr="00CB5041" w:rsidRDefault="00CB5041" w:rsidP="00CB5041">
      <w:pPr>
        <w:pStyle w:val="BodyText"/>
        <w:spacing w:before="35" w:after="120"/>
        <w:ind w:left="658" w:right="658"/>
        <w:jc w:val="both"/>
      </w:pPr>
      <w:r>
        <w:t>Actemra</w:t>
      </w:r>
      <w:r>
        <w:rPr>
          <w:spacing w:val="-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rPr>
          <w:b/>
        </w:rPr>
        <w:t>provisional</w:t>
      </w:r>
      <w:r>
        <w:rPr>
          <w:b/>
          <w:spacing w:val="-9"/>
        </w:rPr>
        <w:t xml:space="preserve"> </w:t>
      </w:r>
      <w:r>
        <w:rPr>
          <w:b/>
        </w:rPr>
        <w:t>approval</w:t>
      </w:r>
      <w:r>
        <w:rPr>
          <w:b/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coronavirus</w:t>
      </w:r>
      <w:r>
        <w:rPr>
          <w:spacing w:val="-8"/>
        </w:rPr>
        <w:t xml:space="preserve"> </w:t>
      </w:r>
      <w:r>
        <w:t>disease</w:t>
      </w:r>
      <w:r>
        <w:rPr>
          <w:spacing w:val="-9"/>
        </w:rPr>
        <w:t xml:space="preserve"> </w:t>
      </w:r>
      <w:r>
        <w:t>2019</w:t>
      </w:r>
      <w:r>
        <w:rPr>
          <w:spacing w:val="-9"/>
        </w:rPr>
        <w:t xml:space="preserve"> </w:t>
      </w:r>
      <w:r>
        <w:t>(COVID-19)</w:t>
      </w:r>
      <w:r>
        <w:rPr>
          <w:spacing w:val="-57"/>
        </w:rPr>
        <w:t xml:space="preserve"> </w:t>
      </w:r>
      <w:r>
        <w:t xml:space="preserve">in </w:t>
      </w:r>
      <w:proofErr w:type="spellStart"/>
      <w:r>
        <w:t>hospitalised</w:t>
      </w:r>
      <w:proofErr w:type="spellEnd"/>
      <w:r>
        <w:t xml:space="preserve"> adults who are receiving systemic corticosteroids and require supplemental</w:t>
      </w:r>
      <w:r>
        <w:rPr>
          <w:spacing w:val="1"/>
        </w:rPr>
        <w:t xml:space="preserve"> </w:t>
      </w:r>
      <w:r>
        <w:t>oxygen</w:t>
      </w:r>
      <w:r>
        <w:rPr>
          <w:spacing w:val="-1"/>
        </w:rPr>
        <w:t xml:space="preserve"> </w:t>
      </w:r>
      <w:r>
        <w:t>or mechanical ventilation.</w:t>
      </w:r>
    </w:p>
    <w:p w14:paraId="0438077C" w14:textId="77777777" w:rsidR="006C34D9" w:rsidRDefault="00CB5041">
      <w:pPr>
        <w:pStyle w:val="BodyText"/>
        <w:spacing w:before="1"/>
        <w:ind w:right="656"/>
        <w:jc w:val="both"/>
      </w:pPr>
      <w:r>
        <w:t xml:space="preserve">Provisional approval has been made </w:t>
      </w:r>
      <w:proofErr w:type="gramStart"/>
      <w:r>
        <w:t>on the basis of</w:t>
      </w:r>
      <w:proofErr w:type="gramEnd"/>
      <w:r>
        <w:t xml:space="preserve"> short-term efficacy and safety data.</w:t>
      </w:r>
      <w:r>
        <w:rPr>
          <w:spacing w:val="1"/>
        </w:rPr>
        <w:t xml:space="preserve"> </w:t>
      </w:r>
      <w:r>
        <w:t>Continued approval depends on the evidence of longer-term efficacy and safety from ongoing</w:t>
      </w:r>
      <w:r>
        <w:rPr>
          <w:spacing w:val="-57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trials and post-market</w:t>
      </w:r>
      <w:r>
        <w:rPr>
          <w:spacing w:val="-1"/>
        </w:rPr>
        <w:t xml:space="preserve"> </w:t>
      </w:r>
      <w:r>
        <w:t>assessment.</w:t>
      </w:r>
    </w:p>
    <w:p w14:paraId="7483E308" w14:textId="77777777" w:rsidR="006C34D9" w:rsidRDefault="00CB5041">
      <w:pPr>
        <w:pStyle w:val="Heading2"/>
        <w:spacing w:before="201"/>
      </w:pPr>
      <w:r>
        <w:t>Polyarticular</w:t>
      </w:r>
      <w:r>
        <w:rPr>
          <w:spacing w:val="-3"/>
        </w:rPr>
        <w:t xml:space="preserve"> </w:t>
      </w:r>
      <w:r>
        <w:t>Juvenile</w:t>
      </w:r>
      <w:r>
        <w:rPr>
          <w:spacing w:val="-3"/>
        </w:rPr>
        <w:t xml:space="preserve"> </w:t>
      </w:r>
      <w:r>
        <w:t>Idiopathic</w:t>
      </w:r>
      <w:r>
        <w:rPr>
          <w:spacing w:val="-3"/>
        </w:rPr>
        <w:t xml:space="preserve"> </w:t>
      </w:r>
      <w:r>
        <w:t>Arthritis</w:t>
      </w:r>
      <w:r>
        <w:rPr>
          <w:spacing w:val="-2"/>
        </w:rPr>
        <w:t xml:space="preserve"> </w:t>
      </w:r>
      <w:r>
        <w:t>(IV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</w:t>
      </w:r>
      <w:r>
        <w:rPr>
          <w:spacing w:val="-3"/>
        </w:rPr>
        <w:t xml:space="preserve"> </w:t>
      </w:r>
      <w:r>
        <w:t>formulations)</w:t>
      </w:r>
    </w:p>
    <w:p w14:paraId="02A99296" w14:textId="77777777" w:rsidR="006C34D9" w:rsidRDefault="00CB5041">
      <w:pPr>
        <w:pStyle w:val="BodyText"/>
        <w:spacing w:before="35"/>
        <w:ind w:right="657"/>
        <w:jc w:val="both"/>
      </w:pPr>
      <w:r>
        <w:t>Actemra is indicated for the treatment of moderate to severe active polyarticular juvenile</w:t>
      </w:r>
      <w:r>
        <w:rPr>
          <w:spacing w:val="1"/>
        </w:rPr>
        <w:t xml:space="preserve"> </w:t>
      </w:r>
      <w:r>
        <w:t>idiopathic</w:t>
      </w:r>
      <w:r>
        <w:rPr>
          <w:spacing w:val="-7"/>
        </w:rPr>
        <w:t xml:space="preserve"> </w:t>
      </w:r>
      <w:r>
        <w:t>arthritis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older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inadequate</w:t>
      </w:r>
      <w:r>
        <w:rPr>
          <w:spacing w:val="-7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or intolerance to methotrexate (MTX). Actemra can be given alone or in combination with</w:t>
      </w:r>
      <w:r>
        <w:rPr>
          <w:spacing w:val="1"/>
        </w:rPr>
        <w:t xml:space="preserve"> </w:t>
      </w:r>
      <w:r>
        <w:t>MTX.</w:t>
      </w:r>
    </w:p>
    <w:p w14:paraId="3E692E87" w14:textId="77777777" w:rsidR="006C34D9" w:rsidRDefault="00CB5041">
      <w:pPr>
        <w:pStyle w:val="Heading2"/>
        <w:spacing w:before="202"/>
        <w:jc w:val="left"/>
      </w:pPr>
      <w:r>
        <w:t>Systemic</w:t>
      </w:r>
      <w:r>
        <w:rPr>
          <w:spacing w:val="-3"/>
        </w:rPr>
        <w:t xml:space="preserve"> </w:t>
      </w:r>
      <w:r>
        <w:t>Juvenile</w:t>
      </w:r>
      <w:r>
        <w:rPr>
          <w:spacing w:val="-2"/>
        </w:rPr>
        <w:t xml:space="preserve"> </w:t>
      </w:r>
      <w:r>
        <w:t>Idiopathic</w:t>
      </w:r>
      <w:r>
        <w:rPr>
          <w:spacing w:val="-3"/>
        </w:rPr>
        <w:t xml:space="preserve"> </w:t>
      </w:r>
      <w:r>
        <w:t>Arthritis</w:t>
      </w:r>
      <w:r>
        <w:rPr>
          <w:spacing w:val="-3"/>
        </w:rPr>
        <w:t xml:space="preserve"> </w:t>
      </w:r>
      <w:r>
        <w:t>(IV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</w:t>
      </w:r>
      <w:r>
        <w:rPr>
          <w:spacing w:val="-3"/>
        </w:rPr>
        <w:t xml:space="preserve"> </w:t>
      </w:r>
      <w:r>
        <w:t>formulations)</w:t>
      </w:r>
    </w:p>
    <w:p w14:paraId="642AC710" w14:textId="77777777" w:rsidR="006C34D9" w:rsidRDefault="00CB5041">
      <w:pPr>
        <w:pStyle w:val="BodyText"/>
        <w:spacing w:before="33"/>
      </w:pPr>
      <w:r>
        <w:rPr>
          <w:u w:val="single"/>
        </w:rPr>
        <w:t>Intravenous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formulation</w:t>
      </w:r>
    </w:p>
    <w:p w14:paraId="67401231" w14:textId="01BAEDAC" w:rsidR="006C34D9" w:rsidRPr="00CB5041" w:rsidRDefault="00CB5041" w:rsidP="00CB5041">
      <w:pPr>
        <w:pStyle w:val="BodyText"/>
        <w:spacing w:after="120"/>
        <w:ind w:left="658" w:right="595"/>
      </w:pPr>
      <w:r>
        <w:t>Actemra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indicated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treatment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active</w:t>
      </w:r>
      <w:r>
        <w:rPr>
          <w:spacing w:val="-12"/>
        </w:rPr>
        <w:t xml:space="preserve"> </w:t>
      </w:r>
      <w:r>
        <w:t>systemic</w:t>
      </w:r>
      <w:r>
        <w:rPr>
          <w:spacing w:val="-12"/>
        </w:rPr>
        <w:t xml:space="preserve"> </w:t>
      </w:r>
      <w:r>
        <w:t>juvenile</w:t>
      </w:r>
      <w:r>
        <w:rPr>
          <w:spacing w:val="-13"/>
        </w:rPr>
        <w:t xml:space="preserve"> </w:t>
      </w:r>
      <w:r>
        <w:t>idiopathic</w:t>
      </w:r>
      <w:r>
        <w:rPr>
          <w:spacing w:val="-11"/>
        </w:rPr>
        <w:t xml:space="preserve"> </w:t>
      </w:r>
      <w:r>
        <w:t>arthritis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patients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years of</w:t>
      </w:r>
      <w:r>
        <w:rPr>
          <w:spacing w:val="-1"/>
        </w:rPr>
        <w:t xml:space="preserve"> </w:t>
      </w:r>
      <w:r>
        <w:t>age and older.</w:t>
      </w:r>
    </w:p>
    <w:p w14:paraId="2006C41C" w14:textId="77777777" w:rsidR="006C34D9" w:rsidRDefault="00CB5041">
      <w:pPr>
        <w:pStyle w:val="BodyText"/>
      </w:pPr>
      <w:r>
        <w:rPr>
          <w:u w:val="single"/>
        </w:rPr>
        <w:t>Subcutaneous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formulation</w:t>
      </w:r>
    </w:p>
    <w:p w14:paraId="5416B249" w14:textId="13BD4468" w:rsidR="006C34D9" w:rsidRPr="00CB5041" w:rsidRDefault="00CB5041" w:rsidP="00CB5041">
      <w:pPr>
        <w:pStyle w:val="BodyText"/>
        <w:spacing w:after="120"/>
        <w:ind w:left="658" w:right="595"/>
      </w:pPr>
      <w:r>
        <w:t>Actemra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indicated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treatment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active</w:t>
      </w:r>
      <w:r>
        <w:rPr>
          <w:spacing w:val="-12"/>
        </w:rPr>
        <w:t xml:space="preserve"> </w:t>
      </w:r>
      <w:r>
        <w:t>systemic</w:t>
      </w:r>
      <w:r>
        <w:rPr>
          <w:spacing w:val="-12"/>
        </w:rPr>
        <w:t xml:space="preserve"> </w:t>
      </w:r>
      <w:r>
        <w:t>juvenile</w:t>
      </w:r>
      <w:r>
        <w:rPr>
          <w:spacing w:val="-13"/>
        </w:rPr>
        <w:t xml:space="preserve"> </w:t>
      </w:r>
      <w:r>
        <w:t>idiopathic</w:t>
      </w:r>
      <w:r>
        <w:rPr>
          <w:spacing w:val="-11"/>
        </w:rPr>
        <w:t xml:space="preserve"> </w:t>
      </w:r>
      <w:r>
        <w:t>arthritis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patients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year of</w:t>
      </w:r>
      <w:r>
        <w:rPr>
          <w:spacing w:val="-1"/>
        </w:rPr>
        <w:t xml:space="preserve"> </w:t>
      </w:r>
      <w:r>
        <w:t>age and older.</w:t>
      </w:r>
    </w:p>
    <w:p w14:paraId="0ED18C4A" w14:textId="33135B46" w:rsidR="006C34D9" w:rsidRPr="00CB5041" w:rsidRDefault="00CB5041" w:rsidP="00CB5041">
      <w:pPr>
        <w:pStyle w:val="BodyText"/>
        <w:spacing w:after="120"/>
        <w:ind w:left="658"/>
      </w:pPr>
      <w:r>
        <w:t>Actemra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alone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combination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methotrexate</w:t>
      </w:r>
      <w:r>
        <w:rPr>
          <w:spacing w:val="-1"/>
        </w:rPr>
        <w:t xml:space="preserve"> </w:t>
      </w:r>
      <w:r>
        <w:t>(MTX).</w:t>
      </w:r>
    </w:p>
    <w:p w14:paraId="17FFA443" w14:textId="77777777" w:rsidR="006C34D9" w:rsidRDefault="00CB5041">
      <w:pPr>
        <w:pStyle w:val="Heading2"/>
        <w:spacing w:line="275" w:lineRule="exact"/>
        <w:ind w:left="659"/>
      </w:pPr>
      <w:r>
        <w:t>Cytokine</w:t>
      </w:r>
      <w:r>
        <w:rPr>
          <w:spacing w:val="-3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Syndrome</w:t>
      </w:r>
      <w:r>
        <w:rPr>
          <w:spacing w:val="-3"/>
        </w:rPr>
        <w:t xml:space="preserve"> </w:t>
      </w:r>
      <w:r>
        <w:t>(CRS)</w:t>
      </w:r>
      <w:r>
        <w:rPr>
          <w:spacing w:val="-2"/>
        </w:rPr>
        <w:t xml:space="preserve"> </w:t>
      </w:r>
      <w:r>
        <w:t>(IV</w:t>
      </w:r>
      <w:r>
        <w:rPr>
          <w:spacing w:val="-4"/>
        </w:rPr>
        <w:t xml:space="preserve"> </w:t>
      </w:r>
      <w:r>
        <w:t>formulation</w:t>
      </w:r>
      <w:r>
        <w:rPr>
          <w:spacing w:val="-3"/>
        </w:rPr>
        <w:t xml:space="preserve"> </w:t>
      </w:r>
      <w:r>
        <w:t>only)</w:t>
      </w:r>
    </w:p>
    <w:p w14:paraId="454D6CB7" w14:textId="77777777" w:rsidR="006C34D9" w:rsidRDefault="00CB5041">
      <w:pPr>
        <w:pStyle w:val="BodyText"/>
        <w:ind w:left="659" w:right="658"/>
        <w:jc w:val="both"/>
      </w:pPr>
      <w:r>
        <w:t>Actemra is indicated for the treatment of chimeric antigen receptor (CAR) T cell-induced</w:t>
      </w:r>
      <w:r>
        <w:rPr>
          <w:spacing w:val="1"/>
        </w:rPr>
        <w:t xml:space="preserve"> </w:t>
      </w:r>
      <w:r>
        <w:t xml:space="preserve">severe or life-threatening cytokine release syndrome (CRS) in adults and </w:t>
      </w:r>
      <w:proofErr w:type="spellStart"/>
      <w:r>
        <w:t>paediatric</w:t>
      </w:r>
      <w:proofErr w:type="spellEnd"/>
      <w:r>
        <w:t xml:space="preserve"> patients 2</w:t>
      </w:r>
      <w:r>
        <w:rPr>
          <w:spacing w:val="-57"/>
        </w:rPr>
        <w:t xml:space="preserve"> </w:t>
      </w:r>
      <w:bookmarkStart w:id="10" w:name="4.2_DOSE_AND_METHOD_OF_ADMINISTRATION"/>
      <w:bookmarkEnd w:id="10"/>
      <w:r>
        <w:t>years of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and older.</w:t>
      </w:r>
    </w:p>
    <w:p w14:paraId="4650822B" w14:textId="77777777" w:rsidR="006C34D9" w:rsidRDefault="00CB5041">
      <w:pPr>
        <w:pStyle w:val="Heading2"/>
        <w:numPr>
          <w:ilvl w:val="1"/>
          <w:numId w:val="10"/>
        </w:numPr>
        <w:tabs>
          <w:tab w:val="left" w:pos="1380"/>
        </w:tabs>
        <w:spacing w:before="201"/>
        <w:ind w:left="659" w:right="3937" w:firstLine="0"/>
      </w:pPr>
      <w:bookmarkStart w:id="11" w:name="Dose"/>
      <w:bookmarkEnd w:id="11"/>
      <w:r>
        <w:t>DOSE AND METHOD OF ADMINISTRATION</w:t>
      </w:r>
      <w:r>
        <w:rPr>
          <w:spacing w:val="-57"/>
        </w:rPr>
        <w:t xml:space="preserve"> </w:t>
      </w:r>
      <w:r>
        <w:t>Dose</w:t>
      </w:r>
    </w:p>
    <w:p w14:paraId="199E95B9" w14:textId="77777777" w:rsidR="006C34D9" w:rsidRDefault="00CB5041">
      <w:pPr>
        <w:pStyle w:val="BodyText"/>
        <w:spacing w:before="34"/>
        <w:ind w:left="659" w:right="658"/>
        <w:jc w:val="both"/>
      </w:pPr>
      <w:r>
        <w:t>Treatment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initiated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healthcare</w:t>
      </w:r>
      <w:r>
        <w:rPr>
          <w:spacing w:val="-10"/>
        </w:rPr>
        <w:t xml:space="preserve"> </w:t>
      </w:r>
      <w:r>
        <w:t>professionals</w:t>
      </w:r>
      <w:r>
        <w:rPr>
          <w:spacing w:val="-11"/>
        </w:rPr>
        <w:t xml:space="preserve"> </w:t>
      </w:r>
      <w:r>
        <w:t>experienced</w:t>
      </w:r>
      <w:r>
        <w:rPr>
          <w:spacing w:val="-10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diagnosis</w:t>
      </w:r>
      <w:r>
        <w:rPr>
          <w:spacing w:val="-57"/>
        </w:rPr>
        <w:t xml:space="preserve"> </w:t>
      </w:r>
      <w:r>
        <w:t xml:space="preserve">and treatment of RA, GCA, </w:t>
      </w:r>
      <w:proofErr w:type="spellStart"/>
      <w:r>
        <w:t>pJIA</w:t>
      </w:r>
      <w:proofErr w:type="spellEnd"/>
      <w:r>
        <w:t xml:space="preserve">, </w:t>
      </w:r>
      <w:proofErr w:type="spellStart"/>
      <w:r>
        <w:t>sJIA</w:t>
      </w:r>
      <w:proofErr w:type="spellEnd"/>
      <w:r>
        <w:t xml:space="preserve"> or CRS but also in the use of biological therapies for</w:t>
      </w:r>
      <w:r>
        <w:rPr>
          <w:spacing w:val="1"/>
        </w:rPr>
        <w:t xml:space="preserve"> </w:t>
      </w:r>
      <w:r>
        <w:t xml:space="preserve">these conditions. For </w:t>
      </w:r>
      <w:proofErr w:type="spellStart"/>
      <w:r>
        <w:t>pJIA</w:t>
      </w:r>
      <w:proofErr w:type="spellEnd"/>
      <w:r>
        <w:t xml:space="preserve"> and </w:t>
      </w:r>
      <w:proofErr w:type="spellStart"/>
      <w:r>
        <w:t>sJIA</w:t>
      </w:r>
      <w:proofErr w:type="spellEnd"/>
      <w:r>
        <w:t xml:space="preserve"> treatment should be prescribed by medical practitioners</w:t>
      </w:r>
      <w:r>
        <w:rPr>
          <w:spacing w:val="1"/>
        </w:rPr>
        <w:t xml:space="preserve"> </w:t>
      </w:r>
      <w:r>
        <w:t>experienced</w:t>
      </w:r>
      <w:r>
        <w:rPr>
          <w:spacing w:val="-3"/>
        </w:rPr>
        <w:t xml:space="preserve"> </w:t>
      </w:r>
      <w:r>
        <w:t>in the management of</w:t>
      </w:r>
      <w:r>
        <w:rPr>
          <w:spacing w:val="-1"/>
        </w:rPr>
        <w:t xml:space="preserve"> </w:t>
      </w:r>
      <w:r>
        <w:t>these conditions.</w:t>
      </w:r>
    </w:p>
    <w:p w14:paraId="73E29579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568D36CC" w14:textId="77777777" w:rsidR="006C34D9" w:rsidRDefault="00CB5041">
      <w:pPr>
        <w:pStyle w:val="BodyText"/>
        <w:spacing w:before="79"/>
        <w:ind w:right="596"/>
      </w:pPr>
      <w:r>
        <w:lastRenderedPageBreak/>
        <w:t>For adult</w:t>
      </w:r>
      <w:r>
        <w:rPr>
          <w:spacing w:val="1"/>
        </w:rPr>
        <w:t xml:space="preserve"> </w:t>
      </w:r>
      <w:r>
        <w:t>patients with RA</w:t>
      </w:r>
      <w:r>
        <w:rPr>
          <w:spacing w:val="1"/>
        </w:rPr>
        <w:t xml:space="preserve"> </w:t>
      </w:r>
      <w:r>
        <w:t>and children</w:t>
      </w:r>
      <w:r>
        <w:rPr>
          <w:spacing w:val="1"/>
        </w:rPr>
        <w:t xml:space="preserve"> </w:t>
      </w:r>
      <w:r>
        <w:t xml:space="preserve">with </w:t>
      </w:r>
      <w:proofErr w:type="spellStart"/>
      <w:r>
        <w:t>pJIA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sJIA</w:t>
      </w:r>
      <w:proofErr w:type="spellEnd"/>
      <w:r>
        <w:t>, Actemra</w:t>
      </w:r>
      <w:r>
        <w:rPr>
          <w:spacing w:val="1"/>
        </w:rPr>
        <w:t xml:space="preserve"> </w:t>
      </w:r>
      <w:r>
        <w:t>may be administered as</w:t>
      </w:r>
      <w:r>
        <w:rPr>
          <w:spacing w:val="-5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infusion or a SC</w:t>
      </w:r>
      <w:r>
        <w:rPr>
          <w:spacing w:val="-1"/>
        </w:rPr>
        <w:t xml:space="preserve"> </w:t>
      </w:r>
      <w:r>
        <w:t>injection.</w:t>
      </w:r>
    </w:p>
    <w:p w14:paraId="027C030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A8E0CD8" w14:textId="77777777" w:rsidR="006C34D9" w:rsidRDefault="00CB5041">
      <w:pPr>
        <w:pStyle w:val="BodyText"/>
      </w:pPr>
      <w:r>
        <w:t>For</w:t>
      </w:r>
      <w:r>
        <w:rPr>
          <w:spacing w:val="-2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GCA,</w:t>
      </w:r>
      <w:r>
        <w:rPr>
          <w:spacing w:val="-2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administered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</w:t>
      </w:r>
      <w:r>
        <w:rPr>
          <w:spacing w:val="-2"/>
        </w:rPr>
        <w:t xml:space="preserve"> </w:t>
      </w:r>
      <w:r>
        <w:t>injection.</w:t>
      </w:r>
    </w:p>
    <w:p w14:paraId="668FB5BA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23B89B2" w14:textId="77777777" w:rsidR="006C34D9" w:rsidRDefault="00CB5041">
      <w:pPr>
        <w:pStyle w:val="BodyText"/>
      </w:pPr>
      <w:r>
        <w:t>For</w:t>
      </w:r>
      <w:r>
        <w:rPr>
          <w:spacing w:val="-2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COVID-19,</w:t>
      </w:r>
      <w:r>
        <w:rPr>
          <w:spacing w:val="-2"/>
        </w:rPr>
        <w:t xml:space="preserve"> </w:t>
      </w:r>
      <w:r>
        <w:t>Actemra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administered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infusion.</w:t>
      </w:r>
    </w:p>
    <w:p w14:paraId="311E456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15A9002" w14:textId="77777777" w:rsidR="006C34D9" w:rsidRDefault="00CB5041">
      <w:pPr>
        <w:pStyle w:val="BodyText"/>
        <w:spacing w:line="448" w:lineRule="auto"/>
        <w:ind w:right="1345"/>
      </w:pPr>
      <w:r>
        <w:t xml:space="preserve">For </w:t>
      </w:r>
      <w:proofErr w:type="spellStart"/>
      <w:r>
        <w:t>paediatric</w:t>
      </w:r>
      <w:proofErr w:type="spellEnd"/>
      <w:r>
        <w:t xml:space="preserve"> and adult patients with CRS, Actemra is administered as an IV infusion.</w:t>
      </w:r>
      <w:r>
        <w:rPr>
          <w:spacing w:val="-57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formulation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intended for SC</w:t>
      </w:r>
      <w:r>
        <w:rPr>
          <w:spacing w:val="-2"/>
        </w:rPr>
        <w:t xml:space="preserve"> </w:t>
      </w:r>
      <w:r>
        <w:t>administration.</w:t>
      </w:r>
    </w:p>
    <w:p w14:paraId="3A539104" w14:textId="77777777" w:rsidR="006C34D9" w:rsidRDefault="00CB5041">
      <w:pPr>
        <w:pStyle w:val="BodyText"/>
      </w:pPr>
      <w:r>
        <w:t>Actemra</w:t>
      </w:r>
      <w:r>
        <w:rPr>
          <w:spacing w:val="-2"/>
        </w:rPr>
        <w:t xml:space="preserve"> </w:t>
      </w:r>
      <w:r>
        <w:t>SC</w:t>
      </w:r>
      <w:r>
        <w:rPr>
          <w:spacing w:val="-2"/>
        </w:rPr>
        <w:t xml:space="preserve"> </w:t>
      </w:r>
      <w:r>
        <w:t>formulation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administration.</w:t>
      </w:r>
    </w:p>
    <w:p w14:paraId="32EF1CB2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A2CB521" w14:textId="77777777" w:rsidR="006C34D9" w:rsidRDefault="00CB5041">
      <w:pPr>
        <w:pStyle w:val="BodyText"/>
        <w:ind w:left="659" w:right="657"/>
        <w:jc w:val="both"/>
      </w:pP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treatment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proofErr w:type="spellStart"/>
      <w:r>
        <w:t>pJIA</w:t>
      </w:r>
      <w:proofErr w:type="spellEnd"/>
      <w:r>
        <w:rPr>
          <w:spacing w:val="-13"/>
        </w:rPr>
        <w:t xml:space="preserve"> </w:t>
      </w:r>
      <w:proofErr w:type="spellStart"/>
      <w:r>
        <w:t>sJIA</w:t>
      </w:r>
      <w:proofErr w:type="spellEnd"/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CRS</w:t>
      </w:r>
      <w:r>
        <w:rPr>
          <w:spacing w:val="-13"/>
        </w:rPr>
        <w:t xml:space="preserve"> </w:t>
      </w:r>
      <w:r>
        <w:t>Actemra</w:t>
      </w:r>
      <w:r>
        <w:rPr>
          <w:spacing w:val="-12"/>
        </w:rPr>
        <w:t xml:space="preserve"> </w:t>
      </w:r>
      <w:r>
        <w:t>administration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IV</w:t>
      </w:r>
      <w:r>
        <w:rPr>
          <w:spacing w:val="-13"/>
        </w:rPr>
        <w:t xml:space="preserve"> </w:t>
      </w:r>
      <w:r>
        <w:t>infusion</w:t>
      </w:r>
      <w:r>
        <w:rPr>
          <w:spacing w:val="-58"/>
        </w:rPr>
        <w:t xml:space="preserve"> </w:t>
      </w:r>
      <w:r>
        <w:t>should be administered in a hospital setting with immediate access to the necessary medical</w:t>
      </w:r>
      <w:r>
        <w:rPr>
          <w:spacing w:val="1"/>
        </w:rPr>
        <w:t xml:space="preserve"> </w:t>
      </w:r>
      <w:r>
        <w:t>personnel and full resuscitation facilities (see section 4.4 Special Warnings and Precautions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4.8 Adverse</w:t>
      </w:r>
      <w:r>
        <w:rPr>
          <w:spacing w:val="-1"/>
        </w:rPr>
        <w:t xml:space="preserve"> </w:t>
      </w:r>
      <w:r>
        <w:t>Effects (Undesirable Effects)).</w:t>
      </w:r>
    </w:p>
    <w:p w14:paraId="402D6C02" w14:textId="77777777" w:rsidR="006C34D9" w:rsidRDefault="006C34D9">
      <w:pPr>
        <w:pStyle w:val="BodyText"/>
        <w:spacing w:before="1"/>
        <w:ind w:left="0"/>
        <w:rPr>
          <w:sz w:val="21"/>
        </w:rPr>
      </w:pPr>
    </w:p>
    <w:p w14:paraId="29956B55" w14:textId="77777777" w:rsidR="006C34D9" w:rsidRDefault="00CB5041">
      <w:pPr>
        <w:pStyle w:val="Heading2"/>
        <w:spacing w:line="275" w:lineRule="exact"/>
        <w:ind w:left="659"/>
      </w:pPr>
      <w:r>
        <w:t>Subcutaneous</w:t>
      </w:r>
      <w:r>
        <w:rPr>
          <w:spacing w:val="-5"/>
        </w:rPr>
        <w:t xml:space="preserve"> </w:t>
      </w:r>
      <w:r>
        <w:t>Administration</w:t>
      </w:r>
    </w:p>
    <w:p w14:paraId="64437737" w14:textId="77777777" w:rsidR="006C34D9" w:rsidRDefault="00CB5041">
      <w:pPr>
        <w:pStyle w:val="BodyText"/>
        <w:ind w:left="659" w:right="658"/>
        <w:jc w:val="both"/>
      </w:pPr>
      <w:r>
        <w:t>Subcutaneous</w:t>
      </w:r>
      <w:r>
        <w:rPr>
          <w:spacing w:val="-4"/>
        </w:rPr>
        <w:t xml:space="preserve"> </w:t>
      </w:r>
      <w:r>
        <w:t>Actemra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RA,</w:t>
      </w:r>
      <w:r>
        <w:rPr>
          <w:spacing w:val="-3"/>
        </w:rPr>
        <w:t xml:space="preserve"> </w:t>
      </w:r>
      <w:r>
        <w:t>GCA,</w:t>
      </w:r>
      <w:r>
        <w:rPr>
          <w:spacing w:val="-1"/>
        </w:rPr>
        <w:t xml:space="preserve"> </w:t>
      </w:r>
      <w:proofErr w:type="spellStart"/>
      <w:r>
        <w:t>pJIA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proofErr w:type="spellStart"/>
      <w:r>
        <w:t>sJIA</w:t>
      </w:r>
      <w:proofErr w:type="spellEnd"/>
      <w:r>
        <w:t>.</w:t>
      </w:r>
    </w:p>
    <w:p w14:paraId="0B4162EF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667D1827" w14:textId="77777777" w:rsidR="006C34D9" w:rsidRDefault="00CB5041">
      <w:pPr>
        <w:pStyle w:val="BodyText"/>
        <w:ind w:left="659" w:right="657"/>
        <w:jc w:val="both"/>
      </w:pPr>
      <w:r>
        <w:t>For</w:t>
      </w:r>
      <w:r>
        <w:rPr>
          <w:spacing w:val="-10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receiving</w:t>
      </w:r>
      <w:r>
        <w:rPr>
          <w:spacing w:val="-11"/>
        </w:rPr>
        <w:t xml:space="preserve"> </w:t>
      </w:r>
      <w:r>
        <w:t>Actemra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SC</w:t>
      </w:r>
      <w:r>
        <w:rPr>
          <w:spacing w:val="-10"/>
        </w:rPr>
        <w:t xml:space="preserve"> </w:t>
      </w:r>
      <w:r>
        <w:t>injection,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injection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performed</w:t>
      </w:r>
      <w:r>
        <w:rPr>
          <w:spacing w:val="-57"/>
        </w:rPr>
        <w:t xml:space="preserve"> </w:t>
      </w:r>
      <w:r>
        <w:t>under the supervision of a qualified healthcare professional, in a healthcare facility with the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resuscitation</w:t>
      </w:r>
      <w:r>
        <w:rPr>
          <w:spacing w:val="1"/>
        </w:rPr>
        <w:t xml:space="preserve"> </w:t>
      </w:r>
      <w:r>
        <w:t>equipment,</w:t>
      </w:r>
      <w:r>
        <w:rPr>
          <w:spacing w:val="1"/>
        </w:rPr>
        <w:t xml:space="preserve"> </w:t>
      </w:r>
      <w:r>
        <w:t>protocols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appropriately</w:t>
      </w:r>
      <w:r>
        <w:rPr>
          <w:spacing w:val="1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personnel)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initiate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hypersensitivity reactions, including anaphylaxis. The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closely monitored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afterwards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hypersensitivity</w:t>
      </w:r>
      <w:r>
        <w:rPr>
          <w:spacing w:val="-1"/>
        </w:rPr>
        <w:t xml:space="preserve"> </w:t>
      </w:r>
      <w:r>
        <w:t>reaction.</w:t>
      </w:r>
    </w:p>
    <w:p w14:paraId="68148C3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755454B" w14:textId="77777777" w:rsidR="006C34D9" w:rsidRDefault="00CB5041">
      <w:pPr>
        <w:pStyle w:val="BodyText"/>
        <w:ind w:left="659" w:right="657"/>
        <w:jc w:val="both"/>
      </w:pPr>
      <w:r>
        <w:t>Patients</w:t>
      </w:r>
      <w:r>
        <w:rPr>
          <w:spacing w:val="-13"/>
        </w:rPr>
        <w:t xml:space="preserve"> </w:t>
      </w:r>
      <w:r>
        <w:t>transitioning</w:t>
      </w:r>
      <w:r>
        <w:rPr>
          <w:spacing w:val="-13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IV</w:t>
      </w:r>
      <w:r>
        <w:rPr>
          <w:spacing w:val="-13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therapy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SC</w:t>
      </w:r>
      <w:r>
        <w:rPr>
          <w:spacing w:val="-14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administer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first</w:t>
      </w:r>
      <w:r>
        <w:rPr>
          <w:spacing w:val="-58"/>
        </w:rPr>
        <w:t xml:space="preserve"> </w:t>
      </w:r>
      <w:r>
        <w:t>SC dose at the time of the next scheduled IV dose under the supervision of a qualified</w:t>
      </w:r>
      <w:r>
        <w:rPr>
          <w:spacing w:val="1"/>
        </w:rPr>
        <w:t xml:space="preserve"> </w:t>
      </w:r>
      <w:r>
        <w:t>healthcare</w:t>
      </w:r>
      <w:r>
        <w:rPr>
          <w:spacing w:val="-1"/>
        </w:rPr>
        <w:t xml:space="preserve"> </w:t>
      </w:r>
      <w:r>
        <w:t>professional.</w:t>
      </w:r>
    </w:p>
    <w:p w14:paraId="1D504A7B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2C460A74" w14:textId="77777777" w:rsidR="006C34D9" w:rsidRDefault="00CB5041">
      <w:pPr>
        <w:pStyle w:val="BodyText"/>
        <w:ind w:left="659" w:right="657"/>
        <w:jc w:val="both"/>
      </w:pPr>
      <w:r>
        <w:t>Subcutaneous Actemra is intended for use under the guidance and supervision of the patient’s</w:t>
      </w:r>
      <w:r>
        <w:rPr>
          <w:spacing w:val="-57"/>
        </w:rPr>
        <w:t xml:space="preserve"> </w:t>
      </w:r>
      <w:r>
        <w:t>treating</w:t>
      </w:r>
      <w:r>
        <w:rPr>
          <w:spacing w:val="-13"/>
        </w:rPr>
        <w:t xml:space="preserve"> </w:t>
      </w:r>
      <w:r>
        <w:t>physician.</w:t>
      </w:r>
      <w:r>
        <w:rPr>
          <w:spacing w:val="-12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proper</w:t>
      </w:r>
      <w:r>
        <w:rPr>
          <w:spacing w:val="-13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injection</w:t>
      </w:r>
      <w:r>
        <w:rPr>
          <w:spacing w:val="-12"/>
        </w:rPr>
        <w:t xml:space="preserve"> </w:t>
      </w:r>
      <w:r>
        <w:t>technique,</w:t>
      </w:r>
      <w:r>
        <w:rPr>
          <w:spacing w:val="-12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parent/guardian</w:t>
      </w:r>
      <w:r>
        <w:rPr>
          <w:spacing w:val="-11"/>
        </w:rPr>
        <w:t xml:space="preserve"> </w:t>
      </w:r>
      <w:r>
        <w:t>may</w:t>
      </w:r>
      <w:r>
        <w:rPr>
          <w:spacing w:val="-57"/>
        </w:rPr>
        <w:t xml:space="preserve"> </w:t>
      </w:r>
      <w:r>
        <w:t>inject with Actemra only if their treating physician determines that it is appropriate and is</w:t>
      </w:r>
      <w:r>
        <w:rPr>
          <w:spacing w:val="1"/>
        </w:rPr>
        <w:t xml:space="preserve"> </w:t>
      </w:r>
      <w:r>
        <w:t>satisfied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parent/guardian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safely</w:t>
      </w:r>
      <w:r>
        <w:rPr>
          <w:spacing w:val="-6"/>
        </w:rPr>
        <w:t xml:space="preserve"> </w:t>
      </w:r>
      <w:r>
        <w:t>inject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home</w:t>
      </w:r>
      <w:r>
        <w:rPr>
          <w:spacing w:val="-7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follow-up as necessary.</w:t>
      </w:r>
    </w:p>
    <w:p w14:paraId="160BDFB5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6091D4E1" w14:textId="77777777" w:rsidR="006C34D9" w:rsidRDefault="00CB5041">
      <w:pPr>
        <w:pStyle w:val="BodyText"/>
        <w:ind w:left="659" w:right="657"/>
        <w:jc w:val="both"/>
      </w:pPr>
      <w:r>
        <w:t>Assess suitability of patient or parent/guardian for SC home use and instruct patients or</w:t>
      </w:r>
      <w:r>
        <w:rPr>
          <w:spacing w:val="1"/>
        </w:rPr>
        <w:t xml:space="preserve"> </w:t>
      </w:r>
      <w:r>
        <w:t>parent/guardian to inform a healthcare professional if they experience symptoms of allergic</w:t>
      </w:r>
      <w:r>
        <w:rPr>
          <w:spacing w:val="1"/>
        </w:rPr>
        <w:t xml:space="preserve"> </w:t>
      </w:r>
      <w:r>
        <w:t>reaction before administering the next dose. Patients should seek immediate medical attention</w:t>
      </w:r>
      <w:r>
        <w:rPr>
          <w:spacing w:val="-57"/>
        </w:rPr>
        <w:t xml:space="preserve"> </w:t>
      </w:r>
      <w:r>
        <w:t>if developing symptoms of serious allergic reactions (see section 4.4 Special Warnings and</w:t>
      </w:r>
      <w:r>
        <w:rPr>
          <w:spacing w:val="1"/>
        </w:rPr>
        <w:t xml:space="preserve"> </w:t>
      </w:r>
      <w:r>
        <w:t>Precautions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Use).</w:t>
      </w:r>
      <w:r>
        <w:rPr>
          <w:spacing w:val="1"/>
        </w:rPr>
        <w:t xml:space="preserve"> </w:t>
      </w:r>
      <w:r>
        <w:t>Treating</w:t>
      </w:r>
      <w:r>
        <w:rPr>
          <w:spacing w:val="1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 xml:space="preserve">parent/guardian is aware of the signs of hypersensitivity and the risk of </w:t>
      </w:r>
      <w:proofErr w:type="gramStart"/>
      <w:r>
        <w:t>anaphylaxis, and</w:t>
      </w:r>
      <w:proofErr w:type="gramEnd"/>
      <w:r>
        <w:t xml:space="preserve"> is</w:t>
      </w:r>
      <w:r>
        <w:rPr>
          <w:spacing w:val="1"/>
        </w:rPr>
        <w:t xml:space="preserve"> </w:t>
      </w:r>
      <w:r>
        <w:t>capable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seeking</w:t>
      </w:r>
      <w:r>
        <w:rPr>
          <w:spacing w:val="-9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early</w:t>
      </w:r>
      <w:r>
        <w:rPr>
          <w:spacing w:val="-9"/>
        </w:rPr>
        <w:t xml:space="preserve"> </w:t>
      </w:r>
      <w:r>
        <w:t>features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serious</w:t>
      </w:r>
      <w:r>
        <w:rPr>
          <w:spacing w:val="-9"/>
        </w:rPr>
        <w:t xml:space="preserve"> </w:t>
      </w:r>
      <w:r>
        <w:t>hypersensitivity</w:t>
      </w:r>
      <w:r>
        <w:rPr>
          <w:spacing w:val="-9"/>
        </w:rPr>
        <w:t xml:space="preserve"> </w:t>
      </w:r>
      <w:r>
        <w:t>reaction</w:t>
      </w:r>
      <w:r>
        <w:rPr>
          <w:spacing w:val="-9"/>
        </w:rPr>
        <w:t xml:space="preserve"> </w:t>
      </w:r>
      <w:r>
        <w:t>occur.</w:t>
      </w:r>
    </w:p>
    <w:p w14:paraId="55A0A96F" w14:textId="77777777" w:rsidR="006C34D9" w:rsidRDefault="006C34D9">
      <w:pPr>
        <w:pStyle w:val="BodyText"/>
        <w:ind w:left="0"/>
      </w:pPr>
    </w:p>
    <w:p w14:paraId="0F90DE2B" w14:textId="77777777" w:rsidR="006C34D9" w:rsidRDefault="00CB5041">
      <w:pPr>
        <w:pStyle w:val="BodyText"/>
        <w:spacing w:before="1"/>
        <w:ind w:left="659" w:right="657"/>
        <w:jc w:val="both"/>
      </w:pPr>
      <w:r>
        <w:t xml:space="preserve">The pre-filled syringe with needle safety device can be used to treat </w:t>
      </w:r>
      <w:proofErr w:type="spellStart"/>
      <w:r>
        <w:t>paediatric</w:t>
      </w:r>
      <w:proofErr w:type="spellEnd"/>
      <w:r>
        <w:t xml:space="preserve"> patients of all</w:t>
      </w:r>
      <w:r>
        <w:rPr>
          <w:spacing w:val="1"/>
        </w:rPr>
        <w:t xml:space="preserve"> </w:t>
      </w:r>
      <w:r>
        <w:t>approved</w:t>
      </w:r>
      <w:r>
        <w:rPr>
          <w:spacing w:val="-15"/>
        </w:rPr>
        <w:t xml:space="preserve"> </w:t>
      </w:r>
      <w:r>
        <w:t>ages.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pre-filled</w:t>
      </w:r>
      <w:r>
        <w:rPr>
          <w:spacing w:val="-15"/>
        </w:rPr>
        <w:t xml:space="preserve"> </w:t>
      </w:r>
      <w:r>
        <w:t>pen</w:t>
      </w:r>
      <w:r>
        <w:rPr>
          <w:spacing w:val="-15"/>
        </w:rPr>
        <w:t xml:space="preserve"> </w:t>
      </w:r>
      <w:r>
        <w:t>(</w:t>
      </w:r>
      <w:proofErr w:type="spellStart"/>
      <w:r>
        <w:t>ACTPen</w:t>
      </w:r>
      <w:proofErr w:type="spellEnd"/>
      <w:r>
        <w:t>)</w:t>
      </w:r>
      <w:r>
        <w:rPr>
          <w:spacing w:val="-14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treat</w:t>
      </w:r>
      <w:r>
        <w:rPr>
          <w:spacing w:val="-14"/>
        </w:rPr>
        <w:t xml:space="preserve"> </w:t>
      </w:r>
      <w:r>
        <w:t>children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adolescent</w:t>
      </w:r>
      <w:r>
        <w:rPr>
          <w:spacing w:val="-58"/>
        </w:rPr>
        <w:t xml:space="preserve"> </w:t>
      </w:r>
      <w:bookmarkStart w:id="12" w:name="Rheumatoid_Arthritis_in_Adults_(IV_or_SC"/>
      <w:bookmarkEnd w:id="12"/>
      <w:r>
        <w:t>patients</w:t>
      </w:r>
      <w:r>
        <w:rPr>
          <w:spacing w:val="-1"/>
        </w:rPr>
        <w:t xml:space="preserve"> </w:t>
      </w:r>
      <w:r>
        <w:t>˂ 12 years of</w:t>
      </w:r>
      <w:r>
        <w:rPr>
          <w:spacing w:val="-1"/>
        </w:rPr>
        <w:t xml:space="preserve"> </w:t>
      </w:r>
      <w:r>
        <w:t>age.</w:t>
      </w:r>
    </w:p>
    <w:p w14:paraId="43A7DF1A" w14:textId="77777777" w:rsidR="006C34D9" w:rsidRDefault="00CB5041">
      <w:pPr>
        <w:pStyle w:val="BodyText"/>
        <w:spacing w:before="200"/>
        <w:jc w:val="both"/>
      </w:pPr>
      <w:r>
        <w:rPr>
          <w:u w:val="single"/>
        </w:rPr>
        <w:t>Rheumatoid</w:t>
      </w:r>
      <w:r>
        <w:rPr>
          <w:spacing w:val="-2"/>
          <w:u w:val="single"/>
        </w:rPr>
        <w:t xml:space="preserve"> </w:t>
      </w:r>
      <w:r>
        <w:rPr>
          <w:u w:val="single"/>
        </w:rPr>
        <w:t>Arthritis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Adults</w:t>
      </w:r>
      <w:r>
        <w:rPr>
          <w:spacing w:val="-1"/>
          <w:u w:val="single"/>
        </w:rPr>
        <w:t xml:space="preserve"> </w:t>
      </w:r>
      <w:r>
        <w:rPr>
          <w:u w:val="single"/>
        </w:rPr>
        <w:t>(IV</w:t>
      </w:r>
      <w:r>
        <w:rPr>
          <w:spacing w:val="-2"/>
          <w:u w:val="single"/>
        </w:rPr>
        <w:t xml:space="preserve"> </w:t>
      </w:r>
      <w:r>
        <w:rPr>
          <w:u w:val="single"/>
        </w:rPr>
        <w:t>or</w:t>
      </w:r>
      <w:r>
        <w:rPr>
          <w:spacing w:val="-2"/>
          <w:u w:val="single"/>
        </w:rPr>
        <w:t xml:space="preserve"> </w:t>
      </w:r>
      <w:r>
        <w:rPr>
          <w:u w:val="single"/>
        </w:rPr>
        <w:t>SC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formulation)</w:t>
      </w:r>
    </w:p>
    <w:p w14:paraId="1A26CD3A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5D9BE94F" w14:textId="77777777" w:rsidR="006C34D9" w:rsidRDefault="00CB5041">
      <w:pPr>
        <w:spacing w:before="60" w:line="275" w:lineRule="exact"/>
        <w:ind w:left="660"/>
        <w:rPr>
          <w:i/>
          <w:sz w:val="24"/>
        </w:rPr>
      </w:pPr>
      <w:r>
        <w:rPr>
          <w:i/>
          <w:sz w:val="24"/>
        </w:rPr>
        <w:lastRenderedPageBreak/>
        <w:t>Intravenous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Regimen</w:t>
      </w:r>
    </w:p>
    <w:p w14:paraId="4152613A" w14:textId="77777777" w:rsidR="006C34D9" w:rsidRDefault="00CB5041">
      <w:pPr>
        <w:pStyle w:val="BodyText"/>
        <w:ind w:right="596"/>
      </w:pPr>
      <w:r>
        <w:t>The recommended dose</w:t>
      </w:r>
      <w:r>
        <w:rPr>
          <w:spacing w:val="-1"/>
        </w:rPr>
        <w:t xml:space="preserve"> </w:t>
      </w:r>
      <w:r>
        <w:t>of Actemra for adult</w:t>
      </w:r>
      <w:r>
        <w:rPr>
          <w:spacing w:val="1"/>
        </w:rPr>
        <w:t xml:space="preserve"> </w:t>
      </w:r>
      <w:r>
        <w:t>patients</w:t>
      </w:r>
      <w:r>
        <w:rPr>
          <w:spacing w:val="6"/>
        </w:rPr>
        <w:t xml:space="preserve"> </w:t>
      </w:r>
      <w:r>
        <w:t>is 8</w:t>
      </w:r>
      <w:r>
        <w:rPr>
          <w:spacing w:val="1"/>
        </w:rPr>
        <w:t xml:space="preserve"> </w:t>
      </w:r>
      <w:r>
        <w:t>mg/kg given once</w:t>
      </w:r>
      <w:r>
        <w:rPr>
          <w:spacing w:val="1"/>
        </w:rPr>
        <w:t xml:space="preserve"> </w:t>
      </w:r>
      <w:r>
        <w:t>every 4</w:t>
      </w:r>
      <w:r>
        <w:rPr>
          <w:spacing w:val="-1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infusion.</w:t>
      </w:r>
    </w:p>
    <w:p w14:paraId="1068CCA2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F7F1F2C" w14:textId="77777777" w:rsidR="006C34D9" w:rsidRDefault="00CB5041">
      <w:pPr>
        <w:pStyle w:val="BodyText"/>
        <w:ind w:right="596"/>
      </w:pPr>
      <w:r>
        <w:t>For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kg,</w:t>
      </w:r>
      <w:r>
        <w:rPr>
          <w:spacing w:val="-3"/>
        </w:rPr>
        <w:t xml:space="preserve"> </w:t>
      </w:r>
      <w:r>
        <w:t>doses</w:t>
      </w:r>
      <w:r>
        <w:rPr>
          <w:spacing w:val="-2"/>
        </w:rPr>
        <w:t xml:space="preserve"> </w:t>
      </w:r>
      <w:r>
        <w:t>exceeding</w:t>
      </w:r>
      <w:r>
        <w:rPr>
          <w:spacing w:val="-3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infusion</w:t>
      </w:r>
      <w:r>
        <w:rPr>
          <w:spacing w:val="-5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recommended (see</w:t>
      </w:r>
      <w:r>
        <w:rPr>
          <w:spacing w:val="-1"/>
        </w:rPr>
        <w:t xml:space="preserve"> </w:t>
      </w:r>
      <w:r>
        <w:t>section 5.2 Pharmacokinetic</w:t>
      </w:r>
      <w:r>
        <w:rPr>
          <w:spacing w:val="-1"/>
        </w:rPr>
        <w:t xml:space="preserve"> </w:t>
      </w:r>
      <w:r>
        <w:t>Properties).</w:t>
      </w:r>
    </w:p>
    <w:p w14:paraId="6ADB96ED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0539E7EE" w14:textId="77777777" w:rsidR="006C34D9" w:rsidRDefault="00CB5041">
      <w:pPr>
        <w:pStyle w:val="BodyText"/>
        <w:ind w:right="596"/>
      </w:pPr>
      <w:r>
        <w:t>Actemra</w:t>
      </w:r>
      <w:r>
        <w:rPr>
          <w:spacing w:val="15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used</w:t>
      </w:r>
      <w:r>
        <w:rPr>
          <w:spacing w:val="15"/>
        </w:rPr>
        <w:t xml:space="preserve"> </w:t>
      </w:r>
      <w:r>
        <w:t>alone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combination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MTX</w:t>
      </w:r>
      <w:r>
        <w:rPr>
          <w:spacing w:val="15"/>
        </w:rPr>
        <w:t xml:space="preserve"> </w:t>
      </w:r>
      <w:r>
        <w:t>and/or</w:t>
      </w:r>
      <w:r>
        <w:rPr>
          <w:spacing w:val="16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non-biological</w:t>
      </w:r>
      <w:r>
        <w:rPr>
          <w:spacing w:val="-57"/>
        </w:rPr>
        <w:t xml:space="preserve"> </w:t>
      </w:r>
      <w:r>
        <w:t>DMARDs.</w:t>
      </w:r>
    </w:p>
    <w:p w14:paraId="1983433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5BB77AB0" w14:textId="77777777" w:rsidR="006C34D9" w:rsidRDefault="00CB5041">
      <w:pPr>
        <w:pStyle w:val="BodyText"/>
        <w:ind w:right="659"/>
        <w:jc w:val="both"/>
      </w:pPr>
      <w:r>
        <w:t>Actemra IV formulation should be diluted by a healthcare professional with sterile 0.9% w/v</w:t>
      </w:r>
      <w:r>
        <w:rPr>
          <w:spacing w:val="1"/>
        </w:rPr>
        <w:t xml:space="preserve"> </w:t>
      </w:r>
      <w:r>
        <w:t>sodium chloride solution using aseptic technique (see below Method of Administration). The</w:t>
      </w:r>
      <w:r>
        <w:rPr>
          <w:spacing w:val="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duration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infusion is 1 hour.</w:t>
      </w:r>
    </w:p>
    <w:p w14:paraId="28EA919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49E158E1" w14:textId="77777777" w:rsidR="006C34D9" w:rsidRDefault="00CB5041">
      <w:pPr>
        <w:pStyle w:val="BodyText"/>
        <w:ind w:right="657"/>
        <w:jc w:val="both"/>
      </w:pPr>
      <w:r>
        <w:rPr>
          <w:spacing w:val="-1"/>
        </w:rPr>
        <w:t>During</w:t>
      </w:r>
      <w:r>
        <w:rPr>
          <w:spacing w:val="-15"/>
        </w:rPr>
        <w:t xml:space="preserve"> </w:t>
      </w:r>
      <w:r>
        <w:rPr>
          <w:spacing w:val="-1"/>
        </w:rPr>
        <w:t>IV</w:t>
      </w:r>
      <w:r>
        <w:rPr>
          <w:spacing w:val="-15"/>
        </w:rPr>
        <w:t xml:space="preserve"> </w:t>
      </w:r>
      <w:r>
        <w:rPr>
          <w:spacing w:val="-1"/>
        </w:rPr>
        <w:t>infusion,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minutes’</w:t>
      </w:r>
      <w:r>
        <w:rPr>
          <w:spacing w:val="-14"/>
        </w:rPr>
        <w:t xml:space="preserve"> </w:t>
      </w:r>
      <w:r>
        <w:t>post-infusion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Actemra,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patient</w:t>
      </w:r>
      <w:r>
        <w:rPr>
          <w:spacing w:val="-14"/>
        </w:rPr>
        <w:t xml:space="preserve"> </w:t>
      </w:r>
      <w:proofErr w:type="gramStart"/>
      <w:r>
        <w:t>must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closely</w:t>
      </w:r>
      <w:r>
        <w:rPr>
          <w:spacing w:val="-57"/>
        </w:rPr>
        <w:t xml:space="preserve"> </w:t>
      </w:r>
      <w:r>
        <w:t>monitored at all times</w:t>
      </w:r>
      <w:proofErr w:type="gramEnd"/>
      <w:r>
        <w:t xml:space="preserve"> for any signs or symptoms of a hypersensitivity reaction. Should any</w:t>
      </w:r>
      <w:r>
        <w:rPr>
          <w:spacing w:val="1"/>
        </w:rPr>
        <w:t xml:space="preserve"> </w:t>
      </w:r>
      <w:r>
        <w:t>such reaction occur then appropriate urgent responses and treatments are to be initiated. The</w:t>
      </w:r>
      <w:r>
        <w:rPr>
          <w:spacing w:val="1"/>
        </w:rPr>
        <w:t xml:space="preserve"> </w:t>
      </w:r>
      <w:r>
        <w:t xml:space="preserve">necessary equipment, </w:t>
      </w:r>
      <w:proofErr w:type="gramStart"/>
      <w:r>
        <w:t>treatments</w:t>
      </w:r>
      <w:proofErr w:type="gramEnd"/>
      <w:r>
        <w:t xml:space="preserve"> and protocols sufficient to initiate the management of acute</w:t>
      </w:r>
      <w:r>
        <w:rPr>
          <w:spacing w:val="1"/>
        </w:rPr>
        <w:t xml:space="preserve"> </w:t>
      </w:r>
      <w:r>
        <w:t>anaphylaxis are to be in place along with the availability of appropriately trained personnel.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-13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continued</w:t>
      </w:r>
      <w:r>
        <w:rPr>
          <w:spacing w:val="-14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professionals</w:t>
      </w:r>
      <w:r>
        <w:rPr>
          <w:spacing w:val="-13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administer</w:t>
      </w:r>
      <w:r>
        <w:rPr>
          <w:spacing w:val="-58"/>
        </w:rPr>
        <w:t xml:space="preserve"> </w:t>
      </w:r>
      <w:r>
        <w:t>the infusions. As part of the informed consent process patients should be made aware of the</w:t>
      </w:r>
      <w:r>
        <w:rPr>
          <w:spacing w:val="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anaphylaxis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equipment,</w:t>
      </w:r>
      <w:r>
        <w:rPr>
          <w:spacing w:val="-1"/>
        </w:rPr>
        <w:t xml:space="preserve"> </w:t>
      </w:r>
      <w:proofErr w:type="gramStart"/>
      <w:r>
        <w:t>treatments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protocols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risk.</w:t>
      </w:r>
    </w:p>
    <w:p w14:paraId="651B7A97" w14:textId="77777777" w:rsidR="006C34D9" w:rsidRDefault="00CB5041">
      <w:pPr>
        <w:spacing w:before="201" w:line="275" w:lineRule="exact"/>
        <w:ind w:left="660"/>
        <w:rPr>
          <w:i/>
          <w:sz w:val="24"/>
        </w:rPr>
      </w:pPr>
      <w:r>
        <w:rPr>
          <w:i/>
          <w:sz w:val="24"/>
        </w:rPr>
        <w:t>Subcutaneous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Regimen</w:t>
      </w:r>
    </w:p>
    <w:p w14:paraId="6A3ADE4D" w14:textId="77777777" w:rsidR="006C34D9" w:rsidRDefault="00CB5041">
      <w:pPr>
        <w:pStyle w:val="BodyText"/>
        <w:ind w:right="658"/>
        <w:jc w:val="both"/>
      </w:pPr>
      <w:r>
        <w:t>The recommended dose of Actemra for adult patients is 162 mg given once every week as a</w:t>
      </w:r>
      <w:r>
        <w:rPr>
          <w:spacing w:val="1"/>
        </w:rPr>
        <w:t xml:space="preserve"> </w:t>
      </w:r>
      <w:r>
        <w:t>subcutaneous</w:t>
      </w:r>
      <w:r>
        <w:rPr>
          <w:spacing w:val="-1"/>
        </w:rPr>
        <w:t xml:space="preserve"> </w:t>
      </w:r>
      <w:r>
        <w:t>injection.</w:t>
      </w:r>
    </w:p>
    <w:p w14:paraId="6F6F1BF1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148FE2F1" w14:textId="77777777" w:rsidR="006C34D9" w:rsidRDefault="00CB5041">
      <w:pPr>
        <w:pStyle w:val="BodyText"/>
        <w:ind w:right="658"/>
        <w:jc w:val="both"/>
      </w:pPr>
      <w:r>
        <w:t>Actemra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alone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MTX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non-biological</w:t>
      </w:r>
      <w:r>
        <w:rPr>
          <w:spacing w:val="1"/>
        </w:rPr>
        <w:t xml:space="preserve"> </w:t>
      </w:r>
      <w:r>
        <w:t>DMARDs.</w:t>
      </w:r>
    </w:p>
    <w:p w14:paraId="6F01EAB9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796BDBC" w14:textId="77777777" w:rsidR="006C34D9" w:rsidRDefault="00CB5041">
      <w:pPr>
        <w:pStyle w:val="BodyText"/>
        <w:ind w:left="659" w:right="656"/>
        <w:jc w:val="both"/>
      </w:pPr>
      <w:r>
        <w:t>At least the first injection must be performed under the supervision of a qualified healthcare</w:t>
      </w:r>
      <w:r>
        <w:rPr>
          <w:spacing w:val="1"/>
        </w:rPr>
        <w:t xml:space="preserve"> </w:t>
      </w:r>
      <w:r>
        <w:t>professional, in a healthcare facility with the necessary medical treatment available (including</w:t>
      </w:r>
      <w:r>
        <w:rPr>
          <w:spacing w:val="-57"/>
        </w:rPr>
        <w:t xml:space="preserve"> </w:t>
      </w:r>
      <w:r>
        <w:t>resuscitation equipment, protocols and appropriately trained personnel) in case of the need to</w:t>
      </w:r>
      <w:r>
        <w:rPr>
          <w:spacing w:val="1"/>
        </w:rPr>
        <w:t xml:space="preserve"> </w:t>
      </w:r>
      <w:r>
        <w:t>initiate</w:t>
      </w:r>
      <w:r>
        <w:rPr>
          <w:spacing w:val="13"/>
        </w:rPr>
        <w:t xml:space="preserve"> </w:t>
      </w:r>
      <w:r>
        <w:t>management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serious</w:t>
      </w:r>
      <w:r>
        <w:rPr>
          <w:spacing w:val="12"/>
        </w:rPr>
        <w:t xml:space="preserve"> </w:t>
      </w:r>
      <w:r>
        <w:t>hypersensitivity</w:t>
      </w:r>
      <w:r>
        <w:rPr>
          <w:spacing w:val="12"/>
        </w:rPr>
        <w:t xml:space="preserve"> </w:t>
      </w:r>
      <w:r>
        <w:t>reactions,</w:t>
      </w:r>
      <w:r>
        <w:rPr>
          <w:spacing w:val="12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anaphylaxis</w:t>
      </w:r>
      <w:r>
        <w:rPr>
          <w:spacing w:val="12"/>
        </w:rPr>
        <w:t xml:space="preserve"> </w:t>
      </w:r>
      <w:r>
        <w:t>(see</w:t>
      </w:r>
      <w:r>
        <w:rPr>
          <w:spacing w:val="12"/>
        </w:rPr>
        <w:t xml:space="preserve"> </w:t>
      </w:r>
      <w:r>
        <w:t>section</w:t>
      </w:r>
    </w:p>
    <w:p w14:paraId="2CF998F5" w14:textId="77777777" w:rsidR="006C34D9" w:rsidRDefault="00CB5041">
      <w:pPr>
        <w:pStyle w:val="ListParagraph"/>
        <w:numPr>
          <w:ilvl w:val="1"/>
          <w:numId w:val="9"/>
        </w:numPr>
        <w:tabs>
          <w:tab w:val="left" w:pos="1030"/>
        </w:tabs>
        <w:ind w:left="659" w:right="658" w:firstLine="0"/>
        <w:jc w:val="both"/>
        <w:rPr>
          <w:sz w:val="24"/>
        </w:rPr>
      </w:pPr>
      <w:r>
        <w:rPr>
          <w:sz w:val="24"/>
        </w:rPr>
        <w:t>Dose and Method of Administration, Subcutaneous Administration for information about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 patients who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 suitable for</w:t>
      </w:r>
      <w:r>
        <w:rPr>
          <w:spacing w:val="-1"/>
          <w:sz w:val="24"/>
        </w:rPr>
        <w:t xml:space="preserve"> </w:t>
      </w:r>
      <w:r>
        <w:rPr>
          <w:sz w:val="24"/>
        </w:rPr>
        <w:t>SC</w:t>
      </w:r>
      <w:r>
        <w:rPr>
          <w:spacing w:val="-1"/>
          <w:sz w:val="24"/>
        </w:rPr>
        <w:t xml:space="preserve"> </w:t>
      </w:r>
      <w:r>
        <w:rPr>
          <w:sz w:val="24"/>
        </w:rPr>
        <w:t>home use).</w:t>
      </w:r>
    </w:p>
    <w:p w14:paraId="7E6DC9AA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54DE76B8" w14:textId="77777777" w:rsidR="006C34D9" w:rsidRDefault="00CB5041">
      <w:pPr>
        <w:pStyle w:val="BodyText"/>
        <w:spacing w:line="276" w:lineRule="exact"/>
      </w:pPr>
      <w:bookmarkStart w:id="13" w:name="Dose_Modification_Recommendations_for_RA"/>
      <w:bookmarkEnd w:id="13"/>
      <w:r>
        <w:rPr>
          <w:u w:val="single"/>
        </w:rPr>
        <w:t>Dose</w:t>
      </w:r>
      <w:r>
        <w:rPr>
          <w:spacing w:val="-3"/>
          <w:u w:val="single"/>
        </w:rPr>
        <w:t xml:space="preserve"> </w:t>
      </w:r>
      <w:r>
        <w:rPr>
          <w:u w:val="single"/>
        </w:rPr>
        <w:t>Modification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Recommendations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RA</w:t>
      </w:r>
    </w:p>
    <w:p w14:paraId="757D4356" w14:textId="67ED6795" w:rsidR="00E656C3" w:rsidRDefault="00CB5041">
      <w:pPr>
        <w:pStyle w:val="ListParagraph"/>
        <w:numPr>
          <w:ilvl w:val="2"/>
          <w:numId w:val="9"/>
        </w:numPr>
        <w:tabs>
          <w:tab w:val="left" w:pos="1379"/>
          <w:tab w:val="left" w:pos="1380"/>
        </w:tabs>
        <w:spacing w:line="294" w:lineRule="exact"/>
        <w:rPr>
          <w:sz w:val="24"/>
        </w:rPr>
      </w:pPr>
      <w:r>
        <w:rPr>
          <w:sz w:val="24"/>
        </w:rPr>
        <w:t>Liver</w:t>
      </w:r>
      <w:r>
        <w:rPr>
          <w:spacing w:val="-2"/>
          <w:sz w:val="24"/>
        </w:rPr>
        <w:t xml:space="preserve"> </w:t>
      </w:r>
      <w:r>
        <w:rPr>
          <w:sz w:val="24"/>
        </w:rPr>
        <w:t>enzyme</w:t>
      </w:r>
      <w:r>
        <w:rPr>
          <w:spacing w:val="-2"/>
          <w:sz w:val="24"/>
        </w:rPr>
        <w:t xml:space="preserve"> </w:t>
      </w:r>
      <w:r>
        <w:rPr>
          <w:sz w:val="24"/>
        </w:rPr>
        <w:t>abnormalities</w:t>
      </w:r>
    </w:p>
    <w:p w14:paraId="19ABA0EA" w14:textId="77777777" w:rsidR="00E656C3" w:rsidRDefault="00E656C3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3"/>
        <w:gridCol w:w="6474"/>
      </w:tblGrid>
      <w:tr w:rsidR="006C34D9" w14:paraId="00783E6A" w14:textId="77777777">
        <w:trPr>
          <w:trHeight w:val="276"/>
        </w:trPr>
        <w:tc>
          <w:tcPr>
            <w:tcW w:w="2543" w:type="dxa"/>
          </w:tcPr>
          <w:p w14:paraId="01F3D9FF" w14:textId="77777777" w:rsidR="006C34D9" w:rsidRDefault="00CB5041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Lab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</w:p>
        </w:tc>
        <w:tc>
          <w:tcPr>
            <w:tcW w:w="6474" w:type="dxa"/>
          </w:tcPr>
          <w:p w14:paraId="02FEB527" w14:textId="77777777" w:rsidR="006C34D9" w:rsidRDefault="00CB5041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</w:tr>
      <w:tr w:rsidR="006C34D9" w14:paraId="0ABDB6CA" w14:textId="77777777">
        <w:trPr>
          <w:trHeight w:val="2759"/>
        </w:trPr>
        <w:tc>
          <w:tcPr>
            <w:tcW w:w="2543" w:type="dxa"/>
          </w:tcPr>
          <w:p w14:paraId="1FFF1730" w14:textId="77777777" w:rsidR="006C34D9" w:rsidRDefault="00CB50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to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 ULN</w:t>
            </w:r>
          </w:p>
        </w:tc>
        <w:tc>
          <w:tcPr>
            <w:tcW w:w="6474" w:type="dxa"/>
          </w:tcPr>
          <w:p w14:paraId="18293E82" w14:textId="77777777" w:rsidR="006C34D9" w:rsidRDefault="00CB504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Dose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concomitant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DMARDs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</w:p>
          <w:p w14:paraId="014FBD9F" w14:textId="77777777" w:rsidR="006C34D9" w:rsidRDefault="00CB504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intravenous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persistent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mg/kg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interrupt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Actemra until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ALT/AST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normalised</w:t>
            </w:r>
            <w:proofErr w:type="spellEnd"/>
            <w:r>
              <w:rPr>
                <w:sz w:val="24"/>
              </w:rPr>
              <w:t>.</w:t>
            </w:r>
          </w:p>
          <w:p w14:paraId="6B2A3FAC" w14:textId="77777777" w:rsidR="006C34D9" w:rsidRDefault="00CB504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Restart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mg/kg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mg/kg,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clinically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</w:p>
          <w:p w14:paraId="4ED98B31" w14:textId="77777777" w:rsidR="006C34D9" w:rsidRDefault="00CB5041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subcutaneous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persistent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increases in this range, reduce Actemra injection frequency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interrupt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ALT/AST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normalised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Restart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injection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injection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week,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clinically appropriate.</w:t>
            </w:r>
          </w:p>
        </w:tc>
      </w:tr>
    </w:tbl>
    <w:p w14:paraId="2B1A0AA6" w14:textId="77777777" w:rsidR="006C34D9" w:rsidRDefault="006C34D9">
      <w:pPr>
        <w:spacing w:line="270" w:lineRule="atLeast"/>
        <w:jc w:val="both"/>
        <w:rPr>
          <w:sz w:val="24"/>
        </w:rPr>
        <w:sectPr w:rsidR="006C34D9">
          <w:pgSz w:w="11910" w:h="16840"/>
          <w:pgMar w:top="1360" w:right="780" w:bottom="1524" w:left="780" w:header="0" w:footer="592" w:gutter="0"/>
          <w:cols w:space="720"/>
        </w:sect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3"/>
        <w:gridCol w:w="6474"/>
      </w:tblGrid>
      <w:tr w:rsidR="006C34D9" w14:paraId="1D487CD9" w14:textId="77777777">
        <w:trPr>
          <w:trHeight w:val="275"/>
        </w:trPr>
        <w:tc>
          <w:tcPr>
            <w:tcW w:w="2543" w:type="dxa"/>
          </w:tcPr>
          <w:p w14:paraId="21173CAD" w14:textId="77777777" w:rsidR="006C34D9" w:rsidRDefault="00CB504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</w:p>
        </w:tc>
        <w:tc>
          <w:tcPr>
            <w:tcW w:w="6474" w:type="dxa"/>
          </w:tcPr>
          <w:p w14:paraId="137F7F6F" w14:textId="77777777" w:rsidR="006C34D9" w:rsidRDefault="00CB504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</w:tr>
      <w:tr w:rsidR="006C34D9" w14:paraId="4F26E273" w14:textId="77777777">
        <w:trPr>
          <w:trHeight w:val="1380"/>
        </w:trPr>
        <w:tc>
          <w:tcPr>
            <w:tcW w:w="2543" w:type="dxa"/>
          </w:tcPr>
          <w:p w14:paraId="00EA5B2A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to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 ULN</w:t>
            </w:r>
          </w:p>
        </w:tc>
        <w:tc>
          <w:tcPr>
            <w:tcW w:w="6474" w:type="dxa"/>
          </w:tcPr>
          <w:p w14:paraId="39B814ED" w14:textId="77777777" w:rsidR="006C34D9" w:rsidRDefault="00CB504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Interrupt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&gt; 1 to 3 x ULN</w:t>
            </w:r>
          </w:p>
          <w:p w14:paraId="6607AA8D" w14:textId="77777777" w:rsidR="006C34D9" w:rsidRDefault="00CB5041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For persistent increases &gt; 3 x ULN (confirmed by repeat testing,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Warnings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discontinue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Actemra.</w:t>
            </w:r>
          </w:p>
        </w:tc>
      </w:tr>
      <w:tr w:rsidR="006C34D9" w14:paraId="2793C218" w14:textId="77777777">
        <w:trPr>
          <w:trHeight w:val="275"/>
        </w:trPr>
        <w:tc>
          <w:tcPr>
            <w:tcW w:w="2543" w:type="dxa"/>
          </w:tcPr>
          <w:p w14:paraId="21CA3FF4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ULN</w:t>
            </w:r>
          </w:p>
        </w:tc>
        <w:tc>
          <w:tcPr>
            <w:tcW w:w="6474" w:type="dxa"/>
          </w:tcPr>
          <w:p w14:paraId="670435E0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Discontinue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Actemra.</w:t>
            </w:r>
          </w:p>
        </w:tc>
      </w:tr>
    </w:tbl>
    <w:p w14:paraId="6A89E5E3" w14:textId="77777777" w:rsidR="006C34D9" w:rsidRDefault="006C34D9">
      <w:pPr>
        <w:pStyle w:val="BodyText"/>
        <w:spacing w:before="1"/>
        <w:ind w:left="0"/>
        <w:rPr>
          <w:sz w:val="12"/>
        </w:rPr>
      </w:pPr>
    </w:p>
    <w:p w14:paraId="47452722" w14:textId="77777777" w:rsidR="006C34D9" w:rsidRDefault="00CB5041">
      <w:pPr>
        <w:pStyle w:val="ListParagraph"/>
        <w:numPr>
          <w:ilvl w:val="2"/>
          <w:numId w:val="9"/>
        </w:numPr>
        <w:tabs>
          <w:tab w:val="left" w:pos="1379"/>
          <w:tab w:val="left" w:pos="1380"/>
        </w:tabs>
        <w:spacing w:before="100"/>
        <w:rPr>
          <w:sz w:val="24"/>
        </w:rPr>
      </w:pPr>
      <w:r>
        <w:rPr>
          <w:sz w:val="24"/>
        </w:rPr>
        <w:t>Low</w:t>
      </w:r>
      <w:r>
        <w:rPr>
          <w:spacing w:val="-3"/>
          <w:sz w:val="24"/>
        </w:rPr>
        <w:t xml:space="preserve"> </w:t>
      </w:r>
      <w:r>
        <w:rPr>
          <w:sz w:val="24"/>
        </w:rPr>
        <w:t>absolute</w:t>
      </w:r>
      <w:r>
        <w:rPr>
          <w:spacing w:val="-1"/>
          <w:sz w:val="24"/>
        </w:rPr>
        <w:t xml:space="preserve"> </w:t>
      </w:r>
      <w:r>
        <w:rPr>
          <w:sz w:val="24"/>
        </w:rPr>
        <w:t>neutrophil</w:t>
      </w:r>
      <w:r>
        <w:rPr>
          <w:spacing w:val="-2"/>
          <w:sz w:val="24"/>
        </w:rPr>
        <w:t xml:space="preserve"> </w:t>
      </w:r>
      <w:r>
        <w:rPr>
          <w:sz w:val="24"/>
        </w:rPr>
        <w:t>count</w:t>
      </w:r>
      <w:r>
        <w:rPr>
          <w:spacing w:val="-2"/>
          <w:sz w:val="24"/>
        </w:rPr>
        <w:t xml:space="preserve"> </w:t>
      </w:r>
      <w:r>
        <w:rPr>
          <w:sz w:val="24"/>
        </w:rPr>
        <w:t>(ANC)</w:t>
      </w:r>
    </w:p>
    <w:p w14:paraId="42FB0BE2" w14:textId="77777777" w:rsidR="006C34D9" w:rsidRDefault="006C34D9">
      <w:pPr>
        <w:pStyle w:val="BodyText"/>
        <w:spacing w:before="1"/>
        <w:ind w:left="0"/>
        <w:rPr>
          <w:sz w:val="21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3"/>
        <w:gridCol w:w="6474"/>
      </w:tblGrid>
      <w:tr w:rsidR="006C34D9" w14:paraId="3569B6B8" w14:textId="77777777">
        <w:trPr>
          <w:trHeight w:val="551"/>
        </w:trPr>
        <w:tc>
          <w:tcPr>
            <w:tcW w:w="2543" w:type="dxa"/>
          </w:tcPr>
          <w:p w14:paraId="3403B059" w14:textId="77777777" w:rsidR="006C34D9" w:rsidRDefault="00CB5041">
            <w:pPr>
              <w:pStyle w:val="TableParagraph"/>
              <w:spacing w:line="270" w:lineRule="atLeast"/>
              <w:ind w:right="1034"/>
              <w:rPr>
                <w:b/>
                <w:sz w:val="24"/>
              </w:rPr>
            </w:pPr>
            <w:r>
              <w:rPr>
                <w:b/>
                <w:sz w:val="24"/>
              </w:rPr>
              <w:t>Lab Value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(cells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  <w:vertAlign w:val="superscript"/>
              </w:rPr>
              <w:t>9</w:t>
            </w:r>
            <w:r>
              <w:rPr>
                <w:b/>
                <w:sz w:val="24"/>
              </w:rPr>
              <w:t>/L)</w:t>
            </w:r>
          </w:p>
        </w:tc>
        <w:tc>
          <w:tcPr>
            <w:tcW w:w="6474" w:type="dxa"/>
          </w:tcPr>
          <w:p w14:paraId="0C91189B" w14:textId="77777777" w:rsidR="006C34D9" w:rsidRDefault="00CB50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</w:tr>
      <w:tr w:rsidR="006C34D9" w14:paraId="64CC4E59" w14:textId="77777777">
        <w:trPr>
          <w:trHeight w:val="275"/>
        </w:trPr>
        <w:tc>
          <w:tcPr>
            <w:tcW w:w="2543" w:type="dxa"/>
          </w:tcPr>
          <w:p w14:paraId="33938477" w14:textId="77777777" w:rsidR="006C34D9" w:rsidRDefault="00CB50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ANC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474" w:type="dxa"/>
          </w:tcPr>
          <w:p w14:paraId="3D4D97FB" w14:textId="77777777" w:rsidR="006C34D9" w:rsidRDefault="00CB50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dose.</w:t>
            </w:r>
          </w:p>
        </w:tc>
      </w:tr>
      <w:tr w:rsidR="006C34D9" w14:paraId="25417E25" w14:textId="77777777">
        <w:trPr>
          <w:trHeight w:val="1931"/>
        </w:trPr>
        <w:tc>
          <w:tcPr>
            <w:tcW w:w="2543" w:type="dxa"/>
          </w:tcPr>
          <w:p w14:paraId="0CE6A831" w14:textId="77777777" w:rsidR="006C34D9" w:rsidRDefault="00CB50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ANC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0.5 to 1</w:t>
            </w:r>
          </w:p>
        </w:tc>
        <w:tc>
          <w:tcPr>
            <w:tcW w:w="6474" w:type="dxa"/>
          </w:tcPr>
          <w:p w14:paraId="07CF1CF2" w14:textId="77777777" w:rsidR="006C34D9" w:rsidRDefault="00CB504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Interrupt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dosing.</w:t>
            </w:r>
          </w:p>
          <w:p w14:paraId="2F962BC8" w14:textId="77777777" w:rsidR="006C34D9" w:rsidRDefault="00CB504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For patients receiving intravenous Actemra, when ANC &gt; 1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</w:rPr>
              <w:t>/L resume Actemra at 4 mg/kg and increase to 8 mg/kg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clinically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</w:p>
          <w:p w14:paraId="2F1A7684" w14:textId="77777777" w:rsidR="006C34D9" w:rsidRDefault="00CB5041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For patients receiving subcutaneous Actemra, when ANC &gt; 1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</w:rPr>
              <w:t>/L resume Actemra injection every other week and increase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every week,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 clinically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</w:p>
        </w:tc>
      </w:tr>
      <w:tr w:rsidR="006C34D9" w14:paraId="4C0D6E1B" w14:textId="77777777">
        <w:trPr>
          <w:trHeight w:val="276"/>
        </w:trPr>
        <w:tc>
          <w:tcPr>
            <w:tcW w:w="2543" w:type="dxa"/>
          </w:tcPr>
          <w:p w14:paraId="5C912343" w14:textId="77777777" w:rsidR="006C34D9" w:rsidRDefault="00CB50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ANC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</w:p>
        </w:tc>
        <w:tc>
          <w:tcPr>
            <w:tcW w:w="6474" w:type="dxa"/>
          </w:tcPr>
          <w:p w14:paraId="4702A8AA" w14:textId="77777777" w:rsidR="006C34D9" w:rsidRDefault="00CB50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Discontinue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Actemra.</w:t>
            </w:r>
          </w:p>
        </w:tc>
      </w:tr>
    </w:tbl>
    <w:p w14:paraId="3A45CE50" w14:textId="77777777" w:rsidR="006C34D9" w:rsidRDefault="00CB5041">
      <w:pPr>
        <w:pStyle w:val="ListParagraph"/>
        <w:numPr>
          <w:ilvl w:val="2"/>
          <w:numId w:val="9"/>
        </w:numPr>
        <w:tabs>
          <w:tab w:val="left" w:pos="1373"/>
          <w:tab w:val="left" w:pos="1374"/>
        </w:tabs>
        <w:spacing w:before="239"/>
        <w:ind w:left="1374" w:hanging="358"/>
        <w:rPr>
          <w:sz w:val="24"/>
        </w:rPr>
      </w:pP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platelet</w:t>
      </w:r>
      <w:r>
        <w:rPr>
          <w:spacing w:val="-2"/>
          <w:sz w:val="24"/>
        </w:rPr>
        <w:t xml:space="preserve"> </w:t>
      </w:r>
      <w:r>
        <w:rPr>
          <w:sz w:val="24"/>
        </w:rPr>
        <w:t>count</w:t>
      </w:r>
    </w:p>
    <w:p w14:paraId="23089800" w14:textId="77777777" w:rsidR="006C34D9" w:rsidRDefault="006C34D9">
      <w:pPr>
        <w:pStyle w:val="BodyText"/>
        <w:spacing w:before="11"/>
        <w:ind w:left="0"/>
        <w:rPr>
          <w:sz w:val="14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3"/>
        <w:gridCol w:w="6474"/>
      </w:tblGrid>
      <w:tr w:rsidR="006C34D9" w14:paraId="0AA6AB8B" w14:textId="77777777">
        <w:trPr>
          <w:trHeight w:val="551"/>
        </w:trPr>
        <w:tc>
          <w:tcPr>
            <w:tcW w:w="2543" w:type="dxa"/>
          </w:tcPr>
          <w:p w14:paraId="1BBBEFAD" w14:textId="77777777" w:rsidR="006C34D9" w:rsidRDefault="00CB5041">
            <w:pPr>
              <w:pStyle w:val="TableParagraph"/>
              <w:spacing w:line="270" w:lineRule="atLeast"/>
              <w:ind w:left="578" w:right="564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Lab Value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(cells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  <w:vertAlign w:val="superscript"/>
              </w:rPr>
              <w:t>9</w:t>
            </w:r>
            <w:r>
              <w:rPr>
                <w:b/>
                <w:sz w:val="24"/>
              </w:rPr>
              <w:t>/L)</w:t>
            </w:r>
          </w:p>
        </w:tc>
        <w:tc>
          <w:tcPr>
            <w:tcW w:w="6474" w:type="dxa"/>
          </w:tcPr>
          <w:p w14:paraId="13E671C1" w14:textId="77777777" w:rsidR="006C34D9" w:rsidRDefault="00CB5041">
            <w:pPr>
              <w:pStyle w:val="TableParagraph"/>
              <w:ind w:left="2875" w:right="2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</w:tr>
      <w:tr w:rsidR="006C34D9" w14:paraId="4231E49C" w14:textId="77777777">
        <w:trPr>
          <w:trHeight w:val="1931"/>
        </w:trPr>
        <w:tc>
          <w:tcPr>
            <w:tcW w:w="2543" w:type="dxa"/>
          </w:tcPr>
          <w:p w14:paraId="370FB057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 to 100</w:t>
            </w:r>
          </w:p>
        </w:tc>
        <w:tc>
          <w:tcPr>
            <w:tcW w:w="6474" w:type="dxa"/>
          </w:tcPr>
          <w:p w14:paraId="6FECBFF6" w14:textId="77777777" w:rsidR="006C34D9" w:rsidRDefault="00CB504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Interrupt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dosing</w:t>
            </w:r>
          </w:p>
          <w:p w14:paraId="688D2FB5" w14:textId="77777777" w:rsidR="006C34D9" w:rsidRDefault="00CB504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For patients receiving intravenous Actemra, when platelet count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&gt; 100 x 10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</w:rPr>
              <w:t>/L resume Actemra at 4 mg/kg and increase to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mg/kg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clinically appropriate.</w:t>
            </w:r>
          </w:p>
          <w:p w14:paraId="0B6C2FF6" w14:textId="77777777" w:rsidR="006C34D9" w:rsidRDefault="00CB504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subcutaneous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Actemra,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platelet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</w:rPr>
              <w:t>/L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resume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injection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5078B7D9" w14:textId="77777777" w:rsidR="006C34D9" w:rsidRDefault="00CB504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increase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clinically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</w:p>
        </w:tc>
      </w:tr>
      <w:tr w:rsidR="006C34D9" w14:paraId="6D7E9990" w14:textId="77777777">
        <w:trPr>
          <w:trHeight w:val="276"/>
        </w:trPr>
        <w:tc>
          <w:tcPr>
            <w:tcW w:w="2543" w:type="dxa"/>
          </w:tcPr>
          <w:p w14:paraId="0F1C1A47" w14:textId="77777777" w:rsidR="006C34D9" w:rsidRDefault="00CB50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&lt; 50</w:t>
            </w:r>
          </w:p>
        </w:tc>
        <w:tc>
          <w:tcPr>
            <w:tcW w:w="6474" w:type="dxa"/>
          </w:tcPr>
          <w:p w14:paraId="4428D4F5" w14:textId="77777777" w:rsidR="006C34D9" w:rsidRDefault="00CB50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Discontinue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Actemra.</w:t>
            </w:r>
          </w:p>
        </w:tc>
      </w:tr>
    </w:tbl>
    <w:p w14:paraId="2CD60BFF" w14:textId="77777777" w:rsidR="006C34D9" w:rsidRDefault="00CB5041">
      <w:pPr>
        <w:pStyle w:val="BodyText"/>
        <w:spacing w:before="200"/>
        <w:jc w:val="both"/>
      </w:pPr>
      <w:bookmarkStart w:id="14" w:name="Giant_Cell_Arteritis_(SC_formulation_onl"/>
      <w:bookmarkEnd w:id="14"/>
      <w:r>
        <w:rPr>
          <w:u w:val="single"/>
        </w:rPr>
        <w:t>Giant</w:t>
      </w:r>
      <w:r>
        <w:rPr>
          <w:spacing w:val="-3"/>
          <w:u w:val="single"/>
        </w:rPr>
        <w:t xml:space="preserve"> </w:t>
      </w:r>
      <w:r>
        <w:rPr>
          <w:u w:val="single"/>
        </w:rPr>
        <w:t>Cell</w:t>
      </w:r>
      <w:r>
        <w:rPr>
          <w:spacing w:val="-2"/>
          <w:u w:val="single"/>
        </w:rPr>
        <w:t xml:space="preserve"> </w:t>
      </w:r>
      <w:r>
        <w:rPr>
          <w:u w:val="single"/>
        </w:rPr>
        <w:t>Arteritis</w:t>
      </w:r>
      <w:r>
        <w:rPr>
          <w:spacing w:val="-2"/>
          <w:u w:val="single"/>
        </w:rPr>
        <w:t xml:space="preserve"> </w:t>
      </w:r>
      <w:r>
        <w:rPr>
          <w:u w:val="single"/>
        </w:rPr>
        <w:t>(SC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formulation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only)</w:t>
      </w:r>
    </w:p>
    <w:p w14:paraId="2A96F1A8" w14:textId="77777777" w:rsidR="006C34D9" w:rsidRDefault="00CB5041">
      <w:pPr>
        <w:pStyle w:val="BodyText"/>
        <w:ind w:right="658"/>
        <w:jc w:val="both"/>
      </w:pPr>
      <w:r>
        <w:t>The recommended dose of Actemra for adult patients with GCA is 162 mg given once every</w:t>
      </w:r>
      <w:r>
        <w:rPr>
          <w:spacing w:val="1"/>
        </w:rPr>
        <w:t xml:space="preserve"> </w:t>
      </w:r>
      <w:r>
        <w:t>week as a subcutaneous injection, in combination with a tapering course of glucocorticoids. A</w:t>
      </w:r>
      <w:r>
        <w:rPr>
          <w:spacing w:val="-58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162 mg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subcutaneous</w:t>
      </w:r>
      <w:r>
        <w:rPr>
          <w:spacing w:val="-2"/>
        </w:rPr>
        <w:t xml:space="preserve"> </w:t>
      </w:r>
      <w:r>
        <w:t>injection,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lastRenderedPageBreak/>
        <w:t>a</w:t>
      </w:r>
      <w:r>
        <w:rPr>
          <w:spacing w:val="-1"/>
        </w:rPr>
        <w:t xml:space="preserve"> </w:t>
      </w:r>
      <w:r>
        <w:t>tapering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glucocorticoids, 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considerations.</w:t>
      </w:r>
    </w:p>
    <w:p w14:paraId="7BC18076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496A252E" w14:textId="77777777" w:rsidR="006C34D9" w:rsidRDefault="00CB5041">
      <w:pPr>
        <w:pStyle w:val="BodyText"/>
        <w:jc w:val="both"/>
      </w:pPr>
      <w:r>
        <w:t>Actemra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alone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discontinuation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glucocorticoids.</w:t>
      </w:r>
    </w:p>
    <w:p w14:paraId="0821285C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B16124E" w14:textId="77777777" w:rsidR="006C34D9" w:rsidRDefault="00CB5041">
      <w:pPr>
        <w:pStyle w:val="BodyText"/>
        <w:ind w:right="658"/>
        <w:jc w:val="both"/>
      </w:pPr>
      <w:r>
        <w:t>Data on use of Actemra beyond 52 weeks is limited. Treatment beyond 52 weeks should be</w:t>
      </w:r>
      <w:r>
        <w:rPr>
          <w:spacing w:val="1"/>
        </w:rPr>
        <w:t xml:space="preserve"> </w:t>
      </w:r>
      <w:r>
        <w:t>guided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disease activity,</w:t>
      </w:r>
      <w:r>
        <w:rPr>
          <w:spacing w:val="-1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assessments,</w:t>
      </w:r>
      <w:r>
        <w:rPr>
          <w:spacing w:val="-1"/>
        </w:rPr>
        <w:t xml:space="preserve"> </w:t>
      </w:r>
      <w:r>
        <w:t>patient choice</w:t>
      </w:r>
      <w:r>
        <w:rPr>
          <w:spacing w:val="-1"/>
        </w:rPr>
        <w:t xml:space="preserve"> </w:t>
      </w:r>
      <w:r>
        <w:t>and emerging</w:t>
      </w:r>
      <w:r>
        <w:rPr>
          <w:spacing w:val="-1"/>
        </w:rPr>
        <w:t xml:space="preserve"> </w:t>
      </w:r>
      <w:r>
        <w:t>data.</w:t>
      </w:r>
    </w:p>
    <w:p w14:paraId="18C94614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C923DF6" w14:textId="77777777" w:rsidR="006C34D9" w:rsidRDefault="00CB5041">
      <w:pPr>
        <w:pStyle w:val="BodyText"/>
        <w:ind w:right="657"/>
        <w:jc w:val="both"/>
      </w:pPr>
      <w:r>
        <w:t>In the event of patients experiencing a relapse of GCA during the course of Actemra therapy,</w:t>
      </w:r>
      <w:r>
        <w:rPr>
          <w:spacing w:val="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treating</w:t>
      </w:r>
      <w:r>
        <w:rPr>
          <w:spacing w:val="-12"/>
        </w:rPr>
        <w:t xml:space="preserve"> </w:t>
      </w:r>
      <w:r>
        <w:t>physician</w:t>
      </w:r>
      <w:r>
        <w:rPr>
          <w:spacing w:val="-11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t>re-introducing</w:t>
      </w:r>
      <w:r>
        <w:rPr>
          <w:spacing w:val="-11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escalating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dose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concomitant</w:t>
      </w:r>
      <w:r>
        <w:rPr>
          <w:spacing w:val="-57"/>
        </w:rPr>
        <w:t xml:space="preserve"> </w:t>
      </w:r>
      <w:r>
        <w:t>glucocorticoids (or restarting glucocorticoid therapy if it has been discontinued) according to</w:t>
      </w:r>
      <w:r>
        <w:rPr>
          <w:spacing w:val="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judgement/treatment guidelines.</w:t>
      </w:r>
    </w:p>
    <w:p w14:paraId="115FF843" w14:textId="77777777" w:rsidR="006C34D9" w:rsidRDefault="006C34D9">
      <w:pPr>
        <w:jc w:val="both"/>
        <w:sectPr w:rsidR="006C34D9">
          <w:type w:val="continuous"/>
          <w:pgSz w:w="11910" w:h="16840"/>
          <w:pgMar w:top="1420" w:right="780" w:bottom="780" w:left="780" w:header="0" w:footer="592" w:gutter="0"/>
          <w:cols w:space="720"/>
        </w:sectPr>
      </w:pPr>
    </w:p>
    <w:p w14:paraId="29C3D96A" w14:textId="77777777" w:rsidR="006C34D9" w:rsidRDefault="00CB5041">
      <w:pPr>
        <w:pStyle w:val="BodyText"/>
        <w:spacing w:before="79"/>
        <w:jc w:val="both"/>
      </w:pPr>
      <w:r>
        <w:lastRenderedPageBreak/>
        <w:t>Actemra</w:t>
      </w:r>
      <w:r>
        <w:rPr>
          <w:spacing w:val="-2"/>
        </w:rPr>
        <w:t xml:space="preserve"> </w:t>
      </w:r>
      <w:r>
        <w:t>SC</w:t>
      </w:r>
      <w:r>
        <w:rPr>
          <w:spacing w:val="-2"/>
        </w:rPr>
        <w:t xml:space="preserve"> </w:t>
      </w:r>
      <w:r>
        <w:t>formulation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administration.</w:t>
      </w:r>
    </w:p>
    <w:p w14:paraId="59787E64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E9595B8" w14:textId="77777777" w:rsidR="006C34D9" w:rsidRDefault="00CB5041">
      <w:pPr>
        <w:pStyle w:val="BodyText"/>
        <w:ind w:right="657"/>
        <w:jc w:val="both"/>
      </w:pPr>
      <w:r>
        <w:t>At least the first injection must be performed under the supervision of a qualified healthcare</w:t>
      </w:r>
      <w:r>
        <w:rPr>
          <w:spacing w:val="1"/>
        </w:rPr>
        <w:t xml:space="preserve"> </w:t>
      </w:r>
      <w:r>
        <w:t>professional, in a healthcare facility with the necessary medical treatment available (including</w:t>
      </w:r>
      <w:r>
        <w:rPr>
          <w:spacing w:val="-57"/>
        </w:rPr>
        <w:t xml:space="preserve"> </w:t>
      </w:r>
      <w:r>
        <w:t>resuscitation equipment, protocols and appropriately trained personnel) in case of the need to</w:t>
      </w:r>
      <w:r>
        <w:rPr>
          <w:spacing w:val="1"/>
        </w:rPr>
        <w:t xml:space="preserve"> </w:t>
      </w:r>
      <w:r>
        <w:t>initiate management of serious hypersensitivity reactions, including anaphylaxis. The patient</w:t>
      </w:r>
      <w:r>
        <w:rPr>
          <w:spacing w:val="1"/>
        </w:rPr>
        <w:t xml:space="preserve"> </w:t>
      </w:r>
      <w:r>
        <w:t>must be closely monitored during the injection and afterwards for any signs and symptoms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hypersensitivity reaction.</w:t>
      </w:r>
    </w:p>
    <w:p w14:paraId="4B9DBA6A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D055709" w14:textId="77777777" w:rsidR="006C34D9" w:rsidRDefault="00CB5041">
      <w:pPr>
        <w:pStyle w:val="BodyText"/>
        <w:ind w:right="657"/>
        <w:jc w:val="both"/>
      </w:pPr>
      <w:r>
        <w:t>Subcutaneous Actemra is intended for use under the guidance and supervision of the patient’s</w:t>
      </w:r>
      <w:r>
        <w:rPr>
          <w:spacing w:val="-57"/>
        </w:rPr>
        <w:t xml:space="preserve"> </w:t>
      </w:r>
      <w:r>
        <w:t>treating physician. After proper training in injection technique, patients may self-inject with</w:t>
      </w:r>
      <w:r>
        <w:rPr>
          <w:spacing w:val="1"/>
        </w:rPr>
        <w:t xml:space="preserve"> </w:t>
      </w:r>
      <w:r>
        <w:t>Actemra only if their treating physician determines that it is appropriate and is satisfied that</w:t>
      </w:r>
      <w:r>
        <w:rPr>
          <w:spacing w:val="1"/>
        </w:rPr>
        <w:t xml:space="preserve"> </w:t>
      </w:r>
      <w:r>
        <w:t>the patient can safely self-inject in the home environment and with medical follow-up as</w:t>
      </w:r>
      <w:r>
        <w:rPr>
          <w:spacing w:val="1"/>
        </w:rPr>
        <w:t xml:space="preserve"> </w:t>
      </w:r>
      <w:r>
        <w:t>necessary.</w:t>
      </w:r>
    </w:p>
    <w:p w14:paraId="50E8EF00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325C139" w14:textId="77777777" w:rsidR="006C34D9" w:rsidRDefault="00CB5041">
      <w:pPr>
        <w:pStyle w:val="BodyText"/>
        <w:spacing w:before="1"/>
        <w:ind w:left="659" w:right="657"/>
        <w:jc w:val="both"/>
      </w:pPr>
      <w:r>
        <w:t>Assess suitability of patient for SC home use and instruct patients to inform a healthcare</w:t>
      </w:r>
      <w:r>
        <w:rPr>
          <w:spacing w:val="1"/>
        </w:rPr>
        <w:t xml:space="preserve"> </w:t>
      </w:r>
      <w:r>
        <w:t>professional if they experience symptoms of allergic reaction before administering the next</w:t>
      </w:r>
      <w:r>
        <w:rPr>
          <w:spacing w:val="1"/>
        </w:rPr>
        <w:t xml:space="preserve"> </w:t>
      </w:r>
      <w:r>
        <w:t>dose.</w:t>
      </w:r>
      <w:r>
        <w:rPr>
          <w:spacing w:val="1"/>
        </w:rPr>
        <w:t xml:space="preserve"> </w:t>
      </w:r>
      <w:r>
        <w:t>Patients should seek immediate medical attention if developing symptoms of serious</w:t>
      </w:r>
      <w:r>
        <w:rPr>
          <w:spacing w:val="1"/>
        </w:rPr>
        <w:t xml:space="preserve"> </w:t>
      </w:r>
      <w:r>
        <w:t>allergic reactions (see section 4.4 Special Warnings and Precautions). Treating healthcare</w:t>
      </w:r>
      <w:r>
        <w:rPr>
          <w:spacing w:val="1"/>
        </w:rPr>
        <w:t xml:space="preserve"> </w:t>
      </w:r>
      <w:r>
        <w:t>professionals must ensure that the patient is aware of the signs of hypersensitivity and the risk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gramStart"/>
      <w:r>
        <w:t>anaphylaxis,</w:t>
      </w:r>
      <w:r>
        <w:rPr>
          <w:spacing w:val="1"/>
        </w:rPr>
        <w:t xml:space="preserve"> </w:t>
      </w:r>
      <w:r>
        <w:t>and</w:t>
      </w:r>
      <w:proofErr w:type="gram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capable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serious</w:t>
      </w:r>
      <w:r>
        <w:rPr>
          <w:spacing w:val="1"/>
        </w:rPr>
        <w:t xml:space="preserve"> </w:t>
      </w:r>
      <w:bookmarkStart w:id="15" w:name="Dose_Modification_Recommendations_for_GC"/>
      <w:bookmarkEnd w:id="15"/>
      <w:r>
        <w:t>hypersensitivity</w:t>
      </w:r>
      <w:r>
        <w:rPr>
          <w:spacing w:val="-1"/>
        </w:rPr>
        <w:t xml:space="preserve"> </w:t>
      </w:r>
      <w:r>
        <w:t>reaction</w:t>
      </w:r>
      <w:r>
        <w:rPr>
          <w:spacing w:val="-2"/>
        </w:rPr>
        <w:t xml:space="preserve"> </w:t>
      </w:r>
      <w:r>
        <w:t>occur.</w:t>
      </w:r>
    </w:p>
    <w:p w14:paraId="2A72629A" w14:textId="77777777" w:rsidR="006C34D9" w:rsidRDefault="00CB5041">
      <w:pPr>
        <w:spacing w:before="200" w:line="275" w:lineRule="exact"/>
        <w:ind w:left="659"/>
        <w:jc w:val="both"/>
        <w:rPr>
          <w:i/>
          <w:sz w:val="24"/>
        </w:rPr>
      </w:pPr>
      <w:r>
        <w:rPr>
          <w:i/>
          <w:sz w:val="24"/>
        </w:rPr>
        <w:t>Dose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Modification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Recommendations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GCA</w:t>
      </w:r>
    </w:p>
    <w:p w14:paraId="013D7EF2" w14:textId="77777777" w:rsidR="006C34D9" w:rsidRDefault="00CB5041">
      <w:pPr>
        <w:pStyle w:val="ListParagraph"/>
        <w:numPr>
          <w:ilvl w:val="2"/>
          <w:numId w:val="9"/>
        </w:numPr>
        <w:tabs>
          <w:tab w:val="left" w:pos="1379"/>
          <w:tab w:val="left" w:pos="1380"/>
        </w:tabs>
        <w:spacing w:line="293" w:lineRule="exact"/>
        <w:ind w:hanging="361"/>
        <w:rPr>
          <w:sz w:val="24"/>
        </w:rPr>
      </w:pPr>
      <w:r>
        <w:rPr>
          <w:sz w:val="24"/>
        </w:rPr>
        <w:t>Liver</w:t>
      </w:r>
      <w:r>
        <w:rPr>
          <w:spacing w:val="-2"/>
          <w:sz w:val="24"/>
        </w:rPr>
        <w:t xml:space="preserve"> </w:t>
      </w:r>
      <w:r>
        <w:rPr>
          <w:sz w:val="24"/>
        </w:rPr>
        <w:t>enzyme</w:t>
      </w:r>
      <w:r>
        <w:rPr>
          <w:spacing w:val="-2"/>
          <w:sz w:val="24"/>
        </w:rPr>
        <w:t xml:space="preserve"> </w:t>
      </w:r>
      <w:r>
        <w:rPr>
          <w:sz w:val="24"/>
        </w:rPr>
        <w:t>abnormalities</w:t>
      </w:r>
    </w:p>
    <w:p w14:paraId="2F3BCAF4" w14:textId="77777777" w:rsidR="006C34D9" w:rsidRDefault="006C34D9">
      <w:pPr>
        <w:pStyle w:val="BodyText"/>
        <w:spacing w:before="11"/>
        <w:ind w:left="0"/>
        <w:rPr>
          <w:sz w:val="14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5"/>
        <w:gridCol w:w="6942"/>
      </w:tblGrid>
      <w:tr w:rsidR="006C34D9" w14:paraId="0E67FF68" w14:textId="77777777">
        <w:trPr>
          <w:trHeight w:val="276"/>
        </w:trPr>
        <w:tc>
          <w:tcPr>
            <w:tcW w:w="2075" w:type="dxa"/>
          </w:tcPr>
          <w:p w14:paraId="23E5BF98" w14:textId="77777777" w:rsidR="006C34D9" w:rsidRDefault="00CB5041">
            <w:pPr>
              <w:pStyle w:val="TableParagraph"/>
              <w:spacing w:before="1" w:line="255" w:lineRule="exact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Lab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</w:p>
        </w:tc>
        <w:tc>
          <w:tcPr>
            <w:tcW w:w="6942" w:type="dxa"/>
          </w:tcPr>
          <w:p w14:paraId="3FF3FE1A" w14:textId="77777777" w:rsidR="006C34D9" w:rsidRDefault="00CB5041">
            <w:pPr>
              <w:pStyle w:val="TableParagraph"/>
              <w:spacing w:before="1" w:line="255" w:lineRule="exact"/>
              <w:ind w:left="3109" w:right="3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</w:tr>
      <w:tr w:rsidR="006C34D9" w14:paraId="1DBDFB0E" w14:textId="77777777">
        <w:trPr>
          <w:trHeight w:val="1379"/>
        </w:trPr>
        <w:tc>
          <w:tcPr>
            <w:tcW w:w="2075" w:type="dxa"/>
          </w:tcPr>
          <w:p w14:paraId="46BDED61" w14:textId="77777777" w:rsidR="006C34D9" w:rsidRDefault="00CB50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to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 ULN</w:t>
            </w:r>
          </w:p>
        </w:tc>
        <w:tc>
          <w:tcPr>
            <w:tcW w:w="6942" w:type="dxa"/>
          </w:tcPr>
          <w:p w14:paraId="7F488FB4" w14:textId="77777777" w:rsidR="006C34D9" w:rsidRDefault="00CB5041">
            <w:pPr>
              <w:pStyle w:val="TableParagraph"/>
              <w:spacing w:line="276" w:lineRule="exact"/>
              <w:ind w:right="79"/>
              <w:rPr>
                <w:sz w:val="24"/>
              </w:rPr>
            </w:pPr>
            <w:r>
              <w:rPr>
                <w:sz w:val="24"/>
              </w:rPr>
              <w:t>Dose modify concomitant immunomodulatory agents if appropriate.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persistent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increases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range,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injection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interrupt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ALT/AST have </w:t>
            </w:r>
            <w:proofErr w:type="spellStart"/>
            <w:r>
              <w:rPr>
                <w:sz w:val="24"/>
              </w:rPr>
              <w:t>normalised</w:t>
            </w:r>
            <w:proofErr w:type="spellEnd"/>
            <w:r>
              <w:rPr>
                <w:sz w:val="24"/>
              </w:rPr>
              <w:t>. Restart with weekly injection or injection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week, as clinically appropriate.</w:t>
            </w:r>
          </w:p>
        </w:tc>
      </w:tr>
      <w:tr w:rsidR="006C34D9" w14:paraId="70D5FD01" w14:textId="77777777">
        <w:trPr>
          <w:trHeight w:val="1379"/>
        </w:trPr>
        <w:tc>
          <w:tcPr>
            <w:tcW w:w="2075" w:type="dxa"/>
          </w:tcPr>
          <w:p w14:paraId="1C551BEF" w14:textId="77777777" w:rsidR="006C34D9" w:rsidRDefault="00CB50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to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 ULN</w:t>
            </w:r>
          </w:p>
        </w:tc>
        <w:tc>
          <w:tcPr>
            <w:tcW w:w="6942" w:type="dxa"/>
          </w:tcPr>
          <w:p w14:paraId="081D5D1F" w14:textId="77777777" w:rsidR="006C34D9" w:rsidRDefault="00CB504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Interrupt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&gt;1 to 3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ULN.</w:t>
            </w:r>
          </w:p>
          <w:p w14:paraId="698A11B3" w14:textId="77777777" w:rsidR="006C34D9" w:rsidRDefault="00CB5041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For persistent increases &gt; 3 x ULN (confirmed by repeat testing, see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section 4.4 Special Warnings and Precautions for Use), discontinue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Actemra.</w:t>
            </w:r>
          </w:p>
        </w:tc>
      </w:tr>
      <w:tr w:rsidR="006C34D9" w14:paraId="215BBBE8" w14:textId="77777777">
        <w:trPr>
          <w:trHeight w:val="275"/>
        </w:trPr>
        <w:tc>
          <w:tcPr>
            <w:tcW w:w="2075" w:type="dxa"/>
          </w:tcPr>
          <w:p w14:paraId="5C580EAA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ULN</w:t>
            </w:r>
          </w:p>
        </w:tc>
        <w:tc>
          <w:tcPr>
            <w:tcW w:w="6942" w:type="dxa"/>
          </w:tcPr>
          <w:p w14:paraId="393780FA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Discontinue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Actemra.</w:t>
            </w:r>
          </w:p>
        </w:tc>
      </w:tr>
    </w:tbl>
    <w:p w14:paraId="574478E3" w14:textId="77777777" w:rsidR="006C34D9" w:rsidRDefault="00CB5041">
      <w:pPr>
        <w:pStyle w:val="ListParagraph"/>
        <w:numPr>
          <w:ilvl w:val="2"/>
          <w:numId w:val="9"/>
        </w:numPr>
        <w:tabs>
          <w:tab w:val="left" w:pos="1379"/>
          <w:tab w:val="left" w:pos="1380"/>
        </w:tabs>
        <w:spacing w:before="240"/>
        <w:rPr>
          <w:sz w:val="24"/>
        </w:rPr>
      </w:pPr>
      <w:r>
        <w:rPr>
          <w:sz w:val="24"/>
        </w:rPr>
        <w:t>Low</w:t>
      </w:r>
      <w:r>
        <w:rPr>
          <w:spacing w:val="-3"/>
          <w:sz w:val="24"/>
        </w:rPr>
        <w:t xml:space="preserve"> </w:t>
      </w:r>
      <w:r>
        <w:rPr>
          <w:sz w:val="24"/>
        </w:rPr>
        <w:t>absolute</w:t>
      </w:r>
      <w:r>
        <w:rPr>
          <w:spacing w:val="-1"/>
          <w:sz w:val="24"/>
        </w:rPr>
        <w:t xml:space="preserve"> </w:t>
      </w:r>
      <w:r>
        <w:rPr>
          <w:sz w:val="24"/>
        </w:rPr>
        <w:t>neutrophil</w:t>
      </w:r>
      <w:r>
        <w:rPr>
          <w:spacing w:val="-2"/>
          <w:sz w:val="24"/>
        </w:rPr>
        <w:t xml:space="preserve"> </w:t>
      </w:r>
      <w:r>
        <w:rPr>
          <w:sz w:val="24"/>
        </w:rPr>
        <w:t>count</w:t>
      </w:r>
      <w:r>
        <w:rPr>
          <w:spacing w:val="-2"/>
          <w:sz w:val="24"/>
        </w:rPr>
        <w:t xml:space="preserve"> </w:t>
      </w:r>
      <w:r>
        <w:rPr>
          <w:sz w:val="24"/>
        </w:rPr>
        <w:t>(ANC)</w:t>
      </w:r>
    </w:p>
    <w:p w14:paraId="78DE92D9" w14:textId="77777777" w:rsidR="006C34D9" w:rsidRDefault="006C34D9">
      <w:pPr>
        <w:pStyle w:val="BodyText"/>
        <w:spacing w:before="10"/>
        <w:ind w:left="0"/>
        <w:rPr>
          <w:sz w:val="14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7056"/>
      </w:tblGrid>
      <w:tr w:rsidR="006C34D9" w14:paraId="11D2B840" w14:textId="77777777">
        <w:trPr>
          <w:trHeight w:val="551"/>
        </w:trPr>
        <w:tc>
          <w:tcPr>
            <w:tcW w:w="1961" w:type="dxa"/>
          </w:tcPr>
          <w:p w14:paraId="0DB48EBD" w14:textId="77777777" w:rsidR="006C34D9" w:rsidRDefault="00CB5041">
            <w:pPr>
              <w:pStyle w:val="TableParagraph"/>
              <w:spacing w:line="270" w:lineRule="atLeast"/>
              <w:ind w:left="286" w:right="273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Lab Value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(cells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  <w:vertAlign w:val="superscript"/>
              </w:rPr>
              <w:t>9</w:t>
            </w:r>
            <w:r>
              <w:rPr>
                <w:b/>
                <w:sz w:val="24"/>
              </w:rPr>
              <w:t>/L)</w:t>
            </w:r>
          </w:p>
        </w:tc>
        <w:tc>
          <w:tcPr>
            <w:tcW w:w="7056" w:type="dxa"/>
          </w:tcPr>
          <w:p w14:paraId="62D49E88" w14:textId="77777777" w:rsidR="006C34D9" w:rsidRDefault="00CB5041">
            <w:pPr>
              <w:pStyle w:val="TableParagraph"/>
              <w:ind w:left="3165" w:right="3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</w:tr>
      <w:tr w:rsidR="006C34D9" w14:paraId="0CB4C815" w14:textId="77777777">
        <w:trPr>
          <w:trHeight w:val="275"/>
        </w:trPr>
        <w:tc>
          <w:tcPr>
            <w:tcW w:w="1961" w:type="dxa"/>
          </w:tcPr>
          <w:p w14:paraId="5BF337DB" w14:textId="77777777" w:rsidR="006C34D9" w:rsidRDefault="00CB504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ANC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056" w:type="dxa"/>
          </w:tcPr>
          <w:p w14:paraId="1CB2A6C6" w14:textId="77777777" w:rsidR="006C34D9" w:rsidRDefault="00CB504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dose.</w:t>
            </w:r>
          </w:p>
        </w:tc>
      </w:tr>
      <w:tr w:rsidR="006C34D9" w14:paraId="0A4637F8" w14:textId="77777777">
        <w:trPr>
          <w:trHeight w:val="828"/>
        </w:trPr>
        <w:tc>
          <w:tcPr>
            <w:tcW w:w="1961" w:type="dxa"/>
          </w:tcPr>
          <w:p w14:paraId="0E6C926B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ANC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0.5 to 1</w:t>
            </w:r>
          </w:p>
        </w:tc>
        <w:tc>
          <w:tcPr>
            <w:tcW w:w="7056" w:type="dxa"/>
          </w:tcPr>
          <w:p w14:paraId="7639BC9A" w14:textId="77777777" w:rsidR="006C34D9" w:rsidRDefault="00CB504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Interrupt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dosing</w:t>
            </w:r>
          </w:p>
          <w:p w14:paraId="200566D2" w14:textId="77777777" w:rsidR="006C34D9" w:rsidRDefault="00CB504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</w:rPr>
              <w:t>/L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resume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injection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frequency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every week,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clinically appropriate.</w:t>
            </w:r>
          </w:p>
        </w:tc>
      </w:tr>
      <w:tr w:rsidR="006C34D9" w14:paraId="6411F78F" w14:textId="77777777">
        <w:trPr>
          <w:trHeight w:val="275"/>
        </w:trPr>
        <w:tc>
          <w:tcPr>
            <w:tcW w:w="1961" w:type="dxa"/>
          </w:tcPr>
          <w:p w14:paraId="42DDE8FB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ANC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</w:p>
        </w:tc>
        <w:tc>
          <w:tcPr>
            <w:tcW w:w="7056" w:type="dxa"/>
          </w:tcPr>
          <w:p w14:paraId="563FAE63" w14:textId="77777777" w:rsidR="006C34D9" w:rsidRDefault="00CB504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Discontinue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Actemra.</w:t>
            </w:r>
          </w:p>
        </w:tc>
      </w:tr>
    </w:tbl>
    <w:p w14:paraId="205322DC" w14:textId="77777777" w:rsidR="006C34D9" w:rsidRDefault="00CB5041">
      <w:pPr>
        <w:pStyle w:val="ListParagraph"/>
        <w:numPr>
          <w:ilvl w:val="2"/>
          <w:numId w:val="9"/>
        </w:numPr>
        <w:tabs>
          <w:tab w:val="left" w:pos="1379"/>
          <w:tab w:val="left" w:pos="1380"/>
        </w:tabs>
        <w:spacing w:before="239"/>
        <w:rPr>
          <w:sz w:val="24"/>
        </w:rPr>
      </w:pP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platelet</w:t>
      </w:r>
      <w:r>
        <w:rPr>
          <w:spacing w:val="-2"/>
          <w:sz w:val="24"/>
        </w:rPr>
        <w:t xml:space="preserve"> </w:t>
      </w:r>
      <w:r>
        <w:rPr>
          <w:sz w:val="24"/>
        </w:rPr>
        <w:t>count</w:t>
      </w:r>
    </w:p>
    <w:p w14:paraId="306D19B4" w14:textId="77777777" w:rsidR="006C34D9" w:rsidRDefault="006C34D9">
      <w:pPr>
        <w:rPr>
          <w:sz w:val="24"/>
        </w:r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37"/>
      </w:tblGrid>
      <w:tr w:rsidR="006C34D9" w14:paraId="2D60ED8B" w14:textId="77777777">
        <w:trPr>
          <w:trHeight w:val="551"/>
        </w:trPr>
        <w:tc>
          <w:tcPr>
            <w:tcW w:w="1980" w:type="dxa"/>
          </w:tcPr>
          <w:p w14:paraId="647FE8AD" w14:textId="77777777" w:rsidR="006C34D9" w:rsidRDefault="00CB5041">
            <w:pPr>
              <w:pStyle w:val="TableParagraph"/>
              <w:spacing w:line="270" w:lineRule="atLeast"/>
              <w:ind w:left="296" w:right="283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Lab Value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(cells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  <w:vertAlign w:val="superscript"/>
              </w:rPr>
              <w:t>9</w:t>
            </w:r>
            <w:r>
              <w:rPr>
                <w:b/>
                <w:sz w:val="24"/>
              </w:rPr>
              <w:t>/L)</w:t>
            </w:r>
          </w:p>
        </w:tc>
        <w:tc>
          <w:tcPr>
            <w:tcW w:w="7037" w:type="dxa"/>
          </w:tcPr>
          <w:p w14:paraId="1A0E3055" w14:textId="77777777" w:rsidR="006C34D9" w:rsidRDefault="00CB5041">
            <w:pPr>
              <w:pStyle w:val="TableParagraph"/>
              <w:ind w:left="3157" w:right="3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</w:tr>
      <w:tr w:rsidR="006C34D9" w14:paraId="762706E0" w14:textId="77777777">
        <w:trPr>
          <w:trHeight w:val="1104"/>
        </w:trPr>
        <w:tc>
          <w:tcPr>
            <w:tcW w:w="1980" w:type="dxa"/>
          </w:tcPr>
          <w:p w14:paraId="7A85BDF7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 to 100</w:t>
            </w:r>
          </w:p>
        </w:tc>
        <w:tc>
          <w:tcPr>
            <w:tcW w:w="7037" w:type="dxa"/>
          </w:tcPr>
          <w:p w14:paraId="77D5B014" w14:textId="77777777" w:rsidR="006C34D9" w:rsidRDefault="00CB504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Interrupt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Actemra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dosing.</w:t>
            </w:r>
          </w:p>
          <w:p w14:paraId="5BD0D923" w14:textId="77777777" w:rsidR="006C34D9" w:rsidRDefault="00CB5041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When platelet count is &gt; 100 x 10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</w:rPr>
              <w:t>/L resume Actemra injection every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clinically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</w:p>
        </w:tc>
      </w:tr>
      <w:tr w:rsidR="006C34D9" w14:paraId="5D52B3E8" w14:textId="77777777">
        <w:trPr>
          <w:trHeight w:val="275"/>
        </w:trPr>
        <w:tc>
          <w:tcPr>
            <w:tcW w:w="1980" w:type="dxa"/>
          </w:tcPr>
          <w:p w14:paraId="523FC68B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&lt; 50</w:t>
            </w:r>
          </w:p>
        </w:tc>
        <w:tc>
          <w:tcPr>
            <w:tcW w:w="7037" w:type="dxa"/>
          </w:tcPr>
          <w:p w14:paraId="73B0B668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Discontinue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Actemra.</w:t>
            </w:r>
          </w:p>
        </w:tc>
      </w:tr>
    </w:tbl>
    <w:p w14:paraId="48CCBC7F" w14:textId="77777777" w:rsidR="006C34D9" w:rsidRDefault="006C34D9">
      <w:pPr>
        <w:pStyle w:val="BodyText"/>
        <w:spacing w:before="7"/>
        <w:ind w:left="0"/>
        <w:rPr>
          <w:sz w:val="9"/>
        </w:rPr>
      </w:pPr>
    </w:p>
    <w:p w14:paraId="71683F95" w14:textId="77777777" w:rsidR="006C34D9" w:rsidRDefault="00CB5041">
      <w:pPr>
        <w:spacing w:before="90" w:line="275" w:lineRule="exact"/>
        <w:ind w:left="660"/>
        <w:jc w:val="both"/>
        <w:rPr>
          <w:i/>
          <w:sz w:val="24"/>
        </w:rPr>
      </w:pPr>
      <w:bookmarkStart w:id="16" w:name="Missed_dose_(GCA/RA)"/>
      <w:bookmarkEnd w:id="16"/>
      <w:r>
        <w:rPr>
          <w:i/>
          <w:sz w:val="24"/>
        </w:rPr>
        <w:t>Missed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(GCA/RA)</w:t>
      </w:r>
    </w:p>
    <w:p w14:paraId="475C231A" w14:textId="77777777" w:rsidR="006C34D9" w:rsidRDefault="00CB5041">
      <w:pPr>
        <w:pStyle w:val="BodyText"/>
        <w:ind w:left="659" w:right="657"/>
        <w:jc w:val="both"/>
      </w:pPr>
      <w:r>
        <w:t>If a patient misses a weekly injection of Actemra within 7 days of the scheduled dose, they</w:t>
      </w:r>
      <w:r>
        <w:rPr>
          <w:spacing w:val="1"/>
        </w:rPr>
        <w:t xml:space="preserve"> </w:t>
      </w:r>
      <w:r>
        <w:t>should be instructed to take the missed dose on the next scheduled day. If a patient misses a</w:t>
      </w:r>
      <w:r>
        <w:rPr>
          <w:spacing w:val="1"/>
        </w:rPr>
        <w:t xml:space="preserve"> </w:t>
      </w:r>
      <w:r>
        <w:t>fortnightly (i.e. every other week) injection of Actemra within 7 days of the scheduled dose,</w:t>
      </w:r>
      <w:r>
        <w:rPr>
          <w:spacing w:val="1"/>
        </w:rPr>
        <w:t xml:space="preserve"> </w:t>
      </w:r>
      <w:r>
        <w:t>they should be instructed to take the missed dose immediately and the next dose on the next</w:t>
      </w:r>
      <w:r>
        <w:rPr>
          <w:spacing w:val="1"/>
        </w:rPr>
        <w:t xml:space="preserve"> </w:t>
      </w:r>
      <w:bookmarkStart w:id="17" w:name="Cytokine_Release_Syndrome_(CRS)_(adults_"/>
      <w:bookmarkEnd w:id="17"/>
      <w:r>
        <w:t>scheduled</w:t>
      </w:r>
      <w:r>
        <w:rPr>
          <w:spacing w:val="-1"/>
        </w:rPr>
        <w:t xml:space="preserve"> </w:t>
      </w:r>
      <w:r>
        <w:t>day.</w:t>
      </w:r>
    </w:p>
    <w:p w14:paraId="34BB6C8B" w14:textId="77777777" w:rsidR="006C34D9" w:rsidRDefault="00CB5041">
      <w:pPr>
        <w:pStyle w:val="BodyText"/>
        <w:spacing w:before="199"/>
        <w:jc w:val="both"/>
      </w:pPr>
      <w:r>
        <w:rPr>
          <w:u w:val="single"/>
        </w:rPr>
        <w:t>Cytokine</w:t>
      </w:r>
      <w:r>
        <w:rPr>
          <w:spacing w:val="-2"/>
          <w:u w:val="single"/>
        </w:rPr>
        <w:t xml:space="preserve"> </w:t>
      </w:r>
      <w:r>
        <w:rPr>
          <w:u w:val="single"/>
        </w:rPr>
        <w:t>Release</w:t>
      </w:r>
      <w:r>
        <w:rPr>
          <w:spacing w:val="-2"/>
          <w:u w:val="single"/>
        </w:rPr>
        <w:t xml:space="preserve"> </w:t>
      </w:r>
      <w:r>
        <w:rPr>
          <w:u w:val="single"/>
        </w:rPr>
        <w:t>Syndrome</w:t>
      </w:r>
      <w:r>
        <w:rPr>
          <w:spacing w:val="-2"/>
          <w:u w:val="single"/>
        </w:rPr>
        <w:t xml:space="preserve"> </w:t>
      </w:r>
      <w:r>
        <w:rPr>
          <w:u w:val="single"/>
        </w:rPr>
        <w:t>(CRS)</w:t>
      </w:r>
      <w:r>
        <w:rPr>
          <w:spacing w:val="-2"/>
          <w:u w:val="single"/>
        </w:rPr>
        <w:t xml:space="preserve"> </w:t>
      </w:r>
      <w:r>
        <w:rPr>
          <w:u w:val="single"/>
        </w:rPr>
        <w:t>(adults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paediatrics</w:t>
      </w:r>
      <w:proofErr w:type="spellEnd"/>
      <w:r>
        <w:rPr>
          <w:u w:val="single"/>
        </w:rPr>
        <w:t>)</w:t>
      </w:r>
    </w:p>
    <w:p w14:paraId="153FF102" w14:textId="77777777" w:rsidR="006C34D9" w:rsidRDefault="00CB5041">
      <w:pPr>
        <w:pStyle w:val="BodyText"/>
        <w:ind w:left="659" w:right="657"/>
        <w:jc w:val="both"/>
      </w:pPr>
      <w:r>
        <w:t>The recommended dose for treatment of CRS is 8 mg/kg in patients weighing greater than or</w:t>
      </w:r>
      <w:r>
        <w:rPr>
          <w:spacing w:val="1"/>
        </w:rPr>
        <w:t xml:space="preserve"> </w:t>
      </w:r>
      <w:r>
        <w:t>equal to</w:t>
      </w:r>
      <w:r>
        <w:rPr>
          <w:spacing w:val="1"/>
        </w:rPr>
        <w:t xml:space="preserve"> </w:t>
      </w:r>
      <w:r>
        <w:t>30 kg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12 mg/kg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weighing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30 kg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60-minute</w:t>
      </w:r>
      <w:r>
        <w:rPr>
          <w:spacing w:val="1"/>
        </w:rPr>
        <w:t xml:space="preserve"> </w:t>
      </w:r>
      <w:r>
        <w:t>intravenous</w:t>
      </w:r>
      <w:r>
        <w:rPr>
          <w:spacing w:val="-2"/>
        </w:rPr>
        <w:t xml:space="preserve"> </w:t>
      </w:r>
      <w:r>
        <w:t>infusion.</w:t>
      </w:r>
    </w:p>
    <w:p w14:paraId="510D8B67" w14:textId="77777777" w:rsidR="006C34D9" w:rsidRDefault="006C34D9">
      <w:pPr>
        <w:pStyle w:val="BodyText"/>
        <w:ind w:left="0"/>
      </w:pPr>
    </w:p>
    <w:p w14:paraId="0FA9D8AB" w14:textId="77777777" w:rsidR="006C34D9" w:rsidRDefault="00CB5041">
      <w:pPr>
        <w:pStyle w:val="BodyText"/>
        <w:ind w:left="659"/>
        <w:jc w:val="both"/>
      </w:pPr>
      <w:r>
        <w:t>Actemra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alone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combination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corticosteroids.</w:t>
      </w:r>
    </w:p>
    <w:p w14:paraId="01E9E155" w14:textId="77777777" w:rsidR="006C34D9" w:rsidRDefault="006C34D9">
      <w:pPr>
        <w:pStyle w:val="BodyText"/>
        <w:ind w:left="0"/>
      </w:pPr>
    </w:p>
    <w:p w14:paraId="047618C1" w14:textId="77777777" w:rsidR="006C34D9" w:rsidRDefault="00CB5041">
      <w:pPr>
        <w:pStyle w:val="BodyText"/>
        <w:ind w:left="659" w:right="658"/>
        <w:jc w:val="both"/>
      </w:pPr>
      <w:r>
        <w:t>If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CRS</w:t>
      </w:r>
      <w:r>
        <w:rPr>
          <w:spacing w:val="-3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dose,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3 additional doses of Actemra may be administered. The interval between consecutive doses</w:t>
      </w:r>
      <w:r>
        <w:rPr>
          <w:spacing w:val="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hours.</w:t>
      </w:r>
      <w:r>
        <w:rPr>
          <w:spacing w:val="-4"/>
        </w:rPr>
        <w:t xml:space="preserve"> </w:t>
      </w:r>
      <w:r>
        <w:t>Doses</w:t>
      </w:r>
      <w:r>
        <w:rPr>
          <w:spacing w:val="-4"/>
        </w:rPr>
        <w:t xml:space="preserve"> </w:t>
      </w:r>
      <w:r>
        <w:t>exceeding</w:t>
      </w:r>
      <w:r>
        <w:rPr>
          <w:spacing w:val="-4"/>
        </w:rPr>
        <w:t xml:space="preserve"> </w:t>
      </w:r>
      <w:r>
        <w:t>800</w:t>
      </w:r>
      <w:r>
        <w:rPr>
          <w:spacing w:val="-4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infusion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CRS</w:t>
      </w:r>
      <w:r>
        <w:rPr>
          <w:spacing w:val="-58"/>
        </w:rPr>
        <w:t xml:space="preserve"> </w:t>
      </w:r>
      <w:r>
        <w:t>patients.</w:t>
      </w:r>
    </w:p>
    <w:p w14:paraId="41A0514C" w14:textId="77777777" w:rsidR="006C34D9" w:rsidRDefault="006C34D9">
      <w:pPr>
        <w:pStyle w:val="BodyText"/>
        <w:spacing w:before="1"/>
        <w:ind w:left="0"/>
        <w:rPr>
          <w:sz w:val="21"/>
        </w:rPr>
      </w:pPr>
    </w:p>
    <w:p w14:paraId="3E5BAF62" w14:textId="77777777" w:rsidR="006C34D9" w:rsidRDefault="00CB5041">
      <w:pPr>
        <w:pStyle w:val="Heading2"/>
        <w:ind w:left="659" w:right="657"/>
      </w:pPr>
      <w:r>
        <w:t>Patients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severe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life-threatening</w:t>
      </w:r>
      <w:r>
        <w:rPr>
          <w:spacing w:val="-5"/>
        </w:rPr>
        <w:t xml:space="preserve"> </w:t>
      </w:r>
      <w:r>
        <w:t>CRS</w:t>
      </w:r>
      <w:r>
        <w:rPr>
          <w:spacing w:val="-5"/>
        </w:rPr>
        <w:t xml:space="preserve"> </w:t>
      </w:r>
      <w:r>
        <w:t>frequently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proofErr w:type="spellStart"/>
      <w:r>
        <w:t>cytopenias</w:t>
      </w:r>
      <w:proofErr w:type="spellEnd"/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elevated</w:t>
      </w:r>
      <w:r>
        <w:rPr>
          <w:spacing w:val="-5"/>
        </w:rPr>
        <w:t xml:space="preserve"> </w:t>
      </w:r>
      <w:r>
        <w:t>ALT</w:t>
      </w:r>
      <w:r>
        <w:rPr>
          <w:spacing w:val="-57"/>
        </w:rPr>
        <w:t xml:space="preserve"> </w:t>
      </w:r>
      <w:r>
        <w:t>or AST due to the underlying malignancy, preceding lymphodepleting chemotherapy or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CRS.</w:t>
      </w:r>
    </w:p>
    <w:p w14:paraId="5E642AE6" w14:textId="77777777" w:rsidR="006C34D9" w:rsidRDefault="006C34D9">
      <w:pPr>
        <w:pStyle w:val="BodyText"/>
        <w:spacing w:before="8"/>
        <w:ind w:left="0"/>
        <w:rPr>
          <w:b/>
          <w:sz w:val="20"/>
        </w:rPr>
      </w:pPr>
    </w:p>
    <w:p w14:paraId="43CEB3C3" w14:textId="77777777" w:rsidR="006C34D9" w:rsidRDefault="00CB5041">
      <w:pPr>
        <w:pStyle w:val="BodyText"/>
      </w:pPr>
      <w:bookmarkStart w:id="18" w:name="COVID-19_(IV_formulation_only)"/>
      <w:bookmarkEnd w:id="18"/>
      <w:r>
        <w:rPr>
          <w:u w:val="single"/>
        </w:rPr>
        <w:t>COVID-19</w:t>
      </w:r>
      <w:r>
        <w:rPr>
          <w:spacing w:val="-3"/>
          <w:u w:val="single"/>
        </w:rPr>
        <w:t xml:space="preserve"> </w:t>
      </w:r>
      <w:r>
        <w:rPr>
          <w:u w:val="single"/>
        </w:rPr>
        <w:t>(IV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formulation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only)</w:t>
      </w:r>
    </w:p>
    <w:p w14:paraId="6BD3237E" w14:textId="77777777" w:rsidR="006C34D9" w:rsidRDefault="00CB5041">
      <w:pPr>
        <w:pStyle w:val="BodyText"/>
        <w:ind w:left="659" w:right="659"/>
      </w:pPr>
      <w:r>
        <w:t>The recommended dose of</w:t>
      </w:r>
      <w:r>
        <w:rPr>
          <w:spacing w:val="-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for treatment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adult</w:t>
      </w:r>
      <w:r>
        <w:rPr>
          <w:spacing w:val="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COVID-19 is a single</w:t>
      </w:r>
      <w:r>
        <w:rPr>
          <w:spacing w:val="-57"/>
        </w:rPr>
        <w:t xml:space="preserve"> </w:t>
      </w:r>
      <w:r>
        <w:t>60-minute</w:t>
      </w:r>
      <w:r>
        <w:rPr>
          <w:spacing w:val="-1"/>
        </w:rPr>
        <w:t xml:space="preserve"> </w:t>
      </w:r>
      <w:r>
        <w:t>infusion of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mg/kg.</w:t>
      </w:r>
    </w:p>
    <w:p w14:paraId="1E0588F2" w14:textId="77777777" w:rsidR="006C34D9" w:rsidRDefault="00CB5041">
      <w:pPr>
        <w:pStyle w:val="BodyText"/>
        <w:spacing w:before="6" w:line="510" w:lineRule="atLeast"/>
        <w:ind w:right="1172"/>
      </w:pPr>
      <w:r>
        <w:t>Doses exceeding 800 mg per infusion are not recommended in patients with COVID-19.</w:t>
      </w:r>
      <w:r>
        <w:rPr>
          <w:spacing w:val="-57"/>
        </w:rPr>
        <w:t xml:space="preserve"> </w:t>
      </w:r>
      <w:r>
        <w:rPr>
          <w:u w:val="single"/>
        </w:rPr>
        <w:t>Polyarticular</w:t>
      </w:r>
      <w:r>
        <w:rPr>
          <w:spacing w:val="-1"/>
          <w:u w:val="single"/>
        </w:rPr>
        <w:t xml:space="preserve"> </w:t>
      </w:r>
      <w:r>
        <w:rPr>
          <w:u w:val="single"/>
        </w:rPr>
        <w:t>Juvenile</w:t>
      </w:r>
      <w:r>
        <w:rPr>
          <w:spacing w:val="-1"/>
          <w:u w:val="single"/>
        </w:rPr>
        <w:t xml:space="preserve"> </w:t>
      </w:r>
      <w:r>
        <w:rPr>
          <w:u w:val="single"/>
        </w:rPr>
        <w:t>Idiopathic Arthritis</w:t>
      </w:r>
      <w:r>
        <w:rPr>
          <w:spacing w:val="-1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pJIA</w:t>
      </w:r>
      <w:proofErr w:type="spellEnd"/>
      <w:r>
        <w:rPr>
          <w:u w:val="single"/>
        </w:rPr>
        <w:t>)</w:t>
      </w:r>
      <w:r>
        <w:rPr>
          <w:spacing w:val="-2"/>
          <w:u w:val="single"/>
        </w:rPr>
        <w:t xml:space="preserve"> </w:t>
      </w:r>
      <w:r>
        <w:rPr>
          <w:u w:val="single"/>
        </w:rPr>
        <w:t>(IV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SC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formulations)</w:t>
      </w:r>
    </w:p>
    <w:p w14:paraId="55635C3E" w14:textId="77777777" w:rsidR="006C34D9" w:rsidRDefault="00CB5041">
      <w:pPr>
        <w:pStyle w:val="BodyText"/>
        <w:spacing w:before="6"/>
        <w:ind w:right="596"/>
      </w:pPr>
      <w:r>
        <w:t>A</w:t>
      </w:r>
      <w:r>
        <w:rPr>
          <w:spacing w:val="-12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dose</w:t>
      </w:r>
      <w:r>
        <w:rPr>
          <w:spacing w:val="-11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consistent</w:t>
      </w:r>
      <w:r>
        <w:rPr>
          <w:spacing w:val="-10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patient’s</w:t>
      </w:r>
      <w:r>
        <w:rPr>
          <w:spacing w:val="-11"/>
        </w:rPr>
        <w:t xml:space="preserve"> </w:t>
      </w:r>
      <w:r>
        <w:t>body</w:t>
      </w:r>
      <w:r>
        <w:rPr>
          <w:spacing w:val="-11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t>over</w:t>
      </w:r>
      <w:r>
        <w:rPr>
          <w:spacing w:val="-57"/>
        </w:rPr>
        <w:t xml:space="preserve"> </w:t>
      </w:r>
      <w:r>
        <w:t>time.</w:t>
      </w:r>
      <w:r>
        <w:rPr>
          <w:spacing w:val="59"/>
        </w:rPr>
        <w:t xml:space="preserve"> </w:t>
      </w:r>
      <w:r>
        <w:t>Actemra can be</w:t>
      </w:r>
      <w:r>
        <w:rPr>
          <w:spacing w:val="-1"/>
        </w:rPr>
        <w:t xml:space="preserve"> </w:t>
      </w:r>
      <w:r>
        <w:t>used alone or in combination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MTX.</w:t>
      </w:r>
    </w:p>
    <w:p w14:paraId="5FD6966E" w14:textId="77777777" w:rsidR="006C34D9" w:rsidRDefault="00CB5041">
      <w:pPr>
        <w:spacing w:before="202" w:line="275" w:lineRule="exact"/>
        <w:ind w:left="660"/>
        <w:rPr>
          <w:i/>
          <w:sz w:val="24"/>
        </w:rPr>
      </w:pPr>
      <w:r>
        <w:rPr>
          <w:i/>
          <w:sz w:val="24"/>
        </w:rPr>
        <w:t>Intravenous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Regimen</w:t>
      </w:r>
    </w:p>
    <w:p w14:paraId="4655E6FB" w14:textId="77777777" w:rsidR="006C34D9" w:rsidRDefault="00CB5041">
      <w:pPr>
        <w:pStyle w:val="BodyText"/>
        <w:spacing w:line="275" w:lineRule="exact"/>
      </w:pPr>
      <w:r>
        <w:t>The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spellStart"/>
      <w:r>
        <w:t>pJIA</w:t>
      </w:r>
      <w:proofErr w:type="spellEnd"/>
      <w:r>
        <w:rPr>
          <w:spacing w:val="-2"/>
        </w:rPr>
        <w:t xml:space="preserve"> </w:t>
      </w:r>
      <w:r>
        <w:t>is:</w:t>
      </w:r>
    </w:p>
    <w:p w14:paraId="688B1009" w14:textId="77777777" w:rsidR="006C34D9" w:rsidRDefault="00CB5041">
      <w:pPr>
        <w:pStyle w:val="ListParagraph"/>
        <w:numPr>
          <w:ilvl w:val="2"/>
          <w:numId w:val="9"/>
        </w:numPr>
        <w:tabs>
          <w:tab w:val="left" w:pos="1379"/>
          <w:tab w:val="left" w:pos="1380"/>
        </w:tabs>
        <w:spacing w:line="294" w:lineRule="exact"/>
        <w:rPr>
          <w:sz w:val="24"/>
        </w:rPr>
      </w:pPr>
      <w:r>
        <w:rPr>
          <w:sz w:val="24"/>
        </w:rPr>
        <w:t>10 mg/kg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30 kg,</w:t>
      </w:r>
    </w:p>
    <w:p w14:paraId="39F315D7" w14:textId="77777777" w:rsidR="006C34D9" w:rsidRDefault="00CB5041">
      <w:pPr>
        <w:pStyle w:val="ListParagraph"/>
        <w:numPr>
          <w:ilvl w:val="2"/>
          <w:numId w:val="9"/>
        </w:numPr>
        <w:tabs>
          <w:tab w:val="left" w:pos="1379"/>
          <w:tab w:val="left" w:pos="1380"/>
        </w:tabs>
        <w:spacing w:before="169"/>
        <w:rPr>
          <w:sz w:val="24"/>
        </w:rPr>
      </w:pPr>
      <w:r>
        <w:rPr>
          <w:sz w:val="24"/>
        </w:rPr>
        <w:t>8 mg/kg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≥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kg,</w:t>
      </w:r>
    </w:p>
    <w:p w14:paraId="3D99BA83" w14:textId="77777777" w:rsidR="006C34D9" w:rsidRDefault="00CB5041">
      <w:pPr>
        <w:pStyle w:val="BodyText"/>
        <w:spacing w:before="169"/>
      </w:pPr>
      <w:r>
        <w:t>given</w:t>
      </w:r>
      <w:r>
        <w:rPr>
          <w:spacing w:val="-1"/>
        </w:rPr>
        <w:t xml:space="preserve"> </w:t>
      </w:r>
      <w:r>
        <w:t>once every</w:t>
      </w:r>
      <w:r>
        <w:rPr>
          <w:spacing w:val="-1"/>
        </w:rPr>
        <w:t xml:space="preserve"> </w:t>
      </w:r>
      <w:r>
        <w:t>four weeks</w:t>
      </w:r>
      <w:r>
        <w:rPr>
          <w:spacing w:val="-1"/>
        </w:rPr>
        <w:t xml:space="preserve"> </w:t>
      </w:r>
      <w:r>
        <w:t>as an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infusion.</w:t>
      </w:r>
    </w:p>
    <w:p w14:paraId="4D951286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AF47DD6" w14:textId="77777777" w:rsidR="006C34D9" w:rsidRDefault="00CB5041">
      <w:pPr>
        <w:pStyle w:val="BodyText"/>
        <w:spacing w:before="1"/>
      </w:pPr>
      <w:r>
        <w:t>The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infusion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hour.</w:t>
      </w:r>
    </w:p>
    <w:p w14:paraId="408C6ECE" w14:textId="77777777" w:rsidR="006C34D9" w:rsidRDefault="00CB5041">
      <w:pPr>
        <w:spacing w:before="200"/>
        <w:ind w:left="660"/>
        <w:rPr>
          <w:i/>
          <w:sz w:val="24"/>
        </w:rPr>
      </w:pPr>
      <w:r>
        <w:rPr>
          <w:i/>
          <w:sz w:val="24"/>
        </w:rPr>
        <w:t>Subcutaneous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Regimen</w:t>
      </w:r>
    </w:p>
    <w:p w14:paraId="6683BC9C" w14:textId="77777777" w:rsidR="006C34D9" w:rsidRDefault="006C34D9">
      <w:pPr>
        <w:rPr>
          <w:sz w:val="24"/>
        </w:rPr>
        <w:sectPr w:rsidR="006C34D9">
          <w:pgSz w:w="11910" w:h="16840"/>
          <w:pgMar w:top="1420" w:right="780" w:bottom="780" w:left="780" w:header="0" w:footer="592" w:gutter="0"/>
          <w:cols w:space="720"/>
        </w:sectPr>
      </w:pPr>
    </w:p>
    <w:p w14:paraId="66E79C76" w14:textId="77777777" w:rsidR="006C34D9" w:rsidRDefault="00CB5041">
      <w:pPr>
        <w:pStyle w:val="BodyText"/>
        <w:spacing w:before="79" w:line="276" w:lineRule="exact"/>
        <w:ind w:left="0" w:right="3446"/>
        <w:jc w:val="right"/>
      </w:pPr>
      <w:r>
        <w:lastRenderedPageBreak/>
        <w:t>The</w:t>
      </w:r>
      <w:r>
        <w:rPr>
          <w:spacing w:val="-2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Actemra for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spellStart"/>
      <w:r>
        <w:t>pJIA</w:t>
      </w:r>
      <w:proofErr w:type="spellEnd"/>
      <w:r>
        <w:rPr>
          <w:spacing w:val="-2"/>
        </w:rPr>
        <w:t xml:space="preserve"> </w:t>
      </w:r>
      <w:r>
        <w:t>is:</w:t>
      </w:r>
    </w:p>
    <w:p w14:paraId="5E6A5B5E" w14:textId="77777777" w:rsidR="006C34D9" w:rsidRDefault="00CB5041">
      <w:pPr>
        <w:pStyle w:val="ListParagraph"/>
        <w:numPr>
          <w:ilvl w:val="2"/>
          <w:numId w:val="9"/>
        </w:numPr>
        <w:tabs>
          <w:tab w:val="left" w:pos="359"/>
          <w:tab w:val="left" w:pos="1380"/>
        </w:tabs>
        <w:spacing w:line="294" w:lineRule="exact"/>
        <w:ind w:right="3540" w:hanging="1380"/>
        <w:jc w:val="right"/>
        <w:rPr>
          <w:sz w:val="24"/>
        </w:rPr>
      </w:pPr>
      <w:r>
        <w:rPr>
          <w:sz w:val="24"/>
        </w:rPr>
        <w:t>162 mg</w:t>
      </w:r>
      <w:r>
        <w:rPr>
          <w:spacing w:val="-1"/>
          <w:sz w:val="24"/>
        </w:rPr>
        <w:t xml:space="preserve"> </w:t>
      </w:r>
      <w:r>
        <w:rPr>
          <w:sz w:val="24"/>
        </w:rPr>
        <w:t>once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weeks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kg</w:t>
      </w:r>
    </w:p>
    <w:p w14:paraId="314012B2" w14:textId="77777777" w:rsidR="006C34D9" w:rsidRDefault="00CB5041">
      <w:pPr>
        <w:pStyle w:val="ListParagraph"/>
        <w:numPr>
          <w:ilvl w:val="2"/>
          <w:numId w:val="9"/>
        </w:numPr>
        <w:tabs>
          <w:tab w:val="left" w:pos="1379"/>
          <w:tab w:val="left" w:pos="1380"/>
        </w:tabs>
        <w:spacing w:before="239"/>
        <w:rPr>
          <w:sz w:val="24"/>
        </w:rPr>
      </w:pPr>
      <w:r>
        <w:rPr>
          <w:sz w:val="24"/>
        </w:rPr>
        <w:t>162 mg</w:t>
      </w:r>
      <w:r>
        <w:rPr>
          <w:spacing w:val="-1"/>
          <w:sz w:val="24"/>
        </w:rPr>
        <w:t xml:space="preserve"> </w:t>
      </w:r>
      <w:r>
        <w:rPr>
          <w:sz w:val="24"/>
        </w:rPr>
        <w:t>once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two weeks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≥</w:t>
      </w:r>
      <w:r>
        <w:rPr>
          <w:spacing w:val="-1"/>
          <w:sz w:val="24"/>
        </w:rPr>
        <w:t xml:space="preserve"> </w:t>
      </w:r>
      <w:r>
        <w:rPr>
          <w:sz w:val="24"/>
        </w:rPr>
        <w:t>30 kg</w:t>
      </w:r>
    </w:p>
    <w:p w14:paraId="0219FF93" w14:textId="77777777" w:rsidR="006C34D9" w:rsidRDefault="00CB5041">
      <w:pPr>
        <w:pStyle w:val="BodyText"/>
        <w:spacing w:before="240"/>
        <w:ind w:right="657"/>
        <w:jc w:val="both"/>
      </w:pPr>
      <w:r>
        <w:t xml:space="preserve">The pre-filled syringe with needle safety device can be used to treat </w:t>
      </w:r>
      <w:proofErr w:type="spellStart"/>
      <w:r>
        <w:t>paediatric</w:t>
      </w:r>
      <w:proofErr w:type="spellEnd"/>
      <w:r>
        <w:t xml:space="preserve"> patients of all</w:t>
      </w:r>
      <w:r>
        <w:rPr>
          <w:spacing w:val="1"/>
        </w:rPr>
        <w:t xml:space="preserve"> </w:t>
      </w:r>
      <w:r>
        <w:t>approved</w:t>
      </w:r>
      <w:r>
        <w:rPr>
          <w:spacing w:val="-15"/>
        </w:rPr>
        <w:t xml:space="preserve"> </w:t>
      </w:r>
      <w:r>
        <w:t>ages.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pre-filled</w:t>
      </w:r>
      <w:r>
        <w:rPr>
          <w:spacing w:val="-15"/>
        </w:rPr>
        <w:t xml:space="preserve"> </w:t>
      </w:r>
      <w:r>
        <w:t>pen</w:t>
      </w:r>
      <w:r>
        <w:rPr>
          <w:spacing w:val="-15"/>
        </w:rPr>
        <w:t xml:space="preserve"> </w:t>
      </w:r>
      <w:r>
        <w:t>(</w:t>
      </w:r>
      <w:proofErr w:type="spellStart"/>
      <w:r>
        <w:t>ACTPen</w:t>
      </w:r>
      <w:proofErr w:type="spellEnd"/>
      <w:r>
        <w:t>)</w:t>
      </w:r>
      <w:r>
        <w:rPr>
          <w:spacing w:val="-14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treat</w:t>
      </w:r>
      <w:r>
        <w:rPr>
          <w:spacing w:val="-14"/>
        </w:rPr>
        <w:t xml:space="preserve"> </w:t>
      </w:r>
      <w:r>
        <w:t>children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adolescent</w:t>
      </w:r>
      <w:r>
        <w:rPr>
          <w:spacing w:val="-58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˂ 12 years of</w:t>
      </w:r>
      <w:r>
        <w:rPr>
          <w:spacing w:val="-1"/>
        </w:rPr>
        <w:t xml:space="preserve"> </w:t>
      </w:r>
      <w:r>
        <w:t>age.</w:t>
      </w:r>
    </w:p>
    <w:p w14:paraId="3A6E53C3" w14:textId="77777777" w:rsidR="006C34D9" w:rsidRDefault="006C34D9">
      <w:pPr>
        <w:pStyle w:val="BodyText"/>
        <w:ind w:left="0"/>
      </w:pPr>
    </w:p>
    <w:p w14:paraId="359043DF" w14:textId="77777777" w:rsidR="006C34D9" w:rsidRDefault="00CB5041">
      <w:pPr>
        <w:pStyle w:val="BodyText"/>
        <w:spacing w:before="1"/>
        <w:ind w:left="659" w:right="656"/>
        <w:jc w:val="both"/>
      </w:pPr>
      <w:r>
        <w:t>At least the first injection must be performed under the supervision of a qualified healthcare</w:t>
      </w:r>
      <w:r>
        <w:rPr>
          <w:spacing w:val="1"/>
        </w:rPr>
        <w:t xml:space="preserve"> </w:t>
      </w:r>
      <w:r>
        <w:t>professional, in a healthcare facility with the necessary medical treatment available (including</w:t>
      </w:r>
      <w:r>
        <w:rPr>
          <w:spacing w:val="-57"/>
        </w:rPr>
        <w:t xml:space="preserve"> </w:t>
      </w:r>
      <w:r>
        <w:t>resuscitation equipment, protocols and appropriately trained personnel) in case of the need to</w:t>
      </w:r>
      <w:r>
        <w:rPr>
          <w:spacing w:val="1"/>
        </w:rPr>
        <w:t xml:space="preserve"> </w:t>
      </w:r>
      <w:r>
        <w:t>initiate</w:t>
      </w:r>
      <w:r>
        <w:rPr>
          <w:spacing w:val="6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serious</w:t>
      </w:r>
      <w:r>
        <w:rPr>
          <w:spacing w:val="7"/>
        </w:rPr>
        <w:t xml:space="preserve"> </w:t>
      </w:r>
      <w:r>
        <w:t>hypersensitivity</w:t>
      </w:r>
      <w:r>
        <w:rPr>
          <w:spacing w:val="5"/>
        </w:rPr>
        <w:t xml:space="preserve"> </w:t>
      </w:r>
      <w:r>
        <w:t>reactions,</w:t>
      </w:r>
      <w:r>
        <w:rPr>
          <w:spacing w:val="6"/>
        </w:rPr>
        <w:t xml:space="preserve"> </w:t>
      </w:r>
      <w:r>
        <w:t>including</w:t>
      </w:r>
      <w:r>
        <w:rPr>
          <w:spacing w:val="6"/>
        </w:rPr>
        <w:t xml:space="preserve"> </w:t>
      </w:r>
      <w:r>
        <w:t>anaphylaxis.</w:t>
      </w:r>
      <w:r>
        <w:rPr>
          <w:spacing w:val="6"/>
        </w:rPr>
        <w:t xml:space="preserve"> </w:t>
      </w:r>
      <w:r>
        <w:t>(see</w:t>
      </w:r>
      <w:r>
        <w:rPr>
          <w:spacing w:val="5"/>
        </w:rPr>
        <w:t xml:space="preserve"> </w:t>
      </w:r>
      <w:r>
        <w:t>section</w:t>
      </w:r>
    </w:p>
    <w:p w14:paraId="7A889F4B" w14:textId="77777777" w:rsidR="006C34D9" w:rsidRDefault="00CB5041">
      <w:pPr>
        <w:pStyle w:val="BodyText"/>
        <w:ind w:left="659" w:right="659"/>
        <w:jc w:val="both"/>
      </w:pPr>
      <w:r>
        <w:t>4.2 Dose and Method of Administration, Subcutaneous Administration for information about</w:t>
      </w:r>
      <w:r>
        <w:rPr>
          <w:spacing w:val="1"/>
        </w:rPr>
        <w:t xml:space="preserve"> </w:t>
      </w:r>
      <w:bookmarkStart w:id="19" w:name="Missed_dose_(pJIA)"/>
      <w:bookmarkEnd w:id="19"/>
      <w:r>
        <w:t>requirements</w:t>
      </w:r>
      <w:r>
        <w:rPr>
          <w:spacing w:val="-1"/>
        </w:rPr>
        <w:t xml:space="preserve"> </w:t>
      </w:r>
      <w:r>
        <w:t>for patients who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suitable for</w:t>
      </w:r>
      <w:r>
        <w:rPr>
          <w:spacing w:val="-1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home use).</w:t>
      </w:r>
    </w:p>
    <w:p w14:paraId="665405EB" w14:textId="77777777" w:rsidR="006C34D9" w:rsidRDefault="00CB5041">
      <w:pPr>
        <w:spacing w:before="200"/>
        <w:ind w:left="659"/>
        <w:jc w:val="both"/>
        <w:rPr>
          <w:i/>
          <w:sz w:val="24"/>
        </w:rPr>
      </w:pPr>
      <w:r>
        <w:rPr>
          <w:i/>
          <w:sz w:val="24"/>
        </w:rPr>
        <w:t>Missed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pJIA</w:t>
      </w:r>
      <w:proofErr w:type="spellEnd"/>
      <w:r>
        <w:rPr>
          <w:i/>
          <w:sz w:val="24"/>
        </w:rPr>
        <w:t>)</w:t>
      </w:r>
    </w:p>
    <w:p w14:paraId="4073E402" w14:textId="77777777" w:rsidR="006C34D9" w:rsidRDefault="006C34D9">
      <w:pPr>
        <w:pStyle w:val="BodyText"/>
        <w:spacing w:before="9"/>
        <w:ind w:left="0"/>
        <w:rPr>
          <w:i/>
          <w:sz w:val="20"/>
        </w:rPr>
      </w:pPr>
    </w:p>
    <w:p w14:paraId="38FF0030" w14:textId="77777777" w:rsidR="006C34D9" w:rsidRDefault="00CB5041">
      <w:pPr>
        <w:pStyle w:val="BodyText"/>
        <w:ind w:right="657"/>
        <w:jc w:val="both"/>
      </w:pPr>
      <w:r>
        <w:t xml:space="preserve">If a </w:t>
      </w:r>
      <w:proofErr w:type="spellStart"/>
      <w:r>
        <w:t>pJIA</w:t>
      </w:r>
      <w:proofErr w:type="spellEnd"/>
      <w:r>
        <w:t xml:space="preserve"> patient misses a subcutaneous injection of Actemra within 7 days of the scheduled</w:t>
      </w:r>
      <w:r>
        <w:rPr>
          <w:spacing w:val="1"/>
        </w:rPr>
        <w:t xml:space="preserve"> </w:t>
      </w:r>
      <w:r>
        <w:t>dose, they should inject the missed dose as soon as they remember and give the next dose at</w:t>
      </w:r>
      <w:r>
        <w:rPr>
          <w:spacing w:val="1"/>
        </w:rPr>
        <w:t xml:space="preserve"> </w:t>
      </w:r>
      <w:r>
        <w:t>the regular scheduled time. If a patient misses a subcutaneous injection of Actemra by more</w:t>
      </w:r>
      <w:r>
        <w:rPr>
          <w:spacing w:val="1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dose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unsure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inject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dose,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contact</w:t>
      </w:r>
      <w:r>
        <w:rPr>
          <w:spacing w:val="-58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Healthcare professional.</w:t>
      </w:r>
    </w:p>
    <w:p w14:paraId="29B6F4A6" w14:textId="77777777" w:rsidR="006C34D9" w:rsidRDefault="00CB5041">
      <w:pPr>
        <w:pStyle w:val="BodyText"/>
        <w:spacing w:before="200"/>
        <w:jc w:val="both"/>
      </w:pPr>
      <w:bookmarkStart w:id="20" w:name="Systemic_Juvenile_Idiopathic_Arthritis_("/>
      <w:bookmarkEnd w:id="20"/>
      <w:r>
        <w:rPr>
          <w:u w:val="single"/>
        </w:rPr>
        <w:t>Systemic</w:t>
      </w:r>
      <w:r>
        <w:rPr>
          <w:spacing w:val="-2"/>
          <w:u w:val="single"/>
        </w:rPr>
        <w:t xml:space="preserve"> </w:t>
      </w:r>
      <w:r>
        <w:rPr>
          <w:u w:val="single"/>
        </w:rPr>
        <w:t>Juvenile</w:t>
      </w:r>
      <w:r>
        <w:rPr>
          <w:spacing w:val="-3"/>
          <w:u w:val="single"/>
        </w:rPr>
        <w:t xml:space="preserve"> </w:t>
      </w:r>
      <w:r>
        <w:rPr>
          <w:u w:val="single"/>
        </w:rPr>
        <w:t>Idiopathic</w:t>
      </w:r>
      <w:r>
        <w:rPr>
          <w:spacing w:val="-2"/>
          <w:u w:val="single"/>
        </w:rPr>
        <w:t xml:space="preserve"> </w:t>
      </w:r>
      <w:r>
        <w:rPr>
          <w:u w:val="single"/>
        </w:rPr>
        <w:t>Arthritis</w:t>
      </w:r>
      <w:r>
        <w:rPr>
          <w:spacing w:val="-2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sJIA</w:t>
      </w:r>
      <w:proofErr w:type="spellEnd"/>
      <w:r>
        <w:rPr>
          <w:u w:val="single"/>
        </w:rPr>
        <w:t>)</w:t>
      </w:r>
      <w:r>
        <w:rPr>
          <w:spacing w:val="-2"/>
          <w:u w:val="single"/>
        </w:rPr>
        <w:t xml:space="preserve"> </w:t>
      </w:r>
      <w:r>
        <w:rPr>
          <w:u w:val="single"/>
        </w:rPr>
        <w:t>(IV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SC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formulations)</w:t>
      </w:r>
    </w:p>
    <w:p w14:paraId="6AD45B85" w14:textId="77777777" w:rsidR="006C34D9" w:rsidRDefault="00CB5041">
      <w:pPr>
        <w:pStyle w:val="BodyText"/>
        <w:ind w:right="658"/>
        <w:jc w:val="both"/>
      </w:pPr>
      <w:r>
        <w:t>A</w:t>
      </w:r>
      <w:r>
        <w:rPr>
          <w:spacing w:val="-12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dose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consistent</w:t>
      </w:r>
      <w:r>
        <w:rPr>
          <w:spacing w:val="-11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patient’s</w:t>
      </w:r>
      <w:r>
        <w:rPr>
          <w:spacing w:val="-11"/>
        </w:rPr>
        <w:t xml:space="preserve"> </w:t>
      </w:r>
      <w:r>
        <w:t>body</w:t>
      </w:r>
      <w:r>
        <w:rPr>
          <w:spacing w:val="-11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t>over</w:t>
      </w:r>
      <w:r>
        <w:rPr>
          <w:spacing w:val="-58"/>
        </w:rPr>
        <w:t xml:space="preserve"> </w:t>
      </w:r>
      <w:bookmarkStart w:id="21" w:name="Intravenous_dosing_regimen"/>
      <w:bookmarkEnd w:id="21"/>
      <w:r>
        <w:t>time.</w:t>
      </w:r>
      <w:r>
        <w:rPr>
          <w:spacing w:val="-1"/>
        </w:rPr>
        <w:t xml:space="preserve"> </w:t>
      </w:r>
      <w:r>
        <w:t>Actemra can be used</w:t>
      </w:r>
      <w:r>
        <w:rPr>
          <w:spacing w:val="-1"/>
        </w:rPr>
        <w:t xml:space="preserve"> </w:t>
      </w:r>
      <w:r>
        <w:t>alone or in combination</w:t>
      </w:r>
      <w:r>
        <w:rPr>
          <w:spacing w:val="-1"/>
        </w:rPr>
        <w:t xml:space="preserve"> </w:t>
      </w:r>
      <w:r>
        <w:t>with MTX.</w:t>
      </w:r>
    </w:p>
    <w:p w14:paraId="6FC7E7A3" w14:textId="77777777" w:rsidR="006C34D9" w:rsidRDefault="00CB5041">
      <w:pPr>
        <w:spacing w:before="201" w:line="275" w:lineRule="exact"/>
        <w:ind w:left="660"/>
        <w:rPr>
          <w:i/>
          <w:sz w:val="24"/>
        </w:rPr>
      </w:pPr>
      <w:r>
        <w:rPr>
          <w:i/>
          <w:sz w:val="24"/>
        </w:rPr>
        <w:t>Intravenous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dosing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regimen</w:t>
      </w:r>
    </w:p>
    <w:p w14:paraId="630E4ED3" w14:textId="77777777" w:rsidR="006C34D9" w:rsidRDefault="00CB5041">
      <w:pPr>
        <w:pStyle w:val="BodyText"/>
        <w:spacing w:line="275" w:lineRule="exact"/>
      </w:pPr>
      <w:r>
        <w:t>The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spellStart"/>
      <w:r>
        <w:t>sJIA</w:t>
      </w:r>
      <w:proofErr w:type="spellEnd"/>
      <w:r>
        <w:rPr>
          <w:spacing w:val="-2"/>
        </w:rPr>
        <w:t xml:space="preserve"> </w:t>
      </w:r>
      <w:r>
        <w:t>is:</w:t>
      </w:r>
    </w:p>
    <w:p w14:paraId="36F2E32C" w14:textId="77777777" w:rsidR="006C34D9" w:rsidRDefault="00CB5041">
      <w:pPr>
        <w:pStyle w:val="ListParagraph"/>
        <w:numPr>
          <w:ilvl w:val="0"/>
          <w:numId w:val="8"/>
        </w:numPr>
        <w:tabs>
          <w:tab w:val="left" w:pos="1379"/>
          <w:tab w:val="left" w:pos="1380"/>
        </w:tabs>
        <w:spacing w:line="294" w:lineRule="exact"/>
        <w:rPr>
          <w:sz w:val="24"/>
        </w:rPr>
      </w:pPr>
      <w:r>
        <w:rPr>
          <w:sz w:val="24"/>
        </w:rPr>
        <w:t>12 mg/kg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30 kg,</w:t>
      </w:r>
    </w:p>
    <w:p w14:paraId="1F01E5C1" w14:textId="77777777" w:rsidR="006C34D9" w:rsidRDefault="00CB5041">
      <w:pPr>
        <w:pStyle w:val="ListParagraph"/>
        <w:numPr>
          <w:ilvl w:val="0"/>
          <w:numId w:val="8"/>
        </w:numPr>
        <w:tabs>
          <w:tab w:val="left" w:pos="1379"/>
          <w:tab w:val="left" w:pos="1380"/>
        </w:tabs>
        <w:spacing w:before="169"/>
        <w:rPr>
          <w:sz w:val="24"/>
        </w:rPr>
      </w:pPr>
      <w:r>
        <w:rPr>
          <w:sz w:val="24"/>
        </w:rPr>
        <w:t>8 mg/kg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≥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kg,</w:t>
      </w:r>
    </w:p>
    <w:p w14:paraId="26D7DDA1" w14:textId="77777777" w:rsidR="006C34D9" w:rsidRDefault="00CB5041">
      <w:pPr>
        <w:pStyle w:val="BodyText"/>
        <w:spacing w:before="170"/>
        <w:jc w:val="both"/>
      </w:pPr>
      <w:r>
        <w:t>given</w:t>
      </w:r>
      <w:r>
        <w:rPr>
          <w:spacing w:val="-1"/>
        </w:rPr>
        <w:t xml:space="preserve"> </w:t>
      </w:r>
      <w:r>
        <w:t>once every</w:t>
      </w:r>
      <w:r>
        <w:rPr>
          <w:spacing w:val="-1"/>
        </w:rPr>
        <w:t xml:space="preserve"> </w:t>
      </w:r>
      <w:r>
        <w:t>two weeks</w:t>
      </w:r>
      <w:r>
        <w:rPr>
          <w:spacing w:val="-1"/>
        </w:rPr>
        <w:t xml:space="preserve"> </w:t>
      </w:r>
      <w:r>
        <w:t>as an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infusion.</w:t>
      </w:r>
    </w:p>
    <w:p w14:paraId="425E2C06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1CBC769" w14:textId="77777777" w:rsidR="006C34D9" w:rsidRDefault="00CB5041">
      <w:pPr>
        <w:pStyle w:val="BodyText"/>
        <w:jc w:val="both"/>
      </w:pPr>
      <w:r>
        <w:t>The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infusion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hour.</w:t>
      </w:r>
    </w:p>
    <w:p w14:paraId="71ADC9D4" w14:textId="77777777" w:rsidR="006C34D9" w:rsidRDefault="00CB5041">
      <w:pPr>
        <w:spacing w:before="201" w:line="275" w:lineRule="exact"/>
        <w:ind w:left="660"/>
        <w:rPr>
          <w:i/>
          <w:sz w:val="24"/>
        </w:rPr>
      </w:pPr>
      <w:bookmarkStart w:id="22" w:name="Subcutaneous_dosing_regimen"/>
      <w:bookmarkEnd w:id="22"/>
      <w:r>
        <w:rPr>
          <w:i/>
          <w:sz w:val="24"/>
        </w:rPr>
        <w:t>Subcutaneous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regimen</w:t>
      </w:r>
    </w:p>
    <w:p w14:paraId="3324BD2E" w14:textId="77777777" w:rsidR="006C34D9" w:rsidRDefault="00CB5041">
      <w:pPr>
        <w:pStyle w:val="BodyText"/>
        <w:spacing w:line="275" w:lineRule="exact"/>
      </w:pPr>
      <w:r>
        <w:t>The</w:t>
      </w:r>
      <w:r>
        <w:rPr>
          <w:spacing w:val="-2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Actemra for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spellStart"/>
      <w:r>
        <w:t>sJIA</w:t>
      </w:r>
      <w:proofErr w:type="spellEnd"/>
      <w:r>
        <w:rPr>
          <w:spacing w:val="-2"/>
        </w:rPr>
        <w:t xml:space="preserve"> </w:t>
      </w:r>
      <w:r>
        <w:t>is:</w:t>
      </w:r>
    </w:p>
    <w:p w14:paraId="237A6E98" w14:textId="77777777" w:rsidR="006C34D9" w:rsidRDefault="00CB5041">
      <w:pPr>
        <w:pStyle w:val="ListParagraph"/>
        <w:numPr>
          <w:ilvl w:val="0"/>
          <w:numId w:val="8"/>
        </w:numPr>
        <w:tabs>
          <w:tab w:val="left" w:pos="1379"/>
          <w:tab w:val="left" w:pos="1380"/>
        </w:tabs>
        <w:spacing w:line="294" w:lineRule="exact"/>
        <w:rPr>
          <w:sz w:val="24"/>
        </w:rPr>
      </w:pPr>
      <w:r>
        <w:rPr>
          <w:sz w:val="24"/>
        </w:rPr>
        <w:t>162 mg</w:t>
      </w:r>
      <w:r>
        <w:rPr>
          <w:spacing w:val="-1"/>
          <w:sz w:val="24"/>
        </w:rPr>
        <w:t xml:space="preserve"> </w:t>
      </w:r>
      <w:r>
        <w:rPr>
          <w:sz w:val="24"/>
        </w:rPr>
        <w:t>once every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weeks for</w:t>
      </w:r>
      <w:r>
        <w:rPr>
          <w:spacing w:val="-1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kg,</w:t>
      </w:r>
    </w:p>
    <w:p w14:paraId="2AF191BD" w14:textId="77777777" w:rsidR="006C34D9" w:rsidRDefault="00CB5041">
      <w:pPr>
        <w:pStyle w:val="ListParagraph"/>
        <w:numPr>
          <w:ilvl w:val="0"/>
          <w:numId w:val="8"/>
        </w:numPr>
        <w:tabs>
          <w:tab w:val="left" w:pos="1379"/>
          <w:tab w:val="left" w:pos="1380"/>
        </w:tabs>
        <w:spacing w:before="170"/>
        <w:rPr>
          <w:sz w:val="24"/>
        </w:rPr>
      </w:pPr>
      <w:r>
        <w:rPr>
          <w:sz w:val="24"/>
        </w:rPr>
        <w:t>162 mg</w:t>
      </w:r>
      <w:r>
        <w:rPr>
          <w:spacing w:val="-1"/>
          <w:sz w:val="24"/>
        </w:rPr>
        <w:t xml:space="preserve"> </w:t>
      </w:r>
      <w:r>
        <w:rPr>
          <w:sz w:val="24"/>
        </w:rPr>
        <w:t>once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week for</w:t>
      </w:r>
      <w:r>
        <w:rPr>
          <w:spacing w:val="-1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≥</w:t>
      </w:r>
      <w:r>
        <w:rPr>
          <w:spacing w:val="-1"/>
          <w:sz w:val="24"/>
        </w:rPr>
        <w:t xml:space="preserve"> </w:t>
      </w:r>
      <w:r>
        <w:rPr>
          <w:sz w:val="24"/>
        </w:rPr>
        <w:t>30 kg</w:t>
      </w:r>
    </w:p>
    <w:p w14:paraId="1070D54E" w14:textId="77777777" w:rsidR="006C34D9" w:rsidRDefault="00CB5041">
      <w:pPr>
        <w:pStyle w:val="BodyText"/>
        <w:spacing w:before="169"/>
        <w:ind w:right="658"/>
        <w:jc w:val="both"/>
      </w:pPr>
      <w:r>
        <w:t>Patients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kg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Actemra</w:t>
      </w:r>
      <w:r>
        <w:rPr>
          <w:spacing w:val="-6"/>
        </w:rPr>
        <w:t xml:space="preserve"> </w:t>
      </w:r>
      <w:r>
        <w:t>subcutaneously.</w:t>
      </w:r>
      <w:r>
        <w:rPr>
          <w:spacing w:val="-58"/>
        </w:rPr>
        <w:t xml:space="preserve"> </w:t>
      </w:r>
      <w:r>
        <w:t xml:space="preserve">The pre-filled syringe with needle safety device can be used to treat </w:t>
      </w:r>
      <w:proofErr w:type="spellStart"/>
      <w:r>
        <w:t>paediatric</w:t>
      </w:r>
      <w:proofErr w:type="spellEnd"/>
      <w:r>
        <w:t xml:space="preserve"> patients of all</w:t>
      </w:r>
      <w:r>
        <w:rPr>
          <w:spacing w:val="1"/>
        </w:rPr>
        <w:t xml:space="preserve"> </w:t>
      </w:r>
      <w:r>
        <w:t>approved</w:t>
      </w:r>
      <w:r>
        <w:rPr>
          <w:spacing w:val="-15"/>
        </w:rPr>
        <w:t xml:space="preserve"> </w:t>
      </w:r>
      <w:r>
        <w:t>ages.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pre-filled</w:t>
      </w:r>
      <w:r>
        <w:rPr>
          <w:spacing w:val="-15"/>
        </w:rPr>
        <w:t xml:space="preserve"> </w:t>
      </w:r>
      <w:r>
        <w:t>pen</w:t>
      </w:r>
      <w:r>
        <w:rPr>
          <w:spacing w:val="-15"/>
        </w:rPr>
        <w:t xml:space="preserve"> </w:t>
      </w:r>
      <w:r>
        <w:t>(</w:t>
      </w:r>
      <w:proofErr w:type="spellStart"/>
      <w:r>
        <w:t>ACTPen</w:t>
      </w:r>
      <w:proofErr w:type="spellEnd"/>
      <w:r>
        <w:t>)</w:t>
      </w:r>
      <w:r>
        <w:rPr>
          <w:spacing w:val="-14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treat</w:t>
      </w:r>
      <w:r>
        <w:rPr>
          <w:spacing w:val="-14"/>
        </w:rPr>
        <w:t xml:space="preserve"> </w:t>
      </w:r>
      <w:r>
        <w:t>children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adolescent</w:t>
      </w:r>
      <w:r>
        <w:rPr>
          <w:spacing w:val="-58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˂ 12 years of</w:t>
      </w:r>
      <w:r>
        <w:rPr>
          <w:spacing w:val="-1"/>
        </w:rPr>
        <w:t xml:space="preserve"> </w:t>
      </w:r>
      <w:r>
        <w:t>age.</w:t>
      </w:r>
    </w:p>
    <w:p w14:paraId="53B3DC6A" w14:textId="77777777" w:rsidR="006C34D9" w:rsidRDefault="00CB5041">
      <w:pPr>
        <w:spacing w:before="201"/>
        <w:ind w:left="660"/>
        <w:jc w:val="both"/>
        <w:rPr>
          <w:i/>
          <w:sz w:val="24"/>
        </w:rPr>
      </w:pPr>
      <w:bookmarkStart w:id="23" w:name="Missed_dose_(sJIA)"/>
      <w:bookmarkEnd w:id="23"/>
      <w:r>
        <w:rPr>
          <w:i/>
          <w:sz w:val="24"/>
        </w:rPr>
        <w:t>Missed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sJIA</w:t>
      </w:r>
      <w:proofErr w:type="spellEnd"/>
      <w:r>
        <w:rPr>
          <w:i/>
          <w:sz w:val="24"/>
        </w:rPr>
        <w:t>)</w:t>
      </w:r>
    </w:p>
    <w:p w14:paraId="361BA87F" w14:textId="77777777" w:rsidR="006C34D9" w:rsidRDefault="006C34D9">
      <w:pPr>
        <w:pStyle w:val="BodyText"/>
        <w:spacing w:before="8"/>
        <w:ind w:left="0"/>
        <w:rPr>
          <w:i/>
          <w:sz w:val="20"/>
        </w:rPr>
      </w:pPr>
    </w:p>
    <w:p w14:paraId="5E1BEFBE" w14:textId="77777777" w:rsidR="006C34D9" w:rsidRDefault="00CB5041">
      <w:pPr>
        <w:pStyle w:val="BodyText"/>
        <w:ind w:right="657"/>
        <w:jc w:val="both"/>
      </w:pPr>
      <w:r>
        <w:t>If a patient misses a weekly injection of Actemra within 7 days of the scheduled dose, they</w:t>
      </w:r>
      <w:r>
        <w:rPr>
          <w:spacing w:val="1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instructed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take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missed</w:t>
      </w:r>
      <w:r>
        <w:rPr>
          <w:spacing w:val="12"/>
        </w:rPr>
        <w:t xml:space="preserve"> </w:t>
      </w:r>
      <w:r>
        <w:t>dose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next</w:t>
      </w:r>
      <w:r>
        <w:rPr>
          <w:spacing w:val="12"/>
        </w:rPr>
        <w:t xml:space="preserve"> </w:t>
      </w:r>
      <w:r>
        <w:t>scheduled</w:t>
      </w:r>
      <w:r>
        <w:rPr>
          <w:spacing w:val="13"/>
        </w:rPr>
        <w:t xml:space="preserve"> </w:t>
      </w:r>
      <w:r>
        <w:t>day.</w:t>
      </w:r>
      <w:r>
        <w:rPr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patient</w:t>
      </w:r>
      <w:r>
        <w:rPr>
          <w:spacing w:val="11"/>
        </w:rPr>
        <w:t xml:space="preserve"> </w:t>
      </w:r>
      <w:r>
        <w:t>misses</w:t>
      </w:r>
      <w:r>
        <w:rPr>
          <w:spacing w:val="12"/>
        </w:rPr>
        <w:t xml:space="preserve"> </w:t>
      </w:r>
      <w:r>
        <w:t>a</w:t>
      </w:r>
    </w:p>
    <w:p w14:paraId="70C94388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7430ADBE" w14:textId="77777777" w:rsidR="006C34D9" w:rsidRDefault="00CB5041">
      <w:pPr>
        <w:pStyle w:val="BodyText"/>
        <w:spacing w:before="79"/>
        <w:ind w:right="657"/>
        <w:jc w:val="both"/>
      </w:pPr>
      <w:r>
        <w:lastRenderedPageBreak/>
        <w:t>fortnightly (i.e. every other week) injection of Actemra within 7 days of the scheduled dose,</w:t>
      </w:r>
      <w:r>
        <w:rPr>
          <w:spacing w:val="1"/>
        </w:rPr>
        <w:t xml:space="preserve"> </w:t>
      </w:r>
      <w:r>
        <w:t>they should be instructed to take the missed dose immediately and the next dose on the next</w:t>
      </w:r>
      <w:r>
        <w:rPr>
          <w:spacing w:val="1"/>
        </w:rPr>
        <w:t xml:space="preserve"> </w:t>
      </w:r>
      <w:bookmarkStart w:id="24" w:name="Dose_Modification_Recommendations_for_pJ"/>
      <w:bookmarkEnd w:id="24"/>
      <w:r>
        <w:t>scheduled</w:t>
      </w:r>
      <w:r>
        <w:rPr>
          <w:spacing w:val="-1"/>
        </w:rPr>
        <w:t xml:space="preserve"> </w:t>
      </w:r>
      <w:r>
        <w:t>day.</w:t>
      </w:r>
    </w:p>
    <w:p w14:paraId="0A863D40" w14:textId="77777777" w:rsidR="006C34D9" w:rsidRDefault="00CB5041">
      <w:pPr>
        <w:pStyle w:val="BodyText"/>
        <w:spacing w:before="201"/>
        <w:jc w:val="both"/>
      </w:pPr>
      <w:r>
        <w:rPr>
          <w:u w:val="single"/>
        </w:rPr>
        <w:t>Dose</w:t>
      </w:r>
      <w:r>
        <w:rPr>
          <w:spacing w:val="-2"/>
          <w:u w:val="single"/>
        </w:rPr>
        <w:t xml:space="preserve"> </w:t>
      </w:r>
      <w:r>
        <w:rPr>
          <w:u w:val="single"/>
        </w:rPr>
        <w:t>Modification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Recommendations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pJIA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sJIA</w:t>
      </w:r>
      <w:proofErr w:type="spellEnd"/>
      <w:r>
        <w:rPr>
          <w:u w:val="single"/>
        </w:rPr>
        <w:t>:</w:t>
      </w:r>
    </w:p>
    <w:p w14:paraId="5AE87107" w14:textId="77777777" w:rsidR="006C34D9" w:rsidRDefault="00CB5041">
      <w:pPr>
        <w:pStyle w:val="BodyText"/>
        <w:ind w:left="659" w:right="657"/>
        <w:jc w:val="both"/>
      </w:pPr>
      <w:r>
        <w:t>Dose</w:t>
      </w:r>
      <w:r>
        <w:rPr>
          <w:spacing w:val="57"/>
        </w:rPr>
        <w:t xml:space="preserve"> </w:t>
      </w:r>
      <w:r>
        <w:t>reduction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Actemra</w:t>
      </w:r>
      <w:r>
        <w:rPr>
          <w:spacing w:val="58"/>
        </w:rPr>
        <w:t xml:space="preserve"> </w:t>
      </w:r>
      <w:r>
        <w:t>has</w:t>
      </w:r>
      <w:r>
        <w:rPr>
          <w:spacing w:val="58"/>
        </w:rPr>
        <w:t xml:space="preserve"> </w:t>
      </w:r>
      <w:r>
        <w:t>not</w:t>
      </w:r>
      <w:r>
        <w:rPr>
          <w:spacing w:val="58"/>
        </w:rPr>
        <w:t xml:space="preserve"> </w:t>
      </w:r>
      <w:r>
        <w:t>been</w:t>
      </w:r>
      <w:r>
        <w:rPr>
          <w:spacing w:val="57"/>
        </w:rPr>
        <w:t xml:space="preserve"> </w:t>
      </w:r>
      <w:r>
        <w:t>studied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proofErr w:type="spellStart"/>
      <w:r>
        <w:t>pJIA</w:t>
      </w:r>
      <w:proofErr w:type="spellEnd"/>
      <w:r>
        <w:rPr>
          <w:spacing w:val="57"/>
        </w:rPr>
        <w:t xml:space="preserve"> </w:t>
      </w:r>
      <w:r>
        <w:t>or</w:t>
      </w:r>
      <w:r>
        <w:rPr>
          <w:spacing w:val="57"/>
        </w:rPr>
        <w:t xml:space="preserve"> </w:t>
      </w:r>
      <w:proofErr w:type="spellStart"/>
      <w:r>
        <w:t>sJIA</w:t>
      </w:r>
      <w:proofErr w:type="spellEnd"/>
      <w:r>
        <w:rPr>
          <w:spacing w:val="57"/>
        </w:rPr>
        <w:t xml:space="preserve"> </w:t>
      </w:r>
      <w:r>
        <w:t>population.</w:t>
      </w:r>
      <w:r>
        <w:rPr>
          <w:spacing w:val="56"/>
        </w:rPr>
        <w:t xml:space="preserve"> </w:t>
      </w:r>
      <w:r>
        <w:t>Dose</w:t>
      </w:r>
      <w:r>
        <w:rPr>
          <w:spacing w:val="-57"/>
        </w:rPr>
        <w:t xml:space="preserve"> </w:t>
      </w:r>
      <w:r>
        <w:t xml:space="preserve">interruptions of Actemra for laboratory abnormalities are recommended in patients with </w:t>
      </w:r>
      <w:proofErr w:type="spellStart"/>
      <w:r>
        <w:t>pJIA</w:t>
      </w:r>
      <w:proofErr w:type="spellEnd"/>
      <w:r>
        <w:rPr>
          <w:spacing w:val="1"/>
        </w:rPr>
        <w:t xml:space="preserve"> </w:t>
      </w:r>
      <w:r>
        <w:t>or</w:t>
      </w:r>
      <w:r>
        <w:rPr>
          <w:spacing w:val="-6"/>
        </w:rPr>
        <w:t xml:space="preserve"> </w:t>
      </w:r>
      <w:proofErr w:type="spellStart"/>
      <w:r>
        <w:t>sJIA</w:t>
      </w:r>
      <w:proofErr w:type="spellEnd"/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proofErr w:type="gramStart"/>
      <w:r>
        <w:t>similar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4.4</w:t>
      </w:r>
      <w:r>
        <w:rPr>
          <w:spacing w:val="-6"/>
        </w:rPr>
        <w:t xml:space="preserve"> </w:t>
      </w:r>
      <w:r>
        <w:t>Special</w:t>
      </w:r>
      <w:r>
        <w:rPr>
          <w:spacing w:val="-58"/>
        </w:rPr>
        <w:t xml:space="preserve"> </w:t>
      </w:r>
      <w:r>
        <w:t>Warnings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Precautions).</w:t>
      </w:r>
      <w:r>
        <w:rPr>
          <w:spacing w:val="-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appropriate,</w:t>
      </w:r>
      <w:r>
        <w:rPr>
          <w:spacing w:val="-7"/>
        </w:rPr>
        <w:t xml:space="preserve"> </w:t>
      </w:r>
      <w:r>
        <w:t>concomitant</w:t>
      </w:r>
      <w:r>
        <w:rPr>
          <w:spacing w:val="-7"/>
        </w:rPr>
        <w:t xml:space="preserve"> </w:t>
      </w:r>
      <w:r>
        <w:t>MTX</w:t>
      </w:r>
      <w:r>
        <w:rPr>
          <w:spacing w:val="-9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medications</w:t>
      </w:r>
      <w:r>
        <w:rPr>
          <w:spacing w:val="-8"/>
        </w:rPr>
        <w:t xml:space="preserve"> </w:t>
      </w:r>
      <w:r>
        <w:t>should</w:t>
      </w:r>
      <w:r>
        <w:rPr>
          <w:spacing w:val="-58"/>
        </w:rPr>
        <w:t xml:space="preserve"> </w:t>
      </w:r>
      <w:r>
        <w:t>be dose modified or stopped and Actemra dosing interrupted until the clinical situation 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evaluated.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pJIA</w:t>
      </w:r>
      <w:proofErr w:type="spellEnd"/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proofErr w:type="spellStart"/>
      <w:r>
        <w:t>sJIA</w:t>
      </w:r>
      <w:proofErr w:type="spell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discontinue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abnormality</w:t>
      </w:r>
      <w:r>
        <w:rPr>
          <w:spacing w:val="-3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based upon</w:t>
      </w:r>
      <w:r>
        <w:rPr>
          <w:spacing w:val="-1"/>
        </w:rPr>
        <w:t xml:space="preserve"> </w:t>
      </w:r>
      <w:r>
        <w:t>the medical</w:t>
      </w:r>
      <w:r>
        <w:rPr>
          <w:spacing w:val="-1"/>
        </w:rPr>
        <w:t xml:space="preserve"> </w:t>
      </w:r>
      <w:r>
        <w:t>assessment of</w:t>
      </w:r>
      <w:r>
        <w:rPr>
          <w:spacing w:val="-2"/>
        </w:rPr>
        <w:t xml:space="preserve"> </w:t>
      </w:r>
      <w:r>
        <w:t>the individual</w:t>
      </w:r>
      <w:r>
        <w:rPr>
          <w:spacing w:val="-1"/>
        </w:rPr>
        <w:t xml:space="preserve"> </w:t>
      </w:r>
      <w:r>
        <w:t>patient.</w:t>
      </w:r>
    </w:p>
    <w:p w14:paraId="2244FCE6" w14:textId="77777777" w:rsidR="006C34D9" w:rsidRDefault="00CB5041">
      <w:pPr>
        <w:pStyle w:val="Heading2"/>
        <w:spacing w:before="200"/>
        <w:jc w:val="left"/>
      </w:pPr>
      <w:bookmarkStart w:id="25" w:name="Special_Populations"/>
      <w:bookmarkEnd w:id="25"/>
      <w:r>
        <w:t>Special</w:t>
      </w:r>
      <w:r>
        <w:rPr>
          <w:spacing w:val="-8"/>
        </w:rPr>
        <w:t xml:space="preserve"> </w:t>
      </w:r>
      <w:r>
        <w:t>Populations</w:t>
      </w:r>
    </w:p>
    <w:p w14:paraId="4BA6D7D9" w14:textId="77777777" w:rsidR="006C34D9" w:rsidRDefault="00CB5041">
      <w:pPr>
        <w:pStyle w:val="BodyText"/>
        <w:spacing w:before="35"/>
      </w:pPr>
      <w:bookmarkStart w:id="26" w:name="Children"/>
      <w:bookmarkEnd w:id="26"/>
      <w:r>
        <w:rPr>
          <w:u w:val="single"/>
        </w:rPr>
        <w:t>Children</w:t>
      </w:r>
    </w:p>
    <w:p w14:paraId="5AB386EF" w14:textId="77777777" w:rsidR="006C34D9" w:rsidRDefault="00CB5041">
      <w:pPr>
        <w:pStyle w:val="BodyText"/>
        <w:ind w:left="659" w:right="657"/>
        <w:jc w:val="both"/>
      </w:pPr>
      <w:r>
        <w:t>The safety and efficacy of Actemra in children below 18 years of age with conditions other</w:t>
      </w:r>
      <w:r>
        <w:rPr>
          <w:spacing w:val="1"/>
        </w:rPr>
        <w:t xml:space="preserve"> </w:t>
      </w:r>
      <w:r>
        <w:t>than</w:t>
      </w:r>
      <w:r>
        <w:rPr>
          <w:spacing w:val="-10"/>
        </w:rPr>
        <w:t xml:space="preserve"> </w:t>
      </w:r>
      <w:proofErr w:type="spellStart"/>
      <w:r>
        <w:t>pJIA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sJIA</w:t>
      </w:r>
      <w:proofErr w:type="spellEnd"/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CRS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established.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efficacy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aged</w:t>
      </w:r>
      <w:r>
        <w:rPr>
          <w:spacing w:val="-9"/>
        </w:rPr>
        <w:t xml:space="preserve"> </w:t>
      </w:r>
      <w:r>
        <w:t>less</w:t>
      </w:r>
      <w:r>
        <w:rPr>
          <w:spacing w:val="-58"/>
        </w:rPr>
        <w:t xml:space="preserve"> </w:t>
      </w:r>
      <w:r>
        <w:t xml:space="preserve">than 2 years with </w:t>
      </w:r>
      <w:proofErr w:type="spellStart"/>
      <w:r>
        <w:t>pJIA</w:t>
      </w:r>
      <w:proofErr w:type="spellEnd"/>
      <w:r>
        <w:t xml:space="preserve"> and CRS have not been established. The safety and efficacy in patients</w:t>
      </w:r>
      <w:r>
        <w:rPr>
          <w:spacing w:val="-57"/>
        </w:rPr>
        <w:t xml:space="preserve"> </w:t>
      </w:r>
      <w:r>
        <w:t xml:space="preserve">aged less than 2 years with IV Actemra in </w:t>
      </w:r>
      <w:proofErr w:type="spellStart"/>
      <w:r>
        <w:t>sJIA</w:t>
      </w:r>
      <w:proofErr w:type="spellEnd"/>
      <w:r>
        <w:t xml:space="preserve"> or less than 1 year with SC Actemra in </w:t>
      </w:r>
      <w:proofErr w:type="spellStart"/>
      <w:r>
        <w:t>sJIA</w:t>
      </w:r>
      <w:proofErr w:type="spellEnd"/>
      <w:r>
        <w:rPr>
          <w:spacing w:val="1"/>
        </w:rPr>
        <w:t xml:space="preserve"> </w:t>
      </w:r>
      <w:r>
        <w:t>have not been established. Actemra subcutaneous formulation is not intended to be given to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 xml:space="preserve">with </w:t>
      </w:r>
      <w:proofErr w:type="spellStart"/>
      <w:r>
        <w:t>sJIA</w:t>
      </w:r>
      <w:proofErr w:type="spellEnd"/>
      <w:r>
        <w:rPr>
          <w:spacing w:val="-1"/>
        </w:rPr>
        <w:t xml:space="preserve"> </w:t>
      </w:r>
      <w:r>
        <w:t>weighing less</w:t>
      </w:r>
      <w:r>
        <w:rPr>
          <w:spacing w:val="-1"/>
        </w:rPr>
        <w:t xml:space="preserve"> </w:t>
      </w:r>
      <w:r>
        <w:t>than 10 kg.</w:t>
      </w:r>
    </w:p>
    <w:p w14:paraId="344C5644" w14:textId="77777777" w:rsidR="006C34D9" w:rsidRDefault="00CB5041">
      <w:pPr>
        <w:pStyle w:val="BodyText"/>
        <w:spacing w:before="199"/>
      </w:pPr>
      <w:bookmarkStart w:id="27" w:name="Elderly"/>
      <w:bookmarkEnd w:id="27"/>
      <w:r>
        <w:rPr>
          <w:u w:val="single"/>
        </w:rPr>
        <w:t>Elderly</w:t>
      </w:r>
    </w:p>
    <w:p w14:paraId="6F964791" w14:textId="77777777" w:rsidR="006C34D9" w:rsidRDefault="00CB5041">
      <w:pPr>
        <w:pStyle w:val="BodyText"/>
        <w:spacing w:before="1"/>
      </w:pPr>
      <w:r>
        <w:t>No</w:t>
      </w:r>
      <w:r>
        <w:rPr>
          <w:spacing w:val="-1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elderly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aged</w:t>
      </w:r>
      <w:r>
        <w:rPr>
          <w:spacing w:val="-1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and older.</w:t>
      </w:r>
    </w:p>
    <w:p w14:paraId="73446FD9" w14:textId="77777777" w:rsidR="006C34D9" w:rsidRDefault="00CB5041">
      <w:pPr>
        <w:pStyle w:val="BodyText"/>
        <w:spacing w:before="200"/>
      </w:pPr>
      <w:r>
        <w:rPr>
          <w:u w:val="single"/>
        </w:rPr>
        <w:t>Renal</w:t>
      </w:r>
      <w:r>
        <w:rPr>
          <w:spacing w:val="-5"/>
          <w:u w:val="single"/>
        </w:rPr>
        <w:t xml:space="preserve"> </w:t>
      </w:r>
      <w:r>
        <w:rPr>
          <w:u w:val="single"/>
        </w:rPr>
        <w:t>impairment</w:t>
      </w:r>
    </w:p>
    <w:p w14:paraId="2383C082" w14:textId="77777777" w:rsidR="006C34D9" w:rsidRDefault="00CB5041">
      <w:pPr>
        <w:pStyle w:val="BodyText"/>
      </w:pPr>
      <w:r>
        <w:t>No</w:t>
      </w:r>
      <w:r>
        <w:rPr>
          <w:spacing w:val="-8"/>
        </w:rPr>
        <w:t xml:space="preserve"> </w:t>
      </w:r>
      <w:r>
        <w:t>dose</w:t>
      </w:r>
      <w:r>
        <w:rPr>
          <w:spacing w:val="-7"/>
        </w:rPr>
        <w:t xml:space="preserve"> </w:t>
      </w:r>
      <w:r>
        <w:t>adjustment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mild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moderate</w:t>
      </w:r>
      <w:r>
        <w:rPr>
          <w:spacing w:val="-8"/>
        </w:rPr>
        <w:t xml:space="preserve"> </w:t>
      </w:r>
      <w:r>
        <w:t>renal</w:t>
      </w:r>
      <w:r>
        <w:rPr>
          <w:spacing w:val="-8"/>
        </w:rPr>
        <w:t xml:space="preserve"> </w:t>
      </w:r>
      <w:r>
        <w:t>impairment</w:t>
      </w:r>
      <w:r>
        <w:rPr>
          <w:spacing w:val="-8"/>
        </w:rPr>
        <w:t xml:space="preserve"> </w:t>
      </w:r>
      <w:r>
        <w:t>(see</w:t>
      </w:r>
      <w:r>
        <w:rPr>
          <w:spacing w:val="-7"/>
        </w:rPr>
        <w:t xml:space="preserve"> </w:t>
      </w:r>
      <w:r>
        <w:t>section</w:t>
      </w:r>
    </w:p>
    <w:p w14:paraId="107D0BA1" w14:textId="77777777" w:rsidR="006C34D9" w:rsidRDefault="00CB5041">
      <w:pPr>
        <w:pStyle w:val="BodyText"/>
      </w:pPr>
      <w:r>
        <w:t>5.2</w:t>
      </w:r>
      <w:r>
        <w:rPr>
          <w:spacing w:val="17"/>
        </w:rPr>
        <w:t xml:space="preserve"> </w:t>
      </w:r>
      <w:r>
        <w:t>Pharmacokinetic</w:t>
      </w:r>
      <w:r>
        <w:rPr>
          <w:spacing w:val="17"/>
        </w:rPr>
        <w:t xml:space="preserve"> </w:t>
      </w:r>
      <w:r>
        <w:t>Properties).</w:t>
      </w:r>
      <w:r>
        <w:rPr>
          <w:spacing w:val="17"/>
        </w:rPr>
        <w:t xml:space="preserve"> </w:t>
      </w:r>
      <w:r>
        <w:t>Actemra</w:t>
      </w:r>
      <w:r>
        <w:rPr>
          <w:spacing w:val="17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been</w:t>
      </w:r>
      <w:r>
        <w:rPr>
          <w:spacing w:val="17"/>
        </w:rPr>
        <w:t xml:space="preserve"> </w:t>
      </w:r>
      <w:r>
        <w:t>studied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patients</w:t>
      </w:r>
      <w:r>
        <w:rPr>
          <w:spacing w:val="17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severe</w:t>
      </w:r>
      <w:r>
        <w:rPr>
          <w:spacing w:val="17"/>
        </w:rPr>
        <w:t xml:space="preserve"> </w:t>
      </w:r>
      <w:r>
        <w:t>renal</w:t>
      </w:r>
      <w:r>
        <w:rPr>
          <w:spacing w:val="-57"/>
        </w:rPr>
        <w:t xml:space="preserve"> </w:t>
      </w:r>
      <w:r>
        <w:t>impairment.</w:t>
      </w:r>
    </w:p>
    <w:p w14:paraId="2833CF25" w14:textId="77777777" w:rsidR="006C34D9" w:rsidRDefault="00CB5041">
      <w:pPr>
        <w:pStyle w:val="BodyText"/>
        <w:spacing w:before="200"/>
        <w:jc w:val="both"/>
      </w:pPr>
      <w:r>
        <w:rPr>
          <w:u w:val="single"/>
        </w:rPr>
        <w:t>Hepatic</w:t>
      </w:r>
      <w:r>
        <w:rPr>
          <w:spacing w:val="-6"/>
          <w:u w:val="single"/>
        </w:rPr>
        <w:t xml:space="preserve"> </w:t>
      </w:r>
      <w:r>
        <w:rPr>
          <w:u w:val="single"/>
        </w:rPr>
        <w:t>impairment</w:t>
      </w:r>
    </w:p>
    <w:p w14:paraId="669E85FF" w14:textId="77777777" w:rsidR="006C34D9" w:rsidRDefault="00CB5041">
      <w:pPr>
        <w:pStyle w:val="BodyText"/>
        <w:ind w:right="657"/>
        <w:jc w:val="both"/>
      </w:pPr>
      <w:r>
        <w:t>The safety and efficacy of Actemra has not been studied in patients with hepatic impairment</w:t>
      </w:r>
      <w:r>
        <w:rPr>
          <w:spacing w:val="1"/>
        </w:rPr>
        <w:t xml:space="preserve"> </w:t>
      </w:r>
      <w:r>
        <w:t>(see section 4.4 Special Warnings and Precautions) and therefore no dose recommendations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made.</w:t>
      </w:r>
    </w:p>
    <w:p w14:paraId="6A877362" w14:textId="77777777" w:rsidR="006C34D9" w:rsidRDefault="00CB5041">
      <w:pPr>
        <w:pStyle w:val="Heading2"/>
        <w:spacing w:before="201"/>
        <w:jc w:val="left"/>
      </w:pPr>
      <w:bookmarkStart w:id="28" w:name="Method_of_Administration"/>
      <w:bookmarkEnd w:id="28"/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Administration</w:t>
      </w:r>
    </w:p>
    <w:p w14:paraId="69625815" w14:textId="77777777" w:rsidR="006C34D9" w:rsidRDefault="00CB5041">
      <w:pPr>
        <w:pStyle w:val="BodyText"/>
        <w:spacing w:before="35"/>
      </w:pPr>
      <w:r>
        <w:rPr>
          <w:u w:val="single"/>
        </w:rPr>
        <w:t>Concentrated</w:t>
      </w:r>
      <w:r>
        <w:rPr>
          <w:spacing w:val="-3"/>
          <w:u w:val="single"/>
        </w:rPr>
        <w:t xml:space="preserve"> </w:t>
      </w:r>
      <w:r>
        <w:rPr>
          <w:u w:val="single"/>
        </w:rPr>
        <w:t>solution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intravenous</w:t>
      </w:r>
      <w:r>
        <w:rPr>
          <w:spacing w:val="-2"/>
          <w:u w:val="single"/>
        </w:rPr>
        <w:t xml:space="preserve"> </w:t>
      </w:r>
      <w:r>
        <w:rPr>
          <w:u w:val="single"/>
        </w:rPr>
        <w:t>infusion</w:t>
      </w:r>
    </w:p>
    <w:p w14:paraId="7CDA0387" w14:textId="77777777" w:rsidR="006C34D9" w:rsidRDefault="00CB5041">
      <w:pPr>
        <w:pStyle w:val="BodyText"/>
        <w:ind w:right="596"/>
      </w:pPr>
      <w:r>
        <w:t>Parenteral</w:t>
      </w:r>
      <w:r>
        <w:rPr>
          <w:spacing w:val="24"/>
        </w:rPr>
        <w:t xml:space="preserve"> </w:t>
      </w:r>
      <w:r>
        <w:t>medications</w:t>
      </w:r>
      <w:r>
        <w:rPr>
          <w:spacing w:val="25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inspected</w:t>
      </w:r>
      <w:r>
        <w:rPr>
          <w:spacing w:val="25"/>
        </w:rPr>
        <w:t xml:space="preserve"> </w:t>
      </w:r>
      <w:r>
        <w:t>visually</w:t>
      </w:r>
      <w:r>
        <w:rPr>
          <w:spacing w:val="25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particulate</w:t>
      </w:r>
      <w:r>
        <w:rPr>
          <w:spacing w:val="27"/>
        </w:rPr>
        <w:t xml:space="preserve"> </w:t>
      </w:r>
      <w:r>
        <w:t>matter</w:t>
      </w:r>
      <w:r>
        <w:rPr>
          <w:spacing w:val="28"/>
        </w:rPr>
        <w:t xml:space="preserve"> </w:t>
      </w:r>
      <w:r>
        <w:t>or</w:t>
      </w:r>
      <w:r>
        <w:rPr>
          <w:spacing w:val="26"/>
        </w:rPr>
        <w:t xml:space="preserve"> </w:t>
      </w:r>
      <w:proofErr w:type="spellStart"/>
      <w:r>
        <w:t>discolouration</w:t>
      </w:r>
      <w:proofErr w:type="spellEnd"/>
      <w:r>
        <w:rPr>
          <w:spacing w:val="-57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administration.</w:t>
      </w:r>
    </w:p>
    <w:p w14:paraId="52C65371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D7C0A91" w14:textId="77777777" w:rsidR="006C34D9" w:rsidRDefault="00CB5041">
      <w:pPr>
        <w:pStyle w:val="BodyText"/>
      </w:pPr>
      <w:r>
        <w:t>Only</w:t>
      </w:r>
      <w:r>
        <w:rPr>
          <w:spacing w:val="31"/>
        </w:rPr>
        <w:t xml:space="preserve"> </w:t>
      </w:r>
      <w:r>
        <w:t>solutions</w:t>
      </w:r>
      <w:r>
        <w:rPr>
          <w:spacing w:val="31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clear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opalescent,</w:t>
      </w:r>
      <w:r>
        <w:rPr>
          <w:spacing w:val="31"/>
        </w:rPr>
        <w:t xml:space="preserve"> </w:t>
      </w:r>
      <w:proofErr w:type="spellStart"/>
      <w:r>
        <w:t>colourless</w:t>
      </w:r>
      <w:proofErr w:type="spellEnd"/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pale</w:t>
      </w:r>
      <w:r>
        <w:rPr>
          <w:spacing w:val="31"/>
        </w:rPr>
        <w:t xml:space="preserve"> </w:t>
      </w:r>
      <w:r>
        <w:t>yellow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free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visible</w:t>
      </w:r>
      <w:r>
        <w:rPr>
          <w:spacing w:val="-57"/>
        </w:rPr>
        <w:t xml:space="preserve"> </w:t>
      </w:r>
      <w:r>
        <w:t>particles</w:t>
      </w:r>
      <w:r>
        <w:rPr>
          <w:spacing w:val="-1"/>
        </w:rPr>
        <w:t xml:space="preserve"> </w:t>
      </w:r>
      <w:r>
        <w:t>must be infused.</w:t>
      </w:r>
    </w:p>
    <w:p w14:paraId="3AAE2176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45467BF7" w14:textId="77777777" w:rsidR="006C34D9" w:rsidRDefault="00CB5041">
      <w:pPr>
        <w:pStyle w:val="BodyText"/>
      </w:pP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sterile</w:t>
      </w:r>
      <w:r>
        <w:rPr>
          <w:spacing w:val="-2"/>
        </w:rPr>
        <w:t xml:space="preserve"> </w:t>
      </w:r>
      <w:r>
        <w:t>needle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syringe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formulations.</w:t>
      </w:r>
    </w:p>
    <w:p w14:paraId="3C0E933D" w14:textId="77777777" w:rsidR="006C34D9" w:rsidRDefault="006C34D9">
      <w:pPr>
        <w:pStyle w:val="BodyText"/>
        <w:spacing w:before="11"/>
        <w:ind w:left="0"/>
        <w:rPr>
          <w:sz w:val="20"/>
        </w:rPr>
      </w:pPr>
    </w:p>
    <w:p w14:paraId="16336334" w14:textId="77777777" w:rsidR="006C34D9" w:rsidRDefault="00CB5041">
      <w:pPr>
        <w:spacing w:line="275" w:lineRule="exact"/>
        <w:ind w:left="660"/>
        <w:jc w:val="both"/>
        <w:rPr>
          <w:i/>
          <w:sz w:val="24"/>
        </w:rPr>
      </w:pPr>
      <w:bookmarkStart w:id="29" w:name="Rheumatoid_Arthritis,_CRS_and_COVID-19_p"/>
      <w:bookmarkEnd w:id="29"/>
      <w:r>
        <w:rPr>
          <w:i/>
          <w:sz w:val="24"/>
        </w:rPr>
        <w:t>Rheumatoid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Arthritis,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CRS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patients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(≥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kg)</w:t>
      </w:r>
    </w:p>
    <w:p w14:paraId="4C7185C6" w14:textId="77777777" w:rsidR="006C34D9" w:rsidRDefault="00CB5041">
      <w:pPr>
        <w:pStyle w:val="BodyText"/>
        <w:ind w:right="657"/>
        <w:jc w:val="both"/>
      </w:pPr>
      <w:r>
        <w:t>From a 100 mL infusion bag, withdraw a volume of 0.9% sodium chloride solution equal to</w:t>
      </w:r>
      <w:r>
        <w:rPr>
          <w:spacing w:val="1"/>
        </w:rPr>
        <w:t xml:space="preserve"> </w:t>
      </w:r>
      <w:r>
        <w:t>the volume of the Actemra solution required for the patient’s dose, and discard. Withdraw the</w:t>
      </w:r>
      <w:r>
        <w:rPr>
          <w:spacing w:val="-57"/>
        </w:rPr>
        <w:t xml:space="preserve"> </w:t>
      </w:r>
      <w:r>
        <w:t>required amount of Actemra (0.4 mL per kg of the patient’s body weight) under aseptic</w:t>
      </w:r>
      <w:r>
        <w:rPr>
          <w:spacing w:val="1"/>
        </w:rPr>
        <w:t xml:space="preserve"> </w:t>
      </w:r>
      <w:r>
        <w:t>conditions and add to the infusion bag. To mix the solution, gently invert the bag to avoid</w:t>
      </w:r>
      <w:r>
        <w:rPr>
          <w:spacing w:val="1"/>
        </w:rPr>
        <w:t xml:space="preserve"> </w:t>
      </w:r>
      <w:r>
        <w:t>foaming.</w:t>
      </w:r>
    </w:p>
    <w:p w14:paraId="3A25EC80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5BEEAFBB" w14:textId="77777777" w:rsidR="006C34D9" w:rsidRDefault="00CB5041">
      <w:pPr>
        <w:pStyle w:val="BodyText"/>
        <w:spacing w:before="79"/>
        <w:jc w:val="both"/>
      </w:pPr>
      <w:bookmarkStart w:id="30" w:name="Use_in_paediatric_patients"/>
      <w:bookmarkEnd w:id="30"/>
      <w:r>
        <w:rPr>
          <w:u w:val="single"/>
        </w:rPr>
        <w:lastRenderedPageBreak/>
        <w:t>Use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paediatric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patients</w:t>
      </w:r>
    </w:p>
    <w:p w14:paraId="6ED892D7" w14:textId="77777777" w:rsidR="006C34D9" w:rsidRDefault="00CB5041">
      <w:pPr>
        <w:spacing w:before="1" w:line="275" w:lineRule="exact"/>
        <w:ind w:left="660"/>
        <w:jc w:val="both"/>
        <w:rPr>
          <w:i/>
          <w:sz w:val="24"/>
        </w:rPr>
      </w:pPr>
      <w:bookmarkStart w:id="31" w:name="pJIA,_sJIA_and_CRS_patients_≥_30_kg"/>
      <w:bookmarkEnd w:id="31"/>
      <w:proofErr w:type="spellStart"/>
      <w:r>
        <w:rPr>
          <w:i/>
          <w:sz w:val="24"/>
        </w:rPr>
        <w:t>pJIA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sJIA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CRS patients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≥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kg</w:t>
      </w:r>
    </w:p>
    <w:p w14:paraId="05863041" w14:textId="77777777" w:rsidR="006C34D9" w:rsidRDefault="00CB5041">
      <w:pPr>
        <w:pStyle w:val="BodyText"/>
        <w:ind w:right="656"/>
        <w:jc w:val="both"/>
      </w:pPr>
      <w:r>
        <w:t>From a 100 mL infusion bag, withdraw a volume of 0.9% sodium chloride solution equal to</w:t>
      </w:r>
      <w:r>
        <w:rPr>
          <w:spacing w:val="1"/>
        </w:rPr>
        <w:t xml:space="preserve"> </w:t>
      </w:r>
      <w:r>
        <w:t>the volume of the Actemra solution required for the patient’s dose. Withdraw the required</w:t>
      </w:r>
      <w:r>
        <w:rPr>
          <w:spacing w:val="1"/>
        </w:rPr>
        <w:t xml:space="preserve"> </w:t>
      </w:r>
      <w:r>
        <w:t>amount of Actemra (0.4 mL per kg of the patient’s body weight) under aseptic conditions and</w:t>
      </w:r>
      <w:r>
        <w:rPr>
          <w:spacing w:val="-57"/>
        </w:rPr>
        <w:t xml:space="preserve"> </w:t>
      </w:r>
      <w:r>
        <w:t>dilute in a 100 mL infusion bag containing sterile, non-pyrogenic 0.9% sodium chloride</w:t>
      </w:r>
      <w:r>
        <w:rPr>
          <w:spacing w:val="1"/>
        </w:rPr>
        <w:t xml:space="preserve"> </w:t>
      </w:r>
      <w:r>
        <w:t>solution.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mix the solution,</w:t>
      </w:r>
      <w:r>
        <w:rPr>
          <w:spacing w:val="-1"/>
        </w:rPr>
        <w:t xml:space="preserve"> </w:t>
      </w:r>
      <w:r>
        <w:t>gently invert</w:t>
      </w:r>
      <w:r>
        <w:rPr>
          <w:spacing w:val="-1"/>
        </w:rPr>
        <w:t xml:space="preserve"> </w:t>
      </w:r>
      <w:r>
        <w:t>the bag</w:t>
      </w:r>
      <w:r>
        <w:rPr>
          <w:spacing w:val="-1"/>
        </w:rPr>
        <w:t xml:space="preserve"> </w:t>
      </w:r>
      <w:r>
        <w:t>to avoid foaming.</w:t>
      </w:r>
    </w:p>
    <w:p w14:paraId="07F5E1B1" w14:textId="77777777" w:rsidR="006C34D9" w:rsidRDefault="00CB5041">
      <w:pPr>
        <w:spacing w:before="202" w:line="275" w:lineRule="exact"/>
        <w:ind w:left="660"/>
        <w:jc w:val="both"/>
        <w:rPr>
          <w:i/>
          <w:sz w:val="24"/>
        </w:rPr>
      </w:pPr>
      <w:bookmarkStart w:id="32" w:name="pJIA_patients_below_30_kg"/>
      <w:bookmarkEnd w:id="32"/>
      <w:proofErr w:type="spellStart"/>
      <w:r>
        <w:rPr>
          <w:i/>
          <w:sz w:val="24"/>
        </w:rPr>
        <w:t>pJIA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patients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below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kg</w:t>
      </w:r>
    </w:p>
    <w:p w14:paraId="7EDFFFFD" w14:textId="77777777" w:rsidR="006C34D9" w:rsidRDefault="00CB5041">
      <w:pPr>
        <w:pStyle w:val="BodyText"/>
        <w:ind w:right="657"/>
        <w:jc w:val="both"/>
      </w:pP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infusion</w:t>
      </w:r>
      <w:r>
        <w:rPr>
          <w:spacing w:val="-3"/>
        </w:rPr>
        <w:t xml:space="preserve"> </w:t>
      </w:r>
      <w:r>
        <w:t>bag,</w:t>
      </w:r>
      <w:r>
        <w:rPr>
          <w:spacing w:val="-4"/>
        </w:rPr>
        <w:t xml:space="preserve"> </w:t>
      </w:r>
      <w:r>
        <w:t>withdraw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0.9%</w:t>
      </w:r>
      <w:r>
        <w:rPr>
          <w:spacing w:val="-3"/>
        </w:rPr>
        <w:t xml:space="preserve"> </w:t>
      </w:r>
      <w:r>
        <w:t>sodium</w:t>
      </w:r>
      <w:r>
        <w:rPr>
          <w:spacing w:val="-5"/>
        </w:rPr>
        <w:t xml:space="preserve"> </w:t>
      </w:r>
      <w:r>
        <w:t>chloride</w:t>
      </w:r>
      <w:r>
        <w:rPr>
          <w:spacing w:val="-4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0.5</w:t>
      </w:r>
      <w:r>
        <w:rPr>
          <w:spacing w:val="-57"/>
        </w:rPr>
        <w:t xml:space="preserve"> </w:t>
      </w:r>
      <w:r>
        <w:t>mL/kg of the patient’s body weight and discard. This volume should be replaced in the saline</w:t>
      </w:r>
      <w:r>
        <w:rPr>
          <w:spacing w:val="1"/>
        </w:rPr>
        <w:t xml:space="preserve"> </w:t>
      </w:r>
      <w:r>
        <w:t>bag with an equal volume of Actemra under aseptic conditions. To mix the solution, gently</w:t>
      </w:r>
      <w:r>
        <w:rPr>
          <w:spacing w:val="1"/>
        </w:rPr>
        <w:t xml:space="preserve"> </w:t>
      </w:r>
      <w:r>
        <w:t>invert</w:t>
      </w:r>
      <w:r>
        <w:rPr>
          <w:spacing w:val="-1"/>
        </w:rPr>
        <w:t xml:space="preserve"> </w:t>
      </w:r>
      <w:r>
        <w:t>the bag to avoid foaming.</w:t>
      </w:r>
    </w:p>
    <w:p w14:paraId="726C920E" w14:textId="77777777" w:rsidR="006C34D9" w:rsidRDefault="00CB5041">
      <w:pPr>
        <w:spacing w:before="200" w:line="275" w:lineRule="exact"/>
        <w:ind w:left="660"/>
        <w:jc w:val="both"/>
        <w:rPr>
          <w:i/>
          <w:sz w:val="24"/>
        </w:rPr>
      </w:pPr>
      <w:bookmarkStart w:id="33" w:name="sJIA_and_CRS_patients_below_30_kg"/>
      <w:bookmarkEnd w:id="33"/>
      <w:proofErr w:type="spellStart"/>
      <w:r>
        <w:rPr>
          <w:i/>
          <w:sz w:val="24"/>
        </w:rPr>
        <w:t>sJIA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patients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below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kg</w:t>
      </w:r>
    </w:p>
    <w:p w14:paraId="4A2C1ABF" w14:textId="77777777" w:rsidR="006C34D9" w:rsidRDefault="00CB5041">
      <w:pPr>
        <w:pStyle w:val="BodyText"/>
        <w:ind w:right="657"/>
        <w:jc w:val="both"/>
      </w:pP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infusion</w:t>
      </w:r>
      <w:r>
        <w:rPr>
          <w:spacing w:val="-3"/>
        </w:rPr>
        <w:t xml:space="preserve"> </w:t>
      </w:r>
      <w:r>
        <w:t>bag,</w:t>
      </w:r>
      <w:r>
        <w:rPr>
          <w:spacing w:val="-4"/>
        </w:rPr>
        <w:t xml:space="preserve"> </w:t>
      </w:r>
      <w:r>
        <w:t>withdraw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0.9%</w:t>
      </w:r>
      <w:r>
        <w:rPr>
          <w:spacing w:val="-3"/>
        </w:rPr>
        <w:t xml:space="preserve"> </w:t>
      </w:r>
      <w:r>
        <w:t>sodium</w:t>
      </w:r>
      <w:r>
        <w:rPr>
          <w:spacing w:val="-5"/>
        </w:rPr>
        <w:t xml:space="preserve"> </w:t>
      </w:r>
      <w:r>
        <w:t>chloride</w:t>
      </w:r>
      <w:r>
        <w:rPr>
          <w:spacing w:val="-4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0.6</w:t>
      </w:r>
      <w:r>
        <w:rPr>
          <w:spacing w:val="-57"/>
        </w:rPr>
        <w:t xml:space="preserve"> </w:t>
      </w:r>
      <w:r>
        <w:t>mL/kg of the patient’s body weight and discard. This volume should be replaced in the saline</w:t>
      </w:r>
      <w:r>
        <w:rPr>
          <w:spacing w:val="1"/>
        </w:rPr>
        <w:t xml:space="preserve"> </w:t>
      </w:r>
      <w:r>
        <w:t>bag with an equal volume of Actemra under aseptic conditions. To mix the solution, gently</w:t>
      </w:r>
      <w:r>
        <w:rPr>
          <w:spacing w:val="1"/>
        </w:rPr>
        <w:t xml:space="preserve"> </w:t>
      </w:r>
      <w:r>
        <w:t>invert</w:t>
      </w:r>
      <w:r>
        <w:rPr>
          <w:spacing w:val="-1"/>
        </w:rPr>
        <w:t xml:space="preserve"> </w:t>
      </w:r>
      <w:r>
        <w:t>the bag to avoid foaming.</w:t>
      </w:r>
    </w:p>
    <w:p w14:paraId="190AEE60" w14:textId="77777777" w:rsidR="006C34D9" w:rsidRDefault="00CB5041">
      <w:pPr>
        <w:pStyle w:val="BodyText"/>
        <w:spacing w:before="200"/>
        <w:jc w:val="both"/>
      </w:pPr>
      <w:r>
        <w:rPr>
          <w:u w:val="single"/>
        </w:rPr>
        <w:t>Solution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Subcutaneous</w:t>
      </w:r>
      <w:r>
        <w:rPr>
          <w:spacing w:val="-2"/>
          <w:u w:val="single"/>
        </w:rPr>
        <w:t xml:space="preserve"> </w:t>
      </w:r>
      <w:r>
        <w:rPr>
          <w:u w:val="single"/>
        </w:rPr>
        <w:t>Injection</w:t>
      </w:r>
    </w:p>
    <w:p w14:paraId="53679C4F" w14:textId="77777777" w:rsidR="006C34D9" w:rsidRDefault="00CB5041">
      <w:pPr>
        <w:pStyle w:val="BodyText"/>
        <w:ind w:left="659" w:right="656"/>
        <w:jc w:val="both"/>
      </w:pPr>
      <w:r>
        <w:t>Actemra SC formulation is administered with a single-use pre-filled syringe or pen. The pre-</w:t>
      </w:r>
      <w:r>
        <w:rPr>
          <w:spacing w:val="1"/>
        </w:rPr>
        <w:t xml:space="preserve"> </w:t>
      </w:r>
      <w:r>
        <w:t>filled pen (</w:t>
      </w:r>
      <w:proofErr w:type="spellStart"/>
      <w:r>
        <w:t>ACTPen</w:t>
      </w:r>
      <w:proofErr w:type="spellEnd"/>
      <w:r>
        <w:t>) should not be used to treat children and adolescent patients ˂ 12 years of</w:t>
      </w:r>
      <w:r>
        <w:rPr>
          <w:spacing w:val="-57"/>
        </w:rPr>
        <w:t xml:space="preserve"> </w:t>
      </w:r>
      <w:r>
        <w:t>age</w:t>
      </w:r>
      <w:r>
        <w:rPr>
          <w:spacing w:val="-13"/>
        </w:rPr>
        <w:t xml:space="preserve"> </w:t>
      </w:r>
      <w:r>
        <w:t>since</w:t>
      </w:r>
      <w:r>
        <w:rPr>
          <w:spacing w:val="-12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potential</w:t>
      </w:r>
      <w:r>
        <w:rPr>
          <w:spacing w:val="-13"/>
        </w:rPr>
        <w:t xml:space="preserve"> </w:t>
      </w:r>
      <w:r>
        <w:t>risk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intramuscular</w:t>
      </w:r>
      <w:r>
        <w:rPr>
          <w:spacing w:val="-12"/>
        </w:rPr>
        <w:t xml:space="preserve"> </w:t>
      </w:r>
      <w:r>
        <w:t>injection</w:t>
      </w:r>
      <w:r>
        <w:rPr>
          <w:spacing w:val="-12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thinner</w:t>
      </w:r>
      <w:r>
        <w:rPr>
          <w:spacing w:val="-13"/>
        </w:rPr>
        <w:t xml:space="preserve"> </w:t>
      </w:r>
      <w:r>
        <w:t>subcutaneous</w:t>
      </w:r>
      <w:r>
        <w:rPr>
          <w:spacing w:val="-13"/>
        </w:rPr>
        <w:t xml:space="preserve"> </w:t>
      </w:r>
      <w:r>
        <w:t>tissue</w:t>
      </w:r>
      <w:r>
        <w:rPr>
          <w:spacing w:val="-58"/>
        </w:rPr>
        <w:t xml:space="preserve"> </w:t>
      </w:r>
      <w:r>
        <w:t>layer.</w:t>
      </w:r>
    </w:p>
    <w:p w14:paraId="48E46ED2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E7C4C3F" w14:textId="77777777" w:rsidR="006C34D9" w:rsidRDefault="00CB5041">
      <w:pPr>
        <w:pStyle w:val="BodyText"/>
        <w:ind w:left="659" w:right="657"/>
        <w:jc w:val="both"/>
      </w:pPr>
      <w:r>
        <w:t xml:space="preserve">The recommended injection sites (abdomen, </w:t>
      </w:r>
      <w:proofErr w:type="gramStart"/>
      <w:r>
        <w:t>thigh</w:t>
      </w:r>
      <w:proofErr w:type="gramEnd"/>
      <w:r>
        <w:t xml:space="preserve"> and upper arm) should be rotated and</w:t>
      </w:r>
      <w:r>
        <w:rPr>
          <w:spacing w:val="1"/>
        </w:rPr>
        <w:t xml:space="preserve"> </w:t>
      </w:r>
      <w:r>
        <w:t>injections should never be given into moles, scars, or areas where the skin is tender, bruised,</w:t>
      </w:r>
      <w:r>
        <w:rPr>
          <w:spacing w:val="1"/>
        </w:rPr>
        <w:t xml:space="preserve"> </w:t>
      </w:r>
      <w:r>
        <w:t>red, hard, or not intact. Administration in the thigh may result in slightly increased absorption</w:t>
      </w:r>
      <w:r>
        <w:rPr>
          <w:spacing w:val="-57"/>
        </w:rPr>
        <w:t xml:space="preserve"> </w:t>
      </w:r>
      <w:r>
        <w:rPr>
          <w:spacing w:val="-1"/>
        </w:rPr>
        <w:t>compared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other</w:t>
      </w:r>
      <w:r>
        <w:rPr>
          <w:spacing w:val="-14"/>
        </w:rPr>
        <w:t xml:space="preserve"> </w:t>
      </w:r>
      <w:r>
        <w:t>recommended</w:t>
      </w:r>
      <w:r>
        <w:rPr>
          <w:spacing w:val="-15"/>
        </w:rPr>
        <w:t xml:space="preserve"> </w:t>
      </w:r>
      <w:r>
        <w:t>injection</w:t>
      </w:r>
      <w:r>
        <w:rPr>
          <w:spacing w:val="-15"/>
        </w:rPr>
        <w:t xml:space="preserve"> </w:t>
      </w:r>
      <w:r>
        <w:t>sites</w:t>
      </w:r>
      <w:r>
        <w:rPr>
          <w:spacing w:val="-15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considered</w:t>
      </w:r>
      <w:r>
        <w:rPr>
          <w:spacing w:val="-15"/>
        </w:rPr>
        <w:t xml:space="preserve"> </w:t>
      </w:r>
      <w:r>
        <w:t>clinically</w:t>
      </w:r>
      <w:r>
        <w:rPr>
          <w:spacing w:val="-15"/>
        </w:rPr>
        <w:t xml:space="preserve"> </w:t>
      </w:r>
      <w:r>
        <w:t>relevant.</w:t>
      </w:r>
    </w:p>
    <w:p w14:paraId="0186048D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0D694BD9" w14:textId="77777777" w:rsidR="006C34D9" w:rsidRDefault="00CB5041">
      <w:pPr>
        <w:pStyle w:val="BodyText"/>
        <w:ind w:left="659" w:right="658"/>
        <w:jc w:val="both"/>
      </w:pPr>
      <w:r>
        <w:t xml:space="preserve">Do not use if the medicine is cloudy or contains particles, is any </w:t>
      </w:r>
      <w:proofErr w:type="spellStart"/>
      <w:r>
        <w:t>colour</w:t>
      </w:r>
      <w:proofErr w:type="spellEnd"/>
      <w:r>
        <w:t xml:space="preserve"> besides </w:t>
      </w:r>
      <w:proofErr w:type="spellStart"/>
      <w:r>
        <w:t>colourless</w:t>
      </w:r>
      <w:proofErr w:type="spellEnd"/>
      <w:r>
        <w:t xml:space="preserve"> to</w:t>
      </w:r>
      <w:r>
        <w:rPr>
          <w:spacing w:val="1"/>
        </w:rPr>
        <w:t xml:space="preserve"> </w:t>
      </w:r>
      <w:r>
        <w:t>slightly</w:t>
      </w:r>
      <w:r>
        <w:rPr>
          <w:spacing w:val="-1"/>
        </w:rPr>
        <w:t xml:space="preserve"> </w:t>
      </w:r>
      <w:r>
        <w:t>yellowish, or</w:t>
      </w:r>
      <w:r>
        <w:rPr>
          <w:spacing w:val="-1"/>
        </w:rPr>
        <w:t xml:space="preserve"> </w:t>
      </w:r>
      <w:r>
        <w:t>any 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pre-filled</w:t>
      </w:r>
      <w:r>
        <w:rPr>
          <w:spacing w:val="-1"/>
        </w:rPr>
        <w:t xml:space="preserve"> </w:t>
      </w:r>
      <w:r>
        <w:t>syringe appears</w:t>
      </w:r>
      <w:r>
        <w:rPr>
          <w:spacing w:val="-1"/>
        </w:rPr>
        <w:t xml:space="preserve"> </w:t>
      </w:r>
      <w:r>
        <w:t>to be damaged.</w:t>
      </w:r>
    </w:p>
    <w:p w14:paraId="1B8F8745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C453353" w14:textId="77777777" w:rsidR="006C34D9" w:rsidRDefault="00CB5041">
      <w:pPr>
        <w:pStyle w:val="BodyText"/>
        <w:jc w:val="both"/>
      </w:pPr>
      <w:r>
        <w:t>Actemra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shaken.</w:t>
      </w:r>
    </w:p>
    <w:p w14:paraId="35CEE3C3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5D048196" w14:textId="77777777" w:rsidR="006C34D9" w:rsidRDefault="00CB5041">
      <w:pPr>
        <w:pStyle w:val="BodyText"/>
        <w:ind w:right="657"/>
        <w:jc w:val="both"/>
      </w:pPr>
      <w:r>
        <w:t>After</w:t>
      </w:r>
      <w:r>
        <w:rPr>
          <w:spacing w:val="-3"/>
        </w:rPr>
        <w:t xml:space="preserve"> </w:t>
      </w:r>
      <w:r>
        <w:t>removing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pre-filled</w:t>
      </w:r>
      <w:r>
        <w:rPr>
          <w:spacing w:val="-3"/>
        </w:rPr>
        <w:t xml:space="preserve"> </w:t>
      </w:r>
      <w:r>
        <w:t>syringe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refrigerator,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room</w:t>
      </w:r>
      <w:r>
        <w:rPr>
          <w:spacing w:val="-58"/>
        </w:rPr>
        <w:t xml:space="preserve"> </w:t>
      </w:r>
      <w:r>
        <w:t xml:space="preserve">temperature by waiting for 25 to 30 minutes, before injecting. After removing the </w:t>
      </w:r>
      <w:proofErr w:type="gramStart"/>
      <w:r>
        <w:t>cap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should be started within 5</w:t>
      </w:r>
      <w:r>
        <w:rPr>
          <w:spacing w:val="-2"/>
        </w:rPr>
        <w:t xml:space="preserve"> </w:t>
      </w:r>
      <w:r>
        <w:t>minutes.</w:t>
      </w:r>
    </w:p>
    <w:p w14:paraId="10EC37DA" w14:textId="77777777" w:rsidR="006C34D9" w:rsidRDefault="006C34D9">
      <w:pPr>
        <w:pStyle w:val="BodyText"/>
        <w:ind w:left="0"/>
      </w:pPr>
    </w:p>
    <w:p w14:paraId="5127704C" w14:textId="77777777" w:rsidR="006C34D9" w:rsidRDefault="00CB5041">
      <w:pPr>
        <w:pStyle w:val="BodyText"/>
        <w:ind w:left="659" w:right="657"/>
        <w:jc w:val="both"/>
      </w:pPr>
      <w:r>
        <w:t>After removing the pre-filled pen from the refrigerator, it should be allowed to reach room</w:t>
      </w:r>
      <w:r>
        <w:rPr>
          <w:spacing w:val="1"/>
        </w:rPr>
        <w:t xml:space="preserve"> </w:t>
      </w:r>
      <w:r>
        <w:t xml:space="preserve">temperature by waiting 45 minutes, before injecting. After removing the </w:t>
      </w:r>
      <w:proofErr w:type="gramStart"/>
      <w:r>
        <w:t>cap</w:t>
      </w:r>
      <w:proofErr w:type="gramEnd"/>
      <w:r>
        <w:t xml:space="preserve"> the injection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started within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minutes.</w:t>
      </w:r>
    </w:p>
    <w:p w14:paraId="710C0619" w14:textId="77777777" w:rsidR="006C34D9" w:rsidRDefault="00CB5041">
      <w:pPr>
        <w:pStyle w:val="Heading1"/>
        <w:numPr>
          <w:ilvl w:val="1"/>
          <w:numId w:val="7"/>
        </w:numPr>
        <w:tabs>
          <w:tab w:val="left" w:pos="1379"/>
          <w:tab w:val="left" w:pos="1380"/>
        </w:tabs>
        <w:spacing w:before="203"/>
        <w:ind w:hanging="721"/>
      </w:pPr>
      <w:bookmarkStart w:id="34" w:name="4.3_CONTRAINDICATIONS"/>
      <w:bookmarkEnd w:id="34"/>
      <w:r>
        <w:t>CONTRAINDICATIONS</w:t>
      </w:r>
    </w:p>
    <w:p w14:paraId="7552DBE6" w14:textId="77777777" w:rsidR="006C34D9" w:rsidRDefault="00CB5041">
      <w:pPr>
        <w:pStyle w:val="BodyText"/>
        <w:spacing w:line="275" w:lineRule="exact"/>
        <w:ind w:left="659"/>
        <w:jc w:val="both"/>
      </w:pPr>
      <w:r>
        <w:t>Actemra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contraindicated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with:</w:t>
      </w:r>
    </w:p>
    <w:p w14:paraId="06CAF946" w14:textId="77777777" w:rsidR="006C34D9" w:rsidRDefault="00CB5041">
      <w:pPr>
        <w:pStyle w:val="ListParagraph"/>
        <w:numPr>
          <w:ilvl w:val="0"/>
          <w:numId w:val="6"/>
        </w:numPr>
        <w:tabs>
          <w:tab w:val="left" w:pos="1020"/>
        </w:tabs>
        <w:spacing w:line="242" w:lineRule="auto"/>
        <w:ind w:left="1019" w:right="658"/>
        <w:jc w:val="both"/>
        <w:rPr>
          <w:sz w:val="24"/>
        </w:rPr>
      </w:pPr>
      <w:r>
        <w:rPr>
          <w:sz w:val="24"/>
        </w:rPr>
        <w:t>known hypersensitivity to any component of the product or with a history of any reaction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hypersensitivity to any component of the product, Chinese hamster ovary</w:t>
      </w:r>
      <w:r>
        <w:rPr>
          <w:spacing w:val="1"/>
          <w:sz w:val="24"/>
        </w:rPr>
        <w:t xml:space="preserve"> </w:t>
      </w:r>
      <w:r>
        <w:rPr>
          <w:sz w:val="24"/>
        </w:rPr>
        <w:t>cell</w:t>
      </w:r>
      <w:r>
        <w:rPr>
          <w:spacing w:val="-1"/>
          <w:sz w:val="24"/>
        </w:rPr>
        <w:t xml:space="preserve"> </w:t>
      </w:r>
      <w:r>
        <w:rPr>
          <w:sz w:val="24"/>
        </w:rPr>
        <w:t>products or other recombinant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human or </w:t>
      </w:r>
      <w:proofErr w:type="spellStart"/>
      <w:r>
        <w:rPr>
          <w:sz w:val="24"/>
        </w:rPr>
        <w:t>humanised</w:t>
      </w:r>
      <w:proofErr w:type="spellEnd"/>
      <w:r>
        <w:rPr>
          <w:sz w:val="24"/>
        </w:rPr>
        <w:t xml:space="preserve"> antibodies</w:t>
      </w:r>
    </w:p>
    <w:p w14:paraId="33C9A981" w14:textId="77777777" w:rsidR="006C34D9" w:rsidRDefault="00CB5041">
      <w:pPr>
        <w:pStyle w:val="ListParagraph"/>
        <w:numPr>
          <w:ilvl w:val="0"/>
          <w:numId w:val="6"/>
        </w:numPr>
        <w:tabs>
          <w:tab w:val="left" w:pos="1019"/>
          <w:tab w:val="left" w:pos="1020"/>
        </w:tabs>
        <w:spacing w:before="169"/>
        <w:ind w:hanging="361"/>
        <w:rPr>
          <w:sz w:val="24"/>
        </w:rPr>
      </w:pPr>
      <w:r>
        <w:rPr>
          <w:sz w:val="24"/>
        </w:rPr>
        <w:t>active,</w:t>
      </w:r>
      <w:r>
        <w:rPr>
          <w:spacing w:val="-2"/>
          <w:sz w:val="24"/>
        </w:rPr>
        <w:t xml:space="preserve"> </w:t>
      </w:r>
      <w:r>
        <w:rPr>
          <w:sz w:val="24"/>
        </w:rPr>
        <w:t>severe</w:t>
      </w:r>
      <w:r>
        <w:rPr>
          <w:spacing w:val="-2"/>
          <w:sz w:val="24"/>
        </w:rPr>
        <w:t xml:space="preserve"> </w:t>
      </w:r>
      <w:r>
        <w:rPr>
          <w:sz w:val="24"/>
        </w:rPr>
        <w:t>infections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4.4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Warnings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Precautions)</w:t>
      </w:r>
    </w:p>
    <w:p w14:paraId="5A7880BF" w14:textId="77777777" w:rsidR="006C34D9" w:rsidRDefault="006C34D9">
      <w:pPr>
        <w:rPr>
          <w:sz w:val="24"/>
        </w:r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5BEFF2C8" w14:textId="77777777" w:rsidR="006C34D9" w:rsidRDefault="00CB5041">
      <w:pPr>
        <w:pStyle w:val="Heading1"/>
        <w:numPr>
          <w:ilvl w:val="1"/>
          <w:numId w:val="7"/>
        </w:numPr>
        <w:tabs>
          <w:tab w:val="left" w:pos="1445"/>
          <w:tab w:val="left" w:pos="1446"/>
        </w:tabs>
        <w:spacing w:before="62"/>
        <w:ind w:left="1446" w:hanging="786"/>
      </w:pPr>
      <w:bookmarkStart w:id="35" w:name="4.4_SPECIAL_WARNINGS_AND_PRECAUTIONS_FOR"/>
      <w:bookmarkEnd w:id="35"/>
      <w:r>
        <w:lastRenderedPageBreak/>
        <w:t>SPECIAL</w:t>
      </w:r>
      <w:r>
        <w:rPr>
          <w:spacing w:val="-4"/>
        </w:rPr>
        <w:t xml:space="preserve"> </w:t>
      </w:r>
      <w:r>
        <w:t>WARNINGS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PRECAUTIONS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USE</w:t>
      </w:r>
    </w:p>
    <w:p w14:paraId="1F41C2DE" w14:textId="77777777" w:rsidR="006C34D9" w:rsidRDefault="00CB5041">
      <w:pPr>
        <w:pStyle w:val="BodyText"/>
      </w:pPr>
      <w:proofErr w:type="gramStart"/>
      <w:r>
        <w:t>In order</w:t>
      </w:r>
      <w:r>
        <w:rPr>
          <w:spacing w:val="1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traceability of biological medicinal products,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tradename and</w:t>
      </w:r>
      <w:r>
        <w:rPr>
          <w:spacing w:val="1"/>
        </w:rPr>
        <w:t xml:space="preserve"> </w:t>
      </w:r>
      <w:r>
        <w:t>batch</w:t>
      </w:r>
      <w:r>
        <w:rPr>
          <w:spacing w:val="-57"/>
        </w:rPr>
        <w:t xml:space="preserve"> </w:t>
      </w:r>
      <w:r>
        <w:t>number of the administered product should be clearly recorded in the patient medical record.</w:t>
      </w:r>
      <w:r>
        <w:rPr>
          <w:spacing w:val="1"/>
        </w:rPr>
        <w:t xml:space="preserve"> </w:t>
      </w:r>
      <w:r>
        <w:t>Substitution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medicinal</w:t>
      </w:r>
      <w:r>
        <w:rPr>
          <w:spacing w:val="3"/>
        </w:rPr>
        <w:t xml:space="preserve"> </w:t>
      </w:r>
      <w:r>
        <w:t>product</w:t>
      </w:r>
      <w:r>
        <w:rPr>
          <w:spacing w:val="4"/>
        </w:rPr>
        <w:t xml:space="preserve"> </w:t>
      </w:r>
      <w:r>
        <w:t>requires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consent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prescribing</w:t>
      </w:r>
      <w:r>
        <w:rPr>
          <w:spacing w:val="-57"/>
        </w:rPr>
        <w:t xml:space="preserve"> </w:t>
      </w:r>
      <w:r>
        <w:t>physician.</w:t>
      </w:r>
    </w:p>
    <w:p w14:paraId="38DD7AD1" w14:textId="77777777" w:rsidR="006C34D9" w:rsidRDefault="00CB5041">
      <w:pPr>
        <w:pStyle w:val="Heading2"/>
        <w:spacing w:before="200"/>
        <w:jc w:val="left"/>
      </w:pPr>
      <w:bookmarkStart w:id="36" w:name="All_Indications"/>
      <w:bookmarkEnd w:id="36"/>
      <w:r>
        <w:t>All</w:t>
      </w:r>
      <w:r>
        <w:rPr>
          <w:spacing w:val="-8"/>
        </w:rPr>
        <w:t xml:space="preserve"> </w:t>
      </w:r>
      <w:r>
        <w:t>Indications</w:t>
      </w:r>
    </w:p>
    <w:p w14:paraId="23BD784C" w14:textId="77777777" w:rsidR="006C34D9" w:rsidRDefault="00CB5041">
      <w:pPr>
        <w:pStyle w:val="BodyText"/>
        <w:spacing w:before="34"/>
      </w:pPr>
      <w:r>
        <w:rPr>
          <w:u w:val="single"/>
        </w:rPr>
        <w:t>Infections</w:t>
      </w:r>
    </w:p>
    <w:p w14:paraId="36BCC351" w14:textId="77777777" w:rsidR="006C34D9" w:rsidRDefault="00CB5041">
      <w:pPr>
        <w:pStyle w:val="BodyText"/>
        <w:ind w:right="657"/>
        <w:jc w:val="both"/>
      </w:pPr>
      <w:r>
        <w:t>Serious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fatal</w:t>
      </w:r>
      <w:r>
        <w:rPr>
          <w:spacing w:val="1"/>
        </w:rPr>
        <w:t xml:space="preserve"> </w:t>
      </w:r>
      <w:r>
        <w:t>infections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immunosuppressive agents including Actemra (see section 4.8 Adverse Effects (Undesirable</w:t>
      </w:r>
      <w:r>
        <w:rPr>
          <w:spacing w:val="1"/>
        </w:rPr>
        <w:t xml:space="preserve"> </w:t>
      </w:r>
      <w:r>
        <w:t>Effects)). Actemra treatment should not be initiated in patients with active infections (see</w:t>
      </w:r>
      <w:r>
        <w:rPr>
          <w:spacing w:val="1"/>
        </w:rPr>
        <w:t xml:space="preserve"> </w:t>
      </w:r>
      <w:r>
        <w:t>section 4.3 Contraindications). If a patient develops a serious infection, administration of</w:t>
      </w:r>
      <w:r>
        <w:rPr>
          <w:spacing w:val="1"/>
        </w:rPr>
        <w:t xml:space="preserve"> </w:t>
      </w:r>
      <w:r>
        <w:t>Actemra should be interrupted until the infection is controlled. Physicians should exercise</w:t>
      </w:r>
      <w:r>
        <w:rPr>
          <w:spacing w:val="1"/>
        </w:rPr>
        <w:t xml:space="preserve"> </w:t>
      </w:r>
      <w:r>
        <w:t>caution when considering the use of Actemra in patients with a history of recurring or chronic</w:t>
      </w:r>
      <w:r>
        <w:rPr>
          <w:spacing w:val="-57"/>
        </w:rPr>
        <w:t xml:space="preserve"> </w:t>
      </w:r>
      <w:r>
        <w:t>infection, or with underlying conditions (e.g. diverticulitis, diabetes) which may predispose</w:t>
      </w:r>
      <w:r>
        <w:rPr>
          <w:spacing w:val="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infections.</w:t>
      </w:r>
    </w:p>
    <w:p w14:paraId="029DCDC0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AEAF19F" w14:textId="77777777" w:rsidR="006C34D9" w:rsidRDefault="00CB5041">
      <w:pPr>
        <w:pStyle w:val="BodyText"/>
        <w:ind w:right="657"/>
        <w:jc w:val="both"/>
      </w:pPr>
      <w:r>
        <w:t>In</w:t>
      </w:r>
      <w:r>
        <w:rPr>
          <w:spacing w:val="-12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COVID-19,</w:t>
      </w:r>
      <w:r>
        <w:rPr>
          <w:spacing w:val="-11"/>
        </w:rPr>
        <w:t xml:space="preserve"> </w:t>
      </w:r>
      <w:r>
        <w:t>Actemra</w:t>
      </w:r>
      <w:r>
        <w:rPr>
          <w:spacing w:val="-12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administered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concurrent</w:t>
      </w:r>
      <w:r>
        <w:rPr>
          <w:spacing w:val="-1"/>
        </w:rPr>
        <w:t xml:space="preserve"> </w:t>
      </w:r>
      <w:r>
        <w:t>serious active</w:t>
      </w:r>
      <w:r>
        <w:rPr>
          <w:spacing w:val="-1"/>
        </w:rPr>
        <w:t xml:space="preserve"> </w:t>
      </w:r>
      <w:r>
        <w:t>infection.</w:t>
      </w:r>
    </w:p>
    <w:p w14:paraId="22446DC8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634565E" w14:textId="77777777" w:rsidR="006C34D9" w:rsidRDefault="00CB5041">
      <w:pPr>
        <w:pStyle w:val="BodyText"/>
        <w:ind w:right="657"/>
        <w:jc w:val="both"/>
      </w:pPr>
      <w:r>
        <w:t>Vigilance for the timely detection of serious infection is recommended for patients receiving</w:t>
      </w:r>
      <w:r>
        <w:rPr>
          <w:spacing w:val="1"/>
        </w:rPr>
        <w:t xml:space="preserve"> </w:t>
      </w:r>
      <w:r>
        <w:t>immunosuppressive agents, such as Actemra, as signs and symptoms of acute inflammation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lessened,</w:t>
      </w:r>
      <w:r>
        <w:rPr>
          <w:spacing w:val="-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suppression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acute</w:t>
      </w:r>
      <w:r>
        <w:rPr>
          <w:spacing w:val="-2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reaction.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Actemra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C-</w:t>
      </w:r>
      <w:r>
        <w:rPr>
          <w:spacing w:val="-58"/>
        </w:rPr>
        <w:t xml:space="preserve"> </w:t>
      </w:r>
      <w:r>
        <w:t>reactive</w:t>
      </w:r>
      <w:r>
        <w:rPr>
          <w:spacing w:val="-5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(CRP),</w:t>
      </w:r>
      <w:r>
        <w:rPr>
          <w:spacing w:val="-3"/>
        </w:rPr>
        <w:t xml:space="preserve"> </w:t>
      </w:r>
      <w:r>
        <w:t>neutrophils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infection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58"/>
        </w:rPr>
        <w:t xml:space="preserve"> </w:t>
      </w:r>
      <w:r>
        <w:t>when evaluating a patient for a potential infection. Patients (which include younger children</w:t>
      </w:r>
      <w:r>
        <w:rPr>
          <w:spacing w:val="1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less</w:t>
      </w:r>
      <w:r>
        <w:rPr>
          <w:spacing w:val="-10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communicate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symptoms)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parents/guardians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minors</w:t>
      </w:r>
      <w:r>
        <w:rPr>
          <w:spacing w:val="-8"/>
        </w:rPr>
        <w:t xml:space="preserve"> </w:t>
      </w:r>
      <w:r>
        <w:t>should</w:t>
      </w:r>
      <w:r>
        <w:rPr>
          <w:spacing w:val="-58"/>
        </w:rPr>
        <w:t xml:space="preserve"> </w:t>
      </w:r>
      <w:r>
        <w:t>be instructed to contact a physician immediately when any symptoms suggesting infection</w:t>
      </w:r>
      <w:r>
        <w:rPr>
          <w:spacing w:val="1"/>
        </w:rPr>
        <w:t xml:space="preserve"> </w:t>
      </w:r>
      <w:r>
        <w:t>appear,</w:t>
      </w:r>
      <w:r>
        <w:rPr>
          <w:spacing w:val="-3"/>
        </w:rPr>
        <w:t xml:space="preserve"> </w:t>
      </w:r>
      <w:r>
        <w:t>in order to assure</w:t>
      </w:r>
      <w:r>
        <w:rPr>
          <w:spacing w:val="-2"/>
        </w:rPr>
        <w:t xml:space="preserve"> </w:t>
      </w:r>
      <w:r>
        <w:t>rapid evaluation and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treatment.</w:t>
      </w:r>
    </w:p>
    <w:p w14:paraId="10E21D48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4D8A116C" w14:textId="77777777" w:rsidR="006C34D9" w:rsidRDefault="00CB5041">
      <w:pPr>
        <w:pStyle w:val="BodyText"/>
        <w:ind w:right="657"/>
        <w:jc w:val="both"/>
      </w:pPr>
      <w:r>
        <w:t>The use of Actemra is not recommended in patients with HIV, positive core antibody for</w:t>
      </w:r>
      <w:r>
        <w:rPr>
          <w:spacing w:val="1"/>
        </w:rPr>
        <w:t xml:space="preserve"> </w:t>
      </w:r>
      <w:r>
        <w:t>hepatitis B, prior HCV infection, or symptomatic EBV infection. Viral reactivation (e.g.</w:t>
      </w:r>
      <w:r>
        <w:rPr>
          <w:spacing w:val="1"/>
        </w:rPr>
        <w:t xml:space="preserve"> </w:t>
      </w:r>
      <w:r>
        <w:t>hepatitis</w:t>
      </w:r>
      <w:r>
        <w:rPr>
          <w:spacing w:val="-8"/>
        </w:rPr>
        <w:t xml:space="preserve"> </w:t>
      </w:r>
      <w:r>
        <w:t>B)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biologic</w:t>
      </w:r>
      <w:r>
        <w:rPr>
          <w:spacing w:val="-8"/>
        </w:rPr>
        <w:t xml:space="preserve"> </w:t>
      </w:r>
      <w:r>
        <w:t>therapies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RA.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Actemra,</w:t>
      </w:r>
      <w:r>
        <w:rPr>
          <w:spacing w:val="-58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screened positive for</w:t>
      </w:r>
      <w:r>
        <w:rPr>
          <w:spacing w:val="-1"/>
        </w:rPr>
        <w:t xml:space="preserve"> </w:t>
      </w:r>
      <w:r>
        <w:t>hepatitis were</w:t>
      </w:r>
      <w:r>
        <w:rPr>
          <w:spacing w:val="-1"/>
        </w:rPr>
        <w:t xml:space="preserve"> </w:t>
      </w:r>
      <w:r>
        <w:t>excluded.</w:t>
      </w:r>
    </w:p>
    <w:p w14:paraId="44CB33E7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4292EC53" w14:textId="77777777" w:rsidR="006C34D9" w:rsidRDefault="00CB5041">
      <w:pPr>
        <w:pStyle w:val="BodyText"/>
        <w:ind w:right="657"/>
        <w:jc w:val="both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population,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infections</w:t>
      </w:r>
      <w:r>
        <w:rPr>
          <w:spacing w:val="-2"/>
        </w:rPr>
        <w:t xml:space="preserve"> </w:t>
      </w:r>
      <w:r>
        <w:t>(bacterial,</w:t>
      </w:r>
      <w:r>
        <w:rPr>
          <w:spacing w:val="-2"/>
        </w:rPr>
        <w:t xml:space="preserve"> </w:t>
      </w:r>
      <w:proofErr w:type="gramStart"/>
      <w:r>
        <w:t>viral</w:t>
      </w:r>
      <w:proofErr w:type="gramEnd"/>
      <w:r>
        <w:rPr>
          <w:spacing w:val="-58"/>
        </w:rPr>
        <w:t xml:space="preserve"> </w:t>
      </w:r>
      <w:r>
        <w:t>and fungal) was 4.7 events per 100 patient years. Reported serious infections, some with fatal</w:t>
      </w:r>
      <w:r>
        <w:rPr>
          <w:spacing w:val="-57"/>
        </w:rPr>
        <w:t xml:space="preserve"> </w:t>
      </w:r>
      <w:r>
        <w:t>outcome,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tuberculosis,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intrapulmonary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extrapulmonary disease, invasive pulmonary infections, including candidiasis, aspergillosis,</w:t>
      </w:r>
      <w:r>
        <w:rPr>
          <w:spacing w:val="1"/>
        </w:rPr>
        <w:t xml:space="preserve"> </w:t>
      </w:r>
      <w:r>
        <w:t>coccidioidomycosis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pneumocystis</w:t>
      </w:r>
      <w:r>
        <w:rPr>
          <w:spacing w:val="1"/>
        </w:rPr>
        <w:t xml:space="preserve"> </w:t>
      </w:r>
      <w:proofErr w:type="spellStart"/>
      <w:r>
        <w:t>jirovecii</w:t>
      </w:r>
      <w:proofErr w:type="spellEnd"/>
      <w:r>
        <w:t>,</w:t>
      </w:r>
      <w:r>
        <w:rPr>
          <w:spacing w:val="1"/>
        </w:rPr>
        <w:t xml:space="preserve"> </w:t>
      </w:r>
      <w:r>
        <w:t>pneumonia,</w:t>
      </w:r>
      <w:r>
        <w:rPr>
          <w:spacing w:val="1"/>
        </w:rPr>
        <w:t xml:space="preserve"> </w:t>
      </w:r>
      <w:r>
        <w:t>cellulitis,</w:t>
      </w:r>
      <w:r>
        <w:rPr>
          <w:spacing w:val="1"/>
        </w:rPr>
        <w:t xml:space="preserve"> </w:t>
      </w:r>
      <w:r>
        <w:t>herpes</w:t>
      </w:r>
      <w:r>
        <w:rPr>
          <w:spacing w:val="1"/>
        </w:rPr>
        <w:t xml:space="preserve"> </w:t>
      </w:r>
      <w:r>
        <w:t>zoster,</w:t>
      </w:r>
      <w:r>
        <w:rPr>
          <w:spacing w:val="1"/>
        </w:rPr>
        <w:t xml:space="preserve"> </w:t>
      </w:r>
      <w:r>
        <w:t>gastroenteritis, diverticulitis, sepsis and bacterial arthritis. Cases of opportunistic infections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reported.</w:t>
      </w:r>
    </w:p>
    <w:p w14:paraId="198109F7" w14:textId="77777777" w:rsidR="006C34D9" w:rsidRDefault="00CB5041">
      <w:pPr>
        <w:pStyle w:val="BodyText"/>
        <w:spacing w:before="200"/>
        <w:jc w:val="both"/>
      </w:pPr>
      <w:bookmarkStart w:id="37" w:name="Gastrointestinal_Perforation_-_Complicat"/>
      <w:bookmarkEnd w:id="37"/>
      <w:r>
        <w:rPr>
          <w:u w:val="single"/>
        </w:rPr>
        <w:t>Gastrointestinal</w:t>
      </w:r>
      <w:r>
        <w:rPr>
          <w:spacing w:val="-4"/>
          <w:u w:val="single"/>
        </w:rPr>
        <w:t xml:space="preserve"> </w:t>
      </w:r>
      <w:r>
        <w:rPr>
          <w:u w:val="single"/>
        </w:rPr>
        <w:t>Perforation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Complications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Diverticulitis</w:t>
      </w:r>
    </w:p>
    <w:p w14:paraId="06680C18" w14:textId="77777777" w:rsidR="006C34D9" w:rsidRDefault="00CB5041">
      <w:pPr>
        <w:pStyle w:val="BodyText"/>
        <w:ind w:right="656"/>
        <w:jc w:val="both"/>
      </w:pPr>
      <w:r>
        <w:t>Events of diverticular perforation as complications of diverticulitis have been reported in</w:t>
      </w:r>
      <w:r>
        <w:rPr>
          <w:spacing w:val="1"/>
        </w:rPr>
        <w:t xml:space="preserve"> </w:t>
      </w:r>
      <w:r>
        <w:t>patients treated with Actemra. Actemra should be used with caution in patients with previous</w:t>
      </w:r>
      <w:r>
        <w:rPr>
          <w:spacing w:val="1"/>
        </w:rPr>
        <w:t xml:space="preserve"> </w:t>
      </w:r>
      <w:r>
        <w:t>history of intestinal ulceration or diverticulitis. Patients presenting with symptoms potentially</w:t>
      </w:r>
      <w:r>
        <w:rPr>
          <w:spacing w:val="-57"/>
        </w:rPr>
        <w:t xml:space="preserve"> </w:t>
      </w:r>
      <w:r>
        <w:t>indicative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complicated</w:t>
      </w:r>
      <w:r>
        <w:rPr>
          <w:spacing w:val="-4"/>
        </w:rPr>
        <w:t xml:space="preserve"> </w:t>
      </w:r>
      <w:r>
        <w:t>diverticulitis,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abdominal</w:t>
      </w:r>
      <w:r>
        <w:rPr>
          <w:spacing w:val="-2"/>
        </w:rPr>
        <w:t xml:space="preserve"> </w:t>
      </w:r>
      <w:r>
        <w:t>pain,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evaluated</w:t>
      </w:r>
      <w:r>
        <w:rPr>
          <w:spacing w:val="-5"/>
        </w:rPr>
        <w:t xml:space="preserve"> </w:t>
      </w:r>
      <w:r>
        <w:t>promptly</w:t>
      </w:r>
      <w:r>
        <w:rPr>
          <w:spacing w:val="-58"/>
        </w:rPr>
        <w:t xml:space="preserve"> </w:t>
      </w:r>
      <w:bookmarkStart w:id="38" w:name="Tuberculosis"/>
      <w:bookmarkEnd w:id="38"/>
      <w:r>
        <w:t>for</w:t>
      </w:r>
      <w:r>
        <w:rPr>
          <w:spacing w:val="-1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identification of</w:t>
      </w:r>
      <w:r>
        <w:rPr>
          <w:spacing w:val="-1"/>
        </w:rPr>
        <w:t xml:space="preserve"> </w:t>
      </w:r>
      <w:r>
        <w:t>gastrointestinal perforation.</w:t>
      </w:r>
    </w:p>
    <w:p w14:paraId="60A4B382" w14:textId="77777777" w:rsidR="006C34D9" w:rsidRDefault="00CB5041">
      <w:pPr>
        <w:pStyle w:val="BodyText"/>
        <w:spacing w:before="200"/>
      </w:pPr>
      <w:r>
        <w:rPr>
          <w:u w:val="single"/>
        </w:rPr>
        <w:t>Tuberculosis</w:t>
      </w:r>
    </w:p>
    <w:p w14:paraId="2987644F" w14:textId="77777777" w:rsidR="006C34D9" w:rsidRDefault="006C34D9">
      <w:pPr>
        <w:sectPr w:rsidR="006C34D9">
          <w:pgSz w:w="11910" w:h="16840"/>
          <w:pgMar w:top="1360" w:right="780" w:bottom="780" w:left="780" w:header="0" w:footer="592" w:gutter="0"/>
          <w:cols w:space="720"/>
        </w:sectPr>
      </w:pPr>
    </w:p>
    <w:p w14:paraId="4A1FFB9F" w14:textId="77777777" w:rsidR="006C34D9" w:rsidRDefault="00CB5041">
      <w:pPr>
        <w:pStyle w:val="BodyText"/>
        <w:spacing w:before="79"/>
        <w:ind w:right="658"/>
        <w:jc w:val="both"/>
      </w:pPr>
      <w:r>
        <w:lastRenderedPageBreak/>
        <w:t>As recommended for other biological treatments all patients should be screened for latent</w:t>
      </w:r>
      <w:r>
        <w:rPr>
          <w:spacing w:val="1"/>
        </w:rPr>
        <w:t xml:space="preserve"> </w:t>
      </w:r>
      <w:r>
        <w:t>tuberculosis (TB) infection prior to starting Actemra therapy. Patients with latent TB should</w:t>
      </w:r>
      <w:r>
        <w:rPr>
          <w:spacing w:val="1"/>
        </w:rPr>
        <w:t xml:space="preserve"> </w:t>
      </w:r>
      <w:r>
        <w:t>be treated with standard anti-mycobacterial therapy before initiating Actemra. Physicians are</w:t>
      </w:r>
      <w:r>
        <w:rPr>
          <w:spacing w:val="1"/>
        </w:rPr>
        <w:t xml:space="preserve"> </w:t>
      </w:r>
      <w:r>
        <w:t>reminded of the risk of false negative tuberculin skin and interferon-gamma TB blood test</w:t>
      </w:r>
      <w:r>
        <w:rPr>
          <w:spacing w:val="1"/>
        </w:rPr>
        <w:t xml:space="preserve"> </w:t>
      </w:r>
      <w:r>
        <w:t>results,</w:t>
      </w:r>
      <w:r>
        <w:rPr>
          <w:spacing w:val="-1"/>
        </w:rPr>
        <w:t xml:space="preserve"> </w:t>
      </w:r>
      <w:r>
        <w:t>especially in patients</w:t>
      </w:r>
      <w:r>
        <w:rPr>
          <w:spacing w:val="-1"/>
        </w:rPr>
        <w:t xml:space="preserve"> </w:t>
      </w:r>
      <w:r>
        <w:t>who are</w:t>
      </w:r>
      <w:r>
        <w:rPr>
          <w:spacing w:val="-1"/>
        </w:rPr>
        <w:t xml:space="preserve"> </w:t>
      </w:r>
      <w:r>
        <w:t>severely</w:t>
      </w:r>
      <w:r>
        <w:rPr>
          <w:spacing w:val="-1"/>
        </w:rPr>
        <w:t xml:space="preserve"> </w:t>
      </w:r>
      <w:r>
        <w:t>ill</w:t>
      </w:r>
      <w:r>
        <w:rPr>
          <w:spacing w:val="-1"/>
        </w:rPr>
        <w:t xml:space="preserve"> </w:t>
      </w:r>
      <w:r>
        <w:t>or immunocompromised.</w:t>
      </w:r>
    </w:p>
    <w:p w14:paraId="4804E332" w14:textId="77777777" w:rsidR="006C34D9" w:rsidRDefault="006C34D9">
      <w:pPr>
        <w:pStyle w:val="BodyText"/>
        <w:ind w:left="0"/>
      </w:pPr>
    </w:p>
    <w:p w14:paraId="7E8CC63C" w14:textId="77777777" w:rsidR="006C34D9" w:rsidRDefault="00CB5041">
      <w:pPr>
        <w:pStyle w:val="BodyText"/>
        <w:ind w:right="657"/>
        <w:jc w:val="both"/>
      </w:pPr>
      <w:r>
        <w:t>Patients should be instructed to seek medical advice if signs or symptoms suggestive of a TB</w:t>
      </w:r>
      <w:r>
        <w:rPr>
          <w:spacing w:val="1"/>
        </w:rPr>
        <w:t xml:space="preserve"> </w:t>
      </w:r>
      <w:r>
        <w:t>infection (e.g. persistent cough, wasting/weight loss, low grade fever) occur during or after</w:t>
      </w:r>
      <w:r>
        <w:rPr>
          <w:spacing w:val="1"/>
        </w:rPr>
        <w:t xml:space="preserve"> </w:t>
      </w:r>
      <w:bookmarkStart w:id="39" w:name="Vaccinations"/>
      <w:bookmarkEnd w:id="39"/>
      <w:r>
        <w:t>therapy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Actemra.</w:t>
      </w:r>
    </w:p>
    <w:p w14:paraId="799DDA2A" w14:textId="77777777" w:rsidR="006C34D9" w:rsidRDefault="00CB5041">
      <w:pPr>
        <w:pStyle w:val="BodyText"/>
        <w:spacing w:before="200"/>
      </w:pPr>
      <w:r>
        <w:rPr>
          <w:u w:val="single"/>
        </w:rPr>
        <w:t>Vaccinations</w:t>
      </w:r>
    </w:p>
    <w:p w14:paraId="37C76C87" w14:textId="77777777" w:rsidR="006C34D9" w:rsidRDefault="00CB5041">
      <w:pPr>
        <w:pStyle w:val="BodyText"/>
        <w:ind w:right="596"/>
      </w:pPr>
      <w:r>
        <w:t>Live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live</w:t>
      </w:r>
      <w:r>
        <w:rPr>
          <w:spacing w:val="14"/>
        </w:rPr>
        <w:t xml:space="preserve"> </w:t>
      </w:r>
      <w:r>
        <w:t>attenuated</w:t>
      </w:r>
      <w:r>
        <w:rPr>
          <w:spacing w:val="13"/>
        </w:rPr>
        <w:t xml:space="preserve"> </w:t>
      </w:r>
      <w:r>
        <w:t>vaccines</w:t>
      </w:r>
      <w:r>
        <w:rPr>
          <w:spacing w:val="14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given</w:t>
      </w:r>
      <w:r>
        <w:rPr>
          <w:spacing w:val="14"/>
        </w:rPr>
        <w:t xml:space="preserve"> </w:t>
      </w:r>
      <w:r>
        <w:t>concurrently</w:t>
      </w:r>
      <w:r>
        <w:rPr>
          <w:spacing w:val="14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Actemra</w:t>
      </w:r>
      <w:r>
        <w:rPr>
          <w:spacing w:val="14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clinical</w:t>
      </w:r>
      <w:r>
        <w:rPr>
          <w:spacing w:val="-57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has not been established.</w:t>
      </w:r>
    </w:p>
    <w:p w14:paraId="789B46D7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7F9911A" w14:textId="77777777" w:rsidR="006C34D9" w:rsidRDefault="00CB5041">
      <w:pPr>
        <w:pStyle w:val="BodyText"/>
      </w:pPr>
      <w:r>
        <w:t>No</w:t>
      </w:r>
      <w:r>
        <w:rPr>
          <w:spacing w:val="12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available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secondary</w:t>
      </w:r>
      <w:r>
        <w:rPr>
          <w:spacing w:val="12"/>
        </w:rPr>
        <w:t xml:space="preserve"> </w:t>
      </w:r>
      <w:r>
        <w:t>transmission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infection</w:t>
      </w:r>
      <w:r>
        <w:rPr>
          <w:spacing w:val="12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persons</w:t>
      </w:r>
      <w:r>
        <w:rPr>
          <w:spacing w:val="12"/>
        </w:rPr>
        <w:t xml:space="preserve"> </w:t>
      </w:r>
      <w:r>
        <w:t>receiving</w:t>
      </w:r>
      <w:r>
        <w:rPr>
          <w:spacing w:val="12"/>
        </w:rPr>
        <w:t xml:space="preserve"> </w:t>
      </w:r>
      <w:r>
        <w:t>live</w:t>
      </w:r>
      <w:r>
        <w:rPr>
          <w:spacing w:val="-57"/>
        </w:rPr>
        <w:t xml:space="preserve"> </w:t>
      </w:r>
      <w:r>
        <w:t>vaccines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patients receiving Actemra.</w:t>
      </w:r>
    </w:p>
    <w:p w14:paraId="3C407AF9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0BA64EC" w14:textId="77777777" w:rsidR="006C34D9" w:rsidRDefault="00CB5041">
      <w:pPr>
        <w:pStyle w:val="BodyText"/>
        <w:ind w:right="657"/>
        <w:jc w:val="both"/>
      </w:pPr>
      <w:r>
        <w:t xml:space="preserve">In a small, </w:t>
      </w:r>
      <w:proofErr w:type="spellStart"/>
      <w:r>
        <w:t>randomised</w:t>
      </w:r>
      <w:proofErr w:type="spellEnd"/>
      <w:r>
        <w:t xml:space="preserve"> open-label study, adult RA patients treated with Actemra plus MTX</w:t>
      </w:r>
      <w:r>
        <w:rPr>
          <w:spacing w:val="1"/>
        </w:rPr>
        <w:t xml:space="preserve"> </w:t>
      </w:r>
      <w:r>
        <w:t>had a response to both the 23-valent pneumococcal polysaccharide (PPV) and tetanus toxoid</w:t>
      </w:r>
      <w:r>
        <w:rPr>
          <w:spacing w:val="1"/>
        </w:rPr>
        <w:t xml:space="preserve"> </w:t>
      </w:r>
      <w:r>
        <w:t>(TTV)</w:t>
      </w:r>
      <w:r>
        <w:rPr>
          <w:spacing w:val="-8"/>
        </w:rPr>
        <w:t xml:space="preserve"> </w:t>
      </w:r>
      <w:r>
        <w:t>vaccines</w:t>
      </w:r>
      <w:r>
        <w:rPr>
          <w:spacing w:val="-7"/>
        </w:rPr>
        <w:t xml:space="preserve"> </w:t>
      </w:r>
      <w:r>
        <w:t>comparable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seen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receiving</w:t>
      </w:r>
      <w:r>
        <w:rPr>
          <w:spacing w:val="-9"/>
        </w:rPr>
        <w:t xml:space="preserve"> </w:t>
      </w:r>
      <w:r>
        <w:t>MTX</w:t>
      </w:r>
      <w:r>
        <w:rPr>
          <w:spacing w:val="-8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(60%</w:t>
      </w:r>
      <w:r>
        <w:rPr>
          <w:spacing w:val="-8"/>
        </w:rPr>
        <w:t xml:space="preserve"> </w:t>
      </w:r>
      <w:r>
        <w:t>vs</w:t>
      </w:r>
      <w:r>
        <w:rPr>
          <w:spacing w:val="-7"/>
        </w:rPr>
        <w:t xml:space="preserve"> </w:t>
      </w:r>
      <w:r>
        <w:t>71%</w:t>
      </w:r>
      <w:r>
        <w:rPr>
          <w:spacing w:val="-58"/>
        </w:rPr>
        <w:t xml:space="preserve"> </w:t>
      </w:r>
      <w:r>
        <w:t>for PPV; 42% vs 39% for TTV, respectively). Because of the small number of patients in the</w:t>
      </w:r>
      <w:r>
        <w:rPr>
          <w:spacing w:val="1"/>
        </w:rPr>
        <w:t xml:space="preserve"> </w:t>
      </w:r>
      <w:r>
        <w:t>study no firm conclusions can be drawn about the absolute differences in antibody responses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 groups.</w:t>
      </w:r>
    </w:p>
    <w:p w14:paraId="59BE69A1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8E732A8" w14:textId="77777777" w:rsidR="006C34D9" w:rsidRDefault="00CB5041">
      <w:pPr>
        <w:pStyle w:val="BodyText"/>
        <w:ind w:right="657"/>
        <w:jc w:val="both"/>
      </w:pPr>
      <w:r>
        <w:t xml:space="preserve">It is recommended that all patients, particularly </w:t>
      </w:r>
      <w:proofErr w:type="spellStart"/>
      <w:r>
        <w:t>paediatric</w:t>
      </w:r>
      <w:proofErr w:type="spellEnd"/>
      <w:r>
        <w:t xml:space="preserve"> or elderly patients be brought up to</w:t>
      </w:r>
      <w:r>
        <w:rPr>
          <w:spacing w:val="-57"/>
        </w:rPr>
        <w:t xml:space="preserve"> </w:t>
      </w:r>
      <w:r>
        <w:t>date with all</w:t>
      </w:r>
      <w:r>
        <w:rPr>
          <w:spacing w:val="1"/>
        </w:rPr>
        <w:t xml:space="preserve"> </w:t>
      </w:r>
      <w:proofErr w:type="spellStart"/>
      <w:r>
        <w:t>immunisations</w:t>
      </w:r>
      <w:proofErr w:type="spellEnd"/>
      <w:r>
        <w:t xml:space="preserve"> in agreement</w:t>
      </w:r>
      <w:r>
        <w:rPr>
          <w:spacing w:val="1"/>
        </w:rPr>
        <w:t xml:space="preserve"> </w:t>
      </w:r>
      <w:r>
        <w:t>with current</w:t>
      </w:r>
      <w:r>
        <w:rPr>
          <w:spacing w:val="1"/>
        </w:rPr>
        <w:t xml:space="preserve"> </w:t>
      </w:r>
      <w:proofErr w:type="spellStart"/>
      <w:r>
        <w:t>immunisation</w:t>
      </w:r>
      <w:proofErr w:type="spellEnd"/>
      <w:r>
        <w:t xml:space="preserve"> guidelines prior to</w:t>
      </w:r>
      <w:r>
        <w:rPr>
          <w:spacing w:val="1"/>
        </w:rPr>
        <w:t xml:space="preserve"> </w:t>
      </w:r>
      <w:r>
        <w:t>initiating Actemra therapy. The interval between live vaccinations and initiation of Actemra</w:t>
      </w:r>
      <w:r>
        <w:rPr>
          <w:spacing w:val="1"/>
        </w:rPr>
        <w:t xml:space="preserve"> </w:t>
      </w:r>
      <w:r>
        <w:t>therapy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vaccination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immunosuppressive</w:t>
      </w:r>
      <w:r>
        <w:rPr>
          <w:spacing w:val="-1"/>
        </w:rPr>
        <w:t xml:space="preserve"> </w:t>
      </w:r>
      <w:r>
        <w:t>agents.</w:t>
      </w:r>
    </w:p>
    <w:p w14:paraId="588F49D2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0C0FE19F" w14:textId="77777777" w:rsidR="006C34D9" w:rsidRDefault="00CB5041">
      <w:pPr>
        <w:pStyle w:val="BodyText"/>
      </w:pPr>
      <w:r>
        <w:t>The</w:t>
      </w:r>
      <w:r>
        <w:rPr>
          <w:spacing w:val="-6"/>
        </w:rPr>
        <w:t xml:space="preserve"> </w:t>
      </w:r>
      <w:r>
        <w:t>efficacy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Actemra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COVID-19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subjects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received a</w:t>
      </w:r>
      <w:r>
        <w:rPr>
          <w:spacing w:val="-1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vaccine at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 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administration</w:t>
      </w:r>
    </w:p>
    <w:p w14:paraId="584F4C8E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538BB79" w14:textId="77777777" w:rsidR="006C34D9" w:rsidRDefault="00CB5041">
      <w:pPr>
        <w:pStyle w:val="BodyText"/>
        <w:jc w:val="both"/>
      </w:pPr>
      <w:bookmarkStart w:id="40" w:name="Hypersensitivity_Reactions,_including_An"/>
      <w:bookmarkEnd w:id="40"/>
      <w:r>
        <w:rPr>
          <w:u w:val="single"/>
        </w:rPr>
        <w:t>Hypersensitivity</w:t>
      </w:r>
      <w:r>
        <w:rPr>
          <w:spacing w:val="-5"/>
          <w:u w:val="single"/>
        </w:rPr>
        <w:t xml:space="preserve"> </w:t>
      </w:r>
      <w:r>
        <w:rPr>
          <w:u w:val="single"/>
        </w:rPr>
        <w:t>Reactions,</w:t>
      </w:r>
      <w:r>
        <w:rPr>
          <w:spacing w:val="-4"/>
          <w:u w:val="single"/>
        </w:rPr>
        <w:t xml:space="preserve"> </w:t>
      </w:r>
      <w:r>
        <w:rPr>
          <w:u w:val="single"/>
        </w:rPr>
        <w:t>including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Anaphylaxis</w:t>
      </w:r>
    </w:p>
    <w:p w14:paraId="1C7D13A2" w14:textId="77777777" w:rsidR="006C34D9" w:rsidRDefault="00CB5041">
      <w:pPr>
        <w:pStyle w:val="BodyText"/>
        <w:ind w:right="657"/>
        <w:jc w:val="both"/>
      </w:pPr>
      <w:r>
        <w:t>Serious hypersensitivity reactions, including anaphylaxis, have been reported in association</w:t>
      </w:r>
      <w:r>
        <w:rPr>
          <w:spacing w:val="1"/>
        </w:rPr>
        <w:t xml:space="preserve"> </w:t>
      </w:r>
      <w:r>
        <w:t>with Actemra (see section 4.8 Adverse Effects (Undesirable Effects)) and anaphylactic events</w:t>
      </w:r>
      <w:r>
        <w:rPr>
          <w:spacing w:val="-57"/>
        </w:rPr>
        <w:t xml:space="preserve"> </w:t>
      </w:r>
      <w:r>
        <w:t>with a fatal outcome have been reported with intravenous infusions of Actemra. In the post-</w:t>
      </w:r>
      <w:r>
        <w:rPr>
          <w:spacing w:val="1"/>
        </w:rPr>
        <w:t xml:space="preserve"> </w:t>
      </w:r>
      <w:r>
        <w:t>marketing</w:t>
      </w:r>
      <w:r>
        <w:rPr>
          <w:spacing w:val="-12"/>
        </w:rPr>
        <w:t xml:space="preserve"> </w:t>
      </w:r>
      <w:r>
        <w:t>setting,</w:t>
      </w:r>
      <w:r>
        <w:rPr>
          <w:spacing w:val="-12"/>
        </w:rPr>
        <w:t xml:space="preserve"> </w:t>
      </w:r>
      <w:r>
        <w:t>events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serious</w:t>
      </w:r>
      <w:r>
        <w:rPr>
          <w:spacing w:val="-13"/>
        </w:rPr>
        <w:t xml:space="preserve"> </w:t>
      </w:r>
      <w:r>
        <w:t>hypersensitivity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anaphylaxis,</w:t>
      </w:r>
      <w:r>
        <w:rPr>
          <w:spacing w:val="-12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occurred</w:t>
      </w:r>
      <w:r>
        <w:rPr>
          <w:spacing w:val="-1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patients</w:t>
      </w:r>
      <w:r>
        <w:rPr>
          <w:spacing w:val="-57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Actemra,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intravenous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subcutaneous</w:t>
      </w:r>
      <w:r>
        <w:rPr>
          <w:spacing w:val="1"/>
        </w:rPr>
        <w:t xml:space="preserve"> </w:t>
      </w:r>
      <w:r>
        <w:t>administration of Actemra, with or without concomitant therapies, premedication and/or a</w:t>
      </w:r>
      <w:r>
        <w:rPr>
          <w:spacing w:val="1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hypersensitivity reaction.</w:t>
      </w:r>
    </w:p>
    <w:p w14:paraId="0566FF4D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5B5CF175" w14:textId="77777777" w:rsidR="006C34D9" w:rsidRDefault="00CB5041">
      <w:pPr>
        <w:pStyle w:val="BodyText"/>
        <w:ind w:right="656"/>
        <w:jc w:val="both"/>
      </w:pPr>
      <w:r>
        <w:t>In the post marketing setting, cases with a fatal outcome have been reported with intravenous</w:t>
      </w:r>
      <w:r>
        <w:rPr>
          <w:spacing w:val="1"/>
        </w:rPr>
        <w:t xml:space="preserve"> </w:t>
      </w:r>
      <w:r>
        <w:t>Actemra. These events have occurred as early as the first infusion of Actemra (see section 4.3</w:t>
      </w:r>
      <w:r>
        <w:rPr>
          <w:spacing w:val="-57"/>
        </w:rPr>
        <w:t xml:space="preserve"> </w:t>
      </w:r>
      <w:r>
        <w:t>Contraindications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4.8</w:t>
      </w:r>
      <w:r>
        <w:rPr>
          <w:spacing w:val="1"/>
        </w:rPr>
        <w:t xml:space="preserve"> </w:t>
      </w:r>
      <w:r>
        <w:t>Adverse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(Undesirable</w:t>
      </w:r>
      <w:r>
        <w:rPr>
          <w:spacing w:val="1"/>
        </w:rPr>
        <w:t xml:space="preserve"> </w:t>
      </w:r>
      <w:r>
        <w:t>Effects)).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immediate</w:t>
      </w:r>
      <w:r>
        <w:rPr>
          <w:spacing w:val="-8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anaphylactic</w:t>
      </w:r>
      <w:r>
        <w:rPr>
          <w:spacing w:val="-10"/>
        </w:rPr>
        <w:t xml:space="preserve"> </w:t>
      </w:r>
      <w:r>
        <w:t>reaction</w:t>
      </w:r>
      <w:r>
        <w:rPr>
          <w:spacing w:val="-10"/>
        </w:rPr>
        <w:t xml:space="preserve"> </w:t>
      </w:r>
      <w:r>
        <w:t>during</w:t>
      </w:r>
      <w:r>
        <w:rPr>
          <w:spacing w:val="-58"/>
        </w:rPr>
        <w:t xml:space="preserve"> </w:t>
      </w:r>
      <w:r>
        <w:t>infusion</w:t>
      </w:r>
      <w:r>
        <w:rPr>
          <w:spacing w:val="-1"/>
        </w:rPr>
        <w:t xml:space="preserve"> </w:t>
      </w:r>
      <w:r>
        <w:t>with Actemra.</w:t>
      </w:r>
    </w:p>
    <w:p w14:paraId="17A7F018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20B29359" w14:textId="77777777" w:rsidR="006C34D9" w:rsidRDefault="00CB5041">
      <w:pPr>
        <w:pStyle w:val="BodyText"/>
        <w:spacing w:before="1"/>
        <w:ind w:right="657"/>
        <w:jc w:val="both"/>
      </w:pPr>
      <w:r>
        <w:t>The treating healthcare professional should consider the risks of potential hypersensitivity</w:t>
      </w:r>
      <w:r>
        <w:rPr>
          <w:spacing w:val="1"/>
        </w:rPr>
        <w:t xml:space="preserve"> </w:t>
      </w:r>
      <w:r>
        <w:t>reactions when assessing a patient’s suitability for home use with subcutaneous Actemra.</w:t>
      </w:r>
      <w:r>
        <w:rPr>
          <w:spacing w:val="1"/>
        </w:rPr>
        <w:t xml:space="preserve"> </w:t>
      </w:r>
      <w:r>
        <w:t>Healthcare</w:t>
      </w:r>
      <w:r>
        <w:rPr>
          <w:spacing w:val="37"/>
        </w:rPr>
        <w:t xml:space="preserve"> </w:t>
      </w:r>
      <w:r>
        <w:t>professionals</w:t>
      </w:r>
      <w:r>
        <w:rPr>
          <w:spacing w:val="38"/>
        </w:rPr>
        <w:t xml:space="preserve"> </w:t>
      </w:r>
      <w:r>
        <w:t>should</w:t>
      </w:r>
      <w:r>
        <w:rPr>
          <w:spacing w:val="37"/>
        </w:rPr>
        <w:t xml:space="preserve"> </w:t>
      </w:r>
      <w:r>
        <w:t>ensure</w:t>
      </w:r>
      <w:r>
        <w:rPr>
          <w:spacing w:val="38"/>
        </w:rPr>
        <w:t xml:space="preserve"> </w:t>
      </w:r>
      <w:r>
        <w:t>training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subcutaneous</w:t>
      </w:r>
      <w:r>
        <w:rPr>
          <w:spacing w:val="37"/>
        </w:rPr>
        <w:t xml:space="preserve"> </w:t>
      </w:r>
      <w:r>
        <w:t>injection</w:t>
      </w:r>
      <w:r>
        <w:rPr>
          <w:spacing w:val="38"/>
        </w:rPr>
        <w:t xml:space="preserve"> </w:t>
      </w:r>
      <w:r>
        <w:t>technique</w:t>
      </w:r>
      <w:r>
        <w:rPr>
          <w:spacing w:val="38"/>
        </w:rPr>
        <w:t xml:space="preserve"> </w:t>
      </w:r>
      <w:r>
        <w:t>is</w:t>
      </w:r>
    </w:p>
    <w:p w14:paraId="7DCB93DF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05F4CA5A" w14:textId="77777777" w:rsidR="006C34D9" w:rsidRDefault="00CB5041">
      <w:pPr>
        <w:pStyle w:val="BodyText"/>
        <w:spacing w:before="79"/>
        <w:ind w:left="659" w:right="657"/>
        <w:jc w:val="both"/>
      </w:pPr>
      <w:r>
        <w:lastRenderedPageBreak/>
        <w:t>provided to patients. Serious hypersensitivity reactions have occurred with subcutaneous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anaphylaxis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occurred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post-marketing</w:t>
      </w:r>
      <w:r>
        <w:rPr>
          <w:spacing w:val="1"/>
        </w:rPr>
        <w:t xml:space="preserve"> </w:t>
      </w:r>
      <w:r>
        <w:t>setting.</w:t>
      </w:r>
      <w:r>
        <w:rPr>
          <w:spacing w:val="1"/>
        </w:rPr>
        <w:t xml:space="preserve"> </w:t>
      </w:r>
      <w:r>
        <w:t>Hypersensitivity</w:t>
      </w:r>
      <w:r>
        <w:rPr>
          <w:spacing w:val="1"/>
        </w:rPr>
        <w:t xml:space="preserve"> </w:t>
      </w:r>
      <w:r>
        <w:t>reactions, including anaphylaxis, may occur even after multiple injections of subcutaneous</w:t>
      </w:r>
      <w:r>
        <w:rPr>
          <w:spacing w:val="1"/>
        </w:rPr>
        <w:t xml:space="preserve"> </w:t>
      </w:r>
      <w:r>
        <w:t>Actemra.</w:t>
      </w:r>
      <w:r>
        <w:rPr>
          <w:spacing w:val="1"/>
        </w:rPr>
        <w:t xml:space="preserve"> </w:t>
      </w:r>
      <w:r>
        <w:t>Inform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patients 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developed serious allergic reactions, including anaphylaxis. Instruct patients to inform a</w:t>
      </w:r>
      <w:r>
        <w:rPr>
          <w:spacing w:val="1"/>
        </w:rPr>
        <w:t xml:space="preserve"> </w:t>
      </w:r>
      <w:r>
        <w:t>healthcare professional if they experience symptoms of allergic reaction before administering</w:t>
      </w:r>
      <w:r>
        <w:rPr>
          <w:spacing w:val="1"/>
        </w:rPr>
        <w:t xml:space="preserve"> </w:t>
      </w:r>
      <w:r>
        <w:t>the next dose.</w:t>
      </w:r>
      <w:r>
        <w:rPr>
          <w:spacing w:val="1"/>
        </w:rPr>
        <w:t xml:space="preserve"> </w:t>
      </w:r>
      <w:r>
        <w:t>Patients should seek immediate medical attention if developing symptoms of</w:t>
      </w:r>
      <w:r>
        <w:rPr>
          <w:spacing w:val="1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allergic reactions</w:t>
      </w:r>
      <w:r>
        <w:rPr>
          <w:spacing w:val="-1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4.2 Dose</w:t>
      </w:r>
      <w:r>
        <w:rPr>
          <w:spacing w:val="-1"/>
        </w:rPr>
        <w:t xml:space="preserve"> </w:t>
      </w:r>
      <w:r>
        <w:t>and Method of</w:t>
      </w:r>
      <w:r>
        <w:rPr>
          <w:spacing w:val="-2"/>
        </w:rPr>
        <w:t xml:space="preserve"> </w:t>
      </w:r>
      <w:r>
        <w:t>Administration).</w:t>
      </w:r>
    </w:p>
    <w:p w14:paraId="1B038762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16D8647" w14:textId="77777777" w:rsidR="006C34D9" w:rsidRDefault="00CB5041">
      <w:pPr>
        <w:pStyle w:val="BodyText"/>
        <w:ind w:left="659" w:right="659"/>
        <w:jc w:val="both"/>
      </w:pPr>
      <w:r>
        <w:t>If an anaphylactic reaction or other serious hypersensitivity reaction occurs, administration of</w:t>
      </w:r>
      <w:r>
        <w:rPr>
          <w:spacing w:val="-57"/>
        </w:rPr>
        <w:t xml:space="preserve"> </w:t>
      </w:r>
      <w:r>
        <w:t>Actemra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stopped</w:t>
      </w:r>
      <w:r>
        <w:rPr>
          <w:spacing w:val="-1"/>
        </w:rPr>
        <w:t xml:space="preserve"> </w:t>
      </w:r>
      <w:r>
        <w:t>immediately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permanently</w:t>
      </w:r>
      <w:r>
        <w:rPr>
          <w:spacing w:val="-1"/>
        </w:rPr>
        <w:t xml:space="preserve"> </w:t>
      </w:r>
      <w:r>
        <w:t>discontinued.</w:t>
      </w:r>
    </w:p>
    <w:p w14:paraId="11C53D2B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56C85956" w14:textId="77777777" w:rsidR="006C34D9" w:rsidRDefault="00CB5041">
      <w:pPr>
        <w:pStyle w:val="BodyText"/>
        <w:spacing w:before="1"/>
        <w:ind w:left="659" w:right="657"/>
        <w:jc w:val="both"/>
      </w:pP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reaction</w:t>
      </w:r>
      <w:r>
        <w:rPr>
          <w:spacing w:val="1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hypersensitivity</w:t>
      </w:r>
      <w:r>
        <w:rPr>
          <w:spacing w:val="1"/>
        </w:rPr>
        <w:t xml:space="preserve"> </w:t>
      </w:r>
      <w:r>
        <w:t>(e.g.</w:t>
      </w:r>
      <w:r>
        <w:rPr>
          <w:spacing w:val="1"/>
        </w:rPr>
        <w:t xml:space="preserve"> </w:t>
      </w:r>
      <w:r>
        <w:t>urticaria,</w:t>
      </w:r>
      <w:r>
        <w:rPr>
          <w:spacing w:val="1"/>
        </w:rPr>
        <w:t xml:space="preserve"> </w:t>
      </w:r>
      <w:r>
        <w:t>bronchospasm, angioedema) to Actemra or any component of the product must not be re-</w:t>
      </w:r>
      <w:r>
        <w:rPr>
          <w:spacing w:val="1"/>
        </w:rPr>
        <w:t xml:space="preserve"> </w:t>
      </w:r>
      <w:bookmarkStart w:id="41" w:name="Viral_Reactivation"/>
      <w:bookmarkEnd w:id="41"/>
      <w:r>
        <w:t>challenged</w:t>
      </w:r>
      <w:r>
        <w:rPr>
          <w:spacing w:val="-3"/>
        </w:rPr>
        <w:t xml:space="preserve"> </w:t>
      </w:r>
      <w:r>
        <w:t>with Actemra (see section</w:t>
      </w:r>
      <w:r>
        <w:rPr>
          <w:spacing w:val="-1"/>
        </w:rPr>
        <w:t xml:space="preserve"> </w:t>
      </w:r>
      <w:r>
        <w:t>4.3 Contraindications).</w:t>
      </w:r>
    </w:p>
    <w:p w14:paraId="5F18135A" w14:textId="77777777" w:rsidR="006C34D9" w:rsidRDefault="00CB5041">
      <w:pPr>
        <w:pStyle w:val="BodyText"/>
        <w:spacing w:before="199"/>
        <w:jc w:val="both"/>
      </w:pPr>
      <w:r>
        <w:rPr>
          <w:u w:val="single"/>
        </w:rPr>
        <w:t>Viral</w:t>
      </w:r>
      <w:r>
        <w:rPr>
          <w:spacing w:val="-2"/>
          <w:u w:val="single"/>
        </w:rPr>
        <w:t xml:space="preserve"> </w:t>
      </w:r>
      <w:r>
        <w:rPr>
          <w:u w:val="single"/>
        </w:rPr>
        <w:t>Reactivation</w:t>
      </w:r>
    </w:p>
    <w:p w14:paraId="39AB5F1A" w14:textId="77777777" w:rsidR="006C34D9" w:rsidRDefault="00CB5041">
      <w:pPr>
        <w:pStyle w:val="BodyText"/>
        <w:ind w:right="658"/>
        <w:jc w:val="both"/>
      </w:pPr>
      <w:r>
        <w:t>Viral reactivation (e.g. hepatitis B virus) has been reported with biologic therapies for RA. In</w:t>
      </w:r>
      <w:r>
        <w:rPr>
          <w:spacing w:val="1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Actemra,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screened</w:t>
      </w:r>
      <w:r>
        <w:rPr>
          <w:spacing w:val="-1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hepatitis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excluded.</w:t>
      </w:r>
    </w:p>
    <w:p w14:paraId="7E6C4880" w14:textId="77777777" w:rsidR="006C34D9" w:rsidRDefault="00CB5041">
      <w:pPr>
        <w:pStyle w:val="BodyText"/>
        <w:spacing w:before="200"/>
        <w:jc w:val="both"/>
      </w:pPr>
      <w:bookmarkStart w:id="42" w:name="Active_Hepatic_Disease_and_Hepatic_Impai"/>
      <w:bookmarkEnd w:id="42"/>
      <w:r>
        <w:rPr>
          <w:u w:val="single"/>
        </w:rPr>
        <w:t>Active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Hepatic</w:t>
      </w:r>
      <w:r>
        <w:rPr>
          <w:spacing w:val="-2"/>
          <w:u w:val="single"/>
        </w:rPr>
        <w:t xml:space="preserve"> </w:t>
      </w:r>
      <w:r>
        <w:rPr>
          <w:u w:val="single"/>
        </w:rPr>
        <w:t>Disease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Hepatic</w:t>
      </w:r>
      <w:r>
        <w:rPr>
          <w:spacing w:val="-3"/>
          <w:u w:val="single"/>
        </w:rPr>
        <w:t xml:space="preserve"> </w:t>
      </w:r>
      <w:r>
        <w:rPr>
          <w:u w:val="single"/>
        </w:rPr>
        <w:t>Impairment</w:t>
      </w:r>
    </w:p>
    <w:p w14:paraId="1B265176" w14:textId="77777777" w:rsidR="006C34D9" w:rsidRDefault="00CB5041">
      <w:pPr>
        <w:pStyle w:val="BodyText"/>
        <w:ind w:right="656"/>
        <w:jc w:val="both"/>
      </w:pPr>
      <w:r>
        <w:t>Treatment with Actemra particularly when administered concomitantly with MTX, may be</w:t>
      </w:r>
      <w:r>
        <w:rPr>
          <w:spacing w:val="1"/>
        </w:rPr>
        <w:t xml:space="preserve"> </w:t>
      </w:r>
      <w:r>
        <w:t>associated with elevations in hepatic transaminases therefore caution should be exercised.</w:t>
      </w:r>
      <w:r>
        <w:rPr>
          <w:spacing w:val="1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Actemra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hepatic</w:t>
      </w:r>
      <w:r>
        <w:rPr>
          <w:spacing w:val="-5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hepatic</w:t>
      </w:r>
      <w:r>
        <w:rPr>
          <w:spacing w:val="-57"/>
        </w:rPr>
        <w:t xml:space="preserve"> </w:t>
      </w:r>
      <w:r>
        <w:t>impairment (see section 4.8 Adverse Effects (Undesirable Effects) and section 4.2 Dose and</w:t>
      </w:r>
      <w:r>
        <w:rPr>
          <w:spacing w:val="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Administration).</w:t>
      </w:r>
    </w:p>
    <w:p w14:paraId="280FD231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01FF6FBB" w14:textId="77777777" w:rsidR="006C34D9" w:rsidRDefault="00CB5041">
      <w:pPr>
        <w:pStyle w:val="BodyText"/>
        <w:ind w:right="657"/>
        <w:jc w:val="both"/>
      </w:pPr>
      <w:r>
        <w:t>Viral</w:t>
      </w:r>
      <w:r>
        <w:rPr>
          <w:spacing w:val="-13"/>
        </w:rPr>
        <w:t xml:space="preserve"> </w:t>
      </w:r>
      <w:r>
        <w:t>reactivation</w:t>
      </w:r>
      <w:r>
        <w:rPr>
          <w:spacing w:val="-14"/>
        </w:rPr>
        <w:t xml:space="preserve"> </w:t>
      </w:r>
      <w:r>
        <w:t>(e.g.</w:t>
      </w:r>
      <w:r>
        <w:rPr>
          <w:spacing w:val="-13"/>
        </w:rPr>
        <w:t xml:space="preserve"> </w:t>
      </w:r>
      <w:r>
        <w:t>hepatitis</w:t>
      </w:r>
      <w:r>
        <w:rPr>
          <w:spacing w:val="-12"/>
        </w:rPr>
        <w:t xml:space="preserve"> </w:t>
      </w:r>
      <w:r>
        <w:t>B)</w:t>
      </w:r>
      <w:r>
        <w:rPr>
          <w:spacing w:val="-13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reported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biologic</w:t>
      </w:r>
      <w:r>
        <w:rPr>
          <w:spacing w:val="-14"/>
        </w:rPr>
        <w:t xml:space="preserve"> </w:t>
      </w:r>
      <w:r>
        <w:t>therapies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RA.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clinical</w:t>
      </w:r>
      <w:r>
        <w:rPr>
          <w:spacing w:val="-58"/>
        </w:rPr>
        <w:t xml:space="preserve"> </w:t>
      </w:r>
      <w:bookmarkStart w:id="43" w:name="Hepatotoxicity"/>
      <w:bookmarkEnd w:id="43"/>
      <w:r>
        <w:t>studies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Actemra, patients</w:t>
      </w:r>
      <w:r>
        <w:rPr>
          <w:spacing w:val="-1"/>
        </w:rPr>
        <w:t xml:space="preserve"> </w:t>
      </w:r>
      <w:r>
        <w:t>who screened</w:t>
      </w:r>
      <w:r>
        <w:rPr>
          <w:spacing w:val="-1"/>
        </w:rPr>
        <w:t xml:space="preserve"> </w:t>
      </w:r>
      <w:r>
        <w:t>positive for</w:t>
      </w:r>
      <w:r>
        <w:rPr>
          <w:spacing w:val="-1"/>
        </w:rPr>
        <w:t xml:space="preserve"> </w:t>
      </w:r>
      <w:r>
        <w:t>hepatitis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excluded.</w:t>
      </w:r>
    </w:p>
    <w:p w14:paraId="3F6E08D0" w14:textId="77777777" w:rsidR="006C34D9" w:rsidRDefault="00CB5041">
      <w:pPr>
        <w:pStyle w:val="BodyText"/>
        <w:spacing w:before="201" w:line="275" w:lineRule="exact"/>
      </w:pPr>
      <w:r>
        <w:rPr>
          <w:u w:val="single"/>
        </w:rPr>
        <w:t>Hepatotoxicity</w:t>
      </w:r>
    </w:p>
    <w:p w14:paraId="7B54F006" w14:textId="77777777" w:rsidR="006C34D9" w:rsidRDefault="00CB5041">
      <w:pPr>
        <w:pStyle w:val="BodyText"/>
        <w:ind w:right="656"/>
        <w:jc w:val="both"/>
      </w:pPr>
      <w:r>
        <w:t>Mild and moderate elevations of hepatic transaminases and bilirubin have been reported with</w:t>
      </w:r>
      <w:r>
        <w:rPr>
          <w:spacing w:val="1"/>
        </w:rPr>
        <w:t xml:space="preserve"> </w:t>
      </w:r>
      <w:r>
        <w:t>Actemra treatment (see section 4.8 Adverse Effects (Undesirable Effects)). An increased</w:t>
      </w:r>
      <w:r>
        <w:rPr>
          <w:spacing w:val="1"/>
        </w:rPr>
        <w:t xml:space="preserve"> </w:t>
      </w:r>
      <w:r>
        <w:t>frequency of these elevations was observed when potentially hepatotoxic drugs (e.g. MTX)</w:t>
      </w:r>
      <w:r>
        <w:rPr>
          <w:spacing w:val="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Actemra.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hepatotoxicity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Actemra.</w:t>
      </w:r>
    </w:p>
    <w:p w14:paraId="04890C92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18B3F038" w14:textId="77777777" w:rsidR="006C34D9" w:rsidRDefault="00CB5041">
      <w:pPr>
        <w:pStyle w:val="BodyText"/>
        <w:ind w:right="657"/>
        <w:jc w:val="both"/>
      </w:pPr>
      <w:r>
        <w:t xml:space="preserve">Serious drug-induced liver injury, including acute liver failure, </w:t>
      </w:r>
      <w:proofErr w:type="gramStart"/>
      <w:r>
        <w:t>hepatitis</w:t>
      </w:r>
      <w:proofErr w:type="gramEnd"/>
      <w:r>
        <w:t xml:space="preserve"> and jaundice, have</w:t>
      </w:r>
      <w:r>
        <w:rPr>
          <w:spacing w:val="1"/>
        </w:rPr>
        <w:t xml:space="preserve"> </w:t>
      </w:r>
      <w:r>
        <w:t>been observed with Actemra (see section 4.8 Adverse Effects (Undesirable Effects), Post</w:t>
      </w:r>
      <w:r>
        <w:rPr>
          <w:spacing w:val="1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Experience).</w:t>
      </w:r>
      <w:r>
        <w:rPr>
          <w:spacing w:val="-7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hepatic</w:t>
      </w:r>
      <w:r>
        <w:rPr>
          <w:spacing w:val="-6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t>occurred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weeks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years</w:t>
      </w:r>
      <w:r>
        <w:rPr>
          <w:spacing w:val="-58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initiation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Actemra.</w:t>
      </w:r>
      <w:r>
        <w:rPr>
          <w:spacing w:val="-12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cases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resulted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liver</w:t>
      </w:r>
      <w:r>
        <w:rPr>
          <w:spacing w:val="-14"/>
        </w:rPr>
        <w:t xml:space="preserve"> </w:t>
      </w:r>
      <w:r>
        <w:t>transplant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death.</w:t>
      </w:r>
      <w:r>
        <w:rPr>
          <w:spacing w:val="-11"/>
        </w:rPr>
        <w:t xml:space="preserve"> </w:t>
      </w:r>
      <w:r>
        <w:t>While</w:t>
      </w:r>
      <w:r>
        <w:rPr>
          <w:spacing w:val="-58"/>
        </w:rPr>
        <w:t xml:space="preserve"> </w:t>
      </w:r>
      <w:r>
        <w:t>most cases presented with marked elevations of transaminases (&gt; 5 times ULN), some cases</w:t>
      </w:r>
      <w:r>
        <w:rPr>
          <w:spacing w:val="1"/>
        </w:rPr>
        <w:t xml:space="preserve"> </w:t>
      </w:r>
      <w:r>
        <w:t>presented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signs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symptoms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liver</w:t>
      </w:r>
      <w:r>
        <w:rPr>
          <w:spacing w:val="-10"/>
        </w:rPr>
        <w:t xml:space="preserve"> </w:t>
      </w:r>
      <w:r>
        <w:t>dysfunction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mildly</w:t>
      </w:r>
      <w:r>
        <w:rPr>
          <w:spacing w:val="-11"/>
        </w:rPr>
        <w:t xml:space="preserve"> </w:t>
      </w:r>
      <w:r>
        <w:t>elevated</w:t>
      </w:r>
      <w:r>
        <w:rPr>
          <w:spacing w:val="-10"/>
        </w:rPr>
        <w:t xml:space="preserve"> </w:t>
      </w:r>
      <w:r>
        <w:t>transaminases.</w:t>
      </w:r>
    </w:p>
    <w:p w14:paraId="4A134A24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11030F3" w14:textId="77777777" w:rsidR="006C34D9" w:rsidRDefault="00CB5041">
      <w:pPr>
        <w:pStyle w:val="BodyText"/>
        <w:spacing w:before="1"/>
        <w:ind w:left="659" w:right="657"/>
        <w:jc w:val="both"/>
      </w:pPr>
      <w:r>
        <w:t>It is not recommended to initiate Actemra treatment in patients with elevated transaminases</w:t>
      </w:r>
      <w:r>
        <w:rPr>
          <w:spacing w:val="1"/>
        </w:rPr>
        <w:t xml:space="preserve"> </w:t>
      </w:r>
      <w:r>
        <w:t>ALT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AST</w:t>
      </w:r>
      <w:r>
        <w:rPr>
          <w:spacing w:val="-9"/>
        </w:rPr>
        <w:t xml:space="preserve"> </w:t>
      </w:r>
      <w:r>
        <w:t>greater</w:t>
      </w:r>
      <w:r>
        <w:rPr>
          <w:spacing w:val="-9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1.5</w:t>
      </w:r>
      <w:r>
        <w:rPr>
          <w:spacing w:val="-10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t>ULN,</w:t>
      </w:r>
      <w:r>
        <w:rPr>
          <w:spacing w:val="-9"/>
        </w:rPr>
        <w:t xml:space="preserve"> </w:t>
      </w:r>
      <w:r>
        <w:t>except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CRS</w:t>
      </w:r>
      <w:r>
        <w:rPr>
          <w:spacing w:val="-10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4.2</w:t>
      </w:r>
      <w:r>
        <w:rPr>
          <w:spacing w:val="-10"/>
        </w:rPr>
        <w:t xml:space="preserve"> </w:t>
      </w:r>
      <w:r>
        <w:t>Dose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Method</w:t>
      </w:r>
      <w:r>
        <w:rPr>
          <w:spacing w:val="-58"/>
        </w:rPr>
        <w:t xml:space="preserve"> </w:t>
      </w:r>
      <w:r>
        <w:t xml:space="preserve">of Administration). In RA, GCA, </w:t>
      </w:r>
      <w:proofErr w:type="spellStart"/>
      <w:r>
        <w:t>pJIA</w:t>
      </w:r>
      <w:proofErr w:type="spellEnd"/>
      <w:r>
        <w:t xml:space="preserve"> and </w:t>
      </w:r>
      <w:proofErr w:type="spellStart"/>
      <w:r>
        <w:t>sJIA</w:t>
      </w:r>
      <w:proofErr w:type="spellEnd"/>
      <w:r>
        <w:t xml:space="preserve"> patients who develop elevated ALT or AST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5 x ULN, discontinue Actemra.</w:t>
      </w:r>
    </w:p>
    <w:p w14:paraId="4532CD5E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48FD68FD" w14:textId="77777777" w:rsidR="006C34D9" w:rsidRDefault="00CB5041">
      <w:pPr>
        <w:pStyle w:val="BodyText"/>
        <w:spacing w:before="1"/>
        <w:ind w:left="659" w:right="657"/>
        <w:jc w:val="both"/>
      </w:pPr>
      <w:r>
        <w:t>In</w:t>
      </w:r>
      <w:r>
        <w:rPr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GCA</w:t>
      </w:r>
      <w:r>
        <w:rPr>
          <w:spacing w:val="-2"/>
        </w:rPr>
        <w:t xml:space="preserve"> </w:t>
      </w:r>
      <w:r>
        <w:t>patients,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ALT/AST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monitored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6</w:t>
      </w:r>
      <w:r>
        <w:rPr>
          <w:spacing w:val="-57"/>
        </w:rPr>
        <w:t xml:space="preserve"> </w:t>
      </w:r>
      <w:r>
        <w:t>months of treatment followed by every 12 weeks thereafter. For recommended modifications</w:t>
      </w:r>
      <w:r>
        <w:rPr>
          <w:spacing w:val="1"/>
        </w:rPr>
        <w:t xml:space="preserve"> </w:t>
      </w:r>
      <w:r>
        <w:t>including</w:t>
      </w:r>
      <w:r>
        <w:rPr>
          <w:spacing w:val="23"/>
        </w:rPr>
        <w:t xml:space="preserve"> </w:t>
      </w:r>
      <w:r>
        <w:t>Actemra</w:t>
      </w:r>
      <w:r>
        <w:rPr>
          <w:spacing w:val="24"/>
        </w:rPr>
        <w:t xml:space="preserve"> </w:t>
      </w:r>
      <w:r>
        <w:t>discontinuation</w:t>
      </w:r>
      <w:r>
        <w:rPr>
          <w:spacing w:val="23"/>
        </w:rPr>
        <w:t xml:space="preserve"> </w:t>
      </w:r>
      <w:r>
        <w:t>based</w:t>
      </w:r>
      <w:r>
        <w:rPr>
          <w:spacing w:val="23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transaminases</w:t>
      </w:r>
      <w:r>
        <w:rPr>
          <w:spacing w:val="24"/>
        </w:rPr>
        <w:t xml:space="preserve"> </w:t>
      </w:r>
      <w:r>
        <w:t>levels,</w:t>
      </w:r>
      <w:r>
        <w:rPr>
          <w:spacing w:val="24"/>
        </w:rPr>
        <w:t xml:space="preserve"> </w:t>
      </w:r>
      <w:r>
        <w:t>see</w:t>
      </w:r>
      <w:r>
        <w:rPr>
          <w:spacing w:val="22"/>
        </w:rPr>
        <w:t xml:space="preserve"> </w:t>
      </w:r>
      <w:r>
        <w:t>section</w:t>
      </w:r>
      <w:r>
        <w:rPr>
          <w:spacing w:val="23"/>
        </w:rPr>
        <w:t xml:space="preserve"> </w:t>
      </w:r>
      <w:r>
        <w:t>4.2</w:t>
      </w:r>
      <w:r>
        <w:rPr>
          <w:spacing w:val="23"/>
        </w:rPr>
        <w:t xml:space="preserve"> </w:t>
      </w:r>
      <w:r>
        <w:t>Dose</w:t>
      </w:r>
      <w:r>
        <w:rPr>
          <w:spacing w:val="24"/>
        </w:rPr>
        <w:t xml:space="preserve"> </w:t>
      </w:r>
      <w:r>
        <w:t>and</w:t>
      </w:r>
    </w:p>
    <w:p w14:paraId="3CB18395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0111C486" w14:textId="77777777" w:rsidR="006C34D9" w:rsidRDefault="00CB5041">
      <w:pPr>
        <w:pStyle w:val="BodyText"/>
        <w:spacing w:before="79"/>
        <w:ind w:right="657"/>
        <w:jc w:val="both"/>
      </w:pPr>
      <w:r>
        <w:lastRenderedPageBreak/>
        <w:t>Method of Administration. For ALT or AST elevations &gt; 3 to 5 x ULN, confirmed by repeat</w:t>
      </w:r>
      <w:r>
        <w:rPr>
          <w:spacing w:val="1"/>
        </w:rPr>
        <w:t xml:space="preserve"> </w:t>
      </w:r>
      <w:r>
        <w:t>testing, Actemra treatment should be interrupted. Once the patient’s hepatic transaminases are</w:t>
      </w:r>
      <w:r>
        <w:rPr>
          <w:spacing w:val="-58"/>
        </w:rPr>
        <w:t xml:space="preserve"> </w:t>
      </w:r>
      <w:r>
        <w:t>below 3 x ULN, treatment with Actemra may recommence at 4 or 8 mg/kg for the IV</w:t>
      </w:r>
      <w:r>
        <w:rPr>
          <w:spacing w:val="1"/>
        </w:rPr>
        <w:t xml:space="preserve"> </w:t>
      </w:r>
      <w:r>
        <w:t>formulation</w:t>
      </w:r>
      <w:r>
        <w:rPr>
          <w:spacing w:val="-3"/>
        </w:rPr>
        <w:t xml:space="preserve"> </w:t>
      </w:r>
      <w:r>
        <w:t>or every</w:t>
      </w:r>
      <w:r>
        <w:rPr>
          <w:spacing w:val="-1"/>
        </w:rPr>
        <w:t xml:space="preserve"> </w:t>
      </w:r>
      <w:r>
        <w:t>other week or</w:t>
      </w:r>
      <w:r>
        <w:rPr>
          <w:spacing w:val="-2"/>
        </w:rPr>
        <w:t xml:space="preserve"> </w:t>
      </w:r>
      <w:r>
        <w:t>weekly injection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formulation.</w:t>
      </w:r>
    </w:p>
    <w:p w14:paraId="21ACF08B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0294D041" w14:textId="77777777" w:rsidR="006C34D9" w:rsidRDefault="00CB5041">
      <w:pPr>
        <w:pStyle w:val="BodyText"/>
        <w:ind w:left="659" w:right="659"/>
        <w:jc w:val="both"/>
      </w:pPr>
      <w:r>
        <w:t xml:space="preserve">In </w:t>
      </w:r>
      <w:proofErr w:type="spellStart"/>
      <w:r>
        <w:t>pJIA</w:t>
      </w:r>
      <w:proofErr w:type="spellEnd"/>
      <w:r>
        <w:t xml:space="preserve"> and </w:t>
      </w:r>
      <w:proofErr w:type="spellStart"/>
      <w:r>
        <w:t>sJIA</w:t>
      </w:r>
      <w:proofErr w:type="spellEnd"/>
      <w:r>
        <w:t xml:space="preserve"> patients, ALT and AST should be monitored at the time of the second</w:t>
      </w:r>
      <w:r>
        <w:rPr>
          <w:spacing w:val="1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thereafter</w:t>
      </w:r>
      <w:r>
        <w:rPr>
          <w:spacing w:val="-2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spellStart"/>
      <w:r>
        <w:t>pJIA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spellStart"/>
      <w:r>
        <w:t>sJIA</w:t>
      </w:r>
      <w:proofErr w:type="spellEnd"/>
      <w:r>
        <w:rPr>
          <w:spacing w:val="-3"/>
        </w:rPr>
        <w:t xml:space="preserve"> </w:t>
      </w:r>
      <w:r>
        <w:t>(see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>Dose and Method of</w:t>
      </w:r>
      <w:r>
        <w:rPr>
          <w:spacing w:val="-1"/>
        </w:rPr>
        <w:t xml:space="preserve"> </w:t>
      </w:r>
      <w:r>
        <w:t>Administration).</w:t>
      </w:r>
    </w:p>
    <w:p w14:paraId="2205FEBB" w14:textId="77777777" w:rsidR="006C34D9" w:rsidRDefault="006C34D9">
      <w:pPr>
        <w:pStyle w:val="BodyText"/>
        <w:spacing w:before="4"/>
        <w:ind w:left="0"/>
      </w:pPr>
    </w:p>
    <w:p w14:paraId="5B0A151A" w14:textId="77777777" w:rsidR="006C34D9" w:rsidRDefault="00CB5041">
      <w:pPr>
        <w:pStyle w:val="BodyText"/>
        <w:spacing w:line="242" w:lineRule="auto"/>
        <w:ind w:right="658"/>
        <w:jc w:val="both"/>
      </w:pPr>
      <w:r>
        <w:t xml:space="preserve">Patients </w:t>
      </w:r>
      <w:proofErr w:type="spellStart"/>
      <w:r>
        <w:t>hospitalised</w:t>
      </w:r>
      <w:proofErr w:type="spellEnd"/>
      <w:r>
        <w:t xml:space="preserve"> with COVID-19 may have elevated ALT or AST levels. Multi-organ</w:t>
      </w:r>
      <w:r>
        <w:rPr>
          <w:spacing w:val="1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involvement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liver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proofErr w:type="spellStart"/>
      <w:r>
        <w:t>recognised</w:t>
      </w:r>
      <w:proofErr w:type="spellEnd"/>
      <w:r>
        <w:rPr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complication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severe</w:t>
      </w:r>
      <w:r>
        <w:rPr>
          <w:spacing w:val="-7"/>
        </w:rPr>
        <w:t xml:space="preserve"> </w:t>
      </w:r>
      <w:r>
        <w:t>COVID-19.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decision to administer Actemra should balance the potential benefit against the risks of acute</w:t>
      </w:r>
      <w:r>
        <w:rPr>
          <w:spacing w:val="1"/>
        </w:rPr>
        <w:t xml:space="preserve"> </w:t>
      </w:r>
      <w:r>
        <w:t>treatment with Actemra. In COVID-19 patients with elevated ALT or AST above 10 x ULN,</w:t>
      </w:r>
      <w:r>
        <w:rPr>
          <w:spacing w:val="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Actemra treatment is not</w:t>
      </w:r>
      <w:r>
        <w:rPr>
          <w:spacing w:val="-1"/>
        </w:rPr>
        <w:t xml:space="preserve"> </w:t>
      </w:r>
      <w:r>
        <w:t>recommended.</w:t>
      </w:r>
    </w:p>
    <w:p w14:paraId="2CD87262" w14:textId="77777777" w:rsidR="006C34D9" w:rsidRDefault="00CB5041">
      <w:pPr>
        <w:pStyle w:val="BodyText"/>
        <w:spacing w:before="176" w:line="244" w:lineRule="auto"/>
        <w:ind w:left="659" w:right="659"/>
        <w:jc w:val="both"/>
      </w:pPr>
      <w:r>
        <w:t>In COVID-19 patients, ALT/AST should be monitored according to current standard clinical</w:t>
      </w:r>
      <w:r>
        <w:rPr>
          <w:spacing w:val="1"/>
        </w:rPr>
        <w:t xml:space="preserve"> </w:t>
      </w:r>
      <w:r>
        <w:t>practices.</w:t>
      </w:r>
    </w:p>
    <w:p w14:paraId="06A8D300" w14:textId="77777777" w:rsidR="006C34D9" w:rsidRDefault="00CB5041">
      <w:pPr>
        <w:pStyle w:val="BodyText"/>
        <w:spacing w:before="193"/>
        <w:jc w:val="both"/>
      </w:pPr>
      <w:bookmarkStart w:id="44" w:name="Haematological_Abnormalities"/>
      <w:bookmarkEnd w:id="44"/>
      <w:proofErr w:type="spellStart"/>
      <w:r>
        <w:rPr>
          <w:u w:val="single"/>
        </w:rPr>
        <w:t>Haematological</w:t>
      </w:r>
      <w:proofErr w:type="spellEnd"/>
      <w:r>
        <w:rPr>
          <w:spacing w:val="-10"/>
          <w:u w:val="single"/>
        </w:rPr>
        <w:t xml:space="preserve"> </w:t>
      </w:r>
      <w:r>
        <w:rPr>
          <w:u w:val="single"/>
        </w:rPr>
        <w:t>Abnormalities</w:t>
      </w:r>
    </w:p>
    <w:p w14:paraId="15B35FB9" w14:textId="77777777" w:rsidR="006C34D9" w:rsidRDefault="00CB5041">
      <w:pPr>
        <w:pStyle w:val="BodyText"/>
        <w:spacing w:before="4" w:line="242" w:lineRule="auto"/>
        <w:ind w:right="658"/>
        <w:jc w:val="both"/>
      </w:pPr>
      <w:r>
        <w:t>Decreases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neutrophil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platelet</w:t>
      </w:r>
      <w:r>
        <w:rPr>
          <w:spacing w:val="-3"/>
        </w:rPr>
        <w:t xml:space="preserve"> </w:t>
      </w:r>
      <w:r>
        <w:t>counts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occurred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Actemra</w:t>
      </w:r>
      <w:r>
        <w:rPr>
          <w:spacing w:val="-4"/>
        </w:rPr>
        <w:t xml:space="preserve"> </w:t>
      </w:r>
      <w:r>
        <w:t>8</w:t>
      </w:r>
      <w:r>
        <w:rPr>
          <w:spacing w:val="-58"/>
        </w:rPr>
        <w:t xml:space="preserve"> </w:t>
      </w:r>
      <w:r>
        <w:t>mg/kg in combination with MTX (see section 4.8 Adverse Effects (Undesirable Effects)).</w:t>
      </w:r>
      <w:r>
        <w:rPr>
          <w:spacing w:val="1"/>
        </w:rPr>
        <w:t xml:space="preserve"> </w:t>
      </w:r>
      <w:r>
        <w:t>There may be an increased risk of neutropenia in patients who have previously been treated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TNF</w:t>
      </w:r>
      <w:r>
        <w:rPr>
          <w:spacing w:val="-1"/>
        </w:rPr>
        <w:t xml:space="preserve"> </w:t>
      </w:r>
      <w:r>
        <w:t>antagonist.</w:t>
      </w:r>
    </w:p>
    <w:p w14:paraId="1D6C02F1" w14:textId="77777777" w:rsidR="006C34D9" w:rsidRDefault="00CB5041">
      <w:pPr>
        <w:pStyle w:val="BodyText"/>
        <w:spacing w:before="175" w:line="244" w:lineRule="auto"/>
        <w:ind w:left="659" w:right="658"/>
        <w:jc w:val="both"/>
      </w:pPr>
      <w:r>
        <w:t>In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treated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Actemra,</w:t>
      </w:r>
      <w:r>
        <w:rPr>
          <w:spacing w:val="-5"/>
        </w:rPr>
        <w:t xml:space="preserve"> </w:t>
      </w:r>
      <w:r>
        <w:t>initiation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absolute</w:t>
      </w:r>
      <w:r>
        <w:rPr>
          <w:spacing w:val="-12"/>
        </w:rPr>
        <w:t xml:space="preserve"> </w:t>
      </w:r>
      <w:r>
        <w:t>neutrophil</w:t>
      </w:r>
      <w:r>
        <w:rPr>
          <w:spacing w:val="-11"/>
        </w:rPr>
        <w:t xml:space="preserve"> </w:t>
      </w:r>
      <w:r>
        <w:t>count</w:t>
      </w:r>
      <w:r>
        <w:rPr>
          <w:spacing w:val="-11"/>
        </w:rPr>
        <w:t xml:space="preserve"> </w:t>
      </w:r>
      <w:r>
        <w:t>(ANC)</w:t>
      </w:r>
      <w:r>
        <w:rPr>
          <w:spacing w:val="-11"/>
        </w:rPr>
        <w:t xml:space="preserve"> </w:t>
      </w:r>
      <w:r>
        <w:t>below</w:t>
      </w:r>
      <w:r>
        <w:rPr>
          <w:spacing w:val="-1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x</w:t>
      </w:r>
      <w:r>
        <w:rPr>
          <w:spacing w:val="-11"/>
        </w:rPr>
        <w:t xml:space="preserve"> </w:t>
      </w:r>
      <w:r>
        <w:t>10</w:t>
      </w:r>
      <w:r>
        <w:rPr>
          <w:vertAlign w:val="superscript"/>
        </w:rPr>
        <w:t>9</w:t>
      </w:r>
      <w:r>
        <w:t>/L.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RA,</w:t>
      </w:r>
      <w:r>
        <w:rPr>
          <w:spacing w:val="-11"/>
        </w:rPr>
        <w:t xml:space="preserve"> </w:t>
      </w:r>
      <w:r>
        <w:t>GCA,</w:t>
      </w:r>
      <w:r>
        <w:rPr>
          <w:spacing w:val="-11"/>
        </w:rPr>
        <w:t xml:space="preserve"> </w:t>
      </w:r>
      <w:proofErr w:type="spellStart"/>
      <w:r>
        <w:t>pJIA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proofErr w:type="spellStart"/>
      <w:r>
        <w:t>sJIA</w:t>
      </w:r>
      <w:proofErr w:type="spellEnd"/>
      <w:r>
        <w:rPr>
          <w:spacing w:val="-12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an ANC below 0.5 x 10</w:t>
      </w:r>
      <w:r>
        <w:rPr>
          <w:vertAlign w:val="superscript"/>
        </w:rPr>
        <w:t>9</w:t>
      </w:r>
      <w:r>
        <w:t>/L, treatment is not recommended (see section 4.2 Dose and Method</w:t>
      </w:r>
      <w:r>
        <w:rPr>
          <w:spacing w:val="1"/>
        </w:rPr>
        <w:t xml:space="preserve"> </w:t>
      </w:r>
      <w:r>
        <w:t>of Administration). In COVID-19 patients with an ANC below 1 x 10</w:t>
      </w:r>
      <w:r>
        <w:rPr>
          <w:vertAlign w:val="superscript"/>
        </w:rPr>
        <w:t>9</w:t>
      </w:r>
      <w:r>
        <w:t>, administration of</w:t>
      </w:r>
      <w:r>
        <w:rPr>
          <w:spacing w:val="1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is not recommended.</w:t>
      </w:r>
    </w:p>
    <w:p w14:paraId="53B99D02" w14:textId="77777777" w:rsidR="006C34D9" w:rsidRDefault="00CB5041">
      <w:pPr>
        <w:pStyle w:val="BodyText"/>
        <w:spacing w:before="163" w:line="242" w:lineRule="auto"/>
        <w:ind w:left="659" w:right="656"/>
        <w:jc w:val="both"/>
      </w:pPr>
      <w:r>
        <w:t>Caution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exercised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initiation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Actemra</w:t>
      </w:r>
      <w:r>
        <w:rPr>
          <w:spacing w:val="-4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a low platelet count (i.e. platelet count below 100 x 10</w:t>
      </w:r>
      <w:r>
        <w:rPr>
          <w:vertAlign w:val="superscript"/>
        </w:rPr>
        <w:t>9</w:t>
      </w:r>
      <w:r>
        <w:t>/L). In all patients, including COVID-</w:t>
      </w:r>
      <w:r>
        <w:rPr>
          <w:spacing w:val="1"/>
        </w:rPr>
        <w:t xml:space="preserve"> </w:t>
      </w:r>
      <w:r>
        <w:t>19, with a platelet count &lt; 50 x 10</w:t>
      </w:r>
      <w:r>
        <w:rPr>
          <w:vertAlign w:val="superscript"/>
        </w:rPr>
        <w:t>9</w:t>
      </w:r>
      <w:r>
        <w:t>/L Actemra is not recommended (see section 4.2 Dose and</w:t>
      </w:r>
      <w:r>
        <w:rPr>
          <w:spacing w:val="-57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Administration).</w:t>
      </w:r>
    </w:p>
    <w:p w14:paraId="12C93E2E" w14:textId="77777777" w:rsidR="006C34D9" w:rsidRDefault="00CB5041">
      <w:pPr>
        <w:pStyle w:val="BodyText"/>
        <w:spacing w:before="171"/>
        <w:ind w:right="657"/>
        <w:jc w:val="both"/>
      </w:pPr>
      <w:r>
        <w:t>Severe neutropenia may be associated with an increased risk of serious infections, although</w:t>
      </w:r>
      <w:r>
        <w:rPr>
          <w:spacing w:val="1"/>
        </w:rPr>
        <w:t xml:space="preserve"> </w:t>
      </w:r>
      <w:r>
        <w:t>there has been no clear association between decreases in neutrophils and the occurrence of</w:t>
      </w:r>
      <w:r>
        <w:rPr>
          <w:spacing w:val="1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infections in</w:t>
      </w:r>
      <w:r>
        <w:rPr>
          <w:spacing w:val="-2"/>
        </w:rPr>
        <w:t xml:space="preserve"> </w:t>
      </w:r>
      <w:r>
        <w:t>clinical trials with Actemra</w:t>
      </w:r>
      <w:r>
        <w:rPr>
          <w:spacing w:val="-1"/>
        </w:rPr>
        <w:t xml:space="preserve"> </w:t>
      </w:r>
      <w:r>
        <w:t>to date.</w:t>
      </w:r>
    </w:p>
    <w:p w14:paraId="4D632621" w14:textId="77777777" w:rsidR="006C34D9" w:rsidRDefault="006C34D9">
      <w:pPr>
        <w:pStyle w:val="BodyText"/>
        <w:spacing w:before="2"/>
        <w:ind w:left="0"/>
        <w:rPr>
          <w:sz w:val="21"/>
        </w:rPr>
      </w:pPr>
    </w:p>
    <w:p w14:paraId="6FBA9B66" w14:textId="77777777" w:rsidR="006C34D9" w:rsidRDefault="00CB5041">
      <w:pPr>
        <w:pStyle w:val="BodyText"/>
        <w:spacing w:before="1" w:line="242" w:lineRule="auto"/>
        <w:ind w:right="658"/>
        <w:jc w:val="both"/>
      </w:pPr>
      <w:r>
        <w:t>In</w:t>
      </w:r>
      <w:r>
        <w:rPr>
          <w:spacing w:val="-7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GCA</w:t>
      </w:r>
      <w:r>
        <w:rPr>
          <w:spacing w:val="-7"/>
        </w:rPr>
        <w:t xml:space="preserve"> </w:t>
      </w:r>
      <w:r>
        <w:t>patients,</w:t>
      </w:r>
      <w:r>
        <w:rPr>
          <w:spacing w:val="-7"/>
        </w:rPr>
        <w:t xml:space="preserve"> </w:t>
      </w:r>
      <w:r>
        <w:t>neutrophils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platelets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monitored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weeks</w:t>
      </w:r>
      <w:r>
        <w:rPr>
          <w:spacing w:val="-7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start</w:t>
      </w:r>
      <w:r>
        <w:rPr>
          <w:spacing w:val="-58"/>
        </w:rPr>
        <w:t xml:space="preserve"> </w:t>
      </w:r>
      <w:r>
        <w:t>of therapy and thereafter according to standard clinical practice. For recommended dose</w:t>
      </w:r>
      <w:r>
        <w:rPr>
          <w:spacing w:val="1"/>
        </w:rPr>
        <w:t xml:space="preserve"> </w:t>
      </w:r>
      <w:r>
        <w:t>modifications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platelet</w:t>
      </w:r>
      <w:r>
        <w:rPr>
          <w:spacing w:val="1"/>
        </w:rPr>
        <w:t xml:space="preserve"> </w:t>
      </w:r>
      <w:r>
        <w:t>counts,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4.2</w:t>
      </w:r>
      <w:r>
        <w:rPr>
          <w:spacing w:val="1"/>
        </w:rPr>
        <w:t xml:space="preserve"> </w:t>
      </w:r>
      <w:r>
        <w:t>Dose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Administration.</w:t>
      </w:r>
    </w:p>
    <w:p w14:paraId="64E888F8" w14:textId="77777777" w:rsidR="006C34D9" w:rsidRDefault="00CB5041">
      <w:pPr>
        <w:pStyle w:val="BodyText"/>
        <w:spacing w:before="175" w:line="242" w:lineRule="auto"/>
        <w:ind w:right="658"/>
        <w:jc w:val="both"/>
      </w:pPr>
      <w:r>
        <w:t xml:space="preserve">In </w:t>
      </w:r>
      <w:proofErr w:type="spellStart"/>
      <w:r>
        <w:t>pJIA</w:t>
      </w:r>
      <w:proofErr w:type="spellEnd"/>
      <w:r>
        <w:t xml:space="preserve"> and </w:t>
      </w:r>
      <w:proofErr w:type="spellStart"/>
      <w:r>
        <w:t>sJIA</w:t>
      </w:r>
      <w:proofErr w:type="spellEnd"/>
      <w:r>
        <w:t xml:space="preserve"> patients, neutrophils and platelets should be monitored at the time of the</w:t>
      </w:r>
      <w:r>
        <w:rPr>
          <w:spacing w:val="1"/>
        </w:rPr>
        <w:t xml:space="preserve"> </w:t>
      </w:r>
      <w:r>
        <w:t xml:space="preserve">second administration and thereafter every 4 to 8 weeks for </w:t>
      </w:r>
      <w:proofErr w:type="spellStart"/>
      <w:r>
        <w:t>pJIA</w:t>
      </w:r>
      <w:proofErr w:type="spellEnd"/>
      <w:r>
        <w:t xml:space="preserve"> and every 2 to 4 weeks for</w:t>
      </w:r>
      <w:r>
        <w:rPr>
          <w:spacing w:val="1"/>
        </w:rPr>
        <w:t xml:space="preserve"> </w:t>
      </w:r>
      <w:proofErr w:type="spellStart"/>
      <w:r>
        <w:t>sJIA</w:t>
      </w:r>
      <w:proofErr w:type="spellEnd"/>
      <w:r>
        <w:rPr>
          <w:spacing w:val="-2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section 4.2 Dose and Method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Administration).</w:t>
      </w:r>
    </w:p>
    <w:p w14:paraId="47DB881B" w14:textId="77777777" w:rsidR="006C34D9" w:rsidRDefault="00CB5041">
      <w:pPr>
        <w:pStyle w:val="BodyText"/>
        <w:spacing w:before="173" w:line="244" w:lineRule="auto"/>
        <w:ind w:right="658"/>
        <w:jc w:val="both"/>
      </w:pPr>
      <w:r>
        <w:t>In COVID-19 patients, the neutrophil count and platelets should be monitored according to</w:t>
      </w:r>
      <w:r>
        <w:rPr>
          <w:spacing w:val="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standard clinical</w:t>
      </w:r>
      <w:r>
        <w:rPr>
          <w:spacing w:val="-1"/>
        </w:rPr>
        <w:t xml:space="preserve"> </w:t>
      </w:r>
      <w:r>
        <w:t>practices.</w:t>
      </w:r>
    </w:p>
    <w:p w14:paraId="4C0150DE" w14:textId="77777777" w:rsidR="006C34D9" w:rsidRDefault="00CB5041">
      <w:pPr>
        <w:pStyle w:val="BodyText"/>
        <w:spacing w:before="194"/>
        <w:jc w:val="both"/>
      </w:pPr>
      <w:bookmarkStart w:id="45" w:name="Lipid_Parameters"/>
      <w:bookmarkEnd w:id="45"/>
      <w:r>
        <w:rPr>
          <w:u w:val="single"/>
        </w:rPr>
        <w:t>Lipid</w:t>
      </w:r>
      <w:r>
        <w:rPr>
          <w:spacing w:val="-5"/>
          <w:u w:val="single"/>
        </w:rPr>
        <w:t xml:space="preserve"> </w:t>
      </w:r>
      <w:r>
        <w:rPr>
          <w:u w:val="single"/>
        </w:rPr>
        <w:t>Parameters</w:t>
      </w:r>
    </w:p>
    <w:p w14:paraId="6988456A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2BDBDB83" w14:textId="77777777" w:rsidR="006C34D9" w:rsidRDefault="00CB5041">
      <w:pPr>
        <w:pStyle w:val="BodyText"/>
        <w:spacing w:before="79"/>
        <w:ind w:left="659" w:right="657"/>
        <w:jc w:val="both"/>
      </w:pPr>
      <w:r>
        <w:lastRenderedPageBreak/>
        <w:t>Elevations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lipid</w:t>
      </w:r>
      <w:r>
        <w:rPr>
          <w:spacing w:val="-12"/>
        </w:rPr>
        <w:t xml:space="preserve"> </w:t>
      </w:r>
      <w:r>
        <w:t>parameters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cholesterol,</w:t>
      </w:r>
      <w:r>
        <w:rPr>
          <w:spacing w:val="-12"/>
        </w:rPr>
        <w:t xml:space="preserve"> </w:t>
      </w:r>
      <w:r>
        <w:t>low-density</w:t>
      </w:r>
      <w:r>
        <w:rPr>
          <w:spacing w:val="-12"/>
        </w:rPr>
        <w:t xml:space="preserve"> </w:t>
      </w:r>
      <w:r>
        <w:t>lipoprotein</w:t>
      </w:r>
      <w:r>
        <w:rPr>
          <w:spacing w:val="-12"/>
        </w:rPr>
        <w:t xml:space="preserve"> </w:t>
      </w:r>
      <w:r>
        <w:t>(LDL),</w:t>
      </w:r>
      <w:r>
        <w:rPr>
          <w:spacing w:val="-12"/>
        </w:rPr>
        <w:t xml:space="preserve"> </w:t>
      </w:r>
      <w:r>
        <w:t>high-</w:t>
      </w:r>
      <w:r>
        <w:rPr>
          <w:spacing w:val="-58"/>
        </w:rPr>
        <w:t xml:space="preserve"> </w:t>
      </w:r>
      <w:r>
        <w:t>density lipoprotein (HDL) and triglycerides were observed in patients treated with Actemra</w:t>
      </w:r>
      <w:r>
        <w:rPr>
          <w:spacing w:val="1"/>
        </w:rPr>
        <w:t xml:space="preserve"> </w:t>
      </w:r>
      <w:r>
        <w:t xml:space="preserve">(see section 4.8 Adverse Effects (Undesirable Effects)). In </w:t>
      </w:r>
      <w:proofErr w:type="gramStart"/>
      <w:r>
        <w:t>the majority of</w:t>
      </w:r>
      <w:proofErr w:type="gramEnd"/>
      <w:r>
        <w:t xml:space="preserve"> patients, there was</w:t>
      </w:r>
      <w:r>
        <w:rPr>
          <w:spacing w:val="1"/>
        </w:rPr>
        <w:t xml:space="preserve"> </w:t>
      </w:r>
      <w:r>
        <w:t>no increase in atherogenic indices, and elevations in total cholesterol responded to treatment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lipid lowering agents.</w:t>
      </w:r>
    </w:p>
    <w:p w14:paraId="2C80E890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866AA16" w14:textId="77777777" w:rsidR="006C34D9" w:rsidRDefault="00CB5041">
      <w:pPr>
        <w:pStyle w:val="BodyText"/>
        <w:ind w:left="659" w:right="656"/>
        <w:jc w:val="both"/>
      </w:pPr>
      <w:r>
        <w:t>Assessment of lipid parameters should be performed in patients 4 to 8 weeks following</w:t>
      </w:r>
      <w:r>
        <w:rPr>
          <w:spacing w:val="1"/>
        </w:rPr>
        <w:t xml:space="preserve"> </w:t>
      </w:r>
      <w:r>
        <w:t>initiation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Actemra</w:t>
      </w:r>
      <w:r>
        <w:rPr>
          <w:spacing w:val="-8"/>
        </w:rPr>
        <w:t xml:space="preserve"> </w:t>
      </w:r>
      <w:r>
        <w:t>therapy.</w:t>
      </w:r>
      <w:r>
        <w:rPr>
          <w:spacing w:val="-9"/>
        </w:rPr>
        <w:t xml:space="preserve"> </w:t>
      </w:r>
      <w:r>
        <w:t>RA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sJIA</w:t>
      </w:r>
      <w:proofErr w:type="spellEnd"/>
      <w:r>
        <w:rPr>
          <w:spacing w:val="-8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managed</w:t>
      </w:r>
      <w:r>
        <w:rPr>
          <w:spacing w:val="-9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 xml:space="preserve">clinical guidelines for management of </w:t>
      </w:r>
      <w:proofErr w:type="spellStart"/>
      <w:r>
        <w:t>hyperlipidaemia</w:t>
      </w:r>
      <w:proofErr w:type="spellEnd"/>
      <w:r>
        <w:t xml:space="preserve">. For </w:t>
      </w:r>
      <w:proofErr w:type="spellStart"/>
      <w:r>
        <w:t>pJIA</w:t>
      </w:r>
      <w:proofErr w:type="spellEnd"/>
      <w:r>
        <w:t xml:space="preserve"> patients, assessment of lipid</w:t>
      </w:r>
      <w:r>
        <w:rPr>
          <w:spacing w:val="-57"/>
        </w:rPr>
        <w:t xml:space="preserve"> </w:t>
      </w:r>
      <w:r>
        <w:t>parameters should be performed at 3 monthly intervals during Actemra treatment until it is</w:t>
      </w:r>
      <w:r>
        <w:rPr>
          <w:spacing w:val="1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 of</w:t>
      </w:r>
      <w:r>
        <w:rPr>
          <w:spacing w:val="-2"/>
        </w:rPr>
        <w:t xml:space="preserve"> </w:t>
      </w:r>
      <w:r>
        <w:t>development of</w:t>
      </w:r>
      <w:r>
        <w:rPr>
          <w:spacing w:val="-2"/>
        </w:rPr>
        <w:t xml:space="preserve"> </w:t>
      </w:r>
      <w:r>
        <w:t>significant changes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lipid</w:t>
      </w:r>
      <w:r>
        <w:rPr>
          <w:spacing w:val="-2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has diminished.</w:t>
      </w:r>
    </w:p>
    <w:p w14:paraId="4597FCA9" w14:textId="77777777" w:rsidR="006C34D9" w:rsidRDefault="00CB5041">
      <w:pPr>
        <w:pStyle w:val="BodyText"/>
        <w:spacing w:before="200"/>
        <w:jc w:val="both"/>
      </w:pPr>
      <w:bookmarkStart w:id="46" w:name="Demyelinating_Disorders"/>
      <w:bookmarkEnd w:id="46"/>
      <w:r>
        <w:rPr>
          <w:u w:val="single"/>
        </w:rPr>
        <w:t>Demyelinating</w:t>
      </w:r>
      <w:r>
        <w:rPr>
          <w:spacing w:val="-7"/>
          <w:u w:val="single"/>
        </w:rPr>
        <w:t xml:space="preserve"> </w:t>
      </w:r>
      <w:r>
        <w:rPr>
          <w:u w:val="single"/>
        </w:rPr>
        <w:t>Disorders</w:t>
      </w:r>
    </w:p>
    <w:p w14:paraId="72C4C418" w14:textId="77777777" w:rsidR="006C34D9" w:rsidRDefault="00CB5041">
      <w:pPr>
        <w:pStyle w:val="BodyText"/>
        <w:ind w:right="659"/>
        <w:jc w:val="both"/>
      </w:pPr>
      <w:r>
        <w:t>Physicians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vigilant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potentially</w:t>
      </w:r>
      <w:r>
        <w:rPr>
          <w:spacing w:val="1"/>
        </w:rPr>
        <w:t xml:space="preserve"> </w:t>
      </w:r>
      <w:r>
        <w:t>indicative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new-onset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demyelinating disorders. The potential for central demyelination with Actemra is currently</w:t>
      </w:r>
      <w:r>
        <w:rPr>
          <w:spacing w:val="1"/>
        </w:rPr>
        <w:t xml:space="preserve"> </w:t>
      </w:r>
      <w:r>
        <w:t>unknown. Multiple sclerosis and chronic inflammatory demyelinating polyneuropathy were</w:t>
      </w:r>
      <w:r>
        <w:rPr>
          <w:spacing w:val="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rarely in RA</w:t>
      </w:r>
      <w:r>
        <w:rPr>
          <w:spacing w:val="-1"/>
        </w:rPr>
        <w:t xml:space="preserve"> </w:t>
      </w:r>
      <w:r>
        <w:t>clinical studies.</w:t>
      </w:r>
    </w:p>
    <w:p w14:paraId="01A3D1B8" w14:textId="77777777" w:rsidR="006C34D9" w:rsidRDefault="00CB5041">
      <w:pPr>
        <w:pStyle w:val="BodyText"/>
        <w:spacing w:before="200"/>
      </w:pPr>
      <w:bookmarkStart w:id="47" w:name="Malignancy"/>
      <w:bookmarkEnd w:id="47"/>
      <w:r>
        <w:rPr>
          <w:u w:val="single"/>
        </w:rPr>
        <w:t>Malignancy</w:t>
      </w:r>
    </w:p>
    <w:p w14:paraId="04B14335" w14:textId="77777777" w:rsidR="006C34D9" w:rsidRDefault="00CB5041">
      <w:pPr>
        <w:pStyle w:val="BodyText"/>
      </w:pPr>
      <w:r>
        <w:t>The</w:t>
      </w:r>
      <w:r>
        <w:rPr>
          <w:spacing w:val="55"/>
        </w:rPr>
        <w:t xml:space="preserve"> </w:t>
      </w:r>
      <w:r>
        <w:t>risk</w:t>
      </w:r>
      <w:r>
        <w:rPr>
          <w:spacing w:val="56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malignancy</w:t>
      </w:r>
      <w:r>
        <w:rPr>
          <w:spacing w:val="56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>increased</w:t>
      </w:r>
      <w:r>
        <w:rPr>
          <w:spacing w:val="56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patients</w:t>
      </w:r>
      <w:r>
        <w:rPr>
          <w:spacing w:val="56"/>
        </w:rPr>
        <w:t xml:space="preserve"> </w:t>
      </w:r>
      <w:r>
        <w:t>with</w:t>
      </w:r>
      <w:r>
        <w:rPr>
          <w:spacing w:val="55"/>
        </w:rPr>
        <w:t xml:space="preserve"> </w:t>
      </w:r>
      <w:r>
        <w:t>RA.</w:t>
      </w:r>
      <w:r>
        <w:rPr>
          <w:spacing w:val="55"/>
        </w:rPr>
        <w:t xml:space="preserve"> </w:t>
      </w:r>
      <w:r>
        <w:t>Immunomodulatory</w:t>
      </w:r>
      <w:r>
        <w:rPr>
          <w:spacing w:val="55"/>
        </w:rPr>
        <w:t xml:space="preserve"> </w:t>
      </w:r>
      <w:r>
        <w:t>medicinal</w:t>
      </w:r>
      <w:r>
        <w:rPr>
          <w:spacing w:val="-57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may increase the risk of</w:t>
      </w:r>
      <w:r>
        <w:rPr>
          <w:spacing w:val="-1"/>
        </w:rPr>
        <w:t xml:space="preserve"> </w:t>
      </w:r>
      <w:r>
        <w:t>malignancy.</w:t>
      </w:r>
    </w:p>
    <w:p w14:paraId="1F6C070C" w14:textId="77777777" w:rsidR="006C34D9" w:rsidRDefault="006C34D9">
      <w:pPr>
        <w:pStyle w:val="BodyText"/>
        <w:ind w:left="0"/>
      </w:pPr>
    </w:p>
    <w:p w14:paraId="0E571E94" w14:textId="77777777" w:rsidR="006C34D9" w:rsidRDefault="00CB5041">
      <w:pPr>
        <w:pStyle w:val="BodyText"/>
        <w:ind w:left="659" w:right="658"/>
        <w:jc w:val="both"/>
      </w:pPr>
      <w:r>
        <w:t>Patients receiving immunosuppressive therapy are at an increased risk of developing skin</w:t>
      </w:r>
      <w:r>
        <w:rPr>
          <w:spacing w:val="1"/>
        </w:rPr>
        <w:t xml:space="preserve"> </w:t>
      </w:r>
      <w:r>
        <w:t>cancer (melanoma and non-melanoma). The risk appears to be related to the intensity and</w:t>
      </w:r>
      <w:r>
        <w:rPr>
          <w:spacing w:val="1"/>
        </w:rPr>
        <w:t xml:space="preserve"> </w:t>
      </w:r>
      <w:r>
        <w:t>duration of immunosuppression rather than to the use of any specific agent. Periodic skin</w:t>
      </w:r>
      <w:r>
        <w:rPr>
          <w:spacing w:val="1"/>
        </w:rPr>
        <w:t xml:space="preserve"> </w:t>
      </w:r>
      <w:r>
        <w:t>examination is recommended for all patients who are at increased risk for skin cancer and</w:t>
      </w:r>
      <w:r>
        <w:rPr>
          <w:spacing w:val="1"/>
        </w:rPr>
        <w:t xml:space="preserve"> </w:t>
      </w:r>
      <w:r>
        <w:t>exposure to sunlight and UV light should be limited by wearing protective clothing and using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sunscreen</w:t>
      </w:r>
      <w:r>
        <w:rPr>
          <w:spacing w:val="-2"/>
        </w:rPr>
        <w:t xml:space="preserve"> </w:t>
      </w:r>
      <w:r>
        <w:t>with a high</w:t>
      </w:r>
      <w:r>
        <w:rPr>
          <w:spacing w:val="-2"/>
        </w:rPr>
        <w:t xml:space="preserve"> </w:t>
      </w:r>
      <w:r>
        <w:t>protection factor.</w:t>
      </w:r>
    </w:p>
    <w:p w14:paraId="3F3CC555" w14:textId="77777777" w:rsidR="006C34D9" w:rsidRDefault="00CB5041">
      <w:pPr>
        <w:pStyle w:val="BodyText"/>
        <w:spacing w:before="200"/>
      </w:pPr>
      <w:bookmarkStart w:id="48" w:name="Intravenous_Infusion_Reactions"/>
      <w:bookmarkEnd w:id="48"/>
      <w:r>
        <w:rPr>
          <w:u w:val="single"/>
        </w:rPr>
        <w:t>Intravenous</w:t>
      </w:r>
      <w:r>
        <w:rPr>
          <w:spacing w:val="-5"/>
          <w:u w:val="single"/>
        </w:rPr>
        <w:t xml:space="preserve"> </w:t>
      </w:r>
      <w:r>
        <w:rPr>
          <w:u w:val="single"/>
        </w:rPr>
        <w:t>Infusion</w:t>
      </w:r>
      <w:r>
        <w:rPr>
          <w:spacing w:val="-3"/>
          <w:u w:val="single"/>
        </w:rPr>
        <w:t xml:space="preserve"> </w:t>
      </w:r>
      <w:r>
        <w:rPr>
          <w:u w:val="single"/>
        </w:rPr>
        <w:t>Reactions</w:t>
      </w:r>
    </w:p>
    <w:p w14:paraId="196B1A7F" w14:textId="77777777" w:rsidR="006C34D9" w:rsidRDefault="00CB5041">
      <w:pPr>
        <w:pStyle w:val="BodyText"/>
        <w:ind w:right="596"/>
      </w:pPr>
      <w:r>
        <w:t>Infusion</w:t>
      </w:r>
      <w:r>
        <w:rPr>
          <w:spacing w:val="5"/>
        </w:rPr>
        <w:t xml:space="preserve"> </w:t>
      </w:r>
      <w:r>
        <w:t>reactions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t>observed</w:t>
      </w:r>
      <w:r>
        <w:rPr>
          <w:spacing w:val="5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24</w:t>
      </w:r>
      <w:r>
        <w:rPr>
          <w:spacing w:val="5"/>
        </w:rPr>
        <w:t xml:space="preserve"> </w:t>
      </w:r>
      <w:r>
        <w:t>hours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treatment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Actemra</w:t>
      </w:r>
      <w:r>
        <w:rPr>
          <w:spacing w:val="-57"/>
        </w:rPr>
        <w:t xml:space="preserve"> </w:t>
      </w:r>
      <w:bookmarkStart w:id="49" w:name="Cardiovascular_Risk"/>
      <w:bookmarkEnd w:id="49"/>
      <w:r>
        <w:t>(see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4.8 Adverse</w:t>
      </w:r>
      <w:r>
        <w:rPr>
          <w:spacing w:val="-1"/>
        </w:rPr>
        <w:t xml:space="preserve"> </w:t>
      </w:r>
      <w:r>
        <w:t>Effects (Undesirable</w:t>
      </w:r>
      <w:r>
        <w:rPr>
          <w:spacing w:val="-1"/>
        </w:rPr>
        <w:t xml:space="preserve"> </w:t>
      </w:r>
      <w:r>
        <w:t>Effects)).</w:t>
      </w:r>
    </w:p>
    <w:p w14:paraId="3CE43661" w14:textId="77777777" w:rsidR="006C34D9" w:rsidRDefault="00CB5041">
      <w:pPr>
        <w:pStyle w:val="BodyText"/>
        <w:spacing w:before="200"/>
        <w:jc w:val="both"/>
      </w:pPr>
      <w:r>
        <w:rPr>
          <w:u w:val="single"/>
        </w:rPr>
        <w:t>Cardiovascular</w:t>
      </w:r>
      <w:r>
        <w:rPr>
          <w:spacing w:val="-2"/>
          <w:u w:val="single"/>
        </w:rPr>
        <w:t xml:space="preserve"> </w:t>
      </w:r>
      <w:r>
        <w:rPr>
          <w:u w:val="single"/>
        </w:rPr>
        <w:t>Risk</w:t>
      </w:r>
    </w:p>
    <w:p w14:paraId="1A070294" w14:textId="77777777" w:rsidR="006C34D9" w:rsidRDefault="00CB5041">
      <w:pPr>
        <w:pStyle w:val="BodyText"/>
        <w:ind w:right="657"/>
        <w:jc w:val="both"/>
      </w:pPr>
      <w:r>
        <w:t>RA patients have an increased risk for cardiovascular disorders and should have risk factors</w:t>
      </w:r>
      <w:r>
        <w:rPr>
          <w:spacing w:val="1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hypertension,</w:t>
      </w:r>
      <w:r>
        <w:rPr>
          <w:spacing w:val="-5"/>
        </w:rPr>
        <w:t xml:space="preserve"> </w:t>
      </w:r>
      <w:proofErr w:type="spellStart"/>
      <w:r>
        <w:t>hyperlipidaemia</w:t>
      </w:r>
      <w:proofErr w:type="spellEnd"/>
      <w:r>
        <w:t>)</w:t>
      </w:r>
      <w:r>
        <w:rPr>
          <w:spacing w:val="-5"/>
        </w:rPr>
        <w:t xml:space="preserve"> </w:t>
      </w:r>
      <w:r>
        <w:t>managed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usual</w:t>
      </w:r>
      <w:r>
        <w:rPr>
          <w:spacing w:val="-6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4.4</w:t>
      </w:r>
      <w:r>
        <w:rPr>
          <w:spacing w:val="-58"/>
        </w:rPr>
        <w:t xml:space="preserve"> </w:t>
      </w:r>
      <w:r>
        <w:t>Special Warnings and Precautions for Use- Lipid Parameters). Elevations in LDL and HDL</w:t>
      </w:r>
      <w:r>
        <w:rPr>
          <w:spacing w:val="1"/>
        </w:rPr>
        <w:t xml:space="preserve"> </w:t>
      </w:r>
      <w:r>
        <w:t>lipids have been observed, with no clinical consequences identified. No data are available</w:t>
      </w:r>
      <w:r>
        <w:rPr>
          <w:spacing w:val="1"/>
        </w:rPr>
        <w:t xml:space="preserve"> </w:t>
      </w:r>
      <w:bookmarkStart w:id="50" w:name="Combination_with_TNF_Antagonists_and/or_"/>
      <w:bookmarkEnd w:id="50"/>
      <w:r>
        <w:t>concerning</w:t>
      </w:r>
      <w:r>
        <w:rPr>
          <w:spacing w:val="-3"/>
        </w:rPr>
        <w:t xml:space="preserve"> </w:t>
      </w:r>
      <w:r>
        <w:t>cardiovascular outcomes with</w:t>
      </w:r>
      <w:r>
        <w:rPr>
          <w:spacing w:val="-1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use of Actemra.</w:t>
      </w:r>
    </w:p>
    <w:p w14:paraId="19FAAB5B" w14:textId="77777777" w:rsidR="006C34D9" w:rsidRDefault="00CB5041">
      <w:pPr>
        <w:pStyle w:val="BodyText"/>
        <w:spacing w:before="201"/>
        <w:jc w:val="both"/>
      </w:pPr>
      <w:r>
        <w:rPr>
          <w:u w:val="single"/>
        </w:rPr>
        <w:t>Combination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</w:t>
      </w:r>
      <w:r>
        <w:rPr>
          <w:spacing w:val="-2"/>
          <w:u w:val="single"/>
        </w:rPr>
        <w:t xml:space="preserve"> </w:t>
      </w:r>
      <w:r>
        <w:rPr>
          <w:u w:val="single"/>
        </w:rPr>
        <w:t>TNF</w:t>
      </w:r>
      <w:r>
        <w:rPr>
          <w:spacing w:val="-3"/>
          <w:u w:val="single"/>
        </w:rPr>
        <w:t xml:space="preserve"> </w:t>
      </w:r>
      <w:r>
        <w:rPr>
          <w:u w:val="single"/>
        </w:rPr>
        <w:t>Antagonists</w:t>
      </w:r>
      <w:r>
        <w:rPr>
          <w:spacing w:val="-3"/>
          <w:u w:val="single"/>
        </w:rPr>
        <w:t xml:space="preserve"> </w:t>
      </w:r>
      <w:r>
        <w:rPr>
          <w:u w:val="single"/>
        </w:rPr>
        <w:t>and/or</w:t>
      </w:r>
      <w:r>
        <w:rPr>
          <w:spacing w:val="-2"/>
          <w:u w:val="single"/>
        </w:rPr>
        <w:t xml:space="preserve"> </w:t>
      </w:r>
      <w:r>
        <w:rPr>
          <w:u w:val="single"/>
        </w:rPr>
        <w:t>other</w:t>
      </w:r>
      <w:r>
        <w:rPr>
          <w:spacing w:val="-2"/>
          <w:u w:val="single"/>
        </w:rPr>
        <w:t xml:space="preserve"> </w:t>
      </w:r>
      <w:r>
        <w:rPr>
          <w:u w:val="single"/>
        </w:rPr>
        <w:t>Biological</w:t>
      </w:r>
      <w:r>
        <w:rPr>
          <w:spacing w:val="-2"/>
          <w:u w:val="single"/>
        </w:rPr>
        <w:t xml:space="preserve"> </w:t>
      </w:r>
      <w:r>
        <w:rPr>
          <w:u w:val="single"/>
        </w:rPr>
        <w:t>Therapies</w:t>
      </w:r>
    </w:p>
    <w:p w14:paraId="408C6F64" w14:textId="77777777" w:rsidR="006C34D9" w:rsidRDefault="00CB5041">
      <w:pPr>
        <w:pStyle w:val="BodyText"/>
        <w:ind w:right="657"/>
        <w:jc w:val="both"/>
      </w:pPr>
      <w:r>
        <w:t>There is no experience with the use of Actemra with TNF antagonists or other biological</w:t>
      </w:r>
      <w:r>
        <w:rPr>
          <w:spacing w:val="1"/>
        </w:rPr>
        <w:t xml:space="preserve"> </w:t>
      </w:r>
      <w:r>
        <w:t>treatments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RA.</w:t>
      </w:r>
      <w:r>
        <w:rPr>
          <w:spacing w:val="-8"/>
        </w:rPr>
        <w:t xml:space="preserve"> </w:t>
      </w:r>
      <w:r>
        <w:t>Actemra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biological</w:t>
      </w:r>
      <w:r>
        <w:rPr>
          <w:spacing w:val="-7"/>
        </w:rPr>
        <w:t xml:space="preserve"> </w:t>
      </w:r>
      <w:r>
        <w:t>agents</w:t>
      </w:r>
      <w:r>
        <w:rPr>
          <w:spacing w:val="-8"/>
        </w:rPr>
        <w:t xml:space="preserve"> </w:t>
      </w:r>
      <w:r>
        <w:t>including</w:t>
      </w:r>
      <w:r>
        <w:rPr>
          <w:spacing w:val="-58"/>
        </w:rPr>
        <w:t xml:space="preserve"> </w:t>
      </w:r>
      <w:bookmarkStart w:id="51" w:name="Sodium"/>
      <w:bookmarkEnd w:id="51"/>
      <w:r>
        <w:t>TNF</w:t>
      </w:r>
      <w:r>
        <w:rPr>
          <w:spacing w:val="-2"/>
        </w:rPr>
        <w:t xml:space="preserve"> </w:t>
      </w:r>
      <w:r>
        <w:t>antagonists, anakinra, rituximab and abatacept.</w:t>
      </w:r>
    </w:p>
    <w:p w14:paraId="669A250B" w14:textId="77777777" w:rsidR="006C34D9" w:rsidRDefault="00CB5041">
      <w:pPr>
        <w:pStyle w:val="BodyText"/>
        <w:spacing w:before="199"/>
      </w:pPr>
      <w:r>
        <w:rPr>
          <w:u w:val="single"/>
        </w:rPr>
        <w:t>Sodium</w:t>
      </w:r>
    </w:p>
    <w:p w14:paraId="428C0F68" w14:textId="77777777" w:rsidR="006C34D9" w:rsidRDefault="00CB5041">
      <w:pPr>
        <w:pStyle w:val="BodyText"/>
        <w:ind w:right="658"/>
        <w:jc w:val="both"/>
      </w:pPr>
      <w:r>
        <w:t>Intravenous Actemra contains 1.17 mmol (26.55 mg) of sodium per maximum dose of 1200</w:t>
      </w:r>
      <w:r>
        <w:rPr>
          <w:spacing w:val="1"/>
        </w:rPr>
        <w:t xml:space="preserve"> </w:t>
      </w:r>
      <w:r>
        <w:t>mg. This should be taken into consideration by patients on a controlled sodium diet. Doses</w:t>
      </w:r>
      <w:r>
        <w:rPr>
          <w:spacing w:val="1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1025</w:t>
      </w:r>
      <w:r>
        <w:rPr>
          <w:spacing w:val="-7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Actemra</w:t>
      </w:r>
      <w:r>
        <w:rPr>
          <w:spacing w:val="-6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mmol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sodium</w:t>
      </w:r>
      <w:r>
        <w:rPr>
          <w:spacing w:val="-7"/>
        </w:rPr>
        <w:t xml:space="preserve"> </w:t>
      </w:r>
      <w:r>
        <w:t>(23</w:t>
      </w:r>
      <w:r>
        <w:rPr>
          <w:spacing w:val="-5"/>
        </w:rPr>
        <w:t xml:space="preserve"> </w:t>
      </w:r>
      <w:r>
        <w:t>mg)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essentially</w:t>
      </w:r>
      <w:r>
        <w:rPr>
          <w:spacing w:val="-5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‘sodium</w:t>
      </w:r>
      <w:r>
        <w:rPr>
          <w:spacing w:val="-1"/>
        </w:rPr>
        <w:t xml:space="preserve"> </w:t>
      </w:r>
      <w:r>
        <w:t>free’.</w:t>
      </w:r>
    </w:p>
    <w:p w14:paraId="1237DEA7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0465664B" w14:textId="77777777" w:rsidR="006C34D9" w:rsidRDefault="00CB5041">
      <w:pPr>
        <w:pStyle w:val="BodyText"/>
      </w:pPr>
      <w:r>
        <w:t>The</w:t>
      </w:r>
      <w:r>
        <w:rPr>
          <w:spacing w:val="-2"/>
        </w:rPr>
        <w:t xml:space="preserve"> </w:t>
      </w:r>
      <w:r>
        <w:t>subcutaneous</w:t>
      </w:r>
      <w:r>
        <w:rPr>
          <w:spacing w:val="-2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formulation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sodium.</w:t>
      </w:r>
    </w:p>
    <w:p w14:paraId="4111F282" w14:textId="77777777" w:rsidR="006C34D9" w:rsidRDefault="006C34D9">
      <w:p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689145F5" w14:textId="77777777" w:rsidR="006C34D9" w:rsidRDefault="00CB5041">
      <w:pPr>
        <w:pStyle w:val="Heading2"/>
        <w:spacing w:before="60"/>
        <w:jc w:val="left"/>
      </w:pPr>
      <w:r>
        <w:lastRenderedPageBreak/>
        <w:t>Systemic</w:t>
      </w:r>
      <w:r>
        <w:rPr>
          <w:spacing w:val="-4"/>
        </w:rPr>
        <w:t xml:space="preserve"> </w:t>
      </w:r>
      <w:r>
        <w:t>Juvenile</w:t>
      </w:r>
      <w:r>
        <w:rPr>
          <w:spacing w:val="-4"/>
        </w:rPr>
        <w:t xml:space="preserve"> </w:t>
      </w:r>
      <w:r>
        <w:t>Idiopathic</w:t>
      </w:r>
      <w:r>
        <w:rPr>
          <w:spacing w:val="-4"/>
        </w:rPr>
        <w:t xml:space="preserve"> </w:t>
      </w:r>
      <w:r>
        <w:t>Arthritis</w:t>
      </w:r>
    </w:p>
    <w:p w14:paraId="2835B4F4" w14:textId="77777777" w:rsidR="006C34D9" w:rsidRDefault="00CB5041">
      <w:pPr>
        <w:pStyle w:val="BodyText"/>
        <w:spacing w:before="35"/>
      </w:pPr>
      <w:bookmarkStart w:id="52" w:name="Macrophage_activation_syndrome_(MAS)"/>
      <w:bookmarkEnd w:id="52"/>
      <w:r>
        <w:rPr>
          <w:u w:val="single"/>
        </w:rPr>
        <w:t>Macrophage</w:t>
      </w:r>
      <w:r>
        <w:rPr>
          <w:spacing w:val="-5"/>
          <w:u w:val="single"/>
        </w:rPr>
        <w:t xml:space="preserve"> </w:t>
      </w:r>
      <w:r>
        <w:rPr>
          <w:u w:val="single"/>
        </w:rPr>
        <w:t>activation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syndrome</w:t>
      </w:r>
      <w:r>
        <w:rPr>
          <w:spacing w:val="-3"/>
          <w:u w:val="single"/>
        </w:rPr>
        <w:t xml:space="preserve"> </w:t>
      </w:r>
      <w:r>
        <w:rPr>
          <w:u w:val="single"/>
        </w:rPr>
        <w:t>(MAS)</w:t>
      </w:r>
    </w:p>
    <w:p w14:paraId="2F6BAC2A" w14:textId="77777777" w:rsidR="006C34D9" w:rsidRDefault="00CB5041">
      <w:pPr>
        <w:pStyle w:val="BodyText"/>
        <w:ind w:left="659" w:right="596"/>
      </w:pPr>
      <w:r>
        <w:t>MAS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serious</w:t>
      </w:r>
      <w:r>
        <w:rPr>
          <w:spacing w:val="10"/>
        </w:rPr>
        <w:t xml:space="preserve"> </w:t>
      </w:r>
      <w:r>
        <w:t>life-threatening</w:t>
      </w:r>
      <w:r>
        <w:rPr>
          <w:spacing w:val="8"/>
        </w:rPr>
        <w:t xml:space="preserve"> </w:t>
      </w:r>
      <w:r>
        <w:t>disorder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develop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patients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proofErr w:type="spellStart"/>
      <w:r>
        <w:t>sJIA</w:t>
      </w:r>
      <w:proofErr w:type="spellEnd"/>
      <w:r>
        <w:t>.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clinical</w:t>
      </w:r>
      <w:r>
        <w:rPr>
          <w:spacing w:val="-57"/>
        </w:rPr>
        <w:t xml:space="preserve"> </w:t>
      </w:r>
      <w:r>
        <w:t>trials,</w:t>
      </w:r>
      <w:r>
        <w:rPr>
          <w:spacing w:val="5"/>
        </w:rPr>
        <w:t xml:space="preserve"> </w:t>
      </w:r>
      <w:r>
        <w:t>Actemra</w:t>
      </w:r>
      <w:r>
        <w:rPr>
          <w:spacing w:val="6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t>studied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patients</w:t>
      </w:r>
      <w:r>
        <w:rPr>
          <w:spacing w:val="5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episode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active</w:t>
      </w:r>
      <w:r>
        <w:rPr>
          <w:spacing w:val="6"/>
        </w:rPr>
        <w:t xml:space="preserve"> </w:t>
      </w:r>
      <w:r>
        <w:t>MAS</w:t>
      </w:r>
      <w:r>
        <w:rPr>
          <w:spacing w:val="5"/>
        </w:rPr>
        <w:t xml:space="preserve"> </w:t>
      </w:r>
      <w:r>
        <w:t>(see</w:t>
      </w:r>
      <w:r>
        <w:rPr>
          <w:spacing w:val="6"/>
        </w:rPr>
        <w:t xml:space="preserve"> </w:t>
      </w:r>
      <w:r>
        <w:t>section</w:t>
      </w:r>
    </w:p>
    <w:p w14:paraId="50B89196" w14:textId="77777777" w:rsidR="006C34D9" w:rsidRDefault="00CB5041">
      <w:pPr>
        <w:pStyle w:val="BodyText"/>
        <w:ind w:left="659"/>
      </w:pPr>
      <w:r>
        <w:t>4.8</w:t>
      </w:r>
      <w:r>
        <w:rPr>
          <w:spacing w:val="-2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(Undesirable</w:t>
      </w:r>
      <w:r>
        <w:rPr>
          <w:spacing w:val="-2"/>
        </w:rPr>
        <w:t xml:space="preserve"> </w:t>
      </w:r>
      <w:r>
        <w:t>Effects)).</w:t>
      </w:r>
    </w:p>
    <w:p w14:paraId="53B60886" w14:textId="77777777" w:rsidR="006C34D9" w:rsidRDefault="00CB5041">
      <w:pPr>
        <w:pStyle w:val="Heading2"/>
        <w:spacing w:before="202"/>
      </w:pPr>
      <w:bookmarkStart w:id="53" w:name="Use_in_the_Elderly"/>
      <w:bookmarkEnd w:id="53"/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Elderly</w:t>
      </w:r>
    </w:p>
    <w:p w14:paraId="0971DF24" w14:textId="77777777" w:rsidR="006C34D9" w:rsidRDefault="00CB5041">
      <w:pPr>
        <w:pStyle w:val="BodyText"/>
        <w:spacing w:before="34"/>
        <w:ind w:right="657"/>
        <w:jc w:val="both"/>
        <w:rPr>
          <w:i/>
        </w:rPr>
      </w:pPr>
      <w:r>
        <w:t>Population analyses evaluated the potential effects of demographic characteristics on the</w:t>
      </w:r>
      <w:r>
        <w:rPr>
          <w:spacing w:val="1"/>
        </w:rPr>
        <w:t xml:space="preserve"> </w:t>
      </w:r>
      <w:r>
        <w:t>pharmacokinetics of Actemra in adult RA patients.</w:t>
      </w:r>
      <w:r>
        <w:rPr>
          <w:spacing w:val="1"/>
        </w:rPr>
        <w:t xml:space="preserve"> </w:t>
      </w:r>
      <w:r>
        <w:t>Results of these analyses showed that no</w:t>
      </w:r>
      <w:r>
        <w:rPr>
          <w:spacing w:val="1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dose is necessary for age,</w:t>
      </w:r>
      <w:r>
        <w:rPr>
          <w:spacing w:val="-1"/>
        </w:rPr>
        <w:t xml:space="preserve"> </w:t>
      </w:r>
      <w:r>
        <w:t>gender, or race</w:t>
      </w:r>
      <w:r>
        <w:rPr>
          <w:i/>
        </w:rPr>
        <w:t>.</w:t>
      </w:r>
    </w:p>
    <w:p w14:paraId="708A0F1D" w14:textId="77777777" w:rsidR="006C34D9" w:rsidRDefault="006C34D9">
      <w:pPr>
        <w:pStyle w:val="BodyText"/>
        <w:spacing w:before="9"/>
        <w:ind w:left="0"/>
        <w:rPr>
          <w:i/>
          <w:sz w:val="20"/>
        </w:rPr>
      </w:pPr>
    </w:p>
    <w:p w14:paraId="7B72BDB9" w14:textId="77777777" w:rsidR="006C34D9" w:rsidRDefault="00CB5041">
      <w:pPr>
        <w:pStyle w:val="BodyText"/>
        <w:spacing w:before="1"/>
        <w:jc w:val="both"/>
      </w:pPr>
      <w:r>
        <w:t>No</w:t>
      </w:r>
      <w:r>
        <w:rPr>
          <w:spacing w:val="-2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elderly</w:t>
      </w:r>
      <w:r>
        <w:rPr>
          <w:spacing w:val="-1"/>
        </w:rPr>
        <w:t xml:space="preserve"> </w:t>
      </w:r>
      <w:r>
        <w:t>patients.</w:t>
      </w:r>
    </w:p>
    <w:p w14:paraId="7BE55B83" w14:textId="77777777" w:rsidR="006C34D9" w:rsidRDefault="00CB5041">
      <w:pPr>
        <w:pStyle w:val="Heading2"/>
        <w:spacing w:before="201"/>
      </w:pPr>
      <w:bookmarkStart w:id="54" w:name="Paediatric_use"/>
      <w:bookmarkEnd w:id="54"/>
      <w:proofErr w:type="spellStart"/>
      <w:r>
        <w:t>Paediatric</w:t>
      </w:r>
      <w:proofErr w:type="spellEnd"/>
      <w:r>
        <w:rPr>
          <w:spacing w:val="-6"/>
        </w:rPr>
        <w:t xml:space="preserve"> </w:t>
      </w:r>
      <w:r>
        <w:t>use</w:t>
      </w:r>
    </w:p>
    <w:p w14:paraId="28F4B3CB" w14:textId="77777777" w:rsidR="006C34D9" w:rsidRDefault="00CB5041">
      <w:pPr>
        <w:pStyle w:val="BodyText"/>
        <w:spacing w:before="34"/>
        <w:ind w:right="658"/>
        <w:jc w:val="both"/>
      </w:pPr>
      <w:r>
        <w:t>The safety and efficacy of intravenous Actemra in children below 18 years of age with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proofErr w:type="spellStart"/>
      <w:r>
        <w:t>pJIA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sJIA</w:t>
      </w:r>
      <w:proofErr w:type="spellEnd"/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established.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participated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pivotal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t>pJIA</w:t>
      </w:r>
      <w:proofErr w:type="spellEnd"/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Actemra</w:t>
      </w:r>
      <w:r>
        <w:rPr>
          <w:spacing w:val="-2"/>
        </w:rPr>
        <w:t xml:space="preserve"> </w:t>
      </w:r>
      <w:r>
        <w:t>IV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children under 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 have not been studied.</w:t>
      </w:r>
    </w:p>
    <w:p w14:paraId="4EA22852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DF1A6C2" w14:textId="77777777" w:rsidR="006C34D9" w:rsidRDefault="00CB5041">
      <w:pPr>
        <w:pStyle w:val="BodyText"/>
        <w:ind w:right="657"/>
        <w:jc w:val="both"/>
      </w:pPr>
      <w:r>
        <w:t xml:space="preserve">Available data only support use of intravenous Actemra in children with </w:t>
      </w:r>
      <w:proofErr w:type="spellStart"/>
      <w:r>
        <w:t>pJIA</w:t>
      </w:r>
      <w:proofErr w:type="spellEnd"/>
      <w:r>
        <w:t xml:space="preserve"> who have had</w:t>
      </w:r>
      <w:r>
        <w:rPr>
          <w:spacing w:val="1"/>
        </w:rPr>
        <w:t xml:space="preserve"> </w:t>
      </w:r>
      <w:r>
        <w:t>an inadequate response to or intolerance to MTX. Long-term safety data for intravenous</w:t>
      </w:r>
      <w:r>
        <w:rPr>
          <w:spacing w:val="1"/>
        </w:rPr>
        <w:t xml:space="preserve"> </w:t>
      </w:r>
      <w:r>
        <w:rPr>
          <w:spacing w:val="-1"/>
        </w:rPr>
        <w:t>Actemra</w:t>
      </w:r>
      <w:r>
        <w:rPr>
          <w:spacing w:val="-15"/>
        </w:rPr>
        <w:t xml:space="preserve"> </w:t>
      </w:r>
      <w:r>
        <w:rPr>
          <w:spacing w:val="-1"/>
        </w:rPr>
        <w:t>use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children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proofErr w:type="spellStart"/>
      <w:r>
        <w:t>pJIA</w:t>
      </w:r>
      <w:proofErr w:type="spellEnd"/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currently</w:t>
      </w:r>
      <w:r>
        <w:rPr>
          <w:spacing w:val="-16"/>
        </w:rPr>
        <w:t xml:space="preserve"> </w:t>
      </w:r>
      <w:r>
        <w:t>limited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years,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present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comparison</w:t>
      </w:r>
      <w:r>
        <w:rPr>
          <w:spacing w:val="-57"/>
        </w:rPr>
        <w:t xml:space="preserve"> </w:t>
      </w:r>
      <w:r>
        <w:t>with the safety profile of other biological DMARDs approved for use in this indication has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made.</w:t>
      </w:r>
    </w:p>
    <w:p w14:paraId="7A973990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6884865" w14:textId="77777777" w:rsidR="006C34D9" w:rsidRDefault="00CB5041">
      <w:pPr>
        <w:pStyle w:val="BodyText"/>
        <w:ind w:right="660"/>
        <w:jc w:val="both"/>
      </w:pPr>
      <w:r>
        <w:t xml:space="preserve">Treatment with a murine analogue did not exert toxicity in juvenile mice. </w:t>
      </w:r>
      <w:proofErr w:type="gramStart"/>
      <w:r>
        <w:t>In particular, there</w:t>
      </w:r>
      <w:proofErr w:type="gramEnd"/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 impairment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skeletal growth,</w:t>
      </w:r>
      <w:r>
        <w:rPr>
          <w:spacing w:val="-1"/>
        </w:rPr>
        <w:t xml:space="preserve"> </w:t>
      </w:r>
      <w:r>
        <w:t>immune function and</w:t>
      </w:r>
      <w:r>
        <w:rPr>
          <w:spacing w:val="-3"/>
        </w:rPr>
        <w:t xml:space="preserve"> </w:t>
      </w:r>
      <w:r>
        <w:t>sexual maturation.</w:t>
      </w:r>
    </w:p>
    <w:p w14:paraId="054E0092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C788528" w14:textId="77777777" w:rsidR="006C34D9" w:rsidRDefault="00CB5041">
      <w:pPr>
        <w:pStyle w:val="BodyText"/>
        <w:ind w:left="659" w:right="657"/>
        <w:jc w:val="both"/>
      </w:pP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efficacy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subcutaneous</w:t>
      </w:r>
      <w:r>
        <w:rPr>
          <w:spacing w:val="-1"/>
        </w:rPr>
        <w:t xml:space="preserve"> </w:t>
      </w:r>
      <w:r>
        <w:t>Actemra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has</w:t>
      </w:r>
      <w:r>
        <w:rPr>
          <w:spacing w:val="-58"/>
        </w:rPr>
        <w:t xml:space="preserve"> </w:t>
      </w:r>
      <w:r>
        <w:t xml:space="preserve">not been established. No data are available. Data in patients with </w:t>
      </w:r>
      <w:proofErr w:type="spellStart"/>
      <w:r>
        <w:t>sJIA</w:t>
      </w:r>
      <w:proofErr w:type="spellEnd"/>
      <w:r>
        <w:t xml:space="preserve"> aged 1 year is limited</w:t>
      </w:r>
      <w:r>
        <w:rPr>
          <w:spacing w:val="1"/>
        </w:rPr>
        <w:t xml:space="preserve"> </w:t>
      </w:r>
      <w:r>
        <w:t>(see section 5.2 Pharmacokinetic Properties). Three patients aged 1-2 were included in Study</w:t>
      </w:r>
      <w:r>
        <w:rPr>
          <w:spacing w:val="1"/>
        </w:rPr>
        <w:t xml:space="preserve"> </w:t>
      </w:r>
      <w:r>
        <w:t>WA28118. The safety and efficacy of Actemra SC has not been established for patients with</w:t>
      </w:r>
      <w:r>
        <w:rPr>
          <w:spacing w:val="1"/>
        </w:rPr>
        <w:t xml:space="preserve"> </w:t>
      </w:r>
      <w:r>
        <w:t xml:space="preserve">CRS or children below 2 years of age with </w:t>
      </w:r>
      <w:proofErr w:type="spellStart"/>
      <w:r>
        <w:t>pJIA</w:t>
      </w:r>
      <w:proofErr w:type="spellEnd"/>
      <w:r>
        <w:t>. The pre-filled pen (</w:t>
      </w:r>
      <w:proofErr w:type="spellStart"/>
      <w:r>
        <w:t>ACTPen</w:t>
      </w:r>
      <w:proofErr w:type="spellEnd"/>
      <w:r>
        <w:t>) should not be</w:t>
      </w:r>
      <w:r>
        <w:rPr>
          <w:spacing w:val="1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treat</w:t>
      </w:r>
      <w:r>
        <w:rPr>
          <w:spacing w:val="-6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adolescent</w:t>
      </w:r>
      <w:r>
        <w:rPr>
          <w:spacing w:val="-6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˂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intramuscular</w:t>
      </w:r>
      <w:r>
        <w:rPr>
          <w:spacing w:val="-1"/>
        </w:rPr>
        <w:t xml:space="preserve"> </w:t>
      </w:r>
      <w:r>
        <w:t>injection</w:t>
      </w:r>
      <w:r>
        <w:rPr>
          <w:spacing w:val="-2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a thinner subcutaneous tissue</w:t>
      </w:r>
      <w:r>
        <w:rPr>
          <w:spacing w:val="-1"/>
        </w:rPr>
        <w:t xml:space="preserve"> </w:t>
      </w:r>
      <w:r>
        <w:t>layer.</w:t>
      </w:r>
    </w:p>
    <w:p w14:paraId="56991823" w14:textId="77777777" w:rsidR="006C34D9" w:rsidRDefault="00CB5041">
      <w:pPr>
        <w:pStyle w:val="Heading2"/>
        <w:spacing w:before="202"/>
        <w:ind w:left="659"/>
      </w:pPr>
      <w:bookmarkStart w:id="55" w:name="Effects_on_laboratory_tests"/>
      <w:bookmarkEnd w:id="55"/>
      <w:r>
        <w:t>Effects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tests</w:t>
      </w:r>
    </w:p>
    <w:p w14:paraId="4A3FD0EE" w14:textId="77777777" w:rsidR="006C34D9" w:rsidRDefault="00CB5041">
      <w:pPr>
        <w:pStyle w:val="BodyText"/>
        <w:spacing w:before="34"/>
        <w:ind w:left="659" w:right="657"/>
        <w:jc w:val="both"/>
      </w:pPr>
      <w:r>
        <w:t>Caution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exercised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initiation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Actemra</w:t>
      </w:r>
      <w:r>
        <w:rPr>
          <w:spacing w:val="-4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neutrophil</w:t>
      </w:r>
      <w:r>
        <w:rPr>
          <w:spacing w:val="-6"/>
        </w:rPr>
        <w:t xml:space="preserve"> </w:t>
      </w:r>
      <w:r>
        <w:t>count.</w:t>
      </w:r>
      <w:r>
        <w:rPr>
          <w:spacing w:val="-6"/>
        </w:rPr>
        <w:t xml:space="preserve"> </w:t>
      </w:r>
      <w:r>
        <w:t>Decreases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neutrophil</w:t>
      </w:r>
      <w:r>
        <w:rPr>
          <w:spacing w:val="-6"/>
        </w:rPr>
        <w:t xml:space="preserve"> </w:t>
      </w:r>
      <w:r>
        <w:t>counts</w:t>
      </w:r>
      <w:r>
        <w:rPr>
          <w:spacing w:val="-5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10</w:t>
      </w:r>
      <w:r>
        <w:rPr>
          <w:vertAlign w:val="superscript"/>
        </w:rPr>
        <w:t>9</w:t>
      </w:r>
      <w:r>
        <w:t>/L</w:t>
      </w:r>
      <w:r>
        <w:rPr>
          <w:spacing w:val="-5"/>
        </w:rPr>
        <w:t xml:space="preserve"> </w:t>
      </w:r>
      <w:r>
        <w:t>occurred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3.4%,</w:t>
      </w:r>
      <w:r>
        <w:rPr>
          <w:spacing w:val="-6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counts &lt; 0.5 x 10</w:t>
      </w:r>
      <w:r>
        <w:rPr>
          <w:vertAlign w:val="superscript"/>
        </w:rPr>
        <w:t>9</w:t>
      </w:r>
      <w:r>
        <w:t>/L occurring in 0.3%, of patients on Actemra 8 mg/kg + DMARD without</w:t>
      </w:r>
      <w:r>
        <w:rPr>
          <w:spacing w:val="1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infection</w:t>
      </w:r>
      <w:r>
        <w:rPr>
          <w:spacing w:val="-2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4.4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Warnings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Precautions</w:t>
      </w:r>
      <w:r>
        <w:rPr>
          <w:spacing w:val="-2"/>
        </w:rPr>
        <w:t xml:space="preserve"> </w:t>
      </w:r>
      <w:r>
        <w:t>and</w:t>
      </w:r>
    </w:p>
    <w:p w14:paraId="0D3F089D" w14:textId="77777777" w:rsidR="006C34D9" w:rsidRDefault="00CB5041">
      <w:pPr>
        <w:pStyle w:val="BodyText"/>
        <w:ind w:left="659" w:right="658"/>
        <w:jc w:val="both"/>
      </w:pPr>
      <w:r>
        <w:t>4.8</w:t>
      </w:r>
      <w:r>
        <w:rPr>
          <w:spacing w:val="-5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(Undesirable</w:t>
      </w:r>
      <w:r>
        <w:rPr>
          <w:spacing w:val="-5"/>
        </w:rPr>
        <w:t xml:space="preserve"> </w:t>
      </w:r>
      <w:r>
        <w:t>Effects)).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absolute</w:t>
      </w:r>
      <w:r>
        <w:rPr>
          <w:spacing w:val="-4"/>
        </w:rPr>
        <w:t xml:space="preserve"> </w:t>
      </w:r>
      <w:r>
        <w:t>neutrophil</w:t>
      </w:r>
      <w:r>
        <w:rPr>
          <w:spacing w:val="-4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0.5</w:t>
      </w:r>
      <w:r>
        <w:rPr>
          <w:spacing w:val="-57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9</w:t>
      </w:r>
      <w:r>
        <w:t>/L</w:t>
      </w:r>
      <w:r>
        <w:rPr>
          <w:spacing w:val="-1"/>
        </w:rPr>
        <w:t xml:space="preserve"> </w:t>
      </w:r>
      <w:r>
        <w:t>treatment is not recommended.</w:t>
      </w:r>
    </w:p>
    <w:p w14:paraId="463A33D2" w14:textId="77777777" w:rsidR="006C34D9" w:rsidRDefault="00CB5041">
      <w:pPr>
        <w:pStyle w:val="Heading1"/>
        <w:numPr>
          <w:ilvl w:val="1"/>
          <w:numId w:val="5"/>
        </w:numPr>
        <w:tabs>
          <w:tab w:val="left" w:pos="1445"/>
          <w:tab w:val="left" w:pos="1446"/>
        </w:tabs>
        <w:spacing w:before="203" w:line="240" w:lineRule="auto"/>
        <w:ind w:right="659"/>
      </w:pPr>
      <w:bookmarkStart w:id="56" w:name="4.5_INTERACTION_WITH_OTHER_MEDICINES_AND"/>
      <w:bookmarkEnd w:id="56"/>
      <w:r>
        <w:t>INTERACTION</w:t>
      </w:r>
      <w:r>
        <w:rPr>
          <w:spacing w:val="20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MEDICINES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FORMS</w:t>
      </w:r>
      <w:r>
        <w:rPr>
          <w:spacing w:val="2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INTERACTION</w:t>
      </w:r>
    </w:p>
    <w:p w14:paraId="41E2CF63" w14:textId="77777777" w:rsidR="006C34D9" w:rsidRDefault="00CB5041">
      <w:pPr>
        <w:pStyle w:val="BodyText"/>
        <w:ind w:left="659" w:right="657"/>
        <w:jc w:val="both"/>
      </w:pPr>
      <w:r>
        <w:t>Population pharmacokinetic analyses did not detect any effect of MTX, non-steroidal anti-</w:t>
      </w:r>
      <w:r>
        <w:rPr>
          <w:spacing w:val="1"/>
        </w:rPr>
        <w:t xml:space="preserve"> </w:t>
      </w:r>
      <w:r>
        <w:t>inflammatory drugs or corticosteroids on Actemra clearance in RA patients. In GCA patients,</w:t>
      </w:r>
      <w:r>
        <w:rPr>
          <w:spacing w:val="-5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effect of</w:t>
      </w:r>
      <w:r>
        <w:rPr>
          <w:spacing w:val="-1"/>
        </w:rPr>
        <w:t xml:space="preserve"> </w:t>
      </w:r>
      <w:r>
        <w:t>cumulative corticosteroid dose</w:t>
      </w:r>
      <w:r>
        <w:rPr>
          <w:spacing w:val="-1"/>
        </w:rPr>
        <w:t xml:space="preserve"> </w:t>
      </w:r>
      <w:r>
        <w:t>on Actemra exposure</w:t>
      </w:r>
      <w:r>
        <w:rPr>
          <w:spacing w:val="-1"/>
        </w:rPr>
        <w:t xml:space="preserve"> </w:t>
      </w:r>
      <w:r>
        <w:t>was observed.</w:t>
      </w:r>
    </w:p>
    <w:p w14:paraId="353AE979" w14:textId="77777777" w:rsidR="006C34D9" w:rsidRDefault="006C34D9">
      <w:pPr>
        <w:jc w:val="both"/>
        <w:sectPr w:rsidR="006C34D9">
          <w:pgSz w:w="11910" w:h="16840"/>
          <w:pgMar w:top="1360" w:right="780" w:bottom="780" w:left="780" w:header="0" w:footer="592" w:gutter="0"/>
          <w:cols w:space="720"/>
        </w:sectPr>
      </w:pPr>
    </w:p>
    <w:p w14:paraId="301B9F00" w14:textId="77777777" w:rsidR="006C34D9" w:rsidRDefault="00CB5041">
      <w:pPr>
        <w:pStyle w:val="BodyText"/>
        <w:spacing w:before="79"/>
        <w:ind w:right="659"/>
        <w:jc w:val="both"/>
      </w:pPr>
      <w:r>
        <w:lastRenderedPageBreak/>
        <w:t>Concomitant</w:t>
      </w:r>
      <w:r>
        <w:rPr>
          <w:spacing w:val="-3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Actemra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MTX</w:t>
      </w:r>
      <w:r>
        <w:rPr>
          <w:spacing w:val="-4"/>
        </w:rPr>
        <w:t xml:space="preserve"> </w:t>
      </w:r>
      <w:r>
        <w:t>once</w:t>
      </w:r>
      <w:r>
        <w:rPr>
          <w:spacing w:val="-58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 clinically</w:t>
      </w:r>
      <w:r>
        <w:rPr>
          <w:spacing w:val="-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effect on</w:t>
      </w:r>
      <w:r>
        <w:rPr>
          <w:spacing w:val="-1"/>
        </w:rPr>
        <w:t xml:space="preserve"> </w:t>
      </w:r>
      <w:r>
        <w:t>MTX</w:t>
      </w:r>
      <w:r>
        <w:rPr>
          <w:spacing w:val="-1"/>
        </w:rPr>
        <w:t xml:space="preserve"> </w:t>
      </w:r>
      <w:r>
        <w:t>exposure.</w:t>
      </w:r>
    </w:p>
    <w:p w14:paraId="2EAF86E3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ED67BAC" w14:textId="77777777" w:rsidR="006C34D9" w:rsidRDefault="00CB5041">
      <w:pPr>
        <w:pStyle w:val="BodyText"/>
        <w:jc w:val="both"/>
      </w:pPr>
      <w:r>
        <w:t>Actemra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studied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biological</w:t>
      </w:r>
      <w:r>
        <w:rPr>
          <w:spacing w:val="-1"/>
        </w:rPr>
        <w:t xml:space="preserve"> </w:t>
      </w:r>
      <w:r>
        <w:t>DMARDs.</w:t>
      </w:r>
    </w:p>
    <w:p w14:paraId="25533AB8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05007865" w14:textId="77777777" w:rsidR="006C34D9" w:rsidRDefault="00CB5041">
      <w:pPr>
        <w:pStyle w:val="BodyText"/>
        <w:ind w:right="657"/>
        <w:jc w:val="both"/>
      </w:pPr>
      <w:r>
        <w:t>The expression of hepatic CYP450 enzymes is suppressed by cytokines that stimulate chronic</w:t>
      </w:r>
      <w:r>
        <w:rPr>
          <w:spacing w:val="-57"/>
        </w:rPr>
        <w:t xml:space="preserve"> </w:t>
      </w:r>
      <w:r>
        <w:t xml:space="preserve">inflammation, such as IL-6. </w:t>
      </w:r>
      <w:proofErr w:type="gramStart"/>
      <w:r>
        <w:t>Thus</w:t>
      </w:r>
      <w:proofErr w:type="gramEnd"/>
      <w:r>
        <w:t xml:space="preserve"> suppression of CYP450 expression may be reversed when</w:t>
      </w:r>
      <w:r>
        <w:rPr>
          <w:spacing w:val="1"/>
        </w:rPr>
        <w:t xml:space="preserve"> </w:t>
      </w:r>
      <w:r>
        <w:t>potent</w:t>
      </w:r>
      <w:r>
        <w:rPr>
          <w:spacing w:val="-1"/>
        </w:rPr>
        <w:t xml:space="preserve"> </w:t>
      </w:r>
      <w:r>
        <w:t>cytokine inhibitory therapy,</w:t>
      </w:r>
      <w:r>
        <w:rPr>
          <w:spacing w:val="-1"/>
        </w:rPr>
        <w:t xml:space="preserve"> </w:t>
      </w:r>
      <w:r>
        <w:t>such as Actemra,</w:t>
      </w:r>
      <w:r>
        <w:rPr>
          <w:spacing w:val="-1"/>
        </w:rPr>
        <w:t xml:space="preserve"> </w:t>
      </w:r>
      <w:r>
        <w:t>is introduced.</w:t>
      </w:r>
    </w:p>
    <w:p w14:paraId="7E175C1B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1357875" w14:textId="77777777" w:rsidR="006C34D9" w:rsidRDefault="00CB5041">
      <w:pPr>
        <w:pStyle w:val="BodyText"/>
        <w:ind w:right="657"/>
        <w:jc w:val="both"/>
      </w:pPr>
      <w:r>
        <w:t>In vitro studies with cultured human hepatocytes demonstrated that IL-6 caused a reduction in</w:t>
      </w:r>
      <w:r>
        <w:rPr>
          <w:spacing w:val="-58"/>
        </w:rPr>
        <w:t xml:space="preserve"> </w:t>
      </w:r>
      <w:r>
        <w:t>CYP3A4 and to a lesser extent CYP1A2, CYP2C9 and CYP2C19 enzyme messenger RNA</w:t>
      </w:r>
      <w:r>
        <w:rPr>
          <w:spacing w:val="1"/>
        </w:rPr>
        <w:t xml:space="preserve"> </w:t>
      </w:r>
      <w:r>
        <w:t xml:space="preserve">(mRNA) expression. Actemra was shown to </w:t>
      </w:r>
      <w:proofErr w:type="spellStart"/>
      <w:r>
        <w:t>normalise</w:t>
      </w:r>
      <w:proofErr w:type="spellEnd"/>
      <w:r>
        <w:t xml:space="preserve"> expression of the mRNA for these</w:t>
      </w:r>
      <w:r>
        <w:rPr>
          <w:spacing w:val="1"/>
        </w:rPr>
        <w:t xml:space="preserve"> </w:t>
      </w:r>
      <w:r>
        <w:t>enzymes.</w:t>
      </w:r>
    </w:p>
    <w:p w14:paraId="5B5B1C0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51505971" w14:textId="77777777" w:rsidR="006C34D9" w:rsidRDefault="00CB5041">
      <w:pPr>
        <w:pStyle w:val="BodyText"/>
        <w:spacing w:before="1"/>
        <w:ind w:right="659"/>
        <w:jc w:val="both"/>
      </w:pP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clinically</w:t>
      </w:r>
      <w:r>
        <w:rPr>
          <w:spacing w:val="-12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CYP450</w:t>
      </w:r>
      <w:r>
        <w:rPr>
          <w:spacing w:val="-12"/>
        </w:rPr>
        <w:t xml:space="preserve"> </w:t>
      </w:r>
      <w:r>
        <w:t>substrates</w:t>
      </w:r>
      <w:r>
        <w:rPr>
          <w:spacing w:val="-1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narrow</w:t>
      </w:r>
      <w:r>
        <w:rPr>
          <w:spacing w:val="-13"/>
        </w:rPr>
        <w:t xml:space="preserve"> </w:t>
      </w:r>
      <w:r>
        <w:t>therapeutic</w:t>
      </w:r>
      <w:r>
        <w:rPr>
          <w:spacing w:val="-13"/>
        </w:rPr>
        <w:t xml:space="preserve"> </w:t>
      </w:r>
      <w:r>
        <w:t>index,</w:t>
      </w:r>
      <w:r>
        <w:rPr>
          <w:spacing w:val="-11"/>
        </w:rPr>
        <w:t xml:space="preserve"> </w:t>
      </w:r>
      <w:r>
        <w:t>and/or</w:t>
      </w:r>
      <w:r>
        <w:rPr>
          <w:spacing w:val="-13"/>
        </w:rPr>
        <w:t xml:space="preserve"> </w:t>
      </w:r>
      <w:r>
        <w:t>where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is individually</w:t>
      </w:r>
      <w:r>
        <w:rPr>
          <w:spacing w:val="-2"/>
        </w:rPr>
        <w:t xml:space="preserve"> </w:t>
      </w:r>
      <w:r>
        <w:t>adjusted.</w:t>
      </w:r>
    </w:p>
    <w:p w14:paraId="128436C5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7535DA90" w14:textId="77777777" w:rsidR="006C34D9" w:rsidRDefault="00CB5041">
      <w:pPr>
        <w:pStyle w:val="BodyText"/>
        <w:spacing w:before="1"/>
        <w:ind w:right="657"/>
        <w:jc w:val="both"/>
      </w:pPr>
      <w:r>
        <w:t>In a study in RA patients, levels of simvastatin and its acid metabolite (CYP3A4 substrates)</w:t>
      </w:r>
      <w:r>
        <w:rPr>
          <w:spacing w:val="1"/>
        </w:rPr>
        <w:t xml:space="preserve"> </w:t>
      </w:r>
      <w:r>
        <w:t>were decreased by 57% and 39%, respectively, one week following a single dose of Actemra,</w:t>
      </w:r>
      <w:r>
        <w:rPr>
          <w:spacing w:val="-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slightly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observed</w:t>
      </w:r>
      <w:r>
        <w:rPr>
          <w:spacing w:val="-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studies)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healthy</w:t>
      </w:r>
      <w:r>
        <w:rPr>
          <w:spacing w:val="-1"/>
        </w:rPr>
        <w:t xml:space="preserve"> </w:t>
      </w:r>
      <w:r>
        <w:t>subjects.</w:t>
      </w:r>
    </w:p>
    <w:p w14:paraId="2E0EAC97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03FFF473" w14:textId="77777777" w:rsidR="006C34D9" w:rsidRDefault="00CB5041">
      <w:pPr>
        <w:pStyle w:val="BodyText"/>
        <w:ind w:right="657"/>
        <w:jc w:val="both"/>
      </w:pPr>
      <w:r>
        <w:t>When</w:t>
      </w:r>
      <w:r>
        <w:rPr>
          <w:spacing w:val="-6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stopping</w:t>
      </w:r>
      <w:r>
        <w:rPr>
          <w:spacing w:val="-6"/>
        </w:rPr>
        <w:t xml:space="preserve"> </w:t>
      </w:r>
      <w:r>
        <w:t>therapy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Actemra,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medicinal</w:t>
      </w:r>
      <w:r>
        <w:rPr>
          <w:spacing w:val="-5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individually</w:t>
      </w:r>
      <w:r>
        <w:rPr>
          <w:spacing w:val="1"/>
        </w:rPr>
        <w:t xml:space="preserve"> </w:t>
      </w:r>
      <w:r>
        <w:t>adjusted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proofErr w:type="spellStart"/>
      <w:r>
        <w:t>metabolised</w:t>
      </w:r>
      <w:proofErr w:type="spellEnd"/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CYP450</w:t>
      </w:r>
      <w:r>
        <w:rPr>
          <w:spacing w:val="1"/>
        </w:rPr>
        <w:t xml:space="preserve"> </w:t>
      </w:r>
      <w:r>
        <w:t>3A4,</w:t>
      </w:r>
      <w:r>
        <w:rPr>
          <w:spacing w:val="1"/>
        </w:rPr>
        <w:t xml:space="preserve"> </w:t>
      </w:r>
      <w:r>
        <w:t>1A2,</w:t>
      </w:r>
      <w:r>
        <w:rPr>
          <w:spacing w:val="1"/>
        </w:rPr>
        <w:t xml:space="preserve"> </w:t>
      </w:r>
      <w:r>
        <w:t>2C9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2C19</w:t>
      </w:r>
      <w:r>
        <w:rPr>
          <w:spacing w:val="1"/>
        </w:rPr>
        <w:t xml:space="preserve"> </w:t>
      </w:r>
      <w:r>
        <w:t>(e.g.</w:t>
      </w:r>
      <w:r>
        <w:rPr>
          <w:spacing w:val="1"/>
        </w:rPr>
        <w:t xml:space="preserve"> </w:t>
      </w:r>
      <w:r>
        <w:t>atorvastatin,</w:t>
      </w:r>
      <w:r>
        <w:rPr>
          <w:spacing w:val="1"/>
        </w:rPr>
        <w:t xml:space="preserve"> </w:t>
      </w:r>
      <w:r>
        <w:t>calcium</w:t>
      </w:r>
      <w:r>
        <w:rPr>
          <w:spacing w:val="1"/>
        </w:rPr>
        <w:t xml:space="preserve"> </w:t>
      </w:r>
      <w:r>
        <w:t>channel</w:t>
      </w:r>
      <w:r>
        <w:rPr>
          <w:spacing w:val="1"/>
        </w:rPr>
        <w:t xml:space="preserve"> </w:t>
      </w:r>
      <w:r>
        <w:t>blockers,</w:t>
      </w:r>
      <w:r>
        <w:rPr>
          <w:spacing w:val="1"/>
        </w:rPr>
        <w:t xml:space="preserve"> </w:t>
      </w:r>
      <w:r>
        <w:t>theophylline,</w:t>
      </w:r>
      <w:r>
        <w:rPr>
          <w:spacing w:val="1"/>
        </w:rPr>
        <w:t xml:space="preserve"> </w:t>
      </w:r>
      <w:r>
        <w:t>warfarin,</w:t>
      </w:r>
      <w:r>
        <w:rPr>
          <w:spacing w:val="1"/>
        </w:rPr>
        <w:t xml:space="preserve"> </w:t>
      </w:r>
      <w:r>
        <w:t>phenytoin,</w:t>
      </w:r>
      <w:r>
        <w:rPr>
          <w:spacing w:val="1"/>
        </w:rPr>
        <w:t xml:space="preserve"> </w:t>
      </w:r>
      <w:r>
        <w:t>cyclosporin</w:t>
      </w:r>
      <w:r>
        <w:rPr>
          <w:spacing w:val="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rPr>
          <w:spacing w:val="-1"/>
        </w:rPr>
        <w:t>benzodiazepines)</w:t>
      </w:r>
      <w:r>
        <w:rPr>
          <w:spacing w:val="-14"/>
        </w:rPr>
        <w:t xml:space="preserve"> </w:t>
      </w:r>
      <w:r>
        <w:rPr>
          <w:spacing w:val="-1"/>
        </w:rPr>
        <w:t>should</w:t>
      </w:r>
      <w:r>
        <w:rPr>
          <w:spacing w:val="-16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monitored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doses</w:t>
      </w:r>
      <w:r>
        <w:rPr>
          <w:spacing w:val="-13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need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adjusted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maintain</w:t>
      </w:r>
      <w:r>
        <w:rPr>
          <w:spacing w:val="-14"/>
        </w:rPr>
        <w:t xml:space="preserve"> </w:t>
      </w:r>
      <w:r>
        <w:t>therapeutic</w:t>
      </w:r>
      <w:r>
        <w:rPr>
          <w:spacing w:val="-58"/>
        </w:rPr>
        <w:t xml:space="preserve"> </w:t>
      </w:r>
      <w:r>
        <w:t>effect. The degree of dose up-titration upon initiation of therapy or dose down-titration when</w:t>
      </w:r>
      <w:r>
        <w:rPr>
          <w:spacing w:val="1"/>
        </w:rPr>
        <w:t xml:space="preserve"> </w:t>
      </w:r>
      <w:r>
        <w:t>stopping therapy with Actemra should be based on the therapeutic response and/or adverse</w:t>
      </w:r>
      <w:r>
        <w:rPr>
          <w:spacing w:val="1"/>
        </w:rPr>
        <w:t xml:space="preserve"> </w:t>
      </w:r>
      <w:r>
        <w:t>effects of the patient to the individual medicine. Given a relatively long elimination half-life</w:t>
      </w:r>
      <w:r>
        <w:rPr>
          <w:spacing w:val="1"/>
        </w:rPr>
        <w:t xml:space="preserve"> </w:t>
      </w:r>
      <w:r>
        <w:t>(t1/2), the effect of Actemra on CYP450 enzyme activity may persist for several weeks after</w:t>
      </w:r>
      <w:r>
        <w:rPr>
          <w:spacing w:val="1"/>
        </w:rPr>
        <w:t xml:space="preserve"> </w:t>
      </w:r>
      <w:bookmarkStart w:id="57" w:name="4.6_FERTILITY,_PREGNANCY_AND_LACTATION"/>
      <w:bookmarkEnd w:id="57"/>
      <w:r>
        <w:t>stopping</w:t>
      </w:r>
      <w:r>
        <w:rPr>
          <w:spacing w:val="-1"/>
        </w:rPr>
        <w:t xml:space="preserve"> </w:t>
      </w:r>
      <w:r>
        <w:t>therapy.</w:t>
      </w:r>
    </w:p>
    <w:p w14:paraId="0D51A038" w14:textId="77777777" w:rsidR="006C34D9" w:rsidRDefault="00CB5041">
      <w:pPr>
        <w:pStyle w:val="Heading2"/>
        <w:numPr>
          <w:ilvl w:val="1"/>
          <w:numId w:val="5"/>
        </w:numPr>
        <w:tabs>
          <w:tab w:val="left" w:pos="1446"/>
        </w:tabs>
        <w:spacing w:before="202"/>
        <w:ind w:left="660" w:right="3831" w:firstLine="0"/>
      </w:pPr>
      <w:bookmarkStart w:id="58" w:name="Effects_on_Fertility"/>
      <w:bookmarkEnd w:id="58"/>
      <w:r>
        <w:t>FERTILITY, PREGNANCY AND LACTATION</w:t>
      </w:r>
      <w:r>
        <w:rPr>
          <w:spacing w:val="-57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Fertility</w:t>
      </w:r>
    </w:p>
    <w:p w14:paraId="0F7C3FEA" w14:textId="77777777" w:rsidR="006C34D9" w:rsidRDefault="00CB5041">
      <w:pPr>
        <w:pStyle w:val="BodyText"/>
        <w:spacing w:before="33"/>
        <w:ind w:right="658"/>
        <w:jc w:val="both"/>
      </w:pPr>
      <w:r>
        <w:t>Preclinical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suggest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fertility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murine</w:t>
      </w:r>
      <w:r>
        <w:rPr>
          <w:spacing w:val="-4"/>
        </w:rPr>
        <w:t xml:space="preserve"> </w:t>
      </w:r>
      <w:r>
        <w:t>analogue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Actemra. Effects on endocrine active organs or on organs of the reproductive system were not</w:t>
      </w:r>
      <w:r>
        <w:rPr>
          <w:spacing w:val="-58"/>
        </w:rPr>
        <w:t xml:space="preserve"> </w:t>
      </w:r>
      <w:r>
        <w:t>seen in a chronic cynomolgus monkey toxicity study, nor was reproductive performance</w:t>
      </w:r>
      <w:r>
        <w:rPr>
          <w:spacing w:val="1"/>
        </w:rPr>
        <w:t xml:space="preserve"> </w:t>
      </w:r>
      <w:r>
        <w:t>affected</w:t>
      </w:r>
      <w:r>
        <w:rPr>
          <w:spacing w:val="-1"/>
        </w:rPr>
        <w:t xml:space="preserve"> </w:t>
      </w:r>
      <w:r>
        <w:t>in IL-6 deficient male and female mice.</w:t>
      </w:r>
    </w:p>
    <w:p w14:paraId="2CACB6FF" w14:textId="77777777" w:rsidR="006C34D9" w:rsidRDefault="00CB5041">
      <w:pPr>
        <w:pStyle w:val="Heading2"/>
        <w:spacing w:before="202"/>
      </w:pPr>
      <w:bookmarkStart w:id="59" w:name="Use_in_Pregnancy_-_Category_C"/>
      <w:bookmarkEnd w:id="59"/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Pregnancy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C</w:t>
      </w:r>
    </w:p>
    <w:p w14:paraId="78F516F2" w14:textId="77777777" w:rsidR="006C34D9" w:rsidRDefault="00CB5041">
      <w:pPr>
        <w:pStyle w:val="BodyText"/>
        <w:spacing w:before="33"/>
        <w:ind w:right="657"/>
        <w:jc w:val="both"/>
      </w:pPr>
      <w:r>
        <w:t>Actemra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pregnancy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necessary.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adequate</w:t>
      </w:r>
      <w:r>
        <w:rPr>
          <w:spacing w:val="-58"/>
        </w:rPr>
        <w:t xml:space="preserve"> </w:t>
      </w:r>
      <w:r>
        <w:t>data from the use of Actemra in pregnant women. The potential risk for humans is unknown.</w:t>
      </w:r>
      <w:r>
        <w:rPr>
          <w:spacing w:val="1"/>
        </w:rPr>
        <w:t xml:space="preserve"> </w:t>
      </w:r>
      <w:r>
        <w:t>Women of childbearing potential should be advised to use adequate contraception during and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months after</w:t>
      </w:r>
      <w:r>
        <w:rPr>
          <w:spacing w:val="-1"/>
        </w:rPr>
        <w:t xml:space="preserve"> </w:t>
      </w:r>
      <w:r>
        <w:t>therapy with Actemra.</w:t>
      </w:r>
    </w:p>
    <w:p w14:paraId="6D7E3899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E4E3AFF" w14:textId="77777777" w:rsidR="006C34D9" w:rsidRDefault="00CB5041">
      <w:pPr>
        <w:pStyle w:val="BodyText"/>
        <w:spacing w:before="1"/>
        <w:ind w:right="657"/>
        <w:jc w:val="both"/>
      </w:pPr>
      <w:r>
        <w:t>In an embryo-</w:t>
      </w:r>
      <w:proofErr w:type="spellStart"/>
      <w:r>
        <w:t>foetal</w:t>
      </w:r>
      <w:proofErr w:type="spellEnd"/>
      <w:r>
        <w:t xml:space="preserve"> toxicity study conducted in cynomolgus monkeys, a slight increase of</w:t>
      </w:r>
      <w:r>
        <w:rPr>
          <w:spacing w:val="1"/>
        </w:rPr>
        <w:t xml:space="preserve"> </w:t>
      </w:r>
      <w:r>
        <w:t>abortion/embryo-</w:t>
      </w:r>
      <w:proofErr w:type="spellStart"/>
      <w:r>
        <w:t>foetal</w:t>
      </w:r>
      <w:proofErr w:type="spellEnd"/>
      <w:r>
        <w:t xml:space="preserve"> death was observed with high systemic cumulative exposure in the 10</w:t>
      </w:r>
      <w:r>
        <w:rPr>
          <w:spacing w:val="-57"/>
        </w:rPr>
        <w:t xml:space="preserve"> </w:t>
      </w:r>
      <w:r>
        <w:t>mg/kg/day mid-dose group (&gt; 35 times human exposure) and in the 50 mg/kg/day high-dose</w:t>
      </w:r>
      <w:r>
        <w:rPr>
          <w:spacing w:val="1"/>
        </w:rPr>
        <w:t xml:space="preserve"> </w:t>
      </w:r>
      <w:r>
        <w:t>group (&gt; 100 times human exposure) compared to vehicle control and low-dose groups. It</w:t>
      </w:r>
      <w:r>
        <w:rPr>
          <w:spacing w:val="1"/>
        </w:rPr>
        <w:t xml:space="preserve"> </w:t>
      </w:r>
      <w:r>
        <w:t>cannot be excluded that this finding is related to Actemra treatment. Placental transfer of both</w:t>
      </w:r>
      <w:r>
        <w:rPr>
          <w:spacing w:val="-57"/>
        </w:rPr>
        <w:t xml:space="preserve"> </w:t>
      </w:r>
      <w:bookmarkStart w:id="60" w:name="Use_in_Lactation"/>
      <w:bookmarkEnd w:id="60"/>
      <w:r>
        <w:t>Actemra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anti-Actemra antibodies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t>foetus</w:t>
      </w:r>
      <w:proofErr w:type="spellEnd"/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cynomolgus</w:t>
      </w:r>
      <w:r>
        <w:rPr>
          <w:spacing w:val="-1"/>
        </w:rPr>
        <w:t xml:space="preserve"> </w:t>
      </w:r>
      <w:r>
        <w:t>monkeys.</w:t>
      </w:r>
    </w:p>
    <w:p w14:paraId="3A3A1464" w14:textId="77777777" w:rsidR="006C34D9" w:rsidRDefault="00CB5041">
      <w:pPr>
        <w:pStyle w:val="Heading2"/>
        <w:spacing w:before="201"/>
      </w:pP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Lactation</w:t>
      </w:r>
    </w:p>
    <w:p w14:paraId="612D0C4E" w14:textId="77777777" w:rsidR="006C34D9" w:rsidRDefault="006C34D9">
      <w:p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183DED39" w14:textId="77777777" w:rsidR="006C34D9" w:rsidRDefault="00CB5041">
      <w:pPr>
        <w:pStyle w:val="BodyText"/>
        <w:spacing w:before="79"/>
        <w:ind w:right="657"/>
        <w:jc w:val="both"/>
      </w:pPr>
      <w:r>
        <w:lastRenderedPageBreak/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unknown</w:t>
      </w:r>
      <w:r>
        <w:rPr>
          <w:spacing w:val="-3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Actemra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excreted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breast</w:t>
      </w:r>
      <w:r>
        <w:rPr>
          <w:spacing w:val="-2"/>
        </w:rPr>
        <w:t xml:space="preserve"> </w:t>
      </w:r>
      <w:r>
        <w:t>milk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lactating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established.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endogenous</w:t>
      </w:r>
      <w:r>
        <w:rPr>
          <w:spacing w:val="1"/>
        </w:rPr>
        <w:t xml:space="preserve"> </w:t>
      </w:r>
      <w:r>
        <w:t>immunoglobulins of the IgG isotype are excreted into human milk. A decision on whether to</w:t>
      </w:r>
      <w:r>
        <w:rPr>
          <w:spacing w:val="1"/>
        </w:rPr>
        <w:t xml:space="preserve"> </w:t>
      </w:r>
      <w:r>
        <w:t>continue/discontinue breast-feeding or to continue/discontinue therapy with Actemra 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made</w:t>
      </w:r>
      <w:r>
        <w:rPr>
          <w:spacing w:val="-15"/>
        </w:rPr>
        <w:t xml:space="preserve"> </w:t>
      </w:r>
      <w:proofErr w:type="gramStart"/>
      <w:r>
        <w:rPr>
          <w:spacing w:val="-1"/>
        </w:rPr>
        <w:t>taking</w:t>
      </w:r>
      <w:r>
        <w:rPr>
          <w:spacing w:val="-15"/>
        </w:rPr>
        <w:t xml:space="preserve"> </w:t>
      </w:r>
      <w:r>
        <w:rPr>
          <w:spacing w:val="-1"/>
        </w:rPr>
        <w:t>into</w:t>
      </w:r>
      <w:r>
        <w:rPr>
          <w:spacing w:val="-15"/>
        </w:rPr>
        <w:t xml:space="preserve"> </w:t>
      </w:r>
      <w:r>
        <w:t>account</w:t>
      </w:r>
      <w:proofErr w:type="gramEnd"/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benefit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breast-feeding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benefit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Actemra</w:t>
      </w:r>
      <w:r>
        <w:rPr>
          <w:spacing w:val="-57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to the woman.</w:t>
      </w:r>
    </w:p>
    <w:p w14:paraId="1AC251DE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2BCB60EE" w14:textId="77777777" w:rsidR="006C34D9" w:rsidRDefault="00CB5041">
      <w:pPr>
        <w:pStyle w:val="BodyText"/>
        <w:jc w:val="both"/>
      </w:pPr>
      <w:r>
        <w:t>Transfer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murine</w:t>
      </w:r>
      <w:r>
        <w:rPr>
          <w:spacing w:val="-1"/>
        </w:rPr>
        <w:t xml:space="preserve"> </w:t>
      </w:r>
      <w:r>
        <w:t>analogue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milk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lactating</w:t>
      </w:r>
      <w:r>
        <w:rPr>
          <w:spacing w:val="-1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observed.</w:t>
      </w:r>
    </w:p>
    <w:p w14:paraId="3452558A" w14:textId="77777777" w:rsidR="006C34D9" w:rsidRDefault="00CB5041">
      <w:pPr>
        <w:pStyle w:val="Heading1"/>
        <w:numPr>
          <w:ilvl w:val="1"/>
          <w:numId w:val="5"/>
        </w:numPr>
        <w:tabs>
          <w:tab w:val="left" w:pos="1445"/>
          <w:tab w:val="left" w:pos="1446"/>
        </w:tabs>
        <w:spacing w:before="203" w:line="274" w:lineRule="exact"/>
      </w:pPr>
      <w:bookmarkStart w:id="61" w:name="4.7_EFFECTS_ON_ABILITY_TO_DRIVE_AND_USE_"/>
      <w:bookmarkEnd w:id="61"/>
      <w:r>
        <w:t>EFFECTS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MACHINES</w:t>
      </w:r>
    </w:p>
    <w:p w14:paraId="55A8691F" w14:textId="77777777" w:rsidR="006C34D9" w:rsidRDefault="00CB5041">
      <w:pPr>
        <w:pStyle w:val="BodyText"/>
        <w:ind w:right="659"/>
        <w:jc w:val="both"/>
      </w:pPr>
      <w:r>
        <w:t>No studies on the effects on the ability to drive and use machines have been performed and</w:t>
      </w:r>
      <w:r>
        <w:rPr>
          <w:spacing w:val="1"/>
        </w:rPr>
        <w:t xml:space="preserve"> </w:t>
      </w:r>
      <w:r>
        <w:t>there is no evidence from the available data that Actemra treatment affects the ability to drive</w:t>
      </w:r>
      <w:r>
        <w:rPr>
          <w:spacing w:val="-57"/>
        </w:rPr>
        <w:t xml:space="preserve"> </w:t>
      </w:r>
      <w:r>
        <w:t>and use machines. However, given that dizziness has been reported, patients who experience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reaction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advised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drive or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machines</w:t>
      </w:r>
      <w:r>
        <w:rPr>
          <w:spacing w:val="-1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it has</w:t>
      </w:r>
      <w:r>
        <w:rPr>
          <w:spacing w:val="-2"/>
        </w:rPr>
        <w:t xml:space="preserve"> </w:t>
      </w:r>
      <w:r>
        <w:t>resolved.</w:t>
      </w:r>
    </w:p>
    <w:p w14:paraId="38D5A9DF" w14:textId="77777777" w:rsidR="006C34D9" w:rsidRDefault="006C34D9">
      <w:pPr>
        <w:pStyle w:val="BodyText"/>
        <w:spacing w:before="11"/>
        <w:ind w:left="0"/>
        <w:rPr>
          <w:sz w:val="20"/>
        </w:rPr>
      </w:pPr>
    </w:p>
    <w:p w14:paraId="77E2A128" w14:textId="77777777" w:rsidR="006C34D9" w:rsidRDefault="00CB5041">
      <w:pPr>
        <w:pStyle w:val="Heading2"/>
        <w:numPr>
          <w:ilvl w:val="1"/>
          <w:numId w:val="5"/>
        </w:numPr>
        <w:tabs>
          <w:tab w:val="left" w:pos="1379"/>
          <w:tab w:val="left" w:pos="1380"/>
        </w:tabs>
        <w:ind w:left="660" w:right="3585" w:firstLine="0"/>
      </w:pPr>
      <w:bookmarkStart w:id="62" w:name="4.8_ADVERSE_EFFECTS_(UNDESIRABLE_EFFECTS"/>
      <w:bookmarkEnd w:id="62"/>
      <w:r>
        <w:t>ADVERSE EFFECTS (UNDESIRABLE EFFECTS)</w:t>
      </w:r>
      <w:r>
        <w:rPr>
          <w:spacing w:val="-57"/>
        </w:rPr>
        <w:t xml:space="preserve"> </w:t>
      </w:r>
      <w:r>
        <w:t>Rheumatoid</w:t>
      </w:r>
      <w:r>
        <w:rPr>
          <w:spacing w:val="-2"/>
        </w:rPr>
        <w:t xml:space="preserve"> </w:t>
      </w:r>
      <w:r>
        <w:t>Arthritis</w:t>
      </w:r>
    </w:p>
    <w:p w14:paraId="4C4D70DE" w14:textId="77777777" w:rsidR="006C34D9" w:rsidRDefault="00CB5041">
      <w:pPr>
        <w:pStyle w:val="BodyText"/>
        <w:spacing w:before="34"/>
      </w:pPr>
      <w:bookmarkStart w:id="63" w:name="Patients_Treated_with_Intravenous_Actemr"/>
      <w:bookmarkEnd w:id="63"/>
      <w:r>
        <w:rPr>
          <w:u w:val="single"/>
        </w:rPr>
        <w:t>Patients</w:t>
      </w:r>
      <w:r>
        <w:rPr>
          <w:spacing w:val="-3"/>
          <w:u w:val="single"/>
        </w:rPr>
        <w:t xml:space="preserve"> </w:t>
      </w:r>
      <w:r>
        <w:rPr>
          <w:u w:val="single"/>
        </w:rPr>
        <w:t>Treated</w:t>
      </w:r>
      <w:r>
        <w:rPr>
          <w:spacing w:val="-3"/>
          <w:u w:val="single"/>
        </w:rPr>
        <w:t xml:space="preserve"> </w:t>
      </w:r>
      <w:r>
        <w:rPr>
          <w:u w:val="single"/>
        </w:rPr>
        <w:t>with</w:t>
      </w:r>
      <w:r>
        <w:rPr>
          <w:spacing w:val="-5"/>
          <w:u w:val="single"/>
        </w:rPr>
        <w:t xml:space="preserve"> </w:t>
      </w:r>
      <w:r>
        <w:rPr>
          <w:u w:val="single"/>
        </w:rPr>
        <w:t>Intravenous</w:t>
      </w:r>
      <w:r>
        <w:rPr>
          <w:spacing w:val="-3"/>
          <w:u w:val="single"/>
        </w:rPr>
        <w:t xml:space="preserve"> </w:t>
      </w:r>
      <w:r>
        <w:rPr>
          <w:u w:val="single"/>
        </w:rPr>
        <w:t>Actemra</w:t>
      </w:r>
    </w:p>
    <w:p w14:paraId="51EFDFDF" w14:textId="77777777" w:rsidR="006C34D9" w:rsidRDefault="00CB5041">
      <w:pPr>
        <w:pStyle w:val="BodyText"/>
      </w:pPr>
      <w:r>
        <w:t>The</w:t>
      </w:r>
      <w:r>
        <w:rPr>
          <w:spacing w:val="3"/>
        </w:rPr>
        <w:t xml:space="preserve"> </w:t>
      </w:r>
      <w:r>
        <w:t>safety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Actemra</w:t>
      </w:r>
      <w:r>
        <w:rPr>
          <w:spacing w:val="4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studied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phase</w:t>
      </w:r>
      <w:r>
        <w:rPr>
          <w:spacing w:val="4"/>
        </w:rPr>
        <w:t xml:space="preserve"> </w:t>
      </w:r>
      <w:r>
        <w:t>III,</w:t>
      </w:r>
      <w:r>
        <w:rPr>
          <w:spacing w:val="3"/>
        </w:rPr>
        <w:t xml:space="preserve"> </w:t>
      </w:r>
      <w:r>
        <w:t>double-blind</w:t>
      </w:r>
      <w:r>
        <w:rPr>
          <w:spacing w:val="2"/>
        </w:rPr>
        <w:t xml:space="preserve"> </w:t>
      </w:r>
      <w:r>
        <w:t>controlled</w:t>
      </w:r>
      <w:r>
        <w:rPr>
          <w:spacing w:val="3"/>
        </w:rPr>
        <w:t xml:space="preserve"> </w:t>
      </w:r>
      <w:proofErr w:type="gramStart"/>
      <w:r>
        <w:t>trials</w:t>
      </w:r>
      <w:proofErr w:type="gramEnd"/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their</w:t>
      </w:r>
      <w:r>
        <w:rPr>
          <w:spacing w:val="-57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periods.</w:t>
      </w:r>
    </w:p>
    <w:p w14:paraId="7A6C4513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26A2ECA7" w14:textId="77777777" w:rsidR="006C34D9" w:rsidRDefault="00CB5041">
      <w:pPr>
        <w:pStyle w:val="BodyText"/>
        <w:spacing w:before="1"/>
        <w:ind w:right="657"/>
        <w:jc w:val="both"/>
      </w:pPr>
      <w:r>
        <w:t>The all control population includes all patients who received at least one dose of Actemra in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double-blind</w:t>
      </w:r>
      <w:r>
        <w:rPr>
          <w:spacing w:val="6"/>
        </w:rPr>
        <w:t xml:space="preserve"> </w:t>
      </w:r>
      <w:r>
        <w:t>controlled</w:t>
      </w:r>
      <w:r>
        <w:rPr>
          <w:spacing w:val="6"/>
        </w:rPr>
        <w:t xml:space="preserve"> </w:t>
      </w:r>
      <w:r>
        <w:t>period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studies.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control</w:t>
      </w:r>
      <w:r>
        <w:rPr>
          <w:spacing w:val="6"/>
        </w:rPr>
        <w:t xml:space="preserve"> </w:t>
      </w:r>
      <w:r>
        <w:t>period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studies</w:t>
      </w:r>
      <w:r>
        <w:rPr>
          <w:spacing w:val="6"/>
        </w:rPr>
        <w:t xml:space="preserve"> </w:t>
      </w:r>
      <w:r>
        <w:t>was</w:t>
      </w:r>
      <w:r>
        <w:rPr>
          <w:spacing w:val="-58"/>
        </w:rPr>
        <w:t xml:space="preserve"> </w:t>
      </w:r>
      <w:r>
        <w:t>6 months and in 1 study was up to 2 years. In the double-blind controlled studies 774 patients</w:t>
      </w:r>
      <w:r>
        <w:rPr>
          <w:spacing w:val="1"/>
        </w:rPr>
        <w:t xml:space="preserve"> </w:t>
      </w:r>
      <w:r>
        <w:t>received</w:t>
      </w:r>
      <w:r>
        <w:rPr>
          <w:spacing w:val="-12"/>
        </w:rPr>
        <w:t xml:space="preserve"> </w:t>
      </w:r>
      <w:r>
        <w:t>Actemra</w:t>
      </w:r>
      <w:r>
        <w:rPr>
          <w:spacing w:val="-12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mg/kg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combination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MTX,</w:t>
      </w:r>
      <w:r>
        <w:rPr>
          <w:spacing w:val="-12"/>
        </w:rPr>
        <w:t xml:space="preserve"> </w:t>
      </w:r>
      <w:r>
        <w:t>1870</w:t>
      </w:r>
      <w:r>
        <w:rPr>
          <w:spacing w:val="-12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received</w:t>
      </w:r>
      <w:r>
        <w:rPr>
          <w:spacing w:val="-12"/>
        </w:rPr>
        <w:t xml:space="preserve"> </w:t>
      </w:r>
      <w:r>
        <w:t>Actemra</w:t>
      </w:r>
      <w:r>
        <w:rPr>
          <w:spacing w:val="-12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mg/kg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MTX/other</w:t>
      </w:r>
      <w:r>
        <w:rPr>
          <w:spacing w:val="1"/>
        </w:rPr>
        <w:t xml:space="preserve"> </w:t>
      </w:r>
      <w:r>
        <w:t>DMARDs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288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received Actemra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mg/kg</w:t>
      </w:r>
      <w:r>
        <w:rPr>
          <w:spacing w:val="-57"/>
        </w:rPr>
        <w:t xml:space="preserve"> </w:t>
      </w:r>
      <w:r>
        <w:t>monotherapy.</w:t>
      </w:r>
    </w:p>
    <w:p w14:paraId="535D9B28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49163B3A" w14:textId="77777777" w:rsidR="006C34D9" w:rsidRDefault="00CB5041">
      <w:pPr>
        <w:pStyle w:val="BodyText"/>
        <w:ind w:right="658"/>
        <w:jc w:val="both"/>
      </w:pPr>
      <w:r>
        <w:t>The all exposure population includes all patients who received at least one dose of Actemra</w:t>
      </w:r>
      <w:r>
        <w:rPr>
          <w:spacing w:val="1"/>
        </w:rPr>
        <w:t xml:space="preserve"> </w:t>
      </w:r>
      <w:r>
        <w:t>either in the double-blind control period or open label extension phase in studies. Of the 4009</w:t>
      </w:r>
      <w:r>
        <w:rPr>
          <w:spacing w:val="-57"/>
        </w:rPr>
        <w:t xml:space="preserve"> </w:t>
      </w:r>
      <w:r>
        <w:t>patients in this population, 3577 received treatment for at least 6 months, 3296 for at least one</w:t>
      </w:r>
      <w:r>
        <w:rPr>
          <w:spacing w:val="-57"/>
        </w:rPr>
        <w:t xml:space="preserve"> </w:t>
      </w:r>
      <w:r>
        <w:t>year; 2806 received treatment for at least 2 years and 1222 for 3 years. The mean duration of</w:t>
      </w:r>
      <w:r>
        <w:rPr>
          <w:spacing w:val="1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Actemra in the all</w:t>
      </w:r>
      <w:r>
        <w:rPr>
          <w:spacing w:val="-1"/>
        </w:rPr>
        <w:t xml:space="preserve"> </w:t>
      </w:r>
      <w:r>
        <w:t>exposure population</w:t>
      </w:r>
      <w:r>
        <w:rPr>
          <w:spacing w:val="-1"/>
        </w:rPr>
        <w:t xml:space="preserve"> </w:t>
      </w:r>
      <w:r>
        <w:t>was 2.14 years.</w:t>
      </w:r>
    </w:p>
    <w:p w14:paraId="74EAF6E9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50F367D" w14:textId="77777777" w:rsidR="006C34D9" w:rsidRDefault="00CB5041">
      <w:pPr>
        <w:pStyle w:val="BodyText"/>
        <w:ind w:right="657"/>
        <w:jc w:val="both"/>
      </w:pPr>
      <w:r>
        <w:t xml:space="preserve">The </w:t>
      </w:r>
      <w:proofErr w:type="gramStart"/>
      <w:r>
        <w:t>most commonly reported</w:t>
      </w:r>
      <w:proofErr w:type="gramEnd"/>
      <w:r>
        <w:t xml:space="preserve"> AEs in controlled studies up to 2 years (occurring in ≥ 5% of</w:t>
      </w:r>
      <w:r>
        <w:rPr>
          <w:spacing w:val="1"/>
        </w:rPr>
        <w:t xml:space="preserve"> </w:t>
      </w:r>
      <w:r>
        <w:t>patients treated with Actemra monotherapy or in combination with DMARDs) were upper</w:t>
      </w:r>
      <w:r>
        <w:rPr>
          <w:spacing w:val="1"/>
        </w:rPr>
        <w:t xml:space="preserve"> </w:t>
      </w:r>
      <w:r>
        <w:t>respiratory</w:t>
      </w:r>
      <w:r>
        <w:rPr>
          <w:spacing w:val="1"/>
        </w:rPr>
        <w:t xml:space="preserve"> </w:t>
      </w:r>
      <w:r>
        <w:t>tract</w:t>
      </w:r>
      <w:r>
        <w:rPr>
          <w:spacing w:val="1"/>
        </w:rPr>
        <w:t xml:space="preserve"> </w:t>
      </w:r>
      <w:r>
        <w:t>infections,</w:t>
      </w:r>
      <w:r>
        <w:rPr>
          <w:spacing w:val="1"/>
        </w:rPr>
        <w:t xml:space="preserve"> </w:t>
      </w:r>
      <w:r>
        <w:t>nasopharyngitis,</w:t>
      </w:r>
      <w:r>
        <w:rPr>
          <w:spacing w:val="1"/>
        </w:rPr>
        <w:t xml:space="preserve"> </w:t>
      </w:r>
      <w:r>
        <w:t>headache,</w:t>
      </w:r>
      <w:r>
        <w:rPr>
          <w:spacing w:val="1"/>
        </w:rPr>
        <w:t xml:space="preserve"> </w:t>
      </w:r>
      <w:r>
        <w:t>hypertension,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bronchitis. In study II the rate of AEs (including deaths, serious AEs and AEs leading to</w:t>
      </w:r>
      <w:r>
        <w:rPr>
          <w:spacing w:val="1"/>
        </w:rPr>
        <w:t xml:space="preserve"> </w:t>
      </w:r>
      <w:r>
        <w:t>treatment withdrawal or dose modification) after 2 years, calculated as a function of exposure</w:t>
      </w:r>
      <w:r>
        <w:rPr>
          <w:spacing w:val="-57"/>
        </w:rPr>
        <w:t xml:space="preserve"> </w:t>
      </w:r>
      <w:r>
        <w:t>(i.e. events per 100 patient years), had not increased in comparison with the AE profile</w:t>
      </w:r>
      <w:r>
        <w:rPr>
          <w:spacing w:val="1"/>
        </w:rPr>
        <w:t xml:space="preserve"> </w:t>
      </w:r>
      <w:r>
        <w:t>observed</w:t>
      </w:r>
      <w:r>
        <w:rPr>
          <w:spacing w:val="-1"/>
        </w:rPr>
        <w:t xml:space="preserve"> </w:t>
      </w:r>
      <w:r>
        <w:t>after 1 year of</w:t>
      </w:r>
      <w:r>
        <w:rPr>
          <w:spacing w:val="-1"/>
        </w:rPr>
        <w:t xml:space="preserve"> </w:t>
      </w:r>
      <w:r>
        <w:t>study II.</w:t>
      </w:r>
    </w:p>
    <w:p w14:paraId="63AA3E56" w14:textId="77777777" w:rsidR="006C34D9" w:rsidRDefault="006C34D9">
      <w:pPr>
        <w:pStyle w:val="BodyText"/>
        <w:spacing w:before="1"/>
        <w:ind w:left="0"/>
        <w:rPr>
          <w:sz w:val="21"/>
        </w:rPr>
      </w:pPr>
    </w:p>
    <w:p w14:paraId="15265CDC" w14:textId="77777777" w:rsidR="006C34D9" w:rsidRDefault="00CB5041">
      <w:pPr>
        <w:pStyle w:val="Heading2"/>
        <w:jc w:val="left"/>
      </w:pPr>
      <w:r>
        <w:t>Table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occurring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2%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mg/kg</w:t>
      </w:r>
      <w:r>
        <w:rPr>
          <w:spacing w:val="-7"/>
        </w:rPr>
        <w:t xml:space="preserve"> </w:t>
      </w:r>
      <w:r>
        <w:t>Actemra</w:t>
      </w:r>
    </w:p>
    <w:p w14:paraId="7BC521CF" w14:textId="77777777" w:rsidR="006C34D9" w:rsidRDefault="00CB5041">
      <w:pPr>
        <w:ind w:left="1466"/>
        <w:rPr>
          <w:b/>
          <w:sz w:val="24"/>
        </w:rPr>
      </w:pPr>
      <w:r>
        <w:rPr>
          <w:b/>
          <w:sz w:val="24"/>
        </w:rPr>
        <w:t>+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DMARD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1%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greater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observed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placebo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DMARD</w:t>
      </w:r>
    </w:p>
    <w:p w14:paraId="54AF03C0" w14:textId="77777777" w:rsidR="006C34D9" w:rsidRDefault="006C34D9">
      <w:pPr>
        <w:rPr>
          <w:sz w:val="24"/>
        </w:r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1507"/>
        <w:gridCol w:w="1178"/>
        <w:gridCol w:w="1228"/>
        <w:gridCol w:w="1503"/>
        <w:gridCol w:w="1502"/>
      </w:tblGrid>
      <w:tr w:rsidR="006C34D9" w14:paraId="16D2CCA6" w14:textId="77777777">
        <w:trPr>
          <w:trHeight w:val="280"/>
        </w:trPr>
        <w:tc>
          <w:tcPr>
            <w:tcW w:w="9014" w:type="dxa"/>
            <w:gridSpan w:val="6"/>
          </w:tcPr>
          <w:p w14:paraId="592FB8D6" w14:textId="77777777" w:rsidR="006C34D9" w:rsidRDefault="00CB5041">
            <w:pPr>
              <w:pStyle w:val="TableParagraph"/>
              <w:spacing w:before="26" w:line="234" w:lineRule="exact"/>
              <w:ind w:left="3112" w:right="3101"/>
              <w:jc w:val="center"/>
              <w:rPr>
                <w:b/>
              </w:rPr>
            </w:pPr>
            <w:r>
              <w:rPr>
                <w:b/>
              </w:rPr>
              <w:lastRenderedPageBreak/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Control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Population</w:t>
            </w:r>
          </w:p>
        </w:tc>
      </w:tr>
      <w:tr w:rsidR="006C34D9" w14:paraId="1E569C18" w14:textId="77777777">
        <w:trPr>
          <w:trHeight w:val="1517"/>
        </w:trPr>
        <w:tc>
          <w:tcPr>
            <w:tcW w:w="2096" w:type="dxa"/>
          </w:tcPr>
          <w:p w14:paraId="3001CD27" w14:textId="77777777" w:rsidR="006C34D9" w:rsidRDefault="006C34D9">
            <w:pPr>
              <w:pStyle w:val="TableParagraph"/>
              <w:ind w:left="0"/>
              <w:rPr>
                <w:b/>
                <w:sz w:val="24"/>
              </w:rPr>
            </w:pPr>
          </w:p>
          <w:p w14:paraId="50282AA2" w14:textId="77777777" w:rsidR="006C34D9" w:rsidRDefault="006C34D9">
            <w:pPr>
              <w:pStyle w:val="TableParagraph"/>
              <w:ind w:left="0"/>
              <w:rPr>
                <w:b/>
                <w:sz w:val="24"/>
              </w:rPr>
            </w:pPr>
          </w:p>
          <w:p w14:paraId="2FF85E0C" w14:textId="77777777" w:rsidR="006C34D9" w:rsidRDefault="006C34D9">
            <w:pPr>
              <w:pStyle w:val="TableParagraph"/>
              <w:ind w:left="0"/>
              <w:rPr>
                <w:b/>
                <w:sz w:val="24"/>
              </w:rPr>
            </w:pPr>
          </w:p>
          <w:p w14:paraId="663CB9FD" w14:textId="77777777" w:rsidR="006C34D9" w:rsidRDefault="006C34D9">
            <w:pPr>
              <w:pStyle w:val="TableParagraph"/>
              <w:ind w:left="0"/>
              <w:rPr>
                <w:b/>
                <w:sz w:val="24"/>
              </w:rPr>
            </w:pPr>
          </w:p>
          <w:p w14:paraId="42B811A0" w14:textId="77777777" w:rsidR="006C34D9" w:rsidRDefault="00CB5041">
            <w:pPr>
              <w:pStyle w:val="TableParagraph"/>
              <w:spacing w:before="160" w:line="233" w:lineRule="exact"/>
              <w:rPr>
                <w:b/>
              </w:rPr>
            </w:pPr>
            <w:r>
              <w:rPr>
                <w:b/>
              </w:rPr>
              <w:t>Preferred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Term</w:t>
            </w:r>
          </w:p>
        </w:tc>
        <w:tc>
          <w:tcPr>
            <w:tcW w:w="1507" w:type="dxa"/>
          </w:tcPr>
          <w:p w14:paraId="2A89047D" w14:textId="77777777" w:rsidR="006C34D9" w:rsidRDefault="00CB5041">
            <w:pPr>
              <w:pStyle w:val="TableParagraph"/>
              <w:ind w:left="344" w:right="333"/>
              <w:jc w:val="center"/>
              <w:rPr>
                <w:b/>
              </w:rPr>
            </w:pPr>
            <w:r>
              <w:rPr>
                <w:b/>
                <w:spacing w:val="-1"/>
              </w:rPr>
              <w:t>Actemra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mg/kg</w:t>
            </w:r>
          </w:p>
          <w:p w14:paraId="657DEF52" w14:textId="77777777" w:rsidR="006C34D9" w:rsidRDefault="00CB5041">
            <w:pPr>
              <w:pStyle w:val="TableParagraph"/>
              <w:spacing w:line="252" w:lineRule="exact"/>
              <w:ind w:left="103" w:right="95"/>
              <w:jc w:val="center"/>
              <w:rPr>
                <w:b/>
              </w:rPr>
            </w:pPr>
            <w:r>
              <w:rPr>
                <w:b/>
              </w:rPr>
              <w:t>monotherapy</w:t>
            </w:r>
          </w:p>
          <w:p w14:paraId="2B531AAC" w14:textId="77777777" w:rsidR="006C34D9" w:rsidRDefault="006C34D9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2E32F1F5" w14:textId="77777777" w:rsidR="006C34D9" w:rsidRDefault="00CB5041">
            <w:pPr>
              <w:pStyle w:val="TableParagraph"/>
              <w:spacing w:line="250" w:lineRule="atLeast"/>
              <w:ind w:left="344" w:right="331"/>
              <w:jc w:val="center"/>
              <w:rPr>
                <w:b/>
              </w:rPr>
            </w:pPr>
            <w:r>
              <w:rPr>
                <w:b/>
              </w:rPr>
              <w:t>n=288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178" w:type="dxa"/>
          </w:tcPr>
          <w:p w14:paraId="737903B1" w14:textId="77777777" w:rsidR="006C34D9" w:rsidRDefault="00CB5041">
            <w:pPr>
              <w:pStyle w:val="TableParagraph"/>
              <w:spacing w:line="253" w:lineRule="exact"/>
              <w:ind w:left="332"/>
              <w:rPr>
                <w:b/>
              </w:rPr>
            </w:pPr>
            <w:r>
              <w:rPr>
                <w:b/>
              </w:rPr>
              <w:t>MTX</w:t>
            </w:r>
          </w:p>
          <w:p w14:paraId="048F8647" w14:textId="77777777" w:rsidR="006C34D9" w:rsidRDefault="006C34D9">
            <w:pPr>
              <w:pStyle w:val="TableParagraph"/>
              <w:ind w:left="0"/>
              <w:rPr>
                <w:b/>
                <w:sz w:val="24"/>
              </w:rPr>
            </w:pPr>
          </w:p>
          <w:p w14:paraId="111F17B4" w14:textId="77777777" w:rsidR="006C34D9" w:rsidRDefault="006C34D9">
            <w:pPr>
              <w:pStyle w:val="TableParagraph"/>
              <w:ind w:left="0"/>
              <w:rPr>
                <w:b/>
                <w:sz w:val="24"/>
              </w:rPr>
            </w:pPr>
          </w:p>
          <w:p w14:paraId="70DD19EC" w14:textId="77777777" w:rsidR="006C34D9" w:rsidRDefault="00CB5041">
            <w:pPr>
              <w:pStyle w:val="TableParagraph"/>
              <w:spacing w:before="187" w:line="250" w:lineRule="atLeast"/>
              <w:ind w:left="405" w:right="271" w:hanging="106"/>
              <w:rPr>
                <w:b/>
              </w:rPr>
            </w:pPr>
            <w:r>
              <w:rPr>
                <w:b/>
              </w:rPr>
              <w:t>n=284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228" w:type="dxa"/>
          </w:tcPr>
          <w:p w14:paraId="6D386226" w14:textId="77777777" w:rsidR="006C34D9" w:rsidRDefault="00CB5041">
            <w:pPr>
              <w:pStyle w:val="TableParagraph"/>
              <w:ind w:left="148" w:right="134" w:hanging="4"/>
              <w:jc w:val="center"/>
              <w:rPr>
                <w:b/>
              </w:rPr>
            </w:pPr>
            <w:r>
              <w:rPr>
                <w:b/>
              </w:rPr>
              <w:t>Actemra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 mg/kg +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MTX</w:t>
            </w:r>
          </w:p>
          <w:p w14:paraId="271A4FE8" w14:textId="77777777" w:rsidR="006C34D9" w:rsidRDefault="006C34D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377833C0" w14:textId="77777777" w:rsidR="006C34D9" w:rsidRDefault="00CB5041">
            <w:pPr>
              <w:pStyle w:val="TableParagraph"/>
              <w:spacing w:line="250" w:lineRule="atLeast"/>
              <w:ind w:left="326" w:right="311"/>
              <w:jc w:val="center"/>
              <w:rPr>
                <w:b/>
              </w:rPr>
            </w:pPr>
            <w:r>
              <w:rPr>
                <w:b/>
              </w:rPr>
              <w:t>n=774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503" w:type="dxa"/>
          </w:tcPr>
          <w:p w14:paraId="196616A2" w14:textId="77777777" w:rsidR="006C34D9" w:rsidRDefault="00CB5041">
            <w:pPr>
              <w:pStyle w:val="TableParagraph"/>
              <w:ind w:left="286" w:right="272" w:firstLine="56"/>
              <w:jc w:val="both"/>
              <w:rPr>
                <w:b/>
              </w:rPr>
            </w:pPr>
            <w:r>
              <w:rPr>
                <w:b/>
              </w:rPr>
              <w:t>Actemra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8 mg/kg +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DMARDs</w:t>
            </w:r>
          </w:p>
          <w:p w14:paraId="7C7EFC12" w14:textId="77777777" w:rsidR="006C34D9" w:rsidRDefault="006C34D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2E9939B9" w14:textId="77777777" w:rsidR="006C34D9" w:rsidRDefault="00CB5041">
            <w:pPr>
              <w:pStyle w:val="TableParagraph"/>
              <w:spacing w:line="250" w:lineRule="atLeast"/>
              <w:ind w:left="569" w:right="377" w:hanging="161"/>
              <w:rPr>
                <w:b/>
              </w:rPr>
            </w:pPr>
            <w:r>
              <w:rPr>
                <w:b/>
              </w:rPr>
              <w:t>n=1870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502" w:type="dxa"/>
          </w:tcPr>
          <w:p w14:paraId="4748395C" w14:textId="77777777" w:rsidR="006C34D9" w:rsidRDefault="00CB5041">
            <w:pPr>
              <w:pStyle w:val="TableParagraph"/>
              <w:ind w:left="289" w:right="273"/>
              <w:jc w:val="center"/>
              <w:rPr>
                <w:b/>
              </w:rPr>
            </w:pPr>
            <w:r>
              <w:rPr>
                <w:b/>
              </w:rPr>
              <w:t>Placebo +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DMARDs</w:t>
            </w:r>
          </w:p>
          <w:p w14:paraId="38CD5F61" w14:textId="77777777" w:rsidR="006C34D9" w:rsidRDefault="006C34D9">
            <w:pPr>
              <w:pStyle w:val="TableParagraph"/>
              <w:ind w:left="0"/>
              <w:rPr>
                <w:b/>
                <w:sz w:val="24"/>
              </w:rPr>
            </w:pPr>
          </w:p>
          <w:p w14:paraId="39D0E7BA" w14:textId="77777777" w:rsidR="006C34D9" w:rsidRDefault="00CB5041">
            <w:pPr>
              <w:pStyle w:val="TableParagraph"/>
              <w:spacing w:before="209" w:line="250" w:lineRule="atLeast"/>
              <w:ind w:left="289" w:right="272"/>
              <w:jc w:val="center"/>
              <w:rPr>
                <w:b/>
              </w:rPr>
            </w:pPr>
            <w:r>
              <w:rPr>
                <w:b/>
              </w:rPr>
              <w:t>n=1555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6C34D9" w14:paraId="1AC0A53E" w14:textId="77777777">
        <w:trPr>
          <w:trHeight w:val="506"/>
        </w:trPr>
        <w:tc>
          <w:tcPr>
            <w:tcW w:w="2096" w:type="dxa"/>
          </w:tcPr>
          <w:p w14:paraId="7BAF102B" w14:textId="77777777" w:rsidR="006C34D9" w:rsidRDefault="00CB5041">
            <w:pPr>
              <w:pStyle w:val="TableParagraph"/>
              <w:spacing w:line="254" w:lineRule="exact"/>
              <w:ind w:right="327"/>
            </w:pPr>
            <w:r>
              <w:t>Upper Respiratory</w:t>
            </w:r>
            <w:r>
              <w:rPr>
                <w:spacing w:val="-52"/>
              </w:rPr>
              <w:t xml:space="preserve"> </w:t>
            </w:r>
            <w:r>
              <w:t>Tract</w:t>
            </w:r>
            <w:r>
              <w:rPr>
                <w:spacing w:val="-1"/>
              </w:rPr>
              <w:t xml:space="preserve"> </w:t>
            </w:r>
            <w:r>
              <w:t>Infection</w:t>
            </w:r>
          </w:p>
        </w:tc>
        <w:tc>
          <w:tcPr>
            <w:tcW w:w="1507" w:type="dxa"/>
          </w:tcPr>
          <w:p w14:paraId="060C3E75" w14:textId="77777777" w:rsidR="006C34D9" w:rsidRDefault="00CB5041">
            <w:pPr>
              <w:pStyle w:val="TableParagraph"/>
              <w:spacing w:before="124"/>
              <w:ind w:left="10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1178" w:type="dxa"/>
          </w:tcPr>
          <w:p w14:paraId="1EC4B34C" w14:textId="77777777" w:rsidR="006C34D9" w:rsidRDefault="00CB5041">
            <w:pPr>
              <w:pStyle w:val="TableParagraph"/>
              <w:spacing w:before="124"/>
              <w:ind w:left="10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228" w:type="dxa"/>
          </w:tcPr>
          <w:p w14:paraId="7B1F2533" w14:textId="77777777" w:rsidR="006C34D9" w:rsidRDefault="00CB5041">
            <w:pPr>
              <w:pStyle w:val="TableParagraph"/>
              <w:spacing w:before="124"/>
              <w:ind w:left="9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1503" w:type="dxa"/>
          </w:tcPr>
          <w:p w14:paraId="74E31760" w14:textId="77777777" w:rsidR="006C34D9" w:rsidRDefault="00CB5041">
            <w:pPr>
              <w:pStyle w:val="TableParagraph"/>
              <w:spacing w:before="124"/>
              <w:ind w:left="10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1502" w:type="dxa"/>
          </w:tcPr>
          <w:p w14:paraId="4704B5D6" w14:textId="77777777" w:rsidR="006C34D9" w:rsidRDefault="00CB5041">
            <w:pPr>
              <w:pStyle w:val="TableParagraph"/>
              <w:spacing w:before="124"/>
              <w:ind w:left="14"/>
              <w:jc w:val="center"/>
            </w:pPr>
            <w:r>
              <w:rPr>
                <w:w w:val="99"/>
              </w:rPr>
              <w:t>7</w:t>
            </w:r>
          </w:p>
        </w:tc>
      </w:tr>
      <w:tr w:rsidR="006C34D9" w14:paraId="7320F588" w14:textId="77777777">
        <w:trPr>
          <w:trHeight w:val="250"/>
        </w:trPr>
        <w:tc>
          <w:tcPr>
            <w:tcW w:w="2096" w:type="dxa"/>
          </w:tcPr>
          <w:p w14:paraId="6B8FEE79" w14:textId="77777777" w:rsidR="006C34D9" w:rsidRDefault="00CB5041">
            <w:pPr>
              <w:pStyle w:val="TableParagraph"/>
              <w:spacing w:line="231" w:lineRule="exact"/>
            </w:pPr>
            <w:r>
              <w:t>Nasopharyngitis</w:t>
            </w:r>
          </w:p>
        </w:tc>
        <w:tc>
          <w:tcPr>
            <w:tcW w:w="1507" w:type="dxa"/>
          </w:tcPr>
          <w:p w14:paraId="0BBC8595" w14:textId="77777777" w:rsidR="006C34D9" w:rsidRDefault="00CB5041">
            <w:pPr>
              <w:pStyle w:val="TableParagraph"/>
              <w:spacing w:line="231" w:lineRule="exact"/>
              <w:ind w:left="10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1178" w:type="dxa"/>
          </w:tcPr>
          <w:p w14:paraId="5A5D4EB6" w14:textId="77777777" w:rsidR="006C34D9" w:rsidRDefault="00CB5041">
            <w:pPr>
              <w:pStyle w:val="TableParagraph"/>
              <w:spacing w:line="231" w:lineRule="exact"/>
              <w:ind w:left="10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228" w:type="dxa"/>
          </w:tcPr>
          <w:p w14:paraId="48A1950D" w14:textId="77777777" w:rsidR="006C34D9" w:rsidRDefault="00CB5041">
            <w:pPr>
              <w:pStyle w:val="TableParagraph"/>
              <w:spacing w:line="231" w:lineRule="exact"/>
              <w:ind w:left="9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503" w:type="dxa"/>
          </w:tcPr>
          <w:p w14:paraId="79DFF401" w14:textId="77777777" w:rsidR="006C34D9" w:rsidRDefault="00CB5041">
            <w:pPr>
              <w:pStyle w:val="TableParagraph"/>
              <w:spacing w:line="231" w:lineRule="exact"/>
              <w:ind w:left="9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1502" w:type="dxa"/>
          </w:tcPr>
          <w:p w14:paraId="1FA0B3DD" w14:textId="77777777" w:rsidR="006C34D9" w:rsidRDefault="00CB5041">
            <w:pPr>
              <w:pStyle w:val="TableParagraph"/>
              <w:spacing w:line="231" w:lineRule="exact"/>
              <w:ind w:left="14"/>
              <w:jc w:val="center"/>
            </w:pPr>
            <w:r>
              <w:rPr>
                <w:w w:val="99"/>
              </w:rPr>
              <w:t>5</w:t>
            </w:r>
          </w:p>
        </w:tc>
      </w:tr>
      <w:tr w:rsidR="006C34D9" w14:paraId="283514FC" w14:textId="77777777">
        <w:trPr>
          <w:trHeight w:val="252"/>
        </w:trPr>
        <w:tc>
          <w:tcPr>
            <w:tcW w:w="2096" w:type="dxa"/>
          </w:tcPr>
          <w:p w14:paraId="527850DA" w14:textId="77777777" w:rsidR="006C34D9" w:rsidRDefault="00CB5041">
            <w:pPr>
              <w:pStyle w:val="TableParagraph"/>
              <w:spacing w:line="233" w:lineRule="exact"/>
            </w:pPr>
            <w:r>
              <w:t>Headache</w:t>
            </w:r>
          </w:p>
        </w:tc>
        <w:tc>
          <w:tcPr>
            <w:tcW w:w="1507" w:type="dxa"/>
          </w:tcPr>
          <w:p w14:paraId="6CC28B24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1178" w:type="dxa"/>
          </w:tcPr>
          <w:p w14:paraId="7E60DD02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28" w:type="dxa"/>
          </w:tcPr>
          <w:p w14:paraId="650B9C85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503" w:type="dxa"/>
          </w:tcPr>
          <w:p w14:paraId="098091D5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502" w:type="dxa"/>
          </w:tcPr>
          <w:p w14:paraId="246740FE" w14:textId="77777777" w:rsidR="006C34D9" w:rsidRDefault="00CB5041">
            <w:pPr>
              <w:pStyle w:val="TableParagraph"/>
              <w:spacing w:line="233" w:lineRule="exact"/>
              <w:ind w:left="14"/>
              <w:jc w:val="center"/>
            </w:pPr>
            <w:r>
              <w:rPr>
                <w:w w:val="99"/>
              </w:rPr>
              <w:t>4</w:t>
            </w:r>
          </w:p>
        </w:tc>
      </w:tr>
      <w:tr w:rsidR="006C34D9" w14:paraId="12871879" w14:textId="77777777">
        <w:trPr>
          <w:trHeight w:val="252"/>
        </w:trPr>
        <w:tc>
          <w:tcPr>
            <w:tcW w:w="2096" w:type="dxa"/>
          </w:tcPr>
          <w:p w14:paraId="1772D0AE" w14:textId="77777777" w:rsidR="006C34D9" w:rsidRDefault="00CB5041">
            <w:pPr>
              <w:pStyle w:val="TableParagraph"/>
              <w:spacing w:line="233" w:lineRule="exact"/>
            </w:pPr>
            <w:r>
              <w:t>Hypertension</w:t>
            </w:r>
          </w:p>
        </w:tc>
        <w:tc>
          <w:tcPr>
            <w:tcW w:w="1507" w:type="dxa"/>
          </w:tcPr>
          <w:p w14:paraId="2ABC617A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178" w:type="dxa"/>
          </w:tcPr>
          <w:p w14:paraId="17F45CFD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28" w:type="dxa"/>
          </w:tcPr>
          <w:p w14:paraId="14A01D52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503" w:type="dxa"/>
          </w:tcPr>
          <w:p w14:paraId="5D918A3C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502" w:type="dxa"/>
          </w:tcPr>
          <w:p w14:paraId="33710986" w14:textId="77777777" w:rsidR="006C34D9" w:rsidRDefault="00CB5041">
            <w:pPr>
              <w:pStyle w:val="TableParagraph"/>
              <w:spacing w:line="233" w:lineRule="exact"/>
              <w:ind w:left="14"/>
              <w:jc w:val="center"/>
            </w:pPr>
            <w:r>
              <w:rPr>
                <w:w w:val="99"/>
              </w:rPr>
              <w:t>3</w:t>
            </w:r>
          </w:p>
        </w:tc>
      </w:tr>
      <w:tr w:rsidR="006C34D9" w14:paraId="4E557905" w14:textId="77777777">
        <w:trPr>
          <w:trHeight w:val="252"/>
        </w:trPr>
        <w:tc>
          <w:tcPr>
            <w:tcW w:w="2096" w:type="dxa"/>
          </w:tcPr>
          <w:p w14:paraId="63C295AC" w14:textId="77777777" w:rsidR="006C34D9" w:rsidRDefault="00CB5041">
            <w:pPr>
              <w:pStyle w:val="TableParagraph"/>
              <w:spacing w:line="233" w:lineRule="exact"/>
            </w:pPr>
            <w:r>
              <w:t>Cough</w:t>
            </w:r>
          </w:p>
        </w:tc>
        <w:tc>
          <w:tcPr>
            <w:tcW w:w="1507" w:type="dxa"/>
          </w:tcPr>
          <w:p w14:paraId="3AF4DEC5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78" w:type="dxa"/>
          </w:tcPr>
          <w:p w14:paraId="5F130BFF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1228" w:type="dxa"/>
          </w:tcPr>
          <w:p w14:paraId="78C02D12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503" w:type="dxa"/>
          </w:tcPr>
          <w:p w14:paraId="7F8DF9E8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502" w:type="dxa"/>
          </w:tcPr>
          <w:p w14:paraId="04B9288E" w14:textId="77777777" w:rsidR="006C34D9" w:rsidRDefault="00CB5041">
            <w:pPr>
              <w:pStyle w:val="TableParagraph"/>
              <w:spacing w:line="233" w:lineRule="exact"/>
              <w:ind w:left="14"/>
              <w:jc w:val="center"/>
            </w:pPr>
            <w:r>
              <w:rPr>
                <w:w w:val="99"/>
              </w:rPr>
              <w:t>2</w:t>
            </w:r>
          </w:p>
        </w:tc>
      </w:tr>
      <w:tr w:rsidR="006C34D9" w14:paraId="78315A18" w14:textId="77777777">
        <w:trPr>
          <w:trHeight w:val="253"/>
        </w:trPr>
        <w:tc>
          <w:tcPr>
            <w:tcW w:w="2096" w:type="dxa"/>
          </w:tcPr>
          <w:p w14:paraId="40109FD0" w14:textId="77777777" w:rsidR="006C34D9" w:rsidRDefault="00CB5041">
            <w:pPr>
              <w:pStyle w:val="TableParagraph"/>
              <w:spacing w:line="234" w:lineRule="exact"/>
            </w:pPr>
            <w:r>
              <w:t>ALT</w:t>
            </w:r>
            <w:r>
              <w:rPr>
                <w:spacing w:val="-3"/>
              </w:rPr>
              <w:t xml:space="preserve"> </w:t>
            </w:r>
            <w:r>
              <w:t>increased</w:t>
            </w:r>
          </w:p>
        </w:tc>
        <w:tc>
          <w:tcPr>
            <w:tcW w:w="1507" w:type="dxa"/>
          </w:tcPr>
          <w:p w14:paraId="58CFD716" w14:textId="77777777" w:rsidR="006C34D9" w:rsidRDefault="00CB50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178" w:type="dxa"/>
          </w:tcPr>
          <w:p w14:paraId="387B4FBE" w14:textId="77777777" w:rsidR="006C34D9" w:rsidRDefault="00CB50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228" w:type="dxa"/>
          </w:tcPr>
          <w:p w14:paraId="6DAF0350" w14:textId="77777777" w:rsidR="006C34D9" w:rsidRDefault="00CB50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503" w:type="dxa"/>
          </w:tcPr>
          <w:p w14:paraId="6E1F055A" w14:textId="77777777" w:rsidR="006C34D9" w:rsidRDefault="00CB50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502" w:type="dxa"/>
          </w:tcPr>
          <w:p w14:paraId="371D401D" w14:textId="77777777" w:rsidR="006C34D9" w:rsidRDefault="00CB5041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w w:val="99"/>
              </w:rPr>
              <w:t>1</w:t>
            </w:r>
          </w:p>
        </w:tc>
      </w:tr>
      <w:tr w:rsidR="006C34D9" w14:paraId="193FDA16" w14:textId="77777777">
        <w:trPr>
          <w:trHeight w:val="252"/>
        </w:trPr>
        <w:tc>
          <w:tcPr>
            <w:tcW w:w="2096" w:type="dxa"/>
          </w:tcPr>
          <w:p w14:paraId="185A4874" w14:textId="77777777" w:rsidR="006C34D9" w:rsidRDefault="00CB5041">
            <w:pPr>
              <w:pStyle w:val="TableParagraph"/>
              <w:spacing w:line="233" w:lineRule="exact"/>
            </w:pPr>
            <w:proofErr w:type="spellStart"/>
            <w:r>
              <w:t>Diarrhoea</w:t>
            </w:r>
            <w:proofErr w:type="spellEnd"/>
          </w:p>
        </w:tc>
        <w:tc>
          <w:tcPr>
            <w:tcW w:w="1507" w:type="dxa"/>
          </w:tcPr>
          <w:p w14:paraId="5A9A35D3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178" w:type="dxa"/>
          </w:tcPr>
          <w:p w14:paraId="690FB585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228" w:type="dxa"/>
          </w:tcPr>
          <w:p w14:paraId="1AB38F4D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503" w:type="dxa"/>
          </w:tcPr>
          <w:p w14:paraId="758D4A98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502" w:type="dxa"/>
          </w:tcPr>
          <w:p w14:paraId="4873B050" w14:textId="77777777" w:rsidR="006C34D9" w:rsidRDefault="00CB5041">
            <w:pPr>
              <w:pStyle w:val="TableParagraph"/>
              <w:spacing w:line="233" w:lineRule="exact"/>
              <w:ind w:left="14"/>
              <w:jc w:val="center"/>
            </w:pPr>
            <w:r>
              <w:rPr>
                <w:w w:val="99"/>
              </w:rPr>
              <w:t>4</w:t>
            </w:r>
          </w:p>
        </w:tc>
      </w:tr>
      <w:tr w:rsidR="006C34D9" w14:paraId="1CBF736A" w14:textId="77777777">
        <w:trPr>
          <w:trHeight w:val="252"/>
        </w:trPr>
        <w:tc>
          <w:tcPr>
            <w:tcW w:w="2096" w:type="dxa"/>
          </w:tcPr>
          <w:p w14:paraId="419E3C7C" w14:textId="77777777" w:rsidR="006C34D9" w:rsidRDefault="00CB5041">
            <w:pPr>
              <w:pStyle w:val="TableParagraph"/>
              <w:spacing w:line="233" w:lineRule="exact"/>
            </w:pPr>
            <w:r>
              <w:t>Back</w:t>
            </w:r>
            <w:r>
              <w:rPr>
                <w:spacing w:val="-3"/>
              </w:rPr>
              <w:t xml:space="preserve"> </w:t>
            </w:r>
            <w:r>
              <w:t>Pain</w:t>
            </w:r>
          </w:p>
        </w:tc>
        <w:tc>
          <w:tcPr>
            <w:tcW w:w="1507" w:type="dxa"/>
          </w:tcPr>
          <w:p w14:paraId="6E832741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78" w:type="dxa"/>
          </w:tcPr>
          <w:p w14:paraId="3885CA05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228" w:type="dxa"/>
          </w:tcPr>
          <w:p w14:paraId="7FA400BF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503" w:type="dxa"/>
          </w:tcPr>
          <w:p w14:paraId="51BDA4E8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502" w:type="dxa"/>
          </w:tcPr>
          <w:p w14:paraId="736C4C7E" w14:textId="77777777" w:rsidR="006C34D9" w:rsidRDefault="00CB5041">
            <w:pPr>
              <w:pStyle w:val="TableParagraph"/>
              <w:spacing w:line="233" w:lineRule="exact"/>
              <w:ind w:left="14"/>
              <w:jc w:val="center"/>
            </w:pPr>
            <w:r>
              <w:rPr>
                <w:w w:val="99"/>
              </w:rPr>
              <w:t>3</w:t>
            </w:r>
          </w:p>
        </w:tc>
      </w:tr>
      <w:tr w:rsidR="006C34D9" w14:paraId="039AEA02" w14:textId="77777777">
        <w:trPr>
          <w:trHeight w:val="252"/>
        </w:trPr>
        <w:tc>
          <w:tcPr>
            <w:tcW w:w="2096" w:type="dxa"/>
          </w:tcPr>
          <w:p w14:paraId="77BB63E0" w14:textId="77777777" w:rsidR="006C34D9" w:rsidRDefault="00CB5041">
            <w:pPr>
              <w:pStyle w:val="TableParagraph"/>
              <w:spacing w:line="233" w:lineRule="exact"/>
            </w:pPr>
            <w:r>
              <w:t>Peripheral</w:t>
            </w:r>
            <w:r>
              <w:rPr>
                <w:spacing w:val="-4"/>
              </w:rPr>
              <w:t xml:space="preserve"> </w:t>
            </w:r>
            <w:r>
              <w:t>Oedema</w:t>
            </w:r>
          </w:p>
        </w:tc>
        <w:tc>
          <w:tcPr>
            <w:tcW w:w="1507" w:type="dxa"/>
          </w:tcPr>
          <w:p w14:paraId="6AF37552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78" w:type="dxa"/>
          </w:tcPr>
          <w:p w14:paraId="18E8A8D4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1228" w:type="dxa"/>
          </w:tcPr>
          <w:p w14:paraId="30A17EFE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503" w:type="dxa"/>
          </w:tcPr>
          <w:p w14:paraId="3E91B608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502" w:type="dxa"/>
          </w:tcPr>
          <w:p w14:paraId="77012FFD" w14:textId="77777777" w:rsidR="006C34D9" w:rsidRDefault="00CB5041">
            <w:pPr>
              <w:pStyle w:val="TableParagraph"/>
              <w:spacing w:line="233" w:lineRule="exact"/>
              <w:ind w:left="14"/>
              <w:jc w:val="center"/>
            </w:pPr>
            <w:r>
              <w:rPr>
                <w:w w:val="99"/>
              </w:rPr>
              <w:t>1</w:t>
            </w:r>
          </w:p>
        </w:tc>
      </w:tr>
      <w:tr w:rsidR="006C34D9" w14:paraId="68A5A464" w14:textId="77777777">
        <w:trPr>
          <w:trHeight w:val="252"/>
        </w:trPr>
        <w:tc>
          <w:tcPr>
            <w:tcW w:w="2096" w:type="dxa"/>
          </w:tcPr>
          <w:p w14:paraId="6910142F" w14:textId="77777777" w:rsidR="006C34D9" w:rsidRDefault="00CB5041">
            <w:pPr>
              <w:pStyle w:val="TableParagraph"/>
              <w:spacing w:line="233" w:lineRule="exact"/>
            </w:pPr>
            <w:r>
              <w:t>Dizziness</w:t>
            </w:r>
          </w:p>
        </w:tc>
        <w:tc>
          <w:tcPr>
            <w:tcW w:w="1507" w:type="dxa"/>
          </w:tcPr>
          <w:p w14:paraId="28E33787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78" w:type="dxa"/>
          </w:tcPr>
          <w:p w14:paraId="2FD5F176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228" w:type="dxa"/>
          </w:tcPr>
          <w:p w14:paraId="3D9D1748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503" w:type="dxa"/>
          </w:tcPr>
          <w:p w14:paraId="4E92EFB6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502" w:type="dxa"/>
          </w:tcPr>
          <w:p w14:paraId="7602E8B0" w14:textId="77777777" w:rsidR="006C34D9" w:rsidRDefault="00CB5041">
            <w:pPr>
              <w:pStyle w:val="TableParagraph"/>
              <w:spacing w:line="233" w:lineRule="exact"/>
              <w:ind w:left="14"/>
              <w:jc w:val="center"/>
            </w:pPr>
            <w:r>
              <w:rPr>
                <w:w w:val="99"/>
              </w:rPr>
              <w:t>2</w:t>
            </w:r>
          </w:p>
        </w:tc>
      </w:tr>
      <w:tr w:rsidR="006C34D9" w14:paraId="366F0E5C" w14:textId="77777777">
        <w:trPr>
          <w:trHeight w:val="252"/>
        </w:trPr>
        <w:tc>
          <w:tcPr>
            <w:tcW w:w="2096" w:type="dxa"/>
          </w:tcPr>
          <w:p w14:paraId="35A0854B" w14:textId="77777777" w:rsidR="006C34D9" w:rsidRDefault="00CB5041">
            <w:pPr>
              <w:pStyle w:val="TableParagraph"/>
              <w:spacing w:line="233" w:lineRule="exact"/>
            </w:pPr>
            <w:r>
              <w:t>Bronchitis</w:t>
            </w:r>
          </w:p>
        </w:tc>
        <w:tc>
          <w:tcPr>
            <w:tcW w:w="1507" w:type="dxa"/>
          </w:tcPr>
          <w:p w14:paraId="6A26567A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78" w:type="dxa"/>
          </w:tcPr>
          <w:p w14:paraId="5BD0640E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28" w:type="dxa"/>
          </w:tcPr>
          <w:p w14:paraId="649B4FD7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503" w:type="dxa"/>
          </w:tcPr>
          <w:p w14:paraId="3552D461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502" w:type="dxa"/>
          </w:tcPr>
          <w:p w14:paraId="45AA6EF2" w14:textId="77777777" w:rsidR="006C34D9" w:rsidRDefault="00CB5041">
            <w:pPr>
              <w:pStyle w:val="TableParagraph"/>
              <w:spacing w:line="233" w:lineRule="exact"/>
              <w:ind w:left="14"/>
              <w:jc w:val="center"/>
            </w:pPr>
            <w:r>
              <w:rPr>
                <w:w w:val="99"/>
              </w:rPr>
              <w:t>3</w:t>
            </w:r>
          </w:p>
        </w:tc>
      </w:tr>
      <w:tr w:rsidR="006C34D9" w14:paraId="453CB8C6" w14:textId="77777777">
        <w:trPr>
          <w:trHeight w:val="252"/>
        </w:trPr>
        <w:tc>
          <w:tcPr>
            <w:tcW w:w="2096" w:type="dxa"/>
          </w:tcPr>
          <w:p w14:paraId="5D86AE18" w14:textId="77777777" w:rsidR="006C34D9" w:rsidRDefault="00CB5041">
            <w:pPr>
              <w:pStyle w:val="TableParagraph"/>
              <w:spacing w:line="233" w:lineRule="exact"/>
            </w:pPr>
            <w:r>
              <w:t>Rash</w:t>
            </w:r>
          </w:p>
        </w:tc>
        <w:tc>
          <w:tcPr>
            <w:tcW w:w="1507" w:type="dxa"/>
          </w:tcPr>
          <w:p w14:paraId="12D1C449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78" w:type="dxa"/>
          </w:tcPr>
          <w:p w14:paraId="1463D7C6" w14:textId="77777777" w:rsidR="006C34D9" w:rsidRDefault="00CB5041">
            <w:pPr>
              <w:pStyle w:val="TableParagraph"/>
              <w:spacing w:line="233" w:lineRule="exact"/>
              <w:ind w:left="10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228" w:type="dxa"/>
          </w:tcPr>
          <w:p w14:paraId="555983B2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503" w:type="dxa"/>
          </w:tcPr>
          <w:p w14:paraId="661E296A" w14:textId="77777777" w:rsidR="006C34D9" w:rsidRDefault="00CB5041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502" w:type="dxa"/>
          </w:tcPr>
          <w:p w14:paraId="2E27BAF9" w14:textId="77777777" w:rsidR="006C34D9" w:rsidRDefault="00CB5041">
            <w:pPr>
              <w:pStyle w:val="TableParagraph"/>
              <w:spacing w:line="233" w:lineRule="exact"/>
              <w:ind w:left="14"/>
              <w:jc w:val="center"/>
            </w:pPr>
            <w:r>
              <w:rPr>
                <w:w w:val="99"/>
              </w:rPr>
              <w:t>1</w:t>
            </w:r>
          </w:p>
        </w:tc>
      </w:tr>
      <w:tr w:rsidR="006C34D9" w14:paraId="50265441" w14:textId="77777777">
        <w:trPr>
          <w:trHeight w:val="253"/>
        </w:trPr>
        <w:tc>
          <w:tcPr>
            <w:tcW w:w="2096" w:type="dxa"/>
          </w:tcPr>
          <w:p w14:paraId="4589675C" w14:textId="77777777" w:rsidR="006C34D9" w:rsidRDefault="00CB5041">
            <w:pPr>
              <w:pStyle w:val="TableParagraph"/>
              <w:spacing w:line="234" w:lineRule="exact"/>
            </w:pPr>
            <w:r>
              <w:t>Mouth</w:t>
            </w:r>
            <w:r>
              <w:rPr>
                <w:spacing w:val="-3"/>
              </w:rPr>
              <w:t xml:space="preserve"> </w:t>
            </w:r>
            <w:r>
              <w:t>Ulceration</w:t>
            </w:r>
          </w:p>
        </w:tc>
        <w:tc>
          <w:tcPr>
            <w:tcW w:w="1507" w:type="dxa"/>
          </w:tcPr>
          <w:p w14:paraId="434F0FAF" w14:textId="77777777" w:rsidR="006C34D9" w:rsidRDefault="00CB50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78" w:type="dxa"/>
          </w:tcPr>
          <w:p w14:paraId="4B198F8E" w14:textId="77777777" w:rsidR="006C34D9" w:rsidRDefault="00CB50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28" w:type="dxa"/>
          </w:tcPr>
          <w:p w14:paraId="2EA51267" w14:textId="77777777" w:rsidR="006C34D9" w:rsidRDefault="00CB50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503" w:type="dxa"/>
          </w:tcPr>
          <w:p w14:paraId="0DBFCEC4" w14:textId="77777777" w:rsidR="006C34D9" w:rsidRDefault="00CB50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502" w:type="dxa"/>
          </w:tcPr>
          <w:p w14:paraId="126BE469" w14:textId="77777777" w:rsidR="006C34D9" w:rsidRDefault="00CB5041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w w:val="99"/>
              </w:rPr>
              <w:t>1</w:t>
            </w:r>
          </w:p>
        </w:tc>
      </w:tr>
      <w:tr w:rsidR="006C34D9" w14:paraId="1A09BF61" w14:textId="77777777">
        <w:trPr>
          <w:trHeight w:val="506"/>
        </w:trPr>
        <w:tc>
          <w:tcPr>
            <w:tcW w:w="2096" w:type="dxa"/>
          </w:tcPr>
          <w:p w14:paraId="697B1FB9" w14:textId="77777777" w:rsidR="006C34D9" w:rsidRDefault="00CB5041">
            <w:pPr>
              <w:pStyle w:val="TableParagraph"/>
              <w:spacing w:line="254" w:lineRule="exact"/>
              <w:ind w:right="522"/>
            </w:pPr>
            <w:r>
              <w:t>Abdominal Pain</w:t>
            </w:r>
            <w:r>
              <w:rPr>
                <w:spacing w:val="-53"/>
              </w:rPr>
              <w:t xml:space="preserve"> </w:t>
            </w:r>
            <w:r>
              <w:t>Upper</w:t>
            </w:r>
          </w:p>
        </w:tc>
        <w:tc>
          <w:tcPr>
            <w:tcW w:w="1507" w:type="dxa"/>
          </w:tcPr>
          <w:p w14:paraId="337CDB71" w14:textId="77777777" w:rsidR="006C34D9" w:rsidRDefault="00CB5041">
            <w:pPr>
              <w:pStyle w:val="TableParagraph"/>
              <w:spacing w:before="124"/>
              <w:ind w:left="1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78" w:type="dxa"/>
          </w:tcPr>
          <w:p w14:paraId="57FB52B8" w14:textId="77777777" w:rsidR="006C34D9" w:rsidRDefault="00CB5041">
            <w:pPr>
              <w:pStyle w:val="TableParagraph"/>
              <w:spacing w:before="124"/>
              <w:ind w:left="1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28" w:type="dxa"/>
          </w:tcPr>
          <w:p w14:paraId="5FA1406C" w14:textId="77777777" w:rsidR="006C34D9" w:rsidRDefault="00CB5041">
            <w:pPr>
              <w:pStyle w:val="TableParagraph"/>
              <w:spacing w:before="124"/>
              <w:ind w:left="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503" w:type="dxa"/>
          </w:tcPr>
          <w:p w14:paraId="4831586F" w14:textId="77777777" w:rsidR="006C34D9" w:rsidRDefault="00CB5041">
            <w:pPr>
              <w:pStyle w:val="TableParagraph"/>
              <w:spacing w:before="124"/>
              <w:ind w:left="1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502" w:type="dxa"/>
          </w:tcPr>
          <w:p w14:paraId="281A7510" w14:textId="77777777" w:rsidR="006C34D9" w:rsidRDefault="00CB5041">
            <w:pPr>
              <w:pStyle w:val="TableParagraph"/>
              <w:spacing w:before="124"/>
              <w:ind w:left="14"/>
              <w:jc w:val="center"/>
            </w:pPr>
            <w:r>
              <w:rPr>
                <w:w w:val="99"/>
              </w:rPr>
              <w:t>2</w:t>
            </w:r>
          </w:p>
        </w:tc>
      </w:tr>
      <w:tr w:rsidR="006C34D9" w14:paraId="0A2A36AA" w14:textId="77777777">
        <w:trPr>
          <w:trHeight w:val="250"/>
        </w:trPr>
        <w:tc>
          <w:tcPr>
            <w:tcW w:w="2096" w:type="dxa"/>
          </w:tcPr>
          <w:p w14:paraId="02FFBA8B" w14:textId="77777777" w:rsidR="006C34D9" w:rsidRDefault="00CB5041">
            <w:pPr>
              <w:pStyle w:val="TableParagraph"/>
              <w:spacing w:line="231" w:lineRule="exact"/>
            </w:pPr>
            <w:r>
              <w:t>Gastritis</w:t>
            </w:r>
          </w:p>
        </w:tc>
        <w:tc>
          <w:tcPr>
            <w:tcW w:w="1507" w:type="dxa"/>
          </w:tcPr>
          <w:p w14:paraId="27A412DB" w14:textId="77777777" w:rsidR="006C34D9" w:rsidRDefault="00CB5041">
            <w:pPr>
              <w:pStyle w:val="TableParagraph"/>
              <w:spacing w:line="231" w:lineRule="exact"/>
              <w:ind w:left="10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78" w:type="dxa"/>
          </w:tcPr>
          <w:p w14:paraId="5C74236A" w14:textId="77777777" w:rsidR="006C34D9" w:rsidRDefault="00CB5041">
            <w:pPr>
              <w:pStyle w:val="TableParagraph"/>
              <w:spacing w:line="231" w:lineRule="exact"/>
              <w:ind w:left="1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28" w:type="dxa"/>
          </w:tcPr>
          <w:p w14:paraId="6E7F91C4" w14:textId="77777777" w:rsidR="006C34D9" w:rsidRDefault="00CB5041">
            <w:pPr>
              <w:pStyle w:val="TableParagraph"/>
              <w:spacing w:line="231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503" w:type="dxa"/>
          </w:tcPr>
          <w:p w14:paraId="2F07FA80" w14:textId="77777777" w:rsidR="006C34D9" w:rsidRDefault="00CB5041">
            <w:pPr>
              <w:pStyle w:val="TableParagraph"/>
              <w:spacing w:line="231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502" w:type="dxa"/>
          </w:tcPr>
          <w:p w14:paraId="6021C25C" w14:textId="77777777" w:rsidR="006C34D9" w:rsidRDefault="00CB5041">
            <w:pPr>
              <w:pStyle w:val="TableParagraph"/>
              <w:spacing w:line="231" w:lineRule="exact"/>
              <w:ind w:left="14"/>
              <w:jc w:val="center"/>
            </w:pPr>
            <w:r>
              <w:rPr>
                <w:w w:val="99"/>
              </w:rPr>
              <w:t>1</w:t>
            </w:r>
          </w:p>
        </w:tc>
      </w:tr>
      <w:tr w:rsidR="006C34D9" w14:paraId="70AE3DD5" w14:textId="77777777">
        <w:trPr>
          <w:trHeight w:val="506"/>
        </w:trPr>
        <w:tc>
          <w:tcPr>
            <w:tcW w:w="2096" w:type="dxa"/>
          </w:tcPr>
          <w:p w14:paraId="107FD92C" w14:textId="77777777" w:rsidR="006C34D9" w:rsidRDefault="00CB5041">
            <w:pPr>
              <w:pStyle w:val="TableParagraph"/>
              <w:spacing w:line="254" w:lineRule="exact"/>
              <w:ind w:right="749"/>
            </w:pPr>
            <w:r>
              <w:rPr>
                <w:spacing w:val="-1"/>
              </w:rPr>
              <w:t>Transaminase</w:t>
            </w:r>
            <w:r>
              <w:rPr>
                <w:spacing w:val="-52"/>
              </w:rPr>
              <w:t xml:space="preserve"> </w:t>
            </w:r>
            <w:r>
              <w:t>increased</w:t>
            </w:r>
          </w:p>
        </w:tc>
        <w:tc>
          <w:tcPr>
            <w:tcW w:w="1507" w:type="dxa"/>
          </w:tcPr>
          <w:p w14:paraId="13BB366B" w14:textId="77777777" w:rsidR="006C34D9" w:rsidRDefault="00CB5041">
            <w:pPr>
              <w:pStyle w:val="TableParagraph"/>
              <w:spacing w:before="124"/>
              <w:ind w:left="10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78" w:type="dxa"/>
          </w:tcPr>
          <w:p w14:paraId="10235AA6" w14:textId="77777777" w:rsidR="006C34D9" w:rsidRDefault="00CB5041">
            <w:pPr>
              <w:pStyle w:val="TableParagraph"/>
              <w:spacing w:before="124"/>
              <w:ind w:left="10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228" w:type="dxa"/>
          </w:tcPr>
          <w:p w14:paraId="3759597D" w14:textId="77777777" w:rsidR="006C34D9" w:rsidRDefault="00CB5041">
            <w:pPr>
              <w:pStyle w:val="TableParagraph"/>
              <w:spacing w:before="124"/>
              <w:ind w:left="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503" w:type="dxa"/>
          </w:tcPr>
          <w:p w14:paraId="79CAD950" w14:textId="77777777" w:rsidR="006C34D9" w:rsidRDefault="00CB5041">
            <w:pPr>
              <w:pStyle w:val="TableParagraph"/>
              <w:spacing w:before="124"/>
              <w:ind w:left="1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502" w:type="dxa"/>
          </w:tcPr>
          <w:p w14:paraId="75FFC826" w14:textId="77777777" w:rsidR="006C34D9" w:rsidRDefault="00CB5041">
            <w:pPr>
              <w:pStyle w:val="TableParagraph"/>
              <w:spacing w:before="124"/>
              <w:ind w:left="14"/>
              <w:jc w:val="center"/>
            </w:pPr>
            <w:r>
              <w:rPr>
                <w:w w:val="99"/>
              </w:rPr>
              <w:t>1</w:t>
            </w:r>
          </w:p>
        </w:tc>
      </w:tr>
    </w:tbl>
    <w:p w14:paraId="67870119" w14:textId="77777777" w:rsidR="006C34D9" w:rsidRDefault="006C34D9">
      <w:pPr>
        <w:pStyle w:val="BodyText"/>
        <w:spacing w:before="10"/>
        <w:ind w:left="0"/>
        <w:rPr>
          <w:b/>
          <w:sz w:val="13"/>
        </w:rPr>
      </w:pPr>
    </w:p>
    <w:p w14:paraId="41420B80" w14:textId="77777777" w:rsidR="006C34D9" w:rsidRDefault="00CB5041">
      <w:pPr>
        <w:pStyle w:val="BodyText"/>
        <w:spacing w:before="90"/>
        <w:ind w:right="596"/>
      </w:pPr>
      <w:r>
        <w:t>Other</w:t>
      </w:r>
      <w:r>
        <w:rPr>
          <w:spacing w:val="5"/>
        </w:rPr>
        <w:t xml:space="preserve"> </w:t>
      </w:r>
      <w:r>
        <w:t>infrequent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medically</w:t>
      </w:r>
      <w:r>
        <w:rPr>
          <w:spacing w:val="6"/>
        </w:rPr>
        <w:t xml:space="preserve"> </w:t>
      </w:r>
      <w:r>
        <w:t>relevant</w:t>
      </w:r>
      <w:r>
        <w:rPr>
          <w:spacing w:val="5"/>
        </w:rPr>
        <w:t xml:space="preserve"> </w:t>
      </w:r>
      <w:r>
        <w:t>adverse</w:t>
      </w:r>
      <w:r>
        <w:rPr>
          <w:spacing w:val="5"/>
        </w:rPr>
        <w:t xml:space="preserve"> </w:t>
      </w:r>
      <w:r>
        <w:t>events</w:t>
      </w:r>
      <w:r>
        <w:rPr>
          <w:spacing w:val="5"/>
        </w:rPr>
        <w:t xml:space="preserve"> </w:t>
      </w:r>
      <w:r>
        <w:t>occurring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incidence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less</w:t>
      </w:r>
      <w:r>
        <w:rPr>
          <w:spacing w:val="6"/>
        </w:rPr>
        <w:t xml:space="preserve"> </w:t>
      </w:r>
      <w:r>
        <w:t>than</w:t>
      </w:r>
      <w:r>
        <w:rPr>
          <w:spacing w:val="-57"/>
        </w:rPr>
        <w:t xml:space="preserve"> </w:t>
      </w:r>
      <w:r>
        <w:t>2%</w:t>
      </w:r>
      <w:r>
        <w:rPr>
          <w:spacing w:val="-1"/>
        </w:rPr>
        <w:t xml:space="preserve"> </w:t>
      </w:r>
      <w:r>
        <w:t>in RA</w:t>
      </w:r>
      <w:r>
        <w:rPr>
          <w:spacing w:val="-1"/>
        </w:rPr>
        <w:t xml:space="preserve"> </w:t>
      </w:r>
      <w:r>
        <w:t>patients treated</w:t>
      </w:r>
      <w:r>
        <w:rPr>
          <w:spacing w:val="-1"/>
        </w:rPr>
        <w:t xml:space="preserve"> </w:t>
      </w:r>
      <w:r>
        <w:t>with Actemra in</w:t>
      </w:r>
      <w:r>
        <w:rPr>
          <w:spacing w:val="-1"/>
        </w:rPr>
        <w:t xml:space="preserve"> </w:t>
      </w:r>
      <w:r>
        <w:t>controlled</w:t>
      </w:r>
      <w:r>
        <w:rPr>
          <w:spacing w:val="-2"/>
        </w:rPr>
        <w:t xml:space="preserve"> </w:t>
      </w:r>
      <w:r>
        <w:t>trials</w:t>
      </w:r>
      <w:r>
        <w:rPr>
          <w:spacing w:val="-1"/>
        </w:rPr>
        <w:t xml:space="preserve"> </w:t>
      </w:r>
      <w:r>
        <w:t>were:</w:t>
      </w:r>
    </w:p>
    <w:p w14:paraId="1DC00B2A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6B78FFAE" w14:textId="77777777" w:rsidR="006C34D9" w:rsidRDefault="00CB5041">
      <w:pPr>
        <w:spacing w:before="1"/>
        <w:ind w:left="660"/>
        <w:rPr>
          <w:sz w:val="24"/>
        </w:rPr>
      </w:pPr>
      <w:r>
        <w:rPr>
          <w:i/>
          <w:sz w:val="24"/>
        </w:rPr>
        <w:t>Infections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infestations: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cellulitis,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herpes</w:t>
      </w:r>
      <w:r>
        <w:rPr>
          <w:spacing w:val="-3"/>
          <w:sz w:val="24"/>
        </w:rPr>
        <w:t xml:space="preserve"> </w:t>
      </w:r>
      <w:r>
        <w:rPr>
          <w:sz w:val="24"/>
        </w:rPr>
        <w:t>simplex,</w:t>
      </w:r>
      <w:r>
        <w:rPr>
          <w:spacing w:val="-2"/>
          <w:sz w:val="24"/>
        </w:rPr>
        <w:t xml:space="preserve"> </w:t>
      </w:r>
      <w:r>
        <w:rPr>
          <w:sz w:val="24"/>
        </w:rPr>
        <w:t>herpes</w:t>
      </w:r>
      <w:r>
        <w:rPr>
          <w:spacing w:val="-2"/>
          <w:sz w:val="24"/>
        </w:rPr>
        <w:t xml:space="preserve"> </w:t>
      </w:r>
      <w:r>
        <w:rPr>
          <w:sz w:val="24"/>
        </w:rPr>
        <w:t>zoster,</w:t>
      </w:r>
      <w:r>
        <w:rPr>
          <w:spacing w:val="-3"/>
          <w:sz w:val="24"/>
        </w:rPr>
        <w:t xml:space="preserve"> </w:t>
      </w:r>
      <w:r>
        <w:rPr>
          <w:sz w:val="24"/>
        </w:rPr>
        <w:t>diverticulitis</w:t>
      </w:r>
    </w:p>
    <w:p w14:paraId="1BF5A39C" w14:textId="77777777" w:rsidR="006C34D9" w:rsidRDefault="00CB5041">
      <w:pPr>
        <w:ind w:left="659"/>
        <w:rPr>
          <w:sz w:val="24"/>
        </w:rPr>
      </w:pPr>
      <w:r>
        <w:rPr>
          <w:i/>
          <w:sz w:val="24"/>
        </w:rPr>
        <w:t>Gastrointestinal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disorders: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stomatitis,</w:t>
      </w:r>
      <w:r>
        <w:rPr>
          <w:spacing w:val="-3"/>
          <w:sz w:val="24"/>
        </w:rPr>
        <w:t xml:space="preserve"> </w:t>
      </w:r>
      <w:r>
        <w:rPr>
          <w:sz w:val="24"/>
        </w:rPr>
        <w:t>gastric</w:t>
      </w:r>
      <w:r>
        <w:rPr>
          <w:spacing w:val="-2"/>
          <w:sz w:val="24"/>
        </w:rPr>
        <w:t xml:space="preserve"> </w:t>
      </w:r>
      <w:r>
        <w:rPr>
          <w:sz w:val="24"/>
        </w:rPr>
        <w:t>ulcer</w:t>
      </w:r>
    </w:p>
    <w:p w14:paraId="399252A4" w14:textId="77777777" w:rsidR="006C34D9" w:rsidRDefault="00CB5041">
      <w:pPr>
        <w:ind w:left="660" w:right="3586"/>
        <w:rPr>
          <w:sz w:val="24"/>
        </w:rPr>
      </w:pPr>
      <w:r>
        <w:rPr>
          <w:i/>
          <w:sz w:val="24"/>
        </w:rPr>
        <w:t xml:space="preserve">Skin and subcutaneous tissue disorders: </w:t>
      </w:r>
      <w:r>
        <w:rPr>
          <w:sz w:val="24"/>
        </w:rPr>
        <w:t>pruritus, urticaria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Investigations: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weight</w:t>
      </w:r>
      <w:r>
        <w:rPr>
          <w:spacing w:val="4"/>
          <w:sz w:val="24"/>
        </w:rPr>
        <w:t xml:space="preserve"> </w:t>
      </w:r>
      <w:r>
        <w:rPr>
          <w:sz w:val="24"/>
        </w:rPr>
        <w:t>increased,</w:t>
      </w:r>
      <w:r>
        <w:rPr>
          <w:spacing w:val="6"/>
          <w:sz w:val="24"/>
        </w:rPr>
        <w:t xml:space="preserve"> </w:t>
      </w:r>
      <w:r>
        <w:rPr>
          <w:sz w:val="24"/>
        </w:rPr>
        <w:t>total</w:t>
      </w:r>
      <w:r>
        <w:rPr>
          <w:spacing w:val="5"/>
          <w:sz w:val="24"/>
        </w:rPr>
        <w:t xml:space="preserve"> </w:t>
      </w:r>
      <w:r>
        <w:rPr>
          <w:sz w:val="24"/>
        </w:rPr>
        <w:t>bilirubin</w:t>
      </w:r>
      <w:r>
        <w:rPr>
          <w:spacing w:val="5"/>
          <w:sz w:val="24"/>
        </w:rPr>
        <w:t xml:space="preserve"> </w:t>
      </w:r>
      <w:r>
        <w:rPr>
          <w:sz w:val="24"/>
        </w:rPr>
        <w:t>increased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Blood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lymphatic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disorders: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leucopenia,</w:t>
      </w:r>
      <w:r>
        <w:rPr>
          <w:spacing w:val="-2"/>
          <w:sz w:val="24"/>
        </w:rPr>
        <w:t xml:space="preserve"> </w:t>
      </w:r>
      <w:r>
        <w:rPr>
          <w:sz w:val="24"/>
        </w:rPr>
        <w:t>neutropenia</w:t>
      </w:r>
    </w:p>
    <w:p w14:paraId="3D79358B" w14:textId="77777777" w:rsidR="006C34D9" w:rsidRDefault="00CB5041">
      <w:pPr>
        <w:ind w:left="659" w:right="1699"/>
        <w:rPr>
          <w:sz w:val="24"/>
        </w:rPr>
      </w:pPr>
      <w:r>
        <w:rPr>
          <w:i/>
          <w:sz w:val="24"/>
        </w:rPr>
        <w:t xml:space="preserve">Metabolism and nutrition disorders: </w:t>
      </w:r>
      <w:proofErr w:type="spellStart"/>
      <w:r>
        <w:rPr>
          <w:sz w:val="24"/>
        </w:rPr>
        <w:t>hypercholesterolaemia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hypertriglyceridaemia</w:t>
      </w:r>
      <w:proofErr w:type="spellEnd"/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General disorders and administration site conditions: </w:t>
      </w:r>
      <w:r>
        <w:rPr>
          <w:sz w:val="24"/>
        </w:rPr>
        <w:t>hypersensitivity reaction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Respiratory,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thoracic</w:t>
      </w:r>
      <w:proofErr w:type="gramEnd"/>
      <w:r>
        <w:rPr>
          <w:i/>
          <w:sz w:val="24"/>
        </w:rPr>
        <w:t xml:space="preserve"> and mediastinal disorders: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dyspnoea</w:t>
      </w:r>
      <w:proofErr w:type="spellEnd"/>
    </w:p>
    <w:p w14:paraId="6E07F8C6" w14:textId="77777777" w:rsidR="006C34D9" w:rsidRDefault="00CB5041">
      <w:pPr>
        <w:ind w:left="659"/>
        <w:rPr>
          <w:sz w:val="24"/>
        </w:rPr>
      </w:pPr>
      <w:r>
        <w:rPr>
          <w:i/>
          <w:sz w:val="24"/>
        </w:rPr>
        <w:t>Eye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disorders: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conjunctivitis</w:t>
      </w:r>
    </w:p>
    <w:p w14:paraId="42DFB79E" w14:textId="77777777" w:rsidR="006C34D9" w:rsidRDefault="00CB5041">
      <w:pPr>
        <w:ind w:left="659"/>
        <w:rPr>
          <w:sz w:val="24"/>
        </w:rPr>
      </w:pPr>
      <w:r>
        <w:rPr>
          <w:i/>
          <w:sz w:val="24"/>
        </w:rPr>
        <w:t>Renal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disorders: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nephrolithiasis</w:t>
      </w:r>
    </w:p>
    <w:p w14:paraId="1B9413A0" w14:textId="77777777" w:rsidR="006C34D9" w:rsidRDefault="00CB5041">
      <w:pPr>
        <w:ind w:left="659"/>
        <w:rPr>
          <w:sz w:val="24"/>
        </w:rPr>
      </w:pPr>
      <w:r>
        <w:rPr>
          <w:i/>
          <w:sz w:val="24"/>
        </w:rPr>
        <w:t>Endocrine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disorders: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hypothyroidism</w:t>
      </w:r>
    </w:p>
    <w:p w14:paraId="1AC191D5" w14:textId="77777777" w:rsidR="006C34D9" w:rsidRDefault="00CB5041">
      <w:pPr>
        <w:pStyle w:val="BodyText"/>
        <w:spacing w:before="199"/>
      </w:pPr>
      <w:r>
        <w:rPr>
          <w:u w:val="single"/>
        </w:rPr>
        <w:t>Infections</w:t>
      </w:r>
    </w:p>
    <w:p w14:paraId="0F044E68" w14:textId="77777777" w:rsidR="006C34D9" w:rsidRDefault="00CB5041">
      <w:pPr>
        <w:pStyle w:val="BodyText"/>
      </w:pP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6</w:t>
      </w:r>
      <w:r>
        <w:rPr>
          <w:spacing w:val="-12"/>
        </w:rPr>
        <w:t xml:space="preserve"> </w:t>
      </w:r>
      <w:r>
        <w:rPr>
          <w:spacing w:val="-1"/>
        </w:rPr>
        <w:t>month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controlled</w:t>
      </w:r>
      <w:r>
        <w:rPr>
          <w:spacing w:val="-15"/>
        </w:rPr>
        <w:t xml:space="preserve"> </w:t>
      </w:r>
      <w:r>
        <w:t>clinical</w:t>
      </w:r>
      <w:r>
        <w:rPr>
          <w:spacing w:val="-13"/>
        </w:rPr>
        <w:t xml:space="preserve"> </w:t>
      </w:r>
      <w:r>
        <w:t>trials,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rate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infections</w:t>
      </w:r>
      <w:r>
        <w:rPr>
          <w:spacing w:val="-13"/>
        </w:rPr>
        <w:t xml:space="preserve"> </w:t>
      </w:r>
      <w:r>
        <w:t>reported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mg/kg</w:t>
      </w:r>
    </w:p>
    <w:p w14:paraId="33409DD6" w14:textId="77777777" w:rsidR="006C34D9" w:rsidRDefault="00CB5041">
      <w:pPr>
        <w:pStyle w:val="BodyText"/>
        <w:ind w:right="657"/>
        <w:jc w:val="both"/>
      </w:pPr>
      <w:r>
        <w:t>+ DMARD treatment was 127 events per 100 patient (</w:t>
      </w:r>
      <w:proofErr w:type="spellStart"/>
      <w:r>
        <w:t>pt</w:t>
      </w:r>
      <w:proofErr w:type="spellEnd"/>
      <w:r>
        <w:t>) years compared to 112 events per</w:t>
      </w:r>
      <w:r>
        <w:rPr>
          <w:spacing w:val="1"/>
        </w:rPr>
        <w:t xml:space="preserve"> </w:t>
      </w:r>
      <w:r>
        <w:t>100</w:t>
      </w:r>
      <w:r>
        <w:rPr>
          <w:spacing w:val="-6"/>
        </w:rPr>
        <w:t xml:space="preserve"> </w:t>
      </w:r>
      <w:proofErr w:type="spellStart"/>
      <w:r>
        <w:t>pt</w:t>
      </w:r>
      <w:proofErr w:type="spellEnd"/>
      <w:r>
        <w:rPr>
          <w:spacing w:val="-6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placebo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DMARD</w:t>
      </w:r>
      <w:r>
        <w:rPr>
          <w:spacing w:val="-7"/>
        </w:rPr>
        <w:t xml:space="preserve"> </w:t>
      </w:r>
      <w:r>
        <w:t>group.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i/>
        </w:rPr>
        <w:t>all</w:t>
      </w:r>
      <w:r>
        <w:rPr>
          <w:i/>
          <w:spacing w:val="-6"/>
        </w:rPr>
        <w:t xml:space="preserve"> </w:t>
      </w:r>
      <w:r>
        <w:rPr>
          <w:i/>
        </w:rPr>
        <w:t>exposure</w:t>
      </w:r>
      <w:r>
        <w:rPr>
          <w:i/>
          <w:spacing w:val="-5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infections</w:t>
      </w:r>
      <w:r>
        <w:rPr>
          <w:spacing w:val="-1"/>
        </w:rPr>
        <w:t xml:space="preserve"> </w:t>
      </w:r>
      <w:r>
        <w:t>with Actemra was 108 events</w:t>
      </w:r>
      <w:r>
        <w:rPr>
          <w:spacing w:val="-1"/>
        </w:rPr>
        <w:t xml:space="preserve"> </w:t>
      </w:r>
      <w:r>
        <w:t>per 100</w:t>
      </w:r>
      <w:r>
        <w:rPr>
          <w:spacing w:val="-2"/>
        </w:rPr>
        <w:t xml:space="preserve"> </w:t>
      </w:r>
      <w:proofErr w:type="spellStart"/>
      <w:r>
        <w:t>pt</w:t>
      </w:r>
      <w:proofErr w:type="spellEnd"/>
      <w:r>
        <w:t xml:space="preserve"> years</w:t>
      </w:r>
      <w:r>
        <w:rPr>
          <w:spacing w:val="-1"/>
        </w:rPr>
        <w:t xml:space="preserve"> </w:t>
      </w:r>
      <w:r>
        <w:t>exposure.</w:t>
      </w:r>
    </w:p>
    <w:p w14:paraId="50F3DB1B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62975C6" w14:textId="77777777" w:rsidR="006C34D9" w:rsidRDefault="00CB5041">
      <w:pPr>
        <w:pStyle w:val="BodyText"/>
        <w:ind w:right="658"/>
        <w:jc w:val="both"/>
      </w:pPr>
      <w:r>
        <w:t>In the 6 month controlled clinical trials, the rate of serious infections (bacterial, viral and</w:t>
      </w:r>
      <w:r>
        <w:rPr>
          <w:spacing w:val="1"/>
        </w:rPr>
        <w:t xml:space="preserve"> </w:t>
      </w:r>
      <w:r>
        <w:t>fungal)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Actemra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mg/kg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DMARD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5.3</w:t>
      </w:r>
      <w:r>
        <w:rPr>
          <w:spacing w:val="-4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proofErr w:type="spellStart"/>
      <w:r>
        <w:t>pt</w:t>
      </w:r>
      <w:proofErr w:type="spellEnd"/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exposure</w:t>
      </w:r>
      <w:r>
        <w:rPr>
          <w:spacing w:val="-5"/>
        </w:rPr>
        <w:t xml:space="preserve"> </w:t>
      </w:r>
      <w:r>
        <w:t>compared</w:t>
      </w:r>
      <w:r>
        <w:rPr>
          <w:spacing w:val="-5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3.9</w:t>
      </w:r>
      <w:r>
        <w:rPr>
          <w:spacing w:val="5"/>
        </w:rPr>
        <w:t xml:space="preserve"> </w:t>
      </w:r>
      <w:r>
        <w:t>events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100</w:t>
      </w:r>
      <w:r>
        <w:rPr>
          <w:spacing w:val="6"/>
        </w:rPr>
        <w:t xml:space="preserve"> </w:t>
      </w:r>
      <w:proofErr w:type="spellStart"/>
      <w:r>
        <w:t>pt</w:t>
      </w:r>
      <w:proofErr w:type="spellEnd"/>
      <w:r>
        <w:rPr>
          <w:spacing w:val="5"/>
        </w:rPr>
        <w:t xml:space="preserve"> </w:t>
      </w:r>
      <w:r>
        <w:t>years</w:t>
      </w:r>
      <w:r>
        <w:rPr>
          <w:spacing w:val="5"/>
        </w:rPr>
        <w:t xml:space="preserve"> </w:t>
      </w:r>
      <w:r>
        <w:t>exposure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placebo</w:t>
      </w:r>
      <w:r>
        <w:rPr>
          <w:spacing w:val="6"/>
        </w:rPr>
        <w:t xml:space="preserve"> </w:t>
      </w:r>
      <w:r>
        <w:t>+</w:t>
      </w:r>
      <w:r>
        <w:rPr>
          <w:spacing w:val="5"/>
        </w:rPr>
        <w:t xml:space="preserve"> </w:t>
      </w:r>
      <w:r>
        <w:t>DMARD</w:t>
      </w:r>
      <w:r>
        <w:rPr>
          <w:spacing w:val="5"/>
        </w:rPr>
        <w:t xml:space="preserve"> </w:t>
      </w:r>
      <w:r>
        <w:t>group.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monotherapy</w:t>
      </w:r>
    </w:p>
    <w:p w14:paraId="6F97F409" w14:textId="77777777" w:rsidR="006C34D9" w:rsidRDefault="006C34D9">
      <w:pPr>
        <w:jc w:val="both"/>
        <w:sectPr w:rsidR="006C34D9">
          <w:pgSz w:w="11910" w:h="16840"/>
          <w:pgMar w:top="1420" w:right="780" w:bottom="780" w:left="780" w:header="0" w:footer="592" w:gutter="0"/>
          <w:cols w:space="720"/>
        </w:sectPr>
      </w:pPr>
    </w:p>
    <w:p w14:paraId="3379E592" w14:textId="77777777" w:rsidR="006C34D9" w:rsidRDefault="00CB5041">
      <w:pPr>
        <w:pStyle w:val="BodyText"/>
        <w:spacing w:before="79"/>
        <w:ind w:right="660"/>
        <w:jc w:val="both"/>
      </w:pPr>
      <w:r>
        <w:lastRenderedPageBreak/>
        <w:t>study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infections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3.6</w:t>
      </w:r>
      <w:r>
        <w:rPr>
          <w:spacing w:val="-2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100</w:t>
      </w:r>
      <w:r>
        <w:rPr>
          <w:spacing w:val="-3"/>
        </w:rPr>
        <w:t xml:space="preserve"> </w:t>
      </w:r>
      <w:proofErr w:type="spellStart"/>
      <w:r>
        <w:t>pt</w:t>
      </w:r>
      <w:proofErr w:type="spellEnd"/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Actemra</w:t>
      </w:r>
      <w:r>
        <w:rPr>
          <w:spacing w:val="-57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and 1.5 events per</w:t>
      </w:r>
      <w:r>
        <w:rPr>
          <w:spacing w:val="-1"/>
        </w:rPr>
        <w:t xml:space="preserve"> </w:t>
      </w:r>
      <w:r>
        <w:t xml:space="preserve">100 </w:t>
      </w:r>
      <w:proofErr w:type="spellStart"/>
      <w:r>
        <w:t>pt</w:t>
      </w:r>
      <w:proofErr w:type="spellEnd"/>
      <w:r>
        <w:t xml:space="preserve"> years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exposure in the MTX</w:t>
      </w:r>
      <w:r>
        <w:rPr>
          <w:spacing w:val="-3"/>
        </w:rPr>
        <w:t xml:space="preserve"> </w:t>
      </w:r>
      <w:r>
        <w:t>group.</w:t>
      </w:r>
    </w:p>
    <w:p w14:paraId="6668E5E2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147F2C1" w14:textId="77777777" w:rsidR="006C34D9" w:rsidRDefault="00CB5041">
      <w:pPr>
        <w:pStyle w:val="BodyText"/>
        <w:ind w:right="657"/>
        <w:jc w:val="both"/>
      </w:pPr>
      <w:r>
        <w:t xml:space="preserve">In the all exposure population the overall rate of serious infections was 4.7 events per 100 </w:t>
      </w:r>
      <w:proofErr w:type="spellStart"/>
      <w:r>
        <w:t>pt</w:t>
      </w:r>
      <w:proofErr w:type="spellEnd"/>
      <w:r>
        <w:rPr>
          <w:spacing w:val="1"/>
        </w:rPr>
        <w:t xml:space="preserve"> </w:t>
      </w:r>
      <w:r>
        <w:t>years. Reported serious infections, some with fatal outcome, included active tuberculosis,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intrapulmonary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extrapulmonary</w:t>
      </w:r>
      <w:r>
        <w:rPr>
          <w:spacing w:val="1"/>
        </w:rPr>
        <w:t xml:space="preserve"> </w:t>
      </w:r>
      <w:r>
        <w:t>disease,</w:t>
      </w:r>
      <w:r>
        <w:rPr>
          <w:spacing w:val="1"/>
        </w:rPr>
        <w:t xml:space="preserve"> </w:t>
      </w:r>
      <w:r>
        <w:t>invasive</w:t>
      </w:r>
      <w:r>
        <w:rPr>
          <w:spacing w:val="1"/>
        </w:rPr>
        <w:t xml:space="preserve"> </w:t>
      </w:r>
      <w:r>
        <w:t>pulmonary</w:t>
      </w:r>
      <w:r>
        <w:rPr>
          <w:spacing w:val="-57"/>
        </w:rPr>
        <w:t xml:space="preserve"> </w:t>
      </w:r>
      <w:r>
        <w:t>infections,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candidiasis,</w:t>
      </w:r>
      <w:r>
        <w:rPr>
          <w:spacing w:val="1"/>
        </w:rPr>
        <w:t xml:space="preserve"> </w:t>
      </w:r>
      <w:r>
        <w:t>aspergillosis,</w:t>
      </w:r>
      <w:r>
        <w:rPr>
          <w:spacing w:val="1"/>
        </w:rPr>
        <w:t xml:space="preserve"> </w:t>
      </w:r>
      <w:r>
        <w:t>coccidioidomycosis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pneumocystis</w:t>
      </w:r>
      <w:r>
        <w:rPr>
          <w:spacing w:val="1"/>
        </w:rPr>
        <w:t xml:space="preserve"> </w:t>
      </w:r>
      <w:proofErr w:type="spellStart"/>
      <w:r>
        <w:t>jirovecii</w:t>
      </w:r>
      <w:proofErr w:type="spellEnd"/>
      <w:r>
        <w:t>,</w:t>
      </w:r>
      <w:r>
        <w:rPr>
          <w:spacing w:val="-13"/>
        </w:rPr>
        <w:t xml:space="preserve"> </w:t>
      </w:r>
      <w:r>
        <w:t>pneumonia,</w:t>
      </w:r>
      <w:r>
        <w:rPr>
          <w:spacing w:val="-12"/>
        </w:rPr>
        <w:t xml:space="preserve"> </w:t>
      </w:r>
      <w:r>
        <w:t>cellulitis,</w:t>
      </w:r>
      <w:r>
        <w:rPr>
          <w:spacing w:val="-13"/>
        </w:rPr>
        <w:t xml:space="preserve"> </w:t>
      </w:r>
      <w:r>
        <w:t>herpes</w:t>
      </w:r>
      <w:r>
        <w:rPr>
          <w:spacing w:val="-12"/>
        </w:rPr>
        <w:t xml:space="preserve"> </w:t>
      </w:r>
      <w:r>
        <w:t>zoster,</w:t>
      </w:r>
      <w:r>
        <w:rPr>
          <w:spacing w:val="-13"/>
        </w:rPr>
        <w:t xml:space="preserve"> </w:t>
      </w:r>
      <w:r>
        <w:t>gastroenteritis,</w:t>
      </w:r>
      <w:r>
        <w:rPr>
          <w:spacing w:val="-12"/>
        </w:rPr>
        <w:t xml:space="preserve"> </w:t>
      </w:r>
      <w:r>
        <w:t>diverticulitis,</w:t>
      </w:r>
      <w:r>
        <w:rPr>
          <w:spacing w:val="-13"/>
        </w:rPr>
        <w:t xml:space="preserve"> </w:t>
      </w:r>
      <w:r>
        <w:t>sepsis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bacterial</w:t>
      </w:r>
      <w:r>
        <w:rPr>
          <w:spacing w:val="-58"/>
        </w:rPr>
        <w:t xml:space="preserve"> </w:t>
      </w:r>
      <w:bookmarkStart w:id="64" w:name="Gastrointestinal_Perforation"/>
      <w:bookmarkEnd w:id="64"/>
      <w:r>
        <w:t>arthritis.</w:t>
      </w:r>
      <w:r>
        <w:rPr>
          <w:spacing w:val="-1"/>
        </w:rPr>
        <w:t xml:space="preserve"> </w:t>
      </w:r>
      <w:r>
        <w:t>Cases of</w:t>
      </w:r>
      <w:r>
        <w:rPr>
          <w:spacing w:val="-1"/>
        </w:rPr>
        <w:t xml:space="preserve"> </w:t>
      </w:r>
      <w:r>
        <w:t>opportunistic</w:t>
      </w:r>
      <w:r>
        <w:rPr>
          <w:spacing w:val="-1"/>
        </w:rPr>
        <w:t xml:space="preserve"> </w:t>
      </w:r>
      <w:r>
        <w:t>infections have also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reported.</w:t>
      </w:r>
    </w:p>
    <w:p w14:paraId="2038C648" w14:textId="77777777" w:rsidR="006C34D9" w:rsidRDefault="00CB5041">
      <w:pPr>
        <w:pStyle w:val="BodyText"/>
        <w:spacing w:before="200"/>
        <w:jc w:val="both"/>
      </w:pPr>
      <w:r>
        <w:rPr>
          <w:u w:val="single"/>
        </w:rPr>
        <w:t>Gastrointestinal</w:t>
      </w:r>
      <w:r>
        <w:rPr>
          <w:spacing w:val="-4"/>
          <w:u w:val="single"/>
        </w:rPr>
        <w:t xml:space="preserve"> </w:t>
      </w:r>
      <w:r>
        <w:rPr>
          <w:u w:val="single"/>
        </w:rPr>
        <w:t>Perforation</w:t>
      </w:r>
    </w:p>
    <w:p w14:paraId="3D1B8EC6" w14:textId="77777777" w:rsidR="006C34D9" w:rsidRDefault="00CB5041">
      <w:pPr>
        <w:pStyle w:val="BodyText"/>
        <w:ind w:right="658"/>
        <w:jc w:val="both"/>
      </w:pPr>
      <w:r>
        <w:t>During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proofErr w:type="gramStart"/>
      <w:r>
        <w:t>6</w:t>
      </w:r>
      <w:r>
        <w:rPr>
          <w:spacing w:val="-14"/>
        </w:rPr>
        <w:t xml:space="preserve"> </w:t>
      </w:r>
      <w:r>
        <w:t>month</w:t>
      </w:r>
      <w:proofErr w:type="gramEnd"/>
      <w:r>
        <w:rPr>
          <w:spacing w:val="-12"/>
        </w:rPr>
        <w:t xml:space="preserve"> </w:t>
      </w:r>
      <w:r>
        <w:t>controlled</w:t>
      </w:r>
      <w:r>
        <w:rPr>
          <w:spacing w:val="-14"/>
        </w:rPr>
        <w:t xml:space="preserve"> </w:t>
      </w:r>
      <w:r>
        <w:t>clinical</w:t>
      </w:r>
      <w:r>
        <w:rPr>
          <w:spacing w:val="-13"/>
        </w:rPr>
        <w:t xml:space="preserve"> </w:t>
      </w:r>
      <w:r>
        <w:t>trials,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overall</w:t>
      </w:r>
      <w:r>
        <w:rPr>
          <w:spacing w:val="-13"/>
        </w:rPr>
        <w:t xml:space="preserve"> </w:t>
      </w:r>
      <w:r>
        <w:t>rate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gastrointestinal</w:t>
      </w:r>
      <w:r>
        <w:rPr>
          <w:spacing w:val="-13"/>
        </w:rPr>
        <w:t xml:space="preserve"> </w:t>
      </w:r>
      <w:r>
        <w:t>(GI)</w:t>
      </w:r>
      <w:r>
        <w:rPr>
          <w:spacing w:val="-13"/>
        </w:rPr>
        <w:t xml:space="preserve"> </w:t>
      </w:r>
      <w:r>
        <w:t>perforation</w:t>
      </w:r>
      <w:r>
        <w:rPr>
          <w:spacing w:val="-57"/>
        </w:rPr>
        <w:t xml:space="preserve"> </w:t>
      </w:r>
      <w:r>
        <w:t xml:space="preserve">was 0.26 events per 100 </w:t>
      </w:r>
      <w:proofErr w:type="spellStart"/>
      <w:r>
        <w:t>pt</w:t>
      </w:r>
      <w:proofErr w:type="spellEnd"/>
      <w:r>
        <w:t xml:space="preserve"> years with Actemra therapy. In the </w:t>
      </w:r>
      <w:r>
        <w:rPr>
          <w:i/>
        </w:rPr>
        <w:t xml:space="preserve">all exposure </w:t>
      </w:r>
      <w:r>
        <w:t>population the</w:t>
      </w:r>
      <w:r>
        <w:rPr>
          <w:spacing w:val="1"/>
        </w:rPr>
        <w:t xml:space="preserve"> </w:t>
      </w:r>
      <w:r>
        <w:t xml:space="preserve">overall rate of gastrointestinal perforation was 0.28 events per 100 </w:t>
      </w:r>
      <w:proofErr w:type="spellStart"/>
      <w:r>
        <w:t>pt</w:t>
      </w:r>
      <w:proofErr w:type="spellEnd"/>
      <w:r>
        <w:t xml:space="preserve"> years. Reports of</w:t>
      </w:r>
      <w:r>
        <w:rPr>
          <w:spacing w:val="1"/>
        </w:rPr>
        <w:t xml:space="preserve"> </w:t>
      </w:r>
      <w:r>
        <w:t>gastrointestinal</w:t>
      </w:r>
      <w:r>
        <w:rPr>
          <w:spacing w:val="-11"/>
        </w:rPr>
        <w:t xml:space="preserve"> </w:t>
      </w:r>
      <w:r>
        <w:t>perforation</w:t>
      </w:r>
      <w:r>
        <w:rPr>
          <w:spacing w:val="-11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primarily</w:t>
      </w:r>
      <w:r>
        <w:rPr>
          <w:spacing w:val="-11"/>
        </w:rPr>
        <w:t xml:space="preserve"> </w:t>
      </w:r>
      <w:r>
        <w:t>reported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complications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diverticulitis</w:t>
      </w:r>
      <w:r>
        <w:rPr>
          <w:spacing w:val="-11"/>
        </w:rPr>
        <w:t xml:space="preserve"> </w:t>
      </w:r>
      <w:r>
        <w:t>including</w:t>
      </w:r>
      <w:r>
        <w:rPr>
          <w:spacing w:val="-58"/>
        </w:rPr>
        <w:t xml:space="preserve"> </w:t>
      </w:r>
      <w:proofErr w:type="spellStart"/>
      <w:r>
        <w:t>generalised</w:t>
      </w:r>
      <w:proofErr w:type="spellEnd"/>
      <w:r>
        <w:rPr>
          <w:spacing w:val="-3"/>
        </w:rPr>
        <w:t xml:space="preserve"> </w:t>
      </w:r>
      <w:r>
        <w:t>purulent peritonitis,</w:t>
      </w:r>
      <w:r>
        <w:rPr>
          <w:spacing w:val="-3"/>
        </w:rPr>
        <w:t xml:space="preserve"> </w:t>
      </w:r>
      <w:r>
        <w:t>lower GI perforation,</w:t>
      </w:r>
      <w:r>
        <w:rPr>
          <w:spacing w:val="-1"/>
        </w:rPr>
        <w:t xml:space="preserve"> </w:t>
      </w:r>
      <w:proofErr w:type="gramStart"/>
      <w:r>
        <w:t>fistulae</w:t>
      </w:r>
      <w:proofErr w:type="gramEnd"/>
      <w:r>
        <w:t xml:space="preserve"> and abscess.</w:t>
      </w:r>
    </w:p>
    <w:p w14:paraId="65411ADE" w14:textId="77777777" w:rsidR="006C34D9" w:rsidRDefault="00CB5041">
      <w:pPr>
        <w:pStyle w:val="BodyText"/>
        <w:spacing w:before="200"/>
        <w:jc w:val="both"/>
      </w:pPr>
      <w:r>
        <w:rPr>
          <w:u w:val="single"/>
        </w:rPr>
        <w:t>Infusion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Reactions</w:t>
      </w:r>
    </w:p>
    <w:p w14:paraId="0DB0A7CB" w14:textId="77777777" w:rsidR="006C34D9" w:rsidRDefault="00CB5041">
      <w:pPr>
        <w:pStyle w:val="BodyText"/>
        <w:ind w:right="657"/>
        <w:jc w:val="both"/>
      </w:pPr>
      <w:r>
        <w:t>In the 6 month controlled trials, adverse events associated with infusion (selected events</w:t>
      </w:r>
      <w:r>
        <w:rPr>
          <w:spacing w:val="1"/>
        </w:rPr>
        <w:t xml:space="preserve"> </w:t>
      </w:r>
      <w:r>
        <w:t>occurring during or within 24 hours of infusion) were reported by 6.9% of patients in the</w:t>
      </w:r>
      <w:r>
        <w:rPr>
          <w:spacing w:val="1"/>
        </w:rPr>
        <w:t xml:space="preserve"> </w:t>
      </w:r>
      <w:r>
        <w:t>Actemra 8 mg/kg + DMARD and 5.1% of patients in the placebo + DMARD group. Events</w:t>
      </w:r>
      <w:r>
        <w:rPr>
          <w:spacing w:val="1"/>
        </w:rPr>
        <w:t xml:space="preserve"> </w:t>
      </w:r>
      <w:r>
        <w:t>reported during the infusion were primarily episodes of hypertension. Events reported within</w:t>
      </w:r>
      <w:r>
        <w:rPr>
          <w:spacing w:val="1"/>
        </w:rPr>
        <w:t xml:space="preserve"> </w:t>
      </w:r>
      <w:r>
        <w:t>24 hours of finishing an infusion were headache and skin reactions (rash, urticaria). These</w:t>
      </w:r>
      <w:r>
        <w:rPr>
          <w:spacing w:val="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not treatment limiting.</w:t>
      </w:r>
    </w:p>
    <w:p w14:paraId="4D21D4DC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25EFEC04" w14:textId="77777777" w:rsidR="006C34D9" w:rsidRDefault="00CB5041">
      <w:pPr>
        <w:pStyle w:val="BodyText"/>
        <w:ind w:right="658"/>
        <w:jc w:val="both"/>
      </w:pPr>
      <w:r>
        <w:t>The rate of anaphylactic reactions (occurring in a total of 8/4009 patients, 0.2%) was several</w:t>
      </w:r>
      <w:r>
        <w:rPr>
          <w:spacing w:val="1"/>
        </w:rPr>
        <w:t xml:space="preserve"> </w:t>
      </w:r>
      <w:proofErr w:type="gramStart"/>
      <w:r>
        <w:t>fold</w:t>
      </w:r>
      <w:proofErr w:type="gramEnd"/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with the 4 mg/kg dose,</w:t>
      </w:r>
      <w:r>
        <w:rPr>
          <w:spacing w:val="-1"/>
        </w:rPr>
        <w:t xml:space="preserve"> </w:t>
      </w:r>
      <w:r>
        <w:t>compared to the 8 mg/kg</w:t>
      </w:r>
      <w:r>
        <w:rPr>
          <w:spacing w:val="1"/>
        </w:rPr>
        <w:t xml:space="preserve"> </w:t>
      </w:r>
      <w:r>
        <w:t>dose.</w:t>
      </w:r>
    </w:p>
    <w:p w14:paraId="003E251B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B223381" w14:textId="77777777" w:rsidR="006C34D9" w:rsidRDefault="00CB5041">
      <w:pPr>
        <w:pStyle w:val="BodyText"/>
        <w:ind w:right="657"/>
        <w:jc w:val="both"/>
      </w:pPr>
      <w:r>
        <w:t>Clinically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hypersensitivity</w:t>
      </w:r>
      <w:r>
        <w:rPr>
          <w:spacing w:val="1"/>
        </w:rPr>
        <w:t xml:space="preserve"> </w:t>
      </w:r>
      <w:r>
        <w:t>reactions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requiring</w:t>
      </w:r>
      <w:r>
        <w:rPr>
          <w:spacing w:val="1"/>
        </w:rPr>
        <w:t xml:space="preserve"> </w:t>
      </w:r>
      <w:r>
        <w:t>treatment discontinuation, were reported in a total of 56 out of 4009 patients (1.4%) treated</w:t>
      </w:r>
      <w:r>
        <w:rPr>
          <w:spacing w:val="1"/>
        </w:rPr>
        <w:t xml:space="preserve"> </w:t>
      </w:r>
      <w:r>
        <w:t>with Actemra during the controlled and open label clinical trials.</w:t>
      </w:r>
      <w:r>
        <w:rPr>
          <w:spacing w:val="1"/>
        </w:rPr>
        <w:t xml:space="preserve"> </w:t>
      </w:r>
      <w:r>
        <w:t>These reactions were</w:t>
      </w:r>
      <w:r>
        <w:rPr>
          <w:spacing w:val="1"/>
        </w:rPr>
        <w:t xml:space="preserve"> </w:t>
      </w:r>
      <w:r>
        <w:t>generally</w:t>
      </w:r>
      <w:r>
        <w:rPr>
          <w:spacing w:val="-1"/>
        </w:rPr>
        <w:t xml:space="preserve"> </w:t>
      </w:r>
      <w:r>
        <w:t>observed during the second</w:t>
      </w:r>
      <w:r>
        <w:rPr>
          <w:spacing w:val="-3"/>
        </w:rPr>
        <w:t xml:space="preserve"> </w:t>
      </w:r>
      <w:r>
        <w:t>to fifth infusions of</w:t>
      </w:r>
      <w:r>
        <w:rPr>
          <w:spacing w:val="-2"/>
        </w:rPr>
        <w:t xml:space="preserve"> </w:t>
      </w:r>
      <w:r>
        <w:t>Actemra.</w:t>
      </w:r>
    </w:p>
    <w:p w14:paraId="1A1ECCA2" w14:textId="77777777" w:rsidR="006C34D9" w:rsidRDefault="00CB5041">
      <w:pPr>
        <w:pStyle w:val="BodyText"/>
        <w:spacing w:before="200"/>
      </w:pPr>
      <w:r>
        <w:rPr>
          <w:u w:val="single"/>
        </w:rPr>
        <w:t>Immunogenicity</w:t>
      </w:r>
    </w:p>
    <w:p w14:paraId="2A9D32F4" w14:textId="77777777" w:rsidR="006C34D9" w:rsidRDefault="00CB5041">
      <w:pPr>
        <w:pStyle w:val="BodyText"/>
        <w:ind w:right="657"/>
        <w:jc w:val="both"/>
      </w:pPr>
      <w:r>
        <w:t>A</w:t>
      </w:r>
      <w:r>
        <w:rPr>
          <w:spacing w:val="-8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2876</w:t>
      </w:r>
      <w:r>
        <w:rPr>
          <w:spacing w:val="-7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tested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anti-Actemra</w:t>
      </w:r>
      <w:r>
        <w:rPr>
          <w:spacing w:val="-7"/>
        </w:rPr>
        <w:t xml:space="preserve"> </w:t>
      </w:r>
      <w:r>
        <w:t>antibodies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6</w:t>
      </w:r>
      <w:r>
        <w:rPr>
          <w:spacing w:val="-5"/>
        </w:rPr>
        <w:t xml:space="preserve"> </w:t>
      </w:r>
      <w:r>
        <w:t>month</w:t>
      </w:r>
      <w:proofErr w:type="gramEnd"/>
      <w:r>
        <w:rPr>
          <w:spacing w:val="-7"/>
        </w:rPr>
        <w:t xml:space="preserve"> </w:t>
      </w:r>
      <w:r>
        <w:t>controlled</w:t>
      </w:r>
      <w:r>
        <w:rPr>
          <w:spacing w:val="-58"/>
        </w:rPr>
        <w:t xml:space="preserve"> </w:t>
      </w:r>
      <w:r>
        <w:t>clinical trials. Forty-six patients (1.6%) developed positive anti-Actemra antibodies of whom</w:t>
      </w:r>
      <w:r>
        <w:rPr>
          <w:spacing w:val="1"/>
        </w:rPr>
        <w:t xml:space="preserve"> </w:t>
      </w:r>
      <w:r>
        <w:t>5 had an associated medically significant hypersensitivity reaction leading to withdrawal.</w:t>
      </w:r>
      <w:r>
        <w:rPr>
          <w:spacing w:val="1"/>
        </w:rPr>
        <w:t xml:space="preserve"> </w:t>
      </w:r>
      <w:r>
        <w:t>Thirty</w:t>
      </w:r>
      <w:r>
        <w:rPr>
          <w:spacing w:val="-1"/>
        </w:rPr>
        <w:t xml:space="preserve"> </w:t>
      </w:r>
      <w:r>
        <w:t xml:space="preserve">patients (1.1%) developed </w:t>
      </w:r>
      <w:proofErr w:type="spellStart"/>
      <w:r>
        <w:t>neutralising</w:t>
      </w:r>
      <w:proofErr w:type="spellEnd"/>
      <w:r>
        <w:t xml:space="preserve"> antibodies.</w:t>
      </w:r>
    </w:p>
    <w:p w14:paraId="6BB874C8" w14:textId="77777777" w:rsidR="006C34D9" w:rsidRDefault="00CB5041">
      <w:pPr>
        <w:pStyle w:val="Heading2"/>
        <w:spacing w:before="201"/>
      </w:pPr>
      <w:bookmarkStart w:id="65" w:name="Early_Rheumatoid_Arthritis"/>
      <w:bookmarkEnd w:id="65"/>
      <w:r>
        <w:t>Early</w:t>
      </w:r>
      <w:r>
        <w:rPr>
          <w:spacing w:val="-4"/>
        </w:rPr>
        <w:t xml:space="preserve"> </w:t>
      </w:r>
      <w:r>
        <w:t>Rheumatoid</w:t>
      </w:r>
      <w:r>
        <w:rPr>
          <w:spacing w:val="-5"/>
        </w:rPr>
        <w:t xml:space="preserve"> </w:t>
      </w:r>
      <w:r>
        <w:t>Arthritis</w:t>
      </w:r>
    </w:p>
    <w:p w14:paraId="1E651B10" w14:textId="77777777" w:rsidR="006C34D9" w:rsidRDefault="00CB5041">
      <w:pPr>
        <w:pStyle w:val="BodyText"/>
        <w:spacing w:before="39" w:line="242" w:lineRule="auto"/>
        <w:ind w:right="657"/>
        <w:jc w:val="both"/>
      </w:pPr>
      <w:r>
        <w:t>Study</w:t>
      </w:r>
      <w:r>
        <w:rPr>
          <w:spacing w:val="-12"/>
        </w:rPr>
        <w:t xml:space="preserve"> </w:t>
      </w:r>
      <w:r>
        <w:t>VIII</w:t>
      </w:r>
      <w:r>
        <w:rPr>
          <w:spacing w:val="-11"/>
        </w:rPr>
        <w:t xml:space="preserve"> </w:t>
      </w:r>
      <w:r>
        <w:t>(FUNCTION)</w:t>
      </w:r>
      <w:r>
        <w:rPr>
          <w:spacing w:val="-11"/>
        </w:rPr>
        <w:t xml:space="preserve"> </w:t>
      </w:r>
      <w:r>
        <w:t>evaluated</w:t>
      </w:r>
      <w:r>
        <w:rPr>
          <w:spacing w:val="-11"/>
        </w:rPr>
        <w:t xml:space="preserve"> </w:t>
      </w:r>
      <w:r>
        <w:t>1162</w:t>
      </w:r>
      <w:r>
        <w:rPr>
          <w:spacing w:val="-11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early,</w:t>
      </w:r>
      <w:r>
        <w:rPr>
          <w:spacing w:val="-12"/>
        </w:rPr>
        <w:t xml:space="preserve"> </w:t>
      </w:r>
      <w:r>
        <w:t>moderate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severe</w:t>
      </w:r>
      <w:r>
        <w:rPr>
          <w:spacing w:val="-11"/>
        </w:rPr>
        <w:t xml:space="preserve"> </w:t>
      </w:r>
      <w:r>
        <w:t>RA</w:t>
      </w:r>
      <w:r>
        <w:rPr>
          <w:spacing w:val="-12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were</w:t>
      </w:r>
      <w:r>
        <w:rPr>
          <w:spacing w:val="-58"/>
        </w:rPr>
        <w:t xml:space="preserve"> </w:t>
      </w:r>
      <w:r>
        <w:t>naïve to treatment with both MTX and a biologic agent. The overall safety profile observed in</w:t>
      </w:r>
      <w:r>
        <w:rPr>
          <w:spacing w:val="-57"/>
        </w:rPr>
        <w:t xml:space="preserve"> </w:t>
      </w:r>
      <w:r>
        <w:t>the Actemra treatment groups was consistent with the known safety profile of Actemra (Table</w:t>
      </w:r>
      <w:r>
        <w:rPr>
          <w:spacing w:val="-58"/>
        </w:rPr>
        <w:t xml:space="preserve"> </w:t>
      </w:r>
      <w:r>
        <w:t>1).</w:t>
      </w:r>
    </w:p>
    <w:p w14:paraId="27CBF8C6" w14:textId="77777777" w:rsidR="006C34D9" w:rsidRDefault="00CB5041">
      <w:pPr>
        <w:pStyle w:val="BodyText"/>
        <w:spacing w:before="175" w:line="242" w:lineRule="auto"/>
        <w:ind w:left="659" w:right="657"/>
        <w:jc w:val="both"/>
      </w:pPr>
      <w:r>
        <w:t>The overall rate of serious adverse events (SAEs) per 100 patient years (PY) was numerically</w:t>
      </w:r>
      <w:r>
        <w:rPr>
          <w:spacing w:val="-57"/>
        </w:rPr>
        <w:t xml:space="preserve"> </w:t>
      </w:r>
      <w:r>
        <w:t>higher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Actemra</w:t>
      </w:r>
      <w:r>
        <w:rPr>
          <w:spacing w:val="-8"/>
        </w:rPr>
        <w:t xml:space="preserve"> </w:t>
      </w:r>
      <w:r>
        <w:t>arms</w:t>
      </w:r>
      <w:r>
        <w:rPr>
          <w:spacing w:val="-7"/>
        </w:rPr>
        <w:t xml:space="preserve"> </w:t>
      </w:r>
      <w:r>
        <w:t>(13.2</w:t>
      </w:r>
      <w:r>
        <w:rPr>
          <w:spacing w:val="-8"/>
        </w:rPr>
        <w:t xml:space="preserve"> </w:t>
      </w:r>
      <w:r>
        <w:t>SAEs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t>PY)</w:t>
      </w:r>
      <w:r>
        <w:rPr>
          <w:spacing w:val="-8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placebo</w:t>
      </w:r>
      <w:r>
        <w:rPr>
          <w:spacing w:val="-9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MTX</w:t>
      </w:r>
      <w:r>
        <w:rPr>
          <w:spacing w:val="-8"/>
        </w:rPr>
        <w:t xml:space="preserve"> </w:t>
      </w:r>
      <w:r>
        <w:t>arm</w:t>
      </w:r>
      <w:r>
        <w:rPr>
          <w:spacing w:val="-11"/>
        </w:rPr>
        <w:t xml:space="preserve"> </w:t>
      </w:r>
      <w:r>
        <w:t>(10.6</w:t>
      </w:r>
      <w:r>
        <w:rPr>
          <w:spacing w:val="-9"/>
        </w:rPr>
        <w:t xml:space="preserve"> </w:t>
      </w:r>
      <w:r>
        <w:t>SAEs</w:t>
      </w:r>
      <w:r>
        <w:rPr>
          <w:spacing w:val="-57"/>
        </w:rPr>
        <w:t xml:space="preserve"> </w:t>
      </w:r>
      <w:r>
        <w:t>per 100 PY).</w:t>
      </w:r>
      <w:r>
        <w:rPr>
          <w:spacing w:val="1"/>
        </w:rPr>
        <w:t xml:space="preserve"> </w:t>
      </w:r>
      <w:r>
        <w:t>These were reported under ‘Infections and Infestations’, ‘Neoplasms Benign,</w:t>
      </w:r>
      <w:r>
        <w:rPr>
          <w:spacing w:val="1"/>
        </w:rPr>
        <w:t xml:space="preserve"> </w:t>
      </w:r>
      <w:r>
        <w:t>Malignant and Unspecified’, ‘Respiratory, Thoracic and Mediastinal Disorders’ and ‘Injury,</w:t>
      </w:r>
      <w:r>
        <w:rPr>
          <w:spacing w:val="1"/>
        </w:rPr>
        <w:t xml:space="preserve"> </w:t>
      </w:r>
      <w:r>
        <w:t>Poisoning</w:t>
      </w:r>
      <w:r>
        <w:rPr>
          <w:spacing w:val="-1"/>
        </w:rPr>
        <w:t xml:space="preserve"> </w:t>
      </w:r>
      <w:r>
        <w:t>and Procedural Complications’.</w:t>
      </w:r>
    </w:p>
    <w:p w14:paraId="5713941A" w14:textId="77777777" w:rsidR="006C34D9" w:rsidRDefault="006C34D9">
      <w:pPr>
        <w:spacing w:line="242" w:lineRule="auto"/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252590EC" w14:textId="77777777" w:rsidR="006C34D9" w:rsidRDefault="00CB5041">
      <w:pPr>
        <w:pStyle w:val="BodyText"/>
        <w:spacing w:before="63" w:line="242" w:lineRule="auto"/>
        <w:ind w:left="659" w:right="657"/>
        <w:jc w:val="both"/>
      </w:pPr>
      <w:r>
        <w:lastRenderedPageBreak/>
        <w:t>The rate of discontinuation due to an adverse event was approximately twice as high in the</w:t>
      </w:r>
      <w:r>
        <w:rPr>
          <w:spacing w:val="1"/>
        </w:rPr>
        <w:t xml:space="preserve"> </w:t>
      </w:r>
      <w:r>
        <w:t>Actemra</w:t>
      </w:r>
      <w:r>
        <w:rPr>
          <w:spacing w:val="-4"/>
        </w:rPr>
        <w:t xml:space="preserve"> </w:t>
      </w:r>
      <w:r>
        <w:t>arms,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placebo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MTX</w:t>
      </w:r>
      <w:r>
        <w:rPr>
          <w:spacing w:val="-3"/>
        </w:rPr>
        <w:t xml:space="preserve"> </w:t>
      </w:r>
      <w:r>
        <w:t>arm</w:t>
      </w:r>
      <w:r>
        <w:rPr>
          <w:spacing w:val="-6"/>
        </w:rPr>
        <w:t xml:space="preserve"> </w:t>
      </w:r>
      <w:r>
        <w:t>(16.1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8.2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PY</w:t>
      </w:r>
      <w:r>
        <w:rPr>
          <w:spacing w:val="-3"/>
        </w:rPr>
        <w:t xml:space="preserve"> </w:t>
      </w:r>
      <w:r>
        <w:t>respectively).</w:t>
      </w:r>
      <w:r>
        <w:rPr>
          <w:spacing w:val="-4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all 3 Actemra treatment arms, the most common reason for treatment discontinuation was</w:t>
      </w:r>
      <w:r>
        <w:rPr>
          <w:spacing w:val="1"/>
        </w:rPr>
        <w:t xml:space="preserve"> </w:t>
      </w:r>
      <w:r>
        <w:t>attributed to ‘Investigations’ events, in particular events related to liver enzyme elevations. In</w:t>
      </w:r>
      <w:r>
        <w:rPr>
          <w:spacing w:val="-5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patient</w:t>
      </w:r>
      <w:r>
        <w:rPr>
          <w:spacing w:val="-11"/>
        </w:rPr>
        <w:t xml:space="preserve"> </w:t>
      </w:r>
      <w:r>
        <w:t>deaths</w:t>
      </w:r>
      <w:r>
        <w:rPr>
          <w:spacing w:val="-12"/>
        </w:rPr>
        <w:t xml:space="preserve"> </w:t>
      </w:r>
      <w:r>
        <w:t>reported,</w:t>
      </w:r>
      <w:r>
        <w:rPr>
          <w:spacing w:val="-11"/>
        </w:rPr>
        <w:t xml:space="preserve"> </w:t>
      </w:r>
      <w:r>
        <w:t>12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Actemra-treated</w:t>
      </w:r>
      <w:r>
        <w:rPr>
          <w:spacing w:val="-11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Placebo</w:t>
      </w:r>
    </w:p>
    <w:p w14:paraId="2D3581A8" w14:textId="77777777" w:rsidR="006C34D9" w:rsidRDefault="00CB5041">
      <w:pPr>
        <w:pStyle w:val="BodyText"/>
        <w:spacing w:before="7"/>
        <w:ind w:left="659"/>
        <w:jc w:val="both"/>
      </w:pPr>
      <w:r>
        <w:t>+</w:t>
      </w:r>
      <w:r>
        <w:rPr>
          <w:spacing w:val="-2"/>
        </w:rPr>
        <w:t xml:space="preserve"> </w:t>
      </w:r>
      <w:r>
        <w:t>MTX-treated</w:t>
      </w:r>
      <w:r>
        <w:rPr>
          <w:spacing w:val="-2"/>
        </w:rPr>
        <w:t xml:space="preserve"> </w:t>
      </w:r>
      <w:r>
        <w:t>patients.</w:t>
      </w:r>
    </w:p>
    <w:p w14:paraId="78BBCE4A" w14:textId="77777777" w:rsidR="006C34D9" w:rsidRDefault="00CB5041">
      <w:pPr>
        <w:pStyle w:val="Heading2"/>
        <w:spacing w:before="202"/>
      </w:pPr>
      <w:bookmarkStart w:id="66" w:name="Actemra_vs_adalimumab_in_monotherapy"/>
      <w:bookmarkEnd w:id="66"/>
      <w:r>
        <w:t>Actemra</w:t>
      </w:r>
      <w:r>
        <w:rPr>
          <w:spacing w:val="-3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adalimumab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monotherapy</w:t>
      </w:r>
    </w:p>
    <w:p w14:paraId="57E5D8EE" w14:textId="77777777" w:rsidR="006C34D9" w:rsidRDefault="00CB5041">
      <w:pPr>
        <w:pStyle w:val="BodyText"/>
        <w:spacing w:before="33"/>
        <w:ind w:right="656"/>
        <w:jc w:val="both"/>
      </w:pPr>
      <w:r>
        <w:t>In a 24-week double-blinded, parallel study (monotherapy with Actemra 8 mg/kg IV q4w</w:t>
      </w:r>
      <w:r>
        <w:rPr>
          <w:spacing w:val="1"/>
        </w:rPr>
        <w:t xml:space="preserve"> </w:t>
      </w:r>
      <w:r>
        <w:t>(n=162) compared to adalimumab 40 mg SC q2w (n=162)), the overall clinical adverse event</w:t>
      </w:r>
      <w:r>
        <w:rPr>
          <w:spacing w:val="1"/>
        </w:rPr>
        <w:t xml:space="preserve"> </w:t>
      </w:r>
      <w:r>
        <w:t>profile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Actemra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adalimumab.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proportion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serious</w:t>
      </w:r>
      <w:r>
        <w:rPr>
          <w:spacing w:val="-57"/>
        </w:rPr>
        <w:t xml:space="preserve"> </w:t>
      </w:r>
      <w:r>
        <w:t>adverse events was balanced between the treatment groups (Actemra 11.7% vs. adalimumab</w:t>
      </w:r>
      <w:r>
        <w:rPr>
          <w:spacing w:val="1"/>
        </w:rPr>
        <w:t xml:space="preserve"> </w:t>
      </w:r>
      <w:r>
        <w:t>9.9%)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infections</w:t>
      </w:r>
      <w:r>
        <w:rPr>
          <w:spacing w:val="-5"/>
        </w:rPr>
        <w:t xml:space="preserve"> </w:t>
      </w:r>
      <w:r>
        <w:t>(3.1%</w:t>
      </w:r>
      <w:r>
        <w:rPr>
          <w:spacing w:val="-6"/>
        </w:rPr>
        <w:t xml:space="preserve"> </w:t>
      </w:r>
      <w:r>
        <w:t>each).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sudden</w:t>
      </w:r>
      <w:r>
        <w:rPr>
          <w:spacing w:val="-6"/>
        </w:rPr>
        <w:t xml:space="preserve"> </w:t>
      </w:r>
      <w:r>
        <w:t>death</w:t>
      </w:r>
      <w:r>
        <w:rPr>
          <w:spacing w:val="-5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the Actemra arm of a patient who died 10 days after the last dose. The cause of death was</w:t>
      </w:r>
      <w:r>
        <w:rPr>
          <w:spacing w:val="1"/>
        </w:rPr>
        <w:t xml:space="preserve"> </w:t>
      </w:r>
      <w:r>
        <w:t>unknown. The patient had a history of peripheral vascular disease, hypertension, smoking and</w:t>
      </w:r>
      <w:r>
        <w:rPr>
          <w:spacing w:val="-57"/>
        </w:rPr>
        <w:t xml:space="preserve"> </w:t>
      </w:r>
      <w:r>
        <w:t>interstitial</w:t>
      </w:r>
      <w:r>
        <w:rPr>
          <w:spacing w:val="1"/>
        </w:rPr>
        <w:t xml:space="preserve"> </w:t>
      </w:r>
      <w:r>
        <w:t>lung</w:t>
      </w:r>
      <w:r>
        <w:rPr>
          <w:spacing w:val="1"/>
        </w:rPr>
        <w:t xml:space="preserve"> </w:t>
      </w:r>
      <w:r>
        <w:t>disease.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treatments</w:t>
      </w:r>
      <w:r>
        <w:rPr>
          <w:spacing w:val="1"/>
        </w:rPr>
        <w:t xml:space="preserve"> </w:t>
      </w:r>
      <w:r>
        <w:t>induced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pattern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laboratory safety parameters (decreases in neutrophil and platelet counts, increases in ALT,</w:t>
      </w:r>
      <w:r>
        <w:rPr>
          <w:spacing w:val="1"/>
        </w:rPr>
        <w:t xml:space="preserve"> </w:t>
      </w:r>
      <w:r>
        <w:t>AST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lipids),</w:t>
      </w:r>
      <w:r>
        <w:rPr>
          <w:spacing w:val="-11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magnitude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frequency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marked</w:t>
      </w:r>
      <w:r>
        <w:rPr>
          <w:spacing w:val="-11"/>
        </w:rPr>
        <w:t xml:space="preserve"> </w:t>
      </w:r>
      <w:r>
        <w:t>abnormalities</w:t>
      </w:r>
      <w:r>
        <w:rPr>
          <w:spacing w:val="-58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higher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compared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adalimumab.</w:t>
      </w:r>
      <w:r>
        <w:rPr>
          <w:spacing w:val="-13"/>
        </w:rPr>
        <w:t xml:space="preserve"> </w:t>
      </w:r>
      <w:r>
        <w:t>Four</w:t>
      </w:r>
      <w:r>
        <w:rPr>
          <w:spacing w:val="-13"/>
        </w:rPr>
        <w:t xml:space="preserve"> </w:t>
      </w:r>
      <w:r>
        <w:t>(2.5%)</w:t>
      </w:r>
      <w:r>
        <w:rPr>
          <w:spacing w:val="-13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arm</w:t>
      </w:r>
      <w:r>
        <w:rPr>
          <w:spacing w:val="-5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(1.2%)</w:t>
      </w:r>
      <w:r>
        <w:rPr>
          <w:spacing w:val="-11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adalimumab</w:t>
      </w:r>
      <w:r>
        <w:rPr>
          <w:spacing w:val="-11"/>
        </w:rPr>
        <w:t xml:space="preserve"> </w:t>
      </w:r>
      <w:r>
        <w:t>arm</w:t>
      </w:r>
      <w:r>
        <w:rPr>
          <w:spacing w:val="-13"/>
        </w:rPr>
        <w:t xml:space="preserve"> </w:t>
      </w:r>
      <w:r>
        <w:t>experienced</w:t>
      </w:r>
      <w:r>
        <w:rPr>
          <w:spacing w:val="-12"/>
        </w:rPr>
        <w:t xml:space="preserve"> </w:t>
      </w:r>
      <w:r>
        <w:t>CTC</w:t>
      </w:r>
      <w:r>
        <w:rPr>
          <w:spacing w:val="-13"/>
        </w:rPr>
        <w:t xml:space="preserve"> </w:t>
      </w:r>
      <w:r>
        <w:t>grade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neutrophil</w:t>
      </w:r>
      <w:r>
        <w:rPr>
          <w:spacing w:val="-12"/>
        </w:rPr>
        <w:t xml:space="preserve"> </w:t>
      </w:r>
      <w:r>
        <w:t>count</w:t>
      </w:r>
      <w:r>
        <w:rPr>
          <w:spacing w:val="-57"/>
        </w:rPr>
        <w:t xml:space="preserve"> </w:t>
      </w:r>
      <w:r>
        <w:t>decreases.</w:t>
      </w:r>
      <w:r>
        <w:rPr>
          <w:spacing w:val="-8"/>
        </w:rPr>
        <w:t xml:space="preserve"> </w:t>
      </w:r>
      <w:r>
        <w:t>Eleven</w:t>
      </w:r>
      <w:r>
        <w:rPr>
          <w:spacing w:val="-7"/>
        </w:rPr>
        <w:t xml:space="preserve"> </w:t>
      </w:r>
      <w:r>
        <w:t>(6.8%)</w:t>
      </w:r>
      <w:r>
        <w:rPr>
          <w:spacing w:val="-7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Actemra</w:t>
      </w:r>
      <w:r>
        <w:rPr>
          <w:spacing w:val="-7"/>
        </w:rPr>
        <w:t xml:space="preserve"> </w:t>
      </w:r>
      <w:r>
        <w:t>arm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(3.1%)</w:t>
      </w:r>
      <w:r>
        <w:rPr>
          <w:spacing w:val="-7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adalimumab</w:t>
      </w:r>
      <w:r>
        <w:rPr>
          <w:spacing w:val="-58"/>
        </w:rPr>
        <w:t xml:space="preserve"> </w:t>
      </w:r>
      <w:r>
        <w:t>arm experienced ALT increases of CTC grade 2 or higher. For patients not receiving lipid</w:t>
      </w:r>
      <w:r>
        <w:rPr>
          <w:spacing w:val="1"/>
        </w:rPr>
        <w:t xml:space="preserve"> </w:t>
      </w:r>
      <w:r>
        <w:t>lowering agents the mean increase in LDL from baseline to week 24 was 0.64 mmol/L (25</w:t>
      </w:r>
      <w:r>
        <w:rPr>
          <w:spacing w:val="1"/>
        </w:rPr>
        <w:t xml:space="preserve"> </w:t>
      </w:r>
      <w:r>
        <w:t>mg/dL) for patients in the Actemra arm and 0.19 mmol/L (7 mg/dL) for patients in the</w:t>
      </w:r>
      <w:r>
        <w:rPr>
          <w:spacing w:val="1"/>
        </w:rPr>
        <w:t xml:space="preserve"> </w:t>
      </w:r>
      <w:r>
        <w:rPr>
          <w:spacing w:val="-1"/>
        </w:rPr>
        <w:t>adalimumab</w:t>
      </w:r>
      <w:r>
        <w:rPr>
          <w:spacing w:val="-14"/>
        </w:rPr>
        <w:t xml:space="preserve"> </w:t>
      </w:r>
      <w:r>
        <w:rPr>
          <w:spacing w:val="-1"/>
        </w:rPr>
        <w:t>arm.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safety</w:t>
      </w:r>
      <w:r>
        <w:rPr>
          <w:spacing w:val="-15"/>
        </w:rPr>
        <w:t xml:space="preserve"> </w:t>
      </w:r>
      <w:r>
        <w:t>observed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Actemra</w:t>
      </w:r>
      <w:r>
        <w:rPr>
          <w:spacing w:val="-15"/>
        </w:rPr>
        <w:t xml:space="preserve"> </w:t>
      </w:r>
      <w:r>
        <w:t>arm</w:t>
      </w:r>
      <w:r>
        <w:rPr>
          <w:spacing w:val="-16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consistent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known</w:t>
      </w:r>
      <w:r>
        <w:rPr>
          <w:spacing w:val="-15"/>
        </w:rPr>
        <w:t xml:space="preserve"> </w:t>
      </w:r>
      <w:r>
        <w:t>safety</w:t>
      </w:r>
      <w:r>
        <w:rPr>
          <w:spacing w:val="-58"/>
        </w:rPr>
        <w:t xml:space="preserve"> </w:t>
      </w:r>
      <w:r>
        <w:t>profile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and no new</w:t>
      </w:r>
      <w:r>
        <w:rPr>
          <w:spacing w:val="-2"/>
        </w:rPr>
        <w:t xml:space="preserve"> </w:t>
      </w:r>
      <w:r>
        <w:t>or unexpected</w:t>
      </w:r>
      <w:r>
        <w:rPr>
          <w:spacing w:val="-2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reactions</w:t>
      </w:r>
      <w:r>
        <w:rPr>
          <w:spacing w:val="-1"/>
        </w:rPr>
        <w:t xml:space="preserve"> </w:t>
      </w:r>
      <w:r>
        <w:t>were observed.</w:t>
      </w:r>
    </w:p>
    <w:p w14:paraId="27BFF99B" w14:textId="77777777" w:rsidR="006C34D9" w:rsidRDefault="00CB5041">
      <w:pPr>
        <w:pStyle w:val="Heading2"/>
        <w:spacing w:before="202"/>
      </w:pPr>
      <w:bookmarkStart w:id="67" w:name="Patients_Treated_with_Subcutaneous_Actem"/>
      <w:bookmarkEnd w:id="67"/>
      <w:r>
        <w:t>Patients</w:t>
      </w:r>
      <w:r>
        <w:rPr>
          <w:spacing w:val="-4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Subcutaneous</w:t>
      </w:r>
      <w:r>
        <w:rPr>
          <w:spacing w:val="-3"/>
        </w:rPr>
        <w:t xml:space="preserve"> </w:t>
      </w:r>
      <w:r>
        <w:t>Actemra</w:t>
      </w:r>
    </w:p>
    <w:p w14:paraId="0AD76C4E" w14:textId="77777777" w:rsidR="006C34D9" w:rsidRDefault="00CB5041">
      <w:pPr>
        <w:pStyle w:val="BodyText"/>
        <w:spacing w:before="33"/>
        <w:ind w:left="659" w:right="658"/>
        <w:jc w:val="both"/>
      </w:pPr>
      <w:r>
        <w:t>The safety of subcutaneous Actemra includes data from Study VI (SUMMACTA) and Study</w:t>
      </w:r>
      <w:r>
        <w:rPr>
          <w:spacing w:val="1"/>
        </w:rPr>
        <w:t xml:space="preserve"> </w:t>
      </w:r>
      <w:r>
        <w:t>VII</w:t>
      </w:r>
      <w:r>
        <w:rPr>
          <w:spacing w:val="-8"/>
        </w:rPr>
        <w:t xml:space="preserve"> </w:t>
      </w:r>
      <w:r>
        <w:t>(BREVACTA).</w:t>
      </w:r>
      <w:r>
        <w:rPr>
          <w:spacing w:val="-8"/>
        </w:rPr>
        <w:t xml:space="preserve"> </w:t>
      </w:r>
      <w:r>
        <w:t>SUMMACTA</w:t>
      </w:r>
      <w:r>
        <w:rPr>
          <w:spacing w:val="-8"/>
        </w:rPr>
        <w:t xml:space="preserve"> </w:t>
      </w:r>
      <w:r>
        <w:t>compared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efficacy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subcutaneous</w:t>
      </w:r>
      <w:r>
        <w:rPr>
          <w:spacing w:val="-9"/>
        </w:rPr>
        <w:t xml:space="preserve"> </w:t>
      </w:r>
      <w:r>
        <w:t>Actemra</w:t>
      </w:r>
      <w:r>
        <w:rPr>
          <w:spacing w:val="-58"/>
        </w:rPr>
        <w:t xml:space="preserve"> </w:t>
      </w:r>
      <w:r>
        <w:t>162 mg administered every week versus intravenous Actemra 8 mg/kg every 4 weeks in 1262</w:t>
      </w:r>
      <w:r>
        <w:rPr>
          <w:spacing w:val="-57"/>
        </w:rPr>
        <w:t xml:space="preserve"> </w:t>
      </w:r>
      <w:r>
        <w:t>subjects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adult</w:t>
      </w:r>
      <w:r>
        <w:rPr>
          <w:spacing w:val="-13"/>
        </w:rPr>
        <w:t xml:space="preserve"> </w:t>
      </w:r>
      <w:r>
        <w:t>RA.</w:t>
      </w:r>
      <w:r>
        <w:rPr>
          <w:spacing w:val="-13"/>
        </w:rPr>
        <w:t xml:space="preserve"> </w:t>
      </w:r>
      <w:r>
        <w:t>BREVACTA</w:t>
      </w:r>
      <w:r>
        <w:rPr>
          <w:spacing w:val="-14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placebo-controlled</w:t>
      </w:r>
      <w:r>
        <w:rPr>
          <w:spacing w:val="-13"/>
        </w:rPr>
        <w:t xml:space="preserve"> </w:t>
      </w:r>
      <w:r>
        <w:t>superiority</w:t>
      </w:r>
      <w:r>
        <w:rPr>
          <w:spacing w:val="-13"/>
        </w:rPr>
        <w:t xml:space="preserve"> </w:t>
      </w:r>
      <w:r>
        <w:t>study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evaluated</w:t>
      </w:r>
      <w:r>
        <w:rPr>
          <w:spacing w:val="-57"/>
        </w:rPr>
        <w:t xml:space="preserve"> </w:t>
      </w:r>
      <w:r>
        <w:t>the safety and efficacy of subcutaneous Actemra 162 mg administered every other week or</w:t>
      </w:r>
      <w:r>
        <w:rPr>
          <w:spacing w:val="1"/>
        </w:rPr>
        <w:t xml:space="preserve"> </w:t>
      </w:r>
      <w:r>
        <w:t>placebo in 656 patients. All patients in both studies received background non-biological</w:t>
      </w:r>
      <w:r>
        <w:rPr>
          <w:spacing w:val="1"/>
        </w:rPr>
        <w:t xml:space="preserve"> </w:t>
      </w:r>
      <w:r>
        <w:t>DMARD(s).</w:t>
      </w:r>
    </w:p>
    <w:p w14:paraId="05629A45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2C509CE" w14:textId="77777777" w:rsidR="006C34D9" w:rsidRDefault="00CB5041">
      <w:pPr>
        <w:pStyle w:val="BodyText"/>
        <w:spacing w:before="1"/>
        <w:ind w:left="659" w:right="657"/>
        <w:jc w:val="both"/>
      </w:pPr>
      <w:r>
        <w:t>The safety and immunogenicity observed for subcutaneous Actemra was consistent with the</w:t>
      </w:r>
      <w:r>
        <w:rPr>
          <w:spacing w:val="1"/>
        </w:rPr>
        <w:t xml:space="preserve"> </w:t>
      </w:r>
      <w:r>
        <w:t>known</w:t>
      </w:r>
      <w:r>
        <w:rPr>
          <w:spacing w:val="-7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profile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intravenous</w:t>
      </w:r>
      <w:r>
        <w:rPr>
          <w:spacing w:val="-10"/>
        </w:rPr>
        <w:t xml:space="preserve"> </w:t>
      </w:r>
      <w:r>
        <w:t>Actemra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unexpected</w:t>
      </w:r>
      <w:r>
        <w:rPr>
          <w:spacing w:val="-9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drug</w:t>
      </w:r>
      <w:r>
        <w:rPr>
          <w:spacing w:val="-9"/>
        </w:rPr>
        <w:t xml:space="preserve"> </w:t>
      </w:r>
      <w:r>
        <w:t>reactions</w:t>
      </w:r>
      <w:r>
        <w:rPr>
          <w:spacing w:val="-58"/>
        </w:rPr>
        <w:t xml:space="preserve"> </w:t>
      </w:r>
      <w:r>
        <w:t>were observed (see Table 1).</w:t>
      </w:r>
      <w:r>
        <w:rPr>
          <w:spacing w:val="1"/>
        </w:rPr>
        <w:t xml:space="preserve"> </w:t>
      </w:r>
      <w:r>
        <w:t>A higher frequency of injection site reactions was observed in</w:t>
      </w:r>
      <w:r>
        <w:rPr>
          <w:spacing w:val="1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subcutaneous</w:t>
      </w:r>
      <w:r>
        <w:rPr>
          <w:spacing w:val="-10"/>
        </w:rPr>
        <w:t xml:space="preserve"> </w:t>
      </w:r>
      <w:r>
        <w:t>Actemra</w:t>
      </w:r>
      <w:r>
        <w:rPr>
          <w:spacing w:val="-7"/>
        </w:rPr>
        <w:t xml:space="preserve"> </w:t>
      </w:r>
      <w:r>
        <w:t>compared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received</w:t>
      </w:r>
      <w:r>
        <w:rPr>
          <w:spacing w:val="-9"/>
        </w:rPr>
        <w:t xml:space="preserve"> </w:t>
      </w:r>
      <w:r>
        <w:t>subcutaneous</w:t>
      </w:r>
      <w:r>
        <w:rPr>
          <w:spacing w:val="-58"/>
        </w:rPr>
        <w:t xml:space="preserve"> </w:t>
      </w:r>
      <w:r>
        <w:t>placebo</w:t>
      </w:r>
      <w:r>
        <w:rPr>
          <w:spacing w:val="-3"/>
        </w:rPr>
        <w:t xml:space="preserve"> </w:t>
      </w:r>
      <w:r>
        <w:t>injections</w:t>
      </w:r>
      <w:r>
        <w:rPr>
          <w:spacing w:val="-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the IV</w:t>
      </w:r>
      <w:r>
        <w:rPr>
          <w:spacing w:val="-1"/>
        </w:rPr>
        <w:t xml:space="preserve"> </w:t>
      </w:r>
      <w:r>
        <w:t>arms of the studies).</w:t>
      </w:r>
    </w:p>
    <w:p w14:paraId="4C15FB47" w14:textId="77777777" w:rsidR="006C34D9" w:rsidRDefault="00CB5041">
      <w:pPr>
        <w:pStyle w:val="BodyText"/>
        <w:spacing w:before="200"/>
        <w:jc w:val="both"/>
      </w:pPr>
      <w:r>
        <w:rPr>
          <w:u w:val="single"/>
        </w:rPr>
        <w:t>Injection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Site</w:t>
      </w:r>
      <w:r>
        <w:rPr>
          <w:spacing w:val="-2"/>
          <w:u w:val="single"/>
        </w:rPr>
        <w:t xml:space="preserve"> </w:t>
      </w:r>
      <w:r>
        <w:rPr>
          <w:u w:val="single"/>
        </w:rPr>
        <w:t>Reactions</w:t>
      </w:r>
    </w:p>
    <w:p w14:paraId="0255ABA9" w14:textId="77777777" w:rsidR="006C34D9" w:rsidRDefault="00CB5041">
      <w:pPr>
        <w:pStyle w:val="BodyText"/>
        <w:ind w:right="657"/>
        <w:jc w:val="both"/>
      </w:pP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6-month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SUMMACTA,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injection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reactions was 10.1% (64/631) and 2.4% (15/631) for the subcutaneous Actemra and the</w:t>
      </w:r>
      <w:r>
        <w:rPr>
          <w:spacing w:val="1"/>
        </w:rPr>
        <w:t xml:space="preserve"> </w:t>
      </w:r>
      <w:r>
        <w:t>subcutaneous</w:t>
      </w:r>
      <w:r>
        <w:rPr>
          <w:spacing w:val="1"/>
        </w:rPr>
        <w:t xml:space="preserve"> </w:t>
      </w:r>
      <w:r>
        <w:t>placebo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arm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study)</w:t>
      </w:r>
      <w:r>
        <w:rPr>
          <w:spacing w:val="1"/>
        </w:rPr>
        <w:t xml:space="preserve"> </w:t>
      </w:r>
      <w:r>
        <w:t>weekly</w:t>
      </w:r>
      <w:r>
        <w:rPr>
          <w:spacing w:val="1"/>
        </w:rPr>
        <w:t xml:space="preserve"> </w:t>
      </w:r>
      <w:r>
        <w:t>injections,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BREVACTA, the frequency of injection site reactions was 7.1% (31/437) and 4.1% (9/218)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subcutaneous</w:t>
      </w:r>
      <w:r>
        <w:rPr>
          <w:spacing w:val="-4"/>
        </w:rPr>
        <w:t xml:space="preserve"> </w:t>
      </w:r>
      <w:r>
        <w:t>Actemra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placebo</w:t>
      </w:r>
      <w:r>
        <w:rPr>
          <w:spacing w:val="-4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week,</w:t>
      </w:r>
      <w:r>
        <w:rPr>
          <w:spacing w:val="-4"/>
        </w:rPr>
        <w:t xml:space="preserve"> </w:t>
      </w:r>
      <w:r>
        <w:t>respectively.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injection</w:t>
      </w:r>
      <w:r>
        <w:rPr>
          <w:spacing w:val="-4"/>
        </w:rPr>
        <w:t xml:space="preserve"> </w:t>
      </w:r>
      <w:r>
        <w:t>site</w:t>
      </w:r>
      <w:r>
        <w:rPr>
          <w:spacing w:val="-58"/>
        </w:rPr>
        <w:t xml:space="preserve"> </w:t>
      </w:r>
      <w:r>
        <w:t xml:space="preserve">reactions (including erythema, pruritus, pain and </w:t>
      </w:r>
      <w:proofErr w:type="spellStart"/>
      <w:r>
        <w:t>haematoma</w:t>
      </w:r>
      <w:proofErr w:type="spellEnd"/>
      <w:r>
        <w:t>)</w:t>
      </w:r>
      <w:r>
        <w:rPr>
          <w:spacing w:val="1"/>
        </w:rPr>
        <w:t xml:space="preserve"> </w:t>
      </w:r>
      <w:r>
        <w:t>were mild to</w:t>
      </w:r>
      <w:r>
        <w:rPr>
          <w:spacing w:val="1"/>
        </w:rPr>
        <w:t xml:space="preserve"> </w:t>
      </w:r>
      <w:r>
        <w:t>moderate in</w:t>
      </w:r>
      <w:r>
        <w:rPr>
          <w:spacing w:val="1"/>
        </w:rPr>
        <w:t xml:space="preserve"> </w:t>
      </w:r>
      <w:r>
        <w:t>severity.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majority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resolved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none</w:t>
      </w:r>
      <w:r>
        <w:rPr>
          <w:spacing w:val="1"/>
        </w:rPr>
        <w:t xml:space="preserve"> </w:t>
      </w:r>
      <w:r>
        <w:t>necessitated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discontinuation.</w:t>
      </w:r>
    </w:p>
    <w:p w14:paraId="2BA73635" w14:textId="77777777" w:rsidR="006C34D9" w:rsidRDefault="006C34D9">
      <w:pPr>
        <w:jc w:val="both"/>
        <w:sectPr w:rsidR="006C34D9">
          <w:pgSz w:w="11910" w:h="16840"/>
          <w:pgMar w:top="1360" w:right="780" w:bottom="780" w:left="780" w:header="0" w:footer="592" w:gutter="0"/>
          <w:cols w:space="720"/>
        </w:sectPr>
      </w:pPr>
    </w:p>
    <w:p w14:paraId="48D7517E" w14:textId="77777777" w:rsidR="006C34D9" w:rsidRDefault="00CB5041">
      <w:pPr>
        <w:pStyle w:val="BodyText"/>
        <w:spacing w:before="79"/>
      </w:pPr>
      <w:r>
        <w:rPr>
          <w:u w:val="single"/>
        </w:rPr>
        <w:lastRenderedPageBreak/>
        <w:t>Immunogenicity</w:t>
      </w:r>
    </w:p>
    <w:p w14:paraId="075E2F23" w14:textId="77777777" w:rsidR="006C34D9" w:rsidRDefault="00CB5041">
      <w:pPr>
        <w:pStyle w:val="BodyText"/>
        <w:ind w:left="659" w:right="656"/>
        <w:jc w:val="both"/>
      </w:pPr>
      <w:r>
        <w:t>In SUMMACTA, a total of 625 patients treated with Actemra 162 mg weekly were tested for</w:t>
      </w:r>
      <w:r>
        <w:rPr>
          <w:spacing w:val="1"/>
        </w:rPr>
        <w:t xml:space="preserve"> </w:t>
      </w:r>
      <w:r>
        <w:t xml:space="preserve">anti-Actemra antibodies in the </w:t>
      </w:r>
      <w:proofErr w:type="gramStart"/>
      <w:r>
        <w:t>6 month</w:t>
      </w:r>
      <w:proofErr w:type="gramEnd"/>
      <w:r>
        <w:t xml:space="preserve"> controlled period.</w:t>
      </w:r>
      <w:r>
        <w:rPr>
          <w:spacing w:val="1"/>
        </w:rPr>
        <w:t xml:space="preserve"> </w:t>
      </w:r>
      <w:r>
        <w:t>Five patients (0.8%) developed</w:t>
      </w:r>
      <w:r>
        <w:rPr>
          <w:spacing w:val="1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anti-Actemra</w:t>
      </w:r>
      <w:r>
        <w:rPr>
          <w:spacing w:val="-5"/>
        </w:rPr>
        <w:t xml:space="preserve"> </w:t>
      </w:r>
      <w:r>
        <w:t>antibodies;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these,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developed</w:t>
      </w:r>
      <w:r>
        <w:rPr>
          <w:spacing w:val="-5"/>
        </w:rPr>
        <w:t xml:space="preserve"> </w:t>
      </w:r>
      <w:proofErr w:type="spellStart"/>
      <w:r>
        <w:t>neutralising</w:t>
      </w:r>
      <w:proofErr w:type="spellEnd"/>
      <w:r>
        <w:rPr>
          <w:spacing w:val="-5"/>
        </w:rPr>
        <w:t xml:space="preserve"> </w:t>
      </w:r>
      <w:r>
        <w:t>anti-Actemra</w:t>
      </w:r>
      <w:r>
        <w:rPr>
          <w:spacing w:val="-5"/>
        </w:rPr>
        <w:t xml:space="preserve"> </w:t>
      </w:r>
      <w:r>
        <w:t>antibodies.</w:t>
      </w:r>
      <w:r>
        <w:rPr>
          <w:spacing w:val="-57"/>
        </w:rPr>
        <w:t xml:space="preserve"> </w:t>
      </w:r>
      <w:r>
        <w:t>In BREVACTA, a total of 434 patients treated with Actemra 162 mg every other week were</w:t>
      </w:r>
      <w:r>
        <w:rPr>
          <w:spacing w:val="1"/>
        </w:rPr>
        <w:t xml:space="preserve"> </w:t>
      </w:r>
      <w:r>
        <w:t>tested for anti-Actemra antibodies. Seven patients (1.6%) in the subcutaneous Actemra arm</w:t>
      </w:r>
      <w:r>
        <w:rPr>
          <w:spacing w:val="1"/>
        </w:rPr>
        <w:t xml:space="preserve"> </w:t>
      </w:r>
      <w:r>
        <w:t>developed anti-Actemra antibodies; of these 6 (1.4%) in the subcutaneous Actemra arm</w:t>
      </w:r>
      <w:r>
        <w:rPr>
          <w:spacing w:val="1"/>
        </w:rPr>
        <w:t xml:space="preserve"> </w:t>
      </w:r>
      <w:r>
        <w:t>developed</w:t>
      </w:r>
      <w:r>
        <w:rPr>
          <w:spacing w:val="-1"/>
        </w:rPr>
        <w:t xml:space="preserve"> </w:t>
      </w:r>
      <w:proofErr w:type="spellStart"/>
      <w:r>
        <w:t>neutralising</w:t>
      </w:r>
      <w:proofErr w:type="spellEnd"/>
      <w:r>
        <w:t xml:space="preserve"> antibodies.</w:t>
      </w:r>
    </w:p>
    <w:p w14:paraId="4342F575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ACF55A1" w14:textId="77777777" w:rsidR="006C34D9" w:rsidRDefault="00CB5041">
      <w:pPr>
        <w:pStyle w:val="BodyText"/>
        <w:ind w:left="659" w:right="659"/>
        <w:jc w:val="both"/>
      </w:pP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1454</w:t>
      </w:r>
      <w:r>
        <w:rPr>
          <w:spacing w:val="-4"/>
        </w:rPr>
        <w:t xml:space="preserve"> </w:t>
      </w:r>
      <w:r>
        <w:t>subcutaneous</w:t>
      </w:r>
      <w:r>
        <w:rPr>
          <w:spacing w:val="-3"/>
        </w:rPr>
        <w:t xml:space="preserve"> </w:t>
      </w:r>
      <w:r>
        <w:t>Actemra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tested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anti-Actemra</w:t>
      </w:r>
      <w:r>
        <w:rPr>
          <w:spacing w:val="-58"/>
        </w:rPr>
        <w:t xml:space="preserve"> </w:t>
      </w:r>
      <w:r>
        <w:t>antibodies, 13 patients (0.9%) developed positive anti-Actemra antibodies, and of these 12</w:t>
      </w:r>
      <w:r>
        <w:rPr>
          <w:spacing w:val="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 xml:space="preserve">(0.8%) developed </w:t>
      </w:r>
      <w:proofErr w:type="spellStart"/>
      <w:r>
        <w:t>neutralising</w:t>
      </w:r>
      <w:proofErr w:type="spellEnd"/>
      <w:r>
        <w:rPr>
          <w:spacing w:val="-1"/>
        </w:rPr>
        <w:t xml:space="preserve"> </w:t>
      </w:r>
      <w:r>
        <w:t>anti-Actemra antibodies.</w:t>
      </w:r>
    </w:p>
    <w:p w14:paraId="7F14F04E" w14:textId="77777777" w:rsidR="006C34D9" w:rsidRDefault="00CB5041">
      <w:pPr>
        <w:pStyle w:val="BodyText"/>
        <w:spacing w:before="46" w:line="470" w:lineRule="atLeast"/>
        <w:ind w:right="774"/>
        <w:jc w:val="both"/>
      </w:pPr>
      <w:r>
        <w:t>No correlation of antibody development to clinical response or adverse events was observed.</w:t>
      </w:r>
      <w:r>
        <w:rPr>
          <w:spacing w:val="-57"/>
        </w:rPr>
        <w:t xml:space="preserve"> </w:t>
      </w:r>
      <w:r>
        <w:rPr>
          <w:u w:val="single"/>
        </w:rPr>
        <w:t>Hypersensitivity</w:t>
      </w:r>
      <w:r>
        <w:rPr>
          <w:spacing w:val="-1"/>
          <w:u w:val="single"/>
        </w:rPr>
        <w:t xml:space="preserve"> </w:t>
      </w:r>
      <w:r>
        <w:rPr>
          <w:u w:val="single"/>
        </w:rPr>
        <w:t>and Anaphylaxis</w:t>
      </w:r>
    </w:p>
    <w:p w14:paraId="6153D30D" w14:textId="77777777" w:rsidR="006C34D9" w:rsidRDefault="00CB5041">
      <w:pPr>
        <w:pStyle w:val="BodyText"/>
        <w:spacing w:before="6"/>
        <w:ind w:right="656"/>
        <w:jc w:val="both"/>
      </w:pPr>
      <w:r>
        <w:t>In the subcutaneous Actemra development program clinically significant hypersensitivity</w:t>
      </w:r>
      <w:r>
        <w:rPr>
          <w:spacing w:val="1"/>
        </w:rPr>
        <w:t xml:space="preserve"> </w:t>
      </w:r>
      <w:r>
        <w:t>reactions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adverse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injection</w:t>
      </w:r>
      <w:r>
        <w:rPr>
          <w:spacing w:val="-57"/>
        </w:rPr>
        <w:t xml:space="preserve"> </w:t>
      </w:r>
      <w:r>
        <w:t>(excluding injection site reactions), related to treatment and leading to study withdrawal.</w:t>
      </w:r>
      <w:r>
        <w:rPr>
          <w:spacing w:val="1"/>
        </w:rPr>
        <w:t xml:space="preserve"> </w:t>
      </w:r>
      <w:r>
        <w:t>Clinically significant hypersensitivity reactions were experienced in 0.7% (8 out of 1068) of</w:t>
      </w:r>
      <w:r>
        <w:rPr>
          <w:spacing w:val="1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subcutaneous</w:t>
      </w:r>
      <w:r>
        <w:rPr>
          <w:spacing w:val="-13"/>
        </w:rPr>
        <w:t xml:space="preserve"> </w:t>
      </w:r>
      <w:r>
        <w:t>6-month</w:t>
      </w:r>
      <w:r>
        <w:rPr>
          <w:spacing w:val="-12"/>
        </w:rPr>
        <w:t xml:space="preserve"> </w:t>
      </w:r>
      <w:r>
        <w:t>controlled</w:t>
      </w:r>
      <w:r>
        <w:rPr>
          <w:spacing w:val="-12"/>
        </w:rPr>
        <w:t xml:space="preserve"> </w:t>
      </w:r>
      <w:r>
        <w:t>RA</w:t>
      </w:r>
      <w:r>
        <w:rPr>
          <w:spacing w:val="-14"/>
        </w:rPr>
        <w:t xml:space="preserve"> </w:t>
      </w:r>
      <w:r>
        <w:t>trials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0.7%</w:t>
      </w:r>
      <w:r>
        <w:rPr>
          <w:spacing w:val="-13"/>
        </w:rPr>
        <w:t xml:space="preserve"> </w:t>
      </w:r>
      <w:r>
        <w:t>(10</w:t>
      </w:r>
      <w:r>
        <w:rPr>
          <w:spacing w:val="-13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1465)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patients</w:t>
      </w:r>
      <w:r>
        <w:rPr>
          <w:spacing w:val="-58"/>
        </w:rPr>
        <w:t xml:space="preserve"> </w:t>
      </w:r>
      <w:r>
        <w:t xml:space="preserve">in the subcutaneous all-exposure population. The events </w:t>
      </w:r>
      <w:proofErr w:type="gramStart"/>
      <w:r>
        <w:t>included, but</w:t>
      </w:r>
      <w:proofErr w:type="gramEnd"/>
      <w:r>
        <w:t xml:space="preserve"> were not limited to</w:t>
      </w:r>
      <w:r>
        <w:rPr>
          <w:spacing w:val="1"/>
        </w:rPr>
        <w:t xml:space="preserve"> </w:t>
      </w:r>
      <w:r>
        <w:t>hypersensitivity</w:t>
      </w:r>
      <w:r>
        <w:rPr>
          <w:spacing w:val="-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events) and urticaria (1</w:t>
      </w:r>
      <w:r>
        <w:rPr>
          <w:spacing w:val="-2"/>
        </w:rPr>
        <w:t xml:space="preserve"> </w:t>
      </w:r>
      <w:r>
        <w:t>event).</w:t>
      </w:r>
    </w:p>
    <w:p w14:paraId="67D47728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5CEC26C6" w14:textId="77777777" w:rsidR="006C34D9" w:rsidRDefault="00CB5041">
      <w:pPr>
        <w:pStyle w:val="BodyText"/>
        <w:ind w:right="659"/>
        <w:jc w:val="both"/>
      </w:pPr>
      <w:r>
        <w:t>There</w:t>
      </w:r>
      <w:r>
        <w:rPr>
          <w:spacing w:val="-13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cases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anaphylaxis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subcutaneous</w:t>
      </w:r>
      <w:r>
        <w:rPr>
          <w:spacing w:val="-13"/>
        </w:rPr>
        <w:t xml:space="preserve"> </w:t>
      </w:r>
      <w:r>
        <w:t>Actemra</w:t>
      </w:r>
      <w:r>
        <w:rPr>
          <w:spacing w:val="-12"/>
        </w:rPr>
        <w:t xml:space="preserve"> </w:t>
      </w:r>
      <w:r>
        <w:t>pivotal</w:t>
      </w:r>
      <w:r>
        <w:rPr>
          <w:spacing w:val="-14"/>
        </w:rPr>
        <w:t xml:space="preserve"> </w:t>
      </w:r>
      <w:r>
        <w:t>studies</w:t>
      </w:r>
      <w:r>
        <w:rPr>
          <w:spacing w:val="-13"/>
        </w:rPr>
        <w:t xml:space="preserve"> </w:t>
      </w:r>
      <w:r>
        <w:t>SUMMACTA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BREVACTA,</w:t>
      </w:r>
      <w:r>
        <w:rPr>
          <w:spacing w:val="-1"/>
        </w:rPr>
        <w:t xml:space="preserve"> </w:t>
      </w:r>
      <w:r>
        <w:t>however anaphylaxis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reported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post-market</w:t>
      </w:r>
      <w:r>
        <w:rPr>
          <w:spacing w:val="-1"/>
        </w:rPr>
        <w:t xml:space="preserve"> </w:t>
      </w:r>
      <w:r>
        <w:t>setting.</w:t>
      </w:r>
    </w:p>
    <w:p w14:paraId="6A9873B0" w14:textId="77777777" w:rsidR="006C34D9" w:rsidRDefault="00CB5041">
      <w:pPr>
        <w:pStyle w:val="Heading2"/>
        <w:spacing w:before="202"/>
      </w:pPr>
      <w:r>
        <w:t>Giant</w:t>
      </w:r>
      <w:r>
        <w:rPr>
          <w:spacing w:val="-3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Arteritis</w:t>
      </w:r>
    </w:p>
    <w:p w14:paraId="759B0724" w14:textId="77777777" w:rsidR="006C34D9" w:rsidRDefault="00CB5041">
      <w:pPr>
        <w:pStyle w:val="BodyText"/>
        <w:spacing w:before="34"/>
        <w:ind w:left="659" w:right="657"/>
        <w:jc w:val="both"/>
      </w:pPr>
      <w:r>
        <w:t>The safety of subcutaneous Actemra was studied in 251 GCA patients in a Phase III study</w:t>
      </w:r>
      <w:r>
        <w:rPr>
          <w:spacing w:val="1"/>
        </w:rPr>
        <w:t xml:space="preserve"> </w:t>
      </w:r>
      <w:r>
        <w:t xml:space="preserve">(Study X, </w:t>
      </w:r>
      <w:proofErr w:type="spellStart"/>
      <w:r>
        <w:t>GiACTA</w:t>
      </w:r>
      <w:proofErr w:type="spellEnd"/>
      <w:r>
        <w:t>). The total patient years duration in the Actemra all exposure population</w:t>
      </w:r>
      <w:r>
        <w:rPr>
          <w:spacing w:val="1"/>
        </w:rPr>
        <w:t xml:space="preserve"> </w:t>
      </w:r>
      <w:r>
        <w:t>was 138.5 patient years during the 12-month double blind, placebo-controlled phase of the</w:t>
      </w:r>
      <w:r>
        <w:rPr>
          <w:spacing w:val="1"/>
        </w:rPr>
        <w:t xml:space="preserve"> </w:t>
      </w:r>
      <w:r>
        <w:t>study.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overall</w:t>
      </w:r>
      <w:r>
        <w:rPr>
          <w:spacing w:val="-8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t>profile</w:t>
      </w:r>
      <w:r>
        <w:rPr>
          <w:spacing w:val="-8"/>
        </w:rPr>
        <w:t xml:space="preserve"> </w:t>
      </w:r>
      <w:r>
        <w:t>observed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Actemra</w:t>
      </w:r>
      <w:r>
        <w:rPr>
          <w:spacing w:val="-7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consistent</w:t>
      </w:r>
      <w:r>
        <w:rPr>
          <w:spacing w:val="-7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safety profile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Actemra (see Table</w:t>
      </w:r>
      <w:r>
        <w:rPr>
          <w:spacing w:val="-1"/>
        </w:rPr>
        <w:t xml:space="preserve"> </w:t>
      </w:r>
      <w:r>
        <w:t>1).</w:t>
      </w:r>
    </w:p>
    <w:p w14:paraId="576DF8F9" w14:textId="77777777" w:rsidR="006C34D9" w:rsidRDefault="00CB5041">
      <w:pPr>
        <w:pStyle w:val="BodyText"/>
        <w:spacing w:before="200"/>
      </w:pPr>
      <w:r>
        <w:rPr>
          <w:u w:val="single"/>
        </w:rPr>
        <w:t>Infections</w:t>
      </w:r>
    </w:p>
    <w:p w14:paraId="30F53CE7" w14:textId="77777777" w:rsidR="006C34D9" w:rsidRDefault="00CB5041">
      <w:pPr>
        <w:pStyle w:val="BodyText"/>
        <w:ind w:right="657"/>
        <w:jc w:val="both"/>
      </w:pPr>
      <w:r>
        <w:t>The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infection/serious</w:t>
      </w:r>
      <w:r>
        <w:rPr>
          <w:spacing w:val="-2"/>
        </w:rPr>
        <w:t xml:space="preserve"> </w:t>
      </w:r>
      <w:r>
        <w:t>infection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200.2/9.7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Actemra weekly group and 160.2/4.4 events per 100 patient years in the Actemra every other</w:t>
      </w:r>
      <w:r>
        <w:rPr>
          <w:spacing w:val="1"/>
        </w:rPr>
        <w:t xml:space="preserve"> </w:t>
      </w:r>
      <w:r>
        <w:t>week group compared to 156.0/4.2 events per 100 patient years in the placebo plus 26 week</w:t>
      </w:r>
      <w:r>
        <w:rPr>
          <w:spacing w:val="1"/>
        </w:rPr>
        <w:t xml:space="preserve"> </w:t>
      </w:r>
      <w:r>
        <w:t>prednisone taper 210.2/12.5 events per 100 patient years in the placebo plus 52 weeks taper</w:t>
      </w:r>
      <w:r>
        <w:rPr>
          <w:spacing w:val="1"/>
        </w:rPr>
        <w:t xml:space="preserve"> </w:t>
      </w:r>
      <w:r>
        <w:t>groups.</w:t>
      </w:r>
    </w:p>
    <w:p w14:paraId="4B2E3898" w14:textId="77777777" w:rsidR="006C34D9" w:rsidRDefault="00CB5041">
      <w:pPr>
        <w:pStyle w:val="BodyText"/>
        <w:spacing w:before="200"/>
        <w:jc w:val="both"/>
      </w:pPr>
      <w:bookmarkStart w:id="68" w:name="Injection_Site_Reactions"/>
      <w:bookmarkEnd w:id="68"/>
      <w:r>
        <w:rPr>
          <w:u w:val="single"/>
        </w:rPr>
        <w:t>Injection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Site</w:t>
      </w:r>
      <w:r>
        <w:rPr>
          <w:spacing w:val="-4"/>
          <w:u w:val="single"/>
        </w:rPr>
        <w:t xml:space="preserve"> </w:t>
      </w:r>
      <w:r>
        <w:rPr>
          <w:u w:val="single"/>
        </w:rPr>
        <w:t>Reactions</w:t>
      </w:r>
    </w:p>
    <w:p w14:paraId="473DEE6B" w14:textId="77777777" w:rsidR="006C34D9" w:rsidRDefault="00CB5041">
      <w:pPr>
        <w:pStyle w:val="BodyText"/>
        <w:ind w:left="659" w:right="656"/>
        <w:jc w:val="both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Actemra</w:t>
      </w:r>
      <w:r>
        <w:rPr>
          <w:spacing w:val="-5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5"/>
        </w:rPr>
        <w:t xml:space="preserve"> </w:t>
      </w:r>
      <w:r>
        <w:t>every</w:t>
      </w:r>
      <w:proofErr w:type="gramEnd"/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6%</w:t>
      </w:r>
      <w:r>
        <w:rPr>
          <w:spacing w:val="-5"/>
        </w:rPr>
        <w:t xml:space="preserve"> </w:t>
      </w:r>
      <w:r>
        <w:t>(6/100)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14%</w:t>
      </w:r>
      <w:r>
        <w:rPr>
          <w:spacing w:val="-57"/>
        </w:rPr>
        <w:t xml:space="preserve"> </w:t>
      </w:r>
      <w:r>
        <w:t>(7/49)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patients,</w:t>
      </w:r>
      <w:r>
        <w:rPr>
          <w:spacing w:val="-13"/>
        </w:rPr>
        <w:t xml:space="preserve"> </w:t>
      </w:r>
      <w:r>
        <w:t>reported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adverse</w:t>
      </w:r>
      <w:r>
        <w:rPr>
          <w:spacing w:val="-12"/>
        </w:rPr>
        <w:t xml:space="preserve"> </w:t>
      </w:r>
      <w:r>
        <w:t>reaction</w:t>
      </w:r>
      <w:r>
        <w:rPr>
          <w:spacing w:val="-12"/>
        </w:rPr>
        <w:t xml:space="preserve"> </w:t>
      </w:r>
      <w:r>
        <w:t>occurring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subcutaneous</w:t>
      </w:r>
      <w:r>
        <w:rPr>
          <w:spacing w:val="-13"/>
        </w:rPr>
        <w:t xml:space="preserve"> </w:t>
      </w:r>
      <w:r>
        <w:t>injection,</w:t>
      </w:r>
      <w:r>
        <w:rPr>
          <w:spacing w:val="-57"/>
        </w:rPr>
        <w:t xml:space="preserve"> </w:t>
      </w:r>
      <w:r>
        <w:t>respectively. No injection site reaction was reported as a serious adverse event or required</w:t>
      </w:r>
      <w:r>
        <w:rPr>
          <w:spacing w:val="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discontinuation.</w:t>
      </w:r>
    </w:p>
    <w:p w14:paraId="2DF0587D" w14:textId="77777777" w:rsidR="006C34D9" w:rsidRDefault="00CB5041">
      <w:pPr>
        <w:pStyle w:val="BodyText"/>
        <w:spacing w:before="200"/>
      </w:pPr>
      <w:r>
        <w:rPr>
          <w:u w:val="single"/>
        </w:rPr>
        <w:t>Immunogenicity</w:t>
      </w:r>
    </w:p>
    <w:p w14:paraId="787F702D" w14:textId="77777777" w:rsidR="006C34D9" w:rsidRDefault="00CB5041">
      <w:pPr>
        <w:pStyle w:val="BodyText"/>
        <w:ind w:right="656"/>
        <w:jc w:val="both"/>
      </w:pPr>
      <w:r>
        <w:t xml:space="preserve">In the Actemra weekly group and </w:t>
      </w:r>
      <w:proofErr w:type="gramStart"/>
      <w:r>
        <w:t>the every</w:t>
      </w:r>
      <w:proofErr w:type="gramEnd"/>
      <w:r>
        <w:t xml:space="preserve"> other week group, 1 patient (1.1%, 1/95) and 3</w:t>
      </w:r>
      <w:r>
        <w:rPr>
          <w:spacing w:val="1"/>
        </w:rPr>
        <w:t xml:space="preserve"> </w:t>
      </w:r>
      <w:r>
        <w:t xml:space="preserve">patients (6.5%, 3/46), developed positive </w:t>
      </w:r>
      <w:proofErr w:type="spellStart"/>
      <w:r>
        <w:t>neutralising</w:t>
      </w:r>
      <w:proofErr w:type="spellEnd"/>
      <w:r>
        <w:t xml:space="preserve"> anti-Actemra antibodies, respectively.</w:t>
      </w:r>
      <w:r>
        <w:rPr>
          <w:spacing w:val="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IgE</w:t>
      </w:r>
      <w:proofErr w:type="spellEnd"/>
      <w:r>
        <w:rPr>
          <w:spacing w:val="-5"/>
        </w:rPr>
        <w:t xml:space="preserve"> </w:t>
      </w:r>
      <w:r>
        <w:t>isotype.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hypersensitivity</w:t>
      </w:r>
      <w:r>
        <w:rPr>
          <w:spacing w:val="-5"/>
        </w:rPr>
        <w:t xml:space="preserve"> </w:t>
      </w:r>
      <w:r>
        <w:t>reactions</w:t>
      </w:r>
      <w:r>
        <w:rPr>
          <w:spacing w:val="-5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site reactions.</w:t>
      </w:r>
    </w:p>
    <w:p w14:paraId="4BFF541A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1D4A36B3" w14:textId="77777777" w:rsidR="006C34D9" w:rsidRDefault="00CB5041">
      <w:pPr>
        <w:pStyle w:val="BodyText"/>
        <w:spacing w:before="79"/>
        <w:jc w:val="both"/>
      </w:pPr>
      <w:bookmarkStart w:id="69" w:name="Hypersensitivity_and_Anaphylaxis"/>
      <w:bookmarkEnd w:id="69"/>
      <w:r>
        <w:rPr>
          <w:u w:val="single"/>
        </w:rPr>
        <w:lastRenderedPageBreak/>
        <w:t>Hypersensitivity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Anaphylaxis</w:t>
      </w:r>
    </w:p>
    <w:p w14:paraId="43212EEB" w14:textId="77777777" w:rsidR="006C34D9" w:rsidRDefault="00CB5041">
      <w:pPr>
        <w:pStyle w:val="BodyText"/>
        <w:ind w:right="657"/>
        <w:jc w:val="both"/>
      </w:pPr>
      <w:r>
        <w:t>In the Actemra weekly group, no patients experienced a clinically significant hypersensitivity</w:t>
      </w:r>
      <w:r>
        <w:rPr>
          <w:spacing w:val="-57"/>
        </w:rPr>
        <w:t xml:space="preserve"> </w:t>
      </w:r>
      <w:r>
        <w:t>reaction or anaphylaxis. Two patients in the Actemra every other week group had clinically</w:t>
      </w:r>
      <w:r>
        <w:rPr>
          <w:spacing w:val="1"/>
        </w:rPr>
        <w:t xml:space="preserve"> </w:t>
      </w:r>
      <w:r>
        <w:t>significant hypersensitivity reactions. One patient in the Actemra every other week group</w:t>
      </w:r>
      <w:r>
        <w:rPr>
          <w:spacing w:val="1"/>
        </w:rPr>
        <w:t xml:space="preserve"> </w:t>
      </w:r>
      <w:r>
        <w:t>experienced events constituting an anaphylactic reaction. These were not considered to be</w:t>
      </w:r>
      <w:r>
        <w:rPr>
          <w:spacing w:val="1"/>
        </w:rPr>
        <w:t xml:space="preserve"> </w:t>
      </w:r>
      <w:r>
        <w:t>clinically</w:t>
      </w:r>
      <w:r>
        <w:rPr>
          <w:spacing w:val="-1"/>
        </w:rPr>
        <w:t xml:space="preserve"> </w:t>
      </w:r>
      <w:r>
        <w:t>significant upon</w:t>
      </w:r>
      <w:r>
        <w:rPr>
          <w:spacing w:val="1"/>
        </w:rPr>
        <w:t xml:space="preserve"> </w:t>
      </w:r>
      <w:r>
        <w:t>medical review.</w:t>
      </w:r>
    </w:p>
    <w:p w14:paraId="6B11C88E" w14:textId="77777777" w:rsidR="006C34D9" w:rsidRDefault="00CB5041">
      <w:pPr>
        <w:pStyle w:val="Heading1"/>
        <w:spacing w:before="202" w:line="240" w:lineRule="auto"/>
        <w:ind w:left="659" w:firstLine="0"/>
      </w:pPr>
      <w:r>
        <w:t>COVID-19</w:t>
      </w:r>
    </w:p>
    <w:p w14:paraId="2447F1F7" w14:textId="77777777" w:rsidR="006C34D9" w:rsidRDefault="00CB5041">
      <w:pPr>
        <w:pStyle w:val="BodyText"/>
        <w:spacing w:before="34"/>
        <w:ind w:right="657"/>
        <w:jc w:val="both"/>
      </w:pPr>
      <w:r>
        <w:t xml:space="preserve">The safety evaluation of Actemra in COVID-19 was based on 3 </w:t>
      </w:r>
      <w:proofErr w:type="spellStart"/>
      <w:r>
        <w:t>randomised</w:t>
      </w:r>
      <w:proofErr w:type="spellEnd"/>
      <w:r>
        <w:t>, double-blind,</w:t>
      </w:r>
      <w:r>
        <w:rPr>
          <w:spacing w:val="1"/>
        </w:rPr>
        <w:t xml:space="preserve"> </w:t>
      </w:r>
      <w:proofErr w:type="gramStart"/>
      <w:r>
        <w:t>placebo controlled</w:t>
      </w:r>
      <w:proofErr w:type="gramEnd"/>
      <w:r>
        <w:t xml:space="preserve"> trials (studies EMPACTA, COVACTA and REMDACTA). A total of 974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13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exposed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Actemra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studies.</w:t>
      </w:r>
      <w:r>
        <w:rPr>
          <w:spacing w:val="-15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randomised</w:t>
      </w:r>
      <w:proofErr w:type="spellEnd"/>
      <w:r>
        <w:t>,</w:t>
      </w:r>
      <w:r>
        <w:rPr>
          <w:spacing w:val="-12"/>
        </w:rPr>
        <w:t xml:space="preserve"> </w:t>
      </w:r>
      <w:r>
        <w:t>controlled,</w:t>
      </w:r>
      <w:r>
        <w:rPr>
          <w:spacing w:val="-58"/>
        </w:rPr>
        <w:t xml:space="preserve"> </w:t>
      </w:r>
      <w:r>
        <w:t>open-label, platform trial (RECOVERY (</w:t>
      </w:r>
      <w:proofErr w:type="spellStart"/>
      <w:r>
        <w:t>Randomised</w:t>
      </w:r>
      <w:proofErr w:type="spellEnd"/>
      <w:r>
        <w:t xml:space="preserve"> Evaluation of COVID-19 Therapy)) is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here as</w:t>
      </w:r>
      <w:r>
        <w:rPr>
          <w:spacing w:val="-1"/>
        </w:rPr>
        <w:t xml:space="preserve"> </w:t>
      </w:r>
      <w:r>
        <w:t>collection of</w:t>
      </w:r>
      <w:r>
        <w:rPr>
          <w:spacing w:val="-2"/>
        </w:rPr>
        <w:t xml:space="preserve"> </w:t>
      </w:r>
      <w:r>
        <w:t>adverse event</w:t>
      </w:r>
      <w:r>
        <w:rPr>
          <w:spacing w:val="-1"/>
        </w:rPr>
        <w:t xml:space="preserve"> </w:t>
      </w:r>
      <w:r>
        <w:t>data was limited.</w:t>
      </w:r>
    </w:p>
    <w:p w14:paraId="771A464D" w14:textId="77777777" w:rsidR="006C34D9" w:rsidRDefault="006C34D9">
      <w:pPr>
        <w:pStyle w:val="BodyText"/>
        <w:ind w:left="0"/>
      </w:pPr>
    </w:p>
    <w:p w14:paraId="4607F34E" w14:textId="77777777" w:rsidR="006C34D9" w:rsidRDefault="00CB5041">
      <w:pPr>
        <w:pStyle w:val="BodyText"/>
        <w:ind w:left="659" w:right="656"/>
        <w:jc w:val="both"/>
      </w:pPr>
      <w:r>
        <w:t>The following adverse reactions, listed by MedDRA system organ class in Table 2, have been</w:t>
      </w:r>
      <w:r>
        <w:rPr>
          <w:spacing w:val="-57"/>
        </w:rPr>
        <w:t xml:space="preserve"> </w:t>
      </w:r>
      <w:r>
        <w:t>adjudicated from events which occurred in at least 3% of Actemra treated patients and more</w:t>
      </w:r>
      <w:r>
        <w:rPr>
          <w:spacing w:val="1"/>
        </w:rPr>
        <w:t xml:space="preserve"> </w:t>
      </w:r>
      <w:r>
        <w:t>commonly than in patients on placebo in the pooled safety-evaluable population from clinical</w:t>
      </w:r>
      <w:r>
        <w:rPr>
          <w:spacing w:val="-57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EMPACTA,</w:t>
      </w:r>
      <w:r>
        <w:rPr>
          <w:spacing w:val="1"/>
        </w:rPr>
        <w:t xml:space="preserve"> </w:t>
      </w:r>
      <w:r>
        <w:t>COVACTA</w:t>
      </w:r>
      <w:r>
        <w:rPr>
          <w:spacing w:val="-1"/>
        </w:rPr>
        <w:t xml:space="preserve"> </w:t>
      </w:r>
      <w:r>
        <w:t>and REMDACTA.</w:t>
      </w:r>
    </w:p>
    <w:p w14:paraId="3A0DD094" w14:textId="77777777" w:rsidR="006C34D9" w:rsidRDefault="006C34D9">
      <w:pPr>
        <w:pStyle w:val="BodyText"/>
        <w:ind w:left="0"/>
      </w:pPr>
    </w:p>
    <w:p w14:paraId="3F077E0E" w14:textId="77777777" w:rsidR="006C34D9" w:rsidRDefault="00CB5041">
      <w:pPr>
        <w:pStyle w:val="BodyText"/>
        <w:ind w:left="659" w:right="657"/>
        <w:jc w:val="both"/>
      </w:pPr>
      <w:r>
        <w:t>The</w:t>
      </w:r>
      <w:r>
        <w:rPr>
          <w:spacing w:val="-12"/>
        </w:rPr>
        <w:t xml:space="preserve"> </w:t>
      </w:r>
      <w:r>
        <w:t>corresponding</w:t>
      </w:r>
      <w:r>
        <w:rPr>
          <w:spacing w:val="-11"/>
        </w:rPr>
        <w:t xml:space="preserve"> </w:t>
      </w:r>
      <w:r>
        <w:t>frequency</w:t>
      </w:r>
      <w:r>
        <w:rPr>
          <w:spacing w:val="-11"/>
        </w:rPr>
        <w:t xml:space="preserve"> </w:t>
      </w:r>
      <w:r>
        <w:t>category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adverse</w:t>
      </w:r>
      <w:r>
        <w:rPr>
          <w:spacing w:val="-11"/>
        </w:rPr>
        <w:t xml:space="preserve"> </w:t>
      </w:r>
      <w:r>
        <w:t>drug</w:t>
      </w:r>
      <w:r>
        <w:rPr>
          <w:spacing w:val="-12"/>
        </w:rPr>
        <w:t xml:space="preserve"> </w:t>
      </w:r>
      <w:r>
        <w:t>reaction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58"/>
        </w:rPr>
        <w:t xml:space="preserve"> </w:t>
      </w:r>
      <w:r>
        <w:t>convention: very common (≥ 1/10); common (≥ 1/100 to &lt; 1/10); uncommon (≥ 1/1,000 to &lt;</w:t>
      </w:r>
      <w:r>
        <w:rPr>
          <w:spacing w:val="1"/>
        </w:rPr>
        <w:t xml:space="preserve"> </w:t>
      </w:r>
      <w:r>
        <w:t>1/100);</w:t>
      </w:r>
      <w:r>
        <w:rPr>
          <w:spacing w:val="-2"/>
        </w:rPr>
        <w:t xml:space="preserve"> </w:t>
      </w:r>
      <w:r>
        <w:t>rare</w:t>
      </w:r>
      <w:r>
        <w:rPr>
          <w:spacing w:val="-1"/>
        </w:rPr>
        <w:t xml:space="preserve"> </w:t>
      </w:r>
      <w:r>
        <w:t>(≥ 1/10,000</w:t>
      </w:r>
      <w:r>
        <w:rPr>
          <w:spacing w:val="-2"/>
        </w:rPr>
        <w:t xml:space="preserve"> </w:t>
      </w:r>
      <w:r>
        <w:t>to &lt; 1/1,000); very</w:t>
      </w:r>
      <w:r>
        <w:rPr>
          <w:spacing w:val="-2"/>
        </w:rPr>
        <w:t xml:space="preserve"> </w:t>
      </w:r>
      <w:r>
        <w:t>rare (&lt; 1/10,000).</w:t>
      </w:r>
    </w:p>
    <w:p w14:paraId="1D7BB315" w14:textId="77777777" w:rsidR="006C34D9" w:rsidRDefault="006C34D9">
      <w:pPr>
        <w:pStyle w:val="BodyText"/>
        <w:spacing w:before="2"/>
        <w:ind w:left="0"/>
      </w:pPr>
    </w:p>
    <w:p w14:paraId="2D91F7DC" w14:textId="77777777" w:rsidR="006C34D9" w:rsidRDefault="00CB5041">
      <w:pPr>
        <w:pStyle w:val="Heading2"/>
        <w:ind w:right="658"/>
      </w:pPr>
      <w:r>
        <w:t>Table 2: Summary of Adverse Reactions</w:t>
      </w:r>
      <w:r>
        <w:rPr>
          <w:vertAlign w:val="superscript"/>
        </w:rPr>
        <w:t>1</w:t>
      </w:r>
      <w:r>
        <w:t xml:space="preserve"> Occurring in COVID-19 patients treated with</w:t>
      </w:r>
      <w:r>
        <w:rPr>
          <w:spacing w:val="1"/>
        </w:rPr>
        <w:t xml:space="preserve"> </w:t>
      </w:r>
      <w:r>
        <w:t>Actemra</w:t>
      </w:r>
      <w:r>
        <w:rPr>
          <w:vertAlign w:val="superscript"/>
        </w:rPr>
        <w:t>2</w:t>
      </w:r>
    </w:p>
    <w:p w14:paraId="53DE747C" w14:textId="77777777" w:rsidR="006C34D9" w:rsidRDefault="006C34D9">
      <w:pPr>
        <w:pStyle w:val="BodyText"/>
        <w:ind w:left="0"/>
        <w:rPr>
          <w:b/>
        </w:r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2321"/>
        <w:gridCol w:w="2194"/>
        <w:gridCol w:w="2235"/>
      </w:tblGrid>
      <w:tr w:rsidR="006C34D9" w14:paraId="6DF9053F" w14:textId="77777777">
        <w:trPr>
          <w:trHeight w:val="1103"/>
        </w:trPr>
        <w:tc>
          <w:tcPr>
            <w:tcW w:w="2333" w:type="dxa"/>
          </w:tcPr>
          <w:p w14:paraId="1827906B" w14:textId="77777777" w:rsidR="006C34D9" w:rsidRDefault="00CB5041">
            <w:pPr>
              <w:pStyle w:val="TableParagraph"/>
              <w:ind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MedDRA System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Organ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Class</w:t>
            </w:r>
          </w:p>
        </w:tc>
        <w:tc>
          <w:tcPr>
            <w:tcW w:w="2321" w:type="dxa"/>
          </w:tcPr>
          <w:p w14:paraId="40DC0468" w14:textId="77777777" w:rsidR="006C34D9" w:rsidRDefault="00CB50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Term(s)</w:t>
            </w:r>
          </w:p>
        </w:tc>
        <w:tc>
          <w:tcPr>
            <w:tcW w:w="2194" w:type="dxa"/>
          </w:tcPr>
          <w:p w14:paraId="53A1D1B6" w14:textId="77777777" w:rsidR="006C34D9" w:rsidRDefault="00CB5041">
            <w:pPr>
              <w:pStyle w:val="TableParagraph"/>
              <w:ind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TCZ Incidence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N=974</w:t>
            </w:r>
          </w:p>
          <w:p w14:paraId="01F71B59" w14:textId="77777777" w:rsidR="006C34D9" w:rsidRDefault="00CB50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235" w:type="dxa"/>
          </w:tcPr>
          <w:p w14:paraId="7FE0CBD7" w14:textId="77777777" w:rsidR="006C34D9" w:rsidRDefault="00CB50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6C34D9" w14:paraId="39A42039" w14:textId="77777777">
        <w:trPr>
          <w:trHeight w:val="840"/>
        </w:trPr>
        <w:tc>
          <w:tcPr>
            <w:tcW w:w="2333" w:type="dxa"/>
          </w:tcPr>
          <w:p w14:paraId="054B2253" w14:textId="77777777" w:rsidR="006C34D9" w:rsidRDefault="00CB5041">
            <w:pPr>
              <w:pStyle w:val="TableParagraph"/>
              <w:ind w:right="809"/>
              <w:rPr>
                <w:sz w:val="24"/>
              </w:rPr>
            </w:pPr>
            <w:proofErr w:type="spellStart"/>
            <w:r>
              <w:rPr>
                <w:sz w:val="24"/>
              </w:rPr>
              <w:t>Hepatobilliary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</w:p>
        </w:tc>
        <w:tc>
          <w:tcPr>
            <w:tcW w:w="2321" w:type="dxa"/>
          </w:tcPr>
          <w:p w14:paraId="2E7074F0" w14:textId="77777777" w:rsidR="006C34D9" w:rsidRDefault="00CB5041">
            <w:pPr>
              <w:pStyle w:val="TableParagraph"/>
              <w:spacing w:line="276" w:lineRule="exact"/>
              <w:ind w:right="837"/>
              <w:rPr>
                <w:sz w:val="24"/>
              </w:rPr>
            </w:pPr>
            <w:r>
              <w:rPr>
                <w:sz w:val="24"/>
              </w:rPr>
              <w:t>Hepatic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transaminases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</w:p>
        </w:tc>
        <w:tc>
          <w:tcPr>
            <w:tcW w:w="2194" w:type="dxa"/>
          </w:tcPr>
          <w:p w14:paraId="2B42EA2A" w14:textId="77777777" w:rsidR="006C34D9" w:rsidRDefault="00CB50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96 (9.9)</w:t>
            </w:r>
          </w:p>
        </w:tc>
        <w:tc>
          <w:tcPr>
            <w:tcW w:w="2235" w:type="dxa"/>
          </w:tcPr>
          <w:p w14:paraId="411E11F8" w14:textId="77777777" w:rsidR="006C34D9" w:rsidRDefault="00CB50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Common</w:t>
            </w:r>
          </w:p>
        </w:tc>
      </w:tr>
      <w:tr w:rsidR="006C34D9" w14:paraId="2EAD5E01" w14:textId="77777777">
        <w:trPr>
          <w:trHeight w:val="567"/>
        </w:trPr>
        <w:tc>
          <w:tcPr>
            <w:tcW w:w="2333" w:type="dxa"/>
            <w:vMerge w:val="restart"/>
          </w:tcPr>
          <w:p w14:paraId="68750F55" w14:textId="77777777" w:rsidR="006C34D9" w:rsidRDefault="00CB5041">
            <w:pPr>
              <w:pStyle w:val="TableParagraph"/>
              <w:ind w:right="676"/>
              <w:rPr>
                <w:sz w:val="24"/>
              </w:rPr>
            </w:pPr>
            <w:r>
              <w:rPr>
                <w:sz w:val="24"/>
              </w:rPr>
              <w:t>Gastrointestinal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</w:p>
        </w:tc>
        <w:tc>
          <w:tcPr>
            <w:tcW w:w="2321" w:type="dxa"/>
          </w:tcPr>
          <w:p w14:paraId="6DDA2DE8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Constipation</w:t>
            </w:r>
          </w:p>
        </w:tc>
        <w:tc>
          <w:tcPr>
            <w:tcW w:w="2194" w:type="dxa"/>
          </w:tcPr>
          <w:p w14:paraId="66200B0D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88 (9.0)</w:t>
            </w:r>
          </w:p>
        </w:tc>
        <w:tc>
          <w:tcPr>
            <w:tcW w:w="2235" w:type="dxa"/>
          </w:tcPr>
          <w:p w14:paraId="7654CF9B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Common</w:t>
            </w:r>
          </w:p>
        </w:tc>
      </w:tr>
      <w:tr w:rsidR="006C34D9" w14:paraId="17B071A7" w14:textId="77777777">
        <w:trPr>
          <w:trHeight w:val="275"/>
        </w:trPr>
        <w:tc>
          <w:tcPr>
            <w:tcW w:w="2333" w:type="dxa"/>
            <w:vMerge/>
            <w:tcBorders>
              <w:top w:val="nil"/>
            </w:tcBorders>
          </w:tcPr>
          <w:p w14:paraId="4BFC0708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14:paraId="1EA6A05D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Diarrhoea</w:t>
            </w:r>
            <w:proofErr w:type="spellEnd"/>
          </w:p>
        </w:tc>
        <w:tc>
          <w:tcPr>
            <w:tcW w:w="2194" w:type="dxa"/>
          </w:tcPr>
          <w:p w14:paraId="7962DD2F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37 (3.8)</w:t>
            </w:r>
          </w:p>
        </w:tc>
        <w:tc>
          <w:tcPr>
            <w:tcW w:w="2235" w:type="dxa"/>
          </w:tcPr>
          <w:p w14:paraId="60CC4643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Common</w:t>
            </w:r>
          </w:p>
        </w:tc>
      </w:tr>
      <w:tr w:rsidR="006C34D9" w14:paraId="18FB964C" w14:textId="77777777">
        <w:trPr>
          <w:trHeight w:val="283"/>
        </w:trPr>
        <w:tc>
          <w:tcPr>
            <w:tcW w:w="2333" w:type="dxa"/>
            <w:vMerge/>
            <w:tcBorders>
              <w:top w:val="nil"/>
            </w:tcBorders>
          </w:tcPr>
          <w:p w14:paraId="6704CA10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14:paraId="3DC8C312" w14:textId="77777777" w:rsidR="006C34D9" w:rsidRDefault="00CB50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Nausea</w:t>
            </w:r>
          </w:p>
        </w:tc>
        <w:tc>
          <w:tcPr>
            <w:tcW w:w="2194" w:type="dxa"/>
          </w:tcPr>
          <w:p w14:paraId="59F05BA9" w14:textId="77777777" w:rsidR="006C34D9" w:rsidRDefault="00CB50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33 (3.4)</w:t>
            </w:r>
          </w:p>
        </w:tc>
        <w:tc>
          <w:tcPr>
            <w:tcW w:w="2235" w:type="dxa"/>
          </w:tcPr>
          <w:p w14:paraId="74F93F3A" w14:textId="77777777" w:rsidR="006C34D9" w:rsidRDefault="00CB50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Common</w:t>
            </w:r>
          </w:p>
        </w:tc>
      </w:tr>
      <w:tr w:rsidR="006C34D9" w14:paraId="7CC65F05" w14:textId="77777777">
        <w:trPr>
          <w:trHeight w:val="567"/>
        </w:trPr>
        <w:tc>
          <w:tcPr>
            <w:tcW w:w="2333" w:type="dxa"/>
          </w:tcPr>
          <w:p w14:paraId="06C1AFC3" w14:textId="77777777" w:rsidR="006C34D9" w:rsidRDefault="00CB5041">
            <w:pPr>
              <w:pStyle w:val="TableParagraph"/>
              <w:spacing w:line="276" w:lineRule="exact"/>
              <w:ind w:right="829"/>
              <w:rPr>
                <w:sz w:val="24"/>
              </w:rPr>
            </w:pPr>
            <w:r>
              <w:rPr>
                <w:sz w:val="24"/>
              </w:rPr>
              <w:t>Infections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infestations</w:t>
            </w:r>
          </w:p>
        </w:tc>
        <w:tc>
          <w:tcPr>
            <w:tcW w:w="2321" w:type="dxa"/>
          </w:tcPr>
          <w:p w14:paraId="4F8090A0" w14:textId="77777777" w:rsidR="006C34D9" w:rsidRDefault="00CB5041">
            <w:pPr>
              <w:pStyle w:val="TableParagraph"/>
              <w:spacing w:line="276" w:lineRule="exact"/>
              <w:ind w:right="951"/>
              <w:rPr>
                <w:sz w:val="24"/>
              </w:rPr>
            </w:pPr>
            <w:r>
              <w:rPr>
                <w:sz w:val="24"/>
              </w:rPr>
              <w:t>Urinary tract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infection</w:t>
            </w:r>
          </w:p>
        </w:tc>
        <w:tc>
          <w:tcPr>
            <w:tcW w:w="2194" w:type="dxa"/>
          </w:tcPr>
          <w:p w14:paraId="12391A3A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49 (5.0)</w:t>
            </w:r>
          </w:p>
        </w:tc>
        <w:tc>
          <w:tcPr>
            <w:tcW w:w="2235" w:type="dxa"/>
          </w:tcPr>
          <w:p w14:paraId="33AFDD37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Common</w:t>
            </w:r>
          </w:p>
        </w:tc>
      </w:tr>
      <w:tr w:rsidR="006C34D9" w14:paraId="6DDC2A11" w14:textId="77777777">
        <w:trPr>
          <w:trHeight w:val="558"/>
        </w:trPr>
        <w:tc>
          <w:tcPr>
            <w:tcW w:w="2333" w:type="dxa"/>
          </w:tcPr>
          <w:p w14:paraId="61382D10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Vascular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</w:p>
        </w:tc>
        <w:tc>
          <w:tcPr>
            <w:tcW w:w="2321" w:type="dxa"/>
          </w:tcPr>
          <w:p w14:paraId="4325AE88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Hypertension</w:t>
            </w:r>
          </w:p>
        </w:tc>
        <w:tc>
          <w:tcPr>
            <w:tcW w:w="2194" w:type="dxa"/>
          </w:tcPr>
          <w:p w14:paraId="17A56A94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42 (4.3)</w:t>
            </w:r>
          </w:p>
        </w:tc>
        <w:tc>
          <w:tcPr>
            <w:tcW w:w="2235" w:type="dxa"/>
          </w:tcPr>
          <w:p w14:paraId="3FF67B12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Common</w:t>
            </w:r>
          </w:p>
        </w:tc>
      </w:tr>
      <w:tr w:rsidR="006C34D9" w14:paraId="79CE1A9E" w14:textId="77777777">
        <w:trPr>
          <w:trHeight w:val="566"/>
        </w:trPr>
        <w:tc>
          <w:tcPr>
            <w:tcW w:w="2333" w:type="dxa"/>
          </w:tcPr>
          <w:p w14:paraId="3246C7C9" w14:textId="77777777" w:rsidR="006C34D9" w:rsidRDefault="00CB5041">
            <w:pPr>
              <w:pStyle w:val="TableParagraph"/>
              <w:spacing w:line="276" w:lineRule="exact"/>
              <w:ind w:right="441"/>
              <w:rPr>
                <w:sz w:val="24"/>
              </w:rPr>
            </w:pPr>
            <w:r>
              <w:rPr>
                <w:sz w:val="24"/>
              </w:rPr>
              <w:t>Metabolism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</w:p>
        </w:tc>
        <w:tc>
          <w:tcPr>
            <w:tcW w:w="2321" w:type="dxa"/>
          </w:tcPr>
          <w:p w14:paraId="606B3C5D" w14:textId="77777777" w:rsidR="006C34D9" w:rsidRDefault="00CB5041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Hypokalaemia</w:t>
            </w:r>
            <w:proofErr w:type="spellEnd"/>
          </w:p>
        </w:tc>
        <w:tc>
          <w:tcPr>
            <w:tcW w:w="2194" w:type="dxa"/>
          </w:tcPr>
          <w:p w14:paraId="0CF7AD88" w14:textId="77777777" w:rsidR="006C34D9" w:rsidRDefault="00CB50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39 (4.0)</w:t>
            </w:r>
          </w:p>
        </w:tc>
        <w:tc>
          <w:tcPr>
            <w:tcW w:w="2235" w:type="dxa"/>
          </w:tcPr>
          <w:p w14:paraId="14C8E38B" w14:textId="77777777" w:rsidR="006C34D9" w:rsidRDefault="00CB50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Common</w:t>
            </w:r>
          </w:p>
        </w:tc>
      </w:tr>
      <w:tr w:rsidR="006C34D9" w14:paraId="3B870818" w14:textId="77777777">
        <w:trPr>
          <w:trHeight w:val="558"/>
        </w:trPr>
        <w:tc>
          <w:tcPr>
            <w:tcW w:w="2333" w:type="dxa"/>
            <w:vMerge w:val="restart"/>
          </w:tcPr>
          <w:p w14:paraId="72E01868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Psychiatric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</w:p>
        </w:tc>
        <w:tc>
          <w:tcPr>
            <w:tcW w:w="2321" w:type="dxa"/>
          </w:tcPr>
          <w:p w14:paraId="1A15351C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Anxiety</w:t>
            </w:r>
          </w:p>
        </w:tc>
        <w:tc>
          <w:tcPr>
            <w:tcW w:w="2194" w:type="dxa"/>
          </w:tcPr>
          <w:p w14:paraId="3AA3393B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38 (3.9)</w:t>
            </w:r>
          </w:p>
        </w:tc>
        <w:tc>
          <w:tcPr>
            <w:tcW w:w="2235" w:type="dxa"/>
          </w:tcPr>
          <w:p w14:paraId="22D75FE8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Common</w:t>
            </w:r>
          </w:p>
        </w:tc>
      </w:tr>
      <w:tr w:rsidR="006C34D9" w14:paraId="226F17F4" w14:textId="77777777">
        <w:trPr>
          <w:trHeight w:val="275"/>
        </w:trPr>
        <w:tc>
          <w:tcPr>
            <w:tcW w:w="2333" w:type="dxa"/>
            <w:vMerge/>
            <w:tcBorders>
              <w:top w:val="nil"/>
            </w:tcBorders>
          </w:tcPr>
          <w:p w14:paraId="464E5F21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14:paraId="47A449BB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Insomnia</w:t>
            </w:r>
          </w:p>
        </w:tc>
        <w:tc>
          <w:tcPr>
            <w:tcW w:w="2194" w:type="dxa"/>
          </w:tcPr>
          <w:p w14:paraId="04AD757C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36 (3.7)</w:t>
            </w:r>
          </w:p>
        </w:tc>
        <w:tc>
          <w:tcPr>
            <w:tcW w:w="2235" w:type="dxa"/>
          </w:tcPr>
          <w:p w14:paraId="0D80D4C4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Common</w:t>
            </w:r>
          </w:p>
        </w:tc>
      </w:tr>
    </w:tbl>
    <w:p w14:paraId="1AF6C0B0" w14:textId="77777777" w:rsidR="006C34D9" w:rsidRDefault="00CB5041">
      <w:pPr>
        <w:pStyle w:val="BodyText"/>
        <w:spacing w:before="3"/>
        <w:jc w:val="both"/>
      </w:pPr>
      <w:r>
        <w:rPr>
          <w:vertAlign w:val="superscript"/>
        </w:rPr>
        <w:t>1</w:t>
      </w:r>
      <w:r>
        <w:t>Patients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counted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regardless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reactions</w:t>
      </w:r>
    </w:p>
    <w:p w14:paraId="074AD9A3" w14:textId="77777777" w:rsidR="006C34D9" w:rsidRDefault="00CB5041">
      <w:pPr>
        <w:pStyle w:val="BodyText"/>
        <w:spacing w:line="415" w:lineRule="auto"/>
      </w:pPr>
      <w:r>
        <w:rPr>
          <w:vertAlign w:val="superscript"/>
        </w:rPr>
        <w:t>2</w:t>
      </w:r>
      <w:r>
        <w:t>Includes</w:t>
      </w:r>
      <w:r>
        <w:rPr>
          <w:spacing w:val="-14"/>
        </w:rPr>
        <w:t xml:space="preserve"> </w:t>
      </w:r>
      <w:r>
        <w:t>adjudicated</w:t>
      </w:r>
      <w:r>
        <w:rPr>
          <w:spacing w:val="-13"/>
        </w:rPr>
        <w:t xml:space="preserve"> </w:t>
      </w:r>
      <w:r>
        <w:t>reactions</w:t>
      </w:r>
      <w:r>
        <w:rPr>
          <w:spacing w:val="-13"/>
        </w:rPr>
        <w:t xml:space="preserve"> </w:t>
      </w:r>
      <w:r>
        <w:t>reported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studies</w:t>
      </w:r>
      <w:r>
        <w:rPr>
          <w:spacing w:val="-14"/>
        </w:rPr>
        <w:t xml:space="preserve"> </w:t>
      </w:r>
      <w:r>
        <w:t>EMPACTA,</w:t>
      </w:r>
      <w:r>
        <w:rPr>
          <w:spacing w:val="-14"/>
        </w:rPr>
        <w:t xml:space="preserve"> </w:t>
      </w:r>
      <w:r>
        <w:t>COVACTA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REMDACTA</w:t>
      </w:r>
      <w:r>
        <w:rPr>
          <w:spacing w:val="-57"/>
        </w:rPr>
        <w:t xml:space="preserve"> </w:t>
      </w:r>
      <w:bookmarkStart w:id="70" w:name="Description_of_selected_adverse_drug_rea"/>
      <w:bookmarkEnd w:id="70"/>
      <w:r>
        <w:rPr>
          <w:u w:val="single"/>
        </w:rPr>
        <w:t>Description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selected</w:t>
      </w:r>
      <w:r>
        <w:rPr>
          <w:spacing w:val="-2"/>
          <w:u w:val="single"/>
        </w:rPr>
        <w:t xml:space="preserve"> </w:t>
      </w:r>
      <w:r>
        <w:rPr>
          <w:u w:val="single"/>
        </w:rPr>
        <w:t>adverse drug</w:t>
      </w:r>
      <w:r>
        <w:rPr>
          <w:spacing w:val="-2"/>
          <w:u w:val="single"/>
        </w:rPr>
        <w:t xml:space="preserve"> </w:t>
      </w:r>
      <w:r>
        <w:rPr>
          <w:u w:val="single"/>
        </w:rPr>
        <w:t>reactions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from</w:t>
      </w:r>
      <w:r>
        <w:rPr>
          <w:spacing w:val="-1"/>
          <w:u w:val="single"/>
        </w:rPr>
        <w:t xml:space="preserve"> </w:t>
      </w:r>
      <w:r>
        <w:rPr>
          <w:u w:val="single"/>
        </w:rPr>
        <w:t>clinical trials</w:t>
      </w:r>
    </w:p>
    <w:p w14:paraId="5D8BF072" w14:textId="77777777" w:rsidR="006C34D9" w:rsidRDefault="006C34D9">
      <w:pPr>
        <w:spacing w:line="415" w:lineRule="auto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5C942206" w14:textId="77777777" w:rsidR="006C34D9" w:rsidRDefault="00CB5041">
      <w:pPr>
        <w:spacing w:before="60" w:line="275" w:lineRule="exact"/>
        <w:ind w:left="660"/>
        <w:rPr>
          <w:i/>
          <w:sz w:val="24"/>
        </w:rPr>
      </w:pPr>
      <w:r>
        <w:rPr>
          <w:i/>
          <w:sz w:val="24"/>
        </w:rPr>
        <w:lastRenderedPageBreak/>
        <w:t>Infections</w:t>
      </w:r>
    </w:p>
    <w:p w14:paraId="39EA2D80" w14:textId="77777777" w:rsidR="006C34D9" w:rsidRDefault="00CB5041">
      <w:pPr>
        <w:pStyle w:val="BodyText"/>
        <w:ind w:left="659" w:right="659"/>
        <w:jc w:val="both"/>
      </w:pPr>
      <w:r>
        <w:t>In the pooled safety-evaluable population from the studies EMPACTA, COVACTA and</w:t>
      </w:r>
      <w:r>
        <w:rPr>
          <w:spacing w:val="1"/>
        </w:rPr>
        <w:t xml:space="preserve"> </w:t>
      </w:r>
      <w:r>
        <w:t>REMDACTA, the rates of infection/serious infection events were balanced between COVID-</w:t>
      </w:r>
      <w:r>
        <w:rPr>
          <w:spacing w:val="-57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Actemra</w:t>
      </w:r>
      <w:r>
        <w:rPr>
          <w:spacing w:val="-2"/>
        </w:rPr>
        <w:t xml:space="preserve"> </w:t>
      </w:r>
      <w:r>
        <w:t>(30.3%/18.6%,</w:t>
      </w:r>
      <w:r>
        <w:rPr>
          <w:spacing w:val="-1"/>
        </w:rPr>
        <w:t xml:space="preserve"> </w:t>
      </w:r>
      <w:r>
        <w:t>n=974)</w:t>
      </w:r>
      <w:r>
        <w:rPr>
          <w:spacing w:val="-2"/>
        </w:rPr>
        <w:t xml:space="preserve"> </w:t>
      </w:r>
      <w:r>
        <w:t>versus</w:t>
      </w:r>
      <w:r>
        <w:rPr>
          <w:spacing w:val="-1"/>
        </w:rPr>
        <w:t xml:space="preserve"> </w:t>
      </w:r>
      <w:r>
        <w:t>placebo</w:t>
      </w:r>
      <w:r>
        <w:rPr>
          <w:spacing w:val="-4"/>
        </w:rPr>
        <w:t xml:space="preserve"> </w:t>
      </w:r>
      <w:r>
        <w:t>(32.1%/22.8%,</w:t>
      </w:r>
      <w:r>
        <w:rPr>
          <w:spacing w:val="-1"/>
        </w:rPr>
        <w:t xml:space="preserve"> </w:t>
      </w:r>
      <w:r>
        <w:t>n=483).</w:t>
      </w:r>
    </w:p>
    <w:p w14:paraId="67E061DD" w14:textId="77777777" w:rsidR="006C34D9" w:rsidRDefault="006C34D9">
      <w:pPr>
        <w:pStyle w:val="BodyText"/>
        <w:ind w:left="0"/>
      </w:pPr>
    </w:p>
    <w:p w14:paraId="26173760" w14:textId="77777777" w:rsidR="006C34D9" w:rsidRDefault="00CB5041">
      <w:pPr>
        <w:pStyle w:val="BodyText"/>
        <w:ind w:left="659" w:right="659"/>
        <w:jc w:val="both"/>
      </w:pPr>
      <w:r>
        <w:t>The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profile</w:t>
      </w:r>
      <w:r>
        <w:rPr>
          <w:spacing w:val="1"/>
        </w:rPr>
        <w:t xml:space="preserve"> </w:t>
      </w:r>
      <w:r>
        <w:t>observed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subgroup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baseline</w:t>
      </w:r>
      <w:r>
        <w:rPr>
          <w:spacing w:val="1"/>
        </w:rPr>
        <w:t xml:space="preserve"> </w:t>
      </w:r>
      <w:r>
        <w:t>systemic</w:t>
      </w:r>
      <w:r>
        <w:rPr>
          <w:spacing w:val="1"/>
        </w:rPr>
        <w:t xml:space="preserve"> </w:t>
      </w:r>
      <w:r>
        <w:t>corticosteroids (597 and 315 patients in the Actemra and placebo arms, respectively) was</w:t>
      </w:r>
      <w:r>
        <w:rPr>
          <w:spacing w:val="1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profile in</w:t>
      </w:r>
      <w:r>
        <w:rPr>
          <w:spacing w:val="-3"/>
        </w:rPr>
        <w:t xml:space="preserve"> </w:t>
      </w:r>
      <w:r>
        <w:t>the overall</w:t>
      </w:r>
      <w:r>
        <w:rPr>
          <w:spacing w:val="-1"/>
        </w:rPr>
        <w:t xml:space="preserve"> </w:t>
      </w:r>
      <w:r>
        <w:t>safety-evaluable population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Table</w:t>
      </w:r>
    </w:p>
    <w:p w14:paraId="63B41A6A" w14:textId="77777777" w:rsidR="006C34D9" w:rsidRDefault="00CB5041">
      <w:pPr>
        <w:pStyle w:val="BodyText"/>
        <w:ind w:left="659" w:right="657"/>
        <w:jc w:val="both"/>
      </w:pPr>
      <w:r>
        <w:t>2. In this subgroup, infections and serious infections occurred in 27.8% and 18.1% of patients</w:t>
      </w:r>
      <w:r>
        <w:rPr>
          <w:spacing w:val="-57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30.5%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22.9%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placebo,</w:t>
      </w:r>
      <w:r>
        <w:rPr>
          <w:spacing w:val="-1"/>
        </w:rPr>
        <w:t xml:space="preserve"> </w:t>
      </w:r>
      <w:r>
        <w:t>respectively.</w:t>
      </w:r>
    </w:p>
    <w:p w14:paraId="0F664BB9" w14:textId="77777777" w:rsidR="006C34D9" w:rsidRDefault="006C34D9">
      <w:pPr>
        <w:pStyle w:val="BodyText"/>
        <w:spacing w:before="2"/>
        <w:ind w:left="0"/>
      </w:pPr>
    </w:p>
    <w:p w14:paraId="6273AB4E" w14:textId="77777777" w:rsidR="006C34D9" w:rsidRDefault="00CB5041">
      <w:pPr>
        <w:pStyle w:val="Heading2"/>
        <w:ind w:left="659" w:right="658"/>
      </w:pPr>
      <w:r>
        <w:t>Figure 1 – Meta-Analysis Pooled Safety Population – Summary of adverse events of</w:t>
      </w:r>
      <w:r>
        <w:rPr>
          <w:spacing w:val="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interest.</w:t>
      </w:r>
    </w:p>
    <w:p w14:paraId="0A7FCAE5" w14:textId="77777777" w:rsidR="006C34D9" w:rsidRDefault="006C34D9">
      <w:pPr>
        <w:pStyle w:val="BodyText"/>
        <w:ind w:left="0"/>
        <w:rPr>
          <w:b/>
          <w:sz w:val="20"/>
        </w:rPr>
      </w:pPr>
    </w:p>
    <w:p w14:paraId="63977AD2" w14:textId="77777777" w:rsidR="006C34D9" w:rsidRDefault="00CB5041">
      <w:pPr>
        <w:pStyle w:val="BodyText"/>
        <w:spacing w:before="5"/>
        <w:ind w:left="0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523B657" wp14:editId="76172BC7">
            <wp:simplePos x="0" y="0"/>
            <wp:positionH relativeFrom="page">
              <wp:posOffset>1034070</wp:posOffset>
            </wp:positionH>
            <wp:positionV relativeFrom="paragraph">
              <wp:posOffset>157171</wp:posOffset>
            </wp:positionV>
            <wp:extent cx="5753258" cy="244030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258" cy="244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FBD01" w14:textId="77777777" w:rsidR="006C34D9" w:rsidRDefault="006C34D9">
      <w:pPr>
        <w:pStyle w:val="BodyText"/>
        <w:spacing w:before="9"/>
        <w:ind w:left="0"/>
        <w:rPr>
          <w:b/>
          <w:sz w:val="33"/>
        </w:rPr>
      </w:pPr>
    </w:p>
    <w:p w14:paraId="1F12ACBA" w14:textId="77777777" w:rsidR="006C34D9" w:rsidRDefault="00CB5041">
      <w:pPr>
        <w:ind w:left="659"/>
        <w:jc w:val="both"/>
        <w:rPr>
          <w:b/>
          <w:sz w:val="24"/>
        </w:rPr>
      </w:pPr>
      <w:r>
        <w:rPr>
          <w:b/>
          <w:sz w:val="24"/>
        </w:rPr>
        <w:t>Polyarticular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Juvenile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Idiopathic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Arthritis</w:t>
      </w:r>
    </w:p>
    <w:p w14:paraId="2A791B7C" w14:textId="77777777" w:rsidR="006C34D9" w:rsidRDefault="00CB5041">
      <w:pPr>
        <w:pStyle w:val="BodyText"/>
        <w:spacing w:before="34"/>
        <w:ind w:left="659" w:right="657"/>
        <w:jc w:val="both"/>
      </w:pPr>
      <w:r>
        <w:t>The</w:t>
      </w:r>
      <w:r>
        <w:rPr>
          <w:spacing w:val="58"/>
        </w:rPr>
        <w:t xml:space="preserve"> </w:t>
      </w:r>
      <w:r>
        <w:t>safety</w:t>
      </w:r>
      <w:r>
        <w:rPr>
          <w:spacing w:val="56"/>
        </w:rPr>
        <w:t xml:space="preserve"> </w:t>
      </w:r>
      <w:r>
        <w:t>profile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Actemra</w:t>
      </w:r>
      <w:r>
        <w:rPr>
          <w:spacing w:val="58"/>
        </w:rPr>
        <w:t xml:space="preserve"> </w:t>
      </w:r>
      <w:r>
        <w:t>was</w:t>
      </w:r>
      <w:r>
        <w:rPr>
          <w:spacing w:val="58"/>
        </w:rPr>
        <w:t xml:space="preserve"> </w:t>
      </w:r>
      <w:r>
        <w:t>studied</w:t>
      </w:r>
      <w:r>
        <w:rPr>
          <w:spacing w:val="57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240</w:t>
      </w:r>
      <w:r>
        <w:rPr>
          <w:spacing w:val="57"/>
        </w:rPr>
        <w:t xml:space="preserve"> </w:t>
      </w:r>
      <w:proofErr w:type="spellStart"/>
      <w:r>
        <w:t>paediatric</w:t>
      </w:r>
      <w:proofErr w:type="spellEnd"/>
      <w:r>
        <w:rPr>
          <w:spacing w:val="58"/>
        </w:rPr>
        <w:t xml:space="preserve"> </w:t>
      </w:r>
      <w:r>
        <w:t>patients</w:t>
      </w:r>
      <w:r>
        <w:rPr>
          <w:spacing w:val="56"/>
        </w:rPr>
        <w:t xml:space="preserve"> </w:t>
      </w:r>
      <w:r>
        <w:t>with</w:t>
      </w:r>
      <w:r>
        <w:rPr>
          <w:spacing w:val="57"/>
        </w:rPr>
        <w:t xml:space="preserve"> </w:t>
      </w:r>
      <w:proofErr w:type="spellStart"/>
      <w:r>
        <w:t>pJIA</w:t>
      </w:r>
      <w:proofErr w:type="spellEnd"/>
      <w:r>
        <w:t>.</w:t>
      </w:r>
      <w:r>
        <w:rPr>
          <w:spacing w:val="56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CHERISH study, 188 patients (2 to 17 years of age) were treated with IV Actemra and in the</w:t>
      </w:r>
      <w:r>
        <w:rPr>
          <w:spacing w:val="1"/>
        </w:rPr>
        <w:t xml:space="preserve"> </w:t>
      </w:r>
      <w:r>
        <w:t>JIGSAW study, 52 patients (1 to 17 years of age) were treated with SC Actemra. The total</w:t>
      </w:r>
      <w:r>
        <w:rPr>
          <w:spacing w:val="1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exposure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Actemra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pJIA</w:t>
      </w:r>
      <w:proofErr w:type="spellEnd"/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exposure</w:t>
      </w:r>
      <w:r>
        <w:rPr>
          <w:spacing w:val="-7"/>
        </w:rPr>
        <w:t xml:space="preserve"> </w:t>
      </w:r>
      <w:r>
        <w:t>population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184.4</w:t>
      </w:r>
      <w:r>
        <w:rPr>
          <w:spacing w:val="-7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IV</w:t>
      </w:r>
      <w:r>
        <w:rPr>
          <w:spacing w:val="-58"/>
        </w:rPr>
        <w:t xml:space="preserve"> </w:t>
      </w:r>
      <w:r>
        <w:t>Actemra and 50.4 patient years for SC Actemra. In general, the safety profile observed in</w:t>
      </w:r>
      <w:r>
        <w:rPr>
          <w:spacing w:val="1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spellStart"/>
      <w:r>
        <w:t>pJIA</w:t>
      </w:r>
      <w:proofErr w:type="spellEnd"/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profile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Actemra</w:t>
      </w:r>
      <w:r>
        <w:rPr>
          <w:spacing w:val="-5"/>
        </w:rPr>
        <w:t xml:space="preserve"> </w:t>
      </w:r>
      <w:proofErr w:type="gramStart"/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exception</w:t>
      </w:r>
      <w:r>
        <w:rPr>
          <w:spacing w:val="-58"/>
        </w:rPr>
        <w:t xml:space="preserve"> </w:t>
      </w:r>
      <w:r>
        <w:t>of</w:t>
      </w:r>
      <w:proofErr w:type="gramEnd"/>
      <w:r>
        <w:t xml:space="preserve"> injection site reactions (see Table 1). A higher frequency of injection site reactions was</w:t>
      </w:r>
      <w:r>
        <w:rPr>
          <w:spacing w:val="1"/>
        </w:rPr>
        <w:t xml:space="preserve"> </w:t>
      </w:r>
      <w:r>
        <w:t xml:space="preserve">experienced by </w:t>
      </w:r>
      <w:proofErr w:type="spellStart"/>
      <w:r>
        <w:t>pJIA</w:t>
      </w:r>
      <w:proofErr w:type="spellEnd"/>
      <w:r>
        <w:t xml:space="preserve"> patients following SC Actemra injections compared to adult RA patients</w:t>
      </w:r>
      <w:r>
        <w:rPr>
          <w:spacing w:val="-57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4.8 Adverse effects</w:t>
      </w:r>
      <w:r>
        <w:rPr>
          <w:spacing w:val="-1"/>
        </w:rPr>
        <w:t xml:space="preserve"> </w:t>
      </w:r>
      <w:r>
        <w:t>(Undesirable</w:t>
      </w:r>
      <w:r>
        <w:rPr>
          <w:spacing w:val="-1"/>
        </w:rPr>
        <w:t xml:space="preserve"> </w:t>
      </w:r>
      <w:r>
        <w:t>effects)).</w:t>
      </w:r>
    </w:p>
    <w:p w14:paraId="03203B91" w14:textId="77777777" w:rsidR="006C34D9" w:rsidRDefault="00CB5041">
      <w:pPr>
        <w:pStyle w:val="BodyText"/>
        <w:spacing w:before="201"/>
      </w:pPr>
      <w:r>
        <w:rPr>
          <w:u w:val="single"/>
        </w:rPr>
        <w:t>Infections</w:t>
      </w:r>
    </w:p>
    <w:p w14:paraId="0699E326" w14:textId="77777777" w:rsidR="006C34D9" w:rsidRDefault="00CB5041">
      <w:pPr>
        <w:pStyle w:val="BodyText"/>
        <w:ind w:left="659" w:right="657"/>
        <w:jc w:val="both"/>
      </w:pPr>
      <w:r>
        <w:t xml:space="preserve">Infections are the </w:t>
      </w:r>
      <w:proofErr w:type="gramStart"/>
      <w:r>
        <w:t>most commonly observed</w:t>
      </w:r>
      <w:proofErr w:type="gramEnd"/>
      <w:r>
        <w:t xml:space="preserve"> events in </w:t>
      </w:r>
      <w:proofErr w:type="spellStart"/>
      <w:r>
        <w:t>pJIA</w:t>
      </w:r>
      <w:proofErr w:type="spellEnd"/>
      <w:r>
        <w:t xml:space="preserve">. The rate of infections in the </w:t>
      </w:r>
      <w:proofErr w:type="spellStart"/>
      <w:r>
        <w:t>pJIA</w:t>
      </w:r>
      <w:proofErr w:type="spellEnd"/>
      <w:r>
        <w:rPr>
          <w:spacing w:val="1"/>
        </w:rPr>
        <w:t xml:space="preserve"> </w:t>
      </w:r>
      <w:r>
        <w:t xml:space="preserve">IV Actemra all exposure population was 163.7 per 100 </w:t>
      </w:r>
      <w:proofErr w:type="spellStart"/>
      <w:r>
        <w:t>pt</w:t>
      </w:r>
      <w:proofErr w:type="spellEnd"/>
      <w:r>
        <w:t xml:space="preserve"> years. The most common events</w:t>
      </w:r>
      <w:r>
        <w:rPr>
          <w:spacing w:val="1"/>
        </w:rPr>
        <w:t xml:space="preserve"> </w:t>
      </w:r>
      <w:r>
        <w:t>observed were nasopharyngitis and upper respiratory tract infections. The rate of serious</w:t>
      </w:r>
      <w:r>
        <w:rPr>
          <w:spacing w:val="1"/>
        </w:rPr>
        <w:t xml:space="preserve"> </w:t>
      </w:r>
      <w:r>
        <w:t xml:space="preserve">infections was 4.9 per 100 </w:t>
      </w:r>
      <w:proofErr w:type="spellStart"/>
      <w:r>
        <w:t>pt</w:t>
      </w:r>
      <w:proofErr w:type="spellEnd"/>
      <w:r>
        <w:t xml:space="preserve"> years. The rate of serious infections was numerically higher in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15"/>
        </w:rPr>
        <w:t xml:space="preserve"> </w:t>
      </w:r>
      <w:r>
        <w:rPr>
          <w:spacing w:val="-1"/>
        </w:rPr>
        <w:t>weighing</w:t>
      </w:r>
      <w:r>
        <w:rPr>
          <w:spacing w:val="-15"/>
        </w:rPr>
        <w:t xml:space="preserve"> </w:t>
      </w:r>
      <w:r>
        <w:rPr>
          <w:spacing w:val="-1"/>
        </w:rPr>
        <w:t>below</w:t>
      </w:r>
      <w:r>
        <w:rPr>
          <w:spacing w:val="-17"/>
        </w:rPr>
        <w:t xml:space="preserve"> </w:t>
      </w:r>
      <w:r>
        <w:rPr>
          <w:spacing w:val="-1"/>
        </w:rPr>
        <w:t>30</w:t>
      </w:r>
      <w:r>
        <w:rPr>
          <w:spacing w:val="-15"/>
        </w:rPr>
        <w:t xml:space="preserve"> </w:t>
      </w:r>
      <w:r>
        <w:t>kg</w:t>
      </w:r>
      <w:r>
        <w:rPr>
          <w:spacing w:val="-15"/>
        </w:rPr>
        <w:t xml:space="preserve"> </w:t>
      </w:r>
      <w:r>
        <w:t>treated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t>mg/kg</w:t>
      </w:r>
      <w:r>
        <w:rPr>
          <w:spacing w:val="-14"/>
        </w:rPr>
        <w:t xml:space="preserve"> </w:t>
      </w:r>
      <w:r>
        <w:t>Actemra</w:t>
      </w:r>
      <w:r>
        <w:rPr>
          <w:spacing w:val="-16"/>
        </w:rPr>
        <w:t xml:space="preserve"> </w:t>
      </w:r>
      <w:r>
        <w:t>(12.2</w:t>
      </w:r>
      <w:r>
        <w:rPr>
          <w:spacing w:val="-15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100</w:t>
      </w:r>
      <w:r>
        <w:rPr>
          <w:spacing w:val="-15"/>
        </w:rPr>
        <w:t xml:space="preserve"> </w:t>
      </w:r>
      <w:proofErr w:type="spellStart"/>
      <w:r>
        <w:t>pt</w:t>
      </w:r>
      <w:proofErr w:type="spellEnd"/>
      <w:r>
        <w:rPr>
          <w:spacing w:val="-14"/>
        </w:rPr>
        <w:t xml:space="preserve"> </w:t>
      </w:r>
      <w:r>
        <w:t>years)</w:t>
      </w:r>
      <w:r>
        <w:rPr>
          <w:spacing w:val="-16"/>
        </w:rPr>
        <w:t xml:space="preserve"> </w:t>
      </w:r>
      <w:r>
        <w:t>compared</w:t>
      </w:r>
      <w:r>
        <w:rPr>
          <w:spacing w:val="-57"/>
        </w:rPr>
        <w:t xml:space="preserve"> </w:t>
      </w:r>
      <w:r>
        <w:t xml:space="preserve">to patients weighing ≥ 30 kg, treated with 8 mg/kg Actemra (4.0 per 100 </w:t>
      </w:r>
      <w:proofErr w:type="spellStart"/>
      <w:r>
        <w:t>pt</w:t>
      </w:r>
      <w:proofErr w:type="spellEnd"/>
      <w:r>
        <w:t xml:space="preserve"> years). The</w:t>
      </w:r>
      <w:r>
        <w:rPr>
          <w:spacing w:val="1"/>
        </w:rPr>
        <w:t xml:space="preserve"> </w:t>
      </w:r>
      <w:r>
        <w:t>incidence of infections leading to dose interruptions was also numerically higher in patients</w:t>
      </w:r>
      <w:r>
        <w:rPr>
          <w:spacing w:val="1"/>
        </w:rPr>
        <w:t xml:space="preserve"> </w:t>
      </w:r>
      <w:r>
        <w:t>weighing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kg</w:t>
      </w:r>
      <w:r>
        <w:rPr>
          <w:spacing w:val="-4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Actemra</w:t>
      </w:r>
      <w:r>
        <w:rPr>
          <w:spacing w:val="-5"/>
        </w:rPr>
        <w:t xml:space="preserve"> </w:t>
      </w:r>
      <w:r>
        <w:t>(21%)</w:t>
      </w:r>
      <w:r>
        <w:rPr>
          <w:spacing w:val="-5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weighing</w:t>
      </w:r>
      <w:r>
        <w:rPr>
          <w:spacing w:val="-4"/>
        </w:rPr>
        <w:t xml:space="preserve"> </w:t>
      </w:r>
      <w:r>
        <w:t>≥</w:t>
      </w:r>
    </w:p>
    <w:p w14:paraId="58ABE87F" w14:textId="77777777" w:rsidR="006C34D9" w:rsidRDefault="006C34D9">
      <w:pPr>
        <w:jc w:val="both"/>
        <w:sectPr w:rsidR="006C34D9">
          <w:pgSz w:w="11910" w:h="16840"/>
          <w:pgMar w:top="1360" w:right="780" w:bottom="780" w:left="780" w:header="0" w:footer="592" w:gutter="0"/>
          <w:cols w:space="720"/>
        </w:sectPr>
      </w:pPr>
    </w:p>
    <w:p w14:paraId="560329BE" w14:textId="77777777" w:rsidR="006C34D9" w:rsidRDefault="00CB5041">
      <w:pPr>
        <w:pStyle w:val="BodyText"/>
        <w:spacing w:before="79"/>
        <w:ind w:right="659"/>
        <w:jc w:val="both"/>
      </w:pPr>
      <w:proofErr w:type="gramStart"/>
      <w:r>
        <w:lastRenderedPageBreak/>
        <w:t>30 kg,</w:t>
      </w:r>
      <w:proofErr w:type="gramEnd"/>
      <w:r>
        <w:t xml:space="preserve"> treated with 8 mg/kg Actemra (8%). The rate of infection in </w:t>
      </w:r>
      <w:proofErr w:type="spellStart"/>
      <w:r>
        <w:t>pJIA</w:t>
      </w:r>
      <w:proofErr w:type="spellEnd"/>
      <w:r>
        <w:t xml:space="preserve"> patients treated with</w:t>
      </w:r>
      <w:r>
        <w:rPr>
          <w:spacing w:val="1"/>
        </w:rPr>
        <w:t xml:space="preserve"> </w:t>
      </w:r>
      <w:r>
        <w:t>SC</w:t>
      </w:r>
      <w:r>
        <w:rPr>
          <w:spacing w:val="-2"/>
        </w:rPr>
        <w:t xml:space="preserve"> </w:t>
      </w:r>
      <w:r>
        <w:t>Actemra was</w:t>
      </w:r>
      <w:r>
        <w:rPr>
          <w:spacing w:val="-1"/>
        </w:rPr>
        <w:t xml:space="preserve"> </w:t>
      </w:r>
      <w:r>
        <w:t>comparable with</w:t>
      </w:r>
      <w:r>
        <w:rPr>
          <w:spacing w:val="-1"/>
        </w:rPr>
        <w:t xml:space="preserve"> </w:t>
      </w:r>
      <w:proofErr w:type="spellStart"/>
      <w:r>
        <w:t>pJIA</w:t>
      </w:r>
      <w:proofErr w:type="spellEnd"/>
      <w:r>
        <w:rPr>
          <w:spacing w:val="-1"/>
        </w:rPr>
        <w:t xml:space="preserve"> </w:t>
      </w:r>
      <w:r>
        <w:t>patients treated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Actemra.</w:t>
      </w:r>
    </w:p>
    <w:p w14:paraId="526531DE" w14:textId="77777777" w:rsidR="006C34D9" w:rsidRDefault="00CB5041">
      <w:pPr>
        <w:pStyle w:val="BodyText"/>
        <w:spacing w:before="201"/>
        <w:jc w:val="both"/>
      </w:pPr>
      <w:r>
        <w:rPr>
          <w:u w:val="single"/>
        </w:rPr>
        <w:t>Infusion</w:t>
      </w:r>
      <w:r>
        <w:rPr>
          <w:spacing w:val="-5"/>
          <w:u w:val="single"/>
        </w:rPr>
        <w:t xml:space="preserve"> </w:t>
      </w:r>
      <w:r>
        <w:rPr>
          <w:u w:val="single"/>
        </w:rPr>
        <w:t>Reactions</w:t>
      </w:r>
    </w:p>
    <w:p w14:paraId="0F36F54E" w14:textId="77777777" w:rsidR="006C34D9" w:rsidRDefault="00CB5041">
      <w:pPr>
        <w:pStyle w:val="BodyText"/>
        <w:ind w:right="657"/>
        <w:jc w:val="both"/>
      </w:pPr>
      <w:r>
        <w:t>In</w:t>
      </w:r>
      <w:r>
        <w:rPr>
          <w:spacing w:val="-4"/>
        </w:rPr>
        <w:t xml:space="preserve"> </w:t>
      </w:r>
      <w:proofErr w:type="spellStart"/>
      <w:r>
        <w:t>pJIA</w:t>
      </w:r>
      <w:proofErr w:type="spellEnd"/>
      <w:r>
        <w:rPr>
          <w:spacing w:val="-3"/>
        </w:rPr>
        <w:t xml:space="preserve"> </w:t>
      </w:r>
      <w:r>
        <w:t>patients,</w:t>
      </w:r>
      <w:r>
        <w:rPr>
          <w:spacing w:val="-3"/>
        </w:rPr>
        <w:t xml:space="preserve"> </w:t>
      </w:r>
      <w:r>
        <w:t>infusion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occurring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within</w:t>
      </w:r>
      <w:r>
        <w:rPr>
          <w:spacing w:val="-58"/>
        </w:rPr>
        <w:t xml:space="preserve"> </w:t>
      </w:r>
      <w:r>
        <w:t>24 hours of an infusion with IV Actemra. In the Actemra all exposure population, 11 patients</w:t>
      </w:r>
      <w:r>
        <w:rPr>
          <w:spacing w:val="1"/>
        </w:rPr>
        <w:t xml:space="preserve"> </w:t>
      </w:r>
      <w:r>
        <w:rPr>
          <w:spacing w:val="-1"/>
        </w:rPr>
        <w:t>(5.9%)</w:t>
      </w:r>
      <w:r>
        <w:rPr>
          <w:spacing w:val="-13"/>
        </w:rPr>
        <w:t xml:space="preserve"> </w:t>
      </w:r>
      <w:r>
        <w:rPr>
          <w:spacing w:val="-1"/>
        </w:rPr>
        <w:t>experienced</w:t>
      </w:r>
      <w:r>
        <w:rPr>
          <w:spacing w:val="-13"/>
        </w:rPr>
        <w:t xml:space="preserve"> </w:t>
      </w:r>
      <w:r>
        <w:rPr>
          <w:spacing w:val="-1"/>
        </w:rPr>
        <w:t>infusion</w:t>
      </w:r>
      <w:r>
        <w:rPr>
          <w:spacing w:val="-14"/>
        </w:rPr>
        <w:t xml:space="preserve"> </w:t>
      </w:r>
      <w:r>
        <w:t>reactions</w:t>
      </w:r>
      <w:r>
        <w:rPr>
          <w:spacing w:val="-12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infusion,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38</w:t>
      </w:r>
      <w:r>
        <w:rPr>
          <w:spacing w:val="-13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(20.2%)</w:t>
      </w:r>
      <w:r>
        <w:rPr>
          <w:spacing w:val="-12"/>
        </w:rPr>
        <w:t xml:space="preserve"> </w:t>
      </w:r>
      <w:r>
        <w:t>experienced</w:t>
      </w:r>
      <w:r>
        <w:rPr>
          <w:spacing w:val="-58"/>
        </w:rPr>
        <w:t xml:space="preserve"> </w:t>
      </w:r>
      <w:r>
        <w:t>an event within 24 hours of an infusion. The most common events occurring during infusion</w:t>
      </w:r>
      <w:r>
        <w:rPr>
          <w:spacing w:val="1"/>
        </w:rPr>
        <w:t xml:space="preserve"> </w:t>
      </w:r>
      <w:r>
        <w:t xml:space="preserve">were headache, </w:t>
      </w:r>
      <w:proofErr w:type="gramStart"/>
      <w:r>
        <w:t>nausea</w:t>
      </w:r>
      <w:proofErr w:type="gramEnd"/>
      <w:r>
        <w:t xml:space="preserve"> and hypotension and within 24 hours of infusion were dizziness and</w:t>
      </w:r>
      <w:r>
        <w:rPr>
          <w:spacing w:val="1"/>
        </w:rPr>
        <w:t xml:space="preserve"> </w:t>
      </w:r>
      <w:r>
        <w:t>hypotension. In general, the ADRs observed during or within 24 hours of an infusion were</w:t>
      </w:r>
      <w:r>
        <w:rPr>
          <w:spacing w:val="1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in nature</w:t>
      </w:r>
      <w:r>
        <w:rPr>
          <w:spacing w:val="-1"/>
        </w:rPr>
        <w:t xml:space="preserve"> </w:t>
      </w:r>
      <w:r>
        <w:t>to those</w:t>
      </w:r>
      <w:r>
        <w:rPr>
          <w:spacing w:val="-1"/>
        </w:rPr>
        <w:t xml:space="preserve"> </w:t>
      </w:r>
      <w:r>
        <w:t>seen in RA</w:t>
      </w:r>
      <w:r>
        <w:rPr>
          <w:spacing w:val="-1"/>
        </w:rPr>
        <w:t xml:space="preserve"> </w:t>
      </w:r>
      <w:r>
        <w:t xml:space="preserve">and </w:t>
      </w:r>
      <w:proofErr w:type="spellStart"/>
      <w:r>
        <w:t>sJIA</w:t>
      </w:r>
      <w:proofErr w:type="spellEnd"/>
      <w:r>
        <w:rPr>
          <w:spacing w:val="-1"/>
        </w:rPr>
        <w:t xml:space="preserve"> </w:t>
      </w:r>
      <w:r>
        <w:t>patients.</w:t>
      </w:r>
    </w:p>
    <w:p w14:paraId="4A6D7B24" w14:textId="77777777" w:rsidR="006C34D9" w:rsidRDefault="00CB5041">
      <w:pPr>
        <w:pStyle w:val="BodyText"/>
        <w:spacing w:before="50" w:line="516" w:lineRule="exact"/>
        <w:ind w:right="3400"/>
        <w:jc w:val="both"/>
      </w:pPr>
      <w:r>
        <w:t>No clinically significant hypersensitivity reactions were reported.</w:t>
      </w:r>
      <w:r>
        <w:rPr>
          <w:spacing w:val="-57"/>
        </w:rPr>
        <w:t xml:space="preserve"> </w:t>
      </w:r>
      <w:r>
        <w:rPr>
          <w:u w:val="single"/>
        </w:rPr>
        <w:t>Injection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Site Reactions</w:t>
      </w:r>
    </w:p>
    <w:p w14:paraId="6519EAB1" w14:textId="77777777" w:rsidR="006C34D9" w:rsidRDefault="00CB5041">
      <w:pPr>
        <w:pStyle w:val="BodyText"/>
        <w:spacing w:before="119"/>
        <w:ind w:right="657"/>
        <w:jc w:val="both"/>
      </w:pPr>
      <w:r>
        <w:t xml:space="preserve">A total of 28.8% (15/52) </w:t>
      </w:r>
      <w:proofErr w:type="spellStart"/>
      <w:r>
        <w:t>pJIA</w:t>
      </w:r>
      <w:proofErr w:type="spellEnd"/>
      <w:r>
        <w:t xml:space="preserve"> patients experienced injection site reactions to SC Actemra.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-15"/>
        </w:rPr>
        <w:t xml:space="preserve"> </w:t>
      </w:r>
      <w:r>
        <w:rPr>
          <w:spacing w:val="-1"/>
        </w:rPr>
        <w:t>injection</w:t>
      </w:r>
      <w:r>
        <w:rPr>
          <w:spacing w:val="-15"/>
        </w:rPr>
        <w:t xml:space="preserve"> </w:t>
      </w:r>
      <w:r>
        <w:t>site</w:t>
      </w:r>
      <w:r>
        <w:rPr>
          <w:spacing w:val="-15"/>
        </w:rPr>
        <w:t xml:space="preserve"> </w:t>
      </w:r>
      <w:r>
        <w:t>reactions</w:t>
      </w:r>
      <w:r>
        <w:rPr>
          <w:spacing w:val="-14"/>
        </w:rPr>
        <w:t xml:space="preserve"> </w:t>
      </w:r>
      <w:r>
        <w:t>occurred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44%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greater</w:t>
      </w:r>
      <w:r>
        <w:rPr>
          <w:spacing w:val="-14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kg</w:t>
      </w:r>
      <w:r>
        <w:rPr>
          <w:spacing w:val="-14"/>
        </w:rPr>
        <w:t xml:space="preserve"> </w:t>
      </w:r>
      <w:r>
        <w:t>compared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14.8%</w:t>
      </w:r>
      <w:r>
        <w:rPr>
          <w:spacing w:val="-57"/>
        </w:rPr>
        <w:t xml:space="preserve"> </w:t>
      </w:r>
      <w:r>
        <w:t>of patients below 30 kg.</w:t>
      </w:r>
      <w:r>
        <w:rPr>
          <w:spacing w:val="1"/>
        </w:rPr>
        <w:t xml:space="preserve"> </w:t>
      </w:r>
      <w:r>
        <w:t>The most common injection site reactions were injection site</w:t>
      </w:r>
      <w:r>
        <w:rPr>
          <w:spacing w:val="1"/>
        </w:rPr>
        <w:t xml:space="preserve"> </w:t>
      </w:r>
      <w:r>
        <w:t xml:space="preserve">erythema, swelling, hematoma, </w:t>
      </w:r>
      <w:proofErr w:type="gramStart"/>
      <w:r>
        <w:t>pain</w:t>
      </w:r>
      <w:proofErr w:type="gramEnd"/>
      <w:r>
        <w:t xml:space="preserve"> and pruritus. All injection site reactions reported were</w:t>
      </w:r>
      <w:r>
        <w:rPr>
          <w:spacing w:val="1"/>
        </w:rPr>
        <w:t xml:space="preserve"> </w:t>
      </w:r>
      <w:r>
        <w:t>non-serious</w:t>
      </w:r>
      <w:r>
        <w:rPr>
          <w:spacing w:val="-13"/>
        </w:rPr>
        <w:t xml:space="preserve"> </w:t>
      </w:r>
      <w:r>
        <w:t>Grade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events,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none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injection</w:t>
      </w:r>
      <w:r>
        <w:rPr>
          <w:spacing w:val="-12"/>
        </w:rPr>
        <w:t xml:space="preserve"> </w:t>
      </w:r>
      <w:r>
        <w:t>site</w:t>
      </w:r>
      <w:r>
        <w:rPr>
          <w:spacing w:val="-11"/>
        </w:rPr>
        <w:t xml:space="preserve"> </w:t>
      </w:r>
      <w:r>
        <w:t>reactions</w:t>
      </w:r>
      <w:r>
        <w:rPr>
          <w:spacing w:val="-13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patient</w:t>
      </w:r>
      <w:r>
        <w:rPr>
          <w:spacing w:val="-13"/>
        </w:rPr>
        <w:t xml:space="preserve"> </w:t>
      </w:r>
      <w:r>
        <w:t>withdrawal</w:t>
      </w:r>
      <w:r>
        <w:rPr>
          <w:spacing w:val="-5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treatment or dose</w:t>
      </w:r>
      <w:r>
        <w:rPr>
          <w:spacing w:val="-1"/>
        </w:rPr>
        <w:t xml:space="preserve"> </w:t>
      </w:r>
      <w:r>
        <w:t>interruption.</w:t>
      </w:r>
    </w:p>
    <w:p w14:paraId="2E4D879B" w14:textId="77777777" w:rsidR="006C34D9" w:rsidRDefault="00CB5041">
      <w:pPr>
        <w:pStyle w:val="BodyText"/>
        <w:spacing w:before="201"/>
      </w:pPr>
      <w:r>
        <w:rPr>
          <w:u w:val="single"/>
        </w:rPr>
        <w:t>Immunogenicity</w:t>
      </w:r>
    </w:p>
    <w:p w14:paraId="6F581016" w14:textId="77777777" w:rsidR="006C34D9" w:rsidRDefault="00CB5041">
      <w:pPr>
        <w:pStyle w:val="BodyText"/>
        <w:ind w:left="659" w:right="656"/>
        <w:jc w:val="both"/>
      </w:pPr>
      <w:r>
        <w:t>Across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studies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spellStart"/>
      <w:r>
        <w:t>pJIA</w:t>
      </w:r>
      <w:proofErr w:type="spellEnd"/>
      <w:r>
        <w:rPr>
          <w:spacing w:val="-10"/>
        </w:rPr>
        <w:t xml:space="preserve"> </w:t>
      </w:r>
      <w:r>
        <w:t>patients,</w:t>
      </w:r>
      <w:r>
        <w:rPr>
          <w:spacing w:val="-10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four</w:t>
      </w:r>
      <w:r>
        <w:rPr>
          <w:spacing w:val="-10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developed</w:t>
      </w:r>
      <w:r>
        <w:rPr>
          <w:spacing w:val="-10"/>
        </w:rPr>
        <w:t xml:space="preserve"> </w:t>
      </w:r>
      <w:proofErr w:type="spellStart"/>
      <w:r>
        <w:t>neutralising</w:t>
      </w:r>
      <w:proofErr w:type="spellEnd"/>
      <w:r>
        <w:rPr>
          <w:spacing w:val="-10"/>
        </w:rPr>
        <w:t xml:space="preserve"> </w:t>
      </w:r>
      <w:r>
        <w:t>anti-Actemra</w:t>
      </w:r>
      <w:r>
        <w:rPr>
          <w:spacing w:val="-58"/>
        </w:rPr>
        <w:t xml:space="preserve"> </w:t>
      </w:r>
      <w:r>
        <w:t>(Nab) antibodies.</w:t>
      </w:r>
      <w:r>
        <w:rPr>
          <w:spacing w:val="1"/>
        </w:rPr>
        <w:t xml:space="preserve"> </w:t>
      </w:r>
      <w:r>
        <w:t>Of the four patients (0.5% [1/188] in the IV Study WA19977 and 5.8%</w:t>
      </w:r>
      <w:r>
        <w:rPr>
          <w:spacing w:val="1"/>
        </w:rPr>
        <w:t xml:space="preserve"> </w:t>
      </w:r>
      <w:r>
        <w:t>[3/52]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WA28117)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proofErr w:type="spellStart"/>
      <w:r>
        <w:t>neutralising</w:t>
      </w:r>
      <w:proofErr w:type="spellEnd"/>
      <w:r>
        <w:rPr>
          <w:spacing w:val="1"/>
        </w:rPr>
        <w:t xml:space="preserve"> </w:t>
      </w:r>
      <w:r>
        <w:t>anti-Actemra</w:t>
      </w:r>
      <w:r>
        <w:rPr>
          <w:spacing w:val="1"/>
        </w:rPr>
        <w:t xml:space="preserve"> </w:t>
      </w:r>
      <w:r>
        <w:t>antibodies, none developed a serious or clinically significant hypersensitivity reaction.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 4 patients, 2 subsequently withdrew from the study. No correlation between antibody</w:t>
      </w:r>
      <w:r>
        <w:rPr>
          <w:spacing w:val="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and clinical response or</w:t>
      </w:r>
      <w:r>
        <w:rPr>
          <w:spacing w:val="-1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events was observed.</w:t>
      </w:r>
    </w:p>
    <w:p w14:paraId="206E0079" w14:textId="77777777" w:rsidR="006C34D9" w:rsidRDefault="00CB5041">
      <w:pPr>
        <w:pStyle w:val="Heading2"/>
        <w:spacing w:before="201"/>
      </w:pPr>
      <w:r>
        <w:t>Systemic</w:t>
      </w:r>
      <w:r>
        <w:rPr>
          <w:spacing w:val="-4"/>
        </w:rPr>
        <w:t xml:space="preserve"> </w:t>
      </w:r>
      <w:r>
        <w:t>Juvenile</w:t>
      </w:r>
      <w:r>
        <w:rPr>
          <w:spacing w:val="-4"/>
        </w:rPr>
        <w:t xml:space="preserve"> </w:t>
      </w:r>
      <w:r>
        <w:t>Idiopathic</w:t>
      </w:r>
      <w:r>
        <w:rPr>
          <w:spacing w:val="-4"/>
        </w:rPr>
        <w:t xml:space="preserve"> </w:t>
      </w:r>
      <w:r>
        <w:t>Arthritis</w:t>
      </w:r>
    </w:p>
    <w:p w14:paraId="3714EBC3" w14:textId="77777777" w:rsidR="006C34D9" w:rsidRDefault="00CB5041">
      <w:pPr>
        <w:pStyle w:val="BodyText"/>
        <w:spacing w:before="34"/>
        <w:ind w:right="657"/>
        <w:jc w:val="both"/>
      </w:pPr>
      <w:r>
        <w:t>The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profile</w:t>
      </w:r>
      <w:r>
        <w:rPr>
          <w:spacing w:val="1"/>
        </w:rPr>
        <w:t xml:space="preserve"> </w:t>
      </w:r>
      <w:r>
        <w:t>of Actemra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sJIA</w:t>
      </w:r>
      <w:proofErr w:type="spellEnd"/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163</w:t>
      </w:r>
      <w:r>
        <w:rPr>
          <w:spacing w:val="1"/>
        </w:rPr>
        <w:t xml:space="preserve"> </w:t>
      </w:r>
      <w:proofErr w:type="spellStart"/>
      <w:r>
        <w:t>paediatric</w:t>
      </w:r>
      <w:proofErr w:type="spellEnd"/>
      <w:r>
        <w:rPr>
          <w:spacing w:val="1"/>
        </w:rPr>
        <w:t xml:space="preserve"> </w:t>
      </w:r>
      <w:r>
        <w:t>patients.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Study</w:t>
      </w:r>
      <w:r>
        <w:rPr>
          <w:spacing w:val="-57"/>
        </w:rPr>
        <w:t xml:space="preserve"> </w:t>
      </w:r>
      <w:r>
        <w:t>WA18221 (12-week trial and long term extension), 112 patients (2 to 17 years of age) were</w:t>
      </w:r>
      <w:r>
        <w:rPr>
          <w:spacing w:val="1"/>
        </w:rPr>
        <w:t xml:space="preserve"> </w:t>
      </w:r>
      <w:r>
        <w:t>treated with IV Actemra and in Study WA28118 (52-week trial), 51 patients (1 to 17 years of</w:t>
      </w:r>
      <w:r>
        <w:rPr>
          <w:spacing w:val="1"/>
        </w:rPr>
        <w:t xml:space="preserve"> </w:t>
      </w:r>
      <w:r>
        <w:t>age)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treated with SC</w:t>
      </w:r>
      <w:r>
        <w:rPr>
          <w:spacing w:val="-1"/>
        </w:rPr>
        <w:t xml:space="preserve"> </w:t>
      </w:r>
      <w:r>
        <w:t>Actemra.</w:t>
      </w:r>
    </w:p>
    <w:p w14:paraId="38A56E75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D8B5772" w14:textId="77777777" w:rsidR="006C34D9" w:rsidRDefault="00CB5041">
      <w:pPr>
        <w:pStyle w:val="BodyText"/>
      </w:pPr>
      <w:r>
        <w:t>In</w:t>
      </w:r>
      <w:r>
        <w:rPr>
          <w:spacing w:val="5"/>
        </w:rPr>
        <w:t xml:space="preserve"> </w:t>
      </w:r>
      <w:r>
        <w:t>general,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ADRs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patients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proofErr w:type="spellStart"/>
      <w:r>
        <w:t>sJIA</w:t>
      </w:r>
      <w:proofErr w:type="spellEnd"/>
      <w:r>
        <w:rPr>
          <w:spacing w:val="4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similar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type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those</w:t>
      </w:r>
      <w:r>
        <w:rPr>
          <w:spacing w:val="4"/>
        </w:rPr>
        <w:t xml:space="preserve"> </w:t>
      </w:r>
      <w:r>
        <w:t>seen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RA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proofErr w:type="spellStart"/>
      <w:r>
        <w:t>pJIA</w:t>
      </w:r>
      <w:proofErr w:type="spellEnd"/>
      <w:r>
        <w:rPr>
          <w:spacing w:val="-57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section 4.8</w:t>
      </w:r>
      <w:r>
        <w:rPr>
          <w:spacing w:val="-3"/>
        </w:rPr>
        <w:t xml:space="preserve"> </w:t>
      </w:r>
      <w:r>
        <w:t>Adverse Effects (Undesirable Effects)).</w:t>
      </w:r>
    </w:p>
    <w:p w14:paraId="25A67B32" w14:textId="77777777" w:rsidR="006C34D9" w:rsidRDefault="00CB5041">
      <w:pPr>
        <w:pStyle w:val="BodyText"/>
        <w:spacing w:before="199"/>
      </w:pPr>
      <w:bookmarkStart w:id="71" w:name="Infections"/>
      <w:bookmarkEnd w:id="71"/>
      <w:r>
        <w:rPr>
          <w:u w:val="single"/>
        </w:rPr>
        <w:t>Infections</w:t>
      </w:r>
    </w:p>
    <w:p w14:paraId="7ED0EB47" w14:textId="77777777" w:rsidR="006C34D9" w:rsidRDefault="00CB5041">
      <w:pPr>
        <w:pStyle w:val="BodyText"/>
        <w:ind w:right="658"/>
        <w:jc w:val="both"/>
      </w:pPr>
      <w:r>
        <w:t xml:space="preserve">In the </w:t>
      </w:r>
      <w:proofErr w:type="gramStart"/>
      <w:r>
        <w:t>12 week</w:t>
      </w:r>
      <w:proofErr w:type="gramEnd"/>
      <w:r>
        <w:t xml:space="preserve"> controlled trial (Study WA18221) the rate of all infections in the IV Actemra</w:t>
      </w:r>
      <w:r>
        <w:rPr>
          <w:spacing w:val="1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344.7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287.0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placebo</w:t>
      </w:r>
      <w:r>
        <w:rPr>
          <w:spacing w:val="-4"/>
        </w:rPr>
        <w:t xml:space="preserve"> </w:t>
      </w:r>
      <w:r>
        <w:t>group.</w:t>
      </w:r>
      <w:r>
        <w:rPr>
          <w:spacing w:val="-5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on-going</w:t>
      </w:r>
      <w:r>
        <w:rPr>
          <w:spacing w:val="-9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label</w:t>
      </w:r>
      <w:r>
        <w:rPr>
          <w:spacing w:val="-7"/>
        </w:rPr>
        <w:t xml:space="preserve"> </w:t>
      </w:r>
      <w:r>
        <w:t>extension</w:t>
      </w:r>
      <w:r>
        <w:rPr>
          <w:spacing w:val="-7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(Part</w:t>
      </w:r>
      <w:r>
        <w:rPr>
          <w:spacing w:val="-7"/>
        </w:rPr>
        <w:t xml:space="preserve"> </w:t>
      </w:r>
      <w:r>
        <w:t>II)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overall</w:t>
      </w:r>
      <w:r>
        <w:rPr>
          <w:spacing w:val="-8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infections</w:t>
      </w:r>
      <w:r>
        <w:rPr>
          <w:spacing w:val="-7"/>
        </w:rPr>
        <w:t xml:space="preserve"> </w:t>
      </w:r>
      <w:r>
        <w:t>remained</w:t>
      </w:r>
      <w:r>
        <w:rPr>
          <w:spacing w:val="-6"/>
        </w:rPr>
        <w:t xml:space="preserve"> </w:t>
      </w:r>
      <w:r>
        <w:t>similar</w:t>
      </w:r>
      <w:r>
        <w:rPr>
          <w:spacing w:val="-58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306.6 per</w:t>
      </w:r>
      <w:r>
        <w:rPr>
          <w:spacing w:val="-1"/>
        </w:rPr>
        <w:t xml:space="preserve"> </w:t>
      </w:r>
      <w:r>
        <w:t>100 patient</w:t>
      </w:r>
      <w:r>
        <w:rPr>
          <w:spacing w:val="-1"/>
        </w:rPr>
        <w:t xml:space="preserve"> </w:t>
      </w:r>
      <w:r>
        <w:t>years.</w:t>
      </w:r>
    </w:p>
    <w:p w14:paraId="2FDEF2E3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718BE1E" w14:textId="77777777" w:rsidR="006C34D9" w:rsidRDefault="00CB5041">
      <w:pPr>
        <w:pStyle w:val="BodyText"/>
        <w:ind w:right="657"/>
        <w:jc w:val="both"/>
      </w:pPr>
      <w:r>
        <w:t xml:space="preserve">In the </w:t>
      </w:r>
      <w:proofErr w:type="gramStart"/>
      <w:r>
        <w:t>12 week</w:t>
      </w:r>
      <w:proofErr w:type="gramEnd"/>
      <w:r>
        <w:t xml:space="preserve"> controlled trial (Study WA18221) the rate of serious infections in the IV</w:t>
      </w:r>
      <w:r>
        <w:rPr>
          <w:spacing w:val="1"/>
        </w:rPr>
        <w:t xml:space="preserve"> </w:t>
      </w:r>
      <w:r>
        <w:t>Actemra group was 11.5 per 100 patient years. In the open label extension study the overall</w:t>
      </w:r>
      <w:r>
        <w:rPr>
          <w:spacing w:val="1"/>
        </w:rPr>
        <w:t xml:space="preserve"> </w:t>
      </w:r>
      <w:r>
        <w:t>rate of serious infections remained stable at 11.3 per 100 patient years. Reported serious</w:t>
      </w:r>
      <w:r>
        <w:rPr>
          <w:spacing w:val="1"/>
        </w:rPr>
        <w:t xml:space="preserve"> </w:t>
      </w:r>
      <w:r>
        <w:t xml:space="preserve">infections were </w:t>
      </w:r>
      <w:proofErr w:type="gramStart"/>
      <w:r>
        <w:t>similar to</w:t>
      </w:r>
      <w:proofErr w:type="gramEnd"/>
      <w:r>
        <w:t xml:space="preserve"> those seen in RA patients with the addition of varicella and otitis</w:t>
      </w:r>
      <w:r>
        <w:rPr>
          <w:spacing w:val="1"/>
        </w:rPr>
        <w:t xml:space="preserve"> </w:t>
      </w:r>
      <w:r>
        <w:t>media.</w:t>
      </w:r>
    </w:p>
    <w:p w14:paraId="2B423B99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26F526FD" w14:textId="77777777" w:rsidR="006C34D9" w:rsidRDefault="00CB5041">
      <w:pPr>
        <w:pStyle w:val="BodyText"/>
        <w:spacing w:before="79"/>
        <w:ind w:right="658"/>
        <w:jc w:val="both"/>
      </w:pPr>
      <w:r>
        <w:lastRenderedPageBreak/>
        <w:t>The</w:t>
      </w:r>
      <w:r>
        <w:rPr>
          <w:spacing w:val="-8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infection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sJIA</w:t>
      </w:r>
      <w:proofErr w:type="spellEnd"/>
      <w:r>
        <w:rPr>
          <w:spacing w:val="-8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treated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SC</w:t>
      </w:r>
      <w:r>
        <w:rPr>
          <w:spacing w:val="-9"/>
        </w:rPr>
        <w:t xml:space="preserve"> </w:t>
      </w:r>
      <w:r>
        <w:t>Actemra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comparable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sJIA</w:t>
      </w:r>
      <w:proofErr w:type="spellEnd"/>
      <w:r>
        <w:rPr>
          <w:spacing w:val="-9"/>
        </w:rPr>
        <w:t xml:space="preserve"> </w:t>
      </w:r>
      <w:r>
        <w:t>patients</w:t>
      </w:r>
      <w:r>
        <w:rPr>
          <w:spacing w:val="-58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Actemra.</w:t>
      </w:r>
    </w:p>
    <w:p w14:paraId="25E5798D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F74CE31" w14:textId="77777777" w:rsidR="006C34D9" w:rsidRDefault="00CB5041">
      <w:pPr>
        <w:pStyle w:val="BodyText"/>
        <w:ind w:left="659" w:right="658"/>
        <w:jc w:val="both"/>
      </w:pPr>
      <w:r>
        <w:t>In</w:t>
      </w:r>
      <w:r>
        <w:rPr>
          <w:spacing w:val="-3"/>
        </w:rPr>
        <w:t xml:space="preserve"> </w:t>
      </w:r>
      <w:r>
        <w:t>Australia,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fatal</w:t>
      </w:r>
      <w:r>
        <w:rPr>
          <w:spacing w:val="-2"/>
        </w:rPr>
        <w:t xml:space="preserve"> </w:t>
      </w:r>
      <w:r>
        <w:t>sepsis</w:t>
      </w:r>
      <w:r>
        <w:rPr>
          <w:spacing w:val="-2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6-year</w:t>
      </w:r>
      <w:r>
        <w:rPr>
          <w:spacing w:val="-2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spellStart"/>
      <w:r>
        <w:t>Actmera</w:t>
      </w:r>
      <w:proofErr w:type="spellEnd"/>
      <w:r>
        <w:rPr>
          <w:spacing w:val="-58"/>
        </w:rPr>
        <w:t xml:space="preserve"> </w:t>
      </w:r>
      <w:r>
        <w:t xml:space="preserve">for approximately 2 years for </w:t>
      </w:r>
      <w:proofErr w:type="spellStart"/>
      <w:r>
        <w:t>sJIA</w:t>
      </w:r>
      <w:proofErr w:type="spellEnd"/>
      <w:r>
        <w:t>. Methotrexate was given concomitantly.</w:t>
      </w:r>
      <w:r>
        <w:rPr>
          <w:spacing w:val="1"/>
        </w:rPr>
        <w:t xml:space="preserve"> </w:t>
      </w:r>
      <w:r>
        <w:t>The patient had</w:t>
      </w:r>
      <w:r>
        <w:rPr>
          <w:spacing w:val="1"/>
        </w:rPr>
        <w:t xml:space="preserve"> </w:t>
      </w:r>
      <w:r>
        <w:t>symptoms of gastroenteritis on the day preceding his death, and the last dose of Actemra was</w:t>
      </w:r>
      <w:r>
        <w:rPr>
          <w:spacing w:val="1"/>
        </w:rPr>
        <w:t xml:space="preserve"> </w:t>
      </w:r>
      <w:r>
        <w:t>administered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prior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event.</w:t>
      </w:r>
      <w:r>
        <w:rPr>
          <w:spacing w:val="-1"/>
        </w:rPr>
        <w:t xml:space="preserve"> </w:t>
      </w:r>
      <w:r>
        <w:t>The death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as 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septicemia.</w:t>
      </w:r>
    </w:p>
    <w:p w14:paraId="6F1721F0" w14:textId="77777777" w:rsidR="006C34D9" w:rsidRDefault="00CB5041">
      <w:pPr>
        <w:pStyle w:val="BodyText"/>
        <w:spacing w:before="201"/>
        <w:jc w:val="both"/>
      </w:pPr>
      <w:bookmarkStart w:id="72" w:name="Macrophage_Activation_Syndrome"/>
      <w:bookmarkEnd w:id="72"/>
      <w:r>
        <w:rPr>
          <w:u w:val="single"/>
        </w:rPr>
        <w:t>Macrophage</w:t>
      </w:r>
      <w:r>
        <w:rPr>
          <w:spacing w:val="-5"/>
          <w:u w:val="single"/>
        </w:rPr>
        <w:t xml:space="preserve"> </w:t>
      </w:r>
      <w:r>
        <w:rPr>
          <w:u w:val="single"/>
        </w:rPr>
        <w:t>Activation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Syndrome</w:t>
      </w:r>
    </w:p>
    <w:p w14:paraId="657DE301" w14:textId="77777777" w:rsidR="006C34D9" w:rsidRDefault="00CB5041">
      <w:pPr>
        <w:pStyle w:val="BodyText"/>
        <w:ind w:left="659" w:right="657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12</w:t>
      </w:r>
      <w:r>
        <w:rPr>
          <w:spacing w:val="1"/>
        </w:rPr>
        <w:t xml:space="preserve"> </w:t>
      </w:r>
      <w:r>
        <w:t>week</w:t>
      </w:r>
      <w:proofErr w:type="gramEnd"/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(Study</w:t>
      </w:r>
      <w:r>
        <w:rPr>
          <w:spacing w:val="1"/>
        </w:rPr>
        <w:t xml:space="preserve"> </w:t>
      </w:r>
      <w:r>
        <w:t>WA18221),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experienced macrophage activation syndrome (MAS) while on assigned treatment. Three per</w:t>
      </w:r>
      <w:r>
        <w:rPr>
          <w:spacing w:val="1"/>
        </w:rPr>
        <w:t xml:space="preserve"> </w:t>
      </w:r>
      <w:r>
        <w:t>112 (3%) developed MAS during open-label treatment with IV Actemra. One patient in the</w:t>
      </w:r>
      <w:r>
        <w:rPr>
          <w:spacing w:val="1"/>
        </w:rPr>
        <w:t xml:space="preserve"> </w:t>
      </w:r>
      <w:r>
        <w:t>placebo group escaped to IV Actemra 12 mg per kg at Week 2 due to severe disease activity,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ultimately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70.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long-term extension. All 3 patients had Actemra dose interrupted (2 patients) or discontinued</w:t>
      </w:r>
      <w:r>
        <w:rPr>
          <w:spacing w:val="1"/>
        </w:rPr>
        <w:t xml:space="preserve"> </w:t>
      </w:r>
      <w:r>
        <w:t>(1 patient) for the MAS event, received treatment, and the MAS resolved without sequelae.</w:t>
      </w:r>
      <w:r>
        <w:rPr>
          <w:spacing w:val="1"/>
        </w:rPr>
        <w:t xml:space="preserve"> </w:t>
      </w:r>
      <w:r>
        <w:t>Based on a limited number of cases, the incidence of MAS does not appear to be elevated in</w:t>
      </w:r>
      <w:r>
        <w:rPr>
          <w:spacing w:val="1"/>
        </w:rPr>
        <w:t xml:space="preserve"> </w:t>
      </w:r>
      <w:r>
        <w:t xml:space="preserve">the Actemra </w:t>
      </w:r>
      <w:proofErr w:type="spellStart"/>
      <w:r>
        <w:t>sJIA</w:t>
      </w:r>
      <w:proofErr w:type="spellEnd"/>
      <w:r>
        <w:t xml:space="preserve"> clinical development experience, however no definitive conclusions can be</w:t>
      </w:r>
      <w:r>
        <w:rPr>
          <w:spacing w:val="1"/>
        </w:rPr>
        <w:t xml:space="preserve"> </w:t>
      </w:r>
      <w:r>
        <w:t>made.</w:t>
      </w:r>
    </w:p>
    <w:p w14:paraId="297A9015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5DF62CA0" w14:textId="77777777" w:rsidR="006C34D9" w:rsidRDefault="00CB5041">
      <w:pPr>
        <w:pStyle w:val="BodyText"/>
        <w:ind w:right="656"/>
        <w:jc w:val="both"/>
      </w:pPr>
      <w:r>
        <w:t>A case of MAS with a fatal outcome was reported in a patient enrolled in a clinical study of</w:t>
      </w:r>
      <w:r>
        <w:rPr>
          <w:spacing w:val="1"/>
        </w:rPr>
        <w:t xml:space="preserve"> </w:t>
      </w:r>
      <w:r>
        <w:t xml:space="preserve">Actemra in </w:t>
      </w:r>
      <w:proofErr w:type="spellStart"/>
      <w:r>
        <w:t>sJIA</w:t>
      </w:r>
      <w:proofErr w:type="spellEnd"/>
      <w:r>
        <w:t>. The patient had interrupted Actemra treatment 4 weeks prior to the onset of</w:t>
      </w:r>
      <w:r>
        <w:rPr>
          <w:spacing w:val="1"/>
        </w:rPr>
        <w:t xml:space="preserve"> </w:t>
      </w:r>
      <w:r>
        <w:t xml:space="preserve">MAS because of a rotavirus infection. The patient also experienced a worsening of </w:t>
      </w:r>
      <w:proofErr w:type="spellStart"/>
      <w:r>
        <w:t>sJIA</w:t>
      </w:r>
      <w:proofErr w:type="spellEnd"/>
      <w:r>
        <w:t xml:space="preserve"> prior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diagnosis of</w:t>
      </w:r>
      <w:r>
        <w:rPr>
          <w:spacing w:val="-1"/>
        </w:rPr>
        <w:t xml:space="preserve"> </w:t>
      </w:r>
      <w:r>
        <w:t>MAS.</w:t>
      </w:r>
    </w:p>
    <w:p w14:paraId="481ADC67" w14:textId="77777777" w:rsidR="006C34D9" w:rsidRDefault="00CB5041">
      <w:pPr>
        <w:pStyle w:val="BodyText"/>
        <w:spacing w:before="200"/>
        <w:jc w:val="both"/>
      </w:pPr>
      <w:bookmarkStart w:id="73" w:name="Infusion_Reactions"/>
      <w:bookmarkEnd w:id="73"/>
      <w:r>
        <w:rPr>
          <w:u w:val="single"/>
        </w:rPr>
        <w:t>Infusion</w:t>
      </w:r>
      <w:r>
        <w:rPr>
          <w:spacing w:val="-5"/>
          <w:u w:val="single"/>
        </w:rPr>
        <w:t xml:space="preserve"> </w:t>
      </w:r>
      <w:r>
        <w:rPr>
          <w:u w:val="single"/>
        </w:rPr>
        <w:t>Reactions</w:t>
      </w:r>
    </w:p>
    <w:p w14:paraId="498632EF" w14:textId="77777777" w:rsidR="006C34D9" w:rsidRDefault="00CB5041">
      <w:pPr>
        <w:pStyle w:val="BodyText"/>
        <w:ind w:right="656"/>
        <w:jc w:val="both"/>
      </w:pPr>
      <w:r>
        <w:t>For</w:t>
      </w:r>
      <w:r>
        <w:rPr>
          <w:spacing w:val="-10"/>
        </w:rPr>
        <w:t xml:space="preserve"> </w:t>
      </w:r>
      <w:proofErr w:type="spellStart"/>
      <w:r>
        <w:t>sJIA</w:t>
      </w:r>
      <w:proofErr w:type="spellEnd"/>
      <w:r>
        <w:rPr>
          <w:spacing w:val="-10"/>
        </w:rPr>
        <w:t xml:space="preserve"> </w:t>
      </w:r>
      <w:r>
        <w:t>patients,</w:t>
      </w:r>
      <w:r>
        <w:rPr>
          <w:spacing w:val="-12"/>
        </w:rPr>
        <w:t xml:space="preserve"> </w:t>
      </w:r>
      <w:r>
        <w:t>infusion</w:t>
      </w:r>
      <w:r>
        <w:rPr>
          <w:spacing w:val="-10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reactions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defined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events</w:t>
      </w:r>
      <w:r>
        <w:rPr>
          <w:spacing w:val="-11"/>
        </w:rPr>
        <w:t xml:space="preserve"> </w:t>
      </w:r>
      <w:r>
        <w:t>occurring</w:t>
      </w:r>
      <w:r>
        <w:rPr>
          <w:spacing w:val="-11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within</w:t>
      </w:r>
      <w:r>
        <w:rPr>
          <w:spacing w:val="-57"/>
        </w:rPr>
        <w:t xml:space="preserve"> </w:t>
      </w:r>
      <w:r>
        <w:t xml:space="preserve">24 hours of an infusion with IV Actemra. In the </w:t>
      </w:r>
      <w:proofErr w:type="gramStart"/>
      <w:r>
        <w:t>12 week</w:t>
      </w:r>
      <w:proofErr w:type="gramEnd"/>
      <w:r>
        <w:t xml:space="preserve"> controlled trial (Study WA18221),</w:t>
      </w:r>
      <w:r>
        <w:rPr>
          <w:spacing w:val="1"/>
        </w:rPr>
        <w:t xml:space="preserve"> </w:t>
      </w:r>
      <w:r>
        <w:t>4.0% of patients from the Actemra group experienced events occurring during infusion, one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(angioedema)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life-threatening,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discontinued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study treatment.</w:t>
      </w:r>
    </w:p>
    <w:p w14:paraId="3C5CDAA8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513D4515" w14:textId="77777777" w:rsidR="006C34D9" w:rsidRDefault="00CB5041">
      <w:pPr>
        <w:pStyle w:val="BodyText"/>
        <w:spacing w:before="1"/>
        <w:ind w:right="657"/>
        <w:jc w:val="both"/>
      </w:pPr>
      <w:r>
        <w:t xml:space="preserve">In the </w:t>
      </w:r>
      <w:proofErr w:type="gramStart"/>
      <w:r>
        <w:t>12 week</w:t>
      </w:r>
      <w:proofErr w:type="gramEnd"/>
      <w:r>
        <w:t xml:space="preserve"> controlled trial experience, 16% of patients in the IV Actemra group and 5.4%</w:t>
      </w:r>
      <w:r>
        <w:rPr>
          <w:spacing w:val="-57"/>
        </w:rPr>
        <w:t xml:space="preserve"> </w:t>
      </w:r>
      <w:r>
        <w:t>of patients in the placebo group experienced an event within 24 hours of infusion. In the</w:t>
      </w:r>
      <w:r>
        <w:rPr>
          <w:spacing w:val="1"/>
        </w:rPr>
        <w:t xml:space="preserve"> </w:t>
      </w:r>
      <w:r>
        <w:t xml:space="preserve">Actemra group, the events included, but not limited to rash, urticaria, </w:t>
      </w:r>
      <w:proofErr w:type="spellStart"/>
      <w:r>
        <w:t>diarrhoea</w:t>
      </w:r>
      <w:proofErr w:type="spellEnd"/>
      <w:r>
        <w:t>, epigastric</w:t>
      </w:r>
      <w:r>
        <w:rPr>
          <w:spacing w:val="1"/>
        </w:rPr>
        <w:t xml:space="preserve"> </w:t>
      </w:r>
      <w:r>
        <w:t>discomfort,</w:t>
      </w:r>
      <w:r>
        <w:rPr>
          <w:spacing w:val="-2"/>
        </w:rPr>
        <w:t xml:space="preserve"> </w:t>
      </w:r>
      <w:proofErr w:type="gramStart"/>
      <w:r>
        <w:t>arthralgia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headache.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(urticaria)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serious.</w:t>
      </w:r>
    </w:p>
    <w:p w14:paraId="36901F9B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52194324" w14:textId="77777777" w:rsidR="006C34D9" w:rsidRDefault="00CB5041">
      <w:pPr>
        <w:pStyle w:val="BodyText"/>
        <w:spacing w:before="1"/>
        <w:ind w:right="656"/>
        <w:jc w:val="both"/>
      </w:pPr>
      <w:r>
        <w:t>Clinically significant hypersensitivity reactions associated with IV Actemra and requiring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rPr>
          <w:spacing w:val="-14"/>
        </w:rPr>
        <w:t xml:space="preserve"> </w:t>
      </w:r>
      <w:r>
        <w:rPr>
          <w:spacing w:val="-1"/>
        </w:rPr>
        <w:t>discontinuation</w:t>
      </w:r>
      <w:r>
        <w:rPr>
          <w:spacing w:val="-15"/>
        </w:rPr>
        <w:t xml:space="preserve"> </w:t>
      </w:r>
      <w:r>
        <w:t>were</w:t>
      </w:r>
      <w:r>
        <w:rPr>
          <w:spacing w:val="-15"/>
        </w:rPr>
        <w:t xml:space="preserve"> </w:t>
      </w:r>
      <w:r>
        <w:t>reported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out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112</w:t>
      </w:r>
      <w:r>
        <w:rPr>
          <w:spacing w:val="-15"/>
        </w:rPr>
        <w:t xml:space="preserve"> </w:t>
      </w:r>
      <w:r>
        <w:t>patients</w:t>
      </w:r>
      <w:r>
        <w:rPr>
          <w:spacing w:val="-15"/>
        </w:rPr>
        <w:t xml:space="preserve"> </w:t>
      </w:r>
      <w:r>
        <w:t>(&lt;</w:t>
      </w:r>
      <w:r>
        <w:rPr>
          <w:spacing w:val="-14"/>
        </w:rPr>
        <w:t xml:space="preserve"> </w:t>
      </w:r>
      <w:r>
        <w:t>1%)</w:t>
      </w:r>
      <w:r>
        <w:rPr>
          <w:spacing w:val="-16"/>
        </w:rPr>
        <w:t xml:space="preserve"> </w:t>
      </w:r>
      <w:r>
        <w:t>treated</w:t>
      </w:r>
      <w:r>
        <w:rPr>
          <w:spacing w:val="-15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IV</w:t>
      </w:r>
      <w:r>
        <w:rPr>
          <w:spacing w:val="-17"/>
        </w:rPr>
        <w:t xml:space="preserve"> </w:t>
      </w:r>
      <w:r>
        <w:t>Actemra</w:t>
      </w:r>
      <w:r>
        <w:rPr>
          <w:spacing w:val="-57"/>
        </w:rPr>
        <w:t xml:space="preserve"> </w:t>
      </w:r>
      <w:r>
        <w:t>during the controlled and open-label parts of the clinical trial. In an open-label, single arm</w:t>
      </w:r>
      <w:r>
        <w:rPr>
          <w:spacing w:val="1"/>
        </w:rPr>
        <w:t xml:space="preserve"> </w:t>
      </w:r>
      <w:r>
        <w:t xml:space="preserve">study over 12 weeks in </w:t>
      </w:r>
      <w:proofErr w:type="spellStart"/>
      <w:r>
        <w:t>paediatric</w:t>
      </w:r>
      <w:proofErr w:type="spellEnd"/>
      <w:r>
        <w:t xml:space="preserve"> </w:t>
      </w:r>
      <w:proofErr w:type="spellStart"/>
      <w:r>
        <w:t>sJIA</w:t>
      </w:r>
      <w:proofErr w:type="spellEnd"/>
      <w:r>
        <w:t xml:space="preserve"> patients (N=11) under 2 years of age, the safety and</w:t>
      </w:r>
      <w:r>
        <w:rPr>
          <w:spacing w:val="1"/>
        </w:rPr>
        <w:t xml:space="preserve"> </w:t>
      </w:r>
      <w:r>
        <w:t>immunogenicity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assessed</w:t>
      </w:r>
      <w:r>
        <w:rPr>
          <w:spacing w:val="-13"/>
        </w:rPr>
        <w:t xml:space="preserve"> </w:t>
      </w:r>
      <w:r>
        <w:t>descriptively.</w:t>
      </w:r>
      <w:r>
        <w:rPr>
          <w:spacing w:val="-13"/>
        </w:rPr>
        <w:t xml:space="preserve"> </w:t>
      </w:r>
      <w:r>
        <w:t>SAEs,</w:t>
      </w:r>
      <w:r>
        <w:rPr>
          <w:spacing w:val="-13"/>
        </w:rPr>
        <w:t xml:space="preserve"> </w:t>
      </w:r>
      <w:r>
        <w:t>AEs</w:t>
      </w:r>
      <w:r>
        <w:rPr>
          <w:spacing w:val="-14"/>
        </w:rPr>
        <w:t xml:space="preserve"> </w:t>
      </w:r>
      <w:r>
        <w:t>leading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discontinuation,</w:t>
      </w:r>
      <w:r>
        <w:rPr>
          <w:spacing w:val="-57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infectious</w:t>
      </w:r>
      <w:r>
        <w:rPr>
          <w:spacing w:val="-14"/>
        </w:rPr>
        <w:t xml:space="preserve"> </w:t>
      </w:r>
      <w:r>
        <w:rPr>
          <w:spacing w:val="-1"/>
        </w:rPr>
        <w:t>AEs</w:t>
      </w:r>
      <w:r>
        <w:rPr>
          <w:spacing w:val="-15"/>
        </w:rPr>
        <w:t xml:space="preserve"> </w:t>
      </w:r>
      <w:r>
        <w:rPr>
          <w:spacing w:val="-1"/>
        </w:rPr>
        <w:t>were</w:t>
      </w:r>
      <w:r>
        <w:rPr>
          <w:spacing w:val="-15"/>
        </w:rPr>
        <w:t xml:space="preserve"> </w:t>
      </w:r>
      <w:r>
        <w:rPr>
          <w:spacing w:val="-1"/>
        </w:rPr>
        <w:t>reported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27.3%,</w:t>
      </w:r>
      <w:r>
        <w:rPr>
          <w:spacing w:val="-15"/>
        </w:rPr>
        <w:t xml:space="preserve"> </w:t>
      </w:r>
      <w:r>
        <w:t>36.4%,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81.8%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patients.</w:t>
      </w:r>
      <w:r>
        <w:rPr>
          <w:spacing w:val="-14"/>
        </w:rPr>
        <w:t xml:space="preserve"> </w:t>
      </w:r>
      <w:r>
        <w:t>Six</w:t>
      </w:r>
      <w:r>
        <w:rPr>
          <w:spacing w:val="-15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(54.5%)</w:t>
      </w:r>
      <w:r>
        <w:rPr>
          <w:spacing w:val="-58"/>
        </w:rPr>
        <w:t xml:space="preserve"> </w:t>
      </w:r>
      <w:r>
        <w:t>experienced</w:t>
      </w:r>
      <w:r>
        <w:rPr>
          <w:spacing w:val="-14"/>
        </w:rPr>
        <w:t xml:space="preserve"> </w:t>
      </w:r>
      <w:r>
        <w:t>hypersensitivity</w:t>
      </w:r>
      <w:r>
        <w:rPr>
          <w:spacing w:val="-12"/>
        </w:rPr>
        <w:t xml:space="preserve"> </w:t>
      </w:r>
      <w:r>
        <w:t>reactions,</w:t>
      </w:r>
      <w:r>
        <w:rPr>
          <w:spacing w:val="-13"/>
        </w:rPr>
        <w:t xml:space="preserve"> </w:t>
      </w:r>
      <w:r>
        <w:t>defined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adverse</w:t>
      </w:r>
      <w:r>
        <w:rPr>
          <w:spacing w:val="-13"/>
        </w:rPr>
        <w:t xml:space="preserve"> </w:t>
      </w:r>
      <w:r>
        <w:t>events</w:t>
      </w:r>
      <w:r>
        <w:rPr>
          <w:spacing w:val="-12"/>
        </w:rPr>
        <w:t xml:space="preserve"> </w:t>
      </w:r>
      <w:r>
        <w:t>occurring</w:t>
      </w:r>
      <w:r>
        <w:rPr>
          <w:spacing w:val="-13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within</w:t>
      </w:r>
      <w:r>
        <w:rPr>
          <w:spacing w:val="-57"/>
        </w:rPr>
        <w:t xml:space="preserve"> </w:t>
      </w:r>
      <w:r>
        <w:t>24 hours after an infusion considered related to Actemra.</w:t>
      </w:r>
      <w:r>
        <w:rPr>
          <w:spacing w:val="1"/>
        </w:rPr>
        <w:t xml:space="preserve"> </w:t>
      </w:r>
      <w:r>
        <w:t>Three of these patients experienced</w:t>
      </w:r>
      <w:r>
        <w:rPr>
          <w:spacing w:val="-57"/>
        </w:rPr>
        <w:t xml:space="preserve"> </w:t>
      </w:r>
      <w:r>
        <w:t>serious hypersensitivity reactions and were withdrawn from the study. Three patients with</w:t>
      </w:r>
      <w:r>
        <w:rPr>
          <w:spacing w:val="1"/>
        </w:rPr>
        <w:t xml:space="preserve"> </w:t>
      </w:r>
      <w:r>
        <w:t>hypersensitivity reactions (two with serious hypersensitivity reactions) developed treatment</w:t>
      </w:r>
      <w:r>
        <w:rPr>
          <w:spacing w:val="1"/>
        </w:rPr>
        <w:t xml:space="preserve"> </w:t>
      </w:r>
      <w:r>
        <w:t>induced anti-Actemra antibodies after the event. There were no cases of MAS based on the</w:t>
      </w:r>
      <w:r>
        <w:rPr>
          <w:spacing w:val="1"/>
        </w:rPr>
        <w:t xml:space="preserve"> </w:t>
      </w:r>
      <w:r>
        <w:t xml:space="preserve">protocol-specified criteria, but 2 cases of suspected MAS based on </w:t>
      </w:r>
      <w:proofErr w:type="spellStart"/>
      <w:r>
        <w:t>Ravelli</w:t>
      </w:r>
      <w:proofErr w:type="spellEnd"/>
      <w:r>
        <w:t xml:space="preserve"> criteria. Reports of</w:t>
      </w:r>
      <w:r>
        <w:rPr>
          <w:spacing w:val="-57"/>
        </w:rPr>
        <w:t xml:space="preserve"> </w:t>
      </w:r>
      <w:r>
        <w:t>anaphylaxis,</w:t>
      </w:r>
      <w:r>
        <w:rPr>
          <w:spacing w:val="-6"/>
        </w:rPr>
        <w:t xml:space="preserve"> </w:t>
      </w:r>
      <w:r>
        <w:t>anaphylactoid</w:t>
      </w:r>
      <w:r>
        <w:rPr>
          <w:spacing w:val="-5"/>
        </w:rPr>
        <w:t xml:space="preserve"> </w:t>
      </w:r>
      <w:r>
        <w:t>reactions,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hypersensitivity</w:t>
      </w:r>
      <w:r>
        <w:rPr>
          <w:spacing w:val="-5"/>
        </w:rPr>
        <w:t xml:space="preserve"> </w:t>
      </w:r>
      <w:r>
        <w:t>reactions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years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 have been reported in the post-marketing</w:t>
      </w:r>
      <w:r>
        <w:rPr>
          <w:spacing w:val="-1"/>
        </w:rPr>
        <w:t xml:space="preserve"> </w:t>
      </w:r>
      <w:r>
        <w:t>setting.</w:t>
      </w:r>
    </w:p>
    <w:p w14:paraId="2E31A102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40FA96E7" w14:textId="77777777" w:rsidR="006C34D9" w:rsidRDefault="00CB5041">
      <w:pPr>
        <w:pStyle w:val="BodyText"/>
        <w:spacing w:before="79"/>
        <w:jc w:val="both"/>
      </w:pPr>
      <w:bookmarkStart w:id="74" w:name="Injection_Site_Reactions_(ISRs)"/>
      <w:bookmarkEnd w:id="74"/>
      <w:r>
        <w:rPr>
          <w:u w:val="single"/>
        </w:rPr>
        <w:lastRenderedPageBreak/>
        <w:t>Injection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Site</w:t>
      </w:r>
      <w:r>
        <w:rPr>
          <w:spacing w:val="-3"/>
          <w:u w:val="single"/>
        </w:rPr>
        <w:t xml:space="preserve"> </w:t>
      </w:r>
      <w:r>
        <w:rPr>
          <w:u w:val="single"/>
        </w:rPr>
        <w:t>Reactions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(ISRs)</w:t>
      </w:r>
    </w:p>
    <w:p w14:paraId="687BF934" w14:textId="77777777" w:rsidR="006C34D9" w:rsidRDefault="00CB5041">
      <w:pPr>
        <w:pStyle w:val="BodyText"/>
        <w:ind w:right="658"/>
        <w:jc w:val="both"/>
      </w:pPr>
      <w:r>
        <w:t xml:space="preserve">In the Study WA28118, a total of 41.2% (21/51) </w:t>
      </w:r>
      <w:proofErr w:type="spellStart"/>
      <w:r>
        <w:t>sJIA</w:t>
      </w:r>
      <w:proofErr w:type="spellEnd"/>
      <w:r>
        <w:t xml:space="preserve"> patients experienced ISRs to SC</w:t>
      </w:r>
      <w:r>
        <w:rPr>
          <w:spacing w:val="1"/>
        </w:rPr>
        <w:t xml:space="preserve"> </w:t>
      </w:r>
      <w:r>
        <w:t>Actemra. The most common ISRs were erythema, pruritus, pain, and swelling at the injection</w:t>
      </w:r>
      <w:r>
        <w:rPr>
          <w:spacing w:val="-57"/>
        </w:rPr>
        <w:t xml:space="preserve"> </w:t>
      </w:r>
      <w:r>
        <w:t>site.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majority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ISRs</w:t>
      </w:r>
      <w:r>
        <w:rPr>
          <w:spacing w:val="-13"/>
        </w:rPr>
        <w:t xml:space="preserve"> </w:t>
      </w:r>
      <w:r>
        <w:t>reported</w:t>
      </w:r>
      <w:r>
        <w:rPr>
          <w:spacing w:val="-11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Grade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events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ISRs</w:t>
      </w:r>
      <w:r>
        <w:rPr>
          <w:spacing w:val="-12"/>
        </w:rPr>
        <w:t xml:space="preserve"> </w:t>
      </w:r>
      <w:r>
        <w:t>reported</w:t>
      </w:r>
      <w:r>
        <w:rPr>
          <w:spacing w:val="-11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non-serious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ISRs required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withdrawal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or dose</w:t>
      </w:r>
      <w:r>
        <w:rPr>
          <w:spacing w:val="-2"/>
        </w:rPr>
        <w:t xml:space="preserve"> </w:t>
      </w:r>
      <w:r>
        <w:t>interruption.</w:t>
      </w:r>
    </w:p>
    <w:p w14:paraId="77141F32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59FDC32A" w14:textId="77777777" w:rsidR="006C34D9" w:rsidRDefault="00CB5041">
      <w:pPr>
        <w:pStyle w:val="BodyText"/>
      </w:pPr>
      <w:bookmarkStart w:id="75" w:name="Immunogenicity"/>
      <w:bookmarkEnd w:id="75"/>
      <w:r>
        <w:rPr>
          <w:u w:val="single"/>
        </w:rPr>
        <w:t>Immunogenicity</w:t>
      </w:r>
    </w:p>
    <w:p w14:paraId="773501CA" w14:textId="77777777" w:rsidR="006C34D9" w:rsidRDefault="00CB5041">
      <w:pPr>
        <w:pStyle w:val="BodyText"/>
        <w:ind w:left="659" w:right="656"/>
        <w:jc w:val="both"/>
      </w:pPr>
      <w:r>
        <w:t>In Study WA18221, all 112 patients were tested for anti-Actemra antibodies at baseline. Two</w:t>
      </w:r>
      <w:r>
        <w:rPr>
          <w:spacing w:val="1"/>
        </w:rPr>
        <w:t xml:space="preserve"> </w:t>
      </w:r>
      <w:r>
        <w:t>patients</w:t>
      </w:r>
      <w:r>
        <w:rPr>
          <w:spacing w:val="57"/>
        </w:rPr>
        <w:t xml:space="preserve"> </w:t>
      </w:r>
      <w:r>
        <w:t>developed</w:t>
      </w:r>
      <w:r>
        <w:rPr>
          <w:spacing w:val="56"/>
        </w:rPr>
        <w:t xml:space="preserve"> </w:t>
      </w:r>
      <w:r>
        <w:t>positive</w:t>
      </w:r>
      <w:r>
        <w:rPr>
          <w:spacing w:val="58"/>
        </w:rPr>
        <w:t xml:space="preserve"> </w:t>
      </w:r>
      <w:r>
        <w:t>anti-Actemra</w:t>
      </w:r>
      <w:r>
        <w:rPr>
          <w:spacing w:val="57"/>
        </w:rPr>
        <w:t xml:space="preserve"> </w:t>
      </w:r>
      <w:r>
        <w:t>antibodies</w:t>
      </w:r>
      <w:r>
        <w:rPr>
          <w:spacing w:val="58"/>
        </w:rPr>
        <w:t xml:space="preserve"> </w:t>
      </w:r>
      <w:r>
        <w:t>with</w:t>
      </w:r>
      <w:r>
        <w:rPr>
          <w:spacing w:val="56"/>
        </w:rPr>
        <w:t xml:space="preserve"> </w:t>
      </w:r>
      <w:r>
        <w:t>one</w:t>
      </w:r>
      <w:r>
        <w:rPr>
          <w:spacing w:val="58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these</w:t>
      </w:r>
      <w:r>
        <w:rPr>
          <w:spacing w:val="58"/>
        </w:rPr>
        <w:t xml:space="preserve"> </w:t>
      </w:r>
      <w:r>
        <w:t>patients</w:t>
      </w:r>
      <w:r>
        <w:rPr>
          <w:spacing w:val="57"/>
        </w:rPr>
        <w:t xml:space="preserve"> </w:t>
      </w:r>
      <w:r>
        <w:t>having</w:t>
      </w:r>
      <w:r>
        <w:rPr>
          <w:spacing w:val="57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hypersensitivity reaction leading to withdrawal. In Study WA28118, 46 of the 51 (90.2%)</w:t>
      </w:r>
      <w:r>
        <w:rPr>
          <w:spacing w:val="1"/>
        </w:rPr>
        <w:t xml:space="preserve"> </w:t>
      </w:r>
      <w:r>
        <w:t>patients tested for anti-Actemra antibodies at baseline had at least one post-baseline screening</w:t>
      </w:r>
      <w:r>
        <w:rPr>
          <w:spacing w:val="-57"/>
        </w:rPr>
        <w:t xml:space="preserve"> </w:t>
      </w:r>
      <w:r>
        <w:t>assay</w:t>
      </w:r>
      <w:r>
        <w:rPr>
          <w:spacing w:val="-1"/>
        </w:rPr>
        <w:t xml:space="preserve"> </w:t>
      </w:r>
      <w:r>
        <w:t>result.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positive anti-Actemra</w:t>
      </w:r>
      <w:r>
        <w:rPr>
          <w:spacing w:val="-1"/>
        </w:rPr>
        <w:t xml:space="preserve"> </w:t>
      </w:r>
      <w:r>
        <w:t>antibodies post</w:t>
      </w:r>
      <w:r>
        <w:rPr>
          <w:spacing w:val="-2"/>
        </w:rPr>
        <w:t xml:space="preserve"> </w:t>
      </w:r>
      <w:r>
        <w:t>baseline.</w:t>
      </w:r>
    </w:p>
    <w:p w14:paraId="479292ED" w14:textId="77777777" w:rsidR="006C34D9" w:rsidRDefault="00CB5041">
      <w:pPr>
        <w:pStyle w:val="Heading2"/>
        <w:spacing w:before="202"/>
        <w:ind w:left="659"/>
      </w:pPr>
      <w:bookmarkStart w:id="76" w:name="Cytokine_Release_Syndrome"/>
      <w:bookmarkEnd w:id="76"/>
      <w:r>
        <w:t>Cytokine</w:t>
      </w:r>
      <w:r>
        <w:rPr>
          <w:spacing w:val="-5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Syndrome</w:t>
      </w:r>
    </w:p>
    <w:p w14:paraId="5D1B6157" w14:textId="77777777" w:rsidR="006C34D9" w:rsidRDefault="00CB5041">
      <w:pPr>
        <w:pStyle w:val="BodyText"/>
        <w:spacing w:before="34"/>
        <w:ind w:left="659" w:right="657"/>
        <w:jc w:val="both"/>
      </w:pPr>
      <w:r>
        <w:t>The safety of Actemra in CRS has been evaluated in a retrospective analysis of data from</w:t>
      </w:r>
      <w:r>
        <w:rPr>
          <w:spacing w:val="1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trials,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51</w:t>
      </w:r>
      <w:r>
        <w:rPr>
          <w:spacing w:val="-8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treated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intravenous</w:t>
      </w:r>
      <w:r>
        <w:rPr>
          <w:spacing w:val="-6"/>
        </w:rPr>
        <w:t xml:space="preserve"> </w:t>
      </w:r>
      <w:r>
        <w:t>Actemra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mg/kg</w:t>
      </w:r>
      <w:r>
        <w:rPr>
          <w:spacing w:val="-7"/>
        </w:rPr>
        <w:t xml:space="preserve"> </w:t>
      </w:r>
      <w:r>
        <w:t>(12</w:t>
      </w:r>
      <w:r>
        <w:rPr>
          <w:spacing w:val="-7"/>
        </w:rPr>
        <w:t xml:space="preserve"> </w:t>
      </w:r>
      <w:r>
        <w:t>mg/kg</w:t>
      </w:r>
      <w:r>
        <w:rPr>
          <w:spacing w:val="-7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kg)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high-dose</w:t>
      </w:r>
      <w:r>
        <w:rPr>
          <w:spacing w:val="-8"/>
        </w:rPr>
        <w:t xml:space="preserve"> </w:t>
      </w:r>
      <w:r>
        <w:t>corticosteroids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severe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life-</w:t>
      </w:r>
      <w:r>
        <w:rPr>
          <w:spacing w:val="-58"/>
        </w:rPr>
        <w:t xml:space="preserve"> </w:t>
      </w:r>
      <w:r>
        <w:t>threatening CAR T-cell-induced CRS. A median of 1 dose of Actemra (range, 1-4 doses) was</w:t>
      </w:r>
      <w:r>
        <w:rPr>
          <w:spacing w:val="-57"/>
        </w:rPr>
        <w:t xml:space="preserve"> </w:t>
      </w:r>
      <w:bookmarkStart w:id="77" w:name="Laboratory_Abnormalities"/>
      <w:bookmarkEnd w:id="77"/>
      <w:r>
        <w:t>administered</w:t>
      </w:r>
    </w:p>
    <w:p w14:paraId="7E723F3D" w14:textId="77777777" w:rsidR="006C34D9" w:rsidRDefault="00CB5041">
      <w:pPr>
        <w:spacing w:before="201" w:line="254" w:lineRule="auto"/>
        <w:ind w:left="660" w:right="6970"/>
        <w:jc w:val="both"/>
        <w:rPr>
          <w:i/>
          <w:sz w:val="24"/>
        </w:rPr>
      </w:pPr>
      <w:r>
        <w:rPr>
          <w:b/>
          <w:sz w:val="24"/>
        </w:rPr>
        <w:t>Laboratory Abnormalities</w:t>
      </w:r>
      <w:r>
        <w:rPr>
          <w:b/>
          <w:spacing w:val="-57"/>
          <w:sz w:val="24"/>
        </w:rPr>
        <w:t xml:space="preserve"> </w:t>
      </w:r>
      <w:bookmarkStart w:id="78" w:name="Haematology_abnormalities"/>
      <w:bookmarkEnd w:id="78"/>
      <w:proofErr w:type="spellStart"/>
      <w:r>
        <w:rPr>
          <w:sz w:val="24"/>
          <w:u w:val="single"/>
        </w:rPr>
        <w:t>Haematology</w:t>
      </w:r>
      <w:proofErr w:type="spellEnd"/>
      <w:r>
        <w:rPr>
          <w:sz w:val="24"/>
          <w:u w:val="single"/>
        </w:rPr>
        <w:t xml:space="preserve"> abnormalities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Rheumatoid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Arthritis</w:t>
      </w:r>
    </w:p>
    <w:p w14:paraId="7FF0F1EE" w14:textId="77777777" w:rsidR="006C34D9" w:rsidRDefault="00CB5041">
      <w:pPr>
        <w:spacing w:line="261" w:lineRule="exact"/>
        <w:ind w:left="660"/>
        <w:jc w:val="both"/>
        <w:rPr>
          <w:i/>
          <w:sz w:val="24"/>
        </w:rPr>
      </w:pPr>
      <w:bookmarkStart w:id="79" w:name="Neutrophils_–_Intravenous_Administration"/>
      <w:bookmarkEnd w:id="79"/>
      <w:r>
        <w:rPr>
          <w:i/>
          <w:sz w:val="24"/>
        </w:rPr>
        <w:t>Neutrophils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Intravenous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Administration</w:t>
      </w:r>
    </w:p>
    <w:p w14:paraId="597E3185" w14:textId="77777777" w:rsidR="006C34D9" w:rsidRDefault="00CB5041">
      <w:pPr>
        <w:pStyle w:val="BodyText"/>
        <w:spacing w:before="35"/>
        <w:ind w:left="659" w:right="658"/>
        <w:jc w:val="both"/>
      </w:pPr>
      <w:r>
        <w:t xml:space="preserve">In the 6 </w:t>
      </w:r>
      <w:proofErr w:type="gramStart"/>
      <w:r>
        <w:t>month controlled</w:t>
      </w:r>
      <w:proofErr w:type="gramEnd"/>
      <w:r>
        <w:t xml:space="preserve"> trials decreases in neutrophil counts below 1 x 10</w:t>
      </w:r>
      <w:r>
        <w:rPr>
          <w:vertAlign w:val="superscript"/>
        </w:rPr>
        <w:t>9</w:t>
      </w:r>
      <w:r>
        <w:t>/L occurred in</w:t>
      </w:r>
      <w:r>
        <w:rPr>
          <w:spacing w:val="1"/>
        </w:rPr>
        <w:t xml:space="preserve"> </w:t>
      </w:r>
      <w:r>
        <w:t>3.4%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patients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Actemra</w:t>
      </w:r>
      <w:r>
        <w:rPr>
          <w:spacing w:val="5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mg/kg</w:t>
      </w:r>
      <w:r>
        <w:rPr>
          <w:spacing w:val="5"/>
        </w:rPr>
        <w:t xml:space="preserve"> </w:t>
      </w:r>
      <w:r>
        <w:t>+</w:t>
      </w:r>
      <w:r>
        <w:rPr>
          <w:spacing w:val="5"/>
        </w:rPr>
        <w:t xml:space="preserve"> </w:t>
      </w:r>
      <w:r>
        <w:t>DMARD</w:t>
      </w:r>
      <w:r>
        <w:rPr>
          <w:spacing w:val="4"/>
        </w:rPr>
        <w:t xml:space="preserve"> </w:t>
      </w:r>
      <w:r>
        <w:t>compared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&lt;</w:t>
      </w:r>
      <w:r>
        <w:rPr>
          <w:spacing w:val="4"/>
        </w:rPr>
        <w:t xml:space="preserve"> </w:t>
      </w:r>
      <w:r>
        <w:t>0.1%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patients</w:t>
      </w:r>
      <w:r>
        <w:rPr>
          <w:spacing w:val="5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placebo</w:t>
      </w:r>
    </w:p>
    <w:p w14:paraId="593E911C" w14:textId="77777777" w:rsidR="006C34D9" w:rsidRDefault="00CB5041">
      <w:pPr>
        <w:pStyle w:val="BodyText"/>
        <w:ind w:right="656"/>
        <w:jc w:val="both"/>
      </w:pPr>
      <w:r>
        <w:t>+ DMARD. Approximately half of the patients who developed an ANC &lt; 1 x 10</w:t>
      </w:r>
      <w:r>
        <w:rPr>
          <w:vertAlign w:val="superscript"/>
        </w:rPr>
        <w:t>9</w:t>
      </w:r>
      <w:r>
        <w:t>/L did so</w:t>
      </w:r>
      <w:r>
        <w:rPr>
          <w:spacing w:val="1"/>
        </w:rPr>
        <w:t xml:space="preserve"> </w:t>
      </w:r>
      <w:r>
        <w:t>within 8 weeks after starting therapy. Decreases below 0.5 x 10</w:t>
      </w:r>
      <w:r>
        <w:rPr>
          <w:vertAlign w:val="superscript"/>
        </w:rPr>
        <w:t>9</w:t>
      </w:r>
      <w:r>
        <w:t>/L were reported in 0.3%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mg/kg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DMARD</w:t>
      </w:r>
      <w:r>
        <w:rPr>
          <w:spacing w:val="1"/>
        </w:rPr>
        <w:t xml:space="preserve"> </w:t>
      </w:r>
      <w:r>
        <w:t>(section</w:t>
      </w:r>
      <w:r>
        <w:rPr>
          <w:spacing w:val="1"/>
        </w:rPr>
        <w:t xml:space="preserve"> </w:t>
      </w:r>
      <w:r>
        <w:t>4.4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Warnings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Precautions).</w:t>
      </w:r>
    </w:p>
    <w:p w14:paraId="5051B830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A13DB2F" w14:textId="77777777" w:rsidR="006C34D9" w:rsidRDefault="00CB5041">
      <w:pPr>
        <w:pStyle w:val="BodyText"/>
      </w:pPr>
      <w:r>
        <w:t>There</w:t>
      </w:r>
      <w:r>
        <w:rPr>
          <w:spacing w:val="29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clear</w:t>
      </w:r>
      <w:r>
        <w:rPr>
          <w:spacing w:val="28"/>
        </w:rPr>
        <w:t xml:space="preserve"> </w:t>
      </w:r>
      <w:r>
        <w:t>relationship</w:t>
      </w:r>
      <w:r>
        <w:rPr>
          <w:spacing w:val="30"/>
        </w:rPr>
        <w:t xml:space="preserve"> </w:t>
      </w:r>
      <w:r>
        <w:t>between</w:t>
      </w:r>
      <w:r>
        <w:rPr>
          <w:spacing w:val="30"/>
        </w:rPr>
        <w:t xml:space="preserve"> </w:t>
      </w:r>
      <w:r>
        <w:t>decreases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neutrophils</w:t>
      </w:r>
      <w:r>
        <w:rPr>
          <w:spacing w:val="29"/>
        </w:rPr>
        <w:t xml:space="preserve"> </w:t>
      </w:r>
      <w:r>
        <w:t>below</w:t>
      </w:r>
      <w:r>
        <w:rPr>
          <w:spacing w:val="28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x</w:t>
      </w:r>
      <w:r>
        <w:rPr>
          <w:spacing w:val="30"/>
        </w:rPr>
        <w:t xml:space="preserve"> </w:t>
      </w:r>
      <w:r>
        <w:t>10</w:t>
      </w:r>
      <w:r>
        <w:rPr>
          <w:vertAlign w:val="superscript"/>
        </w:rPr>
        <w:t>9</w:t>
      </w:r>
      <w:r>
        <w:t>/L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occurrence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serious infections.</w:t>
      </w:r>
    </w:p>
    <w:p w14:paraId="16CC7A6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D81BE6E" w14:textId="77777777" w:rsidR="006C34D9" w:rsidRDefault="00CB5041">
      <w:pPr>
        <w:pStyle w:val="BodyText"/>
        <w:spacing w:before="1"/>
        <w:ind w:right="658"/>
        <w:jc w:val="both"/>
      </w:pPr>
      <w:r>
        <w:t xml:space="preserve">In the </w:t>
      </w:r>
      <w:r>
        <w:rPr>
          <w:i/>
        </w:rPr>
        <w:t xml:space="preserve">all control </w:t>
      </w:r>
      <w:r>
        <w:t xml:space="preserve">and </w:t>
      </w:r>
      <w:r>
        <w:rPr>
          <w:i/>
        </w:rPr>
        <w:t xml:space="preserve">all exposure </w:t>
      </w:r>
      <w:r>
        <w:t>population, the pattern and incidence of decreases in</w:t>
      </w:r>
      <w:r>
        <w:rPr>
          <w:spacing w:val="1"/>
        </w:rPr>
        <w:t xml:space="preserve"> </w:t>
      </w:r>
      <w:r>
        <w:t xml:space="preserve">neutrophil counts remained consistent with what was seen in the </w:t>
      </w:r>
      <w:proofErr w:type="gramStart"/>
      <w:r>
        <w:t>6 month</w:t>
      </w:r>
      <w:proofErr w:type="gramEnd"/>
      <w:r>
        <w:t xml:space="preserve"> controlled clinical</w:t>
      </w:r>
      <w:r>
        <w:rPr>
          <w:spacing w:val="1"/>
        </w:rPr>
        <w:t xml:space="preserve"> </w:t>
      </w:r>
      <w:r>
        <w:t>trials.</w:t>
      </w:r>
    </w:p>
    <w:p w14:paraId="35734E17" w14:textId="77777777" w:rsidR="006C34D9" w:rsidRDefault="006C34D9">
      <w:pPr>
        <w:pStyle w:val="BodyText"/>
        <w:spacing w:before="11"/>
        <w:ind w:left="0"/>
        <w:rPr>
          <w:sz w:val="20"/>
        </w:rPr>
      </w:pPr>
    </w:p>
    <w:p w14:paraId="238790D0" w14:textId="77777777" w:rsidR="006C34D9" w:rsidRDefault="00CB5041">
      <w:pPr>
        <w:ind w:left="660"/>
        <w:jc w:val="both"/>
        <w:rPr>
          <w:i/>
          <w:sz w:val="24"/>
        </w:rPr>
      </w:pPr>
      <w:bookmarkStart w:id="80" w:name="Neutrophils_-_Subcutaneous_Administratio"/>
      <w:bookmarkEnd w:id="80"/>
      <w:r>
        <w:rPr>
          <w:i/>
          <w:sz w:val="24"/>
        </w:rPr>
        <w:t>Neutrophils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Subcutaneous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Administration</w:t>
      </w:r>
    </w:p>
    <w:p w14:paraId="22CB47D7" w14:textId="77777777" w:rsidR="006C34D9" w:rsidRDefault="00CB5041">
      <w:pPr>
        <w:pStyle w:val="BodyText"/>
        <w:spacing w:before="35"/>
        <w:ind w:right="657"/>
        <w:jc w:val="both"/>
      </w:pPr>
      <w:r>
        <w:t>During</w:t>
      </w:r>
      <w:r>
        <w:rPr>
          <w:spacing w:val="1"/>
        </w:rPr>
        <w:t xml:space="preserve"> </w:t>
      </w:r>
      <w:r>
        <w:t>routine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6-month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SUMMACTA and BREVACTA, a decrease in neutrophil count below 1 × 10</w:t>
      </w:r>
      <w:r>
        <w:rPr>
          <w:vertAlign w:val="superscript"/>
        </w:rPr>
        <w:t>9</w:t>
      </w:r>
      <w:r>
        <w:t>/L occurred in</w:t>
      </w:r>
      <w:r>
        <w:rPr>
          <w:spacing w:val="1"/>
        </w:rPr>
        <w:t xml:space="preserve"> </w:t>
      </w:r>
      <w:r>
        <w:t>2.9%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2.3%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Actemra</w:t>
      </w:r>
      <w:r>
        <w:rPr>
          <w:spacing w:val="-5"/>
        </w:rPr>
        <w:t xml:space="preserve"> </w:t>
      </w:r>
      <w:r>
        <w:t>162</w:t>
      </w:r>
      <w:r>
        <w:rPr>
          <w:spacing w:val="-5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SC</w:t>
      </w:r>
      <w:r>
        <w:rPr>
          <w:spacing w:val="-5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week,</w:t>
      </w:r>
      <w:r>
        <w:rPr>
          <w:spacing w:val="-5"/>
        </w:rPr>
        <w:t xml:space="preserve"> </w:t>
      </w:r>
      <w:r>
        <w:t>respectively.</w:t>
      </w:r>
    </w:p>
    <w:p w14:paraId="6B8FD97F" w14:textId="77777777" w:rsidR="006C34D9" w:rsidRDefault="006C34D9">
      <w:pPr>
        <w:pStyle w:val="BodyText"/>
        <w:spacing w:before="8"/>
        <w:ind w:left="0"/>
        <w:rPr>
          <w:sz w:val="20"/>
        </w:rPr>
      </w:pPr>
    </w:p>
    <w:p w14:paraId="0897C78A" w14:textId="77777777" w:rsidR="006C34D9" w:rsidRDefault="00CB5041">
      <w:pPr>
        <w:pStyle w:val="BodyText"/>
        <w:spacing w:before="1"/>
      </w:pPr>
      <w:r>
        <w:t>There</w:t>
      </w:r>
      <w:r>
        <w:rPr>
          <w:spacing w:val="29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clear</w:t>
      </w:r>
      <w:r>
        <w:rPr>
          <w:spacing w:val="28"/>
        </w:rPr>
        <w:t xml:space="preserve"> </w:t>
      </w:r>
      <w:r>
        <w:t>relationship</w:t>
      </w:r>
      <w:r>
        <w:rPr>
          <w:spacing w:val="30"/>
        </w:rPr>
        <w:t xml:space="preserve"> </w:t>
      </w:r>
      <w:r>
        <w:t>between</w:t>
      </w:r>
      <w:r>
        <w:rPr>
          <w:spacing w:val="30"/>
        </w:rPr>
        <w:t xml:space="preserve"> </w:t>
      </w:r>
      <w:r>
        <w:t>decreases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neutrophils</w:t>
      </w:r>
      <w:r>
        <w:rPr>
          <w:spacing w:val="29"/>
        </w:rPr>
        <w:t xml:space="preserve"> </w:t>
      </w:r>
      <w:r>
        <w:t>below</w:t>
      </w:r>
      <w:r>
        <w:rPr>
          <w:spacing w:val="28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x</w:t>
      </w:r>
      <w:r>
        <w:rPr>
          <w:spacing w:val="30"/>
        </w:rPr>
        <w:t xml:space="preserve"> </w:t>
      </w:r>
      <w:r>
        <w:t>10</w:t>
      </w:r>
      <w:r>
        <w:rPr>
          <w:vertAlign w:val="superscript"/>
        </w:rPr>
        <w:t>9</w:t>
      </w:r>
      <w:r>
        <w:t>/L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occurrence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serious infections.</w:t>
      </w:r>
    </w:p>
    <w:p w14:paraId="41CEA9E9" w14:textId="77777777" w:rsidR="006C34D9" w:rsidRDefault="006C34D9">
      <w:pPr>
        <w:pStyle w:val="BodyText"/>
        <w:spacing w:before="11"/>
        <w:ind w:left="0"/>
        <w:rPr>
          <w:sz w:val="20"/>
        </w:rPr>
      </w:pPr>
    </w:p>
    <w:p w14:paraId="30593300" w14:textId="77777777" w:rsidR="006C34D9" w:rsidRDefault="00CB5041">
      <w:pPr>
        <w:ind w:left="660"/>
        <w:jc w:val="both"/>
        <w:rPr>
          <w:i/>
          <w:sz w:val="24"/>
        </w:rPr>
      </w:pPr>
      <w:bookmarkStart w:id="81" w:name="Platelets_–_Intravenous_Administration"/>
      <w:bookmarkEnd w:id="81"/>
      <w:r>
        <w:rPr>
          <w:i/>
          <w:sz w:val="24"/>
        </w:rPr>
        <w:t>Platelets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Intravenous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Administration</w:t>
      </w:r>
    </w:p>
    <w:p w14:paraId="69065B4B" w14:textId="77777777" w:rsidR="006C34D9" w:rsidRDefault="00CB5041">
      <w:pPr>
        <w:pStyle w:val="BodyText"/>
        <w:spacing w:before="35"/>
        <w:ind w:right="658"/>
        <w:jc w:val="both"/>
      </w:pPr>
      <w:r>
        <w:t xml:space="preserve">In the </w:t>
      </w:r>
      <w:proofErr w:type="gramStart"/>
      <w:r>
        <w:t>6 month</w:t>
      </w:r>
      <w:proofErr w:type="gramEnd"/>
      <w:r>
        <w:t xml:space="preserve"> controlled trials, decreases in platelet counts below 100 x 10</w:t>
      </w:r>
      <w:r>
        <w:rPr>
          <w:vertAlign w:val="superscript"/>
        </w:rPr>
        <w:t>9</w:t>
      </w:r>
      <w:r>
        <w:t>/L occurred in</w:t>
      </w:r>
      <w:r>
        <w:rPr>
          <w:spacing w:val="1"/>
        </w:rPr>
        <w:t xml:space="preserve"> </w:t>
      </w:r>
      <w:r>
        <w:t>1.7%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Actemra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DMARDs</w:t>
      </w:r>
      <w:r>
        <w:rPr>
          <w:spacing w:val="-6"/>
        </w:rPr>
        <w:t xml:space="preserve"> </w:t>
      </w:r>
      <w:r>
        <w:t>compared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1%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placebo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DMARDs.</w:t>
      </w:r>
      <w:r>
        <w:rPr>
          <w:spacing w:val="-58"/>
        </w:rPr>
        <w:t xml:space="preserve"> </w:t>
      </w:r>
      <w:r>
        <w:t>These decreases occurred without associated bleeding events. (see section 4.2 Dose and</w:t>
      </w:r>
      <w:r>
        <w:rPr>
          <w:spacing w:val="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and section</w:t>
      </w:r>
      <w:r>
        <w:rPr>
          <w:spacing w:val="-1"/>
        </w:rPr>
        <w:t xml:space="preserve"> </w:t>
      </w:r>
      <w:r>
        <w:t>4.4 Special Warnings</w:t>
      </w:r>
      <w:r>
        <w:rPr>
          <w:spacing w:val="-1"/>
        </w:rPr>
        <w:t xml:space="preserve"> </w:t>
      </w:r>
      <w:r>
        <w:t>and Precautions)</w:t>
      </w:r>
    </w:p>
    <w:p w14:paraId="33E93359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1463B4C7" w14:textId="77777777" w:rsidR="006C34D9" w:rsidRDefault="00CB5041">
      <w:pPr>
        <w:pStyle w:val="BodyText"/>
        <w:spacing w:before="79"/>
        <w:ind w:right="658"/>
        <w:jc w:val="both"/>
      </w:pPr>
      <w:r>
        <w:lastRenderedPageBreak/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i/>
        </w:rPr>
        <w:t>all</w:t>
      </w:r>
      <w:r>
        <w:rPr>
          <w:i/>
          <w:spacing w:val="-9"/>
        </w:rPr>
        <w:t xml:space="preserve"> </w:t>
      </w:r>
      <w:r>
        <w:rPr>
          <w:i/>
        </w:rPr>
        <w:t>control</w:t>
      </w:r>
      <w:r>
        <w:rPr>
          <w:i/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i/>
        </w:rPr>
        <w:t>all</w:t>
      </w:r>
      <w:r>
        <w:rPr>
          <w:i/>
          <w:spacing w:val="-11"/>
        </w:rPr>
        <w:t xml:space="preserve"> </w:t>
      </w:r>
      <w:r>
        <w:rPr>
          <w:i/>
        </w:rPr>
        <w:t>exposure</w:t>
      </w:r>
      <w:r>
        <w:rPr>
          <w:i/>
          <w:spacing w:val="-10"/>
        </w:rPr>
        <w:t xml:space="preserve"> </w:t>
      </w:r>
      <w:r>
        <w:rPr>
          <w:i/>
        </w:rPr>
        <w:t>population</w:t>
      </w:r>
      <w:r>
        <w:t>,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pattern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incidence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decreases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platelet</w:t>
      </w:r>
      <w:r>
        <w:rPr>
          <w:spacing w:val="-58"/>
        </w:rPr>
        <w:t xml:space="preserve"> </w:t>
      </w:r>
      <w:r>
        <w:t>counts</w:t>
      </w:r>
      <w:r>
        <w:rPr>
          <w:spacing w:val="-1"/>
        </w:rPr>
        <w:t xml:space="preserve"> </w:t>
      </w:r>
      <w:r>
        <w:t>remained</w:t>
      </w:r>
      <w:r>
        <w:rPr>
          <w:spacing w:val="-1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what was</w:t>
      </w:r>
      <w:r>
        <w:rPr>
          <w:spacing w:val="-1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t>6</w:t>
      </w:r>
      <w:r>
        <w:rPr>
          <w:spacing w:val="-1"/>
        </w:rPr>
        <w:t xml:space="preserve"> </w:t>
      </w:r>
      <w:r>
        <w:t>month</w:t>
      </w:r>
      <w:proofErr w:type="gramEnd"/>
      <w:r>
        <w:rPr>
          <w:spacing w:val="-1"/>
        </w:rPr>
        <w:t xml:space="preserve"> </w:t>
      </w:r>
      <w:r>
        <w:t>controlled</w:t>
      </w:r>
      <w:r>
        <w:rPr>
          <w:spacing w:val="-3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trials.</w:t>
      </w:r>
    </w:p>
    <w:p w14:paraId="501AE8CB" w14:textId="77777777" w:rsidR="006C34D9" w:rsidRDefault="006C34D9">
      <w:pPr>
        <w:pStyle w:val="BodyText"/>
        <w:ind w:left="0"/>
        <w:rPr>
          <w:sz w:val="21"/>
        </w:rPr>
      </w:pPr>
    </w:p>
    <w:p w14:paraId="33619DEC" w14:textId="77777777" w:rsidR="006C34D9" w:rsidRDefault="00CB5041">
      <w:pPr>
        <w:ind w:left="660"/>
        <w:jc w:val="both"/>
        <w:rPr>
          <w:i/>
          <w:sz w:val="24"/>
        </w:rPr>
      </w:pPr>
      <w:bookmarkStart w:id="82" w:name="Platelets_-_Subcutaneous_Administration"/>
      <w:bookmarkEnd w:id="82"/>
      <w:r>
        <w:rPr>
          <w:i/>
          <w:sz w:val="24"/>
        </w:rPr>
        <w:t>Platelets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Subcutaneous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Administration</w:t>
      </w:r>
    </w:p>
    <w:p w14:paraId="42F428F9" w14:textId="77777777" w:rsidR="006C34D9" w:rsidRDefault="00CB5041">
      <w:pPr>
        <w:pStyle w:val="BodyText"/>
        <w:spacing w:before="38" w:line="242" w:lineRule="auto"/>
        <w:ind w:right="659"/>
        <w:jc w:val="both"/>
      </w:pPr>
      <w:r>
        <w:t>During routine laboratory monitoring in the 6-month controlled period of SUMMACTA and</w:t>
      </w:r>
      <w:r>
        <w:rPr>
          <w:spacing w:val="1"/>
        </w:rPr>
        <w:t xml:space="preserve"> </w:t>
      </w:r>
      <w:r>
        <w:t>BREVACTA, 1.6% and 1.4% of patients experienced a decrease in platelet count to &lt; 100 ×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9</w:t>
      </w:r>
      <w:r>
        <w:t>/L</w:t>
      </w:r>
      <w:r>
        <w:rPr>
          <w:spacing w:val="-2"/>
        </w:rPr>
        <w:t xml:space="preserve"> </w:t>
      </w:r>
      <w:r>
        <w:t>on Actemra 162 mg SC</w:t>
      </w:r>
      <w:r>
        <w:rPr>
          <w:spacing w:val="-1"/>
        </w:rPr>
        <w:t xml:space="preserve"> </w:t>
      </w:r>
      <w:r>
        <w:t>weekly and</w:t>
      </w:r>
      <w:r>
        <w:rPr>
          <w:spacing w:val="-1"/>
        </w:rPr>
        <w:t xml:space="preserve"> </w:t>
      </w:r>
      <w:r>
        <w:t>every other week,</w:t>
      </w:r>
      <w:r>
        <w:rPr>
          <w:spacing w:val="-2"/>
        </w:rPr>
        <w:t xml:space="preserve"> </w:t>
      </w:r>
      <w:r>
        <w:t>respectively.</w:t>
      </w:r>
    </w:p>
    <w:p w14:paraId="2BD4A1D0" w14:textId="77777777" w:rsidR="006C34D9" w:rsidRDefault="00CB5041">
      <w:pPr>
        <w:spacing w:before="171"/>
        <w:ind w:left="660" w:right="7815"/>
        <w:jc w:val="both"/>
        <w:rPr>
          <w:i/>
          <w:sz w:val="24"/>
        </w:rPr>
      </w:pPr>
      <w:r>
        <w:rPr>
          <w:i/>
          <w:sz w:val="24"/>
        </w:rPr>
        <w:t>Giant Cell Arteritis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Neutrophils</w:t>
      </w:r>
    </w:p>
    <w:p w14:paraId="17507BBC" w14:textId="77777777" w:rsidR="006C34D9" w:rsidRDefault="00CB5041">
      <w:pPr>
        <w:pStyle w:val="BodyText"/>
        <w:spacing w:before="35"/>
        <w:ind w:left="659" w:right="657"/>
        <w:jc w:val="both"/>
      </w:pPr>
      <w:r>
        <w:t>During</w:t>
      </w:r>
      <w:r>
        <w:rPr>
          <w:spacing w:val="1"/>
        </w:rPr>
        <w:t xml:space="preserve"> </w:t>
      </w:r>
      <w:r>
        <w:t>routine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12-month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blind,</w:t>
      </w:r>
      <w:r>
        <w:rPr>
          <w:spacing w:val="1"/>
        </w:rPr>
        <w:t xml:space="preserve"> </w:t>
      </w:r>
      <w:r>
        <w:t>placebo-</w:t>
      </w:r>
      <w:r>
        <w:rPr>
          <w:spacing w:val="1"/>
        </w:rPr>
        <w:t xml:space="preserve"> </w:t>
      </w:r>
      <w:r>
        <w:t>controlled phase of Study X (</w:t>
      </w:r>
      <w:proofErr w:type="spellStart"/>
      <w:r>
        <w:t>GiACTA</w:t>
      </w:r>
      <w:proofErr w:type="spellEnd"/>
      <w:r>
        <w:t>), a decrease in neutrophil count below 1 x 10</w:t>
      </w:r>
      <w:r>
        <w:rPr>
          <w:vertAlign w:val="superscript"/>
        </w:rPr>
        <w:t>9</w:t>
      </w:r>
      <w:r>
        <w:t>/L</w:t>
      </w:r>
      <w:r>
        <w:rPr>
          <w:spacing w:val="1"/>
        </w:rPr>
        <w:t xml:space="preserve"> </w:t>
      </w:r>
      <w:r>
        <w:t>occurred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4%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Actemra</w:t>
      </w:r>
      <w:r>
        <w:rPr>
          <w:spacing w:val="-7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group.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observed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placebo plus prednisone taper groups.</w:t>
      </w:r>
      <w:r>
        <w:rPr>
          <w:spacing w:val="1"/>
        </w:rPr>
        <w:t xml:space="preserve"> </w:t>
      </w:r>
      <w:r>
        <w:t>There was no clear relationship between decreases in</w:t>
      </w:r>
      <w:r>
        <w:rPr>
          <w:spacing w:val="1"/>
        </w:rPr>
        <w:t xml:space="preserve"> </w:t>
      </w:r>
      <w:r>
        <w:t>neutrophils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1 x 10</w:t>
      </w:r>
      <w:r>
        <w:rPr>
          <w:vertAlign w:val="superscript"/>
        </w:rPr>
        <w:t>9</w:t>
      </w:r>
      <w:r>
        <w:t>/L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occurrence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serious infections.</w:t>
      </w:r>
    </w:p>
    <w:p w14:paraId="05A7A69B" w14:textId="77777777" w:rsidR="006C34D9" w:rsidRDefault="00CB5041">
      <w:pPr>
        <w:spacing w:before="241"/>
        <w:ind w:left="660"/>
        <w:rPr>
          <w:i/>
          <w:sz w:val="24"/>
        </w:rPr>
      </w:pPr>
      <w:r>
        <w:rPr>
          <w:i/>
          <w:sz w:val="24"/>
        </w:rPr>
        <w:t>Platelets</w:t>
      </w:r>
    </w:p>
    <w:p w14:paraId="0BAF2A7B" w14:textId="77777777" w:rsidR="006C34D9" w:rsidRDefault="00CB5041">
      <w:pPr>
        <w:pStyle w:val="BodyText"/>
        <w:spacing w:before="35"/>
        <w:ind w:left="659" w:right="658"/>
        <w:jc w:val="both"/>
      </w:pPr>
      <w:r>
        <w:t>During</w:t>
      </w:r>
      <w:r>
        <w:rPr>
          <w:spacing w:val="1"/>
        </w:rPr>
        <w:t xml:space="preserve"> </w:t>
      </w:r>
      <w:r>
        <w:t>routine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12-month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blind,</w:t>
      </w:r>
      <w:r>
        <w:rPr>
          <w:spacing w:val="1"/>
        </w:rPr>
        <w:t xml:space="preserve"> </w:t>
      </w:r>
      <w:r>
        <w:t>placebo-</w:t>
      </w:r>
      <w:r>
        <w:rPr>
          <w:spacing w:val="1"/>
        </w:rPr>
        <w:t xml:space="preserve"> </w:t>
      </w:r>
      <w:r>
        <w:t>controlled</w:t>
      </w:r>
      <w:r>
        <w:rPr>
          <w:spacing w:val="-5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(</w:t>
      </w:r>
      <w:proofErr w:type="spellStart"/>
      <w:r>
        <w:t>GiACTA</w:t>
      </w:r>
      <w:proofErr w:type="spellEnd"/>
      <w:r>
        <w:t>),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(1%,</w:t>
      </w:r>
      <w:r>
        <w:rPr>
          <w:spacing w:val="-4"/>
        </w:rPr>
        <w:t xml:space="preserve"> </w:t>
      </w:r>
      <w:r>
        <w:t>1/100)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Actemra</w:t>
      </w:r>
      <w:r>
        <w:rPr>
          <w:spacing w:val="-3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group</w:t>
      </w:r>
      <w:r>
        <w:rPr>
          <w:spacing w:val="-57"/>
        </w:rPr>
        <w:t xml:space="preserve"> </w:t>
      </w:r>
      <w:r>
        <w:t>had a single transient occurrence of decreased platelet count below 100 x 10</w:t>
      </w:r>
      <w:r>
        <w:rPr>
          <w:vertAlign w:val="superscript"/>
        </w:rPr>
        <w:t>9</w:t>
      </w:r>
      <w:r>
        <w:t>/L without</w:t>
      </w:r>
      <w:r>
        <w:rPr>
          <w:spacing w:val="1"/>
        </w:rPr>
        <w:t xml:space="preserve"> </w:t>
      </w:r>
      <w:r>
        <w:t>associated bleeding events. A decrease in platelet count below 100 x 10</w:t>
      </w:r>
      <w:r>
        <w:rPr>
          <w:vertAlign w:val="superscript"/>
        </w:rPr>
        <w:t>9</w:t>
      </w:r>
      <w:r>
        <w:t>/L was not observed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either of</w:t>
      </w:r>
      <w:r>
        <w:rPr>
          <w:spacing w:val="-1"/>
        </w:rPr>
        <w:t xml:space="preserve"> </w:t>
      </w:r>
      <w:r>
        <w:t>the placebo plus prednisone</w:t>
      </w:r>
      <w:r>
        <w:rPr>
          <w:spacing w:val="-1"/>
        </w:rPr>
        <w:t xml:space="preserve"> </w:t>
      </w:r>
      <w:r>
        <w:t>taper groups.</w:t>
      </w:r>
    </w:p>
    <w:p w14:paraId="59FD5D90" w14:textId="77777777" w:rsidR="006C34D9" w:rsidRDefault="00CB5041">
      <w:pPr>
        <w:spacing w:before="201"/>
        <w:ind w:left="660" w:right="5611"/>
        <w:jc w:val="both"/>
        <w:rPr>
          <w:i/>
          <w:sz w:val="24"/>
        </w:rPr>
      </w:pPr>
      <w:r>
        <w:rPr>
          <w:i/>
          <w:sz w:val="24"/>
        </w:rPr>
        <w:t>Polyarticular Juvenile Idiopathic Arthritis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Neutrophils</w:t>
      </w:r>
    </w:p>
    <w:p w14:paraId="67FB55F2" w14:textId="77777777" w:rsidR="006C34D9" w:rsidRDefault="00CB5041">
      <w:pPr>
        <w:pStyle w:val="BodyText"/>
        <w:spacing w:before="34"/>
        <w:ind w:left="659" w:right="658"/>
        <w:jc w:val="both"/>
      </w:pPr>
      <w:r>
        <w:t>During routine laboratory monitoring in the Actemra all exposure population, a decrease in</w:t>
      </w:r>
      <w:r>
        <w:rPr>
          <w:spacing w:val="1"/>
        </w:rPr>
        <w:t xml:space="preserve"> </w:t>
      </w:r>
      <w:r>
        <w:t>neutrophil</w:t>
      </w:r>
      <w:r>
        <w:rPr>
          <w:spacing w:val="-7"/>
        </w:rPr>
        <w:t xml:space="preserve"> </w:t>
      </w:r>
      <w:r>
        <w:t>count</w:t>
      </w:r>
      <w:r>
        <w:rPr>
          <w:spacing w:val="-6"/>
        </w:rPr>
        <w:t xml:space="preserve"> </w:t>
      </w:r>
      <w:r>
        <w:t>below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×</w:t>
      </w:r>
      <w:r>
        <w:rPr>
          <w:spacing w:val="-6"/>
        </w:rPr>
        <w:t xml:space="preserve"> </w:t>
      </w:r>
      <w:r>
        <w:t>10</w:t>
      </w:r>
      <w:r>
        <w:rPr>
          <w:vertAlign w:val="superscript"/>
        </w:rPr>
        <w:t>9</w:t>
      </w:r>
      <w:r>
        <w:t>/L</w:t>
      </w:r>
      <w:r>
        <w:rPr>
          <w:spacing w:val="-7"/>
        </w:rPr>
        <w:t xml:space="preserve"> </w:t>
      </w:r>
      <w:r>
        <w:t>occurred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3.7%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patients.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relationship</w:t>
      </w:r>
      <w:r>
        <w:rPr>
          <w:spacing w:val="-58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decreases</w:t>
      </w:r>
      <w:r>
        <w:rPr>
          <w:spacing w:val="-2"/>
        </w:rPr>
        <w:t xml:space="preserve"> </w:t>
      </w:r>
      <w:r>
        <w:t>in neutrophils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1 x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9</w:t>
      </w:r>
      <w:r>
        <w:t>/L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occurrence of</w:t>
      </w:r>
      <w:r>
        <w:rPr>
          <w:spacing w:val="-2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infections.</w:t>
      </w:r>
    </w:p>
    <w:p w14:paraId="301D0FB0" w14:textId="77777777" w:rsidR="006C34D9" w:rsidRDefault="00CB5041">
      <w:pPr>
        <w:spacing w:before="242"/>
        <w:ind w:left="660"/>
        <w:rPr>
          <w:i/>
          <w:sz w:val="24"/>
        </w:rPr>
      </w:pPr>
      <w:r>
        <w:rPr>
          <w:i/>
          <w:sz w:val="24"/>
        </w:rPr>
        <w:t>Platelets</w:t>
      </w:r>
    </w:p>
    <w:p w14:paraId="65EFA68E" w14:textId="77777777" w:rsidR="006C34D9" w:rsidRDefault="00CB5041">
      <w:pPr>
        <w:pStyle w:val="BodyText"/>
        <w:spacing w:before="33"/>
        <w:ind w:right="658"/>
        <w:jc w:val="both"/>
      </w:pPr>
      <w:r>
        <w:t>During routine laboratory monitoring in the Actemra all exposure population, a decrease in</w:t>
      </w:r>
      <w:r>
        <w:rPr>
          <w:spacing w:val="1"/>
        </w:rPr>
        <w:t xml:space="preserve"> </w:t>
      </w:r>
      <w:r>
        <w:t>platelet count to ≤ 50 × 10</w:t>
      </w:r>
      <w:r>
        <w:rPr>
          <w:vertAlign w:val="superscript"/>
        </w:rPr>
        <w:t>3</w:t>
      </w:r>
      <w:r>
        <w:t>/</w:t>
      </w:r>
      <w:proofErr w:type="spellStart"/>
      <w:r>
        <w:t>μL</w:t>
      </w:r>
      <w:proofErr w:type="spellEnd"/>
      <w:r>
        <w:t xml:space="preserve"> occurred in 1% of patients treated with IV Actemra without</w:t>
      </w:r>
      <w:r>
        <w:rPr>
          <w:spacing w:val="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bleeding</w:t>
      </w:r>
      <w:r>
        <w:rPr>
          <w:spacing w:val="-2"/>
        </w:rPr>
        <w:t xml:space="preserve"> </w:t>
      </w:r>
      <w:r>
        <w:t>events and</w:t>
      </w:r>
      <w:r>
        <w:rPr>
          <w:spacing w:val="-1"/>
        </w:rPr>
        <w:t xml:space="preserve"> </w:t>
      </w:r>
      <w:r>
        <w:t>in no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treated with SC</w:t>
      </w:r>
      <w:r>
        <w:rPr>
          <w:spacing w:val="-2"/>
        </w:rPr>
        <w:t xml:space="preserve"> </w:t>
      </w:r>
      <w:r>
        <w:t>Actemra.</w:t>
      </w:r>
    </w:p>
    <w:p w14:paraId="35D58AB3" w14:textId="77777777" w:rsidR="006C34D9" w:rsidRDefault="00CB5041">
      <w:pPr>
        <w:spacing w:before="202"/>
        <w:ind w:left="660" w:right="6065"/>
        <w:jc w:val="both"/>
        <w:rPr>
          <w:i/>
          <w:sz w:val="24"/>
        </w:rPr>
      </w:pPr>
      <w:bookmarkStart w:id="83" w:name="Neutrophils"/>
      <w:bookmarkEnd w:id="83"/>
      <w:r>
        <w:rPr>
          <w:i/>
          <w:sz w:val="24"/>
        </w:rPr>
        <w:t>Systemic Juvenile Idiopathic Arthritis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Neutrophils</w:t>
      </w:r>
    </w:p>
    <w:p w14:paraId="5C36CB32" w14:textId="77777777" w:rsidR="006C34D9" w:rsidRDefault="00CB5041">
      <w:pPr>
        <w:pStyle w:val="BodyText"/>
        <w:spacing w:before="35"/>
        <w:ind w:right="657"/>
        <w:jc w:val="both"/>
      </w:pPr>
      <w:r>
        <w:t xml:space="preserve">During routine laboratory monitoring in the </w:t>
      </w:r>
      <w:proofErr w:type="gramStart"/>
      <w:r>
        <w:t>12 week</w:t>
      </w:r>
      <w:proofErr w:type="gramEnd"/>
      <w:r>
        <w:t xml:space="preserve"> controlled trial (Study WA18221), a</w:t>
      </w:r>
      <w:r>
        <w:rPr>
          <w:spacing w:val="1"/>
        </w:rPr>
        <w:t xml:space="preserve"> </w:t>
      </w:r>
      <w:r>
        <w:t>decrease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neutrophil</w:t>
      </w:r>
      <w:r>
        <w:rPr>
          <w:spacing w:val="-10"/>
        </w:rPr>
        <w:t xml:space="preserve"> </w:t>
      </w:r>
      <w:r>
        <w:t>counts</w:t>
      </w:r>
      <w:r>
        <w:rPr>
          <w:spacing w:val="-11"/>
        </w:rPr>
        <w:t xml:space="preserve"> </w:t>
      </w:r>
      <w:r>
        <w:t>below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×</w:t>
      </w:r>
      <w:r>
        <w:rPr>
          <w:spacing w:val="-11"/>
        </w:rPr>
        <w:t xml:space="preserve"> </w:t>
      </w:r>
      <w:r>
        <w:t>10</w:t>
      </w:r>
      <w:r>
        <w:rPr>
          <w:vertAlign w:val="superscript"/>
        </w:rPr>
        <w:t>9</w:t>
      </w:r>
      <w:r>
        <w:t>/L</w:t>
      </w:r>
      <w:r>
        <w:rPr>
          <w:spacing w:val="-10"/>
        </w:rPr>
        <w:t xml:space="preserve"> </w:t>
      </w:r>
      <w:r>
        <w:t>occurred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7%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Actemra</w:t>
      </w:r>
      <w:r>
        <w:rPr>
          <w:spacing w:val="-11"/>
        </w:rPr>
        <w:t xml:space="preserve"> </w:t>
      </w:r>
      <w:r>
        <w:t>group,</w:t>
      </w:r>
      <w:r>
        <w:rPr>
          <w:spacing w:val="-57"/>
        </w:rPr>
        <w:t xml:space="preserve"> </w:t>
      </w:r>
      <w:r>
        <w:t>and in none in the placebo group. In the open-label extension study (WA18221) decreases in</w:t>
      </w:r>
      <w:r>
        <w:rPr>
          <w:spacing w:val="1"/>
        </w:rPr>
        <w:t xml:space="preserve"> </w:t>
      </w:r>
      <w:r>
        <w:t>neutrophil</w:t>
      </w:r>
      <w:r>
        <w:rPr>
          <w:spacing w:val="-1"/>
        </w:rPr>
        <w:t xml:space="preserve"> </w:t>
      </w:r>
      <w:r>
        <w:t>counts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x 10</w:t>
      </w:r>
      <w:r>
        <w:rPr>
          <w:vertAlign w:val="superscript"/>
        </w:rPr>
        <w:t>9</w:t>
      </w:r>
      <w:r>
        <w:t>/L</w:t>
      </w:r>
      <w:r>
        <w:rPr>
          <w:spacing w:val="-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15% of</w:t>
      </w:r>
      <w:r>
        <w:rPr>
          <w:spacing w:val="-2"/>
        </w:rPr>
        <w:t xml:space="preserve"> </w:t>
      </w:r>
      <w:r>
        <w:t>patients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Actemra group.</w:t>
      </w:r>
    </w:p>
    <w:p w14:paraId="3D1E12A8" w14:textId="77777777" w:rsidR="006C34D9" w:rsidRDefault="006C34D9">
      <w:pPr>
        <w:pStyle w:val="BodyText"/>
        <w:ind w:left="0"/>
      </w:pPr>
    </w:p>
    <w:p w14:paraId="45BE9A89" w14:textId="77777777" w:rsidR="006C34D9" w:rsidRDefault="00CB5041">
      <w:pPr>
        <w:pStyle w:val="BodyText"/>
      </w:pPr>
      <w:r>
        <w:t>There</w:t>
      </w:r>
      <w:r>
        <w:rPr>
          <w:spacing w:val="29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clear</w:t>
      </w:r>
      <w:r>
        <w:rPr>
          <w:spacing w:val="28"/>
        </w:rPr>
        <w:t xml:space="preserve"> </w:t>
      </w:r>
      <w:r>
        <w:t>relationship</w:t>
      </w:r>
      <w:r>
        <w:rPr>
          <w:spacing w:val="30"/>
        </w:rPr>
        <w:t xml:space="preserve"> </w:t>
      </w:r>
      <w:r>
        <w:t>between</w:t>
      </w:r>
      <w:r>
        <w:rPr>
          <w:spacing w:val="30"/>
        </w:rPr>
        <w:t xml:space="preserve"> </w:t>
      </w:r>
      <w:r>
        <w:t>decreases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neutrophils</w:t>
      </w:r>
      <w:r>
        <w:rPr>
          <w:spacing w:val="29"/>
        </w:rPr>
        <w:t xml:space="preserve"> </w:t>
      </w:r>
      <w:r>
        <w:t>below</w:t>
      </w:r>
      <w:r>
        <w:rPr>
          <w:spacing w:val="28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x</w:t>
      </w:r>
      <w:r>
        <w:rPr>
          <w:spacing w:val="30"/>
        </w:rPr>
        <w:t xml:space="preserve"> </w:t>
      </w:r>
      <w:r>
        <w:t>10</w:t>
      </w:r>
      <w:r>
        <w:rPr>
          <w:vertAlign w:val="superscript"/>
        </w:rPr>
        <w:t>9</w:t>
      </w:r>
      <w:r>
        <w:t>/L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occurrence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serious infections.</w:t>
      </w:r>
    </w:p>
    <w:p w14:paraId="3C3B5C00" w14:textId="77777777" w:rsidR="006C34D9" w:rsidRDefault="006C34D9">
      <w:pPr>
        <w:pStyle w:val="BodyText"/>
        <w:ind w:left="0"/>
      </w:pPr>
    </w:p>
    <w:p w14:paraId="4C454ADC" w14:textId="77777777" w:rsidR="006C34D9" w:rsidRDefault="00CB5041">
      <w:pPr>
        <w:pStyle w:val="BodyText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52-week</w:t>
      </w:r>
      <w:r>
        <w:rPr>
          <w:spacing w:val="-6"/>
        </w:rPr>
        <w:t xml:space="preserve"> </w:t>
      </w:r>
      <w:r>
        <w:t>open-label</w:t>
      </w:r>
      <w:r>
        <w:rPr>
          <w:spacing w:val="-6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(Study</w:t>
      </w:r>
      <w:r>
        <w:rPr>
          <w:spacing w:val="-7"/>
        </w:rPr>
        <w:t xml:space="preserve"> </w:t>
      </w:r>
      <w:r>
        <w:t>WA28118),</w:t>
      </w:r>
      <w:r>
        <w:rPr>
          <w:spacing w:val="-7"/>
        </w:rPr>
        <w:t xml:space="preserve"> </w:t>
      </w:r>
      <w:r>
        <w:t>neutrophil</w:t>
      </w:r>
      <w:r>
        <w:rPr>
          <w:spacing w:val="-7"/>
        </w:rPr>
        <w:t xml:space="preserve"> </w:t>
      </w:r>
      <w:r>
        <w:t>count</w:t>
      </w:r>
      <w:r>
        <w:rPr>
          <w:spacing w:val="-6"/>
        </w:rPr>
        <w:t xml:space="preserve"> </w:t>
      </w:r>
      <w:r>
        <w:t>decreases</w:t>
      </w:r>
      <w:r>
        <w:rPr>
          <w:spacing w:val="-6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×</w:t>
      </w:r>
      <w:r>
        <w:rPr>
          <w:spacing w:val="-8"/>
        </w:rPr>
        <w:t xml:space="preserve"> </w:t>
      </w:r>
      <w:r>
        <w:t>10</w:t>
      </w:r>
      <w:r>
        <w:rPr>
          <w:vertAlign w:val="superscript"/>
        </w:rPr>
        <w:t>9</w:t>
      </w:r>
      <w:r>
        <w:t>/L</w:t>
      </w:r>
      <w:r>
        <w:rPr>
          <w:spacing w:val="-57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23.5% of</w:t>
      </w:r>
      <w:r>
        <w:rPr>
          <w:spacing w:val="-1"/>
        </w:rPr>
        <w:t xml:space="preserve"> </w:t>
      </w:r>
      <w:r>
        <w:t>patients treated with</w:t>
      </w:r>
      <w:r>
        <w:rPr>
          <w:spacing w:val="-1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Actemra.</w:t>
      </w:r>
    </w:p>
    <w:p w14:paraId="1955B21D" w14:textId="77777777" w:rsidR="006C34D9" w:rsidRDefault="006C34D9">
      <w:pPr>
        <w:pStyle w:val="BodyText"/>
        <w:ind w:left="0"/>
        <w:rPr>
          <w:sz w:val="21"/>
        </w:rPr>
      </w:pPr>
    </w:p>
    <w:p w14:paraId="079ED45C" w14:textId="77777777" w:rsidR="006C34D9" w:rsidRDefault="00CB5041">
      <w:pPr>
        <w:ind w:left="660"/>
        <w:rPr>
          <w:i/>
          <w:sz w:val="24"/>
        </w:rPr>
      </w:pPr>
      <w:bookmarkStart w:id="84" w:name="Platelets"/>
      <w:bookmarkEnd w:id="84"/>
      <w:r>
        <w:rPr>
          <w:i/>
          <w:sz w:val="24"/>
        </w:rPr>
        <w:t>Platelets</w:t>
      </w:r>
    </w:p>
    <w:p w14:paraId="73458E62" w14:textId="77777777" w:rsidR="006C34D9" w:rsidRDefault="00CB5041">
      <w:pPr>
        <w:pStyle w:val="BodyText"/>
        <w:spacing w:before="33"/>
        <w:ind w:right="657"/>
        <w:jc w:val="both"/>
      </w:pPr>
      <w:r>
        <w:t>During</w:t>
      </w:r>
      <w:r>
        <w:rPr>
          <w:spacing w:val="-6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12</w:t>
      </w:r>
      <w:r>
        <w:rPr>
          <w:spacing w:val="-7"/>
        </w:rPr>
        <w:t xml:space="preserve"> </w:t>
      </w:r>
      <w:r>
        <w:t>week</w:t>
      </w:r>
      <w:proofErr w:type="gramEnd"/>
      <w:r>
        <w:rPr>
          <w:spacing w:val="-5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trial</w:t>
      </w:r>
      <w:r>
        <w:rPr>
          <w:spacing w:val="-5"/>
        </w:rPr>
        <w:t xml:space="preserve"> </w:t>
      </w:r>
      <w:r>
        <w:t>(Study</w:t>
      </w:r>
      <w:r>
        <w:rPr>
          <w:spacing w:val="-6"/>
        </w:rPr>
        <w:t xml:space="preserve"> </w:t>
      </w:r>
      <w:r>
        <w:t>WA18221),</w:t>
      </w:r>
      <w:r>
        <w:rPr>
          <w:spacing w:val="-5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placebo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1%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Actemra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decrease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platelet</w:t>
      </w:r>
      <w:r>
        <w:rPr>
          <w:spacing w:val="-2"/>
        </w:rPr>
        <w:t xml:space="preserve"> </w:t>
      </w:r>
      <w:r>
        <w:t>count</w:t>
      </w:r>
      <w:r>
        <w:rPr>
          <w:spacing w:val="-5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≤</w:t>
      </w:r>
      <w:r>
        <w:rPr>
          <w:spacing w:val="6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t>×</w:t>
      </w:r>
      <w:r>
        <w:rPr>
          <w:spacing w:val="6"/>
        </w:rPr>
        <w:t xml:space="preserve"> </w:t>
      </w:r>
      <w:r>
        <w:t>10</w:t>
      </w:r>
      <w:r>
        <w:rPr>
          <w:vertAlign w:val="superscript"/>
        </w:rPr>
        <w:t>3</w:t>
      </w:r>
      <w:r>
        <w:t>/</w:t>
      </w:r>
      <w:proofErr w:type="spellStart"/>
      <w:r>
        <w:t>μL</w:t>
      </w:r>
      <w:proofErr w:type="spellEnd"/>
      <w:r>
        <w:t>.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open-label</w:t>
      </w:r>
      <w:r>
        <w:rPr>
          <w:spacing w:val="6"/>
        </w:rPr>
        <w:t xml:space="preserve"> </w:t>
      </w:r>
      <w:r>
        <w:t>extension</w:t>
      </w:r>
      <w:r>
        <w:rPr>
          <w:spacing w:val="6"/>
        </w:rPr>
        <w:t xml:space="preserve"> </w:t>
      </w:r>
      <w:r>
        <w:t>study</w:t>
      </w:r>
      <w:r>
        <w:rPr>
          <w:spacing w:val="6"/>
        </w:rPr>
        <w:t xml:space="preserve"> </w:t>
      </w:r>
      <w:r>
        <w:t>(WA18221)</w:t>
      </w:r>
      <w:r>
        <w:rPr>
          <w:spacing w:val="6"/>
        </w:rPr>
        <w:t xml:space="preserve"> </w:t>
      </w:r>
      <w:r>
        <w:t>decreases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platelet</w:t>
      </w:r>
      <w:r>
        <w:rPr>
          <w:spacing w:val="5"/>
        </w:rPr>
        <w:t xml:space="preserve"> </w:t>
      </w:r>
      <w:r>
        <w:t>counts</w:t>
      </w:r>
    </w:p>
    <w:p w14:paraId="4E7431F3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5AAD03ED" w14:textId="77777777" w:rsidR="006C34D9" w:rsidRDefault="00CB5041">
      <w:pPr>
        <w:pStyle w:val="BodyText"/>
        <w:spacing w:before="79"/>
      </w:pPr>
      <w:r>
        <w:lastRenderedPageBreak/>
        <w:t>below</w:t>
      </w:r>
      <w:r>
        <w:rPr>
          <w:spacing w:val="11"/>
        </w:rPr>
        <w:t xml:space="preserve"> </w:t>
      </w:r>
      <w:r>
        <w:t>100</w:t>
      </w:r>
      <w:r>
        <w:rPr>
          <w:spacing w:val="13"/>
        </w:rPr>
        <w:t xml:space="preserve"> </w:t>
      </w:r>
      <w:r>
        <w:t>x</w:t>
      </w:r>
      <w:r>
        <w:rPr>
          <w:spacing w:val="13"/>
        </w:rPr>
        <w:t xml:space="preserve"> </w:t>
      </w:r>
      <w:r>
        <w:t>10</w:t>
      </w:r>
      <w:r>
        <w:rPr>
          <w:vertAlign w:val="superscript"/>
        </w:rPr>
        <w:t>3</w:t>
      </w:r>
      <w:r>
        <w:t>/</w:t>
      </w:r>
      <w:proofErr w:type="spellStart"/>
      <w:r>
        <w:t>μL</w:t>
      </w:r>
      <w:proofErr w:type="spellEnd"/>
      <w:r>
        <w:rPr>
          <w:spacing w:val="13"/>
        </w:rPr>
        <w:t xml:space="preserve"> </w:t>
      </w:r>
      <w:r>
        <w:t>occurred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3%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patients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IV</w:t>
      </w:r>
      <w:r>
        <w:rPr>
          <w:spacing w:val="12"/>
        </w:rPr>
        <w:t xml:space="preserve"> </w:t>
      </w:r>
      <w:r>
        <w:t>Actemra</w:t>
      </w:r>
      <w:r>
        <w:rPr>
          <w:spacing w:val="13"/>
        </w:rPr>
        <w:t xml:space="preserve"> </w:t>
      </w:r>
      <w:r>
        <w:t>group,</w:t>
      </w:r>
      <w:r>
        <w:rPr>
          <w:spacing w:val="12"/>
        </w:rPr>
        <w:t xml:space="preserve"> </w:t>
      </w:r>
      <w:r>
        <w:t>without</w:t>
      </w:r>
      <w:r>
        <w:rPr>
          <w:spacing w:val="13"/>
        </w:rPr>
        <w:t xml:space="preserve"> </w:t>
      </w:r>
      <w:r>
        <w:t>associated</w:t>
      </w:r>
      <w:r>
        <w:rPr>
          <w:spacing w:val="-57"/>
        </w:rPr>
        <w:t xml:space="preserve"> </w:t>
      </w:r>
      <w:r>
        <w:t>bleeding</w:t>
      </w:r>
      <w:r>
        <w:rPr>
          <w:spacing w:val="-2"/>
        </w:rPr>
        <w:t xml:space="preserve"> </w:t>
      </w:r>
      <w:r>
        <w:t>events.</w:t>
      </w:r>
    </w:p>
    <w:p w14:paraId="3A7C9455" w14:textId="77777777" w:rsidR="006C34D9" w:rsidRDefault="006C34D9">
      <w:pPr>
        <w:pStyle w:val="BodyText"/>
        <w:ind w:left="0"/>
      </w:pPr>
    </w:p>
    <w:p w14:paraId="585356AC" w14:textId="77777777" w:rsidR="006C34D9" w:rsidRDefault="00CB5041">
      <w:pPr>
        <w:pStyle w:val="BodyText"/>
        <w:ind w:right="596"/>
      </w:pP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52-week</w:t>
      </w:r>
      <w:r>
        <w:rPr>
          <w:spacing w:val="17"/>
        </w:rPr>
        <w:t xml:space="preserve"> </w:t>
      </w:r>
      <w:r>
        <w:t>open-label</w:t>
      </w:r>
      <w:r>
        <w:rPr>
          <w:spacing w:val="15"/>
        </w:rPr>
        <w:t xml:space="preserve"> </w:t>
      </w:r>
      <w:r>
        <w:t>trial</w:t>
      </w:r>
      <w:r>
        <w:rPr>
          <w:spacing w:val="16"/>
        </w:rPr>
        <w:t xml:space="preserve"> </w:t>
      </w:r>
      <w:r>
        <w:t>(Study</w:t>
      </w:r>
      <w:r>
        <w:rPr>
          <w:spacing w:val="16"/>
        </w:rPr>
        <w:t xml:space="preserve"> </w:t>
      </w:r>
      <w:r>
        <w:t>WA28118),</w:t>
      </w:r>
      <w:r>
        <w:rPr>
          <w:spacing w:val="17"/>
        </w:rPr>
        <w:t xml:space="preserve"> </w:t>
      </w:r>
      <w:r>
        <w:t>decreases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platelet</w:t>
      </w:r>
      <w:r>
        <w:rPr>
          <w:spacing w:val="16"/>
        </w:rPr>
        <w:t xml:space="preserve"> </w:t>
      </w:r>
      <w:r>
        <w:t>counts</w:t>
      </w:r>
      <w:r>
        <w:rPr>
          <w:spacing w:val="17"/>
        </w:rPr>
        <w:t xml:space="preserve"> </w:t>
      </w:r>
      <w:r>
        <w:t>below</w:t>
      </w:r>
      <w:r>
        <w:rPr>
          <w:spacing w:val="15"/>
        </w:rPr>
        <w:t xml:space="preserve"> </w:t>
      </w:r>
      <w:r>
        <w:t>100</w:t>
      </w:r>
      <w:r>
        <w:rPr>
          <w:spacing w:val="17"/>
        </w:rPr>
        <w:t xml:space="preserve"> </w:t>
      </w:r>
      <w:r>
        <w:t>×</w:t>
      </w:r>
      <w:r>
        <w:rPr>
          <w:spacing w:val="-57"/>
        </w:rPr>
        <w:t xml:space="preserve"> </w:t>
      </w:r>
      <w:r>
        <w:t>10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/</w:t>
      </w:r>
      <w:proofErr w:type="spellStart"/>
      <w:r>
        <w:t>μL</w:t>
      </w:r>
      <w:proofErr w:type="spellEnd"/>
      <w:r>
        <w:rPr>
          <w:spacing w:val="-1"/>
        </w:rPr>
        <w:t xml:space="preserve"> </w:t>
      </w:r>
      <w:r>
        <w:t>occurred in 2%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treated with SC</w:t>
      </w:r>
      <w:r>
        <w:rPr>
          <w:spacing w:val="-1"/>
        </w:rPr>
        <w:t xml:space="preserve"> </w:t>
      </w:r>
      <w:r>
        <w:t>Actemra.</w:t>
      </w:r>
    </w:p>
    <w:p w14:paraId="1030DD81" w14:textId="77777777" w:rsidR="006C34D9" w:rsidRDefault="00CB5041">
      <w:pPr>
        <w:spacing w:before="201"/>
        <w:ind w:left="660" w:right="7030"/>
        <w:rPr>
          <w:i/>
          <w:sz w:val="24"/>
        </w:rPr>
      </w:pPr>
      <w:bookmarkStart w:id="85" w:name="Liver_enzyme_elevations"/>
      <w:bookmarkEnd w:id="85"/>
      <w:r>
        <w:rPr>
          <w:sz w:val="24"/>
          <w:u w:val="single"/>
        </w:rPr>
        <w:t>Liver enzyme elevations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Rheumatoid Arthritis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Intravenous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Administration</w:t>
      </w:r>
    </w:p>
    <w:p w14:paraId="3DAE493F" w14:textId="77777777" w:rsidR="006C34D9" w:rsidRDefault="00CB5041">
      <w:pPr>
        <w:pStyle w:val="BodyText"/>
        <w:spacing w:before="35"/>
        <w:ind w:right="656"/>
        <w:jc w:val="both"/>
      </w:pPr>
      <w:r>
        <w:t>During the 6 month controlled trials transient elevations in ALT (alanine transaminase)/AST</w:t>
      </w:r>
      <w:r>
        <w:rPr>
          <w:spacing w:val="1"/>
        </w:rPr>
        <w:t xml:space="preserve"> </w:t>
      </w:r>
      <w:r>
        <w:rPr>
          <w:spacing w:val="-1"/>
        </w:rPr>
        <w:t>(aspartate</w:t>
      </w:r>
      <w:r>
        <w:rPr>
          <w:spacing w:val="-14"/>
        </w:rPr>
        <w:t xml:space="preserve"> </w:t>
      </w:r>
      <w:r>
        <w:t>transaminase)</w:t>
      </w:r>
      <w:r>
        <w:rPr>
          <w:spacing w:val="-15"/>
        </w:rPr>
        <w:t xml:space="preserve"> </w:t>
      </w:r>
      <w:r>
        <w:t>&gt;</w:t>
      </w:r>
      <w:r>
        <w:rPr>
          <w:spacing w:val="-13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x</w:t>
      </w:r>
      <w:r>
        <w:rPr>
          <w:spacing w:val="-15"/>
        </w:rPr>
        <w:t xml:space="preserve"> </w:t>
      </w:r>
      <w:r>
        <w:t>ULN</w:t>
      </w:r>
      <w:r>
        <w:rPr>
          <w:spacing w:val="-14"/>
        </w:rPr>
        <w:t xml:space="preserve"> </w:t>
      </w:r>
      <w:r>
        <w:t>(Upper</w:t>
      </w:r>
      <w:r>
        <w:rPr>
          <w:spacing w:val="-14"/>
        </w:rPr>
        <w:t xml:space="preserve"> </w:t>
      </w:r>
      <w:r>
        <w:t>Limit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Normal)</w:t>
      </w:r>
      <w:r>
        <w:rPr>
          <w:spacing w:val="-14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observed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2.1%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patients</w:t>
      </w:r>
      <w:r>
        <w:rPr>
          <w:spacing w:val="-58"/>
        </w:rPr>
        <w:t xml:space="preserve"> </w:t>
      </w:r>
      <w:r>
        <w:t>on Actemra 8 mg/kg compared to 4.9% of patients on MTX, and in 6.5% of patients who</w:t>
      </w:r>
      <w:r>
        <w:rPr>
          <w:spacing w:val="1"/>
        </w:rPr>
        <w:t xml:space="preserve"> </w:t>
      </w:r>
      <w:r>
        <w:t>received Actemra 8 mg/kg + DMARD compared to 1.5% of patients on placebo + DMARD.</w:t>
      </w:r>
      <w:r>
        <w:rPr>
          <w:spacing w:val="1"/>
        </w:rPr>
        <w:t xml:space="preserve"> </w:t>
      </w:r>
      <w:r>
        <w:t>The addition of potentially hepatotoxic drugs (for example MTX) to Actemra monotherapy</w:t>
      </w:r>
      <w:r>
        <w:rPr>
          <w:spacing w:val="1"/>
        </w:rPr>
        <w:t xml:space="preserve"> </w:t>
      </w:r>
      <w:r>
        <w:t>resulted in increased frequency of these elevations. Elevations of ALT/AST &gt; 5x ULN were</w:t>
      </w:r>
      <w:r>
        <w:rPr>
          <w:spacing w:val="1"/>
        </w:rPr>
        <w:t xml:space="preserve"> </w:t>
      </w:r>
      <w:r>
        <w:t>observed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0.7%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Actemra</w:t>
      </w:r>
      <w:r>
        <w:rPr>
          <w:spacing w:val="-5"/>
        </w:rPr>
        <w:t xml:space="preserve"> </w:t>
      </w:r>
      <w:r>
        <w:t>monotherapy</w:t>
      </w:r>
      <w:r>
        <w:rPr>
          <w:spacing w:val="-5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1.4%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Actemra</w:t>
      </w:r>
      <w:r>
        <w:rPr>
          <w:spacing w:val="-5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DMARD</w:t>
      </w:r>
      <w:r>
        <w:rPr>
          <w:spacing w:val="-6"/>
        </w:rPr>
        <w:t xml:space="preserve"> </w:t>
      </w:r>
      <w:r>
        <w:t>patients,</w:t>
      </w:r>
      <w:r>
        <w:rPr>
          <w:spacing w:val="-58"/>
        </w:rPr>
        <w:t xml:space="preserve"> </w:t>
      </w:r>
      <w:r>
        <w:t>the majority of whom were discontinued from Actemra treatment. During routine laboratory</w:t>
      </w:r>
      <w:r>
        <w:rPr>
          <w:spacing w:val="1"/>
        </w:rPr>
        <w:t xml:space="preserve"> </w:t>
      </w:r>
      <w:r>
        <w:t>monitoring, the incidence of indirect bilirubin &gt; ULN is 6.2% in patients treated with 8 mg/kg</w:t>
      </w:r>
      <w:r>
        <w:rPr>
          <w:spacing w:val="-58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+ DMARD</w:t>
      </w:r>
      <w:r>
        <w:rPr>
          <w:spacing w:val="-1"/>
        </w:rPr>
        <w:t xml:space="preserve"> </w:t>
      </w:r>
      <w:r>
        <w:t xml:space="preserve">in the </w:t>
      </w:r>
      <w:r>
        <w:rPr>
          <w:i/>
        </w:rPr>
        <w:t xml:space="preserve">all control </w:t>
      </w:r>
      <w:r>
        <w:t>population.</w:t>
      </w:r>
    </w:p>
    <w:p w14:paraId="623CD63E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52F3F8FD" w14:textId="77777777" w:rsidR="006C34D9" w:rsidRDefault="00CB5041">
      <w:pPr>
        <w:pStyle w:val="BodyText"/>
        <w:ind w:right="658"/>
        <w:jc w:val="both"/>
      </w:pPr>
      <w:r>
        <w:t>In the all control and all exposure population, the pattern and incidence of elevations in</w:t>
      </w:r>
      <w:r>
        <w:rPr>
          <w:spacing w:val="1"/>
        </w:rPr>
        <w:t xml:space="preserve"> </w:t>
      </w:r>
      <w:r>
        <w:t>ALT/AST</w:t>
      </w:r>
      <w:r>
        <w:rPr>
          <w:spacing w:val="-3"/>
        </w:rPr>
        <w:t xml:space="preserve"> </w:t>
      </w:r>
      <w:r>
        <w:t>remained</w:t>
      </w:r>
      <w:r>
        <w:rPr>
          <w:spacing w:val="-1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6</w:t>
      </w:r>
      <w:r>
        <w:rPr>
          <w:spacing w:val="-3"/>
        </w:rPr>
        <w:t xml:space="preserve"> </w:t>
      </w:r>
      <w:r>
        <w:t>month</w:t>
      </w:r>
      <w:proofErr w:type="gramEnd"/>
      <w:r>
        <w:rPr>
          <w:spacing w:val="-1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trials.</w:t>
      </w:r>
    </w:p>
    <w:p w14:paraId="74A3F466" w14:textId="77777777" w:rsidR="006C34D9" w:rsidRDefault="00CB5041">
      <w:pPr>
        <w:pStyle w:val="BodyText"/>
        <w:spacing w:before="4" w:line="242" w:lineRule="auto"/>
        <w:ind w:left="659" w:right="657"/>
        <w:jc w:val="both"/>
      </w:pPr>
      <w:r>
        <w:t>In Study VIII (FUNCTION), MTX-naïve adult patients with moderate to severe, active early</w:t>
      </w:r>
      <w:r>
        <w:rPr>
          <w:spacing w:val="1"/>
        </w:rPr>
        <w:t xml:space="preserve"> </w:t>
      </w:r>
      <w:r>
        <w:t>RA (mean disease duration ≤ 6 months) experienced more transient elevations in ALT &gt; 3 x</w:t>
      </w:r>
      <w:r>
        <w:rPr>
          <w:spacing w:val="1"/>
        </w:rPr>
        <w:t xml:space="preserve"> </w:t>
      </w:r>
      <w:r>
        <w:t>ULN compared with the all control population. Transient elevations in ALT &gt; 3 to 5 x ULN</w:t>
      </w:r>
      <w:r>
        <w:rPr>
          <w:spacing w:val="1"/>
        </w:rPr>
        <w:t xml:space="preserve"> </w:t>
      </w:r>
      <w:r>
        <w:t>were observed in 6.6% of patients on Actemra 4 mg/kg + MTX, 9.7% of patients on Actemra</w:t>
      </w:r>
      <w:r>
        <w:rPr>
          <w:spacing w:val="1"/>
        </w:rPr>
        <w:t xml:space="preserve"> </w:t>
      </w:r>
      <w:r>
        <w:t>8mg/kg + MTX compared to 3.4% of patients on Actemra 8 mg/kg + placebo and 3.9% of</w:t>
      </w:r>
      <w:r>
        <w:rPr>
          <w:spacing w:val="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MTX</w:t>
      </w:r>
      <w:r>
        <w:rPr>
          <w:spacing w:val="-1"/>
        </w:rPr>
        <w:t xml:space="preserve"> </w:t>
      </w:r>
      <w:r>
        <w:t>+ placebo.</w:t>
      </w:r>
    </w:p>
    <w:p w14:paraId="50E3DBDF" w14:textId="77777777" w:rsidR="006C34D9" w:rsidRDefault="00CB5041">
      <w:pPr>
        <w:pStyle w:val="BodyText"/>
        <w:spacing w:before="178" w:line="242" w:lineRule="auto"/>
        <w:ind w:left="659" w:right="657"/>
        <w:jc w:val="both"/>
      </w:pPr>
      <w:r>
        <w:t>In Study WA25204 (ENTRACTE), of the 1538 patients with moderate to severe RA (see</w:t>
      </w:r>
      <w:r>
        <w:rPr>
          <w:spacing w:val="1"/>
        </w:rPr>
        <w:t xml:space="preserve"> </w:t>
      </w:r>
      <w:r>
        <w:t>Section 5.1 Clinical trials) and treated with Actemra, elevations in ALT or AST &gt;3 x ULN</w:t>
      </w:r>
      <w:r>
        <w:rPr>
          <w:spacing w:val="1"/>
        </w:rPr>
        <w:t xml:space="preserve"> </w:t>
      </w:r>
      <w:r>
        <w:t>occurred in 5.3% and 2.2% patients, respectively. One serious event of drug induced hepatitis</w:t>
      </w:r>
      <w:r>
        <w:rPr>
          <w:spacing w:val="-57"/>
        </w:rPr>
        <w:t xml:space="preserve"> </w:t>
      </w:r>
      <w:r>
        <w:t>with hyperbilirubinemia was reported in association with Actemra treatment (see section 4.4</w:t>
      </w:r>
      <w:r>
        <w:rPr>
          <w:spacing w:val="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warnings and precautions for use).</w:t>
      </w:r>
    </w:p>
    <w:p w14:paraId="5076ECBA" w14:textId="77777777" w:rsidR="006C34D9" w:rsidRDefault="00CB5041">
      <w:pPr>
        <w:spacing w:before="173"/>
        <w:ind w:left="660"/>
        <w:jc w:val="both"/>
        <w:rPr>
          <w:i/>
          <w:sz w:val="24"/>
        </w:rPr>
      </w:pPr>
      <w:r>
        <w:rPr>
          <w:i/>
          <w:sz w:val="24"/>
        </w:rPr>
        <w:t>Subcutaneous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Administration</w:t>
      </w:r>
    </w:p>
    <w:p w14:paraId="7D6478ED" w14:textId="77777777" w:rsidR="006C34D9" w:rsidRDefault="00CB5041">
      <w:pPr>
        <w:pStyle w:val="BodyText"/>
        <w:spacing w:before="35"/>
        <w:ind w:left="659" w:right="658"/>
        <w:jc w:val="both"/>
      </w:pPr>
      <w:r>
        <w:t>During</w:t>
      </w:r>
      <w:r>
        <w:rPr>
          <w:spacing w:val="1"/>
        </w:rPr>
        <w:t xml:space="preserve"> </w:t>
      </w:r>
      <w:r>
        <w:t>routine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6-month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SUMMACTA, elevation in ALT or AST ≥ 3 x ULN occurred in 6.5% and 1.4% of patients,</w:t>
      </w:r>
      <w:r>
        <w:rPr>
          <w:spacing w:val="1"/>
        </w:rPr>
        <w:t xml:space="preserve"> </w:t>
      </w:r>
      <w:r>
        <w:t>respectively on the SC weekly dose. In the 6-month controlled period of BREVACTA,</w:t>
      </w:r>
      <w:r>
        <w:rPr>
          <w:spacing w:val="1"/>
        </w:rPr>
        <w:t xml:space="preserve"> </w:t>
      </w:r>
      <w:r>
        <w:t>elevation in ALT or AST ≥ 3 x ULN occurred in 3.4% and 0.7% of patients, respectively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every other week dose.</w:t>
      </w:r>
    </w:p>
    <w:p w14:paraId="128028BE" w14:textId="77777777" w:rsidR="006C34D9" w:rsidRDefault="00CB5041">
      <w:pPr>
        <w:spacing w:before="200" w:line="275" w:lineRule="exact"/>
        <w:ind w:left="659"/>
        <w:jc w:val="both"/>
        <w:rPr>
          <w:i/>
          <w:sz w:val="24"/>
        </w:rPr>
      </w:pPr>
      <w:r>
        <w:rPr>
          <w:i/>
          <w:sz w:val="24"/>
        </w:rPr>
        <w:t>Giant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Arteritis</w:t>
      </w:r>
    </w:p>
    <w:p w14:paraId="59A7B240" w14:textId="77777777" w:rsidR="006C34D9" w:rsidRDefault="00CB5041">
      <w:pPr>
        <w:pStyle w:val="BodyText"/>
        <w:ind w:left="659" w:right="657"/>
        <w:jc w:val="both"/>
      </w:pPr>
      <w:r>
        <w:t>During</w:t>
      </w:r>
      <w:r>
        <w:rPr>
          <w:spacing w:val="1"/>
        </w:rPr>
        <w:t xml:space="preserve"> </w:t>
      </w:r>
      <w:r>
        <w:t>routine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12-month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blind,</w:t>
      </w:r>
      <w:r>
        <w:rPr>
          <w:spacing w:val="1"/>
        </w:rPr>
        <w:t xml:space="preserve"> </w:t>
      </w:r>
      <w:r>
        <w:t>placebo-</w:t>
      </w:r>
      <w:r>
        <w:rPr>
          <w:spacing w:val="1"/>
        </w:rPr>
        <w:t xml:space="preserve"> </w:t>
      </w:r>
      <w:r>
        <w:rPr>
          <w:spacing w:val="-1"/>
        </w:rPr>
        <w:t>controlled</w:t>
      </w:r>
      <w:r>
        <w:rPr>
          <w:spacing w:val="-15"/>
        </w:rPr>
        <w:t xml:space="preserve"> </w:t>
      </w:r>
      <w:r>
        <w:rPr>
          <w:spacing w:val="-1"/>
        </w:rPr>
        <w:t>phase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Study</w:t>
      </w:r>
      <w:r>
        <w:rPr>
          <w:spacing w:val="-15"/>
        </w:rPr>
        <w:t xml:space="preserve"> </w:t>
      </w:r>
      <w:r>
        <w:rPr>
          <w:spacing w:val="-1"/>
        </w:rPr>
        <w:t>X</w:t>
      </w:r>
      <w:r>
        <w:rPr>
          <w:spacing w:val="-15"/>
        </w:rPr>
        <w:t xml:space="preserve"> </w:t>
      </w:r>
      <w:r>
        <w:t>(</w:t>
      </w:r>
      <w:proofErr w:type="spellStart"/>
      <w:r>
        <w:t>GiACTA</w:t>
      </w:r>
      <w:proofErr w:type="spellEnd"/>
      <w:r>
        <w:t>),</w:t>
      </w:r>
      <w:r>
        <w:rPr>
          <w:spacing w:val="-15"/>
        </w:rPr>
        <w:t xml:space="preserve"> </w:t>
      </w:r>
      <w:r>
        <w:t>elevation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ALT</w:t>
      </w:r>
      <w:r>
        <w:rPr>
          <w:spacing w:val="-15"/>
        </w:rPr>
        <w:t xml:space="preserve"> </w:t>
      </w:r>
      <w:r>
        <w:t>≥</w:t>
      </w:r>
      <w:r>
        <w:rPr>
          <w:spacing w:val="-15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x</w:t>
      </w:r>
      <w:r>
        <w:rPr>
          <w:spacing w:val="-15"/>
        </w:rPr>
        <w:t xml:space="preserve"> </w:t>
      </w:r>
      <w:r>
        <w:t>ULN</w:t>
      </w:r>
      <w:r>
        <w:rPr>
          <w:spacing w:val="-15"/>
        </w:rPr>
        <w:t xml:space="preserve"> </w:t>
      </w:r>
      <w:r>
        <w:t>occurred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3%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patients</w:t>
      </w:r>
      <w:r>
        <w:rPr>
          <w:spacing w:val="-57"/>
        </w:rPr>
        <w:t xml:space="preserve"> </w:t>
      </w:r>
      <w:r>
        <w:t>in the Actemra weekly group compared to 2% in the placebo plus 52 week prednisone taper</w:t>
      </w:r>
      <w:r>
        <w:rPr>
          <w:spacing w:val="1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placebo</w:t>
      </w:r>
      <w:r>
        <w:rPr>
          <w:spacing w:val="-5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prednisone</w:t>
      </w:r>
      <w:r>
        <w:rPr>
          <w:spacing w:val="-5"/>
        </w:rPr>
        <w:t xml:space="preserve"> </w:t>
      </w:r>
      <w:r>
        <w:t>taper</w:t>
      </w:r>
      <w:r>
        <w:rPr>
          <w:spacing w:val="-4"/>
        </w:rPr>
        <w:t xml:space="preserve"> </w:t>
      </w:r>
      <w:r>
        <w:t>group.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elevation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AST</w:t>
      </w:r>
      <w:r>
        <w:rPr>
          <w:spacing w:val="-5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3</w:t>
      </w:r>
      <w:r>
        <w:rPr>
          <w:spacing w:val="-58"/>
        </w:rPr>
        <w:t xml:space="preserve"> </w:t>
      </w:r>
      <w:r>
        <w:t>x ULN occurred in 1% of patients in the Actemra weekly group, compared to no patients in</w:t>
      </w:r>
      <w:r>
        <w:rPr>
          <w:spacing w:val="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placebo plus</w:t>
      </w:r>
      <w:r>
        <w:rPr>
          <w:spacing w:val="-1"/>
        </w:rPr>
        <w:t xml:space="preserve"> </w:t>
      </w:r>
      <w:r>
        <w:t>prednisone</w:t>
      </w:r>
      <w:r>
        <w:rPr>
          <w:spacing w:val="-1"/>
        </w:rPr>
        <w:t xml:space="preserve"> </w:t>
      </w:r>
      <w:r>
        <w:t>taper groups.</w:t>
      </w:r>
    </w:p>
    <w:p w14:paraId="116E280E" w14:textId="77777777" w:rsidR="006C34D9" w:rsidRDefault="00CB5041">
      <w:pPr>
        <w:spacing w:before="202"/>
        <w:ind w:left="659"/>
        <w:jc w:val="both"/>
        <w:rPr>
          <w:i/>
          <w:sz w:val="24"/>
        </w:rPr>
      </w:pPr>
      <w:r>
        <w:rPr>
          <w:i/>
          <w:sz w:val="24"/>
        </w:rPr>
        <w:t>Polyarticular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Juvenile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Idiopathic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Arthritis</w:t>
      </w:r>
    </w:p>
    <w:p w14:paraId="4A035CA7" w14:textId="77777777" w:rsidR="006C34D9" w:rsidRDefault="006C34D9">
      <w:pPr>
        <w:jc w:val="both"/>
        <w:rPr>
          <w:sz w:val="24"/>
        </w:r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7E065C04" w14:textId="77777777" w:rsidR="006C34D9" w:rsidRDefault="00CB5041">
      <w:pPr>
        <w:pStyle w:val="BodyText"/>
        <w:spacing w:before="79"/>
        <w:ind w:right="659"/>
        <w:jc w:val="both"/>
      </w:pPr>
      <w:r>
        <w:lastRenderedPageBreak/>
        <w:t>During</w:t>
      </w:r>
      <w:r>
        <w:rPr>
          <w:spacing w:val="-14"/>
        </w:rPr>
        <w:t xml:space="preserve"> </w:t>
      </w:r>
      <w:r>
        <w:t>routine</w:t>
      </w:r>
      <w:r>
        <w:rPr>
          <w:spacing w:val="-13"/>
        </w:rPr>
        <w:t xml:space="preserve"> </w:t>
      </w:r>
      <w:r>
        <w:t>laboratory</w:t>
      </w:r>
      <w:r>
        <w:rPr>
          <w:spacing w:val="-13"/>
        </w:rPr>
        <w:t xml:space="preserve"> </w:t>
      </w:r>
      <w:r>
        <w:t>monitoring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exposure</w:t>
      </w:r>
      <w:r>
        <w:rPr>
          <w:spacing w:val="-14"/>
        </w:rPr>
        <w:t xml:space="preserve"> </w:t>
      </w:r>
      <w:r>
        <w:t>population,</w:t>
      </w:r>
      <w:r>
        <w:rPr>
          <w:spacing w:val="-13"/>
        </w:rPr>
        <w:t xml:space="preserve"> </w:t>
      </w:r>
      <w:r>
        <w:t>elevation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ALT</w:t>
      </w:r>
      <w:r>
        <w:rPr>
          <w:spacing w:val="-5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AST</w:t>
      </w:r>
      <w:r>
        <w:rPr>
          <w:spacing w:val="-6"/>
        </w:rPr>
        <w:t xml:space="preserve"> </w:t>
      </w:r>
      <w:r>
        <w:t>≥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ULN</w:t>
      </w:r>
      <w:r>
        <w:rPr>
          <w:spacing w:val="-7"/>
        </w:rPr>
        <w:t xml:space="preserve"> </w:t>
      </w:r>
      <w:r>
        <w:t>occurred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3.7%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&lt;1%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Actemra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9.6%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3.8% patients treated with SC</w:t>
      </w:r>
      <w:r>
        <w:rPr>
          <w:spacing w:val="-2"/>
        </w:rPr>
        <w:t xml:space="preserve"> </w:t>
      </w:r>
      <w:r>
        <w:t>Actemra respectively.</w:t>
      </w:r>
    </w:p>
    <w:p w14:paraId="5504EE21" w14:textId="77777777" w:rsidR="006C34D9" w:rsidRDefault="00CB5041">
      <w:pPr>
        <w:spacing w:before="202" w:line="275" w:lineRule="exact"/>
        <w:ind w:left="660"/>
        <w:jc w:val="both"/>
        <w:rPr>
          <w:i/>
          <w:sz w:val="24"/>
        </w:rPr>
      </w:pPr>
      <w:r>
        <w:rPr>
          <w:i/>
          <w:sz w:val="24"/>
        </w:rPr>
        <w:t>Systemic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Juvenile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Idiopathic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Arthritis</w:t>
      </w:r>
    </w:p>
    <w:p w14:paraId="39303863" w14:textId="77777777" w:rsidR="006C34D9" w:rsidRDefault="00CB5041">
      <w:pPr>
        <w:pStyle w:val="BodyText"/>
        <w:ind w:right="657"/>
        <w:jc w:val="both"/>
      </w:pPr>
      <w:r>
        <w:t xml:space="preserve">During routine laboratory monitoring in the </w:t>
      </w:r>
      <w:proofErr w:type="gramStart"/>
      <w:r>
        <w:t>12 week</w:t>
      </w:r>
      <w:proofErr w:type="gramEnd"/>
      <w:r>
        <w:t xml:space="preserve"> controlled trial (Study WA18221),</w:t>
      </w:r>
      <w:r>
        <w:rPr>
          <w:spacing w:val="1"/>
        </w:rPr>
        <w:t xml:space="preserve"> </w:t>
      </w:r>
      <w:r>
        <w:t>elevation in ALT or AST ≥ 3 x ULN occurred in 5% and 3% of patients, respectively, in the</w:t>
      </w:r>
      <w:r>
        <w:rPr>
          <w:spacing w:val="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Actemra group, and in 0% of</w:t>
      </w:r>
      <w:r>
        <w:rPr>
          <w:spacing w:val="-1"/>
        </w:rPr>
        <w:t xml:space="preserve"> </w:t>
      </w:r>
      <w:r>
        <w:t>placebo patients.</w:t>
      </w:r>
    </w:p>
    <w:p w14:paraId="09F003FC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57D5A21A" w14:textId="77777777" w:rsidR="006C34D9" w:rsidRDefault="00CB5041">
      <w:pPr>
        <w:pStyle w:val="BodyText"/>
        <w:spacing w:line="275" w:lineRule="exact"/>
        <w:jc w:val="both"/>
      </w:pP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open-label</w:t>
      </w:r>
      <w:r>
        <w:rPr>
          <w:spacing w:val="3"/>
        </w:rPr>
        <w:t xml:space="preserve"> </w:t>
      </w:r>
      <w:r>
        <w:t>extension</w:t>
      </w:r>
      <w:r>
        <w:rPr>
          <w:spacing w:val="3"/>
        </w:rPr>
        <w:t xml:space="preserve"> </w:t>
      </w:r>
      <w:r>
        <w:t>study</w:t>
      </w:r>
      <w:r>
        <w:rPr>
          <w:spacing w:val="4"/>
        </w:rPr>
        <w:t xml:space="preserve"> </w:t>
      </w:r>
      <w:r>
        <w:t>(WA28118),</w:t>
      </w:r>
      <w:r>
        <w:rPr>
          <w:spacing w:val="3"/>
        </w:rPr>
        <w:t xml:space="preserve"> </w:t>
      </w:r>
      <w:r>
        <w:t>elevation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ALT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AST</w:t>
      </w:r>
      <w:r>
        <w:rPr>
          <w:spacing w:val="3"/>
        </w:rPr>
        <w:t xml:space="preserve"> </w:t>
      </w:r>
      <w:r>
        <w:t>≥</w:t>
      </w:r>
      <w:r>
        <w:rPr>
          <w:spacing w:val="4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x</w:t>
      </w:r>
      <w:r>
        <w:rPr>
          <w:spacing w:val="3"/>
        </w:rPr>
        <w:t xml:space="preserve"> </w:t>
      </w:r>
      <w:r>
        <w:t>ULN</w:t>
      </w:r>
      <w:r>
        <w:rPr>
          <w:spacing w:val="3"/>
        </w:rPr>
        <w:t xml:space="preserve"> </w:t>
      </w:r>
      <w:r>
        <w:t>occurred</w:t>
      </w:r>
    </w:p>
    <w:p w14:paraId="39B8AB31" w14:textId="77777777" w:rsidR="006C34D9" w:rsidRDefault="00CB5041">
      <w:pPr>
        <w:pStyle w:val="BodyText"/>
        <w:spacing w:line="275" w:lineRule="exact"/>
        <w:jc w:val="both"/>
      </w:pPr>
      <w:r>
        <w:t>in</w:t>
      </w:r>
      <w:r>
        <w:rPr>
          <w:spacing w:val="-1"/>
        </w:rPr>
        <w:t xml:space="preserve"> </w:t>
      </w:r>
      <w:r>
        <w:t>12%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patients, respectively,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group.</w:t>
      </w:r>
    </w:p>
    <w:p w14:paraId="7C8C5847" w14:textId="77777777" w:rsidR="006C34D9" w:rsidRDefault="006C34D9">
      <w:pPr>
        <w:pStyle w:val="BodyText"/>
        <w:ind w:left="0"/>
      </w:pPr>
    </w:p>
    <w:p w14:paraId="2F23A80F" w14:textId="77777777" w:rsidR="006C34D9" w:rsidRDefault="00CB5041">
      <w:pPr>
        <w:pStyle w:val="BodyText"/>
        <w:ind w:right="658"/>
        <w:jc w:val="both"/>
      </w:pPr>
      <w:r>
        <w:t>In the 52-week open-label trial (Study WA28118), elevation in ALT or AST ≥ 3 x ULN</w:t>
      </w:r>
      <w:r>
        <w:rPr>
          <w:spacing w:val="1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9.8% and</w:t>
      </w:r>
      <w:r>
        <w:rPr>
          <w:spacing w:val="-1"/>
        </w:rPr>
        <w:t xml:space="preserve"> </w:t>
      </w:r>
      <w:r>
        <w:t>4.0% patients</w:t>
      </w:r>
      <w:r>
        <w:rPr>
          <w:spacing w:val="-1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Actemra, respectively.</w:t>
      </w:r>
    </w:p>
    <w:p w14:paraId="05F3227E" w14:textId="77777777" w:rsidR="006C34D9" w:rsidRDefault="00CB5041">
      <w:pPr>
        <w:pStyle w:val="BodyText"/>
        <w:spacing w:before="201"/>
        <w:jc w:val="both"/>
      </w:pPr>
      <w:bookmarkStart w:id="86" w:name="Elevations_in_lipid_parameters"/>
      <w:bookmarkEnd w:id="86"/>
      <w:r>
        <w:rPr>
          <w:u w:val="single"/>
        </w:rPr>
        <w:t>Elevations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lipid</w:t>
      </w:r>
      <w:r>
        <w:rPr>
          <w:spacing w:val="-3"/>
          <w:u w:val="single"/>
        </w:rPr>
        <w:t xml:space="preserve"> </w:t>
      </w:r>
      <w:r>
        <w:rPr>
          <w:u w:val="single"/>
        </w:rPr>
        <w:t>parameters</w:t>
      </w:r>
    </w:p>
    <w:p w14:paraId="5B7EE37C" w14:textId="5355C2FA" w:rsidR="006C34D9" w:rsidRDefault="00CB5041" w:rsidP="00E656C3">
      <w:pPr>
        <w:spacing w:before="202"/>
        <w:ind w:left="658" w:right="7036"/>
        <w:rPr>
          <w:i/>
          <w:sz w:val="24"/>
        </w:rPr>
      </w:pPr>
      <w:r>
        <w:rPr>
          <w:i/>
          <w:sz w:val="24"/>
        </w:rPr>
        <w:t>Rheumatoid</w:t>
      </w:r>
      <w:r w:rsidR="00E656C3">
        <w:rPr>
          <w:i/>
          <w:sz w:val="24"/>
        </w:rPr>
        <w:t xml:space="preserve"> </w:t>
      </w:r>
      <w:r>
        <w:rPr>
          <w:i/>
          <w:sz w:val="24"/>
        </w:rPr>
        <w:t>Arthritis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Intravenous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Administration</w:t>
      </w:r>
    </w:p>
    <w:p w14:paraId="2DE9F03A" w14:textId="77777777" w:rsidR="006C34D9" w:rsidRDefault="00CB5041">
      <w:pPr>
        <w:pStyle w:val="BodyText"/>
        <w:spacing w:before="33"/>
        <w:ind w:left="659" w:right="657"/>
        <w:jc w:val="both"/>
      </w:pPr>
      <w:r>
        <w:t>During</w:t>
      </w:r>
      <w:r>
        <w:rPr>
          <w:spacing w:val="-12"/>
        </w:rPr>
        <w:t xml:space="preserve"> </w:t>
      </w:r>
      <w:r>
        <w:t>routine</w:t>
      </w:r>
      <w:r>
        <w:rPr>
          <w:spacing w:val="-11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monitoring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gramStart"/>
      <w:r>
        <w:t>6</w:t>
      </w:r>
      <w:r>
        <w:rPr>
          <w:spacing w:val="-10"/>
        </w:rPr>
        <w:t xml:space="preserve"> </w:t>
      </w:r>
      <w:r>
        <w:t>month</w:t>
      </w:r>
      <w:proofErr w:type="gramEnd"/>
      <w:r>
        <w:rPr>
          <w:spacing w:val="-12"/>
        </w:rPr>
        <w:t xml:space="preserve"> </w:t>
      </w:r>
      <w:r>
        <w:t>controlled</w:t>
      </w:r>
      <w:r>
        <w:rPr>
          <w:spacing w:val="-11"/>
        </w:rPr>
        <w:t xml:space="preserve"> </w:t>
      </w:r>
      <w:r>
        <w:t>clinical</w:t>
      </w:r>
      <w:r>
        <w:rPr>
          <w:spacing w:val="-12"/>
        </w:rPr>
        <w:t xml:space="preserve"> </w:t>
      </w:r>
      <w:r>
        <w:t>trials,</w:t>
      </w:r>
      <w:r>
        <w:rPr>
          <w:spacing w:val="-11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lipid</w:t>
      </w:r>
      <w:r>
        <w:rPr>
          <w:spacing w:val="-57"/>
        </w:rPr>
        <w:t xml:space="preserve"> </w:t>
      </w:r>
      <w:r>
        <w:t>parameters such as total cholesterol, triglycerides, LDL cholesterol, and/or HDL cholesterol</w:t>
      </w:r>
      <w:r>
        <w:rPr>
          <w:spacing w:val="1"/>
        </w:rPr>
        <w:t xml:space="preserve"> </w:t>
      </w:r>
      <w:r>
        <w:t>have been reported commonly. Approximately 24% of patients receiving Actemra in clinical</w:t>
      </w:r>
      <w:r>
        <w:rPr>
          <w:spacing w:val="1"/>
        </w:rPr>
        <w:t xml:space="preserve"> </w:t>
      </w:r>
      <w:r>
        <w:t>trials experienced sustained elevations in total cholesterol &gt; 6.2 mmol/L (240 mg/dL), with</w:t>
      </w:r>
      <w:r>
        <w:rPr>
          <w:spacing w:val="1"/>
        </w:rPr>
        <w:t xml:space="preserve"> </w:t>
      </w:r>
      <w:r>
        <w:t>15% experiencing a sustained increase in LDL to ≥ 4.1 mmol/L (160 mg/dL). Elevations in</w:t>
      </w:r>
      <w:r>
        <w:rPr>
          <w:spacing w:val="1"/>
        </w:rPr>
        <w:t xml:space="preserve"> </w:t>
      </w:r>
      <w:r>
        <w:t>lipid</w:t>
      </w:r>
      <w:r>
        <w:rPr>
          <w:spacing w:val="-1"/>
        </w:rPr>
        <w:t xml:space="preserve"> </w:t>
      </w:r>
      <w:r>
        <w:t>parameters</w:t>
      </w:r>
      <w:r>
        <w:rPr>
          <w:spacing w:val="-1"/>
        </w:rPr>
        <w:t xml:space="preserve"> </w:t>
      </w:r>
      <w:r>
        <w:t>responded to</w:t>
      </w:r>
      <w:r>
        <w:rPr>
          <w:spacing w:val="-1"/>
        </w:rPr>
        <w:t xml:space="preserve"> </w:t>
      </w:r>
      <w:r>
        <w:t>treatment with</w:t>
      </w:r>
      <w:r>
        <w:rPr>
          <w:spacing w:val="-2"/>
        </w:rPr>
        <w:t xml:space="preserve"> </w:t>
      </w:r>
      <w:r>
        <w:t>lipid-lowering</w:t>
      </w:r>
      <w:r>
        <w:rPr>
          <w:spacing w:val="-2"/>
        </w:rPr>
        <w:t xml:space="preserve"> </w:t>
      </w:r>
      <w:r>
        <w:t>agents.</w:t>
      </w:r>
    </w:p>
    <w:p w14:paraId="02B1B54B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684B803" w14:textId="77777777" w:rsidR="006C34D9" w:rsidRDefault="00CB5041">
      <w:pPr>
        <w:pStyle w:val="BodyText"/>
        <w:ind w:left="659" w:right="658"/>
        <w:jc w:val="both"/>
      </w:pPr>
      <w:r>
        <w:t>In the all control and all exposure population, the pattern and incidence of elevations in lipid</w:t>
      </w:r>
      <w:r>
        <w:rPr>
          <w:spacing w:val="1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remained</w:t>
      </w:r>
      <w:r>
        <w:rPr>
          <w:spacing w:val="-1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6</w:t>
      </w:r>
      <w:r>
        <w:rPr>
          <w:spacing w:val="-3"/>
        </w:rPr>
        <w:t xml:space="preserve"> </w:t>
      </w:r>
      <w:r>
        <w:t>month</w:t>
      </w:r>
      <w:proofErr w:type="gramEnd"/>
      <w:r>
        <w:rPr>
          <w:spacing w:val="-2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trials.</w:t>
      </w:r>
    </w:p>
    <w:p w14:paraId="5C944D04" w14:textId="77777777" w:rsidR="006C34D9" w:rsidRDefault="006C34D9">
      <w:pPr>
        <w:pStyle w:val="BodyText"/>
        <w:ind w:left="0"/>
        <w:rPr>
          <w:sz w:val="21"/>
        </w:rPr>
      </w:pPr>
    </w:p>
    <w:p w14:paraId="405B8206" w14:textId="77777777" w:rsidR="006C34D9" w:rsidRDefault="00CB5041">
      <w:pPr>
        <w:ind w:left="660"/>
        <w:jc w:val="both"/>
        <w:rPr>
          <w:i/>
          <w:sz w:val="24"/>
        </w:rPr>
      </w:pPr>
      <w:r>
        <w:rPr>
          <w:i/>
          <w:sz w:val="24"/>
        </w:rPr>
        <w:t>Subcutaneous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Administration</w:t>
      </w:r>
    </w:p>
    <w:p w14:paraId="1197E56B" w14:textId="77777777" w:rsidR="006C34D9" w:rsidRDefault="00CB5041">
      <w:pPr>
        <w:pStyle w:val="BodyText"/>
        <w:spacing w:before="39" w:line="242" w:lineRule="auto"/>
        <w:ind w:left="659" w:right="658"/>
        <w:jc w:val="both"/>
      </w:pPr>
      <w:r>
        <w:t>During routine laboratory monitoring in the 6-month controlled periods of SUMMACTA and</w:t>
      </w:r>
      <w:r>
        <w:rPr>
          <w:spacing w:val="-57"/>
        </w:rPr>
        <w:t xml:space="preserve"> </w:t>
      </w:r>
      <w:r>
        <w:t>BREVACTA, 19% of patients on the SC weekly dose and 20% of patients dosed every other</w:t>
      </w:r>
      <w:r>
        <w:rPr>
          <w:spacing w:val="1"/>
        </w:rPr>
        <w:t xml:space="preserve"> </w:t>
      </w:r>
      <w:r>
        <w:t>week experienced sustained elevations in total cholesterol above 6.2 mmol/L (240 mg/dL),</w:t>
      </w:r>
      <w:r>
        <w:rPr>
          <w:spacing w:val="1"/>
        </w:rPr>
        <w:t xml:space="preserve"> </w:t>
      </w:r>
      <w:r>
        <w:t>with 9% and 10% experiencing a sustained increase in LDL to ≥ 4.1 mmol/L (160 mg/dL)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weekly dose and</w:t>
      </w:r>
      <w:r>
        <w:rPr>
          <w:spacing w:val="-2"/>
        </w:rPr>
        <w:t xml:space="preserve"> </w:t>
      </w:r>
      <w:r>
        <w:t>every other</w:t>
      </w:r>
      <w:r>
        <w:rPr>
          <w:spacing w:val="-1"/>
        </w:rPr>
        <w:t xml:space="preserve"> </w:t>
      </w:r>
      <w:r>
        <w:t>week dose.</w:t>
      </w:r>
    </w:p>
    <w:p w14:paraId="0B48E70E" w14:textId="77777777" w:rsidR="006C34D9" w:rsidRDefault="00CB5041">
      <w:pPr>
        <w:spacing w:before="203"/>
        <w:ind w:left="659"/>
        <w:jc w:val="both"/>
        <w:rPr>
          <w:i/>
          <w:sz w:val="24"/>
        </w:rPr>
      </w:pPr>
      <w:bookmarkStart w:id="87" w:name="Giant_Cell_Arteritis"/>
      <w:bookmarkEnd w:id="87"/>
      <w:r>
        <w:rPr>
          <w:i/>
          <w:sz w:val="24"/>
        </w:rPr>
        <w:t>Giant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Arteritis</w:t>
      </w:r>
    </w:p>
    <w:p w14:paraId="06D4CBDF" w14:textId="77777777" w:rsidR="006C34D9" w:rsidRDefault="00CB5041">
      <w:pPr>
        <w:pStyle w:val="BodyText"/>
        <w:spacing w:before="2" w:line="244" w:lineRule="auto"/>
        <w:ind w:left="659" w:right="658"/>
        <w:jc w:val="both"/>
      </w:pPr>
      <w:r>
        <w:t>During</w:t>
      </w:r>
      <w:r>
        <w:rPr>
          <w:spacing w:val="1"/>
        </w:rPr>
        <w:t xml:space="preserve"> </w:t>
      </w:r>
      <w:r>
        <w:t>routine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12-month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blind,</w:t>
      </w:r>
      <w:r>
        <w:rPr>
          <w:spacing w:val="1"/>
        </w:rPr>
        <w:t xml:space="preserve"> </w:t>
      </w:r>
      <w:r>
        <w:t>placebo-</w:t>
      </w:r>
      <w:r>
        <w:rPr>
          <w:spacing w:val="1"/>
        </w:rPr>
        <w:t xml:space="preserve"> </w:t>
      </w:r>
      <w:r>
        <w:t>controlled phase of Study X (</w:t>
      </w:r>
      <w:proofErr w:type="spellStart"/>
      <w:r>
        <w:t>GiACTA</w:t>
      </w:r>
      <w:proofErr w:type="spellEnd"/>
      <w:r>
        <w:t>), 25% of patients experienced elevations in total</w:t>
      </w:r>
      <w:r>
        <w:rPr>
          <w:spacing w:val="1"/>
        </w:rPr>
        <w:t xml:space="preserve"> </w:t>
      </w:r>
      <w:r>
        <w:t>cholesterol</w:t>
      </w:r>
      <w:r>
        <w:rPr>
          <w:spacing w:val="10"/>
        </w:rPr>
        <w:t xml:space="preserve"> </w:t>
      </w:r>
      <w:r>
        <w:t>above</w:t>
      </w:r>
      <w:r>
        <w:rPr>
          <w:spacing w:val="12"/>
        </w:rPr>
        <w:t xml:space="preserve"> </w:t>
      </w:r>
      <w:r>
        <w:t>6.2</w:t>
      </w:r>
      <w:r>
        <w:rPr>
          <w:spacing w:val="12"/>
        </w:rPr>
        <w:t xml:space="preserve"> </w:t>
      </w:r>
      <w:r>
        <w:t>mmol/L</w:t>
      </w:r>
      <w:r>
        <w:rPr>
          <w:spacing w:val="11"/>
        </w:rPr>
        <w:t xml:space="preserve"> </w:t>
      </w:r>
      <w:r>
        <w:t>(240</w:t>
      </w:r>
      <w:r>
        <w:rPr>
          <w:spacing w:val="9"/>
        </w:rPr>
        <w:t xml:space="preserve"> </w:t>
      </w:r>
      <w:r>
        <w:t>mg/dL),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47%</w:t>
      </w:r>
      <w:r>
        <w:rPr>
          <w:spacing w:val="11"/>
        </w:rPr>
        <w:t xml:space="preserve"> </w:t>
      </w:r>
      <w:r>
        <w:t>experiencing</w:t>
      </w:r>
      <w:r>
        <w:rPr>
          <w:spacing w:val="12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increase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LDL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≥</w:t>
      </w:r>
    </w:p>
    <w:p w14:paraId="2C9DDDF0" w14:textId="77777777" w:rsidR="006C34D9" w:rsidRDefault="00CB5041">
      <w:pPr>
        <w:pStyle w:val="BodyText"/>
        <w:spacing w:line="271" w:lineRule="exact"/>
        <w:ind w:left="659"/>
        <w:jc w:val="both"/>
      </w:pPr>
      <w:r>
        <w:t>4.1</w:t>
      </w:r>
      <w:r>
        <w:rPr>
          <w:spacing w:val="-1"/>
        </w:rPr>
        <w:t xml:space="preserve"> </w:t>
      </w:r>
      <w:r>
        <w:t>mmol/L</w:t>
      </w:r>
      <w:r>
        <w:rPr>
          <w:spacing w:val="-2"/>
        </w:rPr>
        <w:t xml:space="preserve"> </w:t>
      </w:r>
      <w:r>
        <w:t>(160</w:t>
      </w:r>
      <w:r>
        <w:rPr>
          <w:spacing w:val="-1"/>
        </w:rPr>
        <w:t xml:space="preserve"> </w:t>
      </w:r>
      <w:r>
        <w:t>mg/dL)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Actemra</w:t>
      </w:r>
      <w:r>
        <w:rPr>
          <w:spacing w:val="-2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group.</w:t>
      </w:r>
    </w:p>
    <w:p w14:paraId="3F58154E" w14:textId="77777777" w:rsidR="006C34D9" w:rsidRDefault="00CB5041">
      <w:pPr>
        <w:spacing w:before="202" w:line="275" w:lineRule="exact"/>
        <w:ind w:left="659"/>
        <w:jc w:val="both"/>
        <w:rPr>
          <w:i/>
          <w:sz w:val="24"/>
        </w:rPr>
      </w:pPr>
      <w:r>
        <w:rPr>
          <w:i/>
          <w:sz w:val="24"/>
        </w:rPr>
        <w:t>Polyarticular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Juvenile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Idiopathic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Arthritis</w:t>
      </w:r>
    </w:p>
    <w:p w14:paraId="3136385D" w14:textId="77777777" w:rsidR="006C34D9" w:rsidRDefault="00CB5041">
      <w:pPr>
        <w:pStyle w:val="BodyText"/>
        <w:ind w:left="659" w:right="657"/>
        <w:jc w:val="both"/>
      </w:pPr>
      <w:r>
        <w:t>During routine laboratory monitoring in the IV Actemra Study, 3.4 % and 10.4% of patients</w:t>
      </w:r>
      <w:r>
        <w:rPr>
          <w:spacing w:val="1"/>
        </w:rPr>
        <w:t xml:space="preserve"> </w:t>
      </w:r>
      <w:r>
        <w:t>experienced a post-baseline elevation of their LDL-cholesterol value to ≥ 3.4 mmol/L (130</w:t>
      </w:r>
      <w:r>
        <w:rPr>
          <w:spacing w:val="1"/>
        </w:rPr>
        <w:t xml:space="preserve"> </w:t>
      </w:r>
      <w:r>
        <w:t>mg/dL) and total cholesterol value to ≥ 5.2 mmol/L (200 mg/dL) at any time during the study</w:t>
      </w:r>
      <w:r>
        <w:rPr>
          <w:spacing w:val="1"/>
        </w:rPr>
        <w:t xml:space="preserve"> </w:t>
      </w:r>
      <w:r>
        <w:rPr>
          <w:spacing w:val="-1"/>
        </w:rPr>
        <w:t>treatment,</w:t>
      </w:r>
      <w:r>
        <w:rPr>
          <w:spacing w:val="-15"/>
        </w:rPr>
        <w:t xml:space="preserve"> </w:t>
      </w:r>
      <w:r>
        <w:rPr>
          <w:spacing w:val="-1"/>
        </w:rPr>
        <w:t>respectively.</w:t>
      </w:r>
      <w:r>
        <w:rPr>
          <w:spacing w:val="3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185</w:t>
      </w:r>
      <w:r>
        <w:rPr>
          <w:spacing w:val="-15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assessed</w:t>
      </w:r>
      <w:r>
        <w:rPr>
          <w:spacing w:val="-17"/>
        </w:rPr>
        <w:t xml:space="preserve"> </w:t>
      </w:r>
      <w:r>
        <w:t>19</w:t>
      </w:r>
      <w:r>
        <w:rPr>
          <w:spacing w:val="-14"/>
        </w:rPr>
        <w:t xml:space="preserve"> </w:t>
      </w:r>
      <w:r>
        <w:t>patients</w:t>
      </w:r>
      <w:r>
        <w:rPr>
          <w:spacing w:val="-16"/>
        </w:rPr>
        <w:t xml:space="preserve"> </w:t>
      </w:r>
      <w:r>
        <w:t>experienced</w:t>
      </w:r>
      <w:r>
        <w:rPr>
          <w:spacing w:val="-15"/>
        </w:rPr>
        <w:t xml:space="preserve"> </w:t>
      </w:r>
      <w:r>
        <w:t>consecutive</w:t>
      </w:r>
      <w:r>
        <w:rPr>
          <w:spacing w:val="-14"/>
        </w:rPr>
        <w:t xml:space="preserve"> </w:t>
      </w:r>
      <w:r>
        <w:t>sustained</w:t>
      </w:r>
      <w:r>
        <w:rPr>
          <w:spacing w:val="-58"/>
        </w:rPr>
        <w:t xml:space="preserve"> </w:t>
      </w:r>
      <w:r>
        <w:t>elevation of their total cholesterol value ≥ 4.4 mmol/L (170 mg/dL) at any time during study</w:t>
      </w:r>
      <w:r>
        <w:rPr>
          <w:spacing w:val="1"/>
        </w:rPr>
        <w:t xml:space="preserve"> </w:t>
      </w:r>
      <w:r>
        <w:t>treatment.</w:t>
      </w:r>
    </w:p>
    <w:p w14:paraId="081D1843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5F3878F6" w14:textId="77777777" w:rsidR="006C34D9" w:rsidRDefault="00CB5041">
      <w:pPr>
        <w:pStyle w:val="BodyText"/>
        <w:spacing w:before="79"/>
        <w:ind w:right="596"/>
      </w:pPr>
      <w:r>
        <w:lastRenderedPageBreak/>
        <w:t>In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SC</w:t>
      </w:r>
      <w:r>
        <w:rPr>
          <w:spacing w:val="5"/>
        </w:rPr>
        <w:t xml:space="preserve"> </w:t>
      </w:r>
      <w:r>
        <w:t>Actemra</w:t>
      </w:r>
      <w:r>
        <w:rPr>
          <w:spacing w:val="7"/>
        </w:rPr>
        <w:t xml:space="preserve"> </w:t>
      </w:r>
      <w:r>
        <w:t>study,</w:t>
      </w:r>
      <w:r>
        <w:rPr>
          <w:spacing w:val="6"/>
        </w:rPr>
        <w:t xml:space="preserve"> </w:t>
      </w:r>
      <w:r>
        <w:t>14.3%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12.8%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patients</w:t>
      </w:r>
      <w:r>
        <w:rPr>
          <w:spacing w:val="6"/>
        </w:rPr>
        <w:t xml:space="preserve"> </w:t>
      </w:r>
      <w:r>
        <w:t>experienced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post-baseline</w:t>
      </w:r>
      <w:r>
        <w:rPr>
          <w:spacing w:val="6"/>
        </w:rPr>
        <w:t xml:space="preserve"> </w:t>
      </w:r>
      <w:r>
        <w:t>elevation</w:t>
      </w:r>
      <w:r>
        <w:rPr>
          <w:spacing w:val="-5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LDL-cholesterol</w:t>
      </w:r>
      <w:r>
        <w:rPr>
          <w:spacing w:val="9"/>
        </w:rPr>
        <w:t xml:space="preserve"> </w:t>
      </w:r>
      <w:r>
        <w:t>value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≥</w:t>
      </w:r>
      <w:r>
        <w:rPr>
          <w:spacing w:val="8"/>
        </w:rPr>
        <w:t xml:space="preserve"> </w:t>
      </w:r>
      <w:r>
        <w:t>3.4</w:t>
      </w:r>
      <w:r>
        <w:rPr>
          <w:spacing w:val="9"/>
        </w:rPr>
        <w:t xml:space="preserve"> </w:t>
      </w:r>
      <w:r>
        <w:t>mmol/L</w:t>
      </w:r>
      <w:r>
        <w:rPr>
          <w:spacing w:val="8"/>
        </w:rPr>
        <w:t xml:space="preserve"> </w:t>
      </w:r>
      <w:r>
        <w:t>(130</w:t>
      </w:r>
      <w:r>
        <w:rPr>
          <w:spacing w:val="9"/>
        </w:rPr>
        <w:t xml:space="preserve"> </w:t>
      </w:r>
      <w:r>
        <w:t>mg/dL)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cholesterol</w:t>
      </w:r>
      <w:r>
        <w:rPr>
          <w:spacing w:val="9"/>
        </w:rPr>
        <w:t xml:space="preserve"> </w:t>
      </w:r>
      <w:r>
        <w:t>value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≥</w:t>
      </w:r>
    </w:p>
    <w:p w14:paraId="14855F2B" w14:textId="77777777" w:rsidR="006C34D9" w:rsidRDefault="00CB5041">
      <w:pPr>
        <w:pStyle w:val="BodyText"/>
      </w:pPr>
      <w:r>
        <w:t>5.2</w:t>
      </w:r>
      <w:r>
        <w:rPr>
          <w:spacing w:val="-1"/>
        </w:rPr>
        <w:t xml:space="preserve"> </w:t>
      </w:r>
      <w:r>
        <w:t>mmol/L</w:t>
      </w:r>
      <w:r>
        <w:rPr>
          <w:spacing w:val="-2"/>
        </w:rPr>
        <w:t xml:space="preserve"> </w:t>
      </w:r>
      <w:r>
        <w:t>(200</w:t>
      </w:r>
      <w:r>
        <w:rPr>
          <w:spacing w:val="-1"/>
        </w:rPr>
        <w:t xml:space="preserve"> </w:t>
      </w:r>
      <w:r>
        <w:t>mg/dL)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treatment,</w:t>
      </w:r>
      <w:r>
        <w:rPr>
          <w:spacing w:val="-2"/>
        </w:rPr>
        <w:t xml:space="preserve"> </w:t>
      </w:r>
      <w:r>
        <w:t>respectively.</w:t>
      </w:r>
    </w:p>
    <w:p w14:paraId="5BA0BA61" w14:textId="77777777" w:rsidR="006C34D9" w:rsidRDefault="00CB5041">
      <w:pPr>
        <w:spacing w:before="202" w:line="275" w:lineRule="exact"/>
        <w:ind w:left="660"/>
        <w:rPr>
          <w:i/>
          <w:sz w:val="24"/>
        </w:rPr>
      </w:pPr>
      <w:r>
        <w:rPr>
          <w:i/>
          <w:sz w:val="24"/>
        </w:rPr>
        <w:t>Systemic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Juvenile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Idiopathic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Arthritis</w:t>
      </w:r>
    </w:p>
    <w:p w14:paraId="401AF933" w14:textId="77777777" w:rsidR="006C34D9" w:rsidRDefault="00CB5041">
      <w:pPr>
        <w:pStyle w:val="BodyText"/>
        <w:ind w:right="596"/>
      </w:pPr>
      <w:r>
        <w:t>During</w:t>
      </w:r>
      <w:r>
        <w:rPr>
          <w:spacing w:val="-10"/>
        </w:rPr>
        <w:t xml:space="preserve"> </w:t>
      </w:r>
      <w:r>
        <w:t>routine</w:t>
      </w:r>
      <w:r>
        <w:rPr>
          <w:spacing w:val="-9"/>
        </w:rPr>
        <w:t xml:space="preserve"> </w:t>
      </w:r>
      <w:r>
        <w:t>laboratory</w:t>
      </w:r>
      <w:r>
        <w:rPr>
          <w:spacing w:val="-10"/>
        </w:rPr>
        <w:t xml:space="preserve"> </w:t>
      </w:r>
      <w:r>
        <w:t>monitoring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gramStart"/>
      <w:r>
        <w:t>12</w:t>
      </w:r>
      <w:r>
        <w:rPr>
          <w:spacing w:val="-11"/>
        </w:rPr>
        <w:t xml:space="preserve"> </w:t>
      </w:r>
      <w:r>
        <w:t>week</w:t>
      </w:r>
      <w:proofErr w:type="gramEnd"/>
      <w:r>
        <w:rPr>
          <w:spacing w:val="-10"/>
        </w:rPr>
        <w:t xml:space="preserve"> </w:t>
      </w:r>
      <w:r>
        <w:t>controlled</w:t>
      </w:r>
      <w:r>
        <w:rPr>
          <w:spacing w:val="-10"/>
        </w:rPr>
        <w:t xml:space="preserve"> </w:t>
      </w:r>
      <w:r>
        <w:t>trial</w:t>
      </w:r>
      <w:r>
        <w:rPr>
          <w:spacing w:val="-9"/>
        </w:rPr>
        <w:t xml:space="preserve"> </w:t>
      </w:r>
      <w:r>
        <w:t>(Study</w:t>
      </w:r>
      <w:r>
        <w:rPr>
          <w:spacing w:val="-10"/>
        </w:rPr>
        <w:t xml:space="preserve"> </w:t>
      </w:r>
      <w:r>
        <w:t>WA18221),</w:t>
      </w:r>
      <w:r>
        <w:rPr>
          <w:spacing w:val="-10"/>
        </w:rPr>
        <w:t xml:space="preserve"> </w:t>
      </w:r>
      <w:r>
        <w:t>13.4%</w:t>
      </w:r>
      <w:r>
        <w:rPr>
          <w:spacing w:val="-57"/>
        </w:rPr>
        <w:t xml:space="preserve"> </w:t>
      </w:r>
      <w:r>
        <w:t>and 33.3%</w:t>
      </w:r>
      <w:r>
        <w:rPr>
          <w:spacing w:val="1"/>
        </w:rPr>
        <w:t xml:space="preserve"> </w:t>
      </w:r>
      <w:r>
        <w:t>of patients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a post-baseline</w:t>
      </w:r>
      <w:r>
        <w:rPr>
          <w:spacing w:val="1"/>
        </w:rPr>
        <w:t xml:space="preserve"> </w:t>
      </w:r>
      <w:r>
        <w:t>elevation</w:t>
      </w:r>
      <w:r>
        <w:rPr>
          <w:spacing w:val="1"/>
        </w:rPr>
        <w:t xml:space="preserve"> </w:t>
      </w:r>
      <w:r>
        <w:t>of their</w:t>
      </w:r>
      <w:r>
        <w:rPr>
          <w:spacing w:val="1"/>
        </w:rPr>
        <w:t xml:space="preserve"> </w:t>
      </w:r>
      <w:r>
        <w:t>LDL-cholesterol</w:t>
      </w:r>
      <w:r>
        <w:rPr>
          <w:spacing w:val="1"/>
        </w:rPr>
        <w:t xml:space="preserve"> </w:t>
      </w:r>
      <w:r>
        <w:t>value to</w:t>
      </w:r>
    </w:p>
    <w:p w14:paraId="65D6EAD3" w14:textId="77777777" w:rsidR="006C34D9" w:rsidRDefault="00CB5041">
      <w:pPr>
        <w:pStyle w:val="BodyText"/>
      </w:pPr>
      <w:r>
        <w:t>≥</w:t>
      </w:r>
      <w:r>
        <w:rPr>
          <w:spacing w:val="60"/>
        </w:rPr>
        <w:t xml:space="preserve"> </w:t>
      </w:r>
      <w:r>
        <w:t>3.4</w:t>
      </w:r>
      <w:r>
        <w:rPr>
          <w:spacing w:val="61"/>
        </w:rPr>
        <w:t xml:space="preserve"> </w:t>
      </w:r>
      <w:r>
        <w:t>mmol/L</w:t>
      </w:r>
      <w:r>
        <w:rPr>
          <w:spacing w:val="60"/>
        </w:rPr>
        <w:t xml:space="preserve"> </w:t>
      </w:r>
      <w:r>
        <w:t>(130</w:t>
      </w:r>
      <w:r>
        <w:rPr>
          <w:spacing w:val="60"/>
        </w:rPr>
        <w:t xml:space="preserve"> </w:t>
      </w:r>
      <w:r>
        <w:t>mg/dL)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total</w:t>
      </w:r>
      <w:r>
        <w:rPr>
          <w:spacing w:val="60"/>
        </w:rPr>
        <w:t xml:space="preserve"> </w:t>
      </w:r>
      <w:r>
        <w:t>cholesterol</w:t>
      </w:r>
      <w:r>
        <w:rPr>
          <w:spacing w:val="60"/>
        </w:rPr>
        <w:t xml:space="preserve"> </w:t>
      </w:r>
      <w:r>
        <w:t>value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≥</w:t>
      </w:r>
      <w:r>
        <w:rPr>
          <w:spacing w:val="60"/>
        </w:rPr>
        <w:t xml:space="preserve"> </w:t>
      </w:r>
      <w:r>
        <w:t>5.2</w:t>
      </w:r>
      <w:r>
        <w:rPr>
          <w:spacing w:val="61"/>
        </w:rPr>
        <w:t xml:space="preserve"> </w:t>
      </w:r>
      <w:r>
        <w:t>mmol/L</w:t>
      </w:r>
      <w:r>
        <w:rPr>
          <w:spacing w:val="60"/>
        </w:rPr>
        <w:t xml:space="preserve"> </w:t>
      </w:r>
      <w:r>
        <w:t>(200</w:t>
      </w:r>
      <w:r>
        <w:rPr>
          <w:spacing w:val="62"/>
        </w:rPr>
        <w:t xml:space="preserve"> </w:t>
      </w:r>
      <w:r>
        <w:t>mg/dL),</w:t>
      </w:r>
    </w:p>
    <w:p w14:paraId="00FB7D91" w14:textId="77777777" w:rsidR="006C34D9" w:rsidRDefault="00CB5041">
      <w:pPr>
        <w:pStyle w:val="BodyText"/>
      </w:pPr>
      <w:r>
        <w:t>respectively.</w:t>
      </w:r>
    </w:p>
    <w:p w14:paraId="4B0CE024" w14:textId="77777777" w:rsidR="006C34D9" w:rsidRDefault="006C34D9">
      <w:pPr>
        <w:pStyle w:val="BodyText"/>
        <w:spacing w:before="8"/>
        <w:ind w:left="0"/>
        <w:rPr>
          <w:sz w:val="20"/>
        </w:rPr>
      </w:pPr>
    </w:p>
    <w:p w14:paraId="47FFB552" w14:textId="77777777" w:rsidR="006C34D9" w:rsidRDefault="00CB5041">
      <w:pPr>
        <w:pStyle w:val="BodyText"/>
        <w:ind w:left="659" w:right="657"/>
        <w:jc w:val="both"/>
      </w:pPr>
      <w:r>
        <w:t>In the open-label extension study (WA18221). 13.2% and 27.7% of patients experienced a</w:t>
      </w:r>
      <w:r>
        <w:rPr>
          <w:spacing w:val="1"/>
        </w:rPr>
        <w:t xml:space="preserve"> </w:t>
      </w:r>
      <w:r>
        <w:t>post-baseline elevation of their LDL-cholesterol value to ≥ 3.4 mmol/L (130 mg/dL) and total</w:t>
      </w:r>
      <w:r>
        <w:rPr>
          <w:spacing w:val="-57"/>
        </w:rPr>
        <w:t xml:space="preserve"> </w:t>
      </w:r>
      <w:r>
        <w:t>cholesterol value to ≥ 5.2 mmol/L (200 mg/dL), respectively. Of 107 patients assessed 22</w:t>
      </w:r>
      <w:r>
        <w:rPr>
          <w:spacing w:val="1"/>
        </w:rPr>
        <w:t xml:space="preserve"> </w:t>
      </w:r>
      <w:r>
        <w:t>experienced</w:t>
      </w:r>
      <w:r>
        <w:rPr>
          <w:spacing w:val="-7"/>
        </w:rPr>
        <w:t xml:space="preserve"> </w:t>
      </w:r>
      <w:r>
        <w:t>consecutive</w:t>
      </w:r>
      <w:r>
        <w:rPr>
          <w:spacing w:val="-6"/>
        </w:rPr>
        <w:t xml:space="preserve"> </w:t>
      </w:r>
      <w:r>
        <w:t>sustained</w:t>
      </w:r>
      <w:r>
        <w:rPr>
          <w:spacing w:val="-5"/>
        </w:rPr>
        <w:t xml:space="preserve"> </w:t>
      </w:r>
      <w:r>
        <w:t>elevation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cholesterol</w:t>
      </w:r>
      <w:r>
        <w:rPr>
          <w:spacing w:val="-6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≥</w:t>
      </w:r>
      <w:r>
        <w:rPr>
          <w:spacing w:val="-5"/>
        </w:rPr>
        <w:t xml:space="preserve"> </w:t>
      </w:r>
      <w:r>
        <w:t>4.4</w:t>
      </w:r>
      <w:r>
        <w:rPr>
          <w:spacing w:val="-5"/>
        </w:rPr>
        <w:t xml:space="preserve"> </w:t>
      </w:r>
      <w:r>
        <w:t>mmol/L</w:t>
      </w:r>
      <w:r>
        <w:rPr>
          <w:spacing w:val="-6"/>
        </w:rPr>
        <w:t xml:space="preserve"> </w:t>
      </w:r>
      <w:r>
        <w:t>(170</w:t>
      </w:r>
      <w:r>
        <w:rPr>
          <w:spacing w:val="-57"/>
        </w:rPr>
        <w:t xml:space="preserve"> </w:t>
      </w:r>
      <w:r>
        <w:t>mg/dL)</w:t>
      </w:r>
      <w:r>
        <w:rPr>
          <w:spacing w:val="-1"/>
        </w:rPr>
        <w:t xml:space="preserve"> </w:t>
      </w:r>
      <w:r>
        <w:t>at any time during study treatment.</w:t>
      </w:r>
    </w:p>
    <w:p w14:paraId="37DBF3D7" w14:textId="77777777" w:rsidR="006C34D9" w:rsidRDefault="006C34D9">
      <w:pPr>
        <w:pStyle w:val="BodyText"/>
        <w:ind w:left="0"/>
      </w:pPr>
    </w:p>
    <w:p w14:paraId="0C264BE9" w14:textId="77777777" w:rsidR="006C34D9" w:rsidRDefault="00CB5041">
      <w:pPr>
        <w:pStyle w:val="BodyText"/>
        <w:ind w:left="659" w:right="657"/>
        <w:jc w:val="both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52-week</w:t>
      </w:r>
      <w:r>
        <w:rPr>
          <w:spacing w:val="-5"/>
        </w:rPr>
        <w:t xml:space="preserve"> </w:t>
      </w:r>
      <w:r>
        <w:t>open-label</w:t>
      </w:r>
      <w:r>
        <w:rPr>
          <w:spacing w:val="-5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(Study</w:t>
      </w:r>
      <w:r>
        <w:rPr>
          <w:spacing w:val="-6"/>
        </w:rPr>
        <w:t xml:space="preserve"> </w:t>
      </w:r>
      <w:r>
        <w:t>WA28118),</w:t>
      </w:r>
      <w:r>
        <w:rPr>
          <w:spacing w:val="-5"/>
        </w:rPr>
        <w:t xml:space="preserve"> </w:t>
      </w:r>
      <w:r>
        <w:t>23.4%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35.4%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experienced</w:t>
      </w:r>
      <w:r>
        <w:rPr>
          <w:spacing w:val="-5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post-baseline elevation of their LDL-cholesterol value to ≥ 3.4 mmol/L (130 mg/dL) and total</w:t>
      </w:r>
      <w:r>
        <w:rPr>
          <w:spacing w:val="-57"/>
        </w:rPr>
        <w:t xml:space="preserve"> </w:t>
      </w:r>
      <w:r>
        <w:t>cholesterol</w:t>
      </w:r>
      <w:r>
        <w:rPr>
          <w:spacing w:val="-2"/>
        </w:rPr>
        <w:t xml:space="preserve"> </w:t>
      </w:r>
      <w:r>
        <w:t>value to</w:t>
      </w:r>
      <w:r>
        <w:rPr>
          <w:spacing w:val="-2"/>
        </w:rPr>
        <w:t xml:space="preserve"> </w:t>
      </w:r>
      <w:r>
        <w:t>≥ 5.2 mmol/L</w:t>
      </w:r>
      <w:r>
        <w:rPr>
          <w:spacing w:val="-1"/>
        </w:rPr>
        <w:t xml:space="preserve"> </w:t>
      </w:r>
      <w:r>
        <w:t>(200</w:t>
      </w:r>
      <w:r>
        <w:rPr>
          <w:spacing w:val="1"/>
        </w:rPr>
        <w:t xml:space="preserve"> </w:t>
      </w:r>
      <w:r>
        <w:t>mg/dL), respectively.</w:t>
      </w:r>
    </w:p>
    <w:p w14:paraId="343AE417" w14:textId="77777777" w:rsidR="006C34D9" w:rsidRDefault="00CB5041">
      <w:pPr>
        <w:pStyle w:val="BodyText"/>
        <w:spacing w:before="201"/>
        <w:jc w:val="both"/>
      </w:pPr>
      <w:bookmarkStart w:id="88" w:name="Laboratory_abnormalities-COVID-19_(IV_ad"/>
      <w:bookmarkEnd w:id="88"/>
      <w:r>
        <w:rPr>
          <w:u w:val="single"/>
        </w:rPr>
        <w:t>Laboratory</w:t>
      </w:r>
      <w:r>
        <w:rPr>
          <w:spacing w:val="-7"/>
          <w:u w:val="single"/>
        </w:rPr>
        <w:t xml:space="preserve"> </w:t>
      </w:r>
      <w:r>
        <w:rPr>
          <w:u w:val="single"/>
        </w:rPr>
        <w:t>abnormalities-COVID-19</w:t>
      </w:r>
      <w:r>
        <w:rPr>
          <w:spacing w:val="-4"/>
          <w:u w:val="single"/>
        </w:rPr>
        <w:t xml:space="preserve"> </w:t>
      </w:r>
      <w:r>
        <w:rPr>
          <w:u w:val="single"/>
        </w:rPr>
        <w:t>(IV</w:t>
      </w:r>
      <w:r>
        <w:rPr>
          <w:spacing w:val="-6"/>
          <w:u w:val="single"/>
        </w:rPr>
        <w:t xml:space="preserve"> </w:t>
      </w:r>
      <w:r>
        <w:rPr>
          <w:u w:val="single"/>
        </w:rPr>
        <w:t>administration)</w:t>
      </w:r>
    </w:p>
    <w:p w14:paraId="524D13E8" w14:textId="77777777" w:rsidR="006C34D9" w:rsidRDefault="00CB5041">
      <w:pPr>
        <w:pStyle w:val="BodyText"/>
        <w:ind w:left="659" w:right="657"/>
        <w:jc w:val="both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incidence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laboratory</w:t>
      </w:r>
      <w:r>
        <w:rPr>
          <w:spacing w:val="-14"/>
        </w:rPr>
        <w:t xml:space="preserve"> </w:t>
      </w:r>
      <w:r>
        <w:rPr>
          <w:spacing w:val="-1"/>
        </w:rPr>
        <w:t>abnormalities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generally</w:t>
      </w:r>
      <w:r>
        <w:rPr>
          <w:spacing w:val="-14"/>
        </w:rPr>
        <w:t xml:space="preserve"> </w:t>
      </w:r>
      <w:r>
        <w:t>similar</w:t>
      </w:r>
      <w:r>
        <w:rPr>
          <w:spacing w:val="-13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COVID-</w:t>
      </w:r>
      <w:r>
        <w:rPr>
          <w:spacing w:val="-58"/>
        </w:rPr>
        <w:t xml:space="preserve"> </w:t>
      </w:r>
      <w:r>
        <w:t>19 who received one or two doses of Actemra compared with those who received placebo in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15"/>
        </w:rPr>
        <w:t xml:space="preserve"> </w:t>
      </w:r>
      <w:r>
        <w:rPr>
          <w:spacing w:val="-1"/>
        </w:rPr>
        <w:t>EMPACTA,</w:t>
      </w:r>
      <w:r>
        <w:rPr>
          <w:spacing w:val="-12"/>
        </w:rPr>
        <w:t xml:space="preserve"> </w:t>
      </w:r>
      <w:r>
        <w:rPr>
          <w:spacing w:val="-1"/>
        </w:rPr>
        <w:t>COVACTA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REMDACTA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few</w:t>
      </w:r>
      <w:r>
        <w:rPr>
          <w:spacing w:val="-14"/>
        </w:rPr>
        <w:t xml:space="preserve"> </w:t>
      </w:r>
      <w:r>
        <w:t>exceptions.</w:t>
      </w:r>
      <w:r>
        <w:rPr>
          <w:spacing w:val="-14"/>
        </w:rPr>
        <w:t xml:space="preserve"> </w:t>
      </w:r>
      <w:r>
        <w:t>Decreases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platelets</w:t>
      </w:r>
      <w:r>
        <w:rPr>
          <w:spacing w:val="-5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neutrophils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elevations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AST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frequent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receiving</w:t>
      </w:r>
      <w:r>
        <w:rPr>
          <w:spacing w:val="-58"/>
        </w:rPr>
        <w:t xml:space="preserve"> </w:t>
      </w:r>
      <w:bookmarkStart w:id="89" w:name="Malignancies"/>
      <w:bookmarkEnd w:id="89"/>
      <w:r>
        <w:t>Actemra</w:t>
      </w:r>
      <w:r>
        <w:rPr>
          <w:spacing w:val="-1"/>
        </w:rPr>
        <w:t xml:space="preserve"> </w:t>
      </w:r>
      <w:r>
        <w:t>versus placebo.</w:t>
      </w:r>
    </w:p>
    <w:p w14:paraId="7201850B" w14:textId="77777777" w:rsidR="006C34D9" w:rsidRDefault="00CB5041">
      <w:pPr>
        <w:pStyle w:val="Heading2"/>
        <w:spacing w:before="202"/>
        <w:jc w:val="left"/>
      </w:pPr>
      <w:r>
        <w:t>Malignancies</w:t>
      </w:r>
    </w:p>
    <w:p w14:paraId="3F59E810" w14:textId="77777777" w:rsidR="006C34D9" w:rsidRDefault="00CB5041">
      <w:pPr>
        <w:pStyle w:val="BodyText"/>
        <w:spacing w:before="33"/>
        <w:ind w:right="658"/>
        <w:jc w:val="both"/>
      </w:pPr>
      <w:r>
        <w:t>The clinical data are insufficient to assess the potential incidence of malignancy following</w:t>
      </w:r>
      <w:r>
        <w:rPr>
          <w:spacing w:val="1"/>
        </w:rPr>
        <w:t xml:space="preserve"> </w:t>
      </w:r>
      <w:r>
        <w:t>exposure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Actemra.</w:t>
      </w:r>
      <w:r>
        <w:rPr>
          <w:spacing w:val="1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evaluations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ongoing.</w:t>
      </w:r>
      <w:r>
        <w:rPr>
          <w:spacing w:val="1"/>
        </w:rPr>
        <w:t xml:space="preserve"> </w:t>
      </w:r>
      <w:r>
        <w:t>Neoplasms</w:t>
      </w:r>
      <w:r>
        <w:rPr>
          <w:spacing w:val="1"/>
        </w:rPr>
        <w:t xml:space="preserve"> </w:t>
      </w:r>
      <w:r>
        <w:t>Benign,</w:t>
      </w:r>
      <w:r>
        <w:rPr>
          <w:spacing w:val="1"/>
        </w:rPr>
        <w:t xml:space="preserve"> </w:t>
      </w:r>
      <w:r>
        <w:t>Malignant, and Unspecified (including Cysts and Polyps): Melanoma and non-melanoma skin</w:t>
      </w:r>
      <w:r>
        <w:rPr>
          <w:spacing w:val="-58"/>
        </w:rPr>
        <w:t xml:space="preserve"> </w:t>
      </w:r>
      <w:bookmarkStart w:id="90" w:name="Post-Marketing_Experience"/>
      <w:bookmarkEnd w:id="90"/>
      <w:r>
        <w:t>cancer</w:t>
      </w:r>
      <w:r>
        <w:rPr>
          <w:spacing w:val="-2"/>
        </w:rPr>
        <w:t xml:space="preserve"> </w:t>
      </w:r>
      <w:r>
        <w:t>(NMSC) have been</w:t>
      </w:r>
      <w:r>
        <w:rPr>
          <w:spacing w:val="-1"/>
        </w:rPr>
        <w:t xml:space="preserve"> </w:t>
      </w:r>
      <w:r>
        <w:t>reported in patients treated</w:t>
      </w:r>
      <w:r>
        <w:rPr>
          <w:spacing w:val="-1"/>
        </w:rPr>
        <w:t xml:space="preserve"> </w:t>
      </w:r>
      <w:r>
        <w:t>with Actemra.</w:t>
      </w:r>
    </w:p>
    <w:p w14:paraId="77288B65" w14:textId="77777777" w:rsidR="006C34D9" w:rsidRDefault="00CB5041">
      <w:pPr>
        <w:pStyle w:val="Heading2"/>
        <w:spacing w:before="202"/>
      </w:pPr>
      <w:r>
        <w:t>Post-Marketing</w:t>
      </w:r>
      <w:r>
        <w:rPr>
          <w:spacing w:val="-4"/>
        </w:rPr>
        <w:t xml:space="preserve"> </w:t>
      </w:r>
      <w:r>
        <w:t>Experience</w:t>
      </w:r>
    </w:p>
    <w:p w14:paraId="69789CDF" w14:textId="77777777" w:rsidR="006C34D9" w:rsidRDefault="00CB5041">
      <w:pPr>
        <w:pStyle w:val="BodyText"/>
        <w:spacing w:before="34"/>
        <w:ind w:right="658"/>
        <w:jc w:val="both"/>
      </w:pPr>
      <w:r>
        <w:t>The following adverse drug reactions have been identified from clinical trials and/ or post</w:t>
      </w:r>
      <w:r>
        <w:rPr>
          <w:spacing w:val="1"/>
        </w:rPr>
        <w:t xml:space="preserve"> </w:t>
      </w:r>
      <w:r>
        <w:t>marketing experience with Actemra (Table 3) based on spontaneous case reports, literature</w:t>
      </w:r>
      <w:r>
        <w:rPr>
          <w:spacing w:val="1"/>
        </w:rPr>
        <w:t xml:space="preserve"> </w:t>
      </w:r>
      <w:r>
        <w:t>cases and cases from non-interventional study programs. Adverse drug reactions are listed</w:t>
      </w:r>
      <w:r>
        <w:rPr>
          <w:spacing w:val="1"/>
        </w:rPr>
        <w:t xml:space="preserve"> </w:t>
      </w:r>
      <w:r>
        <w:t>according to system organ classes in MedDRA and the corresponding frequency category</w:t>
      </w:r>
      <w:r>
        <w:rPr>
          <w:spacing w:val="1"/>
        </w:rPr>
        <w:t xml:space="preserve"> </w:t>
      </w:r>
      <w:r>
        <w:t>estimation for each adverse drug reaction is based on the following convention: very common</w:t>
      </w:r>
      <w:r>
        <w:rPr>
          <w:spacing w:val="-57"/>
        </w:rPr>
        <w:t xml:space="preserve"> </w:t>
      </w:r>
      <w:r>
        <w:t>(≥</w:t>
      </w:r>
      <w:r>
        <w:rPr>
          <w:spacing w:val="3"/>
        </w:rPr>
        <w:t xml:space="preserve"> </w:t>
      </w:r>
      <w:r>
        <w:t>1/10);</w:t>
      </w:r>
      <w:r>
        <w:rPr>
          <w:spacing w:val="3"/>
        </w:rPr>
        <w:t xml:space="preserve"> </w:t>
      </w:r>
      <w:r>
        <w:t>common</w:t>
      </w:r>
      <w:r>
        <w:rPr>
          <w:spacing w:val="3"/>
        </w:rPr>
        <w:t xml:space="preserve"> </w:t>
      </w:r>
      <w:r>
        <w:t>(≥</w:t>
      </w:r>
      <w:r>
        <w:rPr>
          <w:spacing w:val="3"/>
        </w:rPr>
        <w:t xml:space="preserve"> </w:t>
      </w:r>
      <w:r>
        <w:t>1/100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&lt;</w:t>
      </w:r>
      <w:r>
        <w:rPr>
          <w:spacing w:val="4"/>
        </w:rPr>
        <w:t xml:space="preserve"> </w:t>
      </w:r>
      <w:r>
        <w:t>1/10);</w:t>
      </w:r>
      <w:r>
        <w:rPr>
          <w:spacing w:val="3"/>
        </w:rPr>
        <w:t xml:space="preserve"> </w:t>
      </w:r>
      <w:r>
        <w:t>uncommon</w:t>
      </w:r>
      <w:r>
        <w:rPr>
          <w:spacing w:val="3"/>
        </w:rPr>
        <w:t xml:space="preserve"> </w:t>
      </w:r>
      <w:r>
        <w:t>(≥</w:t>
      </w:r>
      <w:r>
        <w:rPr>
          <w:spacing w:val="4"/>
        </w:rPr>
        <w:t xml:space="preserve"> </w:t>
      </w:r>
      <w:r>
        <w:t>1/1,000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&lt;</w:t>
      </w:r>
      <w:r>
        <w:rPr>
          <w:spacing w:val="4"/>
        </w:rPr>
        <w:t xml:space="preserve"> </w:t>
      </w:r>
      <w:r>
        <w:t>1/100);</w:t>
      </w:r>
      <w:r>
        <w:rPr>
          <w:spacing w:val="3"/>
        </w:rPr>
        <w:t xml:space="preserve"> </w:t>
      </w:r>
      <w:r>
        <w:t>rare</w:t>
      </w:r>
      <w:r>
        <w:rPr>
          <w:spacing w:val="2"/>
        </w:rPr>
        <w:t xml:space="preserve"> </w:t>
      </w:r>
      <w:r>
        <w:t>(≥</w:t>
      </w:r>
      <w:r>
        <w:rPr>
          <w:spacing w:val="1"/>
        </w:rPr>
        <w:t xml:space="preserve"> </w:t>
      </w:r>
      <w:r>
        <w:t>1/10,000</w:t>
      </w:r>
      <w:r>
        <w:rPr>
          <w:spacing w:val="3"/>
        </w:rPr>
        <w:t xml:space="preserve"> </w:t>
      </w:r>
      <w:r>
        <w:t>to</w:t>
      </w:r>
    </w:p>
    <w:p w14:paraId="53270887" w14:textId="77777777" w:rsidR="006C34D9" w:rsidRDefault="00CB5041">
      <w:pPr>
        <w:pStyle w:val="BodyText"/>
        <w:jc w:val="both"/>
      </w:pPr>
      <w:r>
        <w:t>&lt;</w:t>
      </w:r>
      <w:r>
        <w:rPr>
          <w:spacing w:val="-1"/>
        </w:rPr>
        <w:t xml:space="preserve"> </w:t>
      </w:r>
      <w:r>
        <w:t>1/1,000);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rare (&lt;</w:t>
      </w:r>
      <w:r>
        <w:rPr>
          <w:spacing w:val="-2"/>
        </w:rPr>
        <w:t xml:space="preserve"> </w:t>
      </w:r>
      <w:r>
        <w:t>1/10,000).</w:t>
      </w:r>
    </w:p>
    <w:p w14:paraId="1B7F0401" w14:textId="77777777" w:rsidR="006C34D9" w:rsidRDefault="006C34D9">
      <w:pPr>
        <w:pStyle w:val="BodyText"/>
        <w:spacing w:before="1"/>
        <w:ind w:left="0"/>
      </w:pPr>
    </w:p>
    <w:p w14:paraId="72C94F7C" w14:textId="77777777" w:rsidR="006C34D9" w:rsidRDefault="00CB5041">
      <w:pPr>
        <w:spacing w:before="1"/>
        <w:ind w:left="660"/>
        <w:jc w:val="both"/>
        <w:rPr>
          <w:b/>
        </w:rPr>
      </w:pP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Adverse</w:t>
      </w:r>
      <w:r>
        <w:rPr>
          <w:b/>
          <w:spacing w:val="-4"/>
        </w:rPr>
        <w:t xml:space="preserve"> </w:t>
      </w:r>
      <w:r>
        <w:rPr>
          <w:b/>
        </w:rPr>
        <w:t>drug</w:t>
      </w:r>
      <w:r>
        <w:rPr>
          <w:b/>
          <w:spacing w:val="-3"/>
        </w:rPr>
        <w:t xml:space="preserve"> </w:t>
      </w:r>
      <w:r>
        <w:rPr>
          <w:b/>
        </w:rPr>
        <w:t>reactions</w:t>
      </w:r>
      <w:r>
        <w:rPr>
          <w:b/>
          <w:spacing w:val="-4"/>
        </w:rPr>
        <w:t xml:space="preserve"> </w:t>
      </w:r>
      <w:r>
        <w:rPr>
          <w:b/>
        </w:rPr>
        <w:t>from</w:t>
      </w:r>
      <w:r>
        <w:rPr>
          <w:b/>
          <w:spacing w:val="-3"/>
        </w:rPr>
        <w:t xml:space="preserve"> </w:t>
      </w:r>
      <w:r>
        <w:rPr>
          <w:b/>
        </w:rPr>
        <w:t>post</w:t>
      </w:r>
      <w:r>
        <w:rPr>
          <w:b/>
          <w:spacing w:val="-3"/>
        </w:rPr>
        <w:t xml:space="preserve"> </w:t>
      </w:r>
      <w:r>
        <w:rPr>
          <w:b/>
        </w:rPr>
        <w:t>marketing</w:t>
      </w:r>
      <w:r>
        <w:rPr>
          <w:b/>
          <w:spacing w:val="-3"/>
        </w:rPr>
        <w:t xml:space="preserve"> </w:t>
      </w:r>
      <w:r>
        <w:rPr>
          <w:b/>
        </w:rPr>
        <w:t>experience</w:t>
      </w:r>
    </w:p>
    <w:p w14:paraId="2FFB3FEF" w14:textId="77777777" w:rsidR="006C34D9" w:rsidRDefault="006C34D9">
      <w:pPr>
        <w:pStyle w:val="BodyText"/>
        <w:spacing w:before="5"/>
        <w:ind w:left="0"/>
        <w:rPr>
          <w:b/>
          <w:sz w:val="10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8"/>
        <w:gridCol w:w="4140"/>
      </w:tblGrid>
      <w:tr w:rsidR="006C34D9" w14:paraId="3530DE58" w14:textId="77777777">
        <w:trPr>
          <w:trHeight w:val="252"/>
        </w:trPr>
        <w:tc>
          <w:tcPr>
            <w:tcW w:w="4878" w:type="dxa"/>
          </w:tcPr>
          <w:p w14:paraId="54D07F47" w14:textId="77777777" w:rsidR="006C34D9" w:rsidRDefault="00CB504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Adverse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(MedDRA)</w:t>
            </w:r>
          </w:p>
        </w:tc>
        <w:tc>
          <w:tcPr>
            <w:tcW w:w="4140" w:type="dxa"/>
          </w:tcPr>
          <w:p w14:paraId="5DAF9D42" w14:textId="77777777" w:rsidR="006C34D9" w:rsidRDefault="00CB504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Frequency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Category</w:t>
            </w:r>
          </w:p>
        </w:tc>
      </w:tr>
      <w:tr w:rsidR="006C34D9" w14:paraId="4935D5A4" w14:textId="77777777">
        <w:trPr>
          <w:trHeight w:val="252"/>
        </w:trPr>
        <w:tc>
          <w:tcPr>
            <w:tcW w:w="9018" w:type="dxa"/>
            <w:gridSpan w:val="2"/>
          </w:tcPr>
          <w:p w14:paraId="2ECEA8FE" w14:textId="77777777" w:rsidR="006C34D9" w:rsidRDefault="00CB504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Immune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disorders</w:t>
            </w:r>
          </w:p>
        </w:tc>
      </w:tr>
      <w:tr w:rsidR="006C34D9" w14:paraId="6E01911D" w14:textId="77777777">
        <w:trPr>
          <w:trHeight w:val="253"/>
        </w:trPr>
        <w:tc>
          <w:tcPr>
            <w:tcW w:w="4878" w:type="dxa"/>
          </w:tcPr>
          <w:p w14:paraId="3151C55A" w14:textId="77777777" w:rsidR="006C34D9" w:rsidRDefault="00CB5041">
            <w:pPr>
              <w:pStyle w:val="TableParagraph"/>
              <w:spacing w:line="234" w:lineRule="exact"/>
            </w:pPr>
            <w:r>
              <w:rPr>
                <w:spacing w:val="-1"/>
              </w:rPr>
              <w:t>Anaphylaxis</w:t>
            </w:r>
            <w:r>
              <w:rPr>
                <w:spacing w:val="-2"/>
              </w:rPr>
              <w:t xml:space="preserve"> </w:t>
            </w:r>
            <w:r>
              <w:t>(fatal)</w:t>
            </w:r>
            <w:r>
              <w:rPr>
                <w:vertAlign w:val="superscript"/>
              </w:rPr>
              <w:t>1,</w:t>
            </w:r>
            <w:r>
              <w:rPr>
                <w:spacing w:val="-20"/>
              </w:rPr>
              <w:t xml:space="preserve"> </w:t>
            </w:r>
            <w:r>
              <w:rPr>
                <w:vertAlign w:val="superscript"/>
              </w:rPr>
              <w:t>2</w:t>
            </w:r>
          </w:p>
        </w:tc>
        <w:tc>
          <w:tcPr>
            <w:tcW w:w="4140" w:type="dxa"/>
          </w:tcPr>
          <w:p w14:paraId="290CE031" w14:textId="77777777" w:rsidR="006C34D9" w:rsidRDefault="00CB5041">
            <w:pPr>
              <w:pStyle w:val="TableParagraph"/>
              <w:spacing w:line="234" w:lineRule="exact"/>
            </w:pPr>
            <w:r>
              <w:t>Rare</w:t>
            </w:r>
          </w:p>
        </w:tc>
      </w:tr>
      <w:tr w:rsidR="006C34D9" w14:paraId="3705157B" w14:textId="77777777">
        <w:trPr>
          <w:trHeight w:val="252"/>
        </w:trPr>
        <w:tc>
          <w:tcPr>
            <w:tcW w:w="9018" w:type="dxa"/>
            <w:gridSpan w:val="2"/>
          </w:tcPr>
          <w:p w14:paraId="4D28F328" w14:textId="77777777" w:rsidR="006C34D9" w:rsidRDefault="00CB504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Skin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subcutaneous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tissue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disorders</w:t>
            </w:r>
          </w:p>
        </w:tc>
      </w:tr>
      <w:tr w:rsidR="006C34D9" w14:paraId="05BCB5B2" w14:textId="77777777">
        <w:trPr>
          <w:trHeight w:val="252"/>
        </w:trPr>
        <w:tc>
          <w:tcPr>
            <w:tcW w:w="4878" w:type="dxa"/>
          </w:tcPr>
          <w:p w14:paraId="5915E241" w14:textId="77777777" w:rsidR="006C34D9" w:rsidRDefault="00CB5041">
            <w:pPr>
              <w:pStyle w:val="TableParagraph"/>
              <w:spacing w:line="233" w:lineRule="exact"/>
            </w:pPr>
            <w:r>
              <w:t>Stevens-Johnson</w:t>
            </w:r>
            <w:r>
              <w:rPr>
                <w:spacing w:val="-6"/>
              </w:rPr>
              <w:t xml:space="preserve"> </w:t>
            </w:r>
            <w:r>
              <w:t>syndrome</w:t>
            </w:r>
            <w:r>
              <w:rPr>
                <w:vertAlign w:val="superscript"/>
              </w:rPr>
              <w:t>3</w:t>
            </w:r>
          </w:p>
        </w:tc>
        <w:tc>
          <w:tcPr>
            <w:tcW w:w="4140" w:type="dxa"/>
          </w:tcPr>
          <w:p w14:paraId="3795B7E6" w14:textId="77777777" w:rsidR="006C34D9" w:rsidRDefault="00CB5041">
            <w:pPr>
              <w:pStyle w:val="TableParagraph"/>
              <w:spacing w:line="233" w:lineRule="exact"/>
            </w:pPr>
            <w:r>
              <w:t>Rare</w:t>
            </w:r>
          </w:p>
        </w:tc>
      </w:tr>
      <w:tr w:rsidR="006C34D9" w14:paraId="2CFB444E" w14:textId="77777777">
        <w:trPr>
          <w:trHeight w:val="252"/>
        </w:trPr>
        <w:tc>
          <w:tcPr>
            <w:tcW w:w="9018" w:type="dxa"/>
            <w:gridSpan w:val="2"/>
          </w:tcPr>
          <w:p w14:paraId="3393178D" w14:textId="77777777" w:rsidR="006C34D9" w:rsidRDefault="00CB504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Blood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lymphatic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disorders</w:t>
            </w:r>
          </w:p>
        </w:tc>
      </w:tr>
      <w:tr w:rsidR="006C34D9" w14:paraId="33DC29DC" w14:textId="77777777">
        <w:trPr>
          <w:trHeight w:val="252"/>
        </w:trPr>
        <w:tc>
          <w:tcPr>
            <w:tcW w:w="4878" w:type="dxa"/>
          </w:tcPr>
          <w:p w14:paraId="3E783423" w14:textId="77777777" w:rsidR="006C34D9" w:rsidRDefault="00CB5041">
            <w:pPr>
              <w:pStyle w:val="TableParagraph"/>
              <w:spacing w:line="233" w:lineRule="exact"/>
            </w:pPr>
            <w:r>
              <w:t>Hypofibrinogenemia</w:t>
            </w:r>
          </w:p>
        </w:tc>
        <w:tc>
          <w:tcPr>
            <w:tcW w:w="4140" w:type="dxa"/>
          </w:tcPr>
          <w:p w14:paraId="2474E75A" w14:textId="77777777" w:rsidR="006C34D9" w:rsidRDefault="00CB5041">
            <w:pPr>
              <w:pStyle w:val="TableParagraph"/>
              <w:spacing w:line="233" w:lineRule="exact"/>
            </w:pPr>
            <w:r>
              <w:t>Common</w:t>
            </w:r>
          </w:p>
        </w:tc>
      </w:tr>
      <w:tr w:rsidR="006C34D9" w14:paraId="4A658B34" w14:textId="77777777">
        <w:trPr>
          <w:trHeight w:val="254"/>
        </w:trPr>
        <w:tc>
          <w:tcPr>
            <w:tcW w:w="4878" w:type="dxa"/>
          </w:tcPr>
          <w:p w14:paraId="203E9F50" w14:textId="77777777" w:rsidR="006C34D9" w:rsidRDefault="00CB504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lastRenderedPageBreak/>
              <w:t>Hepatobiliary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disorders</w:t>
            </w:r>
            <w:r>
              <w:rPr>
                <w:b/>
                <w:vertAlign w:val="superscript"/>
              </w:rPr>
              <w:t>4</w:t>
            </w:r>
          </w:p>
        </w:tc>
        <w:tc>
          <w:tcPr>
            <w:tcW w:w="4140" w:type="dxa"/>
          </w:tcPr>
          <w:p w14:paraId="1D7270FE" w14:textId="77777777" w:rsidR="006C34D9" w:rsidRDefault="006C34D9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49A15F2" w14:textId="77777777" w:rsidR="006C34D9" w:rsidRDefault="006C34D9">
      <w:pPr>
        <w:rPr>
          <w:sz w:val="18"/>
        </w:rPr>
        <w:sectPr w:rsidR="006C34D9">
          <w:pgSz w:w="11910" w:h="16840"/>
          <w:pgMar w:top="1340" w:right="780" w:bottom="1488" w:left="780" w:header="0" w:footer="592" w:gutter="0"/>
          <w:cols w:space="720"/>
        </w:sect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8"/>
        <w:gridCol w:w="4140"/>
      </w:tblGrid>
      <w:tr w:rsidR="006C34D9" w14:paraId="216160F2" w14:textId="77777777">
        <w:trPr>
          <w:trHeight w:val="252"/>
        </w:trPr>
        <w:tc>
          <w:tcPr>
            <w:tcW w:w="4878" w:type="dxa"/>
          </w:tcPr>
          <w:p w14:paraId="1648A667" w14:textId="77777777" w:rsidR="006C34D9" w:rsidRDefault="00CB504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Adverse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(MedDRA)</w:t>
            </w:r>
          </w:p>
        </w:tc>
        <w:tc>
          <w:tcPr>
            <w:tcW w:w="4140" w:type="dxa"/>
          </w:tcPr>
          <w:p w14:paraId="7C248DD0" w14:textId="77777777" w:rsidR="006C34D9" w:rsidRDefault="00CB504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Frequency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Category</w:t>
            </w:r>
          </w:p>
        </w:tc>
      </w:tr>
      <w:tr w:rsidR="006C34D9" w14:paraId="29255917" w14:textId="77777777">
        <w:trPr>
          <w:trHeight w:val="252"/>
        </w:trPr>
        <w:tc>
          <w:tcPr>
            <w:tcW w:w="4878" w:type="dxa"/>
          </w:tcPr>
          <w:p w14:paraId="2FD0EB79" w14:textId="77777777" w:rsidR="006C34D9" w:rsidRDefault="00CB5041">
            <w:pPr>
              <w:pStyle w:val="TableParagraph"/>
              <w:spacing w:line="233" w:lineRule="exact"/>
            </w:pPr>
            <w:r>
              <w:t>Drug-induced</w:t>
            </w:r>
            <w:r>
              <w:rPr>
                <w:spacing w:val="-4"/>
              </w:rPr>
              <w:t xml:space="preserve"> </w:t>
            </w:r>
            <w:r>
              <w:t>liver</w:t>
            </w:r>
            <w:r>
              <w:rPr>
                <w:spacing w:val="-3"/>
              </w:rPr>
              <w:t xml:space="preserve"> </w:t>
            </w:r>
            <w:r>
              <w:t>injury</w:t>
            </w:r>
          </w:p>
        </w:tc>
        <w:tc>
          <w:tcPr>
            <w:tcW w:w="4140" w:type="dxa"/>
          </w:tcPr>
          <w:p w14:paraId="7CE64656" w14:textId="77777777" w:rsidR="006C34D9" w:rsidRDefault="00CB5041">
            <w:pPr>
              <w:pStyle w:val="TableParagraph"/>
              <w:spacing w:line="233" w:lineRule="exact"/>
            </w:pPr>
            <w:r>
              <w:t>Rare</w:t>
            </w:r>
          </w:p>
        </w:tc>
      </w:tr>
      <w:tr w:rsidR="006C34D9" w14:paraId="032D4167" w14:textId="77777777">
        <w:trPr>
          <w:trHeight w:val="252"/>
        </w:trPr>
        <w:tc>
          <w:tcPr>
            <w:tcW w:w="4878" w:type="dxa"/>
          </w:tcPr>
          <w:p w14:paraId="18D786F9" w14:textId="77777777" w:rsidR="006C34D9" w:rsidRDefault="00CB5041">
            <w:pPr>
              <w:pStyle w:val="TableParagraph"/>
              <w:spacing w:line="233" w:lineRule="exact"/>
            </w:pPr>
            <w:r>
              <w:t>Hepatitis</w:t>
            </w:r>
          </w:p>
        </w:tc>
        <w:tc>
          <w:tcPr>
            <w:tcW w:w="4140" w:type="dxa"/>
          </w:tcPr>
          <w:p w14:paraId="1F61BA1A" w14:textId="77777777" w:rsidR="006C34D9" w:rsidRDefault="00CB5041">
            <w:pPr>
              <w:pStyle w:val="TableParagraph"/>
              <w:spacing w:line="233" w:lineRule="exact"/>
            </w:pPr>
            <w:r>
              <w:t>Rare</w:t>
            </w:r>
          </w:p>
        </w:tc>
      </w:tr>
      <w:tr w:rsidR="006C34D9" w14:paraId="7D89860A" w14:textId="77777777">
        <w:trPr>
          <w:trHeight w:val="254"/>
        </w:trPr>
        <w:tc>
          <w:tcPr>
            <w:tcW w:w="4878" w:type="dxa"/>
          </w:tcPr>
          <w:p w14:paraId="7A32CA9B" w14:textId="77777777" w:rsidR="006C34D9" w:rsidRDefault="00CB5041">
            <w:pPr>
              <w:pStyle w:val="TableParagraph"/>
              <w:spacing w:line="234" w:lineRule="exact"/>
            </w:pPr>
            <w:r>
              <w:t>Hepatic</w:t>
            </w:r>
            <w:r>
              <w:rPr>
                <w:spacing w:val="-4"/>
              </w:rPr>
              <w:t xml:space="preserve"> </w:t>
            </w:r>
            <w:r>
              <w:t>failure</w:t>
            </w:r>
          </w:p>
        </w:tc>
        <w:tc>
          <w:tcPr>
            <w:tcW w:w="4140" w:type="dxa"/>
          </w:tcPr>
          <w:p w14:paraId="09939360" w14:textId="77777777" w:rsidR="006C34D9" w:rsidRDefault="00CB5041">
            <w:pPr>
              <w:pStyle w:val="TableParagraph"/>
              <w:spacing w:line="234" w:lineRule="exact"/>
            </w:pPr>
            <w:r>
              <w:t>Rare</w:t>
            </w:r>
          </w:p>
        </w:tc>
      </w:tr>
      <w:tr w:rsidR="006C34D9" w14:paraId="3B93159F" w14:textId="77777777">
        <w:trPr>
          <w:trHeight w:val="252"/>
        </w:trPr>
        <w:tc>
          <w:tcPr>
            <w:tcW w:w="4878" w:type="dxa"/>
          </w:tcPr>
          <w:p w14:paraId="1FE8285E" w14:textId="77777777" w:rsidR="006C34D9" w:rsidRDefault="00CB5041">
            <w:pPr>
              <w:pStyle w:val="TableParagraph"/>
              <w:spacing w:line="233" w:lineRule="exact"/>
            </w:pPr>
            <w:r>
              <w:t>Jaundice</w:t>
            </w:r>
          </w:p>
        </w:tc>
        <w:tc>
          <w:tcPr>
            <w:tcW w:w="4140" w:type="dxa"/>
          </w:tcPr>
          <w:p w14:paraId="28616602" w14:textId="77777777" w:rsidR="006C34D9" w:rsidRDefault="00CB5041">
            <w:pPr>
              <w:pStyle w:val="TableParagraph"/>
              <w:spacing w:line="233" w:lineRule="exact"/>
            </w:pPr>
            <w:r>
              <w:t>Rare</w:t>
            </w:r>
          </w:p>
        </w:tc>
      </w:tr>
    </w:tbl>
    <w:p w14:paraId="14B145C3" w14:textId="77777777" w:rsidR="006C34D9" w:rsidRDefault="00CB5041">
      <w:pPr>
        <w:spacing w:before="1" w:line="230" w:lineRule="exact"/>
        <w:ind w:left="660"/>
        <w:jc w:val="both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4.3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Contraindications</w:t>
      </w:r>
    </w:p>
    <w:p w14:paraId="6FCE0AE0" w14:textId="77777777" w:rsidR="006C34D9" w:rsidRDefault="00CB5041">
      <w:pPr>
        <w:spacing w:line="230" w:lineRule="exact"/>
        <w:ind w:left="660"/>
        <w:jc w:val="both"/>
        <w:rPr>
          <w:i/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4.4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Special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warnings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precautions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use</w:t>
      </w:r>
    </w:p>
    <w:p w14:paraId="4E8426B0" w14:textId="77777777" w:rsidR="006C34D9" w:rsidRDefault="00CB5041">
      <w:pPr>
        <w:ind w:left="660" w:right="657"/>
        <w:jc w:val="both"/>
        <w:rPr>
          <w:sz w:val="20"/>
        </w:rPr>
      </w:pPr>
      <w:r>
        <w:rPr>
          <w:spacing w:val="-1"/>
          <w:sz w:val="20"/>
          <w:vertAlign w:val="superscript"/>
        </w:rPr>
        <w:t>3</w:t>
      </w:r>
      <w:r>
        <w:rPr>
          <w:spacing w:val="-1"/>
          <w:sz w:val="20"/>
        </w:rPr>
        <w:t xml:space="preserve"> This adverse reaction was identified through post marketing </w:t>
      </w:r>
      <w:r>
        <w:rPr>
          <w:sz w:val="20"/>
        </w:rPr>
        <w:t>surveillance but not observed in controlled clinical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trials. The frequency category was estimated as the upper limit of the 95% confidence interval calculated </w:t>
      </w:r>
      <w:proofErr w:type="gramStart"/>
      <w:r>
        <w:rPr>
          <w:sz w:val="20"/>
        </w:rPr>
        <w:t>on the</w:t>
      </w:r>
      <w:r>
        <w:rPr>
          <w:spacing w:val="1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patients exposed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Actemra in clinical</w:t>
      </w:r>
      <w:r>
        <w:rPr>
          <w:spacing w:val="-1"/>
          <w:sz w:val="20"/>
        </w:rPr>
        <w:t xml:space="preserve"> </w:t>
      </w:r>
      <w:r>
        <w:rPr>
          <w:sz w:val="20"/>
        </w:rPr>
        <w:t>trials.</w:t>
      </w:r>
    </w:p>
    <w:p w14:paraId="3ECD1CC2" w14:textId="77777777" w:rsidR="006C34D9" w:rsidRDefault="00CB5041">
      <w:pPr>
        <w:ind w:left="659" w:right="659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Frequency categories calculated based on all-exposure data obtained from relevant completed clinical trials for</w:t>
      </w:r>
      <w:r>
        <w:rPr>
          <w:spacing w:val="-47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indications.</w:t>
      </w:r>
    </w:p>
    <w:p w14:paraId="5DD50AC1" w14:textId="77777777" w:rsidR="006C34D9" w:rsidRDefault="006C34D9">
      <w:pPr>
        <w:pStyle w:val="BodyText"/>
        <w:ind w:left="0"/>
        <w:rPr>
          <w:sz w:val="20"/>
        </w:rPr>
      </w:pPr>
    </w:p>
    <w:p w14:paraId="510A6481" w14:textId="77777777" w:rsidR="006C34D9" w:rsidRDefault="00CB5041">
      <w:pPr>
        <w:ind w:left="660" w:right="658"/>
        <w:jc w:val="both"/>
        <w:rPr>
          <w:sz w:val="24"/>
        </w:rPr>
      </w:pPr>
      <w:r>
        <w:rPr>
          <w:i/>
          <w:sz w:val="24"/>
        </w:rPr>
        <w:t xml:space="preserve">Respiratory, </w:t>
      </w:r>
      <w:proofErr w:type="gramStart"/>
      <w:r>
        <w:rPr>
          <w:i/>
          <w:sz w:val="24"/>
        </w:rPr>
        <w:t>thoracic</w:t>
      </w:r>
      <w:proofErr w:type="gramEnd"/>
      <w:r>
        <w:rPr>
          <w:i/>
          <w:sz w:val="24"/>
        </w:rPr>
        <w:t xml:space="preserve"> and mediastinal disorders</w:t>
      </w:r>
      <w:r>
        <w:rPr>
          <w:sz w:val="24"/>
        </w:rPr>
        <w:t>: There have been reports of interstitial lung</w:t>
      </w:r>
      <w:r>
        <w:rPr>
          <w:spacing w:val="1"/>
          <w:sz w:val="24"/>
        </w:rPr>
        <w:t xml:space="preserve"> </w:t>
      </w:r>
      <w:r>
        <w:rPr>
          <w:sz w:val="24"/>
        </w:rPr>
        <w:t>disease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"/>
          <w:sz w:val="24"/>
        </w:rPr>
        <w:t xml:space="preserve"> </w:t>
      </w:r>
      <w:r>
        <w:rPr>
          <w:sz w:val="24"/>
        </w:rPr>
        <w:t>pneumonitis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pulmonary</w:t>
      </w:r>
      <w:r>
        <w:rPr>
          <w:spacing w:val="-2"/>
          <w:sz w:val="24"/>
        </w:rPr>
        <w:t xml:space="preserve"> </w:t>
      </w:r>
      <w:r>
        <w:rPr>
          <w:sz w:val="24"/>
        </w:rPr>
        <w:t>fibrosis),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fatal</w:t>
      </w:r>
      <w:r>
        <w:rPr>
          <w:spacing w:val="-1"/>
          <w:sz w:val="24"/>
        </w:rPr>
        <w:t xml:space="preserve"> </w:t>
      </w:r>
      <w:r>
        <w:rPr>
          <w:sz w:val="24"/>
        </w:rPr>
        <w:t>outcomes.</w:t>
      </w:r>
    </w:p>
    <w:p w14:paraId="16BE9344" w14:textId="77777777" w:rsidR="006C34D9" w:rsidRDefault="006C34D9">
      <w:pPr>
        <w:pStyle w:val="BodyText"/>
        <w:ind w:left="0"/>
      </w:pPr>
    </w:p>
    <w:p w14:paraId="2824487C" w14:textId="77777777" w:rsidR="006C34D9" w:rsidRDefault="00CB5041">
      <w:pPr>
        <w:ind w:left="660"/>
        <w:jc w:val="both"/>
        <w:rPr>
          <w:sz w:val="24"/>
        </w:rPr>
      </w:pPr>
      <w:r>
        <w:rPr>
          <w:i/>
          <w:sz w:val="24"/>
        </w:rPr>
        <w:t>Blood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lymphatic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disorders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2"/>
          <w:sz w:val="24"/>
        </w:rPr>
        <w:t xml:space="preserve"> </w:t>
      </w:r>
      <w:r>
        <w:rPr>
          <w:sz w:val="24"/>
        </w:rPr>
        <w:t>rare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pancytopenia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occurred.</w:t>
      </w:r>
    </w:p>
    <w:p w14:paraId="12FD7A0B" w14:textId="77777777" w:rsidR="006C34D9" w:rsidRDefault="00CB5041">
      <w:pPr>
        <w:pStyle w:val="Heading2"/>
        <w:spacing w:before="202"/>
      </w:pPr>
      <w:bookmarkStart w:id="91" w:name="Reporting_of_suspected_adverse_reactions"/>
      <w:bookmarkEnd w:id="91"/>
      <w:r>
        <w:t>Reporting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suspected</w:t>
      </w:r>
      <w:r>
        <w:rPr>
          <w:spacing w:val="-4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reactions</w:t>
      </w:r>
    </w:p>
    <w:p w14:paraId="213FA5EE" w14:textId="77777777" w:rsidR="006C34D9" w:rsidRDefault="00CB5041">
      <w:pPr>
        <w:pStyle w:val="BodyText"/>
        <w:spacing w:before="35"/>
        <w:ind w:left="659" w:right="657"/>
        <w:jc w:val="both"/>
      </w:pPr>
      <w:r>
        <w:t>Reporting suspected adverse reactions after registration of the medicinal product is important.</w:t>
      </w:r>
      <w:r>
        <w:rPr>
          <w:spacing w:val="-5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allows</w:t>
      </w:r>
      <w:r>
        <w:rPr>
          <w:spacing w:val="-8"/>
        </w:rPr>
        <w:t xml:space="preserve"> </w:t>
      </w:r>
      <w:r>
        <w:t>continued</w:t>
      </w:r>
      <w:r>
        <w:rPr>
          <w:spacing w:val="-9"/>
        </w:rPr>
        <w:t xml:space="preserve"> </w:t>
      </w:r>
      <w:r>
        <w:t>monitoring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benefit-risk</w:t>
      </w:r>
      <w:r>
        <w:rPr>
          <w:spacing w:val="-10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medicinal</w:t>
      </w:r>
      <w:r>
        <w:rPr>
          <w:spacing w:val="-8"/>
        </w:rPr>
        <w:t xml:space="preserve"> </w:t>
      </w:r>
      <w:r>
        <w:t>product.</w:t>
      </w:r>
      <w:r>
        <w:rPr>
          <w:spacing w:val="-9"/>
        </w:rPr>
        <w:t xml:space="preserve"> </w:t>
      </w:r>
      <w:r>
        <w:t>Healthcare</w:t>
      </w:r>
      <w:r>
        <w:rPr>
          <w:spacing w:val="-58"/>
        </w:rPr>
        <w:t xml:space="preserve"> </w:t>
      </w:r>
      <w:r>
        <w:t>professionals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asked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suspected</w:t>
      </w:r>
      <w:r>
        <w:rPr>
          <w:spacing w:val="-13"/>
        </w:rPr>
        <w:t xml:space="preserve"> </w:t>
      </w:r>
      <w:r>
        <w:t>adverse</w:t>
      </w:r>
      <w:r>
        <w:rPr>
          <w:spacing w:val="-13"/>
        </w:rPr>
        <w:t xml:space="preserve"> </w:t>
      </w:r>
      <w:r>
        <w:t>reactions</w:t>
      </w:r>
      <w:r>
        <w:rPr>
          <w:spacing w:val="-12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1">
        <w:r>
          <w:rPr>
            <w:u w:val="single"/>
          </w:rPr>
          <w:t>www.tga.gov.au/reporting-</w:t>
        </w:r>
      </w:hyperlink>
      <w:r>
        <w:rPr>
          <w:spacing w:val="-58"/>
        </w:rPr>
        <w:t xml:space="preserve"> </w:t>
      </w:r>
      <w:hyperlink r:id="rId12">
        <w:bookmarkStart w:id="92" w:name="4.9_OVERDOSE"/>
        <w:bookmarkEnd w:id="92"/>
        <w:r>
          <w:rPr>
            <w:u w:val="single"/>
          </w:rPr>
          <w:t>problems</w:t>
        </w:r>
        <w:r>
          <w:t>.</w:t>
        </w:r>
      </w:hyperlink>
    </w:p>
    <w:p w14:paraId="21CD5C33" w14:textId="77777777" w:rsidR="006C34D9" w:rsidRDefault="00CB5041">
      <w:pPr>
        <w:pStyle w:val="Heading1"/>
        <w:tabs>
          <w:tab w:val="left" w:pos="1445"/>
        </w:tabs>
        <w:spacing w:before="201"/>
        <w:ind w:left="660" w:firstLine="0"/>
      </w:pPr>
      <w:r>
        <w:t>4.9</w:t>
      </w:r>
      <w:r>
        <w:tab/>
        <w:t>OVERDOSE</w:t>
      </w:r>
    </w:p>
    <w:p w14:paraId="5E56E7F8" w14:textId="77777777" w:rsidR="006C34D9" w:rsidRDefault="00CB5041">
      <w:pPr>
        <w:pStyle w:val="BodyText"/>
        <w:ind w:right="657"/>
        <w:jc w:val="both"/>
      </w:pPr>
      <w:r>
        <w:t>There are limited data available on overdose with Actemra. One case of accidental overdose</w:t>
      </w:r>
      <w:r>
        <w:rPr>
          <w:spacing w:val="1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myeloma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dose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mg/kg</w:t>
      </w:r>
      <w:r>
        <w:rPr>
          <w:spacing w:val="-5"/>
        </w:rPr>
        <w:t xml:space="preserve"> </w:t>
      </w:r>
      <w:r>
        <w:t>IV.</w:t>
      </w:r>
      <w:r>
        <w:rPr>
          <w:spacing w:val="-5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reactions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observed.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reactions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healthy volunteers who received a single dose up to 28 mg/kg IV, although dose-limiting</w:t>
      </w:r>
      <w:r>
        <w:rPr>
          <w:spacing w:val="1"/>
        </w:rPr>
        <w:t xml:space="preserve"> </w:t>
      </w:r>
      <w:r>
        <w:t>neutropenia</w:t>
      </w:r>
      <w:r>
        <w:rPr>
          <w:spacing w:val="-2"/>
        </w:rPr>
        <w:t xml:space="preserve"> </w:t>
      </w:r>
      <w:r>
        <w:t>was observed.</w:t>
      </w:r>
    </w:p>
    <w:p w14:paraId="470DEDF5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7C6EBA2D" w14:textId="77777777" w:rsidR="006C34D9" w:rsidRDefault="00CB5041">
      <w:pPr>
        <w:pStyle w:val="BodyText"/>
        <w:jc w:val="both"/>
      </w:pPr>
      <w:r>
        <w:t>Treatment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overdose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measures.</w:t>
      </w:r>
    </w:p>
    <w:p w14:paraId="3EE938F3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43A8BA3" w14:textId="77777777" w:rsidR="006C34D9" w:rsidRDefault="00CB5041">
      <w:pPr>
        <w:pStyle w:val="BodyText"/>
        <w:ind w:right="657"/>
        <w:jc w:val="both"/>
      </w:pPr>
      <w:r>
        <w:t>For information on the management of overdose, contact the Poisons Information Centre on</w:t>
      </w:r>
      <w:r>
        <w:rPr>
          <w:spacing w:val="1"/>
        </w:rPr>
        <w:t xml:space="preserve"> </w:t>
      </w:r>
      <w:r>
        <w:t>131126</w:t>
      </w:r>
      <w:r>
        <w:rPr>
          <w:spacing w:val="-1"/>
        </w:rPr>
        <w:t xml:space="preserve"> </w:t>
      </w:r>
      <w:r>
        <w:t>(Australia).</w:t>
      </w:r>
    </w:p>
    <w:p w14:paraId="250B9906" w14:textId="77777777" w:rsidR="006C34D9" w:rsidRDefault="006C34D9">
      <w:pPr>
        <w:pStyle w:val="BodyText"/>
        <w:spacing w:before="1"/>
        <w:ind w:left="0"/>
        <w:rPr>
          <w:sz w:val="21"/>
        </w:rPr>
      </w:pPr>
    </w:p>
    <w:p w14:paraId="48FA467B" w14:textId="77777777" w:rsidR="006C34D9" w:rsidRDefault="00CB5041">
      <w:pPr>
        <w:pStyle w:val="Heading1"/>
        <w:numPr>
          <w:ilvl w:val="0"/>
          <w:numId w:val="4"/>
        </w:numPr>
        <w:tabs>
          <w:tab w:val="left" w:pos="1020"/>
        </w:tabs>
        <w:spacing w:line="240" w:lineRule="auto"/>
      </w:pPr>
      <w:bookmarkStart w:id="93" w:name="5._PHARMACOLOGICAL_PROPERTIES"/>
      <w:bookmarkStart w:id="94" w:name="5.1__PHARMACODYNAMIC_PROPERTIES"/>
      <w:bookmarkEnd w:id="93"/>
      <w:bookmarkEnd w:id="94"/>
      <w:r>
        <w:t>PHARMACOLOGICAL</w:t>
      </w:r>
      <w:r>
        <w:rPr>
          <w:spacing w:val="-15"/>
        </w:rPr>
        <w:t xml:space="preserve"> </w:t>
      </w:r>
      <w:r>
        <w:t>PROPERTIES</w:t>
      </w:r>
    </w:p>
    <w:p w14:paraId="446ECB94" w14:textId="77777777" w:rsidR="006C34D9" w:rsidRDefault="00CB5041">
      <w:pPr>
        <w:pStyle w:val="ListParagraph"/>
        <w:numPr>
          <w:ilvl w:val="1"/>
          <w:numId w:val="4"/>
        </w:numPr>
        <w:tabs>
          <w:tab w:val="left" w:pos="1445"/>
          <w:tab w:val="left" w:pos="1446"/>
        </w:tabs>
        <w:spacing w:before="201" w:line="275" w:lineRule="exact"/>
        <w:rPr>
          <w:b/>
          <w:sz w:val="24"/>
        </w:rPr>
      </w:pPr>
      <w:r>
        <w:rPr>
          <w:b/>
          <w:sz w:val="24"/>
        </w:rPr>
        <w:t>PHARMACODYNAMIC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PROPERTIES</w:t>
      </w:r>
    </w:p>
    <w:p w14:paraId="6984C002" w14:textId="77777777" w:rsidR="006C34D9" w:rsidRDefault="00CB5041">
      <w:pPr>
        <w:spacing w:line="275" w:lineRule="exact"/>
        <w:ind w:left="660"/>
        <w:jc w:val="both"/>
        <w:rPr>
          <w:sz w:val="24"/>
        </w:rPr>
      </w:pPr>
      <w:r>
        <w:t>Pharmacotherapeutic</w:t>
      </w:r>
      <w:r>
        <w:rPr>
          <w:spacing w:val="-5"/>
        </w:rPr>
        <w:t xml:space="preserve"> </w:t>
      </w:r>
      <w:r>
        <w:t>group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Immunosuppressants,</w:t>
      </w:r>
      <w:r>
        <w:rPr>
          <w:spacing w:val="-4"/>
          <w:sz w:val="24"/>
        </w:rPr>
        <w:t xml:space="preserve"> </w:t>
      </w:r>
      <w:r>
        <w:rPr>
          <w:sz w:val="24"/>
        </w:rPr>
        <w:t>Interleukin</w:t>
      </w:r>
      <w:r>
        <w:rPr>
          <w:spacing w:val="-5"/>
          <w:sz w:val="24"/>
        </w:rPr>
        <w:t xml:space="preserve"> </w:t>
      </w:r>
      <w:r>
        <w:rPr>
          <w:sz w:val="24"/>
        </w:rPr>
        <w:t>inhibitors</w:t>
      </w:r>
      <w:r>
        <w:t>,</w:t>
      </w:r>
      <w:r>
        <w:rPr>
          <w:spacing w:val="-4"/>
        </w:rPr>
        <w:t xml:space="preserve"> </w:t>
      </w:r>
      <w:r>
        <w:t>ATC</w:t>
      </w:r>
      <w:r>
        <w:rPr>
          <w:spacing w:val="-4"/>
        </w:rPr>
        <w:t xml:space="preserve"> </w:t>
      </w:r>
      <w:r>
        <w:t>code:</w:t>
      </w:r>
      <w:r>
        <w:rPr>
          <w:spacing w:val="-3"/>
        </w:rPr>
        <w:t xml:space="preserve"> </w:t>
      </w:r>
      <w:r>
        <w:rPr>
          <w:sz w:val="24"/>
        </w:rPr>
        <w:t>L04AC07</w:t>
      </w:r>
    </w:p>
    <w:p w14:paraId="24C7055D" w14:textId="77777777" w:rsidR="006C34D9" w:rsidRDefault="00CB5041">
      <w:pPr>
        <w:pStyle w:val="Heading2"/>
        <w:spacing w:before="201"/>
      </w:pPr>
      <w:bookmarkStart w:id="95" w:name="Mechanism_of_Action"/>
      <w:bookmarkEnd w:id="95"/>
      <w:r>
        <w:t>Mechanism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Action</w:t>
      </w:r>
    </w:p>
    <w:p w14:paraId="02258533" w14:textId="77777777" w:rsidR="006C34D9" w:rsidRDefault="00CB5041">
      <w:pPr>
        <w:pStyle w:val="BodyText"/>
        <w:spacing w:before="34"/>
        <w:ind w:right="656"/>
        <w:jc w:val="both"/>
      </w:pPr>
      <w:r>
        <w:t xml:space="preserve">Tocilizumab is a recombinant </w:t>
      </w:r>
      <w:proofErr w:type="spellStart"/>
      <w:r>
        <w:t>humanised</w:t>
      </w:r>
      <w:proofErr w:type="spellEnd"/>
      <w:r>
        <w:t xml:space="preserve"> monoclonal antibody of the immunoglobulin (Ig)</w:t>
      </w:r>
      <w:r>
        <w:rPr>
          <w:spacing w:val="1"/>
        </w:rPr>
        <w:t xml:space="preserve"> </w:t>
      </w:r>
      <w:r>
        <w:t xml:space="preserve">IgG1 subclass. Tocilizumab binds to both soluble and membrane-bound IL-6 </w:t>
      </w:r>
      <w:proofErr w:type="gramStart"/>
      <w:r>
        <w:t>receptors, and</w:t>
      </w:r>
      <w:proofErr w:type="gramEnd"/>
      <w:r>
        <w:rPr>
          <w:spacing w:val="1"/>
        </w:rPr>
        <w:t xml:space="preserve"> </w:t>
      </w:r>
      <w:r>
        <w:t>has been shown to inhibit sIL-6R and mIL-6R-mediated signaling.</w:t>
      </w:r>
      <w:r>
        <w:rPr>
          <w:spacing w:val="1"/>
        </w:rPr>
        <w:t xml:space="preserve"> </w:t>
      </w:r>
      <w:r>
        <w:t>IL-6 is a multi-functional</w:t>
      </w:r>
      <w:r>
        <w:rPr>
          <w:spacing w:val="1"/>
        </w:rPr>
        <w:t xml:space="preserve"> </w:t>
      </w:r>
      <w:r>
        <w:t>cytokine, produced by a variety of cell types involved in local paracrine function as well as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systemic</w:t>
      </w:r>
      <w:r>
        <w:rPr>
          <w:spacing w:val="1"/>
        </w:rPr>
        <w:t xml:space="preserve"> </w:t>
      </w:r>
      <w:r>
        <w:t>physiological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pathological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immunoglobulin secretion, T-cell activation, induction of hepatic acute phase proteins and</w:t>
      </w:r>
      <w:r>
        <w:rPr>
          <w:spacing w:val="1"/>
        </w:rPr>
        <w:t xml:space="preserve"> </w:t>
      </w:r>
      <w:r>
        <w:t xml:space="preserve">stimulation of </w:t>
      </w:r>
      <w:proofErr w:type="spellStart"/>
      <w:r>
        <w:t>haematopoiesis</w:t>
      </w:r>
      <w:proofErr w:type="spellEnd"/>
      <w:r>
        <w:t>. IL-6 has been implicated in the pathogenesis of inflammatory</w:t>
      </w:r>
      <w:r>
        <w:rPr>
          <w:spacing w:val="1"/>
        </w:rPr>
        <w:t xml:space="preserve"> </w:t>
      </w:r>
      <w:r>
        <w:t>diseases,</w:t>
      </w:r>
      <w:r>
        <w:rPr>
          <w:spacing w:val="-1"/>
        </w:rPr>
        <w:t xml:space="preserve"> </w:t>
      </w:r>
      <w:r>
        <w:t>including rheumatoid arthritis</w:t>
      </w:r>
      <w:r>
        <w:rPr>
          <w:spacing w:val="-1"/>
        </w:rPr>
        <w:t xml:space="preserve"> </w:t>
      </w:r>
      <w:r>
        <w:t>(RA).</w:t>
      </w:r>
    </w:p>
    <w:p w14:paraId="7473A2C8" w14:textId="77777777" w:rsidR="006C34D9" w:rsidRDefault="006C34D9">
      <w:pPr>
        <w:jc w:val="both"/>
        <w:sectPr w:rsidR="006C34D9">
          <w:type w:val="continuous"/>
          <w:pgSz w:w="11910" w:h="16840"/>
          <w:pgMar w:top="1420" w:right="780" w:bottom="780" w:left="780" w:header="0" w:footer="592" w:gutter="0"/>
          <w:cols w:space="720"/>
        </w:sectPr>
      </w:pPr>
    </w:p>
    <w:p w14:paraId="1338C7C6" w14:textId="77777777" w:rsidR="006C34D9" w:rsidRDefault="00CB5041">
      <w:pPr>
        <w:pStyle w:val="BodyText"/>
        <w:spacing w:before="79"/>
        <w:ind w:right="659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possibility</w:t>
      </w:r>
      <w:r>
        <w:rPr>
          <w:spacing w:val="1"/>
        </w:rPr>
        <w:t xml:space="preserve"> </w:t>
      </w:r>
      <w:r>
        <w:t>exists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tocilizumab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host</w:t>
      </w:r>
      <w:r>
        <w:rPr>
          <w:spacing w:val="1"/>
        </w:rPr>
        <w:t xml:space="preserve"> </w:t>
      </w:r>
      <w:proofErr w:type="spellStart"/>
      <w:r>
        <w:t>defences</w:t>
      </w:r>
      <w:proofErr w:type="spellEnd"/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infections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malignancies. The role of IL-6 receptor inhibition in the development of malignancies is not</w:t>
      </w:r>
      <w:r>
        <w:rPr>
          <w:spacing w:val="1"/>
        </w:rPr>
        <w:t xml:space="preserve"> </w:t>
      </w:r>
      <w:bookmarkStart w:id="96" w:name="Pharmacodynamic_effect"/>
      <w:bookmarkEnd w:id="96"/>
      <w:r>
        <w:t>known.</w:t>
      </w:r>
    </w:p>
    <w:p w14:paraId="0454BDBE" w14:textId="77777777" w:rsidR="006C34D9" w:rsidRDefault="00CB5041">
      <w:pPr>
        <w:pStyle w:val="Heading2"/>
        <w:spacing w:before="202"/>
      </w:pPr>
      <w:r>
        <w:t>Pharmacodynamic</w:t>
      </w:r>
      <w:r>
        <w:rPr>
          <w:spacing w:val="-3"/>
        </w:rPr>
        <w:t xml:space="preserve"> </w:t>
      </w:r>
      <w:r>
        <w:t>effect</w:t>
      </w:r>
    </w:p>
    <w:p w14:paraId="41FFC816" w14:textId="77777777" w:rsidR="006C34D9" w:rsidRDefault="00CB5041">
      <w:pPr>
        <w:pStyle w:val="BodyText"/>
        <w:spacing w:before="34"/>
        <w:ind w:right="657"/>
        <w:jc w:val="both"/>
      </w:pPr>
      <w:r>
        <w:t>In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RA,</w:t>
      </w:r>
      <w:r>
        <w:rPr>
          <w:spacing w:val="1"/>
        </w:rPr>
        <w:t xml:space="preserve"> </w:t>
      </w:r>
      <w:r>
        <w:t>rapid</w:t>
      </w:r>
      <w:r>
        <w:rPr>
          <w:spacing w:val="1"/>
        </w:rPr>
        <w:t xml:space="preserve"> </w:t>
      </w:r>
      <w:r>
        <w:t>decreases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C-reactive</w:t>
      </w:r>
      <w:r>
        <w:rPr>
          <w:spacing w:val="1"/>
        </w:rPr>
        <w:t xml:space="preserve"> </w:t>
      </w:r>
      <w:r>
        <w:t>protein</w:t>
      </w:r>
      <w:r>
        <w:rPr>
          <w:spacing w:val="1"/>
        </w:rPr>
        <w:t xml:space="preserve"> </w:t>
      </w:r>
      <w:r>
        <w:t>(CRP),</w:t>
      </w:r>
      <w:r>
        <w:rPr>
          <w:spacing w:val="1"/>
        </w:rPr>
        <w:t xml:space="preserve"> </w:t>
      </w:r>
      <w:r>
        <w:t>erythrocyte sedimentation rate (ESR) and serum amyloid A and fibrinogen were observed.</w:t>
      </w:r>
      <w:r>
        <w:rPr>
          <w:spacing w:val="1"/>
        </w:rPr>
        <w:t xml:space="preserve"> </w:t>
      </w:r>
      <w:r>
        <w:t xml:space="preserve">Rapid increases in </w:t>
      </w:r>
      <w:proofErr w:type="spellStart"/>
      <w:r>
        <w:t>haemoglobin</w:t>
      </w:r>
      <w:proofErr w:type="spellEnd"/>
      <w:r>
        <w:t xml:space="preserve"> levels (within the first 2 weeks) were also observed, through</w:t>
      </w:r>
      <w:r>
        <w:rPr>
          <w:spacing w:val="1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decreasing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IL-6</w:t>
      </w:r>
      <w:r>
        <w:rPr>
          <w:spacing w:val="-12"/>
        </w:rPr>
        <w:t xml:space="preserve"> </w:t>
      </w:r>
      <w:r>
        <w:t>driven</w:t>
      </w:r>
      <w:r>
        <w:rPr>
          <w:spacing w:val="-12"/>
        </w:rPr>
        <w:t xml:space="preserve"> </w:t>
      </w:r>
      <w:r>
        <w:t>effects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hepcidin</w:t>
      </w:r>
      <w:r>
        <w:rPr>
          <w:spacing w:val="-12"/>
        </w:rPr>
        <w:t xml:space="preserve"> </w:t>
      </w:r>
      <w:r>
        <w:t>production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increase</w:t>
      </w:r>
      <w:r>
        <w:rPr>
          <w:spacing w:val="-12"/>
        </w:rPr>
        <w:t xml:space="preserve"> </w:t>
      </w:r>
      <w:r>
        <w:t>iron</w:t>
      </w:r>
      <w:r>
        <w:rPr>
          <w:spacing w:val="-12"/>
        </w:rPr>
        <w:t xml:space="preserve"> </w:t>
      </w:r>
      <w:r>
        <w:t>availability.</w:t>
      </w:r>
    </w:p>
    <w:p w14:paraId="0CABD853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3796A3F2" w14:textId="77777777" w:rsidR="006C34D9" w:rsidRDefault="00CB5041">
      <w:pPr>
        <w:pStyle w:val="BodyText"/>
        <w:spacing w:before="1"/>
        <w:ind w:right="659"/>
        <w:jc w:val="both"/>
      </w:pPr>
      <w:r>
        <w:t>In patients with giant cell arteritis (GCA), similar rapid decreases in CRP and ESR were</w:t>
      </w:r>
      <w:r>
        <w:rPr>
          <w:spacing w:val="1"/>
        </w:rPr>
        <w:t xml:space="preserve"> </w:t>
      </w:r>
      <w:r>
        <w:t>observed</w:t>
      </w:r>
      <w:r>
        <w:rPr>
          <w:spacing w:val="-1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slight</w:t>
      </w:r>
      <w:r>
        <w:rPr>
          <w:spacing w:val="-1"/>
        </w:rPr>
        <w:t xml:space="preserve"> </w:t>
      </w:r>
      <w:r>
        <w:t>increases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corpuscular</w:t>
      </w:r>
      <w:r>
        <w:rPr>
          <w:spacing w:val="-1"/>
        </w:rPr>
        <w:t xml:space="preserve"> </w:t>
      </w:r>
      <w:proofErr w:type="spellStart"/>
      <w:r>
        <w:t>haemoglobin</w:t>
      </w:r>
      <w:proofErr w:type="spellEnd"/>
      <w:r>
        <w:rPr>
          <w:spacing w:val="-1"/>
        </w:rPr>
        <w:t xml:space="preserve"> </w:t>
      </w:r>
      <w:r>
        <w:t>concentration.</w:t>
      </w:r>
    </w:p>
    <w:p w14:paraId="291C52C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EA18526" w14:textId="77777777" w:rsidR="006C34D9" w:rsidRDefault="00CB5041">
      <w:pPr>
        <w:pStyle w:val="BodyText"/>
        <w:ind w:right="657"/>
        <w:jc w:val="both"/>
      </w:pPr>
      <w:r>
        <w:t>In healthy subjects administered Actemra in doses from 2 to 28 mg/kg, absolute neutrophil</w:t>
      </w:r>
      <w:r>
        <w:rPr>
          <w:spacing w:val="1"/>
        </w:rPr>
        <w:t xml:space="preserve"> </w:t>
      </w:r>
      <w:r>
        <w:t>counts</w:t>
      </w:r>
      <w:r>
        <w:rPr>
          <w:spacing w:val="-11"/>
        </w:rPr>
        <w:t xml:space="preserve"> </w:t>
      </w:r>
      <w:r>
        <w:t>(ANC)</w:t>
      </w:r>
      <w:r>
        <w:rPr>
          <w:spacing w:val="-10"/>
        </w:rPr>
        <w:t xml:space="preserve"> </w:t>
      </w:r>
      <w:r>
        <w:t>decreased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lowest</w:t>
      </w:r>
      <w:r>
        <w:rPr>
          <w:spacing w:val="-9"/>
        </w:rPr>
        <w:t xml:space="preserve"> </w:t>
      </w:r>
      <w:r>
        <w:t>levels</w:t>
      </w:r>
      <w:r>
        <w:rPr>
          <w:spacing w:val="-11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administration.</w:t>
      </w:r>
      <w:r>
        <w:rPr>
          <w:spacing w:val="-11"/>
        </w:rPr>
        <w:t xml:space="preserve"> </w:t>
      </w:r>
      <w:r>
        <w:t>Thereafter,</w:t>
      </w:r>
      <w:r>
        <w:rPr>
          <w:spacing w:val="-57"/>
        </w:rPr>
        <w:t xml:space="preserve"> </w:t>
      </w:r>
      <w:r>
        <w:t>neutrophils recovered towards baseline in a dose dependent manner. Patients with RA and</w:t>
      </w:r>
      <w:r>
        <w:rPr>
          <w:spacing w:val="1"/>
        </w:rPr>
        <w:t xml:space="preserve"> </w:t>
      </w:r>
      <w:r>
        <w:t>GCA</w:t>
      </w:r>
      <w:r>
        <w:rPr>
          <w:spacing w:val="1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pattern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absolute</w:t>
      </w:r>
      <w:r>
        <w:rPr>
          <w:spacing w:val="1"/>
        </w:rPr>
        <w:t xml:space="preserve"> </w:t>
      </w:r>
      <w:r>
        <w:t>neutrophil</w:t>
      </w:r>
      <w:r>
        <w:rPr>
          <w:spacing w:val="1"/>
        </w:rPr>
        <w:t xml:space="preserve"> </w:t>
      </w:r>
      <w:r>
        <w:t>counts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 xml:space="preserve">administration (see section 4.4 Special warnings and precautions for use - </w:t>
      </w:r>
      <w:proofErr w:type="spellStart"/>
      <w:r>
        <w:t>Haematological</w:t>
      </w:r>
      <w:proofErr w:type="spellEnd"/>
      <w:r>
        <w:rPr>
          <w:spacing w:val="1"/>
        </w:rPr>
        <w:t xml:space="preserve"> </w:t>
      </w:r>
      <w:r>
        <w:t>Abnormalities).</w:t>
      </w:r>
    </w:p>
    <w:p w14:paraId="557DD440" w14:textId="77777777" w:rsidR="006C34D9" w:rsidRDefault="006C34D9">
      <w:pPr>
        <w:pStyle w:val="BodyText"/>
        <w:ind w:left="0"/>
      </w:pPr>
    </w:p>
    <w:p w14:paraId="57448619" w14:textId="77777777" w:rsidR="006C34D9" w:rsidRDefault="00CB5041">
      <w:pPr>
        <w:pStyle w:val="BodyText"/>
        <w:ind w:right="657"/>
        <w:jc w:val="both"/>
      </w:pPr>
      <w:r>
        <w:t>In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dose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mg/kg</w:t>
      </w:r>
      <w:r>
        <w:rPr>
          <w:spacing w:val="1"/>
        </w:rPr>
        <w:t xml:space="preserve"> </w:t>
      </w:r>
      <w:r>
        <w:t>administered</w:t>
      </w:r>
      <w:r>
        <w:rPr>
          <w:spacing w:val="1"/>
        </w:rPr>
        <w:t xml:space="preserve"> </w:t>
      </w:r>
      <w:r>
        <w:t>intravenously,</w:t>
      </w:r>
      <w:r>
        <w:rPr>
          <w:spacing w:val="1"/>
        </w:rPr>
        <w:t xml:space="preserve"> </w:t>
      </w:r>
      <w:r>
        <w:t>decreases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levels of</w:t>
      </w:r>
      <w:r>
        <w:rPr>
          <w:spacing w:val="-3"/>
        </w:rPr>
        <w:t xml:space="preserve"> </w:t>
      </w:r>
      <w:r>
        <w:t>CRP</w:t>
      </w:r>
      <w:r>
        <w:rPr>
          <w:spacing w:val="-1"/>
        </w:rPr>
        <w:t xml:space="preserve"> </w:t>
      </w:r>
      <w:r>
        <w:t>to within</w:t>
      </w:r>
      <w:r>
        <w:rPr>
          <w:spacing w:val="-1"/>
        </w:rPr>
        <w:t xml:space="preserve"> </w:t>
      </w:r>
      <w:r>
        <w:t>normal ranges</w:t>
      </w:r>
      <w:r>
        <w:rPr>
          <w:spacing w:val="-1"/>
        </w:rPr>
        <w:t xml:space="preserve"> </w:t>
      </w:r>
      <w:proofErr w:type="gramStart"/>
      <w:r>
        <w:t>were seen as</w:t>
      </w:r>
      <w:proofErr w:type="gramEnd"/>
      <w:r>
        <w:rPr>
          <w:spacing w:val="-1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proofErr w:type="spellStart"/>
      <w:r>
        <w:t>Day</w:t>
      </w:r>
      <w:proofErr w:type="spellEnd"/>
      <w:r>
        <w:t xml:space="preserve"> 7.</w:t>
      </w:r>
    </w:p>
    <w:p w14:paraId="7AD947AB" w14:textId="77777777" w:rsidR="006C34D9" w:rsidRDefault="006C34D9">
      <w:pPr>
        <w:pStyle w:val="BodyText"/>
        <w:ind w:left="0"/>
      </w:pPr>
    </w:p>
    <w:p w14:paraId="7C9F5C1C" w14:textId="77777777" w:rsidR="006C34D9" w:rsidRDefault="00CB5041">
      <w:pPr>
        <w:pStyle w:val="BodyText"/>
        <w:ind w:right="657"/>
        <w:jc w:val="both"/>
      </w:pPr>
      <w:r>
        <w:t xml:space="preserve">The PK/PD relationship between Actemra and the sIL-6R was characterized by a </w:t>
      </w:r>
      <w:proofErr w:type="spellStart"/>
      <w:r>
        <w:t>popPK-sIL</w:t>
      </w:r>
      <w:proofErr w:type="spellEnd"/>
      <w:r>
        <w:t>-</w:t>
      </w:r>
      <w:r>
        <w:rPr>
          <w:spacing w:val="-57"/>
        </w:rPr>
        <w:t xml:space="preserve"> </w:t>
      </w:r>
      <w:r>
        <w:t>6R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describing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90% saturation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sIL-6R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COVID-19.</w:t>
      </w:r>
    </w:p>
    <w:p w14:paraId="089D9B15" w14:textId="77777777" w:rsidR="006C34D9" w:rsidRDefault="006C34D9">
      <w:pPr>
        <w:pStyle w:val="BodyText"/>
        <w:ind w:left="0"/>
      </w:pPr>
    </w:p>
    <w:p w14:paraId="21532050" w14:textId="77777777" w:rsidR="006C34D9" w:rsidRDefault="00CB5041">
      <w:pPr>
        <w:pStyle w:val="BodyText"/>
        <w:ind w:right="657"/>
        <w:jc w:val="both"/>
      </w:pPr>
      <w:r>
        <w:t>In</w:t>
      </w:r>
      <w:r>
        <w:rPr>
          <w:spacing w:val="-15"/>
        </w:rPr>
        <w:t xml:space="preserve"> </w:t>
      </w:r>
      <w:r>
        <w:t>addition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body</w:t>
      </w:r>
      <w:r>
        <w:rPr>
          <w:spacing w:val="-15"/>
        </w:rPr>
        <w:t xml:space="preserve"> </w:t>
      </w:r>
      <w:r>
        <w:t>weight</w:t>
      </w:r>
      <w:r>
        <w:rPr>
          <w:spacing w:val="-14"/>
        </w:rPr>
        <w:t xml:space="preserve"> </w:t>
      </w:r>
      <w:r>
        <w:t>effect</w:t>
      </w:r>
      <w:r>
        <w:rPr>
          <w:spacing w:val="-13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linear</w:t>
      </w:r>
      <w:r>
        <w:rPr>
          <w:spacing w:val="-13"/>
        </w:rPr>
        <w:t xml:space="preserve"> </w:t>
      </w:r>
      <w:r>
        <w:t>clearance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intravenous</w:t>
      </w:r>
      <w:r>
        <w:rPr>
          <w:spacing w:val="-14"/>
        </w:rPr>
        <w:t xml:space="preserve"> </w:t>
      </w:r>
      <w:r>
        <w:t>Actemra,</w:t>
      </w:r>
      <w:r>
        <w:rPr>
          <w:spacing w:val="-14"/>
        </w:rPr>
        <w:t xml:space="preserve"> </w:t>
      </w:r>
      <w:r>
        <w:t>population</w:t>
      </w:r>
      <w:r>
        <w:rPr>
          <w:spacing w:val="-58"/>
        </w:rPr>
        <w:t xml:space="preserve"> </w:t>
      </w:r>
      <w:r>
        <w:t>PK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severity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covariate</w:t>
      </w:r>
      <w:r>
        <w:rPr>
          <w:spacing w:val="1"/>
        </w:rPr>
        <w:t xml:space="preserve"> </w:t>
      </w:r>
      <w:r>
        <w:t>impacting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pharmacokinetics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intravenous</w:t>
      </w:r>
      <w:r>
        <w:rPr>
          <w:spacing w:val="-15"/>
        </w:rPr>
        <w:t xml:space="preserve"> </w:t>
      </w:r>
      <w:r>
        <w:t>Actemra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elimination</w:t>
      </w:r>
      <w:r>
        <w:rPr>
          <w:spacing w:val="-16"/>
        </w:rPr>
        <w:t xml:space="preserve"> </w:t>
      </w:r>
      <w:r>
        <w:t>rate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TCZ-sIL-6R</w:t>
      </w:r>
      <w:r>
        <w:rPr>
          <w:spacing w:val="-15"/>
        </w:rPr>
        <w:t xml:space="preserve"> </w:t>
      </w:r>
      <w:r>
        <w:t>complex.</w:t>
      </w:r>
    </w:p>
    <w:p w14:paraId="0D0B72EF" w14:textId="77777777" w:rsidR="006C34D9" w:rsidRDefault="006C34D9">
      <w:pPr>
        <w:pStyle w:val="BodyText"/>
        <w:ind w:left="0"/>
      </w:pPr>
    </w:p>
    <w:p w14:paraId="0B44F473" w14:textId="77777777" w:rsidR="006C34D9" w:rsidRDefault="00CB5041">
      <w:pPr>
        <w:pStyle w:val="BodyText"/>
        <w:ind w:right="656"/>
        <w:jc w:val="both"/>
      </w:pPr>
      <w:r>
        <w:t>A sIL-6R occupancy of at least 90 % was maintained over approximately 3 weeks in patients</w:t>
      </w:r>
      <w:r>
        <w:rPr>
          <w:spacing w:val="1"/>
        </w:rPr>
        <w:t xml:space="preserve"> </w:t>
      </w:r>
      <w:r>
        <w:t>requiring supplemental oxygen ((i.e., patients in Category 3 of the 7-category ordinal scale),</w:t>
      </w:r>
      <w:r>
        <w:rPr>
          <w:spacing w:val="1"/>
        </w:rPr>
        <w:t xml:space="preserve"> </w:t>
      </w:r>
      <w:r>
        <w:t>and at least 2 weeks in patients presenting with the most severe COVID-19 pneumonia (i.e.,</w:t>
      </w:r>
      <w:r>
        <w:rPr>
          <w:spacing w:val="1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7-category</w:t>
      </w:r>
      <w:r>
        <w:rPr>
          <w:spacing w:val="-4"/>
        </w:rPr>
        <w:t xml:space="preserve"> </w:t>
      </w:r>
      <w:r>
        <w:t>ordinal</w:t>
      </w:r>
      <w:r>
        <w:rPr>
          <w:spacing w:val="-5"/>
        </w:rPr>
        <w:t xml:space="preserve"> </w:t>
      </w:r>
      <w:r>
        <w:t>scale)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TCZ</w:t>
      </w:r>
      <w:r>
        <w:rPr>
          <w:spacing w:val="-4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mg/kg.</w:t>
      </w:r>
      <w:r>
        <w:rPr>
          <w:spacing w:val="-58"/>
        </w:rPr>
        <w:t xml:space="preserve"> </w:t>
      </w:r>
      <w:r>
        <w:t>The duration of 90% sIL-6R saturation increased up to approximately 4 weeks following the</w:t>
      </w:r>
      <w:r>
        <w:rPr>
          <w:spacing w:val="1"/>
        </w:rPr>
        <w:t xml:space="preserve"> </w:t>
      </w:r>
      <w:r>
        <w:t>administration of a second dose of TCZ IV 8 mg/kg 24 hours apart for patients in Category 3,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 to approximately</w:t>
      </w:r>
      <w:r>
        <w:rPr>
          <w:spacing w:val="-2"/>
        </w:rPr>
        <w:t xml:space="preserve"> </w:t>
      </w:r>
      <w:r>
        <w:t>3 weeks for</w:t>
      </w:r>
      <w:r>
        <w:rPr>
          <w:spacing w:val="-1"/>
        </w:rPr>
        <w:t xml:space="preserve"> </w:t>
      </w:r>
      <w:r>
        <w:t>patients in Category 6.</w:t>
      </w:r>
    </w:p>
    <w:p w14:paraId="6F62870A" w14:textId="77777777" w:rsidR="006C34D9" w:rsidRDefault="006C34D9">
      <w:pPr>
        <w:pStyle w:val="BodyText"/>
        <w:ind w:left="0"/>
      </w:pPr>
    </w:p>
    <w:p w14:paraId="31E36B5E" w14:textId="77777777" w:rsidR="006C34D9" w:rsidRDefault="00CB5041">
      <w:pPr>
        <w:pStyle w:val="BodyText"/>
        <w:ind w:right="657"/>
        <w:jc w:val="both"/>
      </w:pPr>
      <w:r>
        <w:t>For</w:t>
      </w:r>
      <w:r>
        <w:rPr>
          <w:spacing w:val="-11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BW</w:t>
      </w:r>
      <w:r>
        <w:rPr>
          <w:spacing w:val="-13"/>
        </w:rPr>
        <w:t xml:space="preserve"> </w:t>
      </w:r>
      <w:r>
        <w:t>≥</w:t>
      </w:r>
      <w:r>
        <w:rPr>
          <w:spacing w:val="-11"/>
        </w:rPr>
        <w:t xml:space="preserve"> </w:t>
      </w:r>
      <w:r>
        <w:t>100</w:t>
      </w:r>
      <w:r>
        <w:rPr>
          <w:spacing w:val="-11"/>
        </w:rPr>
        <w:t xml:space="preserve"> </w:t>
      </w:r>
      <w:r>
        <w:t>kg</w:t>
      </w:r>
      <w:r>
        <w:rPr>
          <w:spacing w:val="-11"/>
        </w:rPr>
        <w:t xml:space="preserve"> </w:t>
      </w:r>
      <w:r>
        <w:t>administered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dose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800</w:t>
      </w:r>
      <w:r>
        <w:rPr>
          <w:spacing w:val="-11"/>
        </w:rPr>
        <w:t xml:space="preserve"> </w:t>
      </w:r>
      <w:r>
        <w:t>mg</w:t>
      </w:r>
      <w:r>
        <w:rPr>
          <w:spacing w:val="-11"/>
        </w:rPr>
        <w:t xml:space="preserve"> </w:t>
      </w:r>
      <w:r>
        <w:t>Actemra</w:t>
      </w:r>
      <w:r>
        <w:rPr>
          <w:spacing w:val="-11"/>
        </w:rPr>
        <w:t xml:space="preserve"> </w:t>
      </w:r>
      <w:r>
        <w:t>IV,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duration</w:t>
      </w:r>
      <w:r>
        <w:rPr>
          <w:spacing w:val="-58"/>
        </w:rPr>
        <w:t xml:space="preserve"> </w:t>
      </w:r>
      <w:r>
        <w:t>of 90% sIL-6R occupancy was maintained for at least 2 weeks for patients with a BW up to</w:t>
      </w:r>
      <w:r>
        <w:rPr>
          <w:spacing w:val="1"/>
        </w:rPr>
        <w:t xml:space="preserve"> </w:t>
      </w:r>
      <w:r>
        <w:t>180 kg. Following the administration of a second dose of 800 mg 24 hours apart, the duration</w:t>
      </w:r>
      <w:r>
        <w:rPr>
          <w:spacing w:val="1"/>
        </w:rPr>
        <w:t xml:space="preserve"> </w:t>
      </w:r>
      <w:r>
        <w:t>of 90 % sIL-6R occupancy increased up to approximately 4 weeks and 3 weeks for patients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BW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100 kg and 180 kg, respectively.</w:t>
      </w:r>
    </w:p>
    <w:p w14:paraId="7C9ABBCD" w14:textId="77777777" w:rsidR="006C34D9" w:rsidRDefault="00CB5041">
      <w:pPr>
        <w:pStyle w:val="Heading2"/>
        <w:spacing w:before="202"/>
      </w:pPr>
      <w:bookmarkStart w:id="97" w:name="Clinical_trials"/>
      <w:bookmarkEnd w:id="97"/>
      <w:r>
        <w:t>Clinical</w:t>
      </w:r>
      <w:r>
        <w:rPr>
          <w:spacing w:val="-5"/>
        </w:rPr>
        <w:t xml:space="preserve"> </w:t>
      </w:r>
      <w:r>
        <w:t>trials</w:t>
      </w:r>
    </w:p>
    <w:p w14:paraId="5723B2B0" w14:textId="77777777" w:rsidR="006C34D9" w:rsidRDefault="00CB5041">
      <w:pPr>
        <w:pStyle w:val="BodyText"/>
        <w:spacing w:before="34"/>
        <w:jc w:val="both"/>
      </w:pPr>
      <w:r>
        <w:rPr>
          <w:u w:val="single"/>
        </w:rPr>
        <w:t>Rheumatoid</w:t>
      </w:r>
      <w:r>
        <w:rPr>
          <w:spacing w:val="-5"/>
          <w:u w:val="single"/>
        </w:rPr>
        <w:t xml:space="preserve"> </w:t>
      </w:r>
      <w:r>
        <w:rPr>
          <w:u w:val="single"/>
        </w:rPr>
        <w:t>Arthritis</w:t>
      </w:r>
    </w:p>
    <w:p w14:paraId="0F8AF6A9" w14:textId="77777777" w:rsidR="006C34D9" w:rsidRDefault="00CB5041">
      <w:pPr>
        <w:pStyle w:val="BodyText"/>
        <w:ind w:right="656"/>
        <w:jc w:val="both"/>
      </w:pPr>
      <w:r>
        <w:t>The</w:t>
      </w:r>
      <w:r>
        <w:rPr>
          <w:spacing w:val="-12"/>
        </w:rPr>
        <w:t xml:space="preserve"> </w:t>
      </w:r>
      <w:r>
        <w:t>efficacy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intravenous</w:t>
      </w:r>
      <w:r>
        <w:rPr>
          <w:spacing w:val="-12"/>
        </w:rPr>
        <w:t xml:space="preserve"> </w:t>
      </w:r>
      <w:r>
        <w:t>Actemra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alleviating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signs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symptoms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RA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assessed</w:t>
      </w:r>
      <w:r>
        <w:rPr>
          <w:spacing w:val="-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proofErr w:type="spellStart"/>
      <w:r>
        <w:t>randomised</w:t>
      </w:r>
      <w:proofErr w:type="spellEnd"/>
      <w:r>
        <w:t>,</w:t>
      </w:r>
      <w:r>
        <w:rPr>
          <w:spacing w:val="1"/>
        </w:rPr>
        <w:t xml:space="preserve"> </w:t>
      </w:r>
      <w:r>
        <w:t>double-blind,</w:t>
      </w:r>
      <w:r>
        <w:rPr>
          <w:spacing w:val="1"/>
        </w:rPr>
        <w:t xml:space="preserve"> </w:t>
      </w:r>
      <w:r>
        <w:t>multi-</w:t>
      </w:r>
      <w:proofErr w:type="spellStart"/>
      <w:r>
        <w:t>centre</w:t>
      </w:r>
      <w:proofErr w:type="spellEnd"/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(Studies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efficacy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subcutaneous Actemra was assessed in two </w:t>
      </w:r>
      <w:proofErr w:type="spellStart"/>
      <w:r>
        <w:t>randomised</w:t>
      </w:r>
      <w:proofErr w:type="spellEnd"/>
      <w:r>
        <w:t>, double-blind studies (Studies VI and</w:t>
      </w:r>
      <w:r>
        <w:rPr>
          <w:spacing w:val="1"/>
        </w:rPr>
        <w:t xml:space="preserve"> </w:t>
      </w:r>
      <w:r>
        <w:t>VII).</w:t>
      </w:r>
      <w:r>
        <w:rPr>
          <w:spacing w:val="3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addition,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efficacy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intravenous</w:t>
      </w:r>
      <w:r>
        <w:rPr>
          <w:spacing w:val="34"/>
        </w:rPr>
        <w:t xml:space="preserve"> </w:t>
      </w:r>
      <w:r>
        <w:t>Actemra</w:t>
      </w:r>
      <w:r>
        <w:rPr>
          <w:spacing w:val="35"/>
        </w:rPr>
        <w:t xml:space="preserve"> </w:t>
      </w:r>
      <w:r>
        <w:t>has</w:t>
      </w:r>
      <w:r>
        <w:rPr>
          <w:spacing w:val="33"/>
        </w:rPr>
        <w:t xml:space="preserve"> </w:t>
      </w:r>
      <w:r>
        <w:t>been</w:t>
      </w:r>
      <w:r>
        <w:rPr>
          <w:spacing w:val="35"/>
        </w:rPr>
        <w:t xml:space="preserve"> </w:t>
      </w:r>
      <w:r>
        <w:t>evaluated</w:t>
      </w:r>
      <w:r>
        <w:rPr>
          <w:spacing w:val="3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patients</w:t>
      </w:r>
      <w:r>
        <w:rPr>
          <w:spacing w:val="35"/>
        </w:rPr>
        <w:t xml:space="preserve"> </w:t>
      </w:r>
      <w:r>
        <w:t>with</w:t>
      </w:r>
    </w:p>
    <w:p w14:paraId="61257A5F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75D48B90" w14:textId="77777777" w:rsidR="006C34D9" w:rsidRDefault="00CB5041">
      <w:pPr>
        <w:pStyle w:val="BodyText"/>
        <w:spacing w:before="79"/>
        <w:ind w:right="657"/>
        <w:jc w:val="both"/>
      </w:pPr>
      <w:r>
        <w:lastRenderedPageBreak/>
        <w:t>MTX-naïve, early RA (Study VIII) and as a monotherapy versus adalimumab monotherapy</w:t>
      </w:r>
      <w:r>
        <w:rPr>
          <w:spacing w:val="1"/>
        </w:rPr>
        <w:t xml:space="preserve"> </w:t>
      </w:r>
      <w:r>
        <w:t>(Study</w:t>
      </w:r>
      <w:r>
        <w:rPr>
          <w:spacing w:val="-1"/>
        </w:rPr>
        <w:t xml:space="preserve"> </w:t>
      </w:r>
      <w:r>
        <w:t>IX).</w:t>
      </w:r>
    </w:p>
    <w:p w14:paraId="75FB1995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D115626" w14:textId="77777777" w:rsidR="006C34D9" w:rsidRDefault="00CB5041">
      <w:pPr>
        <w:pStyle w:val="BodyText"/>
        <w:ind w:right="658"/>
        <w:jc w:val="both"/>
      </w:pPr>
      <w:r>
        <w:t xml:space="preserve">Studies I-V required patients </w:t>
      </w:r>
      <w:r>
        <w:rPr>
          <w:u w:val="single"/>
        </w:rPr>
        <w:t>&gt;</w:t>
      </w:r>
      <w:r>
        <w:t xml:space="preserve"> age 18 with active RA diagnosed according to American</w:t>
      </w:r>
      <w:r>
        <w:rPr>
          <w:spacing w:val="1"/>
        </w:rPr>
        <w:t xml:space="preserve"> </w:t>
      </w:r>
      <w:r>
        <w:t>College of Rheumatology (ACR) criteria who had at least 8 tender and 6 swollen joints at</w:t>
      </w:r>
      <w:r>
        <w:rPr>
          <w:spacing w:val="1"/>
        </w:rPr>
        <w:t xml:space="preserve"> </w:t>
      </w:r>
      <w:r>
        <w:t>baseline.</w:t>
      </w:r>
    </w:p>
    <w:p w14:paraId="5D22D4BB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C47FD7A" w14:textId="77777777" w:rsidR="006C34D9" w:rsidRDefault="00CB5041">
      <w:pPr>
        <w:pStyle w:val="BodyText"/>
        <w:ind w:right="658"/>
        <w:jc w:val="both"/>
      </w:pPr>
      <w:r>
        <w:t>Actemra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administered</w:t>
      </w:r>
      <w:r>
        <w:rPr>
          <w:spacing w:val="1"/>
        </w:rPr>
        <w:t xml:space="preserve"> </w:t>
      </w:r>
      <w:r>
        <w:t>intravenously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monotherapy</w:t>
      </w:r>
      <w:r>
        <w:rPr>
          <w:spacing w:val="1"/>
        </w:rPr>
        <w:t xml:space="preserve"> </w:t>
      </w:r>
      <w:r>
        <w:t>(Study</w:t>
      </w:r>
      <w:r>
        <w:rPr>
          <w:spacing w:val="1"/>
        </w:rPr>
        <w:t xml:space="preserve"> </w:t>
      </w:r>
      <w:r>
        <w:t>I),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combination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rPr>
          <w:spacing w:val="-1"/>
        </w:rPr>
        <w:t>methotrexate</w:t>
      </w:r>
      <w:r>
        <w:rPr>
          <w:spacing w:val="-12"/>
        </w:rPr>
        <w:t xml:space="preserve"> </w:t>
      </w:r>
      <w:r>
        <w:t>(MTX)</w:t>
      </w:r>
      <w:r>
        <w:rPr>
          <w:spacing w:val="-13"/>
        </w:rPr>
        <w:t xml:space="preserve"> </w:t>
      </w:r>
      <w:r>
        <w:t>(Studies</w:t>
      </w:r>
      <w:r>
        <w:rPr>
          <w:spacing w:val="-14"/>
        </w:rPr>
        <w:t xml:space="preserve"> </w:t>
      </w:r>
      <w:r>
        <w:t>II,</w:t>
      </w:r>
      <w:r>
        <w:rPr>
          <w:spacing w:val="-14"/>
        </w:rPr>
        <w:t xml:space="preserve"> </w:t>
      </w:r>
      <w:r>
        <w:t>III,</w:t>
      </w:r>
      <w:r>
        <w:rPr>
          <w:spacing w:val="-13"/>
        </w:rPr>
        <w:t xml:space="preserve"> </w:t>
      </w:r>
      <w:r>
        <w:t>V)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disease-modifying</w:t>
      </w:r>
      <w:r>
        <w:rPr>
          <w:spacing w:val="-13"/>
        </w:rPr>
        <w:t xml:space="preserve"> </w:t>
      </w:r>
      <w:r>
        <w:t>anti-</w:t>
      </w:r>
      <w:r>
        <w:rPr>
          <w:spacing w:val="-58"/>
        </w:rPr>
        <w:t xml:space="preserve"> </w:t>
      </w:r>
      <w:r>
        <w:t>rheumatic</w:t>
      </w:r>
      <w:r>
        <w:rPr>
          <w:spacing w:val="-1"/>
        </w:rPr>
        <w:t xml:space="preserve"> </w:t>
      </w:r>
      <w:r>
        <w:t>drugs (DMARDs) (Study IV).</w:t>
      </w:r>
    </w:p>
    <w:p w14:paraId="10D3E83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2C8171D5" w14:textId="77777777" w:rsidR="006C34D9" w:rsidRDefault="00CB5041">
      <w:pPr>
        <w:pStyle w:val="BodyText"/>
        <w:ind w:right="657"/>
        <w:jc w:val="both"/>
      </w:pPr>
      <w:r>
        <w:t>Study I (AMBITION) evaluated 673 patients who had not been treated with MTX within 6</w:t>
      </w:r>
      <w:r>
        <w:rPr>
          <w:spacing w:val="1"/>
        </w:rPr>
        <w:t xml:space="preserve"> </w:t>
      </w:r>
      <w:r>
        <w:t xml:space="preserve">months prior to </w:t>
      </w:r>
      <w:proofErr w:type="spellStart"/>
      <w:r>
        <w:t>randomisation</w:t>
      </w:r>
      <w:proofErr w:type="spellEnd"/>
      <w:r>
        <w:t xml:space="preserve">, and who had not discontinued previous MTX treatment </w:t>
      </w:r>
      <w:proofErr w:type="gramStart"/>
      <w:r>
        <w:t>as a</w:t>
      </w:r>
      <w:r>
        <w:rPr>
          <w:spacing w:val="1"/>
        </w:rPr>
        <w:t xml:space="preserve"> </w:t>
      </w:r>
      <w:r>
        <w:t>result of</w:t>
      </w:r>
      <w:proofErr w:type="gramEnd"/>
      <w:r>
        <w:t xml:space="preserve"> clinically important toxic effects or lack of response. The majority (67%) of patients</w:t>
      </w:r>
      <w:r>
        <w:rPr>
          <w:spacing w:val="1"/>
        </w:rPr>
        <w:t xml:space="preserve"> </w:t>
      </w:r>
      <w:r>
        <w:t>were MTX naïve. Doses of 8 mg/kg of Actemra were given every 4 weeks as monotherapy.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comparator</w:t>
      </w:r>
      <w:r>
        <w:rPr>
          <w:spacing w:val="-14"/>
        </w:rPr>
        <w:t xml:space="preserve"> </w:t>
      </w:r>
      <w:r>
        <w:rPr>
          <w:spacing w:val="-1"/>
        </w:rPr>
        <w:t>group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weekly</w:t>
      </w:r>
      <w:r>
        <w:rPr>
          <w:spacing w:val="-14"/>
        </w:rPr>
        <w:t xml:space="preserve"> </w:t>
      </w:r>
      <w:r>
        <w:t>MTX</w:t>
      </w:r>
      <w:r>
        <w:rPr>
          <w:spacing w:val="-15"/>
        </w:rPr>
        <w:t xml:space="preserve"> </w:t>
      </w:r>
      <w:r>
        <w:t>(dose</w:t>
      </w:r>
      <w:r>
        <w:rPr>
          <w:spacing w:val="-15"/>
        </w:rPr>
        <w:t xml:space="preserve"> </w:t>
      </w:r>
      <w:r>
        <w:t>titrated</w:t>
      </w:r>
      <w:r>
        <w:rPr>
          <w:spacing w:val="-15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7.5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maximum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mg</w:t>
      </w:r>
      <w:r>
        <w:rPr>
          <w:spacing w:val="-14"/>
        </w:rPr>
        <w:t xml:space="preserve"> </w:t>
      </w:r>
      <w:r>
        <w:t>weekly</w:t>
      </w:r>
      <w:r>
        <w:rPr>
          <w:spacing w:val="-58"/>
        </w:rPr>
        <w:t xml:space="preserve"> </w:t>
      </w:r>
      <w:r>
        <w:t xml:space="preserve">over an </w:t>
      </w:r>
      <w:proofErr w:type="gramStart"/>
      <w:r>
        <w:t>8 week</w:t>
      </w:r>
      <w:proofErr w:type="gramEnd"/>
      <w:r>
        <w:t xml:space="preserve"> period). The primary endpoint was the proportion of patients who achieved an</w:t>
      </w:r>
      <w:r>
        <w:rPr>
          <w:spacing w:val="-57"/>
        </w:rPr>
        <w:t xml:space="preserve"> </w:t>
      </w:r>
      <w:r>
        <w:t>ACR20</w:t>
      </w:r>
      <w:r>
        <w:rPr>
          <w:spacing w:val="-1"/>
        </w:rPr>
        <w:t xml:space="preserve"> </w:t>
      </w:r>
      <w:r>
        <w:t>response at week 24.</w:t>
      </w:r>
    </w:p>
    <w:p w14:paraId="7CF8D403" w14:textId="77777777" w:rsidR="006C34D9" w:rsidRDefault="006C34D9">
      <w:pPr>
        <w:pStyle w:val="BodyText"/>
        <w:spacing w:before="4"/>
        <w:ind w:left="0"/>
      </w:pPr>
    </w:p>
    <w:p w14:paraId="70EA7CE9" w14:textId="77777777" w:rsidR="006C34D9" w:rsidRDefault="00CB5041">
      <w:pPr>
        <w:pStyle w:val="BodyText"/>
        <w:ind w:left="659" w:right="657"/>
        <w:jc w:val="both"/>
      </w:pPr>
      <w:r>
        <w:t xml:space="preserve">Study II (LITHE), a </w:t>
      </w:r>
      <w:proofErr w:type="gramStart"/>
      <w:r>
        <w:t>2 year</w:t>
      </w:r>
      <w:proofErr w:type="gramEnd"/>
      <w:r>
        <w:t xml:space="preserve"> study, evaluated 1196 patients who had an inadequate clinical</w:t>
      </w:r>
      <w:r>
        <w:rPr>
          <w:spacing w:val="1"/>
        </w:rPr>
        <w:t xml:space="preserve"> </w:t>
      </w:r>
      <w:r>
        <w:t>response to MTX. Doses of 4 or 8 mg/kg of Actemra or placebo were given every 4 weeks as</w:t>
      </w:r>
      <w:r>
        <w:rPr>
          <w:spacing w:val="1"/>
        </w:rPr>
        <w:t xml:space="preserve"> </w:t>
      </w:r>
      <w:r>
        <w:t>blinded therapy for 52 weeks, in combination with stable MTX (10–25 mg weekly). The</w:t>
      </w:r>
      <w:r>
        <w:rPr>
          <w:spacing w:val="1"/>
        </w:rPr>
        <w:t xml:space="preserve"> </w:t>
      </w:r>
      <w:r>
        <w:t>primary endpoint at week 24 was the proportion of patients who achieved ACR20 response</w:t>
      </w:r>
      <w:r>
        <w:rPr>
          <w:spacing w:val="1"/>
        </w:rPr>
        <w:t xml:space="preserve"> </w:t>
      </w:r>
      <w:r>
        <w:t>criteria.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week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co-primary</w:t>
      </w:r>
      <w:r>
        <w:rPr>
          <w:spacing w:val="1"/>
        </w:rPr>
        <w:t xml:space="preserve"> </w:t>
      </w:r>
      <w:r>
        <w:t>endpoints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in physical</w:t>
      </w:r>
      <w:r>
        <w:rPr>
          <w:spacing w:val="-1"/>
        </w:rPr>
        <w:t xml:space="preserve"> </w:t>
      </w:r>
      <w:r>
        <w:t>function.</w:t>
      </w:r>
    </w:p>
    <w:p w14:paraId="6EC6E05E" w14:textId="77777777" w:rsidR="006C34D9" w:rsidRDefault="006C34D9">
      <w:pPr>
        <w:pStyle w:val="BodyText"/>
        <w:spacing w:before="4"/>
        <w:ind w:left="0"/>
      </w:pPr>
    </w:p>
    <w:p w14:paraId="5E9A5B60" w14:textId="77777777" w:rsidR="006C34D9" w:rsidRDefault="00CB5041">
      <w:pPr>
        <w:pStyle w:val="BodyText"/>
        <w:ind w:left="659" w:right="658"/>
        <w:jc w:val="both"/>
      </w:pPr>
      <w:r>
        <w:t>Study III (OPTION) evaluated 623 patients who had an inadequate clinical response to MTX.</w:t>
      </w:r>
      <w:r>
        <w:rPr>
          <w:spacing w:val="-57"/>
        </w:rPr>
        <w:t xml:space="preserve"> </w:t>
      </w:r>
      <w:r>
        <w:t>Doses of 4 or 8 mg/kg of Actemra or placebo were given every 4 weeks, in combination with</w:t>
      </w:r>
      <w:r>
        <w:rPr>
          <w:spacing w:val="1"/>
        </w:rPr>
        <w:t xml:space="preserve"> </w:t>
      </w:r>
      <w:r>
        <w:t>stable MTX (10 – 25 mg weekly). The primary endpoint was the proportion of patients who</w:t>
      </w:r>
      <w:r>
        <w:rPr>
          <w:spacing w:val="1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ACR20 response at week 24.</w:t>
      </w:r>
    </w:p>
    <w:p w14:paraId="62B05AFF" w14:textId="77777777" w:rsidR="006C34D9" w:rsidRDefault="006C34D9">
      <w:pPr>
        <w:pStyle w:val="BodyText"/>
        <w:spacing w:before="4"/>
        <w:ind w:left="0"/>
      </w:pPr>
    </w:p>
    <w:p w14:paraId="229FE2C6" w14:textId="77777777" w:rsidR="006C34D9" w:rsidRDefault="00CB5041">
      <w:pPr>
        <w:pStyle w:val="BodyText"/>
        <w:ind w:left="659" w:right="658"/>
        <w:jc w:val="both"/>
      </w:pPr>
      <w:r>
        <w:rPr>
          <w:spacing w:val="-1"/>
        </w:rPr>
        <w:t>Study</w:t>
      </w:r>
      <w:r>
        <w:rPr>
          <w:spacing w:val="-14"/>
        </w:rPr>
        <w:t xml:space="preserve"> </w:t>
      </w:r>
      <w:r>
        <w:rPr>
          <w:spacing w:val="-1"/>
        </w:rPr>
        <w:t>IV</w:t>
      </w:r>
      <w:r>
        <w:rPr>
          <w:spacing w:val="-14"/>
        </w:rPr>
        <w:t xml:space="preserve"> </w:t>
      </w:r>
      <w:r>
        <w:rPr>
          <w:spacing w:val="-1"/>
        </w:rPr>
        <w:t>(TOWARD)</w:t>
      </w:r>
      <w:r>
        <w:rPr>
          <w:spacing w:val="-13"/>
        </w:rPr>
        <w:t xml:space="preserve"> </w:t>
      </w:r>
      <w:r>
        <w:rPr>
          <w:spacing w:val="-1"/>
        </w:rPr>
        <w:t>evaluated</w:t>
      </w:r>
      <w:r>
        <w:rPr>
          <w:spacing w:val="-14"/>
        </w:rPr>
        <w:t xml:space="preserve"> </w:t>
      </w:r>
      <w:r>
        <w:t>1220</w:t>
      </w:r>
      <w:r>
        <w:rPr>
          <w:spacing w:val="-14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had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inadequate</w:t>
      </w:r>
      <w:r>
        <w:rPr>
          <w:spacing w:val="-15"/>
        </w:rPr>
        <w:t xml:space="preserve"> </w:t>
      </w:r>
      <w:r>
        <w:t>response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existing</w:t>
      </w:r>
      <w:r>
        <w:rPr>
          <w:spacing w:val="-58"/>
        </w:rPr>
        <w:t xml:space="preserve"> </w:t>
      </w:r>
      <w:r>
        <w:t>rheumatologic therapy, including one or more DMARDs. Doses of 8 mg/kg Actemra or</w:t>
      </w:r>
      <w:r>
        <w:rPr>
          <w:spacing w:val="1"/>
        </w:rPr>
        <w:t xml:space="preserve"> </w:t>
      </w:r>
      <w:r>
        <w:t>placebo were given every 4 weeks, in combination with the stable DMARD. The primary</w:t>
      </w:r>
      <w:r>
        <w:rPr>
          <w:spacing w:val="1"/>
        </w:rPr>
        <w:t xml:space="preserve"> </w:t>
      </w:r>
      <w:r>
        <w:t>endpoint</w:t>
      </w:r>
      <w:r>
        <w:rPr>
          <w:spacing w:val="-1"/>
        </w:rPr>
        <w:t xml:space="preserve"> </w:t>
      </w:r>
      <w:r>
        <w:t>was the</w:t>
      </w:r>
      <w:r>
        <w:rPr>
          <w:spacing w:val="-1"/>
        </w:rPr>
        <w:t xml:space="preserve"> </w:t>
      </w:r>
      <w:r>
        <w:t>proportion of</w:t>
      </w:r>
      <w:r>
        <w:rPr>
          <w:spacing w:val="-2"/>
        </w:rPr>
        <w:t xml:space="preserve"> </w:t>
      </w:r>
      <w:r>
        <w:t>patients who</w:t>
      </w:r>
      <w:r>
        <w:rPr>
          <w:spacing w:val="-1"/>
        </w:rPr>
        <w:t xml:space="preserve"> </w:t>
      </w:r>
      <w:r>
        <w:t>achieved an</w:t>
      </w:r>
      <w:r>
        <w:rPr>
          <w:spacing w:val="-1"/>
        </w:rPr>
        <w:t xml:space="preserve"> </w:t>
      </w:r>
      <w:r>
        <w:t>ACR20 response</w:t>
      </w:r>
      <w:r>
        <w:rPr>
          <w:spacing w:val="-2"/>
        </w:rPr>
        <w:t xml:space="preserve"> </w:t>
      </w:r>
      <w:r>
        <w:t>at week</w:t>
      </w:r>
      <w:r>
        <w:rPr>
          <w:spacing w:val="-1"/>
        </w:rPr>
        <w:t xml:space="preserve"> </w:t>
      </w:r>
      <w:r>
        <w:t>24.</w:t>
      </w:r>
    </w:p>
    <w:p w14:paraId="6ACB7C40" w14:textId="77777777" w:rsidR="006C34D9" w:rsidRDefault="006C34D9">
      <w:pPr>
        <w:pStyle w:val="BodyText"/>
        <w:spacing w:before="4"/>
        <w:ind w:left="0"/>
      </w:pPr>
    </w:p>
    <w:p w14:paraId="1B6A978B" w14:textId="77777777" w:rsidR="006C34D9" w:rsidRDefault="00CB5041">
      <w:pPr>
        <w:pStyle w:val="BodyText"/>
        <w:spacing w:before="1"/>
        <w:ind w:right="657"/>
        <w:jc w:val="both"/>
      </w:pPr>
      <w:r>
        <w:t>Study V (RADIATE) evaluated 499 patients who had an inadequate clinical response or were</w:t>
      </w:r>
      <w:r>
        <w:rPr>
          <w:spacing w:val="-57"/>
        </w:rPr>
        <w:t xml:space="preserve"> </w:t>
      </w:r>
      <w:r>
        <w:t>intolerant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anti-</w:t>
      </w:r>
      <w:proofErr w:type="spellStart"/>
      <w:r>
        <w:t>tumour</w:t>
      </w:r>
      <w:proofErr w:type="spellEnd"/>
      <w:r>
        <w:rPr>
          <w:spacing w:val="-7"/>
        </w:rPr>
        <w:t xml:space="preserve"> </w:t>
      </w:r>
      <w:r>
        <w:t>necrosis</w:t>
      </w:r>
      <w:r>
        <w:rPr>
          <w:spacing w:val="-8"/>
        </w:rPr>
        <w:t xml:space="preserve"> </w:t>
      </w:r>
      <w:r>
        <w:t>factor</w:t>
      </w:r>
      <w:r>
        <w:rPr>
          <w:spacing w:val="-8"/>
        </w:rPr>
        <w:t xml:space="preserve"> </w:t>
      </w:r>
      <w:r>
        <w:t>(TNF)</w:t>
      </w:r>
      <w:r>
        <w:rPr>
          <w:spacing w:val="-7"/>
        </w:rPr>
        <w:t xml:space="preserve"> </w:t>
      </w:r>
      <w:r>
        <w:t>therapies.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anti-TNF</w:t>
      </w:r>
      <w:r>
        <w:rPr>
          <w:spacing w:val="-8"/>
        </w:rPr>
        <w:t xml:space="preserve"> </w:t>
      </w:r>
      <w:r>
        <w:t>agent</w:t>
      </w:r>
      <w:r>
        <w:rPr>
          <w:spacing w:val="-8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 xml:space="preserve">discontinued prior to </w:t>
      </w:r>
      <w:proofErr w:type="spellStart"/>
      <w:r>
        <w:t>randomisation</w:t>
      </w:r>
      <w:proofErr w:type="spellEnd"/>
      <w:r>
        <w:t>. Doses of 4 or 8 mg/kg of Actemra or placebo were given</w:t>
      </w:r>
      <w:r>
        <w:rPr>
          <w:spacing w:val="-57"/>
        </w:rPr>
        <w:t xml:space="preserve"> </w:t>
      </w:r>
      <w:r>
        <w:t>every 4 weeks, in combination with stable MTX (10 – 25 mg weekly). The primary endpoint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 proportion of</w:t>
      </w:r>
      <w:r>
        <w:rPr>
          <w:spacing w:val="-2"/>
        </w:rPr>
        <w:t xml:space="preserve"> </w:t>
      </w:r>
      <w:r>
        <w:t>patients who achieved an</w:t>
      </w:r>
      <w:r>
        <w:rPr>
          <w:spacing w:val="-1"/>
        </w:rPr>
        <w:t xml:space="preserve"> </w:t>
      </w:r>
      <w:r>
        <w:t>ACR20 response at</w:t>
      </w:r>
      <w:r>
        <w:rPr>
          <w:spacing w:val="-1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24.</w:t>
      </w:r>
    </w:p>
    <w:p w14:paraId="63445F60" w14:textId="77777777" w:rsidR="006C34D9" w:rsidRDefault="006C34D9">
      <w:pPr>
        <w:pStyle w:val="BodyText"/>
        <w:spacing w:before="3"/>
        <w:ind w:left="0"/>
      </w:pPr>
    </w:p>
    <w:p w14:paraId="510BC256" w14:textId="77777777" w:rsidR="006C34D9" w:rsidRDefault="00CB5041">
      <w:pPr>
        <w:pStyle w:val="BodyText"/>
        <w:ind w:right="658"/>
        <w:jc w:val="both"/>
      </w:pPr>
      <w:r>
        <w:t>The efficacy and safety of subcutaneously administered Actemra was assessed in two double-</w:t>
      </w:r>
      <w:r>
        <w:rPr>
          <w:spacing w:val="-57"/>
        </w:rPr>
        <w:t xml:space="preserve"> </w:t>
      </w:r>
      <w:r>
        <w:t>blind,</w:t>
      </w:r>
      <w:r>
        <w:rPr>
          <w:spacing w:val="-1"/>
        </w:rPr>
        <w:t xml:space="preserve"> </w:t>
      </w:r>
      <w:r>
        <w:t>controlled, multi-</w:t>
      </w:r>
      <w:proofErr w:type="spellStart"/>
      <w:r>
        <w:t>centre</w:t>
      </w:r>
      <w:proofErr w:type="spellEnd"/>
      <w:r>
        <w:t xml:space="preserve"> studies</w:t>
      </w:r>
      <w:r>
        <w:rPr>
          <w:spacing w:val="-2"/>
        </w:rPr>
        <w:t xml:space="preserve"> </w:t>
      </w:r>
      <w:r>
        <w:t>in patients</w:t>
      </w:r>
      <w:r>
        <w:rPr>
          <w:spacing w:val="-1"/>
        </w:rPr>
        <w:t xml:space="preserve"> </w:t>
      </w:r>
      <w:r>
        <w:t>with active</w:t>
      </w:r>
      <w:r>
        <w:rPr>
          <w:spacing w:val="-2"/>
        </w:rPr>
        <w:t xml:space="preserve"> </w:t>
      </w:r>
      <w:r>
        <w:t>RA.</w:t>
      </w:r>
    </w:p>
    <w:p w14:paraId="4B2B3CA0" w14:textId="77777777" w:rsidR="006C34D9" w:rsidRDefault="006C34D9">
      <w:pPr>
        <w:pStyle w:val="BodyText"/>
        <w:spacing w:before="4"/>
        <w:ind w:left="0"/>
      </w:pPr>
    </w:p>
    <w:p w14:paraId="54C1A8BB" w14:textId="77777777" w:rsidR="006C34D9" w:rsidRDefault="00CB5041">
      <w:pPr>
        <w:pStyle w:val="BodyText"/>
        <w:ind w:right="657"/>
        <w:jc w:val="both"/>
      </w:pPr>
      <w:r>
        <w:t>Study</w:t>
      </w:r>
      <w:r>
        <w:rPr>
          <w:spacing w:val="-4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(SUMMACTA)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non-inferiority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rPr>
          <w:spacing w:val="-1"/>
        </w:rPr>
        <w:t>subcutaneous</w:t>
      </w:r>
      <w:r>
        <w:rPr>
          <w:spacing w:val="-14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162</w:t>
      </w:r>
      <w:r>
        <w:rPr>
          <w:spacing w:val="-13"/>
        </w:rPr>
        <w:t xml:space="preserve"> </w:t>
      </w:r>
      <w:r>
        <w:t>mg</w:t>
      </w:r>
      <w:r>
        <w:rPr>
          <w:spacing w:val="-14"/>
        </w:rPr>
        <w:t xml:space="preserve"> </w:t>
      </w:r>
      <w:r>
        <w:t>administered</w:t>
      </w:r>
      <w:r>
        <w:rPr>
          <w:spacing w:val="-15"/>
        </w:rPr>
        <w:t xml:space="preserve"> </w:t>
      </w:r>
      <w:r>
        <w:t>every</w:t>
      </w:r>
      <w:r>
        <w:rPr>
          <w:spacing w:val="-14"/>
        </w:rPr>
        <w:t xml:space="preserve"> </w:t>
      </w:r>
      <w:r>
        <w:t>week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intravenous</w:t>
      </w:r>
      <w:r>
        <w:rPr>
          <w:spacing w:val="-14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mg/kg</w:t>
      </w:r>
      <w:r>
        <w:rPr>
          <w:spacing w:val="-14"/>
        </w:rPr>
        <w:t xml:space="preserve"> </w:t>
      </w:r>
      <w:r>
        <w:t>every</w:t>
      </w:r>
      <w:r>
        <w:rPr>
          <w:spacing w:val="-58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weeks.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SUMMACTA,</w:t>
      </w:r>
      <w:r>
        <w:rPr>
          <w:spacing w:val="1"/>
        </w:rPr>
        <w:t xml:space="preserve"> </w:t>
      </w:r>
      <w:r>
        <w:t>1262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 xml:space="preserve">were </w:t>
      </w:r>
      <w:proofErr w:type="spellStart"/>
      <w:r>
        <w:t>randomised</w:t>
      </w:r>
      <w:proofErr w:type="spellEnd"/>
      <w:r>
        <w:rPr>
          <w:spacing w:val="1"/>
        </w:rPr>
        <w:t xml:space="preserve"> </w:t>
      </w:r>
      <w:r>
        <w:t>1:1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subcutaneous</w:t>
      </w:r>
      <w:r>
        <w:rPr>
          <w:spacing w:val="-57"/>
        </w:rPr>
        <w:t xml:space="preserve"> </w:t>
      </w:r>
      <w:r>
        <w:t>Actemra 162 mg every week or intravenous Actemra 8 mg/kg every 4 weeks in combination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DMARD(s).</w:t>
      </w:r>
    </w:p>
    <w:p w14:paraId="2472E946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676BE603" w14:textId="77777777" w:rsidR="006C34D9" w:rsidRDefault="00CB5041">
      <w:pPr>
        <w:pStyle w:val="BodyText"/>
        <w:spacing w:before="79"/>
        <w:ind w:left="659" w:right="658"/>
        <w:jc w:val="both"/>
      </w:pPr>
      <w:r>
        <w:lastRenderedPageBreak/>
        <w:t>Study VII (BREVACTA) was a placebo-controlled superiority study that evaluated the safety</w:t>
      </w:r>
      <w:r>
        <w:rPr>
          <w:spacing w:val="-57"/>
        </w:rPr>
        <w:t xml:space="preserve"> </w:t>
      </w:r>
      <w:r>
        <w:t>and efficacy of subcutaneous Actemra 162 mg administered every other week to placebo. In</w:t>
      </w:r>
      <w:r>
        <w:rPr>
          <w:spacing w:val="1"/>
        </w:rPr>
        <w:t xml:space="preserve"> </w:t>
      </w:r>
      <w:r>
        <w:t>BREVACTA,</w:t>
      </w:r>
      <w:r>
        <w:rPr>
          <w:spacing w:val="-6"/>
        </w:rPr>
        <w:t xml:space="preserve"> </w:t>
      </w:r>
      <w:r>
        <w:t>656</w:t>
      </w:r>
      <w:r>
        <w:rPr>
          <w:spacing w:val="-6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proofErr w:type="spellStart"/>
      <w:r>
        <w:t>randomised</w:t>
      </w:r>
      <w:proofErr w:type="spellEnd"/>
      <w:r>
        <w:rPr>
          <w:spacing w:val="-6"/>
        </w:rPr>
        <w:t xml:space="preserve"> </w:t>
      </w:r>
      <w:r>
        <w:t>2:1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subcutaneous</w:t>
      </w:r>
      <w:r>
        <w:rPr>
          <w:spacing w:val="-5"/>
        </w:rPr>
        <w:t xml:space="preserve"> </w:t>
      </w:r>
      <w:r>
        <w:t>Actemra</w:t>
      </w:r>
      <w:r>
        <w:rPr>
          <w:spacing w:val="-6"/>
        </w:rPr>
        <w:t xml:space="preserve"> </w:t>
      </w:r>
      <w:r>
        <w:t>162</w:t>
      </w:r>
      <w:r>
        <w:rPr>
          <w:spacing w:val="-6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or placebo, in combination with DMARD(s).</w:t>
      </w:r>
    </w:p>
    <w:p w14:paraId="3163FB26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3A6B685" w14:textId="77777777" w:rsidR="006C34D9" w:rsidRDefault="00CB5041">
      <w:pPr>
        <w:pStyle w:val="BodyText"/>
        <w:ind w:left="659" w:right="657"/>
        <w:jc w:val="both"/>
      </w:pPr>
      <w:r>
        <w:t>The primary endpoint in both studies was the proportion of patients who achieved an ACR20</w:t>
      </w:r>
      <w:r>
        <w:rPr>
          <w:spacing w:val="1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SUMMACTA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BREVACTA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≥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years</w:t>
      </w:r>
      <w:r>
        <w:rPr>
          <w:spacing w:val="-5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moderate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severe</w:t>
      </w:r>
      <w:r>
        <w:rPr>
          <w:spacing w:val="-5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diagnosed</w:t>
      </w:r>
      <w:r>
        <w:rPr>
          <w:spacing w:val="-5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ACR</w:t>
      </w:r>
      <w:r>
        <w:rPr>
          <w:spacing w:val="-6"/>
        </w:rPr>
        <w:t xml:space="preserve"> </w:t>
      </w:r>
      <w:r>
        <w:t>criteria.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at</w:t>
      </w:r>
      <w:r>
        <w:rPr>
          <w:spacing w:val="-58"/>
        </w:rPr>
        <w:t xml:space="preserve"> </w:t>
      </w:r>
      <w:r>
        <w:t>least</w:t>
      </w:r>
      <w:r>
        <w:rPr>
          <w:spacing w:val="-10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tender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swollen</w:t>
      </w:r>
      <w:r>
        <w:rPr>
          <w:spacing w:val="-10"/>
        </w:rPr>
        <w:t xml:space="preserve"> </w:t>
      </w:r>
      <w:r>
        <w:t>joints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baseline</w:t>
      </w:r>
      <w:r>
        <w:rPr>
          <w:spacing w:val="-11"/>
        </w:rPr>
        <w:t xml:space="preserve"> </w:t>
      </w:r>
      <w:r>
        <w:t>(SUMMACTA)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least</w:t>
      </w:r>
      <w:r>
        <w:rPr>
          <w:spacing w:val="-11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tender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swollen</w:t>
      </w:r>
      <w:r>
        <w:rPr>
          <w:spacing w:val="-58"/>
        </w:rPr>
        <w:t xml:space="preserve"> </w:t>
      </w:r>
      <w:r>
        <w:t>joints at</w:t>
      </w:r>
      <w:r>
        <w:rPr>
          <w:spacing w:val="1"/>
        </w:rPr>
        <w:t xml:space="preserve"> </w:t>
      </w:r>
      <w:r>
        <w:t>baseline (BREVACTA), and an inadequate response to their existing DMARD</w:t>
      </w:r>
      <w:r>
        <w:rPr>
          <w:spacing w:val="1"/>
        </w:rPr>
        <w:t xml:space="preserve"> </w:t>
      </w:r>
      <w:r>
        <w:t>therapy. Approximately 20% also had a history of inadequate response to at least one TNF</w:t>
      </w:r>
      <w:r>
        <w:rPr>
          <w:spacing w:val="1"/>
        </w:rPr>
        <w:t xml:space="preserve"> </w:t>
      </w:r>
      <w:r>
        <w:t>inhibitor.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SC</w:t>
      </w:r>
      <w:r>
        <w:rPr>
          <w:spacing w:val="-2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non-biological</w:t>
      </w:r>
      <w:r>
        <w:rPr>
          <w:spacing w:val="-1"/>
        </w:rPr>
        <w:t xml:space="preserve"> </w:t>
      </w:r>
      <w:r>
        <w:t>DMARD(s).</w:t>
      </w:r>
    </w:p>
    <w:p w14:paraId="0DB504BB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483296F" w14:textId="77777777" w:rsidR="006C34D9" w:rsidRDefault="00CB5041">
      <w:pPr>
        <w:pStyle w:val="BodyText"/>
        <w:spacing w:before="1"/>
        <w:ind w:left="659" w:right="658"/>
        <w:jc w:val="both"/>
      </w:pPr>
      <w:r>
        <w:t>The percent of patients achieving ACR 20, 50 and 70 responses in Studies I to V are shown in</w:t>
      </w:r>
      <w:r>
        <w:rPr>
          <w:spacing w:val="-58"/>
        </w:rPr>
        <w:t xml:space="preserve"> </w:t>
      </w:r>
      <w:r>
        <w:t>Table 4.</w:t>
      </w:r>
    </w:p>
    <w:p w14:paraId="66D98DAB" w14:textId="77777777" w:rsidR="006C34D9" w:rsidRDefault="006C34D9">
      <w:pPr>
        <w:pStyle w:val="BodyText"/>
        <w:ind w:left="0"/>
        <w:rPr>
          <w:sz w:val="21"/>
        </w:rPr>
      </w:pPr>
    </w:p>
    <w:p w14:paraId="431CCD2F" w14:textId="77777777" w:rsidR="006C34D9" w:rsidRDefault="00CB5041">
      <w:pPr>
        <w:pStyle w:val="Heading2"/>
        <w:spacing w:before="1"/>
        <w:ind w:left="659"/>
      </w:pPr>
      <w:r>
        <w:t>Table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ACR</w:t>
      </w:r>
      <w:r>
        <w:rPr>
          <w:spacing w:val="-3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MTX/Placebo-Controlled</w:t>
      </w:r>
      <w:r>
        <w:rPr>
          <w:spacing w:val="-3"/>
        </w:rPr>
        <w:t xml:space="preserve"> </w:t>
      </w:r>
      <w:r>
        <w:t>Trials</w:t>
      </w:r>
      <w:r>
        <w:rPr>
          <w:spacing w:val="-2"/>
        </w:rPr>
        <w:t xml:space="preserve"> </w:t>
      </w:r>
      <w:r>
        <w:t>(Percent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Patients)</w:t>
      </w:r>
    </w:p>
    <w:p w14:paraId="42F86BC6" w14:textId="77777777" w:rsidR="006C34D9" w:rsidRDefault="006C34D9">
      <w:pPr>
        <w:pStyle w:val="BodyText"/>
        <w:spacing w:before="4"/>
        <w:ind w:left="0"/>
        <w:rPr>
          <w:b/>
          <w:sz w:val="10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800"/>
        <w:gridCol w:w="666"/>
        <w:gridCol w:w="845"/>
        <w:gridCol w:w="787"/>
        <w:gridCol w:w="817"/>
        <w:gridCol w:w="216"/>
        <w:gridCol w:w="602"/>
        <w:gridCol w:w="872"/>
        <w:gridCol w:w="871"/>
        <w:gridCol w:w="818"/>
        <w:gridCol w:w="216"/>
        <w:gridCol w:w="602"/>
      </w:tblGrid>
      <w:tr w:rsidR="006C34D9" w14:paraId="3B4C27DE" w14:textId="77777777">
        <w:trPr>
          <w:trHeight w:val="919"/>
        </w:trPr>
        <w:tc>
          <w:tcPr>
            <w:tcW w:w="902" w:type="dxa"/>
          </w:tcPr>
          <w:p w14:paraId="4F4B73C1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1466" w:type="dxa"/>
            <w:gridSpan w:val="2"/>
          </w:tcPr>
          <w:p w14:paraId="1CA49160" w14:textId="77777777" w:rsidR="006C34D9" w:rsidRDefault="00CB5041">
            <w:pPr>
              <w:pStyle w:val="TableParagraph"/>
              <w:ind w:left="222" w:right="207" w:firstLine="198"/>
              <w:rPr>
                <w:b/>
                <w:sz w:val="20"/>
              </w:rPr>
            </w:pPr>
            <w:r>
              <w:rPr>
                <w:b/>
                <w:sz w:val="20"/>
              </w:rPr>
              <w:t>Study 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MTX-Naïve</w:t>
            </w:r>
          </w:p>
        </w:tc>
        <w:tc>
          <w:tcPr>
            <w:tcW w:w="1632" w:type="dxa"/>
            <w:gridSpan w:val="2"/>
          </w:tcPr>
          <w:p w14:paraId="7069D6AE" w14:textId="77777777" w:rsidR="006C34D9" w:rsidRDefault="00CB5041">
            <w:pPr>
              <w:pStyle w:val="TableParagraph"/>
              <w:ind w:left="306" w:right="2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Study 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Inadequate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</w:p>
          <w:p w14:paraId="275DC401" w14:textId="77777777" w:rsidR="006C34D9" w:rsidRDefault="00CB5041">
            <w:pPr>
              <w:pStyle w:val="TableParagraph"/>
              <w:spacing w:line="210" w:lineRule="exact"/>
              <w:ind w:left="561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MTX</w:t>
            </w:r>
          </w:p>
        </w:tc>
        <w:tc>
          <w:tcPr>
            <w:tcW w:w="1635" w:type="dxa"/>
            <w:gridSpan w:val="3"/>
          </w:tcPr>
          <w:p w14:paraId="53351854" w14:textId="77777777" w:rsidR="006C34D9" w:rsidRDefault="00CB5041">
            <w:pPr>
              <w:pStyle w:val="TableParagraph"/>
              <w:ind w:left="307" w:right="298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Study III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Inadequate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</w:p>
          <w:p w14:paraId="36F330AC" w14:textId="77777777" w:rsidR="006C34D9" w:rsidRDefault="00CB5041">
            <w:pPr>
              <w:pStyle w:val="TableParagraph"/>
              <w:spacing w:line="210" w:lineRule="exact"/>
              <w:ind w:left="562" w:right="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MTX</w:t>
            </w:r>
          </w:p>
        </w:tc>
        <w:tc>
          <w:tcPr>
            <w:tcW w:w="1743" w:type="dxa"/>
            <w:gridSpan w:val="2"/>
          </w:tcPr>
          <w:p w14:paraId="2A9F0E60" w14:textId="77777777" w:rsidR="006C34D9" w:rsidRDefault="00CB5041">
            <w:pPr>
              <w:pStyle w:val="TableParagraph"/>
              <w:ind w:left="363" w:right="350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Study IV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Inadequate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</w:p>
          <w:p w14:paraId="32F75530" w14:textId="77777777" w:rsidR="006C34D9" w:rsidRDefault="00CB5041">
            <w:pPr>
              <w:pStyle w:val="TableParagraph"/>
              <w:spacing w:line="210" w:lineRule="exact"/>
              <w:ind w:left="469" w:right="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DMARD</w:t>
            </w:r>
          </w:p>
        </w:tc>
        <w:tc>
          <w:tcPr>
            <w:tcW w:w="1636" w:type="dxa"/>
            <w:gridSpan w:val="3"/>
          </w:tcPr>
          <w:p w14:paraId="558BE3E2" w14:textId="77777777" w:rsidR="006C34D9" w:rsidRDefault="00CB5041">
            <w:pPr>
              <w:pStyle w:val="TableParagraph"/>
              <w:ind w:left="310" w:right="29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Study 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Inadequate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</w:p>
          <w:p w14:paraId="72B23FF2" w14:textId="77777777" w:rsidR="006C34D9" w:rsidRDefault="00CB5041">
            <w:pPr>
              <w:pStyle w:val="TableParagraph"/>
              <w:spacing w:line="210" w:lineRule="exact"/>
              <w:ind w:left="119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anti-TNF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Agent</w:t>
            </w:r>
          </w:p>
        </w:tc>
      </w:tr>
      <w:tr w:rsidR="006C34D9" w14:paraId="59FE24E6" w14:textId="77777777">
        <w:trPr>
          <w:trHeight w:val="1610"/>
        </w:trPr>
        <w:tc>
          <w:tcPr>
            <w:tcW w:w="902" w:type="dxa"/>
          </w:tcPr>
          <w:p w14:paraId="73A23A59" w14:textId="77777777" w:rsidR="006C34D9" w:rsidRDefault="00CB5041">
            <w:pPr>
              <w:pStyle w:val="TableParagraph"/>
              <w:ind w:left="142" w:right="105" w:hanging="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Respon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 Rate</w:t>
            </w:r>
          </w:p>
        </w:tc>
        <w:tc>
          <w:tcPr>
            <w:tcW w:w="800" w:type="dxa"/>
          </w:tcPr>
          <w:p w14:paraId="31A56C35" w14:textId="77777777" w:rsidR="006C34D9" w:rsidRDefault="00CB5041">
            <w:pPr>
              <w:pStyle w:val="TableParagraph"/>
              <w:spacing w:line="230" w:lineRule="exact"/>
              <w:ind w:left="106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</w:p>
          <w:p w14:paraId="3234FB1B" w14:textId="77777777" w:rsidR="006C34D9" w:rsidRDefault="00CB5041">
            <w:pPr>
              <w:pStyle w:val="TableParagraph"/>
              <w:ind w:left="106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mg/k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  <w:p w14:paraId="35920A15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3E99A836" w14:textId="77777777" w:rsidR="006C34D9" w:rsidRDefault="006C34D9">
            <w:pPr>
              <w:pStyle w:val="TableParagraph"/>
              <w:ind w:left="0"/>
              <w:rPr>
                <w:b/>
                <w:sz w:val="18"/>
              </w:rPr>
            </w:pPr>
          </w:p>
          <w:p w14:paraId="27D6FEA1" w14:textId="77777777" w:rsidR="006C34D9" w:rsidRDefault="00CB5041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n=286</w:t>
            </w:r>
          </w:p>
        </w:tc>
        <w:tc>
          <w:tcPr>
            <w:tcW w:w="666" w:type="dxa"/>
          </w:tcPr>
          <w:p w14:paraId="7DF32640" w14:textId="77777777" w:rsidR="006C34D9" w:rsidRDefault="00CB5041">
            <w:pPr>
              <w:pStyle w:val="TableParagraph"/>
              <w:ind w:left="259" w:right="142" w:hanging="88"/>
              <w:rPr>
                <w:b/>
                <w:sz w:val="20"/>
              </w:rPr>
            </w:pPr>
            <w:r>
              <w:rPr>
                <w:b/>
                <w:sz w:val="20"/>
              </w:rPr>
              <w:t>MT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</w:p>
          <w:p w14:paraId="740F5531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0B442108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4FB3D67E" w14:textId="77777777" w:rsidR="006C34D9" w:rsidRDefault="00CB5041">
            <w:pPr>
              <w:pStyle w:val="TableParagraph"/>
              <w:spacing w:before="164" w:line="230" w:lineRule="atLeast"/>
              <w:ind w:left="282" w:right="90" w:hanging="162"/>
              <w:rPr>
                <w:b/>
                <w:sz w:val="20"/>
              </w:rPr>
            </w:pPr>
            <w:r>
              <w:rPr>
                <w:b/>
                <w:sz w:val="20"/>
              </w:rPr>
              <w:t>n=28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45" w:type="dxa"/>
          </w:tcPr>
          <w:p w14:paraId="41388E85" w14:textId="77777777" w:rsidR="006C34D9" w:rsidRDefault="00CB5041">
            <w:pPr>
              <w:pStyle w:val="TableParagraph"/>
              <w:spacing w:line="230" w:lineRule="exact"/>
              <w:ind w:left="100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</w:p>
          <w:p w14:paraId="31C049A0" w14:textId="77777777" w:rsidR="006C34D9" w:rsidRDefault="00CB5041">
            <w:pPr>
              <w:pStyle w:val="TableParagraph"/>
              <w:ind w:left="102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mg/k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  <w:p w14:paraId="38D559A4" w14:textId="77777777" w:rsidR="006C34D9" w:rsidRDefault="00CB5041">
            <w:pPr>
              <w:pStyle w:val="TableParagraph"/>
              <w:spacing w:before="1"/>
              <w:ind w:left="96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+MTX</w:t>
            </w:r>
          </w:p>
          <w:p w14:paraId="6BDCAC3C" w14:textId="77777777" w:rsidR="006C34D9" w:rsidRDefault="006C34D9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0BC87AD4" w14:textId="77777777" w:rsidR="006C34D9" w:rsidRDefault="00CB5041">
            <w:pPr>
              <w:pStyle w:val="TableParagraph"/>
              <w:ind w:left="110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n=398</w:t>
            </w:r>
          </w:p>
        </w:tc>
        <w:tc>
          <w:tcPr>
            <w:tcW w:w="787" w:type="dxa"/>
          </w:tcPr>
          <w:p w14:paraId="251CC267" w14:textId="77777777" w:rsidR="006C34D9" w:rsidRDefault="00CB5041">
            <w:pPr>
              <w:pStyle w:val="TableParagraph"/>
              <w:ind w:left="110" w:right="9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Placeb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MTX</w:t>
            </w:r>
          </w:p>
          <w:p w14:paraId="5B5AA369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3F3BE39D" w14:textId="77777777" w:rsidR="006C34D9" w:rsidRDefault="006C34D9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7797CA29" w14:textId="77777777" w:rsidR="006C34D9" w:rsidRDefault="00CB5041">
            <w:pPr>
              <w:pStyle w:val="TableParagraph"/>
              <w:ind w:left="108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n=393</w:t>
            </w:r>
          </w:p>
        </w:tc>
        <w:tc>
          <w:tcPr>
            <w:tcW w:w="817" w:type="dxa"/>
          </w:tcPr>
          <w:p w14:paraId="153375B7" w14:textId="77777777" w:rsidR="006C34D9" w:rsidRDefault="00CB5041">
            <w:pPr>
              <w:pStyle w:val="TableParagraph"/>
              <w:spacing w:line="230" w:lineRule="exact"/>
              <w:ind w:left="97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</w:p>
          <w:p w14:paraId="7237B9D4" w14:textId="77777777" w:rsidR="006C34D9" w:rsidRDefault="00CB5041">
            <w:pPr>
              <w:pStyle w:val="TableParagraph"/>
              <w:ind w:left="97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mg/k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  <w:p w14:paraId="5EE0FDBD" w14:textId="77777777" w:rsidR="006C34D9" w:rsidRDefault="00CB5041">
            <w:pPr>
              <w:pStyle w:val="TableParagraph"/>
              <w:spacing w:before="1"/>
              <w:ind w:left="97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+MTX</w:t>
            </w:r>
          </w:p>
          <w:p w14:paraId="78732216" w14:textId="77777777" w:rsidR="006C34D9" w:rsidRDefault="006C34D9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73EF8B71" w14:textId="77777777" w:rsidR="006C34D9" w:rsidRDefault="00CB5041">
            <w:pPr>
              <w:pStyle w:val="TableParagraph"/>
              <w:ind w:left="97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n=205</w:t>
            </w:r>
          </w:p>
        </w:tc>
        <w:tc>
          <w:tcPr>
            <w:tcW w:w="818" w:type="dxa"/>
            <w:gridSpan w:val="2"/>
          </w:tcPr>
          <w:p w14:paraId="47C56C28" w14:textId="77777777" w:rsidR="006C34D9" w:rsidRDefault="00CB5041">
            <w:pPr>
              <w:pStyle w:val="TableParagraph"/>
              <w:ind w:left="99" w:right="8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Placeb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MTX</w:t>
            </w:r>
          </w:p>
          <w:p w14:paraId="7BD308FA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6A0C65D7" w14:textId="77777777" w:rsidR="006C34D9" w:rsidRDefault="006C34D9">
            <w:pPr>
              <w:pStyle w:val="TableParagraph"/>
              <w:ind w:left="0"/>
              <w:rPr>
                <w:b/>
                <w:sz w:val="18"/>
              </w:rPr>
            </w:pPr>
          </w:p>
          <w:p w14:paraId="78ABCF3B" w14:textId="77777777" w:rsidR="006C34D9" w:rsidRDefault="00CB5041">
            <w:pPr>
              <w:pStyle w:val="TableParagraph"/>
              <w:ind w:left="99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n=204</w:t>
            </w:r>
          </w:p>
        </w:tc>
        <w:tc>
          <w:tcPr>
            <w:tcW w:w="872" w:type="dxa"/>
          </w:tcPr>
          <w:p w14:paraId="7239FA60" w14:textId="77777777" w:rsidR="006C34D9" w:rsidRDefault="00CB5041">
            <w:pPr>
              <w:pStyle w:val="TableParagraph"/>
              <w:ind w:left="225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</w:p>
          <w:p w14:paraId="35471D1A" w14:textId="77777777" w:rsidR="006C34D9" w:rsidRDefault="00CB5041">
            <w:pPr>
              <w:pStyle w:val="TableParagraph"/>
              <w:spacing w:line="230" w:lineRule="exact"/>
              <w:ind w:left="114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mg/kg</w:t>
            </w:r>
          </w:p>
          <w:p w14:paraId="04343B67" w14:textId="77777777" w:rsidR="006C34D9" w:rsidRDefault="00CB5041">
            <w:pPr>
              <w:pStyle w:val="TableParagraph"/>
              <w:ind w:left="126" w:right="11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DMAR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</w:p>
          <w:p w14:paraId="62D7806F" w14:textId="77777777" w:rsidR="006C34D9" w:rsidRDefault="00CB5041">
            <w:pPr>
              <w:pStyle w:val="TableParagraph"/>
              <w:spacing w:line="210" w:lineRule="exact"/>
              <w:ind w:left="114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n=803</w:t>
            </w:r>
          </w:p>
        </w:tc>
        <w:tc>
          <w:tcPr>
            <w:tcW w:w="871" w:type="dxa"/>
          </w:tcPr>
          <w:p w14:paraId="00670E00" w14:textId="77777777" w:rsidR="006C34D9" w:rsidRDefault="00CB5041">
            <w:pPr>
              <w:pStyle w:val="TableParagraph"/>
              <w:ind w:left="125" w:right="11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Placeb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DMAR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</w:p>
          <w:p w14:paraId="0C90CA27" w14:textId="77777777" w:rsidR="006C34D9" w:rsidRDefault="006C34D9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29A7FDD5" w14:textId="77777777" w:rsidR="006C34D9" w:rsidRDefault="00CB5041">
            <w:pPr>
              <w:pStyle w:val="TableParagraph"/>
              <w:ind w:left="125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n=413</w:t>
            </w:r>
          </w:p>
        </w:tc>
        <w:tc>
          <w:tcPr>
            <w:tcW w:w="818" w:type="dxa"/>
          </w:tcPr>
          <w:p w14:paraId="2CC1970F" w14:textId="77777777" w:rsidR="006C34D9" w:rsidRDefault="00CB5041">
            <w:pPr>
              <w:pStyle w:val="TableParagraph"/>
              <w:spacing w:line="230" w:lineRule="exact"/>
              <w:ind w:left="99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</w:p>
          <w:p w14:paraId="19CCD801" w14:textId="77777777" w:rsidR="006C34D9" w:rsidRDefault="00CB5041">
            <w:pPr>
              <w:pStyle w:val="TableParagraph"/>
              <w:ind w:left="99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mg/k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  <w:p w14:paraId="62876D60" w14:textId="77777777" w:rsidR="006C34D9" w:rsidRDefault="00CB5041">
            <w:pPr>
              <w:pStyle w:val="TableParagraph"/>
              <w:spacing w:before="1"/>
              <w:ind w:left="99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+MTX</w:t>
            </w:r>
          </w:p>
          <w:p w14:paraId="007BD741" w14:textId="77777777" w:rsidR="006C34D9" w:rsidRDefault="006C34D9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29FD8C77" w14:textId="77777777" w:rsidR="006C34D9" w:rsidRDefault="00CB5041">
            <w:pPr>
              <w:pStyle w:val="TableParagraph"/>
              <w:ind w:left="99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n=170</w:t>
            </w:r>
          </w:p>
        </w:tc>
        <w:tc>
          <w:tcPr>
            <w:tcW w:w="818" w:type="dxa"/>
            <w:gridSpan w:val="2"/>
          </w:tcPr>
          <w:p w14:paraId="7F027F61" w14:textId="77777777" w:rsidR="006C34D9" w:rsidRDefault="00CB5041">
            <w:pPr>
              <w:pStyle w:val="TableParagraph"/>
              <w:ind w:left="106" w:right="8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Placeb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MTX</w:t>
            </w:r>
          </w:p>
          <w:p w14:paraId="1DDDA2E4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5ABEBD3F" w14:textId="77777777" w:rsidR="006C34D9" w:rsidRDefault="006C34D9">
            <w:pPr>
              <w:pStyle w:val="TableParagraph"/>
              <w:ind w:left="0"/>
              <w:rPr>
                <w:b/>
                <w:sz w:val="18"/>
              </w:rPr>
            </w:pPr>
          </w:p>
          <w:p w14:paraId="626F1178" w14:textId="77777777" w:rsidR="006C34D9" w:rsidRDefault="00CB5041">
            <w:pPr>
              <w:pStyle w:val="TableParagraph"/>
              <w:ind w:left="9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n=158</w:t>
            </w:r>
          </w:p>
        </w:tc>
      </w:tr>
      <w:tr w:rsidR="006C34D9" w14:paraId="2867AEBC" w14:textId="77777777">
        <w:trPr>
          <w:trHeight w:val="275"/>
        </w:trPr>
        <w:tc>
          <w:tcPr>
            <w:tcW w:w="9014" w:type="dxa"/>
            <w:gridSpan w:val="13"/>
          </w:tcPr>
          <w:p w14:paraId="05DA7283" w14:textId="77777777" w:rsidR="006C34D9" w:rsidRDefault="00CB504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</w:tc>
      </w:tr>
      <w:tr w:rsidR="006C34D9" w14:paraId="7DEEC871" w14:textId="77777777">
        <w:trPr>
          <w:trHeight w:val="505"/>
        </w:trPr>
        <w:tc>
          <w:tcPr>
            <w:tcW w:w="902" w:type="dxa"/>
          </w:tcPr>
          <w:p w14:paraId="2CA71D0B" w14:textId="77777777" w:rsidR="006C34D9" w:rsidRDefault="00CB5041">
            <w:pPr>
              <w:pStyle w:val="TableParagraph"/>
              <w:spacing w:line="254" w:lineRule="exact"/>
              <w:ind w:right="252"/>
            </w:pPr>
            <w:r>
              <w:t>Week</w:t>
            </w:r>
            <w:r>
              <w:rPr>
                <w:spacing w:val="-53"/>
              </w:rPr>
              <w:t xml:space="preserve"> </w:t>
            </w:r>
            <w:r>
              <w:t>24</w:t>
            </w:r>
          </w:p>
        </w:tc>
        <w:tc>
          <w:tcPr>
            <w:tcW w:w="800" w:type="dxa"/>
          </w:tcPr>
          <w:p w14:paraId="2211F20F" w14:textId="77777777" w:rsidR="006C34D9" w:rsidRDefault="00CB5041">
            <w:pPr>
              <w:pStyle w:val="TableParagraph"/>
              <w:spacing w:line="250" w:lineRule="exact"/>
              <w:ind w:left="104" w:right="94"/>
              <w:jc w:val="center"/>
              <w:rPr>
                <w:sz w:val="16"/>
              </w:rPr>
            </w:pPr>
            <w:r>
              <w:t>70</w:t>
            </w:r>
            <w:r>
              <w:rPr>
                <w:sz w:val="20"/>
              </w:rPr>
              <w:t>%</w:t>
            </w:r>
            <w:r>
              <w:rPr>
                <w:sz w:val="16"/>
              </w:rPr>
              <w:t>**</w:t>
            </w:r>
          </w:p>
          <w:p w14:paraId="257FF2BB" w14:textId="77777777" w:rsidR="006C34D9" w:rsidRDefault="00CB5041">
            <w:pPr>
              <w:pStyle w:val="TableParagraph"/>
              <w:spacing w:line="183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666" w:type="dxa"/>
          </w:tcPr>
          <w:p w14:paraId="388FBC23" w14:textId="77777777" w:rsidR="006C34D9" w:rsidRDefault="00CB5041">
            <w:pPr>
              <w:pStyle w:val="TableParagraph"/>
              <w:spacing w:line="251" w:lineRule="exact"/>
              <w:ind w:left="111" w:right="100"/>
              <w:jc w:val="center"/>
            </w:pPr>
            <w:r>
              <w:t>52%</w:t>
            </w:r>
          </w:p>
        </w:tc>
        <w:tc>
          <w:tcPr>
            <w:tcW w:w="845" w:type="dxa"/>
          </w:tcPr>
          <w:p w14:paraId="7D315A23" w14:textId="77777777" w:rsidR="006C34D9" w:rsidRDefault="00CB5041">
            <w:pPr>
              <w:pStyle w:val="TableParagraph"/>
              <w:spacing w:line="251" w:lineRule="exact"/>
              <w:ind w:left="91" w:right="80"/>
              <w:jc w:val="center"/>
              <w:rPr>
                <w:sz w:val="20"/>
              </w:rPr>
            </w:pPr>
            <w:r>
              <w:t>56%</w:t>
            </w:r>
            <w:r>
              <w:rPr>
                <w:sz w:val="20"/>
              </w:rPr>
              <w:t>**</w:t>
            </w:r>
          </w:p>
          <w:p w14:paraId="695BDF3B" w14:textId="77777777" w:rsidR="006C34D9" w:rsidRDefault="00CB504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87" w:type="dxa"/>
          </w:tcPr>
          <w:p w14:paraId="048FD7A5" w14:textId="77777777" w:rsidR="006C34D9" w:rsidRDefault="00CB5041">
            <w:pPr>
              <w:pStyle w:val="TableParagraph"/>
              <w:spacing w:line="251" w:lineRule="exact"/>
              <w:ind w:left="192"/>
            </w:pPr>
            <w:r>
              <w:t>27%</w:t>
            </w:r>
          </w:p>
        </w:tc>
        <w:tc>
          <w:tcPr>
            <w:tcW w:w="817" w:type="dxa"/>
          </w:tcPr>
          <w:p w14:paraId="1D507610" w14:textId="77777777" w:rsidR="006C34D9" w:rsidRDefault="00CB5041">
            <w:pPr>
              <w:pStyle w:val="TableParagraph"/>
              <w:spacing w:line="251" w:lineRule="exact"/>
              <w:ind w:left="97" w:right="88"/>
              <w:jc w:val="center"/>
              <w:rPr>
                <w:sz w:val="20"/>
              </w:rPr>
            </w:pPr>
            <w:r>
              <w:t>59%</w:t>
            </w:r>
            <w:r>
              <w:rPr>
                <w:sz w:val="20"/>
              </w:rPr>
              <w:t>*</w:t>
            </w:r>
          </w:p>
          <w:p w14:paraId="32CE023B" w14:textId="77777777" w:rsidR="006C34D9" w:rsidRDefault="00CB5041">
            <w:pPr>
              <w:pStyle w:val="TableParagraph"/>
              <w:ind w:left="97" w:right="87"/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</w:p>
        </w:tc>
        <w:tc>
          <w:tcPr>
            <w:tcW w:w="818" w:type="dxa"/>
            <w:gridSpan w:val="2"/>
          </w:tcPr>
          <w:p w14:paraId="243850AD" w14:textId="77777777" w:rsidR="006C34D9" w:rsidRDefault="00CB5041">
            <w:pPr>
              <w:pStyle w:val="TableParagraph"/>
              <w:spacing w:line="251" w:lineRule="exact"/>
              <w:ind w:left="208"/>
            </w:pPr>
            <w:r>
              <w:t>26%</w:t>
            </w:r>
          </w:p>
        </w:tc>
        <w:tc>
          <w:tcPr>
            <w:tcW w:w="872" w:type="dxa"/>
          </w:tcPr>
          <w:p w14:paraId="1F7BBC04" w14:textId="77777777" w:rsidR="006C34D9" w:rsidRDefault="00CB5041">
            <w:pPr>
              <w:pStyle w:val="TableParagraph"/>
              <w:spacing w:line="251" w:lineRule="exact"/>
              <w:ind w:left="116" w:right="102"/>
              <w:jc w:val="center"/>
              <w:rPr>
                <w:sz w:val="20"/>
              </w:rPr>
            </w:pPr>
            <w:r>
              <w:t>61%</w:t>
            </w:r>
            <w:r>
              <w:rPr>
                <w:sz w:val="20"/>
              </w:rPr>
              <w:t>**</w:t>
            </w:r>
          </w:p>
          <w:p w14:paraId="68E89DA6" w14:textId="77777777" w:rsidR="006C34D9" w:rsidRDefault="00CB504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71" w:type="dxa"/>
          </w:tcPr>
          <w:p w14:paraId="3EF4CBFC" w14:textId="77777777" w:rsidR="006C34D9" w:rsidRDefault="00CB5041">
            <w:pPr>
              <w:pStyle w:val="TableParagraph"/>
              <w:spacing w:line="251" w:lineRule="exact"/>
              <w:ind w:left="124" w:right="112"/>
              <w:jc w:val="center"/>
            </w:pPr>
            <w:r>
              <w:t>24%</w:t>
            </w:r>
          </w:p>
        </w:tc>
        <w:tc>
          <w:tcPr>
            <w:tcW w:w="1034" w:type="dxa"/>
            <w:gridSpan w:val="2"/>
          </w:tcPr>
          <w:p w14:paraId="504264DA" w14:textId="77777777" w:rsidR="006C34D9" w:rsidRDefault="00CB5041">
            <w:pPr>
              <w:pStyle w:val="TableParagraph"/>
              <w:spacing w:line="251" w:lineRule="exact"/>
              <w:ind w:left="167"/>
              <w:rPr>
                <w:sz w:val="20"/>
              </w:rPr>
            </w:pPr>
            <w:r>
              <w:t>50%</w:t>
            </w:r>
            <w:r>
              <w:rPr>
                <w:sz w:val="20"/>
              </w:rPr>
              <w:t>***</w:t>
            </w:r>
          </w:p>
        </w:tc>
        <w:tc>
          <w:tcPr>
            <w:tcW w:w="602" w:type="dxa"/>
          </w:tcPr>
          <w:p w14:paraId="1E23E506" w14:textId="77777777" w:rsidR="006C34D9" w:rsidRDefault="00CB5041">
            <w:pPr>
              <w:pStyle w:val="TableParagraph"/>
              <w:spacing w:line="251" w:lineRule="exact"/>
              <w:ind w:left="135" w:right="121"/>
              <w:jc w:val="center"/>
            </w:pPr>
            <w:r>
              <w:t>10</w:t>
            </w:r>
          </w:p>
          <w:p w14:paraId="6215EB3F" w14:textId="77777777" w:rsidR="006C34D9" w:rsidRDefault="00CB5041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w w:val="99"/>
              </w:rPr>
              <w:t>%</w:t>
            </w:r>
          </w:p>
        </w:tc>
      </w:tr>
      <w:tr w:rsidR="006C34D9" w14:paraId="3FD49998" w14:textId="77777777">
        <w:trPr>
          <w:trHeight w:val="503"/>
        </w:trPr>
        <w:tc>
          <w:tcPr>
            <w:tcW w:w="902" w:type="dxa"/>
          </w:tcPr>
          <w:p w14:paraId="4C8CA138" w14:textId="77777777" w:rsidR="006C34D9" w:rsidRDefault="00CB5041">
            <w:pPr>
              <w:pStyle w:val="TableParagraph"/>
              <w:spacing w:line="249" w:lineRule="exact"/>
              <w:ind w:left="194"/>
            </w:pPr>
            <w:r>
              <w:t>Week</w:t>
            </w:r>
          </w:p>
          <w:p w14:paraId="4A11B916" w14:textId="77777777" w:rsidR="006C34D9" w:rsidRDefault="00CB5041">
            <w:pPr>
              <w:pStyle w:val="TableParagraph"/>
              <w:spacing w:line="234" w:lineRule="exact"/>
              <w:ind w:left="289"/>
            </w:pPr>
            <w:r>
              <w:t>52^</w:t>
            </w:r>
          </w:p>
        </w:tc>
        <w:tc>
          <w:tcPr>
            <w:tcW w:w="800" w:type="dxa"/>
          </w:tcPr>
          <w:p w14:paraId="24F64F5F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666" w:type="dxa"/>
          </w:tcPr>
          <w:p w14:paraId="184FA2D7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845" w:type="dxa"/>
          </w:tcPr>
          <w:p w14:paraId="4226D5D7" w14:textId="77777777" w:rsidR="006C34D9" w:rsidRDefault="00CB5041">
            <w:pPr>
              <w:pStyle w:val="TableParagraph"/>
              <w:spacing w:line="249" w:lineRule="exact"/>
              <w:ind w:left="91" w:right="80"/>
              <w:jc w:val="center"/>
            </w:pPr>
            <w:r>
              <w:t>56%**</w:t>
            </w:r>
          </w:p>
          <w:p w14:paraId="66E67ABC" w14:textId="77777777" w:rsidR="006C34D9" w:rsidRDefault="00CB5041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9"/>
              </w:rPr>
              <w:t>*</w:t>
            </w:r>
          </w:p>
        </w:tc>
        <w:tc>
          <w:tcPr>
            <w:tcW w:w="787" w:type="dxa"/>
          </w:tcPr>
          <w:p w14:paraId="32FF7223" w14:textId="77777777" w:rsidR="006C34D9" w:rsidRDefault="00CB5041">
            <w:pPr>
              <w:pStyle w:val="TableParagraph"/>
              <w:spacing w:line="249" w:lineRule="exact"/>
              <w:ind w:left="192"/>
            </w:pPr>
            <w:r>
              <w:t>25%</w:t>
            </w:r>
          </w:p>
        </w:tc>
        <w:tc>
          <w:tcPr>
            <w:tcW w:w="1033" w:type="dxa"/>
            <w:gridSpan w:val="2"/>
          </w:tcPr>
          <w:p w14:paraId="0CCA7B84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602" w:type="dxa"/>
          </w:tcPr>
          <w:p w14:paraId="4EF11F6A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872" w:type="dxa"/>
          </w:tcPr>
          <w:p w14:paraId="134F02A6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871" w:type="dxa"/>
          </w:tcPr>
          <w:p w14:paraId="59254550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1034" w:type="dxa"/>
            <w:gridSpan w:val="2"/>
          </w:tcPr>
          <w:p w14:paraId="05E0F1F2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602" w:type="dxa"/>
          </w:tcPr>
          <w:p w14:paraId="21AE8943" w14:textId="77777777" w:rsidR="006C34D9" w:rsidRDefault="006C34D9">
            <w:pPr>
              <w:pStyle w:val="TableParagraph"/>
              <w:ind w:left="0"/>
            </w:pPr>
          </w:p>
        </w:tc>
      </w:tr>
      <w:tr w:rsidR="006C34D9" w14:paraId="7AD04EBB" w14:textId="77777777">
        <w:trPr>
          <w:trHeight w:val="252"/>
        </w:trPr>
        <w:tc>
          <w:tcPr>
            <w:tcW w:w="9014" w:type="dxa"/>
            <w:gridSpan w:val="13"/>
          </w:tcPr>
          <w:p w14:paraId="5A153648" w14:textId="77777777" w:rsidR="006C34D9" w:rsidRDefault="00CB504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ACR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</w:t>
            </w:r>
          </w:p>
        </w:tc>
      </w:tr>
      <w:tr w:rsidR="006C34D9" w14:paraId="4D7BFFC4" w14:textId="77777777">
        <w:trPr>
          <w:trHeight w:val="506"/>
        </w:trPr>
        <w:tc>
          <w:tcPr>
            <w:tcW w:w="902" w:type="dxa"/>
          </w:tcPr>
          <w:p w14:paraId="24694F53" w14:textId="77777777" w:rsidR="006C34D9" w:rsidRDefault="00CB5041">
            <w:pPr>
              <w:pStyle w:val="TableParagraph"/>
              <w:spacing w:line="254" w:lineRule="exact"/>
              <w:ind w:left="340" w:right="166" w:hanging="147"/>
            </w:pPr>
            <w:r>
              <w:t>Week</w:t>
            </w:r>
            <w:r>
              <w:rPr>
                <w:spacing w:val="-53"/>
              </w:rPr>
              <w:t xml:space="preserve"> </w:t>
            </w:r>
            <w:r>
              <w:t>24</w:t>
            </w:r>
          </w:p>
        </w:tc>
        <w:tc>
          <w:tcPr>
            <w:tcW w:w="800" w:type="dxa"/>
          </w:tcPr>
          <w:p w14:paraId="7714F280" w14:textId="77777777" w:rsidR="006C34D9" w:rsidRDefault="00CB5041">
            <w:pPr>
              <w:pStyle w:val="TableParagraph"/>
              <w:spacing w:line="251" w:lineRule="exact"/>
              <w:ind w:left="105" w:right="94"/>
              <w:jc w:val="center"/>
              <w:rPr>
                <w:sz w:val="20"/>
              </w:rPr>
            </w:pPr>
            <w:r>
              <w:t>44%</w:t>
            </w:r>
            <w:r>
              <w:rPr>
                <w:sz w:val="20"/>
              </w:rPr>
              <w:t>*</w:t>
            </w:r>
          </w:p>
          <w:p w14:paraId="79A8000C" w14:textId="77777777" w:rsidR="006C34D9" w:rsidRDefault="00CB504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666" w:type="dxa"/>
          </w:tcPr>
          <w:p w14:paraId="3D16CDC3" w14:textId="77777777" w:rsidR="006C34D9" w:rsidRDefault="00CB5041">
            <w:pPr>
              <w:pStyle w:val="TableParagraph"/>
              <w:spacing w:line="251" w:lineRule="exact"/>
              <w:ind w:left="111" w:right="100"/>
              <w:jc w:val="center"/>
            </w:pPr>
            <w:r>
              <w:t>33%</w:t>
            </w:r>
          </w:p>
        </w:tc>
        <w:tc>
          <w:tcPr>
            <w:tcW w:w="845" w:type="dxa"/>
          </w:tcPr>
          <w:p w14:paraId="2EE07FFE" w14:textId="77777777" w:rsidR="006C34D9" w:rsidRDefault="00CB5041">
            <w:pPr>
              <w:pStyle w:val="TableParagraph"/>
              <w:spacing w:line="251" w:lineRule="exact"/>
              <w:ind w:left="91" w:right="80"/>
              <w:jc w:val="center"/>
              <w:rPr>
                <w:sz w:val="20"/>
              </w:rPr>
            </w:pPr>
            <w:r>
              <w:t>32%</w:t>
            </w:r>
            <w:r>
              <w:rPr>
                <w:sz w:val="20"/>
              </w:rPr>
              <w:t>**</w:t>
            </w:r>
          </w:p>
          <w:p w14:paraId="759AF80E" w14:textId="77777777" w:rsidR="006C34D9" w:rsidRDefault="00CB504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87" w:type="dxa"/>
          </w:tcPr>
          <w:p w14:paraId="552B278C" w14:textId="77777777" w:rsidR="006C34D9" w:rsidRDefault="00CB5041">
            <w:pPr>
              <w:pStyle w:val="TableParagraph"/>
              <w:spacing w:line="251" w:lineRule="exact"/>
              <w:ind w:left="192"/>
            </w:pPr>
            <w:r>
              <w:t>10%</w:t>
            </w:r>
          </w:p>
        </w:tc>
        <w:tc>
          <w:tcPr>
            <w:tcW w:w="1033" w:type="dxa"/>
            <w:gridSpan w:val="2"/>
          </w:tcPr>
          <w:p w14:paraId="73990670" w14:textId="77777777" w:rsidR="006C34D9" w:rsidRDefault="00CB5041">
            <w:pPr>
              <w:pStyle w:val="TableParagraph"/>
              <w:spacing w:line="251" w:lineRule="exact"/>
              <w:ind w:left="165"/>
              <w:rPr>
                <w:sz w:val="20"/>
              </w:rPr>
            </w:pPr>
            <w:r>
              <w:t>44%</w:t>
            </w:r>
            <w:r>
              <w:rPr>
                <w:sz w:val="20"/>
              </w:rPr>
              <w:t>***</w:t>
            </w:r>
          </w:p>
        </w:tc>
        <w:tc>
          <w:tcPr>
            <w:tcW w:w="602" w:type="dxa"/>
          </w:tcPr>
          <w:p w14:paraId="5098FC0F" w14:textId="77777777" w:rsidR="006C34D9" w:rsidRDefault="00CB5041">
            <w:pPr>
              <w:pStyle w:val="TableParagraph"/>
              <w:spacing w:line="251" w:lineRule="exact"/>
              <w:ind w:left="133" w:right="121"/>
              <w:jc w:val="center"/>
            </w:pPr>
            <w:r>
              <w:t>11</w:t>
            </w:r>
          </w:p>
          <w:p w14:paraId="180AB194" w14:textId="77777777" w:rsidR="006C34D9" w:rsidRDefault="00CB5041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w w:val="99"/>
              </w:rPr>
              <w:t>%</w:t>
            </w:r>
          </w:p>
        </w:tc>
        <w:tc>
          <w:tcPr>
            <w:tcW w:w="872" w:type="dxa"/>
          </w:tcPr>
          <w:p w14:paraId="6D4B4458" w14:textId="77777777" w:rsidR="006C34D9" w:rsidRDefault="00CB5041">
            <w:pPr>
              <w:pStyle w:val="TableParagraph"/>
              <w:spacing w:line="251" w:lineRule="exact"/>
              <w:ind w:left="116" w:right="102"/>
              <w:jc w:val="center"/>
              <w:rPr>
                <w:sz w:val="20"/>
              </w:rPr>
            </w:pPr>
            <w:r>
              <w:t>38%</w:t>
            </w:r>
            <w:r>
              <w:rPr>
                <w:sz w:val="20"/>
              </w:rPr>
              <w:t>**</w:t>
            </w:r>
          </w:p>
          <w:p w14:paraId="7B89CC0A" w14:textId="77777777" w:rsidR="006C34D9" w:rsidRDefault="00CB504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71" w:type="dxa"/>
          </w:tcPr>
          <w:p w14:paraId="7065A75F" w14:textId="77777777" w:rsidR="006C34D9" w:rsidRDefault="00CB5041">
            <w:pPr>
              <w:pStyle w:val="TableParagraph"/>
              <w:spacing w:line="251" w:lineRule="exact"/>
              <w:ind w:left="124" w:right="112"/>
              <w:jc w:val="center"/>
            </w:pPr>
            <w:r>
              <w:t>9%</w:t>
            </w:r>
          </w:p>
        </w:tc>
        <w:tc>
          <w:tcPr>
            <w:tcW w:w="1034" w:type="dxa"/>
            <w:gridSpan w:val="2"/>
          </w:tcPr>
          <w:p w14:paraId="06D2DE94" w14:textId="77777777" w:rsidR="006C34D9" w:rsidRDefault="00CB5041">
            <w:pPr>
              <w:pStyle w:val="TableParagraph"/>
              <w:spacing w:line="251" w:lineRule="exact"/>
              <w:ind w:left="167"/>
              <w:rPr>
                <w:sz w:val="20"/>
              </w:rPr>
            </w:pPr>
            <w:r>
              <w:t>29%</w:t>
            </w:r>
            <w:r>
              <w:rPr>
                <w:sz w:val="20"/>
              </w:rPr>
              <w:t>***</w:t>
            </w:r>
          </w:p>
        </w:tc>
        <w:tc>
          <w:tcPr>
            <w:tcW w:w="602" w:type="dxa"/>
          </w:tcPr>
          <w:p w14:paraId="62B17901" w14:textId="77777777" w:rsidR="006C34D9" w:rsidRDefault="00CB5041">
            <w:pPr>
              <w:pStyle w:val="TableParagraph"/>
              <w:spacing w:line="251" w:lineRule="exact"/>
              <w:ind w:left="137" w:right="121"/>
              <w:jc w:val="center"/>
            </w:pPr>
            <w:r>
              <w:t>4%</w:t>
            </w:r>
          </w:p>
        </w:tc>
      </w:tr>
      <w:tr w:rsidR="006C34D9" w14:paraId="05C388B4" w14:textId="77777777">
        <w:trPr>
          <w:trHeight w:val="504"/>
        </w:trPr>
        <w:tc>
          <w:tcPr>
            <w:tcW w:w="902" w:type="dxa"/>
          </w:tcPr>
          <w:p w14:paraId="290FEB54" w14:textId="77777777" w:rsidR="006C34D9" w:rsidRDefault="00CB5041">
            <w:pPr>
              <w:pStyle w:val="TableParagraph"/>
              <w:spacing w:line="249" w:lineRule="exact"/>
              <w:ind w:left="194"/>
            </w:pPr>
            <w:r>
              <w:t>Week</w:t>
            </w:r>
          </w:p>
          <w:p w14:paraId="62C3C949" w14:textId="77777777" w:rsidR="006C34D9" w:rsidRDefault="00CB5041">
            <w:pPr>
              <w:pStyle w:val="TableParagraph"/>
              <w:spacing w:line="234" w:lineRule="exact"/>
              <w:ind w:left="289"/>
            </w:pPr>
            <w:r>
              <w:t>52^</w:t>
            </w:r>
          </w:p>
        </w:tc>
        <w:tc>
          <w:tcPr>
            <w:tcW w:w="800" w:type="dxa"/>
          </w:tcPr>
          <w:p w14:paraId="0C0DD236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666" w:type="dxa"/>
          </w:tcPr>
          <w:p w14:paraId="0946092F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845" w:type="dxa"/>
          </w:tcPr>
          <w:p w14:paraId="5EDAFFF4" w14:textId="77777777" w:rsidR="006C34D9" w:rsidRDefault="00CB5041">
            <w:pPr>
              <w:pStyle w:val="TableParagraph"/>
              <w:spacing w:line="249" w:lineRule="exact"/>
              <w:ind w:left="91" w:right="80"/>
              <w:jc w:val="center"/>
            </w:pPr>
            <w:r>
              <w:t>36%**</w:t>
            </w:r>
          </w:p>
          <w:p w14:paraId="129A101B" w14:textId="77777777" w:rsidR="006C34D9" w:rsidRDefault="00CB5041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9"/>
              </w:rPr>
              <w:t>*</w:t>
            </w:r>
          </w:p>
        </w:tc>
        <w:tc>
          <w:tcPr>
            <w:tcW w:w="787" w:type="dxa"/>
          </w:tcPr>
          <w:p w14:paraId="3B6894D4" w14:textId="77777777" w:rsidR="006C34D9" w:rsidRDefault="00CB5041">
            <w:pPr>
              <w:pStyle w:val="TableParagraph"/>
              <w:spacing w:line="249" w:lineRule="exact"/>
              <w:ind w:left="192"/>
            </w:pPr>
            <w:r>
              <w:t>10%</w:t>
            </w:r>
          </w:p>
        </w:tc>
        <w:tc>
          <w:tcPr>
            <w:tcW w:w="1033" w:type="dxa"/>
            <w:gridSpan w:val="2"/>
          </w:tcPr>
          <w:p w14:paraId="36226B9F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602" w:type="dxa"/>
          </w:tcPr>
          <w:p w14:paraId="61878E19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872" w:type="dxa"/>
          </w:tcPr>
          <w:p w14:paraId="28633F08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871" w:type="dxa"/>
          </w:tcPr>
          <w:p w14:paraId="0275E99B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1034" w:type="dxa"/>
            <w:gridSpan w:val="2"/>
          </w:tcPr>
          <w:p w14:paraId="008F8EAB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602" w:type="dxa"/>
          </w:tcPr>
          <w:p w14:paraId="1E60E1CF" w14:textId="77777777" w:rsidR="006C34D9" w:rsidRDefault="006C34D9">
            <w:pPr>
              <w:pStyle w:val="TableParagraph"/>
              <w:ind w:left="0"/>
            </w:pPr>
          </w:p>
        </w:tc>
      </w:tr>
      <w:tr w:rsidR="006C34D9" w14:paraId="387E8E31" w14:textId="77777777">
        <w:trPr>
          <w:trHeight w:val="252"/>
        </w:trPr>
        <w:tc>
          <w:tcPr>
            <w:tcW w:w="9014" w:type="dxa"/>
            <w:gridSpan w:val="13"/>
          </w:tcPr>
          <w:p w14:paraId="3960252A" w14:textId="77777777" w:rsidR="006C34D9" w:rsidRDefault="00CB504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ACR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70</w:t>
            </w:r>
          </w:p>
        </w:tc>
      </w:tr>
      <w:tr w:rsidR="006C34D9" w14:paraId="01745250" w14:textId="77777777">
        <w:trPr>
          <w:trHeight w:val="505"/>
        </w:trPr>
        <w:tc>
          <w:tcPr>
            <w:tcW w:w="902" w:type="dxa"/>
          </w:tcPr>
          <w:p w14:paraId="6A21CC5C" w14:textId="77777777" w:rsidR="006C34D9" w:rsidRDefault="00CB5041">
            <w:pPr>
              <w:pStyle w:val="TableParagraph"/>
              <w:spacing w:line="254" w:lineRule="exact"/>
              <w:ind w:left="340" w:right="166" w:hanging="147"/>
            </w:pPr>
            <w:r>
              <w:t>Week</w:t>
            </w:r>
            <w:r>
              <w:rPr>
                <w:spacing w:val="-53"/>
              </w:rPr>
              <w:t xml:space="preserve"> </w:t>
            </w:r>
            <w:r>
              <w:t>24</w:t>
            </w:r>
          </w:p>
        </w:tc>
        <w:tc>
          <w:tcPr>
            <w:tcW w:w="800" w:type="dxa"/>
          </w:tcPr>
          <w:p w14:paraId="2DA9C81B" w14:textId="77777777" w:rsidR="006C34D9" w:rsidRDefault="00CB5041">
            <w:pPr>
              <w:pStyle w:val="TableParagraph"/>
              <w:spacing w:line="251" w:lineRule="exact"/>
              <w:ind w:left="105" w:right="94"/>
              <w:jc w:val="center"/>
              <w:rPr>
                <w:sz w:val="20"/>
              </w:rPr>
            </w:pPr>
            <w:r>
              <w:t>28%</w:t>
            </w:r>
            <w:r>
              <w:rPr>
                <w:sz w:val="20"/>
              </w:rPr>
              <w:t>*</w:t>
            </w:r>
          </w:p>
          <w:p w14:paraId="656E6FC0" w14:textId="77777777" w:rsidR="006C34D9" w:rsidRDefault="00CB504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666" w:type="dxa"/>
          </w:tcPr>
          <w:p w14:paraId="58C1FE94" w14:textId="77777777" w:rsidR="006C34D9" w:rsidRDefault="00CB5041">
            <w:pPr>
              <w:pStyle w:val="TableParagraph"/>
              <w:spacing w:line="251" w:lineRule="exact"/>
              <w:ind w:left="111" w:right="100"/>
              <w:jc w:val="center"/>
            </w:pPr>
            <w:r>
              <w:t>15%</w:t>
            </w:r>
          </w:p>
        </w:tc>
        <w:tc>
          <w:tcPr>
            <w:tcW w:w="845" w:type="dxa"/>
          </w:tcPr>
          <w:p w14:paraId="255047D6" w14:textId="77777777" w:rsidR="006C34D9" w:rsidRDefault="00CB5041">
            <w:pPr>
              <w:pStyle w:val="TableParagraph"/>
              <w:spacing w:line="251" w:lineRule="exact"/>
              <w:ind w:left="91" w:right="80"/>
              <w:jc w:val="center"/>
              <w:rPr>
                <w:sz w:val="20"/>
              </w:rPr>
            </w:pPr>
            <w:r>
              <w:t>13%</w:t>
            </w:r>
            <w:r>
              <w:rPr>
                <w:sz w:val="20"/>
              </w:rPr>
              <w:t>**</w:t>
            </w:r>
          </w:p>
          <w:p w14:paraId="13E0AEF1" w14:textId="77777777" w:rsidR="006C34D9" w:rsidRDefault="00CB504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787" w:type="dxa"/>
          </w:tcPr>
          <w:p w14:paraId="2DA410FE" w14:textId="77777777" w:rsidR="006C34D9" w:rsidRDefault="00CB5041">
            <w:pPr>
              <w:pStyle w:val="TableParagraph"/>
              <w:spacing w:line="251" w:lineRule="exact"/>
              <w:ind w:left="247"/>
            </w:pPr>
            <w:r>
              <w:t>2%</w:t>
            </w:r>
          </w:p>
        </w:tc>
        <w:tc>
          <w:tcPr>
            <w:tcW w:w="1033" w:type="dxa"/>
            <w:gridSpan w:val="2"/>
          </w:tcPr>
          <w:p w14:paraId="0A2CB805" w14:textId="77777777" w:rsidR="006C34D9" w:rsidRDefault="00CB5041">
            <w:pPr>
              <w:pStyle w:val="TableParagraph"/>
              <w:spacing w:line="251" w:lineRule="exact"/>
              <w:ind w:left="165"/>
              <w:rPr>
                <w:sz w:val="20"/>
              </w:rPr>
            </w:pPr>
            <w:r>
              <w:t>22%</w:t>
            </w:r>
            <w:r>
              <w:rPr>
                <w:sz w:val="20"/>
              </w:rPr>
              <w:t>***</w:t>
            </w:r>
          </w:p>
        </w:tc>
        <w:tc>
          <w:tcPr>
            <w:tcW w:w="602" w:type="dxa"/>
          </w:tcPr>
          <w:p w14:paraId="709C3FD3" w14:textId="77777777" w:rsidR="006C34D9" w:rsidRDefault="00CB5041">
            <w:pPr>
              <w:pStyle w:val="TableParagraph"/>
              <w:spacing w:line="251" w:lineRule="exact"/>
              <w:ind w:left="155"/>
            </w:pPr>
            <w:r>
              <w:t>2%</w:t>
            </w:r>
          </w:p>
        </w:tc>
        <w:tc>
          <w:tcPr>
            <w:tcW w:w="872" w:type="dxa"/>
          </w:tcPr>
          <w:p w14:paraId="354981B5" w14:textId="77777777" w:rsidR="006C34D9" w:rsidRDefault="00CB5041">
            <w:pPr>
              <w:pStyle w:val="TableParagraph"/>
              <w:spacing w:line="251" w:lineRule="exact"/>
              <w:ind w:left="116" w:right="102"/>
              <w:jc w:val="center"/>
              <w:rPr>
                <w:sz w:val="20"/>
              </w:rPr>
            </w:pPr>
            <w:r>
              <w:t>21%</w:t>
            </w:r>
            <w:r>
              <w:rPr>
                <w:sz w:val="20"/>
              </w:rPr>
              <w:t>**</w:t>
            </w:r>
          </w:p>
          <w:p w14:paraId="6001C090" w14:textId="77777777" w:rsidR="006C34D9" w:rsidRDefault="00CB504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71" w:type="dxa"/>
          </w:tcPr>
          <w:p w14:paraId="3E453CEA" w14:textId="77777777" w:rsidR="006C34D9" w:rsidRDefault="00CB5041">
            <w:pPr>
              <w:pStyle w:val="TableParagraph"/>
              <w:spacing w:line="251" w:lineRule="exact"/>
              <w:ind w:left="124" w:right="112"/>
              <w:jc w:val="center"/>
            </w:pPr>
            <w:r>
              <w:t>3%</w:t>
            </w:r>
          </w:p>
        </w:tc>
        <w:tc>
          <w:tcPr>
            <w:tcW w:w="1034" w:type="dxa"/>
            <w:gridSpan w:val="2"/>
          </w:tcPr>
          <w:p w14:paraId="013EA65E" w14:textId="77777777" w:rsidR="006C34D9" w:rsidRDefault="00CB5041">
            <w:pPr>
              <w:pStyle w:val="TableParagraph"/>
              <w:spacing w:line="251" w:lineRule="exact"/>
              <w:ind w:left="216"/>
              <w:rPr>
                <w:sz w:val="20"/>
              </w:rPr>
            </w:pPr>
            <w:r>
              <w:t>12%</w:t>
            </w:r>
            <w:r>
              <w:rPr>
                <w:sz w:val="20"/>
              </w:rPr>
              <w:t>**</w:t>
            </w:r>
          </w:p>
        </w:tc>
        <w:tc>
          <w:tcPr>
            <w:tcW w:w="602" w:type="dxa"/>
          </w:tcPr>
          <w:p w14:paraId="5B8110F4" w14:textId="77777777" w:rsidR="006C34D9" w:rsidRDefault="00CB5041">
            <w:pPr>
              <w:pStyle w:val="TableParagraph"/>
              <w:spacing w:line="251" w:lineRule="exact"/>
              <w:ind w:left="137" w:right="121"/>
              <w:jc w:val="center"/>
            </w:pPr>
            <w:r>
              <w:t>1%</w:t>
            </w:r>
          </w:p>
        </w:tc>
      </w:tr>
      <w:tr w:rsidR="006C34D9" w14:paraId="4BFE7D41" w14:textId="77777777">
        <w:trPr>
          <w:trHeight w:val="504"/>
        </w:trPr>
        <w:tc>
          <w:tcPr>
            <w:tcW w:w="902" w:type="dxa"/>
          </w:tcPr>
          <w:p w14:paraId="668674B1" w14:textId="77777777" w:rsidR="006C34D9" w:rsidRDefault="00CB5041">
            <w:pPr>
              <w:pStyle w:val="TableParagraph"/>
              <w:spacing w:line="249" w:lineRule="exact"/>
              <w:ind w:left="194"/>
            </w:pPr>
            <w:r>
              <w:t>Week</w:t>
            </w:r>
          </w:p>
          <w:p w14:paraId="4F379BE5" w14:textId="77777777" w:rsidR="006C34D9" w:rsidRDefault="00CB5041">
            <w:pPr>
              <w:pStyle w:val="TableParagraph"/>
              <w:spacing w:line="234" w:lineRule="exact"/>
              <w:ind w:left="289"/>
            </w:pPr>
            <w:r>
              <w:t>52^</w:t>
            </w:r>
          </w:p>
        </w:tc>
        <w:tc>
          <w:tcPr>
            <w:tcW w:w="800" w:type="dxa"/>
          </w:tcPr>
          <w:p w14:paraId="23646D38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666" w:type="dxa"/>
          </w:tcPr>
          <w:p w14:paraId="5EBECCB1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845" w:type="dxa"/>
          </w:tcPr>
          <w:p w14:paraId="58BF89DA" w14:textId="77777777" w:rsidR="006C34D9" w:rsidRDefault="00CB5041">
            <w:pPr>
              <w:pStyle w:val="TableParagraph"/>
              <w:spacing w:line="249" w:lineRule="exact"/>
              <w:ind w:left="91" w:right="80"/>
              <w:jc w:val="center"/>
            </w:pPr>
            <w:r>
              <w:t>20%**</w:t>
            </w:r>
          </w:p>
          <w:p w14:paraId="47184B15" w14:textId="77777777" w:rsidR="006C34D9" w:rsidRDefault="00CB5041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99"/>
              </w:rPr>
              <w:t>*</w:t>
            </w:r>
          </w:p>
        </w:tc>
        <w:tc>
          <w:tcPr>
            <w:tcW w:w="787" w:type="dxa"/>
          </w:tcPr>
          <w:p w14:paraId="0A054B22" w14:textId="77777777" w:rsidR="006C34D9" w:rsidRDefault="00CB5041">
            <w:pPr>
              <w:pStyle w:val="TableParagraph"/>
              <w:spacing w:line="249" w:lineRule="exact"/>
              <w:ind w:left="247"/>
            </w:pPr>
            <w:r>
              <w:t>4%</w:t>
            </w:r>
          </w:p>
        </w:tc>
        <w:tc>
          <w:tcPr>
            <w:tcW w:w="1033" w:type="dxa"/>
            <w:gridSpan w:val="2"/>
          </w:tcPr>
          <w:p w14:paraId="08201D6A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602" w:type="dxa"/>
          </w:tcPr>
          <w:p w14:paraId="5315189D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872" w:type="dxa"/>
          </w:tcPr>
          <w:p w14:paraId="6B5E2636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871" w:type="dxa"/>
          </w:tcPr>
          <w:p w14:paraId="15ECC408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1034" w:type="dxa"/>
            <w:gridSpan w:val="2"/>
          </w:tcPr>
          <w:p w14:paraId="3729154A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602" w:type="dxa"/>
          </w:tcPr>
          <w:p w14:paraId="3E227C11" w14:textId="77777777" w:rsidR="006C34D9" w:rsidRDefault="006C34D9">
            <w:pPr>
              <w:pStyle w:val="TableParagraph"/>
              <w:ind w:left="0"/>
            </w:pPr>
          </w:p>
        </w:tc>
      </w:tr>
      <w:tr w:rsidR="006C34D9" w14:paraId="7833A360" w14:textId="77777777">
        <w:trPr>
          <w:trHeight w:val="1139"/>
        </w:trPr>
        <w:tc>
          <w:tcPr>
            <w:tcW w:w="902" w:type="dxa"/>
          </w:tcPr>
          <w:p w14:paraId="7D1801B9" w14:textId="77777777" w:rsidR="006C34D9" w:rsidRDefault="00CB5041">
            <w:pPr>
              <w:pStyle w:val="TableParagraph"/>
              <w:spacing w:line="386" w:lineRule="exact"/>
              <w:ind w:left="144" w:right="135"/>
              <w:jc w:val="center"/>
              <w:rPr>
                <w:rFonts w:ascii="Yu Gothic UI" w:hAnsi="Yu Gothic UI"/>
              </w:rPr>
            </w:pPr>
            <w:r>
              <w:t>MCR</w:t>
            </w:r>
            <w:r>
              <w:rPr>
                <w:rFonts w:ascii="Yu Gothic UI" w:hAnsi="Yu Gothic UI"/>
              </w:rPr>
              <w:t>†</w:t>
            </w:r>
          </w:p>
          <w:p w14:paraId="1D07119E" w14:textId="77777777" w:rsidR="006C34D9" w:rsidRDefault="00CB5041">
            <w:pPr>
              <w:pStyle w:val="TableParagraph"/>
              <w:ind w:left="194" w:right="184" w:hanging="1"/>
              <w:jc w:val="center"/>
            </w:pPr>
            <w:r>
              <w:t>by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Week</w:t>
            </w:r>
          </w:p>
          <w:p w14:paraId="333B942B" w14:textId="77777777" w:rsidR="006C34D9" w:rsidRDefault="00CB5041">
            <w:pPr>
              <w:pStyle w:val="TableParagraph"/>
              <w:spacing w:line="234" w:lineRule="exact"/>
              <w:ind w:left="144" w:right="134"/>
              <w:jc w:val="center"/>
            </w:pPr>
            <w:r>
              <w:t>52^</w:t>
            </w:r>
          </w:p>
        </w:tc>
        <w:tc>
          <w:tcPr>
            <w:tcW w:w="800" w:type="dxa"/>
          </w:tcPr>
          <w:p w14:paraId="0FB01130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666" w:type="dxa"/>
          </w:tcPr>
          <w:p w14:paraId="70901090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845" w:type="dxa"/>
          </w:tcPr>
          <w:p w14:paraId="61D85201" w14:textId="77777777" w:rsidR="006C34D9" w:rsidRDefault="00CB5041">
            <w:pPr>
              <w:pStyle w:val="TableParagraph"/>
              <w:spacing w:line="251" w:lineRule="exact"/>
              <w:ind w:left="275"/>
            </w:pPr>
            <w:r>
              <w:t>7%</w:t>
            </w:r>
          </w:p>
        </w:tc>
        <w:tc>
          <w:tcPr>
            <w:tcW w:w="787" w:type="dxa"/>
          </w:tcPr>
          <w:p w14:paraId="42CEED92" w14:textId="77777777" w:rsidR="006C34D9" w:rsidRDefault="00CB5041">
            <w:pPr>
              <w:pStyle w:val="TableParagraph"/>
              <w:spacing w:line="251" w:lineRule="exact"/>
              <w:ind w:left="247"/>
            </w:pPr>
            <w:r>
              <w:t>1%</w:t>
            </w:r>
          </w:p>
        </w:tc>
        <w:tc>
          <w:tcPr>
            <w:tcW w:w="1033" w:type="dxa"/>
            <w:gridSpan w:val="2"/>
          </w:tcPr>
          <w:p w14:paraId="177CC186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602" w:type="dxa"/>
          </w:tcPr>
          <w:p w14:paraId="2818F019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872" w:type="dxa"/>
          </w:tcPr>
          <w:p w14:paraId="5FBFAE52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871" w:type="dxa"/>
          </w:tcPr>
          <w:p w14:paraId="578F6551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1034" w:type="dxa"/>
            <w:gridSpan w:val="2"/>
          </w:tcPr>
          <w:p w14:paraId="332EB2FD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602" w:type="dxa"/>
          </w:tcPr>
          <w:p w14:paraId="2195503B" w14:textId="77777777" w:rsidR="006C34D9" w:rsidRDefault="006C34D9">
            <w:pPr>
              <w:pStyle w:val="TableParagraph"/>
              <w:ind w:left="0"/>
            </w:pPr>
          </w:p>
        </w:tc>
      </w:tr>
    </w:tbl>
    <w:p w14:paraId="700F7FB3" w14:textId="77777777" w:rsidR="006C34D9" w:rsidRDefault="00CB5041">
      <w:pPr>
        <w:spacing w:before="4" w:line="230" w:lineRule="exact"/>
        <w:ind w:left="660"/>
        <w:jc w:val="both"/>
        <w:rPr>
          <w:sz w:val="20"/>
        </w:rPr>
      </w:pP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Actemra</w:t>
      </w:r>
    </w:p>
    <w:p w14:paraId="1DA2F08A" w14:textId="77777777" w:rsidR="006C34D9" w:rsidRDefault="00CB5041">
      <w:pPr>
        <w:pStyle w:val="ListParagraph"/>
        <w:numPr>
          <w:ilvl w:val="0"/>
          <w:numId w:val="3"/>
        </w:numPr>
        <w:tabs>
          <w:tab w:val="left" w:pos="810"/>
        </w:tabs>
        <w:spacing w:line="230" w:lineRule="exact"/>
        <w:rPr>
          <w:sz w:val="20"/>
        </w:rPr>
      </w:pP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&lt;</w:t>
      </w:r>
      <w:r>
        <w:rPr>
          <w:spacing w:val="-2"/>
          <w:sz w:val="20"/>
        </w:rPr>
        <w:t xml:space="preserve"> </w:t>
      </w:r>
      <w:r>
        <w:rPr>
          <w:sz w:val="20"/>
        </w:rPr>
        <w:t>0.05,</w:t>
      </w:r>
      <w:r>
        <w:rPr>
          <w:spacing w:val="-3"/>
          <w:sz w:val="20"/>
        </w:rPr>
        <w:t xml:space="preserve"> </w:t>
      </w:r>
      <w:r>
        <w:rPr>
          <w:sz w:val="20"/>
        </w:rPr>
        <w:t>Actemra</w:t>
      </w:r>
      <w:r>
        <w:rPr>
          <w:spacing w:val="-1"/>
          <w:sz w:val="20"/>
        </w:rPr>
        <w:t xml:space="preserve"> </w:t>
      </w:r>
      <w:r>
        <w:rPr>
          <w:sz w:val="20"/>
        </w:rPr>
        <w:t>vs.</w:t>
      </w:r>
      <w:r>
        <w:rPr>
          <w:spacing w:val="-3"/>
          <w:sz w:val="20"/>
        </w:rPr>
        <w:t xml:space="preserve"> </w:t>
      </w:r>
      <w:r>
        <w:rPr>
          <w:sz w:val="20"/>
        </w:rPr>
        <w:t>placebo</w:t>
      </w:r>
      <w:r>
        <w:rPr>
          <w:spacing w:val="-2"/>
          <w:sz w:val="20"/>
        </w:rPr>
        <w:t xml:space="preserve"> 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sz w:val="20"/>
        </w:rPr>
        <w:t>MTX/DMARD</w:t>
      </w:r>
    </w:p>
    <w:p w14:paraId="0EF29103" w14:textId="77777777" w:rsidR="006C34D9" w:rsidRDefault="00CB5041">
      <w:pPr>
        <w:spacing w:before="1"/>
        <w:ind w:left="660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pacing w:val="-2"/>
          <w:sz w:val="20"/>
        </w:rPr>
        <w:t xml:space="preserve"> </w:t>
      </w:r>
      <w:r>
        <w:rPr>
          <w:sz w:val="20"/>
        </w:rPr>
        <w:t>&lt;</w:t>
      </w:r>
      <w:r>
        <w:rPr>
          <w:spacing w:val="-3"/>
          <w:sz w:val="20"/>
        </w:rPr>
        <w:t xml:space="preserve"> </w:t>
      </w:r>
      <w:r>
        <w:rPr>
          <w:sz w:val="20"/>
        </w:rPr>
        <w:t>0.01,</w:t>
      </w:r>
      <w:r>
        <w:rPr>
          <w:spacing w:val="-3"/>
          <w:sz w:val="20"/>
        </w:rPr>
        <w:t xml:space="preserve"> </w:t>
      </w:r>
      <w:r>
        <w:rPr>
          <w:sz w:val="20"/>
        </w:rPr>
        <w:t>Actemra</w:t>
      </w:r>
      <w:r>
        <w:rPr>
          <w:spacing w:val="-1"/>
          <w:sz w:val="20"/>
        </w:rPr>
        <w:t xml:space="preserve"> </w:t>
      </w:r>
      <w:r>
        <w:rPr>
          <w:sz w:val="20"/>
        </w:rPr>
        <w:t>vs.</w:t>
      </w:r>
      <w:r>
        <w:rPr>
          <w:spacing w:val="-2"/>
          <w:sz w:val="20"/>
        </w:rPr>
        <w:t xml:space="preserve"> </w:t>
      </w:r>
      <w:r>
        <w:rPr>
          <w:sz w:val="20"/>
        </w:rPr>
        <w:t>placebo</w:t>
      </w:r>
      <w:r>
        <w:rPr>
          <w:spacing w:val="-2"/>
          <w:sz w:val="20"/>
        </w:rPr>
        <w:t xml:space="preserve"> 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sz w:val="20"/>
        </w:rPr>
        <w:t>MTX/DMARD</w:t>
      </w:r>
    </w:p>
    <w:p w14:paraId="0AB1E062" w14:textId="77777777" w:rsidR="006C34D9" w:rsidRDefault="00CB5041">
      <w:pPr>
        <w:spacing w:line="226" w:lineRule="exact"/>
        <w:ind w:left="660"/>
        <w:rPr>
          <w:sz w:val="20"/>
        </w:rPr>
      </w:pPr>
      <w:r>
        <w:rPr>
          <w:sz w:val="20"/>
        </w:rPr>
        <w:t>***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&lt;</w:t>
      </w:r>
      <w:r>
        <w:rPr>
          <w:spacing w:val="-3"/>
          <w:sz w:val="20"/>
        </w:rPr>
        <w:t xml:space="preserve"> </w:t>
      </w:r>
      <w:r>
        <w:rPr>
          <w:sz w:val="20"/>
        </w:rPr>
        <w:t>0.0001,</w:t>
      </w:r>
      <w:r>
        <w:rPr>
          <w:spacing w:val="-2"/>
          <w:sz w:val="20"/>
        </w:rPr>
        <w:t xml:space="preserve"> </w:t>
      </w:r>
      <w:r>
        <w:rPr>
          <w:sz w:val="20"/>
        </w:rPr>
        <w:t>Actemra</w:t>
      </w:r>
      <w:r>
        <w:rPr>
          <w:spacing w:val="-1"/>
          <w:sz w:val="20"/>
        </w:rPr>
        <w:t xml:space="preserve"> </w:t>
      </w:r>
      <w:r>
        <w:rPr>
          <w:sz w:val="20"/>
        </w:rPr>
        <w:t>vs.</w:t>
      </w:r>
      <w:r>
        <w:rPr>
          <w:spacing w:val="-3"/>
          <w:sz w:val="20"/>
        </w:rPr>
        <w:t xml:space="preserve"> </w:t>
      </w:r>
      <w:r>
        <w:rPr>
          <w:sz w:val="20"/>
        </w:rPr>
        <w:t>placebo +</w:t>
      </w:r>
      <w:r>
        <w:rPr>
          <w:spacing w:val="-4"/>
          <w:sz w:val="20"/>
        </w:rPr>
        <w:t xml:space="preserve"> </w:t>
      </w:r>
      <w:r>
        <w:rPr>
          <w:sz w:val="20"/>
        </w:rPr>
        <w:t>MTX/DMARD</w:t>
      </w:r>
    </w:p>
    <w:p w14:paraId="64F9BD3B" w14:textId="77777777" w:rsidR="006C34D9" w:rsidRDefault="00CB5041">
      <w:pPr>
        <w:spacing w:before="7" w:line="230" w:lineRule="auto"/>
        <w:ind w:left="659" w:right="596"/>
        <w:rPr>
          <w:sz w:val="20"/>
        </w:rPr>
      </w:pPr>
      <w:r>
        <w:rPr>
          <w:rFonts w:ascii="Yu Gothic UI" w:hAnsi="Yu Gothic UI"/>
          <w:sz w:val="20"/>
        </w:rPr>
        <w:t>†</w:t>
      </w:r>
      <w:r>
        <w:rPr>
          <w:rFonts w:ascii="Yu Gothic UI" w:hAnsi="Yu Gothic UI"/>
          <w:spacing w:val="7"/>
          <w:sz w:val="20"/>
        </w:rPr>
        <w:t xml:space="preserve"> </w:t>
      </w:r>
      <w:r>
        <w:rPr>
          <w:sz w:val="20"/>
        </w:rPr>
        <w:t>MCR</w:t>
      </w:r>
      <w:r>
        <w:rPr>
          <w:spacing w:val="12"/>
          <w:sz w:val="20"/>
        </w:rPr>
        <w:t xml:space="preserve"> </w:t>
      </w:r>
      <w:r>
        <w:rPr>
          <w:sz w:val="20"/>
        </w:rPr>
        <w:t>=</w:t>
      </w:r>
      <w:r>
        <w:rPr>
          <w:spacing w:val="13"/>
          <w:sz w:val="20"/>
        </w:rPr>
        <w:t xml:space="preserve"> </w:t>
      </w:r>
      <w:r>
        <w:rPr>
          <w:sz w:val="20"/>
        </w:rPr>
        <w:t>major</w:t>
      </w:r>
      <w:r>
        <w:rPr>
          <w:spacing w:val="13"/>
          <w:sz w:val="20"/>
        </w:rPr>
        <w:t xml:space="preserve"> </w:t>
      </w:r>
      <w:r>
        <w:rPr>
          <w:sz w:val="20"/>
        </w:rPr>
        <w:t>clinical</w:t>
      </w:r>
      <w:r>
        <w:rPr>
          <w:spacing w:val="12"/>
          <w:sz w:val="20"/>
        </w:rPr>
        <w:t xml:space="preserve"> </w:t>
      </w:r>
      <w:r>
        <w:rPr>
          <w:sz w:val="20"/>
        </w:rPr>
        <w:t>response,</w:t>
      </w:r>
      <w:r>
        <w:rPr>
          <w:spacing w:val="11"/>
          <w:sz w:val="20"/>
        </w:rPr>
        <w:t xml:space="preserve"> </w:t>
      </w:r>
      <w:r>
        <w:rPr>
          <w:sz w:val="20"/>
        </w:rPr>
        <w:t>defined</w:t>
      </w:r>
      <w:r>
        <w:rPr>
          <w:spacing w:val="13"/>
          <w:sz w:val="20"/>
        </w:rPr>
        <w:t xml:space="preserve"> </w:t>
      </w:r>
      <w:r>
        <w:rPr>
          <w:sz w:val="20"/>
        </w:rPr>
        <w:t>as</w:t>
      </w:r>
      <w:r>
        <w:rPr>
          <w:spacing w:val="11"/>
          <w:sz w:val="20"/>
        </w:rPr>
        <w:t xml:space="preserve"> </w:t>
      </w:r>
      <w:r>
        <w:rPr>
          <w:sz w:val="20"/>
        </w:rPr>
        <w:t>an</w:t>
      </w:r>
      <w:r>
        <w:rPr>
          <w:spacing w:val="13"/>
          <w:sz w:val="20"/>
        </w:rPr>
        <w:t xml:space="preserve"> </w:t>
      </w:r>
      <w:r>
        <w:rPr>
          <w:sz w:val="20"/>
        </w:rPr>
        <w:t>ACR70</w:t>
      </w:r>
      <w:r>
        <w:rPr>
          <w:spacing w:val="12"/>
          <w:sz w:val="20"/>
        </w:rPr>
        <w:t xml:space="preserve"> </w:t>
      </w:r>
      <w:r>
        <w:rPr>
          <w:sz w:val="20"/>
        </w:rPr>
        <w:t>response</w:t>
      </w:r>
      <w:r>
        <w:rPr>
          <w:spacing w:val="12"/>
          <w:sz w:val="20"/>
        </w:rPr>
        <w:t xml:space="preserve"> </w:t>
      </w:r>
      <w:r>
        <w:rPr>
          <w:sz w:val="20"/>
        </w:rPr>
        <w:t>maintained</w:t>
      </w:r>
      <w:r>
        <w:rPr>
          <w:spacing w:val="12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z w:val="20"/>
        </w:rPr>
        <w:t>any</w:t>
      </w:r>
      <w:r>
        <w:rPr>
          <w:spacing w:val="12"/>
          <w:sz w:val="20"/>
        </w:rPr>
        <w:t xml:space="preserve"> </w:t>
      </w:r>
      <w:r>
        <w:rPr>
          <w:sz w:val="20"/>
        </w:rPr>
        <w:t>24</w:t>
      </w:r>
      <w:r>
        <w:rPr>
          <w:spacing w:val="12"/>
          <w:sz w:val="20"/>
        </w:rPr>
        <w:t xml:space="preserve"> </w:t>
      </w:r>
      <w:r>
        <w:rPr>
          <w:sz w:val="20"/>
        </w:rPr>
        <w:t>consecutive</w:t>
      </w:r>
      <w:r>
        <w:rPr>
          <w:spacing w:val="11"/>
          <w:sz w:val="20"/>
        </w:rPr>
        <w:t xml:space="preserve"> </w:t>
      </w:r>
      <w:r>
        <w:rPr>
          <w:sz w:val="20"/>
        </w:rPr>
        <w:t>weeks</w:t>
      </w:r>
      <w:r>
        <w:rPr>
          <w:spacing w:val="1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more.</w:t>
      </w:r>
      <w:r>
        <w:rPr>
          <w:spacing w:val="-2"/>
          <w:sz w:val="20"/>
        </w:rPr>
        <w:t xml:space="preserve"> </w:t>
      </w:r>
      <w:r>
        <w:rPr>
          <w:sz w:val="20"/>
        </w:rPr>
        <w:t>Note: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comparison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MCR</w:t>
      </w:r>
      <w:r>
        <w:rPr>
          <w:spacing w:val="-4"/>
          <w:sz w:val="20"/>
        </w:rPr>
        <w:t xml:space="preserve"> </w:t>
      </w:r>
      <w:r>
        <w:rPr>
          <w:sz w:val="20"/>
        </w:rPr>
        <w:t>occurred after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break 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hierarchical</w:t>
      </w:r>
      <w:r>
        <w:rPr>
          <w:spacing w:val="-3"/>
          <w:sz w:val="20"/>
        </w:rPr>
        <w:t xml:space="preserve"> </w:t>
      </w:r>
      <w:r>
        <w:rPr>
          <w:sz w:val="20"/>
        </w:rPr>
        <w:t>ordered</w:t>
      </w:r>
      <w:r>
        <w:rPr>
          <w:spacing w:val="-4"/>
          <w:sz w:val="20"/>
        </w:rPr>
        <w:t xml:space="preserve"> </w:t>
      </w:r>
      <w:r>
        <w:rPr>
          <w:sz w:val="20"/>
        </w:rPr>
        <w:t>testing</w:t>
      </w:r>
      <w:r>
        <w:rPr>
          <w:spacing w:val="-1"/>
          <w:sz w:val="20"/>
        </w:rPr>
        <w:t xml:space="preserve"> </w:t>
      </w:r>
      <w:r>
        <w:rPr>
          <w:sz w:val="20"/>
        </w:rPr>
        <w:t>sequence,</w:t>
      </w:r>
      <w:r>
        <w:rPr>
          <w:spacing w:val="-1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</w:p>
    <w:p w14:paraId="5BDD7206" w14:textId="77777777" w:rsidR="006C34D9" w:rsidRDefault="006C34D9">
      <w:pPr>
        <w:spacing w:line="230" w:lineRule="auto"/>
        <w:rPr>
          <w:sz w:val="20"/>
        </w:r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596C381B" w14:textId="77777777" w:rsidR="006C34D9" w:rsidRDefault="00CB5041">
      <w:pPr>
        <w:spacing w:before="79"/>
        <w:ind w:left="660" w:right="658"/>
        <w:jc w:val="both"/>
        <w:rPr>
          <w:sz w:val="20"/>
        </w:rPr>
      </w:pPr>
      <w:r>
        <w:rPr>
          <w:sz w:val="20"/>
        </w:rPr>
        <w:lastRenderedPageBreak/>
        <w:t>significance</w:t>
      </w:r>
      <w:r>
        <w:rPr>
          <w:spacing w:val="-6"/>
          <w:sz w:val="20"/>
        </w:rPr>
        <w:t xml:space="preserve"> </w:t>
      </w:r>
      <w:r>
        <w:rPr>
          <w:sz w:val="20"/>
        </w:rPr>
        <w:t>claims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made.</w:t>
      </w:r>
      <w:r>
        <w:rPr>
          <w:spacing w:val="-4"/>
          <w:sz w:val="20"/>
        </w:rPr>
        <w:t xml:space="preserve"> </w:t>
      </w:r>
      <w:r>
        <w:rPr>
          <w:sz w:val="20"/>
        </w:rPr>
        <w:t>Secondary</w:t>
      </w:r>
      <w:r>
        <w:rPr>
          <w:spacing w:val="-7"/>
          <w:sz w:val="20"/>
        </w:rPr>
        <w:t xml:space="preserve"> </w:t>
      </w:r>
      <w:r>
        <w:rPr>
          <w:sz w:val="20"/>
        </w:rPr>
        <w:t>efficacy</w:t>
      </w:r>
      <w:r>
        <w:rPr>
          <w:spacing w:val="-6"/>
          <w:sz w:val="20"/>
        </w:rPr>
        <w:t xml:space="preserve"> </w:t>
      </w:r>
      <w:r>
        <w:rPr>
          <w:sz w:val="20"/>
        </w:rPr>
        <w:t>endpoints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6"/>
          <w:sz w:val="20"/>
        </w:rPr>
        <w:t xml:space="preserve"> </w:t>
      </w:r>
      <w:r>
        <w:rPr>
          <w:sz w:val="20"/>
        </w:rPr>
        <w:t>tested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fixed</w:t>
      </w:r>
      <w:r>
        <w:rPr>
          <w:spacing w:val="-4"/>
          <w:sz w:val="20"/>
        </w:rPr>
        <w:t xml:space="preserve"> </w:t>
      </w:r>
      <w:r>
        <w:rPr>
          <w:sz w:val="20"/>
        </w:rPr>
        <w:t>sequence</w:t>
      </w:r>
      <w:r>
        <w:rPr>
          <w:spacing w:val="-6"/>
          <w:sz w:val="20"/>
        </w:rPr>
        <w:t xml:space="preserve"> </w:t>
      </w:r>
      <w:r>
        <w:rPr>
          <w:sz w:val="20"/>
        </w:rPr>
        <w:t>approach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z w:val="20"/>
        </w:rPr>
        <w:t xml:space="preserve"> control</w:t>
      </w:r>
      <w:r>
        <w:rPr>
          <w:spacing w:val="-1"/>
          <w:sz w:val="20"/>
        </w:rPr>
        <w:t xml:space="preserve"> </w:t>
      </w:r>
      <w:r>
        <w:rPr>
          <w:sz w:val="20"/>
        </w:rPr>
        <w:t>for the</w:t>
      </w:r>
      <w:r>
        <w:rPr>
          <w:spacing w:val="-1"/>
          <w:sz w:val="20"/>
        </w:rPr>
        <w:t xml:space="preserve"> </w:t>
      </w:r>
      <w:r>
        <w:rPr>
          <w:sz w:val="20"/>
        </w:rPr>
        <w:t>rate of</w:t>
      </w:r>
      <w:r>
        <w:rPr>
          <w:spacing w:val="-1"/>
          <w:sz w:val="20"/>
        </w:rPr>
        <w:t xml:space="preserve"> </w:t>
      </w:r>
      <w:r>
        <w:rPr>
          <w:sz w:val="20"/>
        </w:rPr>
        <w:t>false</w:t>
      </w:r>
      <w:r>
        <w:rPr>
          <w:spacing w:val="-2"/>
          <w:sz w:val="20"/>
        </w:rPr>
        <w:t xml:space="preserve"> </w:t>
      </w:r>
      <w:r>
        <w:rPr>
          <w:sz w:val="20"/>
        </w:rPr>
        <w:t>positive conclusions.</w:t>
      </w:r>
    </w:p>
    <w:p w14:paraId="27B13B2D" w14:textId="77777777" w:rsidR="006C34D9" w:rsidRDefault="00CB5041">
      <w:pPr>
        <w:spacing w:before="1"/>
        <w:ind w:left="659"/>
        <w:jc w:val="both"/>
        <w:rPr>
          <w:sz w:val="20"/>
        </w:rPr>
      </w:pPr>
      <w:r>
        <w:rPr>
          <w:sz w:val="20"/>
        </w:rPr>
        <w:t>^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protocol-specified</w:t>
      </w:r>
      <w:r>
        <w:rPr>
          <w:spacing w:val="-1"/>
          <w:sz w:val="20"/>
        </w:rPr>
        <w:t xml:space="preserve"> </w:t>
      </w:r>
      <w:r>
        <w:rPr>
          <w:sz w:val="20"/>
        </w:rPr>
        <w:t>interim</w:t>
      </w:r>
      <w:r>
        <w:rPr>
          <w:spacing w:val="-5"/>
          <w:sz w:val="20"/>
        </w:rPr>
        <w:t xml:space="preserve"> </w:t>
      </w:r>
      <w:r>
        <w:rPr>
          <w:sz w:val="20"/>
        </w:rPr>
        <w:t>analysis</w:t>
      </w:r>
    </w:p>
    <w:p w14:paraId="5537FF3E" w14:textId="77777777" w:rsidR="006C34D9" w:rsidRDefault="006C34D9">
      <w:pPr>
        <w:pStyle w:val="BodyText"/>
        <w:spacing w:before="4"/>
        <w:ind w:left="0"/>
      </w:pPr>
    </w:p>
    <w:p w14:paraId="6047DBD1" w14:textId="77777777" w:rsidR="006C34D9" w:rsidRDefault="00CB5041">
      <w:pPr>
        <w:pStyle w:val="BodyText"/>
        <w:ind w:right="657"/>
        <w:jc w:val="both"/>
      </w:pPr>
      <w:r>
        <w:t>In</w:t>
      </w:r>
      <w:r>
        <w:rPr>
          <w:spacing w:val="-4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Actemra-treated</w:t>
      </w:r>
      <w:r>
        <w:rPr>
          <w:spacing w:val="-4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statistically</w:t>
      </w:r>
      <w:r>
        <w:rPr>
          <w:spacing w:val="-5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ACR20,</w:t>
      </w:r>
      <w:r>
        <w:rPr>
          <w:spacing w:val="-57"/>
        </w:rPr>
        <w:t xml:space="preserve"> </w:t>
      </w:r>
      <w:r>
        <w:t>50, 70 response rates at 6 months compared to placebo. The treatment effect was similar in</w:t>
      </w:r>
      <w:r>
        <w:rPr>
          <w:spacing w:val="1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rheumatoid</w:t>
      </w:r>
      <w:r>
        <w:rPr>
          <w:spacing w:val="-5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status,</w:t>
      </w:r>
      <w:r>
        <w:rPr>
          <w:spacing w:val="-5"/>
        </w:rPr>
        <w:t xml:space="preserve"> </w:t>
      </w:r>
      <w:r>
        <w:t>age,</w:t>
      </w:r>
      <w:r>
        <w:rPr>
          <w:spacing w:val="-5"/>
        </w:rPr>
        <w:t xml:space="preserve"> </w:t>
      </w:r>
      <w:r>
        <w:t>gender,</w:t>
      </w:r>
      <w:r>
        <w:rPr>
          <w:spacing w:val="-6"/>
        </w:rPr>
        <w:t xml:space="preserve"> </w:t>
      </w:r>
      <w:r>
        <w:t>race,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treatments</w:t>
      </w:r>
      <w:r>
        <w:rPr>
          <w:spacing w:val="-58"/>
        </w:rPr>
        <w:t xml:space="preserve"> </w:t>
      </w:r>
      <w:r>
        <w:t>or disease status. Time to onset was rapid (as early as week 2) and the magnitude of response</w:t>
      </w:r>
      <w:r>
        <w:rPr>
          <w:spacing w:val="1"/>
        </w:rPr>
        <w:t xml:space="preserve"> </w:t>
      </w:r>
      <w:r>
        <w:t>continued to improve with duration of treatment. Continued durable responses were seen for</w:t>
      </w:r>
      <w:r>
        <w:rPr>
          <w:spacing w:val="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3 years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ongoing open label extension</w:t>
      </w:r>
      <w:r>
        <w:rPr>
          <w:spacing w:val="-1"/>
        </w:rPr>
        <w:t xml:space="preserve"> </w:t>
      </w:r>
      <w:r>
        <w:t>studies of</w:t>
      </w:r>
      <w:r>
        <w:rPr>
          <w:spacing w:val="-1"/>
        </w:rPr>
        <w:t xml:space="preserve"> </w:t>
      </w:r>
      <w:r>
        <w:t>studies I</w:t>
      </w:r>
      <w:r>
        <w:rPr>
          <w:spacing w:val="-2"/>
        </w:rPr>
        <w:t xml:space="preserve"> </w:t>
      </w:r>
      <w:r>
        <w:t>-V.</w:t>
      </w:r>
    </w:p>
    <w:p w14:paraId="3FC8C927" w14:textId="77777777" w:rsidR="006C34D9" w:rsidRDefault="006C34D9">
      <w:pPr>
        <w:pStyle w:val="BodyText"/>
        <w:spacing w:before="4"/>
        <w:ind w:left="0"/>
      </w:pPr>
    </w:p>
    <w:p w14:paraId="14D9AA0C" w14:textId="77777777" w:rsidR="006C34D9" w:rsidRDefault="00CB5041">
      <w:pPr>
        <w:pStyle w:val="BodyText"/>
        <w:ind w:left="659" w:right="657"/>
        <w:jc w:val="both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mg/kg</w:t>
      </w:r>
      <w:r>
        <w:rPr>
          <w:spacing w:val="-7"/>
        </w:rPr>
        <w:t xml:space="preserve"> </w:t>
      </w:r>
      <w:r>
        <w:t>Actemra-treated</w:t>
      </w:r>
      <w:r>
        <w:rPr>
          <w:spacing w:val="-7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improvements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individual</w:t>
      </w:r>
      <w:r>
        <w:rPr>
          <w:spacing w:val="-57"/>
        </w:rPr>
        <w:t xml:space="preserve"> </w:t>
      </w:r>
      <w:r>
        <w:t>components of the ACR response: tender and swollen joint counts; pain assessment and CRP</w:t>
      </w:r>
      <w:r>
        <w:rPr>
          <w:spacing w:val="1"/>
        </w:rPr>
        <w:t xml:space="preserve"> </w:t>
      </w:r>
      <w:proofErr w:type="spellStart"/>
      <w:r>
        <w:t>normalisation</w:t>
      </w:r>
      <w:proofErr w:type="spellEnd"/>
      <w:r>
        <w:t>; disability index scores; patients and physician global assessment, compared to</w:t>
      </w:r>
      <w:r>
        <w:rPr>
          <w:spacing w:val="1"/>
        </w:rPr>
        <w:t xml:space="preserve"> </w:t>
      </w:r>
      <w:r>
        <w:t>patients receiving placebo + MTX/DMARDS in all studies. Actemra 8 mg/kg treated patients</w:t>
      </w:r>
      <w:r>
        <w:rPr>
          <w:spacing w:val="-57"/>
        </w:rPr>
        <w:t xml:space="preserve"> </w:t>
      </w:r>
      <w:r>
        <w:t>had a statistically significant greater reduction in disease activity score (DAS28) than patients</w:t>
      </w:r>
      <w:r>
        <w:rPr>
          <w:spacing w:val="-57"/>
        </w:rPr>
        <w:t xml:space="preserve"> </w:t>
      </w:r>
      <w:r>
        <w:t>treated with placebo + DMARD. The rate of remission (defined as DAS &lt; 2.6) for patients</w:t>
      </w:r>
      <w:r>
        <w:rPr>
          <w:spacing w:val="1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Actemra</w:t>
      </w:r>
      <w:r>
        <w:rPr>
          <w:spacing w:val="-4"/>
        </w:rPr>
        <w:t xml:space="preserve"> </w:t>
      </w:r>
      <w:r>
        <w:t>ranged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27.5%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33.6%.</w:t>
      </w:r>
      <w:r>
        <w:rPr>
          <w:spacing w:val="-5"/>
        </w:rPr>
        <w:t xml:space="preserve"> </w:t>
      </w:r>
      <w:r>
        <w:t>Actemra</w:t>
      </w:r>
      <w:r>
        <w:rPr>
          <w:spacing w:val="-5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statistically</w:t>
      </w:r>
      <w:r>
        <w:rPr>
          <w:spacing w:val="-57"/>
        </w:rPr>
        <w:t xml:space="preserve"> </w:t>
      </w:r>
      <w:r>
        <w:t>significant greater rate of remission than patients treated with placebo + DMARD. A good to</w:t>
      </w:r>
      <w:r>
        <w:rPr>
          <w:spacing w:val="1"/>
        </w:rPr>
        <w:t xml:space="preserve"> </w:t>
      </w:r>
      <w:r>
        <w:t>moderate EULAR response was achieved by significantly more Actemra treated patients</w:t>
      </w:r>
      <w:r>
        <w:rPr>
          <w:spacing w:val="1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 patients treated with</w:t>
      </w:r>
      <w:r>
        <w:rPr>
          <w:spacing w:val="-1"/>
        </w:rPr>
        <w:t xml:space="preserve"> </w:t>
      </w:r>
      <w:r>
        <w:t>placebo + DMARD</w:t>
      </w:r>
      <w:r>
        <w:rPr>
          <w:spacing w:val="-1"/>
        </w:rPr>
        <w:t xml:space="preserve"> </w:t>
      </w:r>
      <w:r>
        <w:t>(Table</w:t>
      </w:r>
      <w:r>
        <w:rPr>
          <w:spacing w:val="-1"/>
        </w:rPr>
        <w:t xml:space="preserve"> </w:t>
      </w:r>
      <w:r>
        <w:t>5).</w:t>
      </w:r>
    </w:p>
    <w:p w14:paraId="7D5D4FC5" w14:textId="77777777" w:rsidR="006C34D9" w:rsidRDefault="006C34D9">
      <w:pPr>
        <w:pStyle w:val="BodyText"/>
        <w:spacing w:before="6"/>
        <w:ind w:left="0"/>
      </w:pPr>
    </w:p>
    <w:p w14:paraId="7FCA285B" w14:textId="77777777" w:rsidR="006C34D9" w:rsidRDefault="00CB5041">
      <w:pPr>
        <w:pStyle w:val="Heading2"/>
        <w:ind w:left="659"/>
      </w:pPr>
      <w:r>
        <w:t>Table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Cross-Study</w:t>
      </w:r>
      <w:r>
        <w:rPr>
          <w:spacing w:val="-1"/>
        </w:rPr>
        <w:t xml:space="preserve"> </w:t>
      </w:r>
      <w:r>
        <w:t>Comparison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EULAR</w:t>
      </w:r>
      <w:r>
        <w:rPr>
          <w:spacing w:val="-3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24</w:t>
      </w:r>
    </w:p>
    <w:p w14:paraId="097B2B90" w14:textId="77777777" w:rsidR="006C34D9" w:rsidRDefault="006C34D9">
      <w:pPr>
        <w:pStyle w:val="BodyText"/>
        <w:spacing w:before="5"/>
        <w:ind w:left="0"/>
        <w:rPr>
          <w:b/>
          <w:sz w:val="1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900"/>
        <w:gridCol w:w="824"/>
        <w:gridCol w:w="894"/>
        <w:gridCol w:w="882"/>
        <w:gridCol w:w="955"/>
        <w:gridCol w:w="882"/>
        <w:gridCol w:w="955"/>
        <w:gridCol w:w="83"/>
        <w:gridCol w:w="792"/>
        <w:gridCol w:w="118"/>
        <w:gridCol w:w="784"/>
        <w:gridCol w:w="1071"/>
      </w:tblGrid>
      <w:tr w:rsidR="006C34D9" w14:paraId="51DF5417" w14:textId="77777777">
        <w:trPr>
          <w:trHeight w:val="919"/>
        </w:trPr>
        <w:tc>
          <w:tcPr>
            <w:tcW w:w="985" w:type="dxa"/>
          </w:tcPr>
          <w:p w14:paraId="5542FA91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1724" w:type="dxa"/>
            <w:gridSpan w:val="2"/>
          </w:tcPr>
          <w:p w14:paraId="059382EB" w14:textId="77777777" w:rsidR="006C34D9" w:rsidRDefault="00CB5041">
            <w:pPr>
              <w:pStyle w:val="TableParagraph"/>
              <w:ind w:left="358" w:right="341" w:firstLine="189"/>
              <w:rPr>
                <w:b/>
                <w:sz w:val="20"/>
              </w:rPr>
            </w:pPr>
            <w:r>
              <w:rPr>
                <w:b/>
                <w:sz w:val="20"/>
              </w:rPr>
              <w:t>Study 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MTX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Naïve</w:t>
            </w:r>
          </w:p>
        </w:tc>
        <w:tc>
          <w:tcPr>
            <w:tcW w:w="1776" w:type="dxa"/>
            <w:gridSpan w:val="2"/>
          </w:tcPr>
          <w:p w14:paraId="0712169D" w14:textId="77777777" w:rsidR="006C34D9" w:rsidRDefault="00CB5041">
            <w:pPr>
              <w:pStyle w:val="TableParagraph"/>
              <w:ind w:left="121" w:right="109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Study 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Inadequate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MTX</w:t>
            </w:r>
          </w:p>
        </w:tc>
        <w:tc>
          <w:tcPr>
            <w:tcW w:w="1837" w:type="dxa"/>
            <w:gridSpan w:val="2"/>
          </w:tcPr>
          <w:p w14:paraId="5BFA4313" w14:textId="77777777" w:rsidR="006C34D9" w:rsidRDefault="00CB5041">
            <w:pPr>
              <w:pStyle w:val="TableParagraph"/>
              <w:ind w:left="152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Study III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Inadequate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MTX</w:t>
            </w:r>
          </w:p>
        </w:tc>
        <w:tc>
          <w:tcPr>
            <w:tcW w:w="1948" w:type="dxa"/>
            <w:gridSpan w:val="4"/>
          </w:tcPr>
          <w:p w14:paraId="2AEC1907" w14:textId="77777777" w:rsidR="006C34D9" w:rsidRDefault="00CB5041">
            <w:pPr>
              <w:pStyle w:val="TableParagraph"/>
              <w:ind w:left="466" w:right="45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Study IV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Inadequate</w:t>
            </w:r>
          </w:p>
          <w:p w14:paraId="3E88F550" w14:textId="77777777" w:rsidR="006C34D9" w:rsidRDefault="00CB5041">
            <w:pPr>
              <w:pStyle w:val="TableParagraph"/>
              <w:spacing w:line="230" w:lineRule="exact"/>
              <w:ind w:left="466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Response 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DMARD</w:t>
            </w:r>
          </w:p>
        </w:tc>
        <w:tc>
          <w:tcPr>
            <w:tcW w:w="1855" w:type="dxa"/>
            <w:gridSpan w:val="2"/>
          </w:tcPr>
          <w:p w14:paraId="2737DAC0" w14:textId="77777777" w:rsidR="006C34D9" w:rsidRDefault="00CB5041">
            <w:pPr>
              <w:pStyle w:val="TableParagraph"/>
              <w:ind w:left="193" w:right="18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Study 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Inadequate</w:t>
            </w:r>
          </w:p>
          <w:p w14:paraId="24CFC5AD" w14:textId="77777777" w:rsidR="006C34D9" w:rsidRDefault="00CB5041">
            <w:pPr>
              <w:pStyle w:val="TableParagraph"/>
              <w:spacing w:line="230" w:lineRule="exact"/>
              <w:ind w:left="193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Response to anti-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TNF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Agent</w:t>
            </w:r>
          </w:p>
        </w:tc>
      </w:tr>
      <w:tr w:rsidR="006C34D9" w14:paraId="1E9D6E3A" w14:textId="77777777">
        <w:trPr>
          <w:trHeight w:val="1380"/>
        </w:trPr>
        <w:tc>
          <w:tcPr>
            <w:tcW w:w="985" w:type="dxa"/>
          </w:tcPr>
          <w:p w14:paraId="7FA9D2D0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900" w:type="dxa"/>
          </w:tcPr>
          <w:p w14:paraId="31097B50" w14:textId="77777777" w:rsidR="006C34D9" w:rsidRDefault="00CB5041">
            <w:pPr>
              <w:pStyle w:val="TableParagraph"/>
              <w:ind w:left="8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</w:p>
          <w:p w14:paraId="53CC6861" w14:textId="77777777" w:rsidR="006C34D9" w:rsidRDefault="006C34D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3CD338B" w14:textId="77777777" w:rsidR="006C34D9" w:rsidRDefault="00CB5041">
            <w:pPr>
              <w:pStyle w:val="TableParagraph"/>
              <w:ind w:left="88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</w:p>
          <w:p w14:paraId="523F4153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5FB9E138" w14:textId="77777777" w:rsidR="006C34D9" w:rsidRDefault="006C34D9">
            <w:pPr>
              <w:pStyle w:val="TableParagraph"/>
              <w:ind w:left="0"/>
              <w:rPr>
                <w:b/>
                <w:sz w:val="18"/>
              </w:rPr>
            </w:pPr>
          </w:p>
          <w:p w14:paraId="790219E6" w14:textId="77777777" w:rsidR="006C34D9" w:rsidRDefault="00CB5041">
            <w:pPr>
              <w:pStyle w:val="TableParagraph"/>
              <w:spacing w:line="210" w:lineRule="exact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n=286</w:t>
            </w:r>
          </w:p>
        </w:tc>
        <w:tc>
          <w:tcPr>
            <w:tcW w:w="824" w:type="dxa"/>
          </w:tcPr>
          <w:p w14:paraId="60A896B9" w14:textId="77777777" w:rsidR="006C34D9" w:rsidRDefault="00CB5041">
            <w:pPr>
              <w:pStyle w:val="TableParagraph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MTX</w:t>
            </w:r>
          </w:p>
          <w:p w14:paraId="3EAB0EF3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43694EA7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39FB365C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75612B27" w14:textId="77777777" w:rsidR="006C34D9" w:rsidRDefault="00CB5041">
            <w:pPr>
              <w:pStyle w:val="TableParagraph"/>
              <w:spacing w:before="162" w:line="210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n=284</w:t>
            </w:r>
          </w:p>
        </w:tc>
        <w:tc>
          <w:tcPr>
            <w:tcW w:w="894" w:type="dxa"/>
          </w:tcPr>
          <w:p w14:paraId="2BC17F2A" w14:textId="77777777" w:rsidR="006C34D9" w:rsidRDefault="00CB5041">
            <w:pPr>
              <w:pStyle w:val="TableParagraph"/>
              <w:ind w:left="153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</w:p>
          <w:p w14:paraId="39383BCF" w14:textId="77777777" w:rsidR="006C34D9" w:rsidRDefault="00CB5041">
            <w:pPr>
              <w:pStyle w:val="TableParagraph"/>
              <w:ind w:left="155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mg/k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  <w:p w14:paraId="3D5B4DF7" w14:textId="77777777" w:rsidR="006C34D9" w:rsidRDefault="00CB5041">
            <w:pPr>
              <w:pStyle w:val="TableParagraph"/>
              <w:spacing w:line="230" w:lineRule="exact"/>
              <w:ind w:left="155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+MTX</w:t>
            </w:r>
          </w:p>
          <w:p w14:paraId="72CAC76E" w14:textId="77777777" w:rsidR="006C34D9" w:rsidRDefault="006C34D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851CAD5" w14:textId="77777777" w:rsidR="006C34D9" w:rsidRDefault="00CB5041">
            <w:pPr>
              <w:pStyle w:val="TableParagraph"/>
              <w:spacing w:line="210" w:lineRule="exact"/>
              <w:ind w:left="152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n=398</w:t>
            </w:r>
          </w:p>
        </w:tc>
        <w:tc>
          <w:tcPr>
            <w:tcW w:w="882" w:type="dxa"/>
          </w:tcPr>
          <w:p w14:paraId="24DF4198" w14:textId="77777777" w:rsidR="006C34D9" w:rsidRDefault="00CB5041">
            <w:pPr>
              <w:pStyle w:val="TableParagraph"/>
              <w:ind w:left="155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Placeb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MTX</w:t>
            </w:r>
          </w:p>
          <w:p w14:paraId="23E4337F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0498495C" w14:textId="77777777" w:rsidR="006C34D9" w:rsidRDefault="006C34D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61430711" w14:textId="77777777" w:rsidR="006C34D9" w:rsidRDefault="00CB5041">
            <w:pPr>
              <w:pStyle w:val="TableParagraph"/>
              <w:spacing w:line="210" w:lineRule="exact"/>
              <w:ind w:left="153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n=393</w:t>
            </w:r>
          </w:p>
        </w:tc>
        <w:tc>
          <w:tcPr>
            <w:tcW w:w="955" w:type="dxa"/>
          </w:tcPr>
          <w:p w14:paraId="6372FD4D" w14:textId="77777777" w:rsidR="006C34D9" w:rsidRDefault="00CB5041">
            <w:pPr>
              <w:pStyle w:val="TableParagraph"/>
              <w:ind w:left="100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</w:p>
          <w:p w14:paraId="4D6C62EA" w14:textId="77777777" w:rsidR="006C34D9" w:rsidRDefault="00CB5041">
            <w:pPr>
              <w:pStyle w:val="TableParagraph"/>
              <w:ind w:left="98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</w:p>
          <w:p w14:paraId="521B9315" w14:textId="77777777" w:rsidR="006C34D9" w:rsidRDefault="00CB5041">
            <w:pPr>
              <w:pStyle w:val="TableParagraph"/>
              <w:spacing w:before="1"/>
              <w:ind w:left="100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+MTX</w:t>
            </w:r>
          </w:p>
          <w:p w14:paraId="06E671F0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51ADA77A" w14:textId="77777777" w:rsidR="006C34D9" w:rsidRDefault="006C34D9">
            <w:pPr>
              <w:pStyle w:val="TableParagraph"/>
              <w:ind w:left="0"/>
              <w:rPr>
                <w:b/>
                <w:sz w:val="18"/>
              </w:rPr>
            </w:pPr>
          </w:p>
          <w:p w14:paraId="0DFEE25E" w14:textId="77777777" w:rsidR="006C34D9" w:rsidRDefault="00CB5041">
            <w:pPr>
              <w:pStyle w:val="TableParagraph"/>
              <w:spacing w:line="210" w:lineRule="exact"/>
              <w:ind w:left="99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n=205</w:t>
            </w:r>
          </w:p>
        </w:tc>
        <w:tc>
          <w:tcPr>
            <w:tcW w:w="882" w:type="dxa"/>
          </w:tcPr>
          <w:p w14:paraId="063EEAF9" w14:textId="77777777" w:rsidR="006C34D9" w:rsidRDefault="00CB5041">
            <w:pPr>
              <w:pStyle w:val="TableParagraph"/>
              <w:ind w:left="157" w:right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Placeb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MTX</w:t>
            </w:r>
          </w:p>
          <w:p w14:paraId="36C8F620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5696EEC8" w14:textId="77777777" w:rsidR="006C34D9" w:rsidRDefault="006C34D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77536198" w14:textId="77777777" w:rsidR="006C34D9" w:rsidRDefault="00CB5041">
            <w:pPr>
              <w:pStyle w:val="TableParagraph"/>
              <w:spacing w:line="210" w:lineRule="exact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n=204</w:t>
            </w:r>
          </w:p>
        </w:tc>
        <w:tc>
          <w:tcPr>
            <w:tcW w:w="1038" w:type="dxa"/>
            <w:gridSpan w:val="2"/>
          </w:tcPr>
          <w:p w14:paraId="54D3F67C" w14:textId="77777777" w:rsidR="006C34D9" w:rsidRDefault="00CB5041">
            <w:pPr>
              <w:pStyle w:val="TableParagraph"/>
              <w:ind w:left="158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</w:p>
          <w:p w14:paraId="62A3CD09" w14:textId="77777777" w:rsidR="006C34D9" w:rsidRDefault="00CB5041">
            <w:pPr>
              <w:pStyle w:val="TableParagraph"/>
              <w:ind w:left="158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</w:p>
          <w:p w14:paraId="40FDB1E1" w14:textId="77777777" w:rsidR="006C34D9" w:rsidRDefault="00CB5041">
            <w:pPr>
              <w:pStyle w:val="TableParagraph"/>
              <w:spacing w:before="1"/>
              <w:ind w:left="136" w:right="12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DMARD</w:t>
            </w:r>
          </w:p>
          <w:p w14:paraId="5F9DD5E2" w14:textId="77777777" w:rsidR="006C34D9" w:rsidRDefault="006C34D9">
            <w:pPr>
              <w:pStyle w:val="TableParagraph"/>
              <w:ind w:left="0"/>
              <w:rPr>
                <w:b/>
                <w:sz w:val="20"/>
              </w:rPr>
            </w:pPr>
          </w:p>
          <w:p w14:paraId="45233470" w14:textId="77777777" w:rsidR="006C34D9" w:rsidRDefault="00CB5041">
            <w:pPr>
              <w:pStyle w:val="TableParagraph"/>
              <w:spacing w:line="210" w:lineRule="exact"/>
              <w:ind w:left="158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n=803</w:t>
            </w:r>
          </w:p>
        </w:tc>
        <w:tc>
          <w:tcPr>
            <w:tcW w:w="910" w:type="dxa"/>
            <w:gridSpan w:val="2"/>
          </w:tcPr>
          <w:p w14:paraId="729F97C2" w14:textId="77777777" w:rsidR="006C34D9" w:rsidRDefault="00CB5041">
            <w:pPr>
              <w:pStyle w:val="TableParagraph"/>
              <w:ind w:left="101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</w:p>
          <w:p w14:paraId="6F8DDCF8" w14:textId="77777777" w:rsidR="006C34D9" w:rsidRDefault="00CB5041">
            <w:pPr>
              <w:pStyle w:val="TableParagraph"/>
              <w:ind w:left="144" w:right="13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DMAR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</w:p>
          <w:p w14:paraId="3062FAB9" w14:textId="77777777" w:rsidR="006C34D9" w:rsidRDefault="006C34D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03962F2" w14:textId="77777777" w:rsidR="006C34D9" w:rsidRDefault="00CB5041">
            <w:pPr>
              <w:pStyle w:val="TableParagraph"/>
              <w:spacing w:line="210" w:lineRule="exact"/>
              <w:ind w:left="101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n=413</w:t>
            </w:r>
          </w:p>
        </w:tc>
        <w:tc>
          <w:tcPr>
            <w:tcW w:w="784" w:type="dxa"/>
          </w:tcPr>
          <w:p w14:paraId="1495D2A8" w14:textId="77777777" w:rsidR="006C34D9" w:rsidRDefault="00CB5041">
            <w:pPr>
              <w:pStyle w:val="TableParagraph"/>
              <w:ind w:left="152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</w:p>
          <w:p w14:paraId="52BF2A5B" w14:textId="77777777" w:rsidR="006C34D9" w:rsidRDefault="00CB5041">
            <w:pPr>
              <w:pStyle w:val="TableParagraph"/>
              <w:ind w:left="156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mg/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kg</w:t>
            </w:r>
          </w:p>
          <w:p w14:paraId="0AC8CF29" w14:textId="77777777" w:rsidR="006C34D9" w:rsidRDefault="00CB5041">
            <w:pPr>
              <w:pStyle w:val="TableParagraph"/>
              <w:spacing w:line="230" w:lineRule="exact"/>
              <w:ind w:left="128" w:right="11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+MT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n=170</w:t>
            </w:r>
          </w:p>
        </w:tc>
        <w:tc>
          <w:tcPr>
            <w:tcW w:w="1071" w:type="dxa"/>
          </w:tcPr>
          <w:p w14:paraId="54C01329" w14:textId="77777777" w:rsidR="006C34D9" w:rsidRDefault="00CB5041">
            <w:pPr>
              <w:pStyle w:val="TableParagraph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</w:p>
          <w:p w14:paraId="67ABFFBB" w14:textId="77777777" w:rsidR="006C34D9" w:rsidRDefault="00CB5041">
            <w:pPr>
              <w:pStyle w:val="TableParagraph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+MTX</w:t>
            </w:r>
          </w:p>
          <w:p w14:paraId="4C7EA218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311D418B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4A684EA2" w14:textId="77777777" w:rsidR="006C34D9" w:rsidRDefault="00CB5041">
            <w:pPr>
              <w:pStyle w:val="TableParagraph"/>
              <w:spacing w:before="185" w:line="210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n=158</w:t>
            </w:r>
          </w:p>
        </w:tc>
      </w:tr>
      <w:tr w:rsidR="006C34D9" w14:paraId="7611AD33" w14:textId="77777777">
        <w:trPr>
          <w:trHeight w:val="229"/>
        </w:trPr>
        <w:tc>
          <w:tcPr>
            <w:tcW w:w="10125" w:type="dxa"/>
            <w:gridSpan w:val="13"/>
          </w:tcPr>
          <w:p w14:paraId="189A6497" w14:textId="77777777" w:rsidR="006C34D9" w:rsidRDefault="00CB504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Change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DAS28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[mean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(Adjusted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(SE))]</w:t>
            </w:r>
          </w:p>
        </w:tc>
      </w:tr>
      <w:tr w:rsidR="006C34D9" w14:paraId="14F49B71" w14:textId="77777777">
        <w:trPr>
          <w:trHeight w:val="689"/>
        </w:trPr>
        <w:tc>
          <w:tcPr>
            <w:tcW w:w="985" w:type="dxa"/>
          </w:tcPr>
          <w:p w14:paraId="1F2E6E26" w14:textId="77777777" w:rsidR="006C34D9" w:rsidRDefault="00CB5041">
            <w:pPr>
              <w:pStyle w:val="TableParagraph"/>
              <w:spacing w:line="227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900" w:type="dxa"/>
          </w:tcPr>
          <w:p w14:paraId="53445B94" w14:textId="77777777" w:rsidR="006C34D9" w:rsidRDefault="00CB5041">
            <w:pPr>
              <w:pStyle w:val="TableParagraph"/>
              <w:spacing w:line="227" w:lineRule="exact"/>
              <w:ind w:left="241"/>
              <w:rPr>
                <w:sz w:val="20"/>
              </w:rPr>
            </w:pPr>
            <w:r>
              <w:rPr>
                <w:sz w:val="20"/>
              </w:rPr>
              <w:t>-3.31</w:t>
            </w:r>
          </w:p>
          <w:p w14:paraId="007A2A51" w14:textId="77777777" w:rsidR="006C34D9" w:rsidRDefault="00CB5041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(0.12)</w:t>
            </w:r>
          </w:p>
        </w:tc>
        <w:tc>
          <w:tcPr>
            <w:tcW w:w="824" w:type="dxa"/>
          </w:tcPr>
          <w:p w14:paraId="69B607F7" w14:textId="77777777" w:rsidR="006C34D9" w:rsidRDefault="00CB5041">
            <w:pPr>
              <w:pStyle w:val="TableParagraph"/>
              <w:spacing w:line="227" w:lineRule="exact"/>
              <w:ind w:left="202"/>
              <w:rPr>
                <w:sz w:val="20"/>
              </w:rPr>
            </w:pPr>
            <w:r>
              <w:rPr>
                <w:sz w:val="20"/>
              </w:rPr>
              <w:t>-2.05</w:t>
            </w:r>
          </w:p>
          <w:p w14:paraId="075C84D3" w14:textId="77777777" w:rsidR="006C34D9" w:rsidRDefault="00CB5041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(0.12)</w:t>
            </w:r>
          </w:p>
        </w:tc>
        <w:tc>
          <w:tcPr>
            <w:tcW w:w="894" w:type="dxa"/>
          </w:tcPr>
          <w:p w14:paraId="0360356C" w14:textId="77777777" w:rsidR="006C34D9" w:rsidRDefault="00CB5041">
            <w:pPr>
              <w:pStyle w:val="TableParagraph"/>
              <w:ind w:left="125" w:right="112" w:hanging="3"/>
              <w:jc w:val="center"/>
              <w:rPr>
                <w:sz w:val="16"/>
              </w:rPr>
            </w:pPr>
            <w:r>
              <w:rPr>
                <w:sz w:val="20"/>
              </w:rPr>
              <w:t>-3.11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0.09)</w:t>
            </w:r>
            <w:r>
              <w:rPr>
                <w:sz w:val="16"/>
              </w:rPr>
              <w:t>*</w:t>
            </w:r>
            <w:proofErr w:type="gramEnd"/>
            <w:r>
              <w:rPr>
                <w:sz w:val="16"/>
              </w:rPr>
              <w:t>*</w:t>
            </w:r>
          </w:p>
          <w:p w14:paraId="1CEE2E81" w14:textId="77777777" w:rsidR="006C34D9" w:rsidRDefault="00CB5041">
            <w:pPr>
              <w:pStyle w:val="TableParagraph"/>
              <w:spacing w:line="182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*</w:t>
            </w:r>
          </w:p>
        </w:tc>
        <w:tc>
          <w:tcPr>
            <w:tcW w:w="882" w:type="dxa"/>
          </w:tcPr>
          <w:p w14:paraId="787ABC2A" w14:textId="77777777" w:rsidR="006C34D9" w:rsidRDefault="00CB5041">
            <w:pPr>
              <w:pStyle w:val="TableParagraph"/>
              <w:spacing w:line="227" w:lineRule="exact"/>
              <w:ind w:left="231"/>
              <w:rPr>
                <w:sz w:val="20"/>
              </w:rPr>
            </w:pPr>
            <w:r>
              <w:rPr>
                <w:sz w:val="20"/>
              </w:rPr>
              <w:t>-1.45</w:t>
            </w:r>
          </w:p>
          <w:p w14:paraId="17918508" w14:textId="77777777" w:rsidR="006C34D9" w:rsidRDefault="00CB5041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(0.11)</w:t>
            </w:r>
          </w:p>
        </w:tc>
        <w:tc>
          <w:tcPr>
            <w:tcW w:w="955" w:type="dxa"/>
          </w:tcPr>
          <w:p w14:paraId="44A93B6E" w14:textId="77777777" w:rsidR="006C34D9" w:rsidRDefault="00CB5041">
            <w:pPr>
              <w:pStyle w:val="TableParagraph"/>
              <w:ind w:left="137" w:right="124" w:firstLine="51"/>
              <w:jc w:val="center"/>
              <w:rPr>
                <w:sz w:val="20"/>
              </w:rPr>
            </w:pPr>
            <w:r>
              <w:rPr>
                <w:sz w:val="20"/>
              </w:rPr>
              <w:t>-3.43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gramStart"/>
            <w:r>
              <w:rPr>
                <w:spacing w:val="-1"/>
                <w:sz w:val="20"/>
              </w:rPr>
              <w:t>0.12)*</w:t>
            </w:r>
            <w:proofErr w:type="gramEnd"/>
            <w:r>
              <w:rPr>
                <w:spacing w:val="-1"/>
                <w:sz w:val="20"/>
              </w:rPr>
              <w:t>*</w:t>
            </w:r>
          </w:p>
          <w:p w14:paraId="2B59B54B" w14:textId="77777777" w:rsidR="006C34D9" w:rsidRDefault="00CB5041">
            <w:pPr>
              <w:pStyle w:val="TableParagraph"/>
              <w:spacing w:line="21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82" w:type="dxa"/>
          </w:tcPr>
          <w:p w14:paraId="2B8CB8EB" w14:textId="77777777" w:rsidR="006C34D9" w:rsidRDefault="00CB5041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z w:val="20"/>
              </w:rPr>
              <w:t>-1.55</w:t>
            </w:r>
          </w:p>
          <w:p w14:paraId="509ECB77" w14:textId="77777777" w:rsidR="006C34D9" w:rsidRDefault="00CB5041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(0.15)</w:t>
            </w:r>
          </w:p>
        </w:tc>
        <w:tc>
          <w:tcPr>
            <w:tcW w:w="955" w:type="dxa"/>
          </w:tcPr>
          <w:p w14:paraId="76F061A1" w14:textId="77777777" w:rsidR="006C34D9" w:rsidRDefault="00CB5041">
            <w:pPr>
              <w:pStyle w:val="TableParagraph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-3.17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0.07)*</w:t>
            </w:r>
            <w:proofErr w:type="gramEnd"/>
            <w:r>
              <w:rPr>
                <w:sz w:val="20"/>
              </w:rPr>
              <w:t>*</w:t>
            </w:r>
          </w:p>
          <w:p w14:paraId="7EDE4FAD" w14:textId="77777777" w:rsidR="006C34D9" w:rsidRDefault="00CB5041">
            <w:pPr>
              <w:pStyle w:val="TableParagraph"/>
              <w:spacing w:line="212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75" w:type="dxa"/>
            <w:gridSpan w:val="2"/>
          </w:tcPr>
          <w:p w14:paraId="31A39928" w14:textId="77777777" w:rsidR="006C34D9" w:rsidRDefault="00CB5041">
            <w:pPr>
              <w:pStyle w:val="TableParagraph"/>
              <w:spacing w:line="227" w:lineRule="exact"/>
              <w:ind w:left="228"/>
              <w:rPr>
                <w:sz w:val="20"/>
              </w:rPr>
            </w:pPr>
            <w:r>
              <w:rPr>
                <w:sz w:val="20"/>
              </w:rPr>
              <w:t>-1.16</w:t>
            </w:r>
          </w:p>
          <w:p w14:paraId="6C37705D" w14:textId="77777777" w:rsidR="006C34D9" w:rsidRDefault="00CB5041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(0.09)</w:t>
            </w:r>
          </w:p>
        </w:tc>
        <w:tc>
          <w:tcPr>
            <w:tcW w:w="902" w:type="dxa"/>
            <w:gridSpan w:val="2"/>
          </w:tcPr>
          <w:p w14:paraId="25DEA203" w14:textId="77777777" w:rsidR="006C34D9" w:rsidRDefault="00CB5041">
            <w:pPr>
              <w:pStyle w:val="TableParagraph"/>
              <w:spacing w:line="227" w:lineRule="exact"/>
              <w:ind w:left="189" w:right="177"/>
              <w:jc w:val="center"/>
              <w:rPr>
                <w:sz w:val="20"/>
              </w:rPr>
            </w:pPr>
            <w:r>
              <w:rPr>
                <w:sz w:val="20"/>
              </w:rPr>
              <w:t>-3.16</w:t>
            </w:r>
          </w:p>
          <w:p w14:paraId="68FA1B3D" w14:textId="77777777" w:rsidR="006C34D9" w:rsidRDefault="00CB5041">
            <w:pPr>
              <w:pStyle w:val="TableParagraph"/>
              <w:spacing w:line="229" w:lineRule="exact"/>
              <w:ind w:left="190" w:right="177"/>
              <w:jc w:val="center"/>
              <w:rPr>
                <w:sz w:val="20"/>
              </w:rPr>
            </w:pPr>
            <w:r>
              <w:rPr>
                <w:sz w:val="20"/>
              </w:rPr>
              <w:t>(0.14)</w:t>
            </w:r>
          </w:p>
          <w:p w14:paraId="5DF3DE4E" w14:textId="77777777" w:rsidR="006C34D9" w:rsidRDefault="00CB5041">
            <w:pPr>
              <w:pStyle w:val="TableParagraph"/>
              <w:spacing w:line="183" w:lineRule="exact"/>
              <w:ind w:left="189" w:right="177"/>
              <w:jc w:val="center"/>
              <w:rPr>
                <w:sz w:val="16"/>
              </w:rPr>
            </w:pPr>
            <w:r>
              <w:rPr>
                <w:sz w:val="16"/>
              </w:rPr>
              <w:t>***</w:t>
            </w:r>
          </w:p>
        </w:tc>
        <w:tc>
          <w:tcPr>
            <w:tcW w:w="1071" w:type="dxa"/>
          </w:tcPr>
          <w:p w14:paraId="6FA44CCC" w14:textId="77777777" w:rsidR="006C34D9" w:rsidRDefault="00CB5041">
            <w:pPr>
              <w:pStyle w:val="TableParagraph"/>
              <w:spacing w:line="227" w:lineRule="exact"/>
              <w:ind w:left="326"/>
              <w:rPr>
                <w:sz w:val="20"/>
              </w:rPr>
            </w:pPr>
            <w:r>
              <w:rPr>
                <w:sz w:val="20"/>
              </w:rPr>
              <w:t>-0.95</w:t>
            </w:r>
          </w:p>
          <w:p w14:paraId="0D230E9F" w14:textId="77777777" w:rsidR="006C34D9" w:rsidRDefault="00CB5041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(0.22)</w:t>
            </w:r>
          </w:p>
        </w:tc>
      </w:tr>
      <w:tr w:rsidR="006C34D9" w14:paraId="0CE31D65" w14:textId="77777777">
        <w:trPr>
          <w:trHeight w:val="229"/>
        </w:trPr>
        <w:tc>
          <w:tcPr>
            <w:tcW w:w="10125" w:type="dxa"/>
            <w:gridSpan w:val="13"/>
          </w:tcPr>
          <w:p w14:paraId="06FC01F1" w14:textId="77777777" w:rsidR="006C34D9" w:rsidRDefault="00CB504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6C34D9" w14:paraId="1FD6D77C" w14:textId="77777777">
        <w:trPr>
          <w:trHeight w:val="459"/>
        </w:trPr>
        <w:tc>
          <w:tcPr>
            <w:tcW w:w="985" w:type="dxa"/>
          </w:tcPr>
          <w:p w14:paraId="7FEB70EC" w14:textId="77777777" w:rsidR="006C34D9" w:rsidRDefault="00CB5041">
            <w:pPr>
              <w:pStyle w:val="TableParagraph"/>
              <w:spacing w:line="228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900" w:type="dxa"/>
          </w:tcPr>
          <w:p w14:paraId="065807A6" w14:textId="77777777" w:rsidR="006C34D9" w:rsidRDefault="00CB5041">
            <w:pPr>
              <w:pStyle w:val="TableParagraph"/>
              <w:spacing w:line="228" w:lineRule="exact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33.6%</w:t>
            </w:r>
          </w:p>
        </w:tc>
        <w:tc>
          <w:tcPr>
            <w:tcW w:w="824" w:type="dxa"/>
          </w:tcPr>
          <w:p w14:paraId="7A2A0CCB" w14:textId="77777777" w:rsidR="006C34D9" w:rsidRDefault="00CB5041">
            <w:pPr>
              <w:pStyle w:val="TableParagraph"/>
              <w:spacing w:line="228" w:lineRule="exact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12.1%</w:t>
            </w:r>
          </w:p>
        </w:tc>
        <w:tc>
          <w:tcPr>
            <w:tcW w:w="894" w:type="dxa"/>
          </w:tcPr>
          <w:p w14:paraId="3A39CF5E" w14:textId="77777777" w:rsidR="006C34D9" w:rsidRDefault="00CB5041">
            <w:pPr>
              <w:pStyle w:val="TableParagraph"/>
              <w:spacing w:line="227" w:lineRule="exact"/>
              <w:ind w:left="113" w:right="102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≠</w:t>
            </w:r>
            <w:r>
              <w:rPr>
                <w:sz w:val="20"/>
              </w:rPr>
              <w:t>33.3%</w:t>
            </w:r>
          </w:p>
          <w:p w14:paraId="56D51A4B" w14:textId="77777777" w:rsidR="006C34D9" w:rsidRDefault="00CB5041">
            <w:pPr>
              <w:pStyle w:val="TableParagraph"/>
              <w:spacing w:line="183" w:lineRule="exact"/>
              <w:ind w:left="152" w:right="142"/>
              <w:jc w:val="center"/>
              <w:rPr>
                <w:sz w:val="16"/>
              </w:rPr>
            </w:pPr>
            <w:r>
              <w:rPr>
                <w:sz w:val="16"/>
              </w:rPr>
              <w:t>***</w:t>
            </w:r>
          </w:p>
        </w:tc>
        <w:tc>
          <w:tcPr>
            <w:tcW w:w="882" w:type="dxa"/>
          </w:tcPr>
          <w:p w14:paraId="485EA495" w14:textId="77777777" w:rsidR="006C34D9" w:rsidRDefault="00CB5041">
            <w:pPr>
              <w:pStyle w:val="TableParagraph"/>
              <w:spacing w:line="251" w:lineRule="exact"/>
              <w:ind w:left="155" w:right="143"/>
              <w:jc w:val="center"/>
              <w:rPr>
                <w:sz w:val="20"/>
              </w:rPr>
            </w:pPr>
            <w:r>
              <w:t>^</w:t>
            </w:r>
            <w:r>
              <w:rPr>
                <w:sz w:val="20"/>
              </w:rPr>
              <w:t>3.8%</w:t>
            </w:r>
          </w:p>
        </w:tc>
        <w:tc>
          <w:tcPr>
            <w:tcW w:w="955" w:type="dxa"/>
          </w:tcPr>
          <w:p w14:paraId="71DCD333" w14:textId="77777777" w:rsidR="006C34D9" w:rsidRDefault="00CB5041">
            <w:pPr>
              <w:pStyle w:val="TableParagraph"/>
              <w:spacing w:line="227" w:lineRule="exact"/>
              <w:ind w:left="100" w:right="88"/>
              <w:jc w:val="center"/>
              <w:rPr>
                <w:sz w:val="20"/>
              </w:rPr>
            </w:pPr>
            <w:r>
              <w:rPr>
                <w:sz w:val="20"/>
              </w:rPr>
              <w:t>27.5%**</w:t>
            </w:r>
          </w:p>
          <w:p w14:paraId="3F9F3B05" w14:textId="77777777" w:rsidR="006C34D9" w:rsidRDefault="00CB5041">
            <w:pPr>
              <w:pStyle w:val="TableParagraph"/>
              <w:spacing w:line="21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82" w:type="dxa"/>
          </w:tcPr>
          <w:p w14:paraId="5AA81372" w14:textId="77777777" w:rsidR="006C34D9" w:rsidRDefault="00CB5041">
            <w:pPr>
              <w:pStyle w:val="TableParagraph"/>
              <w:spacing w:line="228" w:lineRule="exact"/>
              <w:ind w:left="157" w:right="142"/>
              <w:jc w:val="center"/>
              <w:rPr>
                <w:sz w:val="20"/>
              </w:rPr>
            </w:pPr>
            <w:r>
              <w:rPr>
                <w:sz w:val="20"/>
              </w:rPr>
              <w:t>0.8%</w:t>
            </w:r>
          </w:p>
        </w:tc>
        <w:tc>
          <w:tcPr>
            <w:tcW w:w="955" w:type="dxa"/>
          </w:tcPr>
          <w:p w14:paraId="7CFED414" w14:textId="77777777" w:rsidR="006C34D9" w:rsidRDefault="00CB5041">
            <w:pPr>
              <w:pStyle w:val="TableParagraph"/>
              <w:spacing w:line="227" w:lineRule="exact"/>
              <w:ind w:left="100" w:right="88"/>
              <w:jc w:val="center"/>
              <w:rPr>
                <w:sz w:val="20"/>
              </w:rPr>
            </w:pPr>
            <w:r>
              <w:rPr>
                <w:sz w:val="20"/>
              </w:rPr>
              <w:t>30.2%**</w:t>
            </w:r>
          </w:p>
          <w:p w14:paraId="571AF109" w14:textId="77777777" w:rsidR="006C34D9" w:rsidRDefault="00CB5041">
            <w:pPr>
              <w:pStyle w:val="TableParagraph"/>
              <w:spacing w:line="212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75" w:type="dxa"/>
            <w:gridSpan w:val="2"/>
          </w:tcPr>
          <w:p w14:paraId="3F9DC428" w14:textId="77777777" w:rsidR="006C34D9" w:rsidRDefault="00CB5041">
            <w:pPr>
              <w:pStyle w:val="TableParagraph"/>
              <w:spacing w:line="228" w:lineRule="exact"/>
              <w:ind w:left="229"/>
              <w:rPr>
                <w:sz w:val="20"/>
              </w:rPr>
            </w:pPr>
            <w:r>
              <w:rPr>
                <w:sz w:val="20"/>
              </w:rPr>
              <w:t>3.4%</w:t>
            </w:r>
          </w:p>
        </w:tc>
        <w:tc>
          <w:tcPr>
            <w:tcW w:w="902" w:type="dxa"/>
            <w:gridSpan w:val="2"/>
          </w:tcPr>
          <w:p w14:paraId="227AFCDD" w14:textId="77777777" w:rsidR="006C34D9" w:rsidRDefault="00CB5041">
            <w:pPr>
              <w:pStyle w:val="TableParagraph"/>
              <w:spacing w:line="227" w:lineRule="exact"/>
              <w:ind w:left="193"/>
              <w:rPr>
                <w:sz w:val="20"/>
              </w:rPr>
            </w:pPr>
            <w:r>
              <w:rPr>
                <w:sz w:val="20"/>
              </w:rPr>
              <w:t>30.1%</w:t>
            </w:r>
          </w:p>
          <w:p w14:paraId="634364F4" w14:textId="77777777" w:rsidR="006C34D9" w:rsidRDefault="00CB5041">
            <w:pPr>
              <w:pStyle w:val="TableParagraph"/>
              <w:spacing w:line="212" w:lineRule="exact"/>
              <w:ind w:left="301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1071" w:type="dxa"/>
          </w:tcPr>
          <w:p w14:paraId="2B84C719" w14:textId="77777777" w:rsidR="006C34D9" w:rsidRDefault="00CB5041">
            <w:pPr>
              <w:pStyle w:val="TableParagraph"/>
              <w:spacing w:line="228" w:lineRule="exact"/>
              <w:ind w:left="0" w:right="314"/>
              <w:jc w:val="right"/>
              <w:rPr>
                <w:sz w:val="20"/>
              </w:rPr>
            </w:pPr>
            <w:r>
              <w:rPr>
                <w:sz w:val="20"/>
              </w:rPr>
              <w:t>1.6%</w:t>
            </w:r>
          </w:p>
        </w:tc>
      </w:tr>
      <w:tr w:rsidR="006C34D9" w14:paraId="233E1353" w14:textId="77777777">
        <w:trPr>
          <w:trHeight w:val="229"/>
        </w:trPr>
        <w:tc>
          <w:tcPr>
            <w:tcW w:w="10125" w:type="dxa"/>
            <w:gridSpan w:val="13"/>
          </w:tcPr>
          <w:p w14:paraId="10157BE1" w14:textId="77777777" w:rsidR="006C34D9" w:rsidRDefault="00CB504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EULAR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6C34D9" w14:paraId="2719DB4B" w14:textId="77777777">
        <w:trPr>
          <w:trHeight w:val="230"/>
        </w:trPr>
        <w:tc>
          <w:tcPr>
            <w:tcW w:w="985" w:type="dxa"/>
          </w:tcPr>
          <w:p w14:paraId="1F780D8D" w14:textId="77777777" w:rsidR="006C34D9" w:rsidRDefault="00CB5041">
            <w:pPr>
              <w:pStyle w:val="TableParagraph"/>
              <w:spacing w:line="210" w:lineRule="exact"/>
              <w:ind w:left="88" w:right="77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900" w:type="dxa"/>
          </w:tcPr>
          <w:p w14:paraId="5BACAF1D" w14:textId="77777777" w:rsidR="006C34D9" w:rsidRDefault="00CB5041">
            <w:pPr>
              <w:pStyle w:val="TableParagraph"/>
              <w:spacing w:line="210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18%</w:t>
            </w:r>
          </w:p>
        </w:tc>
        <w:tc>
          <w:tcPr>
            <w:tcW w:w="824" w:type="dxa"/>
          </w:tcPr>
          <w:p w14:paraId="0AC6E406" w14:textId="77777777" w:rsidR="006C34D9" w:rsidRDefault="00CB5041">
            <w:pPr>
              <w:pStyle w:val="TableParagraph"/>
              <w:spacing w:line="210" w:lineRule="exact"/>
              <w:ind w:left="133" w:right="122"/>
              <w:jc w:val="center"/>
              <w:rPr>
                <w:sz w:val="20"/>
              </w:rPr>
            </w:pPr>
            <w:r>
              <w:rPr>
                <w:sz w:val="20"/>
              </w:rPr>
              <w:t>35%</w:t>
            </w:r>
          </w:p>
        </w:tc>
        <w:tc>
          <w:tcPr>
            <w:tcW w:w="894" w:type="dxa"/>
          </w:tcPr>
          <w:p w14:paraId="0B2670A8" w14:textId="77777777" w:rsidR="006C34D9" w:rsidRDefault="00CB5041">
            <w:pPr>
              <w:pStyle w:val="TableParagraph"/>
              <w:spacing w:line="210" w:lineRule="exact"/>
              <w:ind w:left="153" w:right="142"/>
              <w:jc w:val="center"/>
              <w:rPr>
                <w:sz w:val="20"/>
              </w:rPr>
            </w:pPr>
            <w:r>
              <w:rPr>
                <w:sz w:val="20"/>
              </w:rPr>
              <w:t>26%</w:t>
            </w:r>
          </w:p>
        </w:tc>
        <w:tc>
          <w:tcPr>
            <w:tcW w:w="882" w:type="dxa"/>
          </w:tcPr>
          <w:p w14:paraId="5CBC9287" w14:textId="77777777" w:rsidR="006C34D9" w:rsidRDefault="00CB5041">
            <w:pPr>
              <w:pStyle w:val="TableParagraph"/>
              <w:spacing w:line="210" w:lineRule="exact"/>
              <w:ind w:left="154" w:right="143"/>
              <w:jc w:val="center"/>
              <w:rPr>
                <w:sz w:val="20"/>
              </w:rPr>
            </w:pPr>
            <w:r>
              <w:rPr>
                <w:sz w:val="20"/>
              </w:rPr>
              <w:t>65%</w:t>
            </w:r>
          </w:p>
        </w:tc>
        <w:tc>
          <w:tcPr>
            <w:tcW w:w="955" w:type="dxa"/>
          </w:tcPr>
          <w:p w14:paraId="494E3968" w14:textId="77777777" w:rsidR="006C34D9" w:rsidRDefault="00CB5041">
            <w:pPr>
              <w:pStyle w:val="TableParagraph"/>
              <w:spacing w:line="210" w:lineRule="exact"/>
              <w:ind w:left="100" w:right="88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882" w:type="dxa"/>
          </w:tcPr>
          <w:p w14:paraId="58FD27FE" w14:textId="77777777" w:rsidR="006C34D9" w:rsidRDefault="00CB5041">
            <w:pPr>
              <w:pStyle w:val="TableParagraph"/>
              <w:spacing w:line="210" w:lineRule="exact"/>
              <w:ind w:left="157" w:right="143"/>
              <w:jc w:val="center"/>
              <w:rPr>
                <w:sz w:val="20"/>
              </w:rPr>
            </w:pPr>
            <w:r>
              <w:rPr>
                <w:sz w:val="20"/>
              </w:rPr>
              <w:t>65%</w:t>
            </w:r>
          </w:p>
        </w:tc>
        <w:tc>
          <w:tcPr>
            <w:tcW w:w="955" w:type="dxa"/>
          </w:tcPr>
          <w:p w14:paraId="02F4139E" w14:textId="77777777" w:rsidR="006C34D9" w:rsidRDefault="00CB5041">
            <w:pPr>
              <w:pStyle w:val="TableParagraph"/>
              <w:spacing w:line="210" w:lineRule="exact"/>
              <w:ind w:left="100" w:right="87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875" w:type="dxa"/>
            <w:gridSpan w:val="2"/>
          </w:tcPr>
          <w:p w14:paraId="68A14DCB" w14:textId="77777777" w:rsidR="006C34D9" w:rsidRDefault="00CB5041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62%</w:t>
            </w:r>
          </w:p>
        </w:tc>
        <w:tc>
          <w:tcPr>
            <w:tcW w:w="902" w:type="dxa"/>
            <w:gridSpan w:val="2"/>
          </w:tcPr>
          <w:p w14:paraId="0F3243D6" w14:textId="77777777" w:rsidR="006C34D9" w:rsidRDefault="00CB5041">
            <w:pPr>
              <w:pStyle w:val="TableParagraph"/>
              <w:spacing w:line="210" w:lineRule="exact"/>
              <w:ind w:left="269"/>
              <w:rPr>
                <w:sz w:val="20"/>
              </w:rPr>
            </w:pPr>
            <w:r>
              <w:rPr>
                <w:sz w:val="20"/>
              </w:rPr>
              <w:t>32%</w:t>
            </w:r>
          </w:p>
        </w:tc>
        <w:tc>
          <w:tcPr>
            <w:tcW w:w="1071" w:type="dxa"/>
          </w:tcPr>
          <w:p w14:paraId="1661201E" w14:textId="77777777" w:rsidR="006C34D9" w:rsidRDefault="00CB5041">
            <w:pPr>
              <w:pStyle w:val="TableParagraph"/>
              <w:spacing w:line="210" w:lineRule="exact"/>
              <w:ind w:left="0" w:right="340"/>
              <w:jc w:val="right"/>
              <w:rPr>
                <w:sz w:val="20"/>
              </w:rPr>
            </w:pPr>
            <w:r>
              <w:rPr>
                <w:sz w:val="20"/>
              </w:rPr>
              <w:t>84%</w:t>
            </w:r>
          </w:p>
        </w:tc>
      </w:tr>
      <w:tr w:rsidR="006C34D9" w14:paraId="2E3E14D8" w14:textId="77777777">
        <w:trPr>
          <w:trHeight w:val="230"/>
        </w:trPr>
        <w:tc>
          <w:tcPr>
            <w:tcW w:w="985" w:type="dxa"/>
          </w:tcPr>
          <w:p w14:paraId="25FE8F29" w14:textId="77777777" w:rsidR="006C34D9" w:rsidRDefault="00CB5041">
            <w:pPr>
              <w:pStyle w:val="TableParagraph"/>
              <w:spacing w:line="210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900" w:type="dxa"/>
          </w:tcPr>
          <w:p w14:paraId="31C6D33D" w14:textId="77777777" w:rsidR="006C34D9" w:rsidRDefault="00CB5041">
            <w:pPr>
              <w:pStyle w:val="TableParagraph"/>
              <w:spacing w:line="210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42%</w:t>
            </w:r>
          </w:p>
        </w:tc>
        <w:tc>
          <w:tcPr>
            <w:tcW w:w="824" w:type="dxa"/>
          </w:tcPr>
          <w:p w14:paraId="33A29F9B" w14:textId="77777777" w:rsidR="006C34D9" w:rsidRDefault="00CB5041">
            <w:pPr>
              <w:pStyle w:val="TableParagraph"/>
              <w:spacing w:line="210" w:lineRule="exact"/>
              <w:ind w:left="133" w:right="122"/>
              <w:jc w:val="center"/>
              <w:rPr>
                <w:sz w:val="20"/>
              </w:rPr>
            </w:pPr>
            <w:r>
              <w:rPr>
                <w:sz w:val="20"/>
              </w:rPr>
              <w:t>48%</w:t>
            </w:r>
          </w:p>
        </w:tc>
        <w:tc>
          <w:tcPr>
            <w:tcW w:w="894" w:type="dxa"/>
          </w:tcPr>
          <w:p w14:paraId="00D1CBFD" w14:textId="77777777" w:rsidR="006C34D9" w:rsidRDefault="00CB5041">
            <w:pPr>
              <w:pStyle w:val="TableParagraph"/>
              <w:spacing w:line="210" w:lineRule="exact"/>
              <w:ind w:left="153" w:right="142"/>
              <w:jc w:val="center"/>
              <w:rPr>
                <w:sz w:val="20"/>
              </w:rPr>
            </w:pPr>
            <w:r>
              <w:rPr>
                <w:sz w:val="20"/>
              </w:rPr>
              <w:t>34%</w:t>
            </w:r>
          </w:p>
        </w:tc>
        <w:tc>
          <w:tcPr>
            <w:tcW w:w="882" w:type="dxa"/>
          </w:tcPr>
          <w:p w14:paraId="0B8B51C0" w14:textId="77777777" w:rsidR="006C34D9" w:rsidRDefault="00CB5041">
            <w:pPr>
              <w:pStyle w:val="TableParagraph"/>
              <w:spacing w:line="210" w:lineRule="exact"/>
              <w:ind w:left="154" w:right="143"/>
              <w:jc w:val="center"/>
              <w:rPr>
                <w:sz w:val="20"/>
              </w:rPr>
            </w:pPr>
            <w:r>
              <w:rPr>
                <w:sz w:val="20"/>
              </w:rPr>
              <w:t>29%</w:t>
            </w:r>
          </w:p>
        </w:tc>
        <w:tc>
          <w:tcPr>
            <w:tcW w:w="955" w:type="dxa"/>
          </w:tcPr>
          <w:p w14:paraId="7ACBE600" w14:textId="77777777" w:rsidR="006C34D9" w:rsidRDefault="00CB5041">
            <w:pPr>
              <w:pStyle w:val="TableParagraph"/>
              <w:spacing w:line="210" w:lineRule="exact"/>
              <w:ind w:left="100" w:right="88"/>
              <w:jc w:val="center"/>
              <w:rPr>
                <w:sz w:val="20"/>
              </w:rPr>
            </w:pPr>
            <w:r>
              <w:rPr>
                <w:sz w:val="20"/>
              </w:rPr>
              <w:t>41%</w:t>
            </w:r>
          </w:p>
        </w:tc>
        <w:tc>
          <w:tcPr>
            <w:tcW w:w="882" w:type="dxa"/>
          </w:tcPr>
          <w:p w14:paraId="7B437CA1" w14:textId="77777777" w:rsidR="006C34D9" w:rsidRDefault="00CB5041">
            <w:pPr>
              <w:pStyle w:val="TableParagraph"/>
              <w:spacing w:line="210" w:lineRule="exact"/>
              <w:ind w:left="157" w:right="143"/>
              <w:jc w:val="center"/>
              <w:rPr>
                <w:sz w:val="20"/>
              </w:rPr>
            </w:pPr>
            <w:r>
              <w:rPr>
                <w:sz w:val="20"/>
              </w:rPr>
              <w:t>32%</w:t>
            </w:r>
          </w:p>
        </w:tc>
        <w:tc>
          <w:tcPr>
            <w:tcW w:w="955" w:type="dxa"/>
          </w:tcPr>
          <w:p w14:paraId="67112100" w14:textId="77777777" w:rsidR="006C34D9" w:rsidRDefault="00CB5041">
            <w:pPr>
              <w:pStyle w:val="TableParagraph"/>
              <w:spacing w:line="210" w:lineRule="exact"/>
              <w:ind w:left="100" w:right="87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875" w:type="dxa"/>
            <w:gridSpan w:val="2"/>
          </w:tcPr>
          <w:p w14:paraId="172BE83A" w14:textId="77777777" w:rsidR="006C34D9" w:rsidRDefault="00CB5041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33%</w:t>
            </w:r>
          </w:p>
        </w:tc>
        <w:tc>
          <w:tcPr>
            <w:tcW w:w="902" w:type="dxa"/>
            <w:gridSpan w:val="2"/>
          </w:tcPr>
          <w:p w14:paraId="0A78A9C7" w14:textId="77777777" w:rsidR="006C34D9" w:rsidRDefault="00CB5041">
            <w:pPr>
              <w:pStyle w:val="TableParagraph"/>
              <w:spacing w:line="210" w:lineRule="exact"/>
              <w:ind w:left="269"/>
              <w:rPr>
                <w:sz w:val="20"/>
              </w:rPr>
            </w:pPr>
            <w:r>
              <w:rPr>
                <w:sz w:val="20"/>
              </w:rPr>
              <w:t>31%</w:t>
            </w:r>
          </w:p>
        </w:tc>
        <w:tc>
          <w:tcPr>
            <w:tcW w:w="1071" w:type="dxa"/>
          </w:tcPr>
          <w:p w14:paraId="5215ED51" w14:textId="77777777" w:rsidR="006C34D9" w:rsidRDefault="00CB5041">
            <w:pPr>
              <w:pStyle w:val="TableParagraph"/>
              <w:spacing w:line="210" w:lineRule="exact"/>
              <w:ind w:left="0" w:right="340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 w:rsidR="006C34D9" w14:paraId="1964B7E6" w14:textId="77777777">
        <w:trPr>
          <w:trHeight w:val="231"/>
        </w:trPr>
        <w:tc>
          <w:tcPr>
            <w:tcW w:w="985" w:type="dxa"/>
          </w:tcPr>
          <w:p w14:paraId="1EB262D6" w14:textId="77777777" w:rsidR="006C34D9" w:rsidRDefault="00CB5041">
            <w:pPr>
              <w:pStyle w:val="TableParagraph"/>
              <w:spacing w:line="211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Good†</w:t>
            </w:r>
          </w:p>
        </w:tc>
        <w:tc>
          <w:tcPr>
            <w:tcW w:w="900" w:type="dxa"/>
          </w:tcPr>
          <w:p w14:paraId="3C866058" w14:textId="77777777" w:rsidR="006C34D9" w:rsidRDefault="00CB5041">
            <w:pPr>
              <w:pStyle w:val="TableParagraph"/>
              <w:spacing w:line="211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824" w:type="dxa"/>
          </w:tcPr>
          <w:p w14:paraId="0A2AD714" w14:textId="77777777" w:rsidR="006C34D9" w:rsidRDefault="00CB5041">
            <w:pPr>
              <w:pStyle w:val="TableParagraph"/>
              <w:spacing w:line="211" w:lineRule="exact"/>
              <w:ind w:left="133" w:right="122"/>
              <w:jc w:val="center"/>
              <w:rPr>
                <w:sz w:val="20"/>
              </w:rPr>
            </w:pPr>
            <w:r>
              <w:rPr>
                <w:sz w:val="20"/>
              </w:rPr>
              <w:t>17%</w:t>
            </w:r>
          </w:p>
        </w:tc>
        <w:tc>
          <w:tcPr>
            <w:tcW w:w="894" w:type="dxa"/>
          </w:tcPr>
          <w:p w14:paraId="2889DC34" w14:textId="77777777" w:rsidR="006C34D9" w:rsidRDefault="00CB5041">
            <w:pPr>
              <w:pStyle w:val="TableParagraph"/>
              <w:spacing w:line="211" w:lineRule="exact"/>
              <w:ind w:left="112" w:right="102"/>
              <w:jc w:val="center"/>
              <w:rPr>
                <w:sz w:val="16"/>
              </w:rPr>
            </w:pPr>
            <w:r>
              <w:rPr>
                <w:sz w:val="20"/>
              </w:rPr>
              <w:t>41%</w:t>
            </w:r>
            <w:r>
              <w:rPr>
                <w:sz w:val="16"/>
              </w:rPr>
              <w:t>***</w:t>
            </w:r>
          </w:p>
        </w:tc>
        <w:tc>
          <w:tcPr>
            <w:tcW w:w="882" w:type="dxa"/>
          </w:tcPr>
          <w:p w14:paraId="4BD18ABC" w14:textId="77777777" w:rsidR="006C34D9" w:rsidRDefault="00CB5041">
            <w:pPr>
              <w:pStyle w:val="TableParagraph"/>
              <w:spacing w:line="211" w:lineRule="exact"/>
              <w:ind w:left="154" w:right="143"/>
              <w:jc w:val="center"/>
              <w:rPr>
                <w:sz w:val="20"/>
              </w:rPr>
            </w:pPr>
            <w:r>
              <w:rPr>
                <w:sz w:val="20"/>
              </w:rPr>
              <w:t>6%</w:t>
            </w:r>
          </w:p>
        </w:tc>
        <w:tc>
          <w:tcPr>
            <w:tcW w:w="955" w:type="dxa"/>
          </w:tcPr>
          <w:p w14:paraId="40C431F4" w14:textId="77777777" w:rsidR="006C34D9" w:rsidRDefault="00CB5041">
            <w:pPr>
              <w:pStyle w:val="TableParagraph"/>
              <w:spacing w:line="211" w:lineRule="exact"/>
              <w:ind w:left="100" w:right="88"/>
              <w:jc w:val="center"/>
              <w:rPr>
                <w:sz w:val="20"/>
              </w:rPr>
            </w:pPr>
            <w:r>
              <w:rPr>
                <w:sz w:val="20"/>
              </w:rPr>
              <w:t>38%***</w:t>
            </w:r>
          </w:p>
        </w:tc>
        <w:tc>
          <w:tcPr>
            <w:tcW w:w="882" w:type="dxa"/>
          </w:tcPr>
          <w:p w14:paraId="41BD2772" w14:textId="77777777" w:rsidR="006C34D9" w:rsidRDefault="00CB5041">
            <w:pPr>
              <w:pStyle w:val="TableParagraph"/>
              <w:spacing w:line="211" w:lineRule="exact"/>
              <w:ind w:left="157" w:right="143"/>
              <w:jc w:val="center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955" w:type="dxa"/>
          </w:tcPr>
          <w:p w14:paraId="109F1709" w14:textId="77777777" w:rsidR="006C34D9" w:rsidRDefault="00CB5041">
            <w:pPr>
              <w:pStyle w:val="TableParagraph"/>
              <w:spacing w:line="211" w:lineRule="exact"/>
              <w:ind w:left="100" w:right="88"/>
              <w:jc w:val="center"/>
              <w:rPr>
                <w:sz w:val="20"/>
              </w:rPr>
            </w:pPr>
            <w:r>
              <w:rPr>
                <w:sz w:val="20"/>
              </w:rPr>
              <w:t>40%***</w:t>
            </w:r>
          </w:p>
        </w:tc>
        <w:tc>
          <w:tcPr>
            <w:tcW w:w="875" w:type="dxa"/>
            <w:gridSpan w:val="2"/>
          </w:tcPr>
          <w:p w14:paraId="424366D9" w14:textId="77777777" w:rsidR="006C34D9" w:rsidRDefault="00CB5041">
            <w:pPr>
              <w:pStyle w:val="TableParagraph"/>
              <w:spacing w:line="211" w:lineRule="exact"/>
              <w:ind w:left="285" w:right="273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902" w:type="dxa"/>
            <w:gridSpan w:val="2"/>
          </w:tcPr>
          <w:p w14:paraId="2ECD5D9D" w14:textId="77777777" w:rsidR="006C34D9" w:rsidRDefault="00CB5041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37%***</w:t>
            </w:r>
          </w:p>
        </w:tc>
        <w:tc>
          <w:tcPr>
            <w:tcW w:w="1071" w:type="dxa"/>
          </w:tcPr>
          <w:p w14:paraId="178D0E27" w14:textId="77777777" w:rsidR="006C34D9" w:rsidRDefault="00CB5041">
            <w:pPr>
              <w:pStyle w:val="TableParagraph"/>
              <w:spacing w:line="211" w:lineRule="exact"/>
              <w:ind w:left="0" w:right="388"/>
              <w:jc w:val="right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</w:tr>
    </w:tbl>
    <w:p w14:paraId="47EFC234" w14:textId="77777777" w:rsidR="006C34D9" w:rsidRDefault="00CB5041">
      <w:pPr>
        <w:spacing w:before="2"/>
        <w:ind w:left="660"/>
        <w:jc w:val="both"/>
        <w:rPr>
          <w:sz w:val="20"/>
        </w:rPr>
      </w:pP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Actemra</w:t>
      </w:r>
    </w:p>
    <w:p w14:paraId="53FA21F3" w14:textId="77777777" w:rsidR="006C34D9" w:rsidRDefault="00CB5041">
      <w:pPr>
        <w:ind w:left="660"/>
        <w:rPr>
          <w:sz w:val="20"/>
        </w:rPr>
      </w:pPr>
      <w:r>
        <w:rPr>
          <w:sz w:val="20"/>
        </w:rPr>
        <w:t>†The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pacing w:val="-3"/>
          <w:sz w:val="20"/>
        </w:rPr>
        <w:t xml:space="preserve"> </w:t>
      </w:r>
      <w:r>
        <w:rPr>
          <w:sz w:val="20"/>
        </w:rPr>
        <w:t>value</w:t>
      </w:r>
      <w:r>
        <w:rPr>
          <w:spacing w:val="-3"/>
          <w:sz w:val="20"/>
        </w:rPr>
        <w:t xml:space="preserve"> </w:t>
      </w:r>
      <w:r>
        <w:rPr>
          <w:sz w:val="20"/>
        </w:rPr>
        <w:t>compares</w:t>
      </w:r>
      <w:r>
        <w:rPr>
          <w:spacing w:val="-2"/>
          <w:sz w:val="20"/>
        </w:rPr>
        <w:t xml:space="preserve"> </w:t>
      </w:r>
      <w:r>
        <w:rPr>
          <w:sz w:val="20"/>
        </w:rPr>
        <w:t>across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EULAR</w:t>
      </w:r>
      <w:r>
        <w:rPr>
          <w:spacing w:val="-3"/>
          <w:sz w:val="20"/>
        </w:rPr>
        <w:t xml:space="preserve"> </w:t>
      </w:r>
      <w:r>
        <w:rPr>
          <w:sz w:val="20"/>
        </w:rPr>
        <w:t>categories</w:t>
      </w:r>
    </w:p>
    <w:p w14:paraId="3DF5580B" w14:textId="77777777" w:rsidR="006C34D9" w:rsidRDefault="00CB5041">
      <w:pPr>
        <w:pStyle w:val="ListParagraph"/>
        <w:numPr>
          <w:ilvl w:val="0"/>
          <w:numId w:val="3"/>
        </w:numPr>
        <w:tabs>
          <w:tab w:val="left" w:pos="810"/>
        </w:tabs>
        <w:spacing w:before="1" w:line="230" w:lineRule="exact"/>
        <w:rPr>
          <w:sz w:val="20"/>
        </w:rPr>
      </w:pP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&lt;</w:t>
      </w:r>
      <w:r>
        <w:rPr>
          <w:spacing w:val="-2"/>
          <w:sz w:val="20"/>
        </w:rPr>
        <w:t xml:space="preserve"> </w:t>
      </w:r>
      <w:r>
        <w:rPr>
          <w:sz w:val="20"/>
        </w:rPr>
        <w:t>0.05,</w:t>
      </w:r>
      <w:r>
        <w:rPr>
          <w:spacing w:val="-3"/>
          <w:sz w:val="20"/>
        </w:rPr>
        <w:t xml:space="preserve"> </w:t>
      </w:r>
      <w:r>
        <w:rPr>
          <w:sz w:val="20"/>
        </w:rPr>
        <w:t>Actemra</w:t>
      </w:r>
      <w:r>
        <w:rPr>
          <w:spacing w:val="-1"/>
          <w:sz w:val="20"/>
        </w:rPr>
        <w:t xml:space="preserve"> </w:t>
      </w:r>
      <w:r>
        <w:rPr>
          <w:sz w:val="20"/>
        </w:rPr>
        <w:t>vs.</w:t>
      </w:r>
      <w:r>
        <w:rPr>
          <w:spacing w:val="-3"/>
          <w:sz w:val="20"/>
        </w:rPr>
        <w:t xml:space="preserve"> </w:t>
      </w:r>
      <w:r>
        <w:rPr>
          <w:sz w:val="20"/>
        </w:rPr>
        <w:t>placebo</w:t>
      </w:r>
      <w:r>
        <w:rPr>
          <w:spacing w:val="-2"/>
          <w:sz w:val="20"/>
        </w:rPr>
        <w:t xml:space="preserve"> 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sz w:val="20"/>
        </w:rPr>
        <w:t>MTX/DMARD</w:t>
      </w:r>
    </w:p>
    <w:p w14:paraId="083F8600" w14:textId="77777777" w:rsidR="006C34D9" w:rsidRDefault="00CB5041">
      <w:pPr>
        <w:spacing w:line="230" w:lineRule="exact"/>
        <w:ind w:left="659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pacing w:val="-2"/>
          <w:sz w:val="20"/>
        </w:rPr>
        <w:t xml:space="preserve"> </w:t>
      </w:r>
      <w:r>
        <w:rPr>
          <w:sz w:val="20"/>
        </w:rPr>
        <w:t>&lt;</w:t>
      </w:r>
      <w:r>
        <w:rPr>
          <w:spacing w:val="-3"/>
          <w:sz w:val="20"/>
        </w:rPr>
        <w:t xml:space="preserve"> </w:t>
      </w:r>
      <w:r>
        <w:rPr>
          <w:sz w:val="20"/>
        </w:rPr>
        <w:t>0.01,</w:t>
      </w:r>
      <w:r>
        <w:rPr>
          <w:spacing w:val="-3"/>
          <w:sz w:val="20"/>
        </w:rPr>
        <w:t xml:space="preserve"> </w:t>
      </w:r>
      <w:r>
        <w:rPr>
          <w:sz w:val="20"/>
        </w:rPr>
        <w:t>Actemra</w:t>
      </w:r>
      <w:r>
        <w:rPr>
          <w:spacing w:val="-1"/>
          <w:sz w:val="20"/>
        </w:rPr>
        <w:t xml:space="preserve"> </w:t>
      </w:r>
      <w:r>
        <w:rPr>
          <w:sz w:val="20"/>
        </w:rPr>
        <w:t>vs.</w:t>
      </w:r>
      <w:r>
        <w:rPr>
          <w:spacing w:val="-2"/>
          <w:sz w:val="20"/>
        </w:rPr>
        <w:t xml:space="preserve"> </w:t>
      </w:r>
      <w:r>
        <w:rPr>
          <w:sz w:val="20"/>
        </w:rPr>
        <w:t>placebo</w:t>
      </w:r>
      <w:r>
        <w:rPr>
          <w:spacing w:val="-2"/>
          <w:sz w:val="20"/>
        </w:rPr>
        <w:t xml:space="preserve"> 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sz w:val="20"/>
        </w:rPr>
        <w:t>MTX/DMARD</w:t>
      </w:r>
    </w:p>
    <w:p w14:paraId="080465FA" w14:textId="77777777" w:rsidR="006C34D9" w:rsidRDefault="00CB5041">
      <w:pPr>
        <w:spacing w:line="219" w:lineRule="exact"/>
        <w:ind w:left="660"/>
        <w:rPr>
          <w:sz w:val="20"/>
        </w:rPr>
      </w:pPr>
      <w:r>
        <w:rPr>
          <w:sz w:val="20"/>
        </w:rPr>
        <w:t>***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&lt;</w:t>
      </w:r>
      <w:r>
        <w:rPr>
          <w:spacing w:val="-3"/>
          <w:sz w:val="20"/>
        </w:rPr>
        <w:t xml:space="preserve"> </w:t>
      </w:r>
      <w:r>
        <w:rPr>
          <w:sz w:val="20"/>
        </w:rPr>
        <w:t>0.0001,</w:t>
      </w:r>
      <w:r>
        <w:rPr>
          <w:spacing w:val="-2"/>
          <w:sz w:val="20"/>
        </w:rPr>
        <w:t xml:space="preserve"> </w:t>
      </w:r>
      <w:r>
        <w:rPr>
          <w:sz w:val="20"/>
        </w:rPr>
        <w:t>Actemra</w:t>
      </w:r>
      <w:r>
        <w:rPr>
          <w:spacing w:val="-1"/>
          <w:sz w:val="20"/>
        </w:rPr>
        <w:t xml:space="preserve"> </w:t>
      </w:r>
      <w:r>
        <w:rPr>
          <w:sz w:val="20"/>
        </w:rPr>
        <w:t>vs.</w:t>
      </w:r>
      <w:r>
        <w:rPr>
          <w:spacing w:val="-3"/>
          <w:sz w:val="20"/>
        </w:rPr>
        <w:t xml:space="preserve"> </w:t>
      </w:r>
      <w:r>
        <w:rPr>
          <w:sz w:val="20"/>
        </w:rPr>
        <w:t>placebo +</w:t>
      </w:r>
      <w:r>
        <w:rPr>
          <w:spacing w:val="-4"/>
          <w:sz w:val="20"/>
        </w:rPr>
        <w:t xml:space="preserve"> </w:t>
      </w:r>
      <w:r>
        <w:rPr>
          <w:sz w:val="20"/>
        </w:rPr>
        <w:t>MTX/DMARD</w:t>
      </w:r>
    </w:p>
    <w:p w14:paraId="2BC8CF3C" w14:textId="77777777" w:rsidR="006C34D9" w:rsidRDefault="00CB5041">
      <w:pPr>
        <w:spacing w:line="365" w:lineRule="exact"/>
        <w:ind w:left="660"/>
        <w:jc w:val="both"/>
        <w:rPr>
          <w:sz w:val="20"/>
        </w:rPr>
      </w:pPr>
      <w:r>
        <w:rPr>
          <w:rFonts w:ascii="Yu Gothic UI" w:hAnsi="Yu Gothic UI"/>
          <w:i/>
          <w:sz w:val="21"/>
        </w:rPr>
        <w:t>≠</w:t>
      </w:r>
      <w:r>
        <w:rPr>
          <w:rFonts w:ascii="Yu Gothic UI" w:hAnsi="Yu Gothic UI"/>
          <w:i/>
          <w:spacing w:val="-10"/>
          <w:sz w:val="21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study</w:t>
      </w:r>
      <w:r>
        <w:rPr>
          <w:spacing w:val="-4"/>
          <w:sz w:val="20"/>
        </w:rPr>
        <w:t xml:space="preserve"> </w:t>
      </w:r>
      <w:r>
        <w:rPr>
          <w:sz w:val="20"/>
        </w:rPr>
        <w:t>II,</w:t>
      </w:r>
      <w:r>
        <w:rPr>
          <w:spacing w:val="-2"/>
          <w:sz w:val="20"/>
        </w:rPr>
        <w:t xml:space="preserve"> </w:t>
      </w:r>
      <w:r>
        <w:rPr>
          <w:sz w:val="20"/>
        </w:rPr>
        <w:t>47%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patients</w:t>
      </w:r>
      <w:r>
        <w:rPr>
          <w:spacing w:val="-1"/>
          <w:sz w:val="20"/>
        </w:rPr>
        <w:t xml:space="preserve"> </w:t>
      </w:r>
      <w:r>
        <w:rPr>
          <w:sz w:val="20"/>
        </w:rPr>
        <w:t>achieved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DAS28</w:t>
      </w:r>
      <w:r>
        <w:rPr>
          <w:spacing w:val="-3"/>
          <w:sz w:val="20"/>
        </w:rPr>
        <w:t xml:space="preserve"> </w:t>
      </w:r>
      <w:r>
        <w:rPr>
          <w:sz w:val="20"/>
        </w:rPr>
        <w:t>&lt;</w:t>
      </w:r>
      <w:r>
        <w:rPr>
          <w:spacing w:val="-3"/>
          <w:sz w:val="20"/>
        </w:rPr>
        <w:t xml:space="preserve"> </w:t>
      </w:r>
      <w:r>
        <w:rPr>
          <w:sz w:val="20"/>
        </w:rPr>
        <w:t>2.6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52</w:t>
      </w:r>
      <w:r>
        <w:rPr>
          <w:spacing w:val="-2"/>
          <w:sz w:val="20"/>
        </w:rPr>
        <w:t xml:space="preserve"> </w:t>
      </w:r>
      <w:r>
        <w:rPr>
          <w:sz w:val="20"/>
        </w:rPr>
        <w:t>weeks</w:t>
      </w:r>
      <w:r>
        <w:rPr>
          <w:spacing w:val="-3"/>
          <w:sz w:val="20"/>
        </w:rPr>
        <w:t xml:space="preserve"> </w:t>
      </w:r>
      <w:r>
        <w:rPr>
          <w:sz w:val="20"/>
        </w:rPr>
        <w:t>compared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33%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week</w:t>
      </w:r>
      <w:r>
        <w:rPr>
          <w:spacing w:val="-3"/>
          <w:sz w:val="20"/>
        </w:rPr>
        <w:t xml:space="preserve"> </w:t>
      </w:r>
      <w:r>
        <w:rPr>
          <w:sz w:val="20"/>
        </w:rPr>
        <w:t>24.</w:t>
      </w:r>
    </w:p>
    <w:p w14:paraId="51C2F91A" w14:textId="77777777" w:rsidR="006C34D9" w:rsidRDefault="00CB5041">
      <w:pPr>
        <w:spacing w:line="221" w:lineRule="exact"/>
        <w:ind w:left="659"/>
        <w:rPr>
          <w:sz w:val="20"/>
        </w:rPr>
      </w:pPr>
      <w:r>
        <w:rPr>
          <w:sz w:val="20"/>
        </w:rPr>
        <w:t>^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study</w:t>
      </w:r>
      <w:r>
        <w:rPr>
          <w:spacing w:val="-2"/>
          <w:sz w:val="20"/>
        </w:rPr>
        <w:t xml:space="preserve"> </w:t>
      </w:r>
      <w:r>
        <w:rPr>
          <w:sz w:val="20"/>
        </w:rPr>
        <w:t>II,</w:t>
      </w:r>
      <w:r>
        <w:rPr>
          <w:spacing w:val="-3"/>
          <w:sz w:val="20"/>
        </w:rPr>
        <w:t xml:space="preserve"> </w:t>
      </w:r>
      <w:r>
        <w:rPr>
          <w:sz w:val="20"/>
        </w:rPr>
        <w:t>8%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achieved a</w:t>
      </w:r>
      <w:r>
        <w:rPr>
          <w:spacing w:val="-2"/>
          <w:sz w:val="20"/>
        </w:rPr>
        <w:t xml:space="preserve"> </w:t>
      </w:r>
      <w:r>
        <w:rPr>
          <w:sz w:val="20"/>
        </w:rPr>
        <w:t>DAS28</w:t>
      </w:r>
      <w:r>
        <w:rPr>
          <w:spacing w:val="-3"/>
          <w:sz w:val="20"/>
        </w:rPr>
        <w:t xml:space="preserve"> </w:t>
      </w:r>
      <w:r>
        <w:rPr>
          <w:sz w:val="20"/>
        </w:rPr>
        <w:t>&lt;</w:t>
      </w:r>
      <w:r>
        <w:rPr>
          <w:spacing w:val="-3"/>
          <w:sz w:val="20"/>
        </w:rPr>
        <w:t xml:space="preserve"> </w:t>
      </w:r>
      <w:r>
        <w:rPr>
          <w:sz w:val="20"/>
        </w:rPr>
        <w:t>2.6 at</w:t>
      </w:r>
      <w:r>
        <w:rPr>
          <w:spacing w:val="-4"/>
          <w:sz w:val="20"/>
        </w:rPr>
        <w:t xml:space="preserve"> </w:t>
      </w:r>
      <w:r>
        <w:rPr>
          <w:sz w:val="20"/>
        </w:rPr>
        <w:t>52</w:t>
      </w:r>
      <w:r>
        <w:rPr>
          <w:spacing w:val="-3"/>
          <w:sz w:val="20"/>
        </w:rPr>
        <w:t xml:space="preserve"> </w:t>
      </w:r>
      <w:r>
        <w:rPr>
          <w:sz w:val="20"/>
        </w:rPr>
        <w:t>weeks</w:t>
      </w:r>
      <w:r>
        <w:rPr>
          <w:spacing w:val="-1"/>
          <w:sz w:val="20"/>
        </w:rPr>
        <w:t xml:space="preserve"> </w:t>
      </w:r>
      <w:r>
        <w:rPr>
          <w:sz w:val="20"/>
        </w:rPr>
        <w:t>compared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4%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week</w:t>
      </w:r>
      <w:r>
        <w:rPr>
          <w:spacing w:val="-2"/>
          <w:sz w:val="20"/>
        </w:rPr>
        <w:t xml:space="preserve"> </w:t>
      </w:r>
      <w:r>
        <w:rPr>
          <w:sz w:val="20"/>
        </w:rPr>
        <w:t>24.</w:t>
      </w:r>
    </w:p>
    <w:p w14:paraId="3FDB3F26" w14:textId="77777777" w:rsidR="006C34D9" w:rsidRDefault="006C34D9">
      <w:pPr>
        <w:pStyle w:val="BodyText"/>
        <w:spacing w:before="4"/>
        <w:ind w:left="0"/>
      </w:pPr>
    </w:p>
    <w:p w14:paraId="59127370" w14:textId="77777777" w:rsidR="006C34D9" w:rsidRDefault="00CB5041">
      <w:pPr>
        <w:pStyle w:val="BodyText"/>
      </w:pPr>
      <w:r>
        <w:t>The</w:t>
      </w:r>
      <w:r>
        <w:rPr>
          <w:spacing w:val="14"/>
        </w:rPr>
        <w:t xml:space="preserve"> </w:t>
      </w:r>
      <w:r>
        <w:t>clinical</w:t>
      </w:r>
      <w:r>
        <w:rPr>
          <w:spacing w:val="14"/>
        </w:rPr>
        <w:t xml:space="preserve"> </w:t>
      </w:r>
      <w:r>
        <w:t>response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24</w:t>
      </w:r>
      <w:r>
        <w:rPr>
          <w:spacing w:val="14"/>
        </w:rPr>
        <w:t xml:space="preserve"> </w:t>
      </w:r>
      <w:r>
        <w:t>weeks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subcutaneous</w:t>
      </w:r>
      <w:r>
        <w:rPr>
          <w:spacing w:val="15"/>
        </w:rPr>
        <w:t xml:space="preserve"> </w:t>
      </w:r>
      <w:r>
        <w:t>Actemra</w:t>
      </w:r>
      <w:r>
        <w:rPr>
          <w:spacing w:val="14"/>
        </w:rPr>
        <w:t xml:space="preserve"> </w:t>
      </w:r>
      <w:r>
        <w:t>therapy</w:t>
      </w:r>
      <w:r>
        <w:rPr>
          <w:spacing w:val="15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shown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Table</w:t>
      </w:r>
      <w:r>
        <w:rPr>
          <w:spacing w:val="15"/>
        </w:rPr>
        <w:t xml:space="preserve"> </w:t>
      </w:r>
      <w:r>
        <w:t>6.</w:t>
      </w:r>
      <w:r>
        <w:rPr>
          <w:spacing w:val="14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SUMMACTA,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ACR20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pre-specified</w:t>
      </w:r>
      <w:r>
        <w:rPr>
          <w:spacing w:val="-4"/>
        </w:rPr>
        <w:t xml:space="preserve"> </w:t>
      </w:r>
      <w:r>
        <w:t>non-</w:t>
      </w:r>
    </w:p>
    <w:p w14:paraId="33E37956" w14:textId="77777777" w:rsidR="006C34D9" w:rsidRDefault="006C34D9">
      <w:p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38B2B66E" w14:textId="77777777" w:rsidR="006C34D9" w:rsidRDefault="00CB5041">
      <w:pPr>
        <w:pStyle w:val="BodyText"/>
        <w:spacing w:before="79"/>
        <w:ind w:left="659" w:right="657"/>
        <w:jc w:val="both"/>
      </w:pPr>
      <w:r>
        <w:lastRenderedPageBreak/>
        <w:t>inferiority margin was a treatment difference of 12%. The study demonstrated non-inferiority</w:t>
      </w:r>
      <w:r>
        <w:rPr>
          <w:spacing w:val="1"/>
        </w:rPr>
        <w:t xml:space="preserve"> </w:t>
      </w:r>
      <w:r>
        <w:t>of Actemra with respect to ACR20 at Week 24; ACR50, ACR70 and DAS28 responses are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-14"/>
        </w:rPr>
        <w:t xml:space="preserve"> </w:t>
      </w:r>
      <w:r>
        <w:rPr>
          <w:spacing w:val="-1"/>
        </w:rPr>
        <w:t>shown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Table</w:t>
      </w:r>
      <w:r>
        <w:rPr>
          <w:spacing w:val="-13"/>
        </w:rPr>
        <w:t xml:space="preserve"> </w:t>
      </w:r>
      <w:r>
        <w:rPr>
          <w:spacing w:val="-1"/>
        </w:rPr>
        <w:t>6.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efficacy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safety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subcutaneous</w:t>
      </w:r>
      <w:r>
        <w:rPr>
          <w:spacing w:val="-13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monotherapy</w:t>
      </w:r>
      <w:r>
        <w:rPr>
          <w:spacing w:val="-5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supported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SUMMACTA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demonstrates,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combination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DMARD(s),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non-</w:t>
      </w:r>
      <w:r>
        <w:rPr>
          <w:spacing w:val="-57"/>
        </w:rPr>
        <w:t xml:space="preserve"> </w:t>
      </w:r>
      <w:r>
        <w:t>inferiority of Actemra 162 mg SC every week to 8 mg/kg IV every 4 weeks. However, the</w:t>
      </w:r>
      <w:r>
        <w:rPr>
          <w:spacing w:val="1"/>
        </w:rPr>
        <w:t xml:space="preserve"> </w:t>
      </w:r>
      <w:r>
        <w:t>efficacy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subcutaneous</w:t>
      </w:r>
      <w:r>
        <w:rPr>
          <w:spacing w:val="-6"/>
        </w:rPr>
        <w:t xml:space="preserve"> </w:t>
      </w:r>
      <w:r>
        <w:t>Actemra</w:t>
      </w:r>
      <w:r>
        <w:rPr>
          <w:spacing w:val="-6"/>
        </w:rPr>
        <w:t xml:space="preserve"> </w:t>
      </w:r>
      <w:r>
        <w:t>administered</w:t>
      </w:r>
      <w:r>
        <w:rPr>
          <w:spacing w:val="-6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monotherapy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directly</w:t>
      </w:r>
      <w:r>
        <w:rPr>
          <w:spacing w:val="-58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in this study.</w:t>
      </w:r>
    </w:p>
    <w:p w14:paraId="3B0D59CD" w14:textId="77777777" w:rsidR="006C34D9" w:rsidRDefault="006C34D9">
      <w:pPr>
        <w:pStyle w:val="BodyText"/>
        <w:spacing w:before="6"/>
        <w:ind w:left="0"/>
      </w:pPr>
    </w:p>
    <w:p w14:paraId="0A3ADE06" w14:textId="77777777" w:rsidR="006C34D9" w:rsidRDefault="00CB5041">
      <w:pPr>
        <w:pStyle w:val="Heading2"/>
        <w:ind w:left="659"/>
      </w:pPr>
      <w:r>
        <w:t>Table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Subcutaneous</w:t>
      </w:r>
      <w:r>
        <w:rPr>
          <w:spacing w:val="-2"/>
        </w:rPr>
        <w:t xml:space="preserve"> </w:t>
      </w:r>
      <w:r>
        <w:t>Trials</w:t>
      </w:r>
      <w:r>
        <w:rPr>
          <w:spacing w:val="-2"/>
        </w:rPr>
        <w:t xml:space="preserve"> </w:t>
      </w:r>
      <w:r>
        <w:t>(Percent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Patients)</w:t>
      </w:r>
    </w:p>
    <w:p w14:paraId="0F6449C6" w14:textId="77777777" w:rsidR="006C34D9" w:rsidRDefault="006C34D9">
      <w:pPr>
        <w:pStyle w:val="BodyText"/>
        <w:spacing w:before="5"/>
        <w:ind w:left="0"/>
        <w:rPr>
          <w:b/>
          <w:sz w:val="10"/>
        </w:r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1654"/>
        <w:gridCol w:w="1984"/>
        <w:gridCol w:w="1518"/>
        <w:gridCol w:w="1518"/>
      </w:tblGrid>
      <w:tr w:rsidR="006C34D9" w14:paraId="0E9A71AC" w14:textId="77777777">
        <w:trPr>
          <w:trHeight w:val="275"/>
        </w:trPr>
        <w:tc>
          <w:tcPr>
            <w:tcW w:w="2184" w:type="dxa"/>
            <w:vMerge w:val="restart"/>
          </w:tcPr>
          <w:p w14:paraId="156EF03F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3638" w:type="dxa"/>
            <w:gridSpan w:val="2"/>
          </w:tcPr>
          <w:p w14:paraId="5C036705" w14:textId="77777777" w:rsidR="006C34D9" w:rsidRDefault="00CB504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(SUMMACTA)</w:t>
            </w:r>
            <w:r>
              <w:rPr>
                <w:b/>
                <w:sz w:val="24"/>
                <w:vertAlign w:val="superscript"/>
              </w:rPr>
              <w:t>a</w:t>
            </w:r>
          </w:p>
        </w:tc>
        <w:tc>
          <w:tcPr>
            <w:tcW w:w="3036" w:type="dxa"/>
            <w:gridSpan w:val="2"/>
          </w:tcPr>
          <w:p w14:paraId="09940542" w14:textId="77777777" w:rsidR="006C34D9" w:rsidRDefault="00CB504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(BREVACTA)</w:t>
            </w:r>
            <w:r>
              <w:rPr>
                <w:b/>
                <w:sz w:val="24"/>
                <w:vertAlign w:val="superscript"/>
              </w:rPr>
              <w:t>b</w:t>
            </w:r>
          </w:p>
        </w:tc>
      </w:tr>
      <w:tr w:rsidR="006C34D9" w14:paraId="21B8D530" w14:textId="77777777">
        <w:trPr>
          <w:trHeight w:val="919"/>
        </w:trPr>
        <w:tc>
          <w:tcPr>
            <w:tcW w:w="2184" w:type="dxa"/>
            <w:vMerge/>
            <w:tcBorders>
              <w:top w:val="nil"/>
            </w:tcBorders>
          </w:tcPr>
          <w:p w14:paraId="56078BE8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 w14:paraId="7A8F1480" w14:textId="77777777" w:rsidR="006C34D9" w:rsidRDefault="00CB5041">
            <w:pPr>
              <w:pStyle w:val="TableParagraph"/>
              <w:ind w:left="110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mg</w:t>
            </w:r>
          </w:p>
          <w:p w14:paraId="5E126ECE" w14:textId="77777777" w:rsidR="006C34D9" w:rsidRDefault="00CB5041">
            <w:pPr>
              <w:pStyle w:val="TableParagraph"/>
              <w:ind w:left="110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every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</w:p>
          <w:p w14:paraId="0431BBDE" w14:textId="77777777" w:rsidR="006C34D9" w:rsidRDefault="00CB5041">
            <w:pPr>
              <w:pStyle w:val="TableParagraph"/>
              <w:spacing w:before="1"/>
              <w:ind w:left="110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DMARD(s)</w:t>
            </w:r>
          </w:p>
        </w:tc>
        <w:tc>
          <w:tcPr>
            <w:tcW w:w="1984" w:type="dxa"/>
          </w:tcPr>
          <w:p w14:paraId="0300DDC3" w14:textId="77777777" w:rsidR="006C34D9" w:rsidRDefault="00CB5041">
            <w:pPr>
              <w:pStyle w:val="TableParagraph"/>
              <w:ind w:left="276"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 IV 8 mg/kg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every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weeks</w:t>
            </w:r>
          </w:p>
          <w:p w14:paraId="53483876" w14:textId="77777777" w:rsidR="006C34D9" w:rsidRDefault="00CB5041">
            <w:pPr>
              <w:pStyle w:val="TableParagraph"/>
              <w:spacing w:before="1"/>
              <w:ind w:left="274"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DMARD(s)</w:t>
            </w:r>
          </w:p>
        </w:tc>
        <w:tc>
          <w:tcPr>
            <w:tcW w:w="1518" w:type="dxa"/>
          </w:tcPr>
          <w:p w14:paraId="14AAF0AC" w14:textId="77777777" w:rsidR="006C34D9" w:rsidRDefault="00CB5041">
            <w:pPr>
              <w:pStyle w:val="TableParagraph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162</w:t>
            </w:r>
          </w:p>
          <w:p w14:paraId="7CDFACE1" w14:textId="77777777" w:rsidR="006C34D9" w:rsidRDefault="00CB5041">
            <w:pPr>
              <w:pStyle w:val="TableParagraph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every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</w:p>
          <w:p w14:paraId="2BF82EFF" w14:textId="77777777" w:rsidR="006C34D9" w:rsidRDefault="00CB5041">
            <w:pPr>
              <w:pStyle w:val="TableParagraph"/>
              <w:spacing w:line="230" w:lineRule="exact"/>
              <w:ind w:left="269" w:right="258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 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DMARD(s)</w:t>
            </w:r>
          </w:p>
        </w:tc>
        <w:tc>
          <w:tcPr>
            <w:tcW w:w="1518" w:type="dxa"/>
          </w:tcPr>
          <w:p w14:paraId="6B2FBED5" w14:textId="77777777" w:rsidR="006C34D9" w:rsidRDefault="00CB5041">
            <w:pPr>
              <w:pStyle w:val="TableParagraph"/>
              <w:ind w:left="269" w:right="241" w:firstLine="73"/>
              <w:rPr>
                <w:b/>
                <w:sz w:val="20"/>
              </w:rPr>
            </w:pPr>
            <w:r>
              <w:rPr>
                <w:b/>
                <w:sz w:val="20"/>
              </w:rPr>
              <w:t>Placebo 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DMARD(s)</w:t>
            </w:r>
          </w:p>
        </w:tc>
      </w:tr>
      <w:tr w:rsidR="006C34D9" w14:paraId="41DC3542" w14:textId="77777777">
        <w:trPr>
          <w:trHeight w:val="230"/>
        </w:trPr>
        <w:tc>
          <w:tcPr>
            <w:tcW w:w="2184" w:type="dxa"/>
            <w:vMerge/>
            <w:tcBorders>
              <w:top w:val="nil"/>
            </w:tcBorders>
          </w:tcPr>
          <w:p w14:paraId="4AD743D1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 w14:paraId="3F51774D" w14:textId="77777777" w:rsidR="006C34D9" w:rsidRDefault="00CB5041">
            <w:pPr>
              <w:pStyle w:val="TableParagraph"/>
              <w:spacing w:line="210" w:lineRule="exact"/>
              <w:ind w:left="110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n=558</w:t>
            </w:r>
          </w:p>
        </w:tc>
        <w:tc>
          <w:tcPr>
            <w:tcW w:w="1984" w:type="dxa"/>
          </w:tcPr>
          <w:p w14:paraId="335A9EAA" w14:textId="77777777" w:rsidR="006C34D9" w:rsidRDefault="00CB5041">
            <w:pPr>
              <w:pStyle w:val="TableParagraph"/>
              <w:spacing w:line="210" w:lineRule="exact"/>
              <w:ind w:left="273"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n=537</w:t>
            </w:r>
          </w:p>
        </w:tc>
        <w:tc>
          <w:tcPr>
            <w:tcW w:w="1518" w:type="dxa"/>
          </w:tcPr>
          <w:p w14:paraId="3685A37E" w14:textId="77777777" w:rsidR="006C34D9" w:rsidRDefault="00CB5041">
            <w:pPr>
              <w:pStyle w:val="TableParagraph"/>
              <w:spacing w:line="210" w:lineRule="exact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n=437</w:t>
            </w:r>
          </w:p>
        </w:tc>
        <w:tc>
          <w:tcPr>
            <w:tcW w:w="1518" w:type="dxa"/>
          </w:tcPr>
          <w:p w14:paraId="3FDDFA68" w14:textId="77777777" w:rsidR="006C34D9" w:rsidRDefault="00CB5041">
            <w:pPr>
              <w:pStyle w:val="TableParagraph"/>
              <w:spacing w:line="210" w:lineRule="exact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n=219</w:t>
            </w:r>
          </w:p>
        </w:tc>
      </w:tr>
      <w:tr w:rsidR="006C34D9" w14:paraId="257535C2" w14:textId="77777777">
        <w:trPr>
          <w:trHeight w:val="276"/>
        </w:trPr>
        <w:tc>
          <w:tcPr>
            <w:tcW w:w="8858" w:type="dxa"/>
            <w:gridSpan w:val="5"/>
          </w:tcPr>
          <w:p w14:paraId="37F3F7C6" w14:textId="77777777" w:rsidR="006C34D9" w:rsidRDefault="00CB5041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ACR20</w:t>
            </w:r>
          </w:p>
        </w:tc>
      </w:tr>
      <w:tr w:rsidR="006C34D9" w14:paraId="0E5514C8" w14:textId="77777777">
        <w:trPr>
          <w:trHeight w:val="229"/>
        </w:trPr>
        <w:tc>
          <w:tcPr>
            <w:tcW w:w="2184" w:type="dxa"/>
          </w:tcPr>
          <w:p w14:paraId="1C9C0A40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654" w:type="dxa"/>
          </w:tcPr>
          <w:p w14:paraId="29420AA0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69.4%</w:t>
            </w:r>
          </w:p>
        </w:tc>
        <w:tc>
          <w:tcPr>
            <w:tcW w:w="1984" w:type="dxa"/>
          </w:tcPr>
          <w:p w14:paraId="659E59A4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73.4%</w:t>
            </w:r>
          </w:p>
        </w:tc>
        <w:tc>
          <w:tcPr>
            <w:tcW w:w="1518" w:type="dxa"/>
          </w:tcPr>
          <w:p w14:paraId="06E1C74B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60.9%</w:t>
            </w:r>
          </w:p>
        </w:tc>
        <w:tc>
          <w:tcPr>
            <w:tcW w:w="1518" w:type="dxa"/>
          </w:tcPr>
          <w:p w14:paraId="1EA72C24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31.5%</w:t>
            </w:r>
          </w:p>
        </w:tc>
      </w:tr>
      <w:tr w:rsidR="006C34D9" w14:paraId="4BB1BEBC" w14:textId="77777777">
        <w:trPr>
          <w:trHeight w:val="459"/>
        </w:trPr>
        <w:tc>
          <w:tcPr>
            <w:tcW w:w="2184" w:type="dxa"/>
          </w:tcPr>
          <w:p w14:paraId="710AFCDE" w14:textId="77777777" w:rsidR="006C34D9" w:rsidRDefault="00CB5041">
            <w:pPr>
              <w:pStyle w:val="TableParagraph"/>
              <w:spacing w:line="230" w:lineRule="exact"/>
              <w:ind w:right="409"/>
              <w:rPr>
                <w:sz w:val="20"/>
              </w:rPr>
            </w:pPr>
            <w:r>
              <w:rPr>
                <w:sz w:val="20"/>
              </w:rPr>
              <w:t>Weighted difference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(95%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CI)</w:t>
            </w:r>
          </w:p>
        </w:tc>
        <w:tc>
          <w:tcPr>
            <w:tcW w:w="3638" w:type="dxa"/>
            <w:gridSpan w:val="2"/>
          </w:tcPr>
          <w:p w14:paraId="4D93C40A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-4.0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(-9.2,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1.2)</w:t>
            </w:r>
          </w:p>
        </w:tc>
        <w:tc>
          <w:tcPr>
            <w:tcW w:w="3036" w:type="dxa"/>
            <w:gridSpan w:val="2"/>
          </w:tcPr>
          <w:p w14:paraId="38D482FC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(22.0,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37.0)</w:t>
            </w:r>
          </w:p>
        </w:tc>
      </w:tr>
      <w:tr w:rsidR="006C34D9" w14:paraId="79D9AA93" w14:textId="77777777">
        <w:trPr>
          <w:trHeight w:val="275"/>
        </w:trPr>
        <w:tc>
          <w:tcPr>
            <w:tcW w:w="8858" w:type="dxa"/>
            <w:gridSpan w:val="5"/>
          </w:tcPr>
          <w:p w14:paraId="7CEF0D2E" w14:textId="77777777" w:rsidR="006C34D9" w:rsidRDefault="00CB504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ACR50</w:t>
            </w:r>
          </w:p>
        </w:tc>
      </w:tr>
      <w:tr w:rsidR="006C34D9" w14:paraId="2C474592" w14:textId="77777777">
        <w:trPr>
          <w:trHeight w:val="230"/>
        </w:trPr>
        <w:tc>
          <w:tcPr>
            <w:tcW w:w="2184" w:type="dxa"/>
          </w:tcPr>
          <w:p w14:paraId="2E71B5D3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654" w:type="dxa"/>
          </w:tcPr>
          <w:p w14:paraId="5B593332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47.0%</w:t>
            </w:r>
          </w:p>
        </w:tc>
        <w:tc>
          <w:tcPr>
            <w:tcW w:w="1984" w:type="dxa"/>
          </w:tcPr>
          <w:p w14:paraId="080DF350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48.6%</w:t>
            </w:r>
          </w:p>
        </w:tc>
        <w:tc>
          <w:tcPr>
            <w:tcW w:w="1518" w:type="dxa"/>
          </w:tcPr>
          <w:p w14:paraId="1A3BF7FE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39.8%</w:t>
            </w:r>
          </w:p>
        </w:tc>
        <w:tc>
          <w:tcPr>
            <w:tcW w:w="1518" w:type="dxa"/>
          </w:tcPr>
          <w:p w14:paraId="09A57A08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12.3%</w:t>
            </w:r>
          </w:p>
        </w:tc>
      </w:tr>
      <w:tr w:rsidR="006C34D9" w14:paraId="69FCD5A6" w14:textId="77777777">
        <w:trPr>
          <w:trHeight w:val="459"/>
        </w:trPr>
        <w:tc>
          <w:tcPr>
            <w:tcW w:w="2184" w:type="dxa"/>
          </w:tcPr>
          <w:p w14:paraId="4544C283" w14:textId="77777777" w:rsidR="006C34D9" w:rsidRDefault="00CB5041">
            <w:pPr>
              <w:pStyle w:val="TableParagraph"/>
              <w:spacing w:line="230" w:lineRule="exact"/>
              <w:ind w:right="409"/>
              <w:rPr>
                <w:sz w:val="20"/>
              </w:rPr>
            </w:pPr>
            <w:r>
              <w:rPr>
                <w:sz w:val="20"/>
              </w:rPr>
              <w:t>Weighted difference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(95%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CI)</w:t>
            </w:r>
          </w:p>
        </w:tc>
        <w:tc>
          <w:tcPr>
            <w:tcW w:w="3638" w:type="dxa"/>
            <w:gridSpan w:val="2"/>
          </w:tcPr>
          <w:p w14:paraId="79E6F893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-1.8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(-7.5,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4.0)</w:t>
            </w:r>
          </w:p>
        </w:tc>
        <w:tc>
          <w:tcPr>
            <w:tcW w:w="3036" w:type="dxa"/>
            <w:gridSpan w:val="2"/>
          </w:tcPr>
          <w:p w14:paraId="2CDB0934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(21.5,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34.4)</w:t>
            </w:r>
          </w:p>
        </w:tc>
      </w:tr>
      <w:tr w:rsidR="006C34D9" w14:paraId="73F4EDE9" w14:textId="77777777">
        <w:trPr>
          <w:trHeight w:val="275"/>
        </w:trPr>
        <w:tc>
          <w:tcPr>
            <w:tcW w:w="5822" w:type="dxa"/>
            <w:gridSpan w:val="3"/>
          </w:tcPr>
          <w:p w14:paraId="239D1F44" w14:textId="77777777" w:rsidR="006C34D9" w:rsidRDefault="00CB504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ACR70</w:t>
            </w:r>
          </w:p>
        </w:tc>
        <w:tc>
          <w:tcPr>
            <w:tcW w:w="3036" w:type="dxa"/>
            <w:gridSpan w:val="2"/>
          </w:tcPr>
          <w:p w14:paraId="5DC54500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</w:tr>
      <w:tr w:rsidR="006C34D9" w14:paraId="103344F2" w14:textId="77777777">
        <w:trPr>
          <w:trHeight w:val="230"/>
        </w:trPr>
        <w:tc>
          <w:tcPr>
            <w:tcW w:w="2184" w:type="dxa"/>
          </w:tcPr>
          <w:p w14:paraId="1657E67A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654" w:type="dxa"/>
          </w:tcPr>
          <w:p w14:paraId="4531A046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24.0%</w:t>
            </w:r>
          </w:p>
        </w:tc>
        <w:tc>
          <w:tcPr>
            <w:tcW w:w="1984" w:type="dxa"/>
          </w:tcPr>
          <w:p w14:paraId="1BDE81FC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27.9%</w:t>
            </w:r>
          </w:p>
        </w:tc>
        <w:tc>
          <w:tcPr>
            <w:tcW w:w="1518" w:type="dxa"/>
          </w:tcPr>
          <w:p w14:paraId="422D713F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19.7%</w:t>
            </w:r>
          </w:p>
        </w:tc>
        <w:tc>
          <w:tcPr>
            <w:tcW w:w="1518" w:type="dxa"/>
          </w:tcPr>
          <w:p w14:paraId="645E496A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5.0%</w:t>
            </w:r>
          </w:p>
        </w:tc>
      </w:tr>
      <w:tr w:rsidR="006C34D9" w14:paraId="673FD911" w14:textId="77777777">
        <w:trPr>
          <w:trHeight w:val="459"/>
        </w:trPr>
        <w:tc>
          <w:tcPr>
            <w:tcW w:w="2184" w:type="dxa"/>
          </w:tcPr>
          <w:p w14:paraId="19E8BECD" w14:textId="77777777" w:rsidR="006C34D9" w:rsidRDefault="00CB5041">
            <w:pPr>
              <w:pStyle w:val="TableParagraph"/>
              <w:spacing w:line="230" w:lineRule="exact"/>
              <w:ind w:right="409"/>
              <w:rPr>
                <w:sz w:val="20"/>
              </w:rPr>
            </w:pPr>
            <w:r>
              <w:rPr>
                <w:sz w:val="20"/>
              </w:rPr>
              <w:t>Weighted difference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(95%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CI)</w:t>
            </w:r>
          </w:p>
        </w:tc>
        <w:tc>
          <w:tcPr>
            <w:tcW w:w="3638" w:type="dxa"/>
            <w:gridSpan w:val="2"/>
          </w:tcPr>
          <w:p w14:paraId="10EC6B82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-3.8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(-9.0,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1.3)</w:t>
            </w:r>
          </w:p>
        </w:tc>
        <w:tc>
          <w:tcPr>
            <w:tcW w:w="3036" w:type="dxa"/>
            <w:gridSpan w:val="2"/>
          </w:tcPr>
          <w:p w14:paraId="58E51412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(9.8,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19.9)</w:t>
            </w:r>
          </w:p>
        </w:tc>
      </w:tr>
      <w:tr w:rsidR="006C34D9" w14:paraId="590DC15A" w14:textId="77777777">
        <w:trPr>
          <w:trHeight w:val="275"/>
        </w:trPr>
        <w:tc>
          <w:tcPr>
            <w:tcW w:w="8858" w:type="dxa"/>
            <w:gridSpan w:val="5"/>
          </w:tcPr>
          <w:p w14:paraId="17775BE9" w14:textId="77777777" w:rsidR="006C34D9" w:rsidRDefault="00CB504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DAS28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[adjusted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mean]</w:t>
            </w:r>
          </w:p>
        </w:tc>
      </w:tr>
      <w:tr w:rsidR="006C34D9" w14:paraId="61628438" w14:textId="77777777">
        <w:trPr>
          <w:trHeight w:val="229"/>
        </w:trPr>
        <w:tc>
          <w:tcPr>
            <w:tcW w:w="2184" w:type="dxa"/>
          </w:tcPr>
          <w:p w14:paraId="7FBF6D03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654" w:type="dxa"/>
          </w:tcPr>
          <w:p w14:paraId="6DC60BB1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-3.5</w:t>
            </w:r>
          </w:p>
        </w:tc>
        <w:tc>
          <w:tcPr>
            <w:tcW w:w="1984" w:type="dxa"/>
          </w:tcPr>
          <w:p w14:paraId="61BB6C07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-3.5</w:t>
            </w:r>
          </w:p>
        </w:tc>
        <w:tc>
          <w:tcPr>
            <w:tcW w:w="1518" w:type="dxa"/>
          </w:tcPr>
          <w:p w14:paraId="6E2C2394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-3.1</w:t>
            </w:r>
          </w:p>
        </w:tc>
        <w:tc>
          <w:tcPr>
            <w:tcW w:w="1518" w:type="dxa"/>
          </w:tcPr>
          <w:p w14:paraId="2E5DD935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-1.7</w:t>
            </w:r>
          </w:p>
        </w:tc>
      </w:tr>
      <w:tr w:rsidR="006C34D9" w14:paraId="26F29208" w14:textId="77777777">
        <w:trPr>
          <w:trHeight w:val="459"/>
        </w:trPr>
        <w:tc>
          <w:tcPr>
            <w:tcW w:w="2184" w:type="dxa"/>
          </w:tcPr>
          <w:p w14:paraId="1B773A81" w14:textId="77777777" w:rsidR="006C34D9" w:rsidRDefault="00CB504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Adjusted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mean</w:t>
            </w:r>
          </w:p>
          <w:p w14:paraId="480C1864" w14:textId="77777777" w:rsidR="006C34D9" w:rsidRDefault="00CB504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difference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(95%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CI)</w:t>
            </w:r>
          </w:p>
        </w:tc>
        <w:tc>
          <w:tcPr>
            <w:tcW w:w="3638" w:type="dxa"/>
            <w:gridSpan w:val="2"/>
          </w:tcPr>
          <w:p w14:paraId="131090A5" w14:textId="77777777" w:rsidR="006C34D9" w:rsidRDefault="00CB504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(-0.2,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0.1)</w:t>
            </w:r>
          </w:p>
        </w:tc>
        <w:tc>
          <w:tcPr>
            <w:tcW w:w="3036" w:type="dxa"/>
            <w:gridSpan w:val="2"/>
          </w:tcPr>
          <w:p w14:paraId="7D89B506" w14:textId="77777777" w:rsidR="006C34D9" w:rsidRDefault="00CB504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-1.4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(-1.7,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-1.1)</w:t>
            </w:r>
          </w:p>
        </w:tc>
      </w:tr>
      <w:tr w:rsidR="006C34D9" w14:paraId="17AD2FB9" w14:textId="77777777">
        <w:trPr>
          <w:trHeight w:val="275"/>
        </w:trPr>
        <w:tc>
          <w:tcPr>
            <w:tcW w:w="8858" w:type="dxa"/>
            <w:gridSpan w:val="5"/>
          </w:tcPr>
          <w:p w14:paraId="42D8F148" w14:textId="77777777" w:rsidR="006C34D9" w:rsidRDefault="00CB504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DAS28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&lt;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6C34D9" w14:paraId="315E0ABD" w14:textId="77777777">
        <w:trPr>
          <w:trHeight w:val="230"/>
        </w:trPr>
        <w:tc>
          <w:tcPr>
            <w:tcW w:w="2184" w:type="dxa"/>
          </w:tcPr>
          <w:p w14:paraId="6A0C9A81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654" w:type="dxa"/>
          </w:tcPr>
          <w:p w14:paraId="00903FF4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38.4%</w:t>
            </w:r>
          </w:p>
        </w:tc>
        <w:tc>
          <w:tcPr>
            <w:tcW w:w="1984" w:type="dxa"/>
          </w:tcPr>
          <w:p w14:paraId="38F21522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36.9%</w:t>
            </w:r>
          </w:p>
        </w:tc>
        <w:tc>
          <w:tcPr>
            <w:tcW w:w="1518" w:type="dxa"/>
          </w:tcPr>
          <w:p w14:paraId="3A219A9C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32.0%</w:t>
            </w:r>
          </w:p>
        </w:tc>
        <w:tc>
          <w:tcPr>
            <w:tcW w:w="1518" w:type="dxa"/>
          </w:tcPr>
          <w:p w14:paraId="36352F22" w14:textId="77777777" w:rsidR="006C34D9" w:rsidRDefault="00CB50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4.0%</w:t>
            </w:r>
          </w:p>
        </w:tc>
      </w:tr>
      <w:tr w:rsidR="006C34D9" w14:paraId="034E63E2" w14:textId="77777777">
        <w:trPr>
          <w:trHeight w:val="460"/>
        </w:trPr>
        <w:tc>
          <w:tcPr>
            <w:tcW w:w="2184" w:type="dxa"/>
          </w:tcPr>
          <w:p w14:paraId="7FCEB0E6" w14:textId="77777777" w:rsidR="006C34D9" w:rsidRDefault="00CB5041">
            <w:pPr>
              <w:pStyle w:val="TableParagraph"/>
              <w:spacing w:line="230" w:lineRule="exact"/>
              <w:ind w:right="409"/>
              <w:rPr>
                <w:sz w:val="20"/>
              </w:rPr>
            </w:pPr>
            <w:r>
              <w:rPr>
                <w:sz w:val="20"/>
              </w:rPr>
              <w:t>Weighted difference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(95%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CI)</w:t>
            </w:r>
          </w:p>
        </w:tc>
        <w:tc>
          <w:tcPr>
            <w:tcW w:w="3638" w:type="dxa"/>
            <w:gridSpan w:val="2"/>
          </w:tcPr>
          <w:p w14:paraId="37656942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0.9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(-5.0,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6.8)</w:t>
            </w:r>
          </w:p>
        </w:tc>
        <w:tc>
          <w:tcPr>
            <w:tcW w:w="3036" w:type="dxa"/>
            <w:gridSpan w:val="2"/>
          </w:tcPr>
          <w:p w14:paraId="4883CCA3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28.6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(22.0,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35.2)</w:t>
            </w:r>
          </w:p>
        </w:tc>
      </w:tr>
    </w:tbl>
    <w:p w14:paraId="715A8055" w14:textId="77777777" w:rsidR="006C34D9" w:rsidRDefault="00CB5041">
      <w:pPr>
        <w:spacing w:before="6"/>
        <w:ind w:left="660"/>
        <w:jc w:val="both"/>
        <w:rPr>
          <w:sz w:val="20"/>
        </w:rPr>
      </w:pP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Actemra</w:t>
      </w:r>
    </w:p>
    <w:p w14:paraId="37FA35AB" w14:textId="77777777" w:rsidR="006C34D9" w:rsidRDefault="00CB5041">
      <w:pPr>
        <w:spacing w:line="230" w:lineRule="exact"/>
        <w:ind w:left="660"/>
        <w:rPr>
          <w:sz w:val="20"/>
        </w:rPr>
      </w:pPr>
      <w:r>
        <w:rPr>
          <w:sz w:val="20"/>
          <w:vertAlign w:val="superscript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protocol</w:t>
      </w:r>
      <w:r>
        <w:rPr>
          <w:spacing w:val="-3"/>
          <w:sz w:val="20"/>
        </w:rPr>
        <w:t xml:space="preserve"> </w:t>
      </w:r>
      <w:r>
        <w:rPr>
          <w:sz w:val="20"/>
        </w:rPr>
        <w:t>population</w:t>
      </w:r>
    </w:p>
    <w:p w14:paraId="14E9A42F" w14:textId="77777777" w:rsidR="006C34D9" w:rsidRDefault="00CB5041">
      <w:pPr>
        <w:spacing w:line="230" w:lineRule="exact"/>
        <w:ind w:left="660"/>
        <w:rPr>
          <w:sz w:val="20"/>
        </w:rPr>
      </w:pPr>
      <w:r>
        <w:rPr>
          <w:sz w:val="20"/>
          <w:vertAlign w:val="superscript"/>
        </w:rPr>
        <w:t>b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intent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treat</w:t>
      </w:r>
      <w:r>
        <w:rPr>
          <w:spacing w:val="-3"/>
          <w:sz w:val="20"/>
        </w:rPr>
        <w:t xml:space="preserve"> </w:t>
      </w:r>
      <w:r>
        <w:rPr>
          <w:sz w:val="20"/>
        </w:rPr>
        <w:t>population</w:t>
      </w:r>
    </w:p>
    <w:p w14:paraId="624C685A" w14:textId="77777777" w:rsidR="006C34D9" w:rsidRDefault="006C34D9">
      <w:pPr>
        <w:pStyle w:val="BodyText"/>
        <w:spacing w:before="11"/>
        <w:ind w:left="0"/>
        <w:rPr>
          <w:sz w:val="20"/>
        </w:rPr>
      </w:pPr>
    </w:p>
    <w:p w14:paraId="284C3743" w14:textId="77777777" w:rsidR="006C34D9" w:rsidRDefault="00CB5041">
      <w:pPr>
        <w:pStyle w:val="BodyText"/>
        <w:ind w:right="656"/>
        <w:jc w:val="both"/>
      </w:pPr>
      <w:r>
        <w:t>In</w:t>
      </w:r>
      <w:r>
        <w:rPr>
          <w:spacing w:val="1"/>
        </w:rPr>
        <w:t xml:space="preserve"> </w:t>
      </w:r>
      <w:r>
        <w:t>SUMMACTA,</w:t>
      </w:r>
      <w:r>
        <w:rPr>
          <w:spacing w:val="1"/>
        </w:rPr>
        <w:t xml:space="preserve"> </w:t>
      </w:r>
      <w:r>
        <w:t>ACR</w:t>
      </w:r>
      <w:r>
        <w:rPr>
          <w:spacing w:val="1"/>
        </w:rPr>
        <w:t xml:space="preserve"> </w:t>
      </w:r>
      <w:r>
        <w:t>20,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comparable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subcutaneous and intravenous Actemra study arms across the three body weight categories (&lt;</w:t>
      </w:r>
      <w:r>
        <w:rPr>
          <w:spacing w:val="-57"/>
        </w:rPr>
        <w:t xml:space="preserve"> </w:t>
      </w:r>
      <w:r>
        <w:t>60</w:t>
      </w:r>
      <w:r>
        <w:rPr>
          <w:spacing w:val="-15"/>
        </w:rPr>
        <w:t xml:space="preserve"> </w:t>
      </w:r>
      <w:r>
        <w:t>kg,</w:t>
      </w:r>
      <w:r>
        <w:rPr>
          <w:spacing w:val="-15"/>
        </w:rPr>
        <w:t xml:space="preserve"> </w:t>
      </w:r>
      <w:r>
        <w:t>60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kg,</w:t>
      </w:r>
      <w:r>
        <w:rPr>
          <w:spacing w:val="-15"/>
        </w:rPr>
        <w:t xml:space="preserve"> </w:t>
      </w:r>
      <w:r>
        <w:t>≥</w:t>
      </w:r>
      <w:r>
        <w:rPr>
          <w:spacing w:val="-13"/>
        </w:rPr>
        <w:t xml:space="preserve"> </w:t>
      </w:r>
      <w:r>
        <w:t>100</w:t>
      </w:r>
      <w:r>
        <w:rPr>
          <w:spacing w:val="-15"/>
        </w:rPr>
        <w:t xml:space="preserve"> </w:t>
      </w:r>
      <w:r>
        <w:t>kg).</w:t>
      </w:r>
      <w:r>
        <w:rPr>
          <w:spacing w:val="-14"/>
        </w:rPr>
        <w:t xml:space="preserve"> </w:t>
      </w:r>
      <w:r>
        <w:t>ACR</w:t>
      </w:r>
      <w:r>
        <w:rPr>
          <w:spacing w:val="-15"/>
        </w:rPr>
        <w:t xml:space="preserve"> </w:t>
      </w:r>
      <w:r>
        <w:t>20,</w:t>
      </w:r>
      <w:r>
        <w:rPr>
          <w:spacing w:val="-14"/>
        </w:rPr>
        <w:t xml:space="preserve"> </w:t>
      </w:r>
      <w:r>
        <w:t>50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70</w:t>
      </w:r>
      <w:r>
        <w:rPr>
          <w:spacing w:val="-15"/>
        </w:rPr>
        <w:t xml:space="preserve"> </w:t>
      </w:r>
      <w:r>
        <w:t>response</w:t>
      </w:r>
      <w:r>
        <w:rPr>
          <w:spacing w:val="-13"/>
        </w:rPr>
        <w:t xml:space="preserve"> </w:t>
      </w:r>
      <w:r>
        <w:t>rates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heaviest</w:t>
      </w:r>
      <w:r>
        <w:rPr>
          <w:spacing w:val="-14"/>
        </w:rPr>
        <w:t xml:space="preserve"> </w:t>
      </w:r>
      <w:r>
        <w:t>weight</w:t>
      </w:r>
      <w:r>
        <w:rPr>
          <w:spacing w:val="-13"/>
        </w:rPr>
        <w:t xml:space="preserve"> </w:t>
      </w:r>
      <w:r>
        <w:t>category</w:t>
      </w:r>
      <w:r>
        <w:rPr>
          <w:spacing w:val="-58"/>
        </w:rPr>
        <w:t xml:space="preserve"> </w:t>
      </w:r>
      <w:r>
        <w:t>(≥ 100 kg) were lower compared to the other weight categories in the subcutaneous and</w:t>
      </w:r>
      <w:r>
        <w:rPr>
          <w:spacing w:val="1"/>
        </w:rPr>
        <w:t xml:space="preserve"> </w:t>
      </w:r>
      <w:r>
        <w:t>intravenous Actemra study arms. The same phenomenon of lower response rates in heavier</w:t>
      </w:r>
      <w:r>
        <w:rPr>
          <w:spacing w:val="1"/>
        </w:rPr>
        <w:t xml:space="preserve"> </w:t>
      </w:r>
      <w:r>
        <w:t>patients (≥ 100 kg) compared to other weight categories was seen in patients receiving the</w:t>
      </w:r>
      <w:r>
        <w:rPr>
          <w:spacing w:val="1"/>
        </w:rPr>
        <w:t xml:space="preserve"> </w:t>
      </w:r>
      <w:r>
        <w:t>subcutaneous</w:t>
      </w:r>
      <w:r>
        <w:rPr>
          <w:spacing w:val="-1"/>
        </w:rPr>
        <w:t xml:space="preserve"> </w:t>
      </w:r>
      <w:r>
        <w:t>Actemra every</w:t>
      </w:r>
      <w:r>
        <w:rPr>
          <w:spacing w:val="-1"/>
        </w:rPr>
        <w:t xml:space="preserve"> </w:t>
      </w:r>
      <w:r>
        <w:t>other week regimen in BREVACTA.</w:t>
      </w:r>
    </w:p>
    <w:p w14:paraId="0EF0D4C4" w14:textId="77777777" w:rsidR="006C34D9" w:rsidRDefault="00CB5041">
      <w:pPr>
        <w:spacing w:before="201" w:line="275" w:lineRule="exact"/>
        <w:ind w:left="659"/>
        <w:rPr>
          <w:i/>
          <w:sz w:val="24"/>
        </w:rPr>
      </w:pPr>
      <w:bookmarkStart w:id="98" w:name="Major_Clinical_Response"/>
      <w:bookmarkEnd w:id="98"/>
      <w:r>
        <w:rPr>
          <w:i/>
          <w:sz w:val="24"/>
        </w:rPr>
        <w:t>Major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Response</w:t>
      </w:r>
    </w:p>
    <w:p w14:paraId="481F2B5C" w14:textId="77777777" w:rsidR="006C34D9" w:rsidRDefault="00CB5041">
      <w:pPr>
        <w:pStyle w:val="BodyText"/>
        <w:ind w:left="659" w:right="660"/>
        <w:jc w:val="both"/>
      </w:pPr>
      <w:r>
        <w:t>After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years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intravenous</w:t>
      </w:r>
      <w:r>
        <w:rPr>
          <w:spacing w:val="-10"/>
        </w:rPr>
        <w:t xml:space="preserve"> </w:t>
      </w:r>
      <w:r>
        <w:t>Actemra</w:t>
      </w:r>
      <w:r>
        <w:rPr>
          <w:spacing w:val="-10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t>MTX,</w:t>
      </w:r>
      <w:r>
        <w:rPr>
          <w:spacing w:val="-9"/>
        </w:rPr>
        <w:t xml:space="preserve"> </w:t>
      </w:r>
      <w:r>
        <w:t>14%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achieved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major</w:t>
      </w:r>
      <w:r>
        <w:rPr>
          <w:spacing w:val="-58"/>
        </w:rPr>
        <w:t xml:space="preserve"> </w:t>
      </w:r>
      <w:bookmarkStart w:id="99" w:name="Radiographic_response"/>
      <w:bookmarkEnd w:id="99"/>
      <w:r>
        <w:t>clinical</w:t>
      </w:r>
      <w:r>
        <w:rPr>
          <w:spacing w:val="-2"/>
        </w:rPr>
        <w:t xml:space="preserve"> </w:t>
      </w:r>
      <w:r>
        <w:t>response (maintenance 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ACR70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for 24 weeks</w:t>
      </w:r>
      <w:r>
        <w:rPr>
          <w:spacing w:val="-1"/>
        </w:rPr>
        <w:t xml:space="preserve"> </w:t>
      </w:r>
      <w:r>
        <w:t>or more).</w:t>
      </w:r>
    </w:p>
    <w:p w14:paraId="6ECF3F30" w14:textId="77777777" w:rsidR="006C34D9" w:rsidRDefault="00CB5041">
      <w:pPr>
        <w:spacing w:before="200"/>
        <w:ind w:left="659"/>
        <w:jc w:val="both"/>
        <w:rPr>
          <w:i/>
          <w:sz w:val="24"/>
        </w:rPr>
      </w:pPr>
      <w:r>
        <w:rPr>
          <w:i/>
          <w:sz w:val="24"/>
        </w:rPr>
        <w:t>Radiographic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response</w:t>
      </w:r>
    </w:p>
    <w:p w14:paraId="1FB7FB51" w14:textId="77777777" w:rsidR="006C34D9" w:rsidRDefault="006C34D9">
      <w:pPr>
        <w:jc w:val="both"/>
        <w:rPr>
          <w:sz w:val="24"/>
        </w:r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70311509" w14:textId="77777777" w:rsidR="006C34D9" w:rsidRDefault="00CB5041">
      <w:pPr>
        <w:pStyle w:val="BodyText"/>
        <w:spacing w:before="79"/>
        <w:ind w:right="657"/>
        <w:jc w:val="both"/>
      </w:pPr>
      <w:r>
        <w:lastRenderedPageBreak/>
        <w:t>In study II (LITHE), in patients with an inadequate response to MTX, inhibition of structural</w:t>
      </w:r>
      <w:r>
        <w:rPr>
          <w:spacing w:val="1"/>
        </w:rPr>
        <w:t xml:space="preserve"> </w:t>
      </w:r>
      <w:r>
        <w:t>joint damage was assessed radiographically and expressed as change in modified Sharp score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components,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erosion</w:t>
      </w:r>
      <w:r>
        <w:rPr>
          <w:spacing w:val="-6"/>
        </w:rPr>
        <w:t xml:space="preserve"> </w:t>
      </w:r>
      <w:r>
        <w:t>score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narrowing</w:t>
      </w:r>
      <w:r>
        <w:rPr>
          <w:spacing w:val="-6"/>
        </w:rPr>
        <w:t xml:space="preserve"> </w:t>
      </w:r>
      <w:r>
        <w:t>(JSN)</w:t>
      </w:r>
      <w:r>
        <w:rPr>
          <w:spacing w:val="-6"/>
        </w:rPr>
        <w:t xml:space="preserve"> </w:t>
      </w:r>
      <w:r>
        <w:t>score.</w:t>
      </w:r>
      <w:r>
        <w:rPr>
          <w:spacing w:val="-6"/>
        </w:rPr>
        <w:t xml:space="preserve"> </w:t>
      </w:r>
      <w:r>
        <w:t>Missing</w:t>
      </w:r>
      <w:r>
        <w:rPr>
          <w:spacing w:val="-7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52</w:t>
      </w:r>
      <w:r>
        <w:rPr>
          <w:spacing w:val="-57"/>
        </w:rPr>
        <w:t xml:space="preserve"> </w:t>
      </w:r>
      <w:r>
        <w:t>radiographic data was imputed using linear extrapolation. This was performed for any patient</w:t>
      </w:r>
      <w:r>
        <w:rPr>
          <w:spacing w:val="1"/>
        </w:rPr>
        <w:t xml:space="preserve"> </w:t>
      </w:r>
      <w:r>
        <w:t>who had a baseline assessment and at least one post-baseline radiographic assessment. The</w:t>
      </w:r>
      <w:r>
        <w:rPr>
          <w:spacing w:val="1"/>
        </w:rPr>
        <w:t xml:space="preserve"> </w:t>
      </w:r>
      <w:r>
        <w:t>change from baseline was then calculated using the extrapolated score. Inhibition of structural</w:t>
      </w:r>
      <w:r>
        <w:rPr>
          <w:spacing w:val="-58"/>
        </w:rPr>
        <w:t xml:space="preserve"> </w:t>
      </w:r>
      <w:r>
        <w:t>joint damage was shown with significantly less radiographic progression in patients receiving</w:t>
      </w:r>
      <w:r>
        <w:rPr>
          <w:spacing w:val="-57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compared to control</w:t>
      </w:r>
      <w:r>
        <w:rPr>
          <w:spacing w:val="-1"/>
        </w:rPr>
        <w:t xml:space="preserve"> </w:t>
      </w:r>
      <w:r>
        <w:t>(Table 7).</w:t>
      </w:r>
    </w:p>
    <w:p w14:paraId="2600E678" w14:textId="77777777" w:rsidR="006C34D9" w:rsidRDefault="006C34D9">
      <w:pPr>
        <w:pStyle w:val="BodyText"/>
        <w:ind w:left="0"/>
      </w:pPr>
    </w:p>
    <w:p w14:paraId="0B96482A" w14:textId="77777777" w:rsidR="006C34D9" w:rsidRDefault="00CB5041">
      <w:pPr>
        <w:pStyle w:val="BodyText"/>
        <w:ind w:right="657"/>
        <w:jc w:val="both"/>
      </w:pPr>
      <w:r>
        <w:t>In the open-label extension of study II further improvement in the inhibition of progression of</w:t>
      </w:r>
      <w:r>
        <w:rPr>
          <w:spacing w:val="-57"/>
        </w:rPr>
        <w:t xml:space="preserve"> </w:t>
      </w:r>
      <w:r>
        <w:t>structural damage in Actemra + MTX-treated patients were observed in the second year of</w:t>
      </w:r>
      <w:r>
        <w:rPr>
          <w:spacing w:val="1"/>
        </w:rPr>
        <w:t xml:space="preserve"> </w:t>
      </w:r>
      <w:r>
        <w:t>treatment. Study II did not investigate the effect of Actemra monotherapy on radiographic</w:t>
      </w:r>
      <w:r>
        <w:rPr>
          <w:spacing w:val="1"/>
        </w:rPr>
        <w:t xml:space="preserve"> </w:t>
      </w:r>
      <w:r>
        <w:t>endpoints.</w:t>
      </w:r>
    </w:p>
    <w:p w14:paraId="1F5B1A13" w14:textId="77777777" w:rsidR="006C34D9" w:rsidRDefault="006C34D9">
      <w:pPr>
        <w:pStyle w:val="BodyText"/>
        <w:spacing w:before="3"/>
        <w:ind w:left="0"/>
      </w:pPr>
    </w:p>
    <w:p w14:paraId="050401D4" w14:textId="77777777" w:rsidR="006C34D9" w:rsidRDefault="00CB5041">
      <w:pPr>
        <w:pStyle w:val="Heading2"/>
      </w:pPr>
      <w:r>
        <w:t>Table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Radiographic</w:t>
      </w:r>
      <w:r>
        <w:rPr>
          <w:spacing w:val="-2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104</w:t>
      </w:r>
      <w:r>
        <w:rPr>
          <w:spacing w:val="-1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(LITHE)</w:t>
      </w:r>
    </w:p>
    <w:p w14:paraId="05C6DAF7" w14:textId="77777777" w:rsidR="006C34D9" w:rsidRDefault="006C34D9">
      <w:pPr>
        <w:pStyle w:val="BodyText"/>
        <w:spacing w:before="4" w:after="1"/>
        <w:ind w:left="0"/>
        <w:rPr>
          <w:b/>
          <w:sz w:val="10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7"/>
        <w:gridCol w:w="1659"/>
        <w:gridCol w:w="3472"/>
      </w:tblGrid>
      <w:tr w:rsidR="006C34D9" w14:paraId="0438FE8A" w14:textId="77777777">
        <w:trPr>
          <w:trHeight w:val="1011"/>
        </w:trPr>
        <w:tc>
          <w:tcPr>
            <w:tcW w:w="3887" w:type="dxa"/>
          </w:tcPr>
          <w:p w14:paraId="38CAEB01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1659" w:type="dxa"/>
          </w:tcPr>
          <w:p w14:paraId="5BA664D2" w14:textId="77777777" w:rsidR="006C34D9" w:rsidRDefault="00CB5041">
            <w:pPr>
              <w:pStyle w:val="TableParagraph"/>
              <w:spacing w:line="253" w:lineRule="exact"/>
              <w:ind w:left="172" w:right="167"/>
              <w:jc w:val="center"/>
              <w:rPr>
                <w:b/>
              </w:rPr>
            </w:pPr>
            <w:r>
              <w:rPr>
                <w:b/>
              </w:rPr>
              <w:t>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mg/kg</w:t>
            </w:r>
          </w:p>
          <w:p w14:paraId="1976B5DE" w14:textId="77777777" w:rsidR="006C34D9" w:rsidRDefault="00CB5041">
            <w:pPr>
              <w:pStyle w:val="TableParagraph"/>
              <w:ind w:left="172" w:right="167"/>
              <w:jc w:val="center"/>
              <w:rPr>
                <w:b/>
              </w:rPr>
            </w:pPr>
            <w:r>
              <w:rPr>
                <w:b/>
              </w:rPr>
              <w:t>+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MTX</w:t>
            </w:r>
          </w:p>
          <w:p w14:paraId="7A2BB680" w14:textId="77777777" w:rsidR="006C34D9" w:rsidRDefault="006C34D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A0536D2" w14:textId="77777777" w:rsidR="006C34D9" w:rsidRDefault="00CB5041">
            <w:pPr>
              <w:pStyle w:val="TableParagraph"/>
              <w:spacing w:before="1" w:line="233" w:lineRule="exact"/>
              <w:ind w:left="172" w:right="166"/>
              <w:jc w:val="center"/>
              <w:rPr>
                <w:b/>
              </w:rPr>
            </w:pPr>
            <w:r>
              <w:rPr>
                <w:b/>
              </w:rPr>
              <w:t>n=398</w:t>
            </w:r>
          </w:p>
        </w:tc>
        <w:tc>
          <w:tcPr>
            <w:tcW w:w="3472" w:type="dxa"/>
          </w:tcPr>
          <w:p w14:paraId="35150CE7" w14:textId="77777777" w:rsidR="006C34D9" w:rsidRDefault="00CB5041">
            <w:pPr>
              <w:pStyle w:val="TableParagraph"/>
              <w:spacing w:line="253" w:lineRule="exact"/>
              <w:ind w:left="213" w:right="207"/>
              <w:jc w:val="center"/>
              <w:rPr>
                <w:b/>
              </w:rPr>
            </w:pPr>
            <w:r>
              <w:rPr>
                <w:b/>
              </w:rPr>
              <w:t>Placebo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MTX</w:t>
            </w:r>
          </w:p>
          <w:p w14:paraId="039CC214" w14:textId="77777777" w:rsidR="006C34D9" w:rsidRDefault="00CB5041">
            <w:pPr>
              <w:pStyle w:val="TableParagraph"/>
              <w:ind w:left="215" w:right="207"/>
              <w:jc w:val="center"/>
              <w:rPr>
                <w:b/>
              </w:rPr>
            </w:pPr>
            <w:r>
              <w:rPr>
                <w:b/>
              </w:rPr>
              <w:t>(+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week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16)</w:t>
            </w:r>
          </w:p>
          <w:p w14:paraId="2FCE29AC" w14:textId="77777777" w:rsidR="006C34D9" w:rsidRDefault="006C34D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3216C00" w14:textId="77777777" w:rsidR="006C34D9" w:rsidRDefault="00CB5041">
            <w:pPr>
              <w:pStyle w:val="TableParagraph"/>
              <w:spacing w:before="1" w:line="233" w:lineRule="exact"/>
              <w:ind w:left="215" w:right="207"/>
              <w:jc w:val="center"/>
              <w:rPr>
                <w:b/>
              </w:rPr>
            </w:pPr>
            <w:r>
              <w:rPr>
                <w:b/>
              </w:rPr>
              <w:t>n=393</w:t>
            </w:r>
          </w:p>
        </w:tc>
      </w:tr>
      <w:tr w:rsidR="006C34D9" w14:paraId="4BB30078" w14:textId="77777777">
        <w:trPr>
          <w:trHeight w:val="276"/>
        </w:trPr>
        <w:tc>
          <w:tcPr>
            <w:tcW w:w="3887" w:type="dxa"/>
          </w:tcPr>
          <w:p w14:paraId="1989B300" w14:textId="77777777" w:rsidR="006C34D9" w:rsidRDefault="00CB50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Changes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</w:p>
        </w:tc>
        <w:tc>
          <w:tcPr>
            <w:tcW w:w="1659" w:type="dxa"/>
          </w:tcPr>
          <w:p w14:paraId="52A4C9AF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72" w:type="dxa"/>
          </w:tcPr>
          <w:p w14:paraId="16DA31BE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</w:tr>
      <w:tr w:rsidR="006C34D9" w14:paraId="4842BD84" w14:textId="77777777">
        <w:trPr>
          <w:trHeight w:val="275"/>
        </w:trPr>
        <w:tc>
          <w:tcPr>
            <w:tcW w:w="3887" w:type="dxa"/>
          </w:tcPr>
          <w:p w14:paraId="2D25C925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659" w:type="dxa"/>
          </w:tcPr>
          <w:p w14:paraId="1DA26A35" w14:textId="77777777" w:rsidR="006C34D9" w:rsidRDefault="00CB5041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3472" w:type="dxa"/>
          </w:tcPr>
          <w:p w14:paraId="7AD13DF4" w14:textId="77777777" w:rsidR="006C34D9" w:rsidRDefault="00CB5041">
            <w:pPr>
              <w:pStyle w:val="TableParagraph"/>
              <w:spacing w:line="256" w:lineRule="exact"/>
              <w:ind w:left="1554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</w:tr>
      <w:tr w:rsidR="006C34D9" w14:paraId="235D2920" w14:textId="77777777">
        <w:trPr>
          <w:trHeight w:val="275"/>
        </w:trPr>
        <w:tc>
          <w:tcPr>
            <w:tcW w:w="3887" w:type="dxa"/>
          </w:tcPr>
          <w:p w14:paraId="436D3ECE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Sharp-</w:t>
            </w:r>
            <w:proofErr w:type="spellStart"/>
            <w:r>
              <w:rPr>
                <w:sz w:val="24"/>
              </w:rPr>
              <w:t>Genant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</w:p>
        </w:tc>
        <w:tc>
          <w:tcPr>
            <w:tcW w:w="1659" w:type="dxa"/>
          </w:tcPr>
          <w:p w14:paraId="510F341C" w14:textId="77777777" w:rsidR="006C34D9" w:rsidRDefault="00CB5041">
            <w:pPr>
              <w:pStyle w:val="TableParagraph"/>
              <w:spacing w:line="256" w:lineRule="exact"/>
              <w:ind w:left="617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3472" w:type="dxa"/>
          </w:tcPr>
          <w:p w14:paraId="4F4EF6C1" w14:textId="77777777" w:rsidR="006C34D9" w:rsidRDefault="00CB5041">
            <w:pPr>
              <w:pStyle w:val="TableParagraph"/>
              <w:spacing w:line="256" w:lineRule="exact"/>
              <w:ind w:left="1524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</w:tr>
      <w:tr w:rsidR="006C34D9" w14:paraId="1AAFE15D" w14:textId="77777777">
        <w:trPr>
          <w:trHeight w:val="276"/>
        </w:trPr>
        <w:tc>
          <w:tcPr>
            <w:tcW w:w="3887" w:type="dxa"/>
          </w:tcPr>
          <w:p w14:paraId="47FF7064" w14:textId="77777777" w:rsidR="006C34D9" w:rsidRDefault="00CB50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Erosion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</w:p>
        </w:tc>
        <w:tc>
          <w:tcPr>
            <w:tcW w:w="1659" w:type="dxa"/>
          </w:tcPr>
          <w:p w14:paraId="2D8775E9" w14:textId="77777777" w:rsidR="006C34D9" w:rsidRDefault="00CB5041">
            <w:pPr>
              <w:pStyle w:val="TableParagraph"/>
              <w:spacing w:line="257" w:lineRule="exact"/>
              <w:ind w:left="617"/>
              <w:rPr>
                <w:sz w:val="24"/>
              </w:rPr>
            </w:pPr>
            <w:r>
              <w:rPr>
                <w:sz w:val="24"/>
              </w:rPr>
              <w:t>0.15</w:t>
            </w:r>
          </w:p>
        </w:tc>
        <w:tc>
          <w:tcPr>
            <w:tcW w:w="3472" w:type="dxa"/>
          </w:tcPr>
          <w:p w14:paraId="40C32D5B" w14:textId="77777777" w:rsidR="006C34D9" w:rsidRDefault="00CB5041">
            <w:pPr>
              <w:pStyle w:val="TableParagraph"/>
              <w:spacing w:line="257" w:lineRule="exact"/>
              <w:ind w:left="1524"/>
              <w:rPr>
                <w:sz w:val="24"/>
              </w:rPr>
            </w:pPr>
            <w:r>
              <w:rPr>
                <w:sz w:val="24"/>
              </w:rPr>
              <w:t>0.76</w:t>
            </w:r>
          </w:p>
        </w:tc>
      </w:tr>
      <w:tr w:rsidR="006C34D9" w14:paraId="5ED230ED" w14:textId="77777777">
        <w:trPr>
          <w:trHeight w:val="275"/>
        </w:trPr>
        <w:tc>
          <w:tcPr>
            <w:tcW w:w="3887" w:type="dxa"/>
          </w:tcPr>
          <w:p w14:paraId="68657670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JSN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</w:p>
        </w:tc>
        <w:tc>
          <w:tcPr>
            <w:tcW w:w="1659" w:type="dxa"/>
          </w:tcPr>
          <w:p w14:paraId="177D95BC" w14:textId="77777777" w:rsidR="006C34D9" w:rsidRDefault="00CB5041">
            <w:pPr>
              <w:pStyle w:val="TableParagraph"/>
              <w:spacing w:line="256" w:lineRule="exact"/>
              <w:ind w:left="617"/>
              <w:rPr>
                <w:sz w:val="24"/>
              </w:rPr>
            </w:pPr>
            <w:r>
              <w:rPr>
                <w:sz w:val="24"/>
              </w:rPr>
              <w:t>0.10</w:t>
            </w:r>
          </w:p>
        </w:tc>
        <w:tc>
          <w:tcPr>
            <w:tcW w:w="3472" w:type="dxa"/>
          </w:tcPr>
          <w:p w14:paraId="47E6081E" w14:textId="77777777" w:rsidR="006C34D9" w:rsidRDefault="00CB5041">
            <w:pPr>
              <w:pStyle w:val="TableParagraph"/>
              <w:spacing w:line="256" w:lineRule="exact"/>
              <w:ind w:left="1524"/>
              <w:rPr>
                <w:sz w:val="24"/>
              </w:rPr>
            </w:pPr>
            <w:r>
              <w:rPr>
                <w:sz w:val="24"/>
              </w:rPr>
              <w:t>0.41</w:t>
            </w:r>
          </w:p>
        </w:tc>
      </w:tr>
      <w:tr w:rsidR="006C34D9" w14:paraId="5995B124" w14:textId="77777777">
        <w:trPr>
          <w:trHeight w:val="275"/>
        </w:trPr>
        <w:tc>
          <w:tcPr>
            <w:tcW w:w="3887" w:type="dxa"/>
          </w:tcPr>
          <w:p w14:paraId="40ABDF9F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 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</w:t>
            </w:r>
          </w:p>
        </w:tc>
        <w:tc>
          <w:tcPr>
            <w:tcW w:w="1659" w:type="dxa"/>
          </w:tcPr>
          <w:p w14:paraId="1CAEA357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72" w:type="dxa"/>
          </w:tcPr>
          <w:p w14:paraId="72BD0C81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</w:tr>
      <w:tr w:rsidR="006C34D9" w14:paraId="47088BF2" w14:textId="77777777">
        <w:trPr>
          <w:trHeight w:val="275"/>
        </w:trPr>
        <w:tc>
          <w:tcPr>
            <w:tcW w:w="3887" w:type="dxa"/>
          </w:tcPr>
          <w:p w14:paraId="5EB98AB7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659" w:type="dxa"/>
          </w:tcPr>
          <w:p w14:paraId="0F0B8A1E" w14:textId="77777777" w:rsidR="006C34D9" w:rsidRDefault="00CB5041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3472" w:type="dxa"/>
          </w:tcPr>
          <w:p w14:paraId="48BE4922" w14:textId="77777777" w:rsidR="006C34D9" w:rsidRDefault="00CB5041">
            <w:pPr>
              <w:pStyle w:val="TableParagraph"/>
              <w:spacing w:line="256" w:lineRule="exact"/>
              <w:ind w:left="1554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</w:tr>
      <w:tr w:rsidR="006C34D9" w14:paraId="48DB5DEA" w14:textId="77777777">
        <w:trPr>
          <w:trHeight w:val="276"/>
        </w:trPr>
        <w:tc>
          <w:tcPr>
            <w:tcW w:w="3887" w:type="dxa"/>
          </w:tcPr>
          <w:p w14:paraId="2DEDA0A7" w14:textId="77777777" w:rsidR="006C34D9" w:rsidRDefault="00CB50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Sharp-</w:t>
            </w:r>
            <w:proofErr w:type="spellStart"/>
            <w:r>
              <w:rPr>
                <w:sz w:val="24"/>
              </w:rPr>
              <w:t>Genant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</w:p>
        </w:tc>
        <w:tc>
          <w:tcPr>
            <w:tcW w:w="1659" w:type="dxa"/>
          </w:tcPr>
          <w:p w14:paraId="1038E310" w14:textId="77777777" w:rsidR="006C34D9" w:rsidRDefault="00CB5041">
            <w:pPr>
              <w:pStyle w:val="TableParagraph"/>
              <w:spacing w:line="257" w:lineRule="exact"/>
              <w:ind w:left="617"/>
              <w:rPr>
                <w:sz w:val="24"/>
              </w:rPr>
            </w:pPr>
            <w:r>
              <w:rPr>
                <w:sz w:val="24"/>
              </w:rPr>
              <w:t>0.12</w:t>
            </w:r>
          </w:p>
        </w:tc>
        <w:tc>
          <w:tcPr>
            <w:tcW w:w="3472" w:type="dxa"/>
          </w:tcPr>
          <w:p w14:paraId="716B9FB9" w14:textId="77777777" w:rsidR="006C34D9" w:rsidRDefault="00CB5041">
            <w:pPr>
              <w:pStyle w:val="TableParagraph"/>
              <w:spacing w:line="257" w:lineRule="exact"/>
              <w:ind w:left="1524"/>
              <w:rPr>
                <w:sz w:val="24"/>
              </w:rPr>
            </w:pPr>
            <w:r>
              <w:rPr>
                <w:sz w:val="24"/>
              </w:rPr>
              <w:t>0.79</w:t>
            </w:r>
          </w:p>
        </w:tc>
      </w:tr>
      <w:tr w:rsidR="006C34D9" w14:paraId="7A7CB83C" w14:textId="77777777">
        <w:trPr>
          <w:trHeight w:val="275"/>
        </w:trPr>
        <w:tc>
          <w:tcPr>
            <w:tcW w:w="3887" w:type="dxa"/>
          </w:tcPr>
          <w:p w14:paraId="22AEAE74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Erosion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</w:p>
        </w:tc>
        <w:tc>
          <w:tcPr>
            <w:tcW w:w="1659" w:type="dxa"/>
          </w:tcPr>
          <w:p w14:paraId="226766D1" w14:textId="77777777" w:rsidR="006C34D9" w:rsidRDefault="00CB5041">
            <w:pPr>
              <w:pStyle w:val="TableParagraph"/>
              <w:spacing w:line="256" w:lineRule="exact"/>
              <w:ind w:left="617"/>
              <w:rPr>
                <w:sz w:val="24"/>
              </w:rPr>
            </w:pPr>
            <w:r>
              <w:rPr>
                <w:sz w:val="24"/>
              </w:rPr>
              <w:t>0.07</w:t>
            </w:r>
          </w:p>
        </w:tc>
        <w:tc>
          <w:tcPr>
            <w:tcW w:w="3472" w:type="dxa"/>
          </w:tcPr>
          <w:p w14:paraId="73E02F1F" w14:textId="77777777" w:rsidR="006C34D9" w:rsidRDefault="00CB5041">
            <w:pPr>
              <w:pStyle w:val="TableParagraph"/>
              <w:spacing w:line="256" w:lineRule="exact"/>
              <w:ind w:left="1524"/>
              <w:rPr>
                <w:sz w:val="24"/>
              </w:rPr>
            </w:pPr>
            <w:r>
              <w:rPr>
                <w:sz w:val="24"/>
              </w:rPr>
              <w:t>0.48</w:t>
            </w:r>
          </w:p>
        </w:tc>
      </w:tr>
      <w:tr w:rsidR="006C34D9" w14:paraId="1B22ACA3" w14:textId="77777777">
        <w:trPr>
          <w:trHeight w:val="276"/>
        </w:trPr>
        <w:tc>
          <w:tcPr>
            <w:tcW w:w="3887" w:type="dxa"/>
          </w:tcPr>
          <w:p w14:paraId="1DB4DF4B" w14:textId="77777777" w:rsidR="006C34D9" w:rsidRDefault="00CB50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JSN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</w:p>
        </w:tc>
        <w:tc>
          <w:tcPr>
            <w:tcW w:w="1659" w:type="dxa"/>
          </w:tcPr>
          <w:p w14:paraId="3EE6FFB6" w14:textId="77777777" w:rsidR="006C34D9" w:rsidRDefault="00CB5041">
            <w:pPr>
              <w:pStyle w:val="TableParagraph"/>
              <w:spacing w:line="257" w:lineRule="exact"/>
              <w:ind w:left="617"/>
              <w:rPr>
                <w:sz w:val="24"/>
              </w:rPr>
            </w:pPr>
            <w:r>
              <w:rPr>
                <w:sz w:val="24"/>
              </w:rPr>
              <w:t>0.05</w:t>
            </w:r>
          </w:p>
        </w:tc>
        <w:tc>
          <w:tcPr>
            <w:tcW w:w="3472" w:type="dxa"/>
          </w:tcPr>
          <w:p w14:paraId="3EECBD30" w14:textId="77777777" w:rsidR="006C34D9" w:rsidRDefault="00CB5041">
            <w:pPr>
              <w:pStyle w:val="TableParagraph"/>
              <w:spacing w:line="257" w:lineRule="exact"/>
              <w:ind w:left="1524"/>
              <w:rPr>
                <w:sz w:val="24"/>
              </w:rPr>
            </w:pPr>
            <w:r>
              <w:rPr>
                <w:sz w:val="24"/>
              </w:rPr>
              <w:t>0.31</w:t>
            </w:r>
          </w:p>
        </w:tc>
      </w:tr>
    </w:tbl>
    <w:p w14:paraId="1C45A6A9" w14:textId="77777777" w:rsidR="006C34D9" w:rsidRDefault="00CB5041">
      <w:pPr>
        <w:spacing w:before="3"/>
        <w:ind w:left="660"/>
        <w:jc w:val="both"/>
        <w:rPr>
          <w:sz w:val="20"/>
        </w:rPr>
      </w:pP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Actemra</w:t>
      </w:r>
    </w:p>
    <w:p w14:paraId="371752C6" w14:textId="77777777" w:rsidR="006C34D9" w:rsidRDefault="00CB5041">
      <w:pPr>
        <w:spacing w:before="1"/>
        <w:ind w:left="660"/>
        <w:jc w:val="both"/>
        <w:rPr>
          <w:sz w:val="20"/>
        </w:rPr>
      </w:pPr>
      <w:r>
        <w:rPr>
          <w:sz w:val="20"/>
        </w:rPr>
        <w:t>JSN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joint</w:t>
      </w:r>
      <w:r>
        <w:rPr>
          <w:spacing w:val="-2"/>
          <w:sz w:val="20"/>
        </w:rPr>
        <w:t xml:space="preserve"> </w:t>
      </w:r>
      <w:r>
        <w:rPr>
          <w:sz w:val="20"/>
        </w:rPr>
        <w:t>space</w:t>
      </w:r>
      <w:r>
        <w:rPr>
          <w:spacing w:val="-2"/>
          <w:sz w:val="20"/>
        </w:rPr>
        <w:t xml:space="preserve"> </w:t>
      </w:r>
      <w:r>
        <w:rPr>
          <w:sz w:val="20"/>
        </w:rPr>
        <w:t>narrowing</w:t>
      </w:r>
    </w:p>
    <w:p w14:paraId="14CF444F" w14:textId="77777777" w:rsidR="006C34D9" w:rsidRDefault="00CB5041">
      <w:pPr>
        <w:ind w:left="660" w:right="660"/>
        <w:jc w:val="both"/>
        <w:rPr>
          <w:sz w:val="20"/>
        </w:rPr>
      </w:pPr>
      <w:r>
        <w:rPr>
          <w:sz w:val="20"/>
        </w:rPr>
        <w:t>The data presented consists of the evaluations of the baseline, week 24, week 52, week 80, week 104 and early</w:t>
      </w:r>
      <w:r>
        <w:rPr>
          <w:spacing w:val="1"/>
          <w:sz w:val="20"/>
        </w:rPr>
        <w:t xml:space="preserve"> </w:t>
      </w:r>
      <w:r>
        <w:rPr>
          <w:sz w:val="20"/>
        </w:rPr>
        <w:t>withdrawal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escape therapy</w:t>
      </w:r>
      <w:r>
        <w:rPr>
          <w:spacing w:val="-3"/>
          <w:sz w:val="20"/>
        </w:rPr>
        <w:t xml:space="preserve"> </w:t>
      </w:r>
      <w:r>
        <w:rPr>
          <w:sz w:val="20"/>
        </w:rPr>
        <w:t>readings taken</w:t>
      </w:r>
      <w:r>
        <w:rPr>
          <w:spacing w:val="-1"/>
          <w:sz w:val="20"/>
        </w:rPr>
        <w:t xml:space="preserve"> </w:t>
      </w:r>
      <w:r>
        <w:rPr>
          <w:sz w:val="20"/>
        </w:rPr>
        <w:t>up 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week</w:t>
      </w:r>
      <w:r>
        <w:rPr>
          <w:spacing w:val="-1"/>
          <w:sz w:val="20"/>
        </w:rPr>
        <w:t xml:space="preserve"> </w:t>
      </w:r>
      <w:r>
        <w:rPr>
          <w:sz w:val="20"/>
        </w:rPr>
        <w:t>104</w:t>
      </w:r>
      <w:r>
        <w:rPr>
          <w:spacing w:val="-2"/>
          <w:sz w:val="20"/>
        </w:rPr>
        <w:t xml:space="preserve"> </w:t>
      </w:r>
      <w:r>
        <w:rPr>
          <w:sz w:val="20"/>
        </w:rPr>
        <w:t>visit.</w:t>
      </w:r>
    </w:p>
    <w:p w14:paraId="6E7C3E06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2F645648" w14:textId="77777777" w:rsidR="006C34D9" w:rsidRDefault="00CB5041">
      <w:pPr>
        <w:pStyle w:val="BodyText"/>
        <w:spacing w:before="1"/>
        <w:ind w:right="657"/>
        <w:jc w:val="both"/>
      </w:pPr>
      <w:r>
        <w:t>Following 1 year of treatment with Actemra + MTX, 83% of patients had no progression of</w:t>
      </w:r>
      <w:r>
        <w:rPr>
          <w:spacing w:val="1"/>
        </w:rPr>
        <w:t xml:space="preserve"> </w:t>
      </w:r>
      <w:r>
        <w:t>structural damage, as defined by a change in the Total Sharp Score of zero or less, compared</w:t>
      </w:r>
      <w:r>
        <w:rPr>
          <w:spacing w:val="1"/>
        </w:rPr>
        <w:t xml:space="preserve"> </w:t>
      </w:r>
      <w:r>
        <w:t>with 67% of placebo + MTX-treated patients. This remained consistent following 2 years of</w:t>
      </w:r>
      <w:r>
        <w:rPr>
          <w:spacing w:val="1"/>
        </w:rPr>
        <w:t xml:space="preserve"> </w:t>
      </w:r>
      <w:r>
        <w:t>treatment (83%). Ninety three percent (93%) of patients had no progression between week 52</w:t>
      </w:r>
      <w:r>
        <w:rPr>
          <w:spacing w:val="-57"/>
        </w:rPr>
        <w:t xml:space="preserve"> </w:t>
      </w:r>
      <w:r>
        <w:t>and week</w:t>
      </w:r>
      <w:r>
        <w:rPr>
          <w:spacing w:val="-1"/>
        </w:rPr>
        <w:t xml:space="preserve"> </w:t>
      </w:r>
      <w:r>
        <w:t>104.</w:t>
      </w:r>
    </w:p>
    <w:p w14:paraId="374EC36D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63ABFA12" w14:textId="77777777" w:rsidR="006C34D9" w:rsidRDefault="00CB5041">
      <w:pPr>
        <w:pStyle w:val="BodyText"/>
        <w:spacing w:before="1"/>
        <w:ind w:left="659" w:right="657"/>
        <w:jc w:val="both"/>
      </w:pPr>
      <w:r>
        <w:t>In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(BREVACTA),</w:t>
      </w:r>
      <w:r>
        <w:rPr>
          <w:spacing w:val="1"/>
        </w:rPr>
        <w:t xml:space="preserve"> </w:t>
      </w:r>
      <w:r>
        <w:t>inhibition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assessed</w:t>
      </w:r>
      <w:r>
        <w:rPr>
          <w:spacing w:val="1"/>
        </w:rPr>
        <w:t xml:space="preserve"> </w:t>
      </w:r>
      <w:r>
        <w:t>radiographically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expressed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baseline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proofErr w:type="spellStart"/>
      <w:r>
        <w:t>Heijde</w:t>
      </w:r>
      <w:proofErr w:type="spellEnd"/>
      <w:r>
        <w:rPr>
          <w:spacing w:val="-6"/>
        </w:rPr>
        <w:t xml:space="preserve"> </w:t>
      </w:r>
      <w:r>
        <w:t>modified</w:t>
      </w:r>
      <w:r>
        <w:rPr>
          <w:spacing w:val="-6"/>
        </w:rPr>
        <w:t xml:space="preserve"> </w:t>
      </w:r>
      <w:r>
        <w:t>mean</w:t>
      </w:r>
      <w:r>
        <w:rPr>
          <w:spacing w:val="-58"/>
        </w:rPr>
        <w:t xml:space="preserve"> </w:t>
      </w:r>
      <w:r>
        <w:t>total Sharp score (</w:t>
      </w:r>
      <w:proofErr w:type="spellStart"/>
      <w:r>
        <w:t>mTSS</w:t>
      </w:r>
      <w:proofErr w:type="spellEnd"/>
      <w:r>
        <w:t>). At week 24, inhibition of structural damage was shown, with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radiographic</w:t>
      </w:r>
      <w:r>
        <w:rPr>
          <w:spacing w:val="1"/>
        </w:rPr>
        <w:t xml:space="preserve"> </w:t>
      </w:r>
      <w:r>
        <w:t>progression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subcutaneous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compared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placebo;</w:t>
      </w:r>
      <w:r>
        <w:rPr>
          <w:spacing w:val="-7"/>
        </w:rPr>
        <w:t xml:space="preserve"> </w:t>
      </w:r>
      <w:r>
        <w:t>mean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baseline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mTSS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0.62</w:t>
      </w:r>
      <w:r>
        <w:rPr>
          <w:spacing w:val="-6"/>
        </w:rPr>
        <w:t xml:space="preserve"> </w:t>
      </w:r>
      <w:r>
        <w:t>vs.</w:t>
      </w:r>
      <w:r>
        <w:rPr>
          <w:spacing w:val="-6"/>
        </w:rPr>
        <w:t xml:space="preserve"> </w:t>
      </w:r>
      <w:r>
        <w:t>1.23</w:t>
      </w:r>
      <w:r>
        <w:rPr>
          <w:spacing w:val="-6"/>
        </w:rPr>
        <w:t xml:space="preserve"> </w:t>
      </w:r>
      <w:r>
        <w:t>(p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0.0149;</w:t>
      </w:r>
      <w:r>
        <w:rPr>
          <w:spacing w:val="-6"/>
        </w:rPr>
        <w:t xml:space="preserve"> </w:t>
      </w:r>
      <w:r>
        <w:t>van</w:t>
      </w:r>
      <w:r>
        <w:rPr>
          <w:spacing w:val="-58"/>
        </w:rPr>
        <w:t xml:space="preserve"> </w:t>
      </w:r>
      <w:proofErr w:type="spellStart"/>
      <w:r>
        <w:t>Elteren</w:t>
      </w:r>
      <w:proofErr w:type="spellEnd"/>
      <w:r>
        <w:t>) with an adjusted mean difference of -0.60 (-1.1, -0.1).</w:t>
      </w:r>
      <w:r>
        <w:rPr>
          <w:spacing w:val="1"/>
        </w:rPr>
        <w:t xml:space="preserve"> </w:t>
      </w:r>
      <w:r>
        <w:t>These results are consistent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those observed</w:t>
      </w:r>
      <w:r>
        <w:rPr>
          <w:spacing w:val="-1"/>
        </w:rPr>
        <w:t xml:space="preserve"> </w:t>
      </w:r>
      <w:r>
        <w:t>in patients treated</w:t>
      </w:r>
      <w:r>
        <w:rPr>
          <w:spacing w:val="-1"/>
        </w:rPr>
        <w:t xml:space="preserve"> </w:t>
      </w:r>
      <w:r>
        <w:t>with intravenous Actemra.</w:t>
      </w:r>
    </w:p>
    <w:p w14:paraId="57A57DB2" w14:textId="77777777" w:rsidR="006C34D9" w:rsidRDefault="00CB5041">
      <w:pPr>
        <w:pStyle w:val="BodyText"/>
        <w:spacing w:before="200"/>
        <w:jc w:val="both"/>
      </w:pPr>
      <w:r>
        <w:rPr>
          <w:u w:val="single"/>
        </w:rPr>
        <w:t>Quality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Life</w:t>
      </w:r>
      <w:r>
        <w:rPr>
          <w:spacing w:val="-1"/>
          <w:u w:val="single"/>
        </w:rPr>
        <w:t xml:space="preserve"> </w:t>
      </w:r>
      <w:r>
        <w:rPr>
          <w:u w:val="single"/>
        </w:rPr>
        <w:t>Outcomes</w:t>
      </w:r>
    </w:p>
    <w:p w14:paraId="02D40ADB" w14:textId="77777777" w:rsidR="006C34D9" w:rsidRDefault="00CB5041">
      <w:pPr>
        <w:pStyle w:val="BodyText"/>
        <w:ind w:left="659" w:right="659"/>
        <w:jc w:val="both"/>
      </w:pPr>
      <w:r>
        <w:t>Clinically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improvements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disability</w:t>
      </w:r>
      <w:r>
        <w:rPr>
          <w:spacing w:val="1"/>
        </w:rPr>
        <w:t xml:space="preserve"> </w:t>
      </w:r>
      <w:r>
        <w:t>index</w:t>
      </w:r>
      <w:r>
        <w:rPr>
          <w:spacing w:val="1"/>
        </w:rPr>
        <w:t xml:space="preserve"> </w:t>
      </w:r>
      <w:r>
        <w:t>(HAQ-DI,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Questionnaire Disability Index), fatigue</w:t>
      </w:r>
      <w:r>
        <w:rPr>
          <w:spacing w:val="1"/>
        </w:rPr>
        <w:t xml:space="preserve"> </w:t>
      </w:r>
      <w:r>
        <w:t>(FACIT-F,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Assessment</w:t>
      </w:r>
      <w:r>
        <w:rPr>
          <w:spacing w:val="2"/>
        </w:rPr>
        <w:t xml:space="preserve"> </w:t>
      </w:r>
      <w:r>
        <w:t>of Chronic Illness</w:t>
      </w:r>
    </w:p>
    <w:p w14:paraId="1BB12A55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76B1D040" w14:textId="77777777" w:rsidR="006C34D9" w:rsidRDefault="00CB5041">
      <w:pPr>
        <w:pStyle w:val="BodyText"/>
        <w:spacing w:before="79"/>
        <w:ind w:right="657"/>
        <w:jc w:val="both"/>
      </w:pPr>
      <w:r>
        <w:lastRenderedPageBreak/>
        <w:t>Therapy</w:t>
      </w:r>
      <w:r>
        <w:rPr>
          <w:spacing w:val="-10"/>
        </w:rPr>
        <w:t xml:space="preserve"> </w:t>
      </w:r>
      <w:r>
        <w:t>Fatigue)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improvement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(PCS,</w:t>
      </w:r>
      <w:r>
        <w:rPr>
          <w:spacing w:val="-9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Component</w:t>
      </w:r>
      <w:r>
        <w:rPr>
          <w:spacing w:val="-9"/>
        </w:rPr>
        <w:t xml:space="preserve"> </w:t>
      </w:r>
      <w:r>
        <w:t>Summary)</w:t>
      </w:r>
      <w:r>
        <w:rPr>
          <w:spacing w:val="-5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mental</w:t>
      </w:r>
      <w:r>
        <w:rPr>
          <w:spacing w:val="-12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(MCS,</w:t>
      </w:r>
      <w:r>
        <w:rPr>
          <w:spacing w:val="-12"/>
        </w:rPr>
        <w:t xml:space="preserve"> </w:t>
      </w:r>
      <w:r>
        <w:t>Mental</w:t>
      </w:r>
      <w:r>
        <w:rPr>
          <w:spacing w:val="-12"/>
        </w:rPr>
        <w:t xml:space="preserve"> </w:t>
      </w:r>
      <w:r>
        <w:t>Component</w:t>
      </w:r>
      <w:r>
        <w:rPr>
          <w:spacing w:val="-12"/>
        </w:rPr>
        <w:t xml:space="preserve"> </w:t>
      </w:r>
      <w:r>
        <w:t>Summary)</w:t>
      </w:r>
      <w:r>
        <w:rPr>
          <w:spacing w:val="-11"/>
        </w:rPr>
        <w:t xml:space="preserve"> </w:t>
      </w:r>
      <w:r>
        <w:t>domains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SF-36</w:t>
      </w:r>
      <w:r>
        <w:rPr>
          <w:spacing w:val="-12"/>
        </w:rPr>
        <w:t xml:space="preserve"> </w:t>
      </w:r>
      <w:r>
        <w:t>(Short</w:t>
      </w:r>
      <w:r>
        <w:rPr>
          <w:spacing w:val="-12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36)</w:t>
      </w:r>
      <w:r>
        <w:rPr>
          <w:spacing w:val="-58"/>
        </w:rPr>
        <w:t xml:space="preserve"> </w:t>
      </w:r>
      <w:r>
        <w:t>were observed in patients treated with 8 mg/kg Actemra (monotherapy or combination with</w:t>
      </w:r>
      <w:r>
        <w:rPr>
          <w:spacing w:val="1"/>
        </w:rPr>
        <w:t xml:space="preserve"> </w:t>
      </w:r>
      <w:r>
        <w:t>DMARDs)</w:t>
      </w:r>
      <w:r>
        <w:rPr>
          <w:spacing w:val="-1"/>
        </w:rPr>
        <w:t xml:space="preserve"> </w:t>
      </w:r>
      <w:r>
        <w:t>compared to patients</w:t>
      </w:r>
      <w:r>
        <w:rPr>
          <w:spacing w:val="-1"/>
        </w:rPr>
        <w:t xml:space="preserve"> </w:t>
      </w:r>
      <w:r>
        <w:t>treated with MTX/DMARDs.</w:t>
      </w:r>
    </w:p>
    <w:p w14:paraId="1E8F2222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41D47FE" w14:textId="77777777" w:rsidR="006C34D9" w:rsidRDefault="00CB5041">
      <w:pPr>
        <w:pStyle w:val="BodyText"/>
        <w:ind w:right="657"/>
        <w:jc w:val="both"/>
      </w:pPr>
      <w:r>
        <w:t>At week 24, the proportion of 8 mg/kg Actemra treated patients showing a clinically relevant</w:t>
      </w:r>
      <w:r>
        <w:rPr>
          <w:spacing w:val="1"/>
        </w:rPr>
        <w:t xml:space="preserve"> </w:t>
      </w:r>
      <w:r>
        <w:t>improvement in HAQ-DI (defined as an individual total score decrease of &gt; 0.25), was</w:t>
      </w:r>
      <w:r>
        <w:rPr>
          <w:spacing w:val="1"/>
        </w:rPr>
        <w:t xml:space="preserve"> </w:t>
      </w:r>
      <w:r>
        <w:t>significantly higher than among patients receiving placebo + MTX/DMARDs in all studies</w:t>
      </w:r>
      <w:r>
        <w:rPr>
          <w:spacing w:val="1"/>
        </w:rPr>
        <w:t xml:space="preserve"> </w:t>
      </w:r>
      <w:r>
        <w:t>(Studies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V).</w:t>
      </w:r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open-label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function</w:t>
      </w:r>
      <w:r>
        <w:rPr>
          <w:spacing w:val="-58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maintained for</w:t>
      </w:r>
      <w:r>
        <w:rPr>
          <w:spacing w:val="-1"/>
        </w:rPr>
        <w:t xml:space="preserve"> </w:t>
      </w:r>
      <w:r>
        <w:t>up to 2 years.</w:t>
      </w:r>
    </w:p>
    <w:p w14:paraId="225FCCB8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503D629E" w14:textId="77777777" w:rsidR="006C34D9" w:rsidRDefault="00CB5041">
      <w:pPr>
        <w:pStyle w:val="BodyText"/>
        <w:ind w:right="658"/>
        <w:jc w:val="both"/>
      </w:pPr>
      <w:r>
        <w:t>At week 52, the mean change in HAQ-DI was -0.58 in the Actemra 8 mg/kg + MTX group</w:t>
      </w:r>
      <w:r>
        <w:rPr>
          <w:spacing w:val="1"/>
        </w:rPr>
        <w:t xml:space="preserve"> </w:t>
      </w:r>
      <w:r>
        <w:t>compared</w:t>
      </w:r>
      <w:r>
        <w:rPr>
          <w:spacing w:val="57"/>
        </w:rPr>
        <w:t xml:space="preserve"> </w:t>
      </w:r>
      <w:r>
        <w:t>with</w:t>
      </w:r>
      <w:r>
        <w:rPr>
          <w:spacing w:val="56"/>
        </w:rPr>
        <w:t xml:space="preserve"> </w:t>
      </w:r>
      <w:r>
        <w:t>-0.39</w:t>
      </w:r>
      <w:r>
        <w:rPr>
          <w:spacing w:val="56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placebo</w:t>
      </w:r>
      <w:r>
        <w:rPr>
          <w:spacing w:val="56"/>
        </w:rPr>
        <w:t xml:space="preserve"> </w:t>
      </w:r>
      <w:r>
        <w:t>+</w:t>
      </w:r>
      <w:r>
        <w:rPr>
          <w:spacing w:val="56"/>
        </w:rPr>
        <w:t xml:space="preserve"> </w:t>
      </w:r>
      <w:r>
        <w:t>MTX</w:t>
      </w:r>
      <w:r>
        <w:rPr>
          <w:spacing w:val="57"/>
        </w:rPr>
        <w:t xml:space="preserve"> </w:t>
      </w:r>
      <w:r>
        <w:t>group.</w:t>
      </w:r>
      <w:r>
        <w:rPr>
          <w:spacing w:val="56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mean</w:t>
      </w:r>
      <w:r>
        <w:rPr>
          <w:spacing w:val="56"/>
        </w:rPr>
        <w:t xml:space="preserve"> </w:t>
      </w:r>
      <w:r>
        <w:t>change</w:t>
      </w:r>
      <w:r>
        <w:rPr>
          <w:spacing w:val="56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HAQ-DI</w:t>
      </w:r>
      <w:r>
        <w:rPr>
          <w:spacing w:val="57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maintained at week 104 in the Actemra 8 mg/kg + MTX group (-0.61). The percentage of</w:t>
      </w:r>
      <w:r>
        <w:rPr>
          <w:spacing w:val="1"/>
        </w:rPr>
        <w:t xml:space="preserve"> </w:t>
      </w:r>
      <w:r>
        <w:t>Actemra-treated patients showing a clinically relevant improvement in HAQ-DI (≥ 0.3 units)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weeks 52</w:t>
      </w:r>
      <w:r>
        <w:rPr>
          <w:spacing w:val="-2"/>
        </w:rPr>
        <w:t xml:space="preserve"> </w:t>
      </w:r>
      <w:r>
        <w:t>&amp; 104 were</w:t>
      </w:r>
      <w:r>
        <w:rPr>
          <w:spacing w:val="-1"/>
        </w:rPr>
        <w:t xml:space="preserve"> </w:t>
      </w:r>
      <w:r>
        <w:t>63% and 62%, respectively.</w:t>
      </w:r>
    </w:p>
    <w:p w14:paraId="5DFD34F1" w14:textId="77777777" w:rsidR="006C34D9" w:rsidRDefault="006C34D9">
      <w:pPr>
        <w:pStyle w:val="BodyText"/>
        <w:spacing w:before="3"/>
        <w:ind w:left="0"/>
        <w:rPr>
          <w:sz w:val="21"/>
        </w:rPr>
      </w:pPr>
    </w:p>
    <w:p w14:paraId="55E4F0D1" w14:textId="77777777" w:rsidR="006C34D9" w:rsidRDefault="00CB5041">
      <w:pPr>
        <w:pStyle w:val="BodyText"/>
        <w:spacing w:line="242" w:lineRule="auto"/>
        <w:ind w:left="659" w:right="657"/>
        <w:jc w:val="both"/>
      </w:pPr>
      <w:r>
        <w:t>In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(SUMMACTA),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decrease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HAQ-DI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baseline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0.6</w:t>
      </w:r>
      <w:r>
        <w:rPr>
          <w:spacing w:val="-58"/>
        </w:rPr>
        <w:t xml:space="preserve"> </w:t>
      </w:r>
      <w:r>
        <w:t>for both subcutaneous Actemra 162 mg weekly and intravenous Actemra 8 mg/kg every 4</w:t>
      </w:r>
      <w:r>
        <w:rPr>
          <w:spacing w:val="1"/>
        </w:rPr>
        <w:t xml:space="preserve"> </w:t>
      </w:r>
      <w:r>
        <w:t>weeks. The proportion of patients achieving a clinically relevant improvement in HAQ-DI at</w:t>
      </w:r>
      <w:r>
        <w:rPr>
          <w:spacing w:val="1"/>
        </w:rPr>
        <w:t xml:space="preserve"> </w:t>
      </w:r>
      <w:r>
        <w:t>week 24 (change from baseline of ≥ 0.3 units) was comparable in the subcutaneous Actemra</w:t>
      </w:r>
      <w:r>
        <w:rPr>
          <w:spacing w:val="1"/>
        </w:rPr>
        <w:t xml:space="preserve"> </w:t>
      </w:r>
      <w:r>
        <w:t>every week group (65.2%) versus the intravenous Actemra 8 mg/kg group (67.4%), with a</w:t>
      </w:r>
      <w:r>
        <w:rPr>
          <w:spacing w:val="1"/>
        </w:rPr>
        <w:t xml:space="preserve"> </w:t>
      </w:r>
      <w:r>
        <w:t>weighted</w:t>
      </w:r>
      <w:r>
        <w:rPr>
          <w:spacing w:val="-4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proportions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-2.3%</w:t>
      </w:r>
      <w:r>
        <w:rPr>
          <w:spacing w:val="-3"/>
        </w:rPr>
        <w:t xml:space="preserve"> </w:t>
      </w:r>
      <w:r>
        <w:t>(95%</w:t>
      </w:r>
      <w:r>
        <w:rPr>
          <w:spacing w:val="-3"/>
        </w:rPr>
        <w:t xml:space="preserve"> </w:t>
      </w:r>
      <w:r>
        <w:t>CI</w:t>
      </w:r>
      <w:r>
        <w:rPr>
          <w:spacing w:val="-2"/>
        </w:rPr>
        <w:t xml:space="preserve"> </w:t>
      </w:r>
      <w:r>
        <w:t>-8.1,</w:t>
      </w:r>
      <w:r>
        <w:rPr>
          <w:spacing w:val="-3"/>
        </w:rPr>
        <w:t xml:space="preserve"> </w:t>
      </w:r>
      <w:r>
        <w:t>3.4).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SF-36</w:t>
      </w:r>
      <w:r>
        <w:rPr>
          <w:spacing w:val="-3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split</w:t>
      </w:r>
      <w:r>
        <w:rPr>
          <w:spacing w:val="-58"/>
        </w:rPr>
        <w:t xml:space="preserve"> </w:t>
      </w:r>
      <w:r>
        <w:t>into mental and physical components. The mental component scores were similar between the</w:t>
      </w:r>
      <w:r>
        <w:rPr>
          <w:spacing w:val="-57"/>
        </w:rPr>
        <w:t xml:space="preserve"> </w:t>
      </w:r>
      <w:r>
        <w:t>groups,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mean</w:t>
      </w:r>
      <w:r>
        <w:rPr>
          <w:spacing w:val="-6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baseline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6.22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</w:t>
      </w:r>
      <w:r>
        <w:rPr>
          <w:spacing w:val="-8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6.54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IV group. The physical component scores were also similar between the groups, with mean</w:t>
      </w:r>
      <w:r>
        <w:rPr>
          <w:spacing w:val="1"/>
        </w:rPr>
        <w:t xml:space="preserve"> </w:t>
      </w:r>
      <w:r>
        <w:t>change from baseline at week 24 of 9.49 for the SC group and 9.65 for the IV group. In Study</w:t>
      </w:r>
      <w:r>
        <w:rPr>
          <w:spacing w:val="-57"/>
        </w:rPr>
        <w:t xml:space="preserve"> </w:t>
      </w:r>
      <w:r>
        <w:t>VII (BREVACTA), the mean decrease in HAQ-DI from baseline to week 24 was 0.4 and 0.3,</w:t>
      </w:r>
      <w:r>
        <w:rPr>
          <w:spacing w:val="-5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proportion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achieved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clinically</w:t>
      </w:r>
      <w:r>
        <w:rPr>
          <w:spacing w:val="-10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improvement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HAQ-DI</w:t>
      </w:r>
      <w:r>
        <w:rPr>
          <w:spacing w:val="-7"/>
        </w:rPr>
        <w:t xml:space="preserve"> </w:t>
      </w:r>
      <w:r>
        <w:t>was</w:t>
      </w:r>
      <w:r>
        <w:rPr>
          <w:spacing w:val="-58"/>
        </w:rPr>
        <w:t xml:space="preserve"> </w:t>
      </w:r>
      <w:r>
        <w:t>58%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47%,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subcutaneous</w:t>
      </w:r>
      <w:r>
        <w:rPr>
          <w:spacing w:val="-6"/>
        </w:rPr>
        <w:t xml:space="preserve"> </w:t>
      </w:r>
      <w:r>
        <w:t>Actemra</w:t>
      </w:r>
      <w:r>
        <w:rPr>
          <w:spacing w:val="-5"/>
        </w:rPr>
        <w:t xml:space="preserve"> </w:t>
      </w:r>
      <w:r>
        <w:t>162</w:t>
      </w:r>
      <w:r>
        <w:rPr>
          <w:spacing w:val="-4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week,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placebo</w:t>
      </w:r>
      <w:r>
        <w:rPr>
          <w:spacing w:val="-6"/>
        </w:rPr>
        <w:t xml:space="preserve"> </w:t>
      </w:r>
      <w:r>
        <w:t>treatment</w:t>
      </w:r>
      <w:r>
        <w:rPr>
          <w:spacing w:val="-58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respectively.</w:t>
      </w:r>
    </w:p>
    <w:p w14:paraId="4AF77803" w14:textId="77777777" w:rsidR="006C34D9" w:rsidRDefault="00CB5041">
      <w:pPr>
        <w:pStyle w:val="BodyText"/>
        <w:spacing w:before="213"/>
        <w:jc w:val="both"/>
      </w:pPr>
      <w:bookmarkStart w:id="100" w:name="Laboratory_Evaluations"/>
      <w:bookmarkEnd w:id="100"/>
      <w:r>
        <w:rPr>
          <w:u w:val="single"/>
        </w:rPr>
        <w:t>Laboratory</w:t>
      </w:r>
      <w:r>
        <w:rPr>
          <w:spacing w:val="-8"/>
          <w:u w:val="single"/>
        </w:rPr>
        <w:t xml:space="preserve"> </w:t>
      </w:r>
      <w:r>
        <w:rPr>
          <w:u w:val="single"/>
        </w:rPr>
        <w:t>Evaluations</w:t>
      </w:r>
    </w:p>
    <w:p w14:paraId="12C3EF1F" w14:textId="77777777" w:rsidR="006C34D9" w:rsidRDefault="00CB5041">
      <w:pPr>
        <w:pStyle w:val="BodyText"/>
        <w:spacing w:before="4" w:line="242" w:lineRule="auto"/>
        <w:ind w:left="659" w:right="657"/>
        <w:jc w:val="both"/>
      </w:pPr>
      <w:r>
        <w:t>Treatment with 8 mg/kg Actemra in combination with DMARD/MTX or as monotherapy</w:t>
      </w:r>
      <w:r>
        <w:rPr>
          <w:spacing w:val="1"/>
        </w:rPr>
        <w:t xml:space="preserve"> </w:t>
      </w:r>
      <w:r>
        <w:t>resulted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improvement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haemoglobin</w:t>
      </w:r>
      <w:proofErr w:type="spellEnd"/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placebo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MTX/DMARD</w:t>
      </w:r>
      <w:r>
        <w:rPr>
          <w:spacing w:val="-7"/>
        </w:rPr>
        <w:t xml:space="preserve"> </w:t>
      </w:r>
      <w:r>
        <w:t>(p</w:t>
      </w:r>
      <w:r>
        <w:rPr>
          <w:spacing w:val="-6"/>
        </w:rPr>
        <w:t xml:space="preserve"> </w:t>
      </w:r>
      <w:r>
        <w:t>&lt;</w:t>
      </w:r>
      <w:r>
        <w:rPr>
          <w:spacing w:val="-6"/>
        </w:rPr>
        <w:t xml:space="preserve"> </w:t>
      </w:r>
      <w:r>
        <w:t>0.0001)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24.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greatest</w:t>
      </w:r>
      <w:r>
        <w:rPr>
          <w:spacing w:val="-7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observed</w:t>
      </w:r>
      <w:r>
        <w:rPr>
          <w:spacing w:val="-7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 xml:space="preserve">patients with chronic </w:t>
      </w:r>
      <w:proofErr w:type="spellStart"/>
      <w:r>
        <w:t>anaemia</w:t>
      </w:r>
      <w:proofErr w:type="spellEnd"/>
      <w:r>
        <w:t xml:space="preserve"> associated with RA; mean </w:t>
      </w:r>
      <w:proofErr w:type="spellStart"/>
      <w:r>
        <w:t>haemoglobin</w:t>
      </w:r>
      <w:proofErr w:type="spellEnd"/>
      <w:r>
        <w:t xml:space="preserve"> levels increased by</w:t>
      </w:r>
      <w:r>
        <w:rPr>
          <w:spacing w:val="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2 and remained within normal</w:t>
      </w:r>
      <w:r>
        <w:rPr>
          <w:spacing w:val="-1"/>
        </w:rPr>
        <w:t xml:space="preserve"> </w:t>
      </w:r>
      <w:r>
        <w:t>range through week 24.</w:t>
      </w:r>
    </w:p>
    <w:p w14:paraId="01B93E8C" w14:textId="77777777" w:rsidR="006C34D9" w:rsidRDefault="00CB5041">
      <w:pPr>
        <w:pStyle w:val="BodyText"/>
        <w:spacing w:before="172"/>
        <w:ind w:left="659" w:right="656"/>
        <w:jc w:val="both"/>
      </w:pPr>
      <w:r>
        <w:t>A marked decrease in mean levels of acute phase reactants, CRP, ESR, and serum amyloid A</w:t>
      </w:r>
      <w:r>
        <w:rPr>
          <w:spacing w:val="1"/>
        </w:rPr>
        <w:t xml:space="preserve"> </w:t>
      </w:r>
      <w:r>
        <w:t>occurred rapidly after Actemra administration. Consistent with the effect on acute phase</w:t>
      </w:r>
      <w:r>
        <w:rPr>
          <w:spacing w:val="1"/>
        </w:rPr>
        <w:t xml:space="preserve"> </w:t>
      </w:r>
      <w:r>
        <w:t>reactants, treatment with Actemra was associated with reduction in platelet count within the</w:t>
      </w:r>
      <w:r>
        <w:rPr>
          <w:spacing w:val="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range.</w:t>
      </w:r>
    </w:p>
    <w:p w14:paraId="3AA142DF" w14:textId="77777777" w:rsidR="006C34D9" w:rsidRDefault="00CB5041">
      <w:pPr>
        <w:pStyle w:val="BodyText"/>
        <w:spacing w:before="201"/>
        <w:jc w:val="both"/>
      </w:pPr>
      <w:bookmarkStart w:id="101" w:name="MTX_naive,_Early_RA"/>
      <w:bookmarkEnd w:id="101"/>
      <w:r>
        <w:rPr>
          <w:u w:val="single"/>
        </w:rPr>
        <w:t>MTX</w:t>
      </w:r>
      <w:r>
        <w:rPr>
          <w:spacing w:val="-3"/>
          <w:u w:val="single"/>
        </w:rPr>
        <w:t xml:space="preserve"> </w:t>
      </w:r>
      <w:r>
        <w:rPr>
          <w:u w:val="single"/>
        </w:rPr>
        <w:t>naive,</w:t>
      </w:r>
      <w:r>
        <w:rPr>
          <w:spacing w:val="-1"/>
          <w:u w:val="single"/>
        </w:rPr>
        <w:t xml:space="preserve"> </w:t>
      </w:r>
      <w:r>
        <w:rPr>
          <w:u w:val="single"/>
        </w:rPr>
        <w:t>Early</w:t>
      </w:r>
      <w:r>
        <w:rPr>
          <w:spacing w:val="-1"/>
          <w:u w:val="single"/>
        </w:rPr>
        <w:t xml:space="preserve"> </w:t>
      </w:r>
      <w:r>
        <w:rPr>
          <w:u w:val="single"/>
        </w:rPr>
        <w:t>RA</w:t>
      </w:r>
    </w:p>
    <w:p w14:paraId="578F3FD3" w14:textId="77777777" w:rsidR="006C34D9" w:rsidRDefault="00CB5041">
      <w:pPr>
        <w:pStyle w:val="BodyText"/>
        <w:spacing w:before="3" w:line="242" w:lineRule="auto"/>
        <w:ind w:left="659" w:right="657"/>
        <w:jc w:val="both"/>
      </w:pPr>
      <w:r>
        <w:t>Study VIII (FUNCTION), a 2 year study with the planned primary analysis at week 52</w:t>
      </w:r>
      <w:r>
        <w:rPr>
          <w:spacing w:val="1"/>
        </w:rPr>
        <w:t xml:space="preserve"> </w:t>
      </w:r>
      <w:r>
        <w:t>evaluated 1162 MTX-naïve adult patients with moderate to severe, active early RA (mean</w:t>
      </w:r>
      <w:r>
        <w:rPr>
          <w:spacing w:val="1"/>
        </w:rPr>
        <w:t xml:space="preserve"> </w:t>
      </w:r>
      <w:r>
        <w:t>disease duration ≤ 6 months) and one or more indicators of poor prognosis, such as elevated</w:t>
      </w:r>
      <w:r>
        <w:rPr>
          <w:spacing w:val="1"/>
        </w:rPr>
        <w:t xml:space="preserve"> </w:t>
      </w:r>
      <w:r>
        <w:t>inflammatory markers (e.g. ESR and/or CRP), the presence of RF and/or anti-CCP, and/or the</w:t>
      </w:r>
      <w:r>
        <w:rPr>
          <w:spacing w:val="-58"/>
        </w:rPr>
        <w:t xml:space="preserve"> </w:t>
      </w:r>
      <w:r>
        <w:t>presence of bony erosions attributable to RA. This study evaluated the efficacy of intravenous</w:t>
      </w:r>
      <w:r>
        <w:rPr>
          <w:spacing w:val="-57"/>
        </w:rPr>
        <w:t xml:space="preserve"> </w:t>
      </w:r>
      <w:r>
        <w:t>Actemra</w:t>
      </w:r>
      <w:r>
        <w:rPr>
          <w:spacing w:val="24"/>
        </w:rPr>
        <w:t xml:space="preserve"> </w:t>
      </w:r>
      <w:r>
        <w:t>4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mg/kg</w:t>
      </w:r>
      <w:r>
        <w:rPr>
          <w:spacing w:val="23"/>
        </w:rPr>
        <w:t xml:space="preserve"> </w:t>
      </w:r>
      <w:r>
        <w:t>every</w:t>
      </w:r>
      <w:r>
        <w:rPr>
          <w:spacing w:val="23"/>
        </w:rPr>
        <w:t xml:space="preserve"> </w:t>
      </w:r>
      <w:r>
        <w:t>4</w:t>
      </w:r>
      <w:r>
        <w:rPr>
          <w:spacing w:val="20"/>
        </w:rPr>
        <w:t xml:space="preserve"> </w:t>
      </w:r>
      <w:r>
        <w:t>weeks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combination</w:t>
      </w:r>
      <w:r>
        <w:rPr>
          <w:spacing w:val="21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MTX,</w:t>
      </w:r>
      <w:r>
        <w:rPr>
          <w:spacing w:val="23"/>
        </w:rPr>
        <w:t xml:space="preserve"> </w:t>
      </w:r>
      <w:r>
        <w:t>Actemra</w:t>
      </w:r>
      <w:r>
        <w:rPr>
          <w:spacing w:val="24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mg/kg</w:t>
      </w:r>
    </w:p>
    <w:p w14:paraId="2D907831" w14:textId="77777777" w:rsidR="006C34D9" w:rsidRDefault="006C34D9">
      <w:pPr>
        <w:spacing w:line="242" w:lineRule="auto"/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1A5FB0EB" w14:textId="77777777" w:rsidR="006C34D9" w:rsidRDefault="00CB5041">
      <w:pPr>
        <w:pStyle w:val="BodyText"/>
        <w:spacing w:before="63" w:line="242" w:lineRule="auto"/>
        <w:ind w:left="659" w:right="656"/>
        <w:jc w:val="both"/>
      </w:pPr>
      <w:r>
        <w:lastRenderedPageBreak/>
        <w:t>monotherapy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MTX</w:t>
      </w:r>
      <w:r>
        <w:rPr>
          <w:spacing w:val="1"/>
        </w:rPr>
        <w:t xml:space="preserve"> </w:t>
      </w:r>
      <w:r>
        <w:t>monotherapy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progression of joint damage for 104 weeks. The primary endpoint was the proportion of</w:t>
      </w:r>
      <w:r>
        <w:rPr>
          <w:spacing w:val="1"/>
        </w:rPr>
        <w:t xml:space="preserve"> </w:t>
      </w:r>
      <w:r>
        <w:t>patients achieving DAS28 remission (DAS28</w:t>
      </w:r>
      <w:r>
        <w:rPr>
          <w:spacing w:val="1"/>
        </w:rPr>
        <w:t xml:space="preserve"> </w:t>
      </w:r>
      <w:r>
        <w:t>&lt; 2.6)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week 24. A significantly higher</w:t>
      </w:r>
      <w:r>
        <w:rPr>
          <w:spacing w:val="1"/>
        </w:rPr>
        <w:t xml:space="preserve"> </w:t>
      </w:r>
      <w:r>
        <w:t>proportion of patients in the Actemra 8 mg/kg + MTX and Actemra monotherapy groups met</w:t>
      </w:r>
      <w:r>
        <w:rPr>
          <w:spacing w:val="1"/>
        </w:rPr>
        <w:t xml:space="preserve"> </w:t>
      </w:r>
      <w:r>
        <w:t>the primary endpoint compared with MTX alone. The Actemra 8 mg/kg + MTX group also</w:t>
      </w:r>
      <w:r>
        <w:rPr>
          <w:spacing w:val="1"/>
        </w:rPr>
        <w:t xml:space="preserve"> </w:t>
      </w:r>
      <w:r>
        <w:t>showed</w:t>
      </w:r>
      <w:r>
        <w:rPr>
          <w:spacing w:val="-13"/>
        </w:rPr>
        <w:t xml:space="preserve"> </w:t>
      </w:r>
      <w:r>
        <w:t>statistically</w:t>
      </w:r>
      <w:r>
        <w:rPr>
          <w:spacing w:val="-14"/>
        </w:rPr>
        <w:t xml:space="preserve"> </w:t>
      </w:r>
      <w:r>
        <w:t>significant</w:t>
      </w:r>
      <w:r>
        <w:rPr>
          <w:spacing w:val="-13"/>
        </w:rPr>
        <w:t xml:space="preserve"> </w:t>
      </w:r>
      <w:r>
        <w:t>results</w:t>
      </w:r>
      <w:r>
        <w:rPr>
          <w:spacing w:val="-14"/>
        </w:rPr>
        <w:t xml:space="preserve"> </w:t>
      </w:r>
      <w:r>
        <w:t>across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key</w:t>
      </w:r>
      <w:r>
        <w:rPr>
          <w:spacing w:val="-13"/>
        </w:rPr>
        <w:t xml:space="preserve"> </w:t>
      </w:r>
      <w:r>
        <w:t>secondary</w:t>
      </w:r>
      <w:r>
        <w:rPr>
          <w:spacing w:val="-13"/>
        </w:rPr>
        <w:t xml:space="preserve"> </w:t>
      </w:r>
      <w:r>
        <w:t>endpoints.</w:t>
      </w:r>
      <w:r>
        <w:rPr>
          <w:spacing w:val="-14"/>
        </w:rPr>
        <w:t xml:space="preserve"> </w:t>
      </w:r>
      <w:r>
        <w:t>Numerically</w:t>
      </w:r>
      <w:r>
        <w:rPr>
          <w:spacing w:val="-14"/>
        </w:rPr>
        <w:t xml:space="preserve"> </w:t>
      </w:r>
      <w:r>
        <w:t>greater</w:t>
      </w:r>
      <w:r>
        <w:rPr>
          <w:spacing w:val="-57"/>
        </w:rPr>
        <w:t xml:space="preserve"> </w:t>
      </w:r>
      <w:r>
        <w:t>responses compared with MTX alone were observed in the Actemra 8 mg/kg monotherapy</w:t>
      </w:r>
      <w:r>
        <w:rPr>
          <w:spacing w:val="1"/>
        </w:rPr>
        <w:t xml:space="preserve"> </w:t>
      </w:r>
      <w:r>
        <w:t>group in all secondary endpoints, including radiographic endpoints (although the differences</w:t>
      </w:r>
      <w:r>
        <w:rPr>
          <w:spacing w:val="1"/>
        </w:rPr>
        <w:t xml:space="preserve"> </w:t>
      </w:r>
      <w:r>
        <w:t>between Actemra 8 mg/kg monotherapy and MTX were not statistically significant). The</w:t>
      </w:r>
      <w:r>
        <w:rPr>
          <w:spacing w:val="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study VIII</w:t>
      </w:r>
      <w:r>
        <w:rPr>
          <w:spacing w:val="-1"/>
        </w:rPr>
        <w:t xml:space="preserve"> </w:t>
      </w:r>
      <w:r>
        <w:t>are shown in</w:t>
      </w:r>
      <w:r>
        <w:rPr>
          <w:spacing w:val="-2"/>
        </w:rPr>
        <w:t xml:space="preserve"> </w:t>
      </w:r>
      <w:r>
        <w:t>Table 8.</w:t>
      </w:r>
    </w:p>
    <w:p w14:paraId="6412D4ED" w14:textId="77777777" w:rsidR="006C34D9" w:rsidRDefault="00CB5041">
      <w:pPr>
        <w:pStyle w:val="Heading2"/>
        <w:spacing w:before="181"/>
      </w:pPr>
      <w:r>
        <w:t>Table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Efficacy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VIII</w:t>
      </w:r>
      <w:r>
        <w:rPr>
          <w:spacing w:val="-2"/>
        </w:rPr>
        <w:t xml:space="preserve"> </w:t>
      </w:r>
      <w:r>
        <w:t>(FUNCTION)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MTX-naïve,</w:t>
      </w:r>
      <w:r>
        <w:rPr>
          <w:spacing w:val="-2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patients</w:t>
      </w:r>
    </w:p>
    <w:p w14:paraId="417F72B9" w14:textId="77777777" w:rsidR="006C34D9" w:rsidRDefault="006C34D9">
      <w:pPr>
        <w:pStyle w:val="BodyText"/>
        <w:spacing w:before="5"/>
        <w:ind w:left="0"/>
        <w:rPr>
          <w:b/>
          <w:sz w:val="10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006"/>
        <w:gridCol w:w="1711"/>
        <w:gridCol w:w="595"/>
        <w:gridCol w:w="940"/>
        <w:gridCol w:w="1471"/>
        <w:gridCol w:w="1784"/>
      </w:tblGrid>
      <w:tr w:rsidR="006C34D9" w14:paraId="0C99FEC3" w14:textId="77777777">
        <w:trPr>
          <w:trHeight w:val="689"/>
        </w:trPr>
        <w:tc>
          <w:tcPr>
            <w:tcW w:w="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E8E4" w14:textId="77777777" w:rsidR="006C34D9" w:rsidRDefault="00CB5041">
            <w:pPr>
              <w:pStyle w:val="TableParagraph"/>
              <w:ind w:left="3790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</w:p>
          <w:p w14:paraId="0DD349D3" w14:textId="77777777" w:rsidR="006C34D9" w:rsidRDefault="00CB5041">
            <w:pPr>
              <w:pStyle w:val="TableParagraph"/>
              <w:spacing w:line="230" w:lineRule="exact"/>
              <w:ind w:left="4202" w:right="509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MTX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n=290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 w14:paraId="7DC3D2B4" w14:textId="77777777" w:rsidR="006C34D9" w:rsidRDefault="00CB5041">
            <w:pPr>
              <w:pStyle w:val="TableParagraph"/>
              <w:ind w:left="11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</w:p>
          <w:p w14:paraId="5C77464A" w14:textId="77777777" w:rsidR="006C34D9" w:rsidRDefault="00CB5041">
            <w:pPr>
              <w:pStyle w:val="TableParagraph"/>
              <w:spacing w:line="230" w:lineRule="exact"/>
              <w:ind w:left="113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 placebo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n=292</w:t>
            </w:r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6B4F" w14:textId="77777777" w:rsidR="006C34D9" w:rsidRDefault="006C34D9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14:paraId="64B19B26" w14:textId="77777777" w:rsidR="006C34D9" w:rsidRDefault="00CB5041">
            <w:pPr>
              <w:pStyle w:val="TableParagraph"/>
              <w:spacing w:line="230" w:lineRule="exact"/>
              <w:ind w:left="600" w:right="222" w:hanging="411"/>
              <w:rPr>
                <w:b/>
                <w:sz w:val="20"/>
              </w:rPr>
            </w:pPr>
            <w:r>
              <w:rPr>
                <w:b/>
                <w:sz w:val="20"/>
              </w:rPr>
              <w:t>Placebo + MTX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n=287</w:t>
            </w:r>
          </w:p>
        </w:tc>
      </w:tr>
      <w:tr w:rsidR="006C34D9" w14:paraId="4BBB68B9" w14:textId="77777777">
        <w:trPr>
          <w:trHeight w:val="229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3F48" w14:textId="77777777" w:rsidR="006C34D9" w:rsidRDefault="00CB5041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Endpoint</w:t>
            </w:r>
          </w:p>
        </w:tc>
      </w:tr>
      <w:tr w:rsidR="006C34D9" w14:paraId="7A20E2D6" w14:textId="77777777">
        <w:trPr>
          <w:trHeight w:val="232"/>
        </w:trPr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6FAD6A8E" w14:textId="77777777" w:rsidR="006C34D9" w:rsidRDefault="00CB5041">
            <w:pPr>
              <w:pStyle w:val="TableParagraph"/>
              <w:spacing w:line="212" w:lineRule="exact"/>
              <w:ind w:left="56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595" w:type="dxa"/>
            <w:tcBorders>
              <w:top w:val="single" w:sz="4" w:space="0" w:color="000000"/>
            </w:tcBorders>
          </w:tcPr>
          <w:p w14:paraId="6ADDB242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</w:tcBorders>
          </w:tcPr>
          <w:p w14:paraId="560C84BD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394D1CC1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84" w:type="dxa"/>
            <w:tcBorders>
              <w:top w:val="single" w:sz="4" w:space="0" w:color="000000"/>
              <w:right w:val="single" w:sz="4" w:space="0" w:color="000000"/>
            </w:tcBorders>
          </w:tcPr>
          <w:p w14:paraId="5E54E6A3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</w:tr>
      <w:tr w:rsidR="006C34D9" w14:paraId="77D9F1E5" w14:textId="77777777">
        <w:trPr>
          <w:trHeight w:val="228"/>
        </w:trPr>
        <w:tc>
          <w:tcPr>
            <w:tcW w:w="37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AAB33F6" w14:textId="77777777" w:rsidR="006C34D9" w:rsidRDefault="00CB5041">
            <w:pPr>
              <w:pStyle w:val="TableParagraph"/>
              <w:spacing w:line="208" w:lineRule="exact"/>
              <w:ind w:left="56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535" w:type="dxa"/>
            <w:gridSpan w:val="2"/>
            <w:tcBorders>
              <w:bottom w:val="single" w:sz="4" w:space="0" w:color="000000"/>
            </w:tcBorders>
          </w:tcPr>
          <w:p w14:paraId="74F546E5" w14:textId="77777777" w:rsidR="006C34D9" w:rsidRDefault="00CB5041">
            <w:pPr>
              <w:pStyle w:val="TableParagraph"/>
              <w:spacing w:line="208" w:lineRule="exact"/>
              <w:ind w:left="429"/>
              <w:rPr>
                <w:sz w:val="20"/>
              </w:rPr>
            </w:pPr>
            <w:r>
              <w:rPr>
                <w:sz w:val="20"/>
              </w:rPr>
              <w:t>44.8***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00ADB9EE" w14:textId="77777777" w:rsidR="006C34D9" w:rsidRDefault="00CB5041">
            <w:pPr>
              <w:pStyle w:val="TableParagraph"/>
              <w:spacing w:line="208" w:lineRule="exact"/>
              <w:ind w:left="382"/>
              <w:rPr>
                <w:sz w:val="20"/>
              </w:rPr>
            </w:pPr>
            <w:r>
              <w:rPr>
                <w:sz w:val="20"/>
              </w:rPr>
              <w:t>38.7***</w:t>
            </w:r>
          </w:p>
        </w:tc>
        <w:tc>
          <w:tcPr>
            <w:tcW w:w="1784" w:type="dxa"/>
            <w:tcBorders>
              <w:bottom w:val="single" w:sz="4" w:space="0" w:color="000000"/>
              <w:right w:val="single" w:sz="4" w:space="0" w:color="000000"/>
            </w:tcBorders>
          </w:tcPr>
          <w:p w14:paraId="23C280F5" w14:textId="77777777" w:rsidR="006C34D9" w:rsidRDefault="00CB5041">
            <w:pPr>
              <w:pStyle w:val="TableParagraph"/>
              <w:spacing w:line="208" w:lineRule="exact"/>
              <w:ind w:left="277" w:right="322"/>
              <w:jc w:val="center"/>
              <w:rPr>
                <w:sz w:val="20"/>
              </w:rPr>
            </w:pPr>
            <w:r>
              <w:rPr>
                <w:sz w:val="20"/>
              </w:rPr>
              <w:t>15.0</w:t>
            </w:r>
          </w:p>
        </w:tc>
      </w:tr>
      <w:tr w:rsidR="006C34D9" w14:paraId="51C3A5E2" w14:textId="77777777">
        <w:trPr>
          <w:trHeight w:val="230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E10D" w14:textId="77777777" w:rsidR="006C34D9" w:rsidRDefault="00CB5041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Secondary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Endpoints</w:t>
            </w:r>
          </w:p>
        </w:tc>
      </w:tr>
      <w:tr w:rsidR="006C34D9" w14:paraId="448A7499" w14:textId="77777777">
        <w:trPr>
          <w:trHeight w:val="232"/>
        </w:trPr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9BFBA2C" w14:textId="77777777" w:rsidR="006C34D9" w:rsidRDefault="00CB5041">
            <w:pPr>
              <w:pStyle w:val="TableParagraph"/>
              <w:spacing w:line="212" w:lineRule="exact"/>
              <w:ind w:left="56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595" w:type="dxa"/>
            <w:tcBorders>
              <w:top w:val="single" w:sz="4" w:space="0" w:color="000000"/>
            </w:tcBorders>
          </w:tcPr>
          <w:p w14:paraId="2B56197B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</w:tcBorders>
          </w:tcPr>
          <w:p w14:paraId="211C41F4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541ADEF1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84" w:type="dxa"/>
            <w:tcBorders>
              <w:top w:val="single" w:sz="4" w:space="0" w:color="000000"/>
              <w:right w:val="single" w:sz="4" w:space="0" w:color="000000"/>
            </w:tcBorders>
          </w:tcPr>
          <w:p w14:paraId="25E7B153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</w:tr>
      <w:tr w:rsidR="006C34D9" w14:paraId="67D65018" w14:textId="77777777">
        <w:trPr>
          <w:trHeight w:val="228"/>
        </w:trPr>
        <w:tc>
          <w:tcPr>
            <w:tcW w:w="37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EA7FB4F" w14:textId="77777777" w:rsidR="006C34D9" w:rsidRDefault="00CB5041">
            <w:pPr>
              <w:pStyle w:val="TableParagraph"/>
              <w:spacing w:line="208" w:lineRule="exact"/>
              <w:ind w:left="56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</w:p>
        </w:tc>
        <w:tc>
          <w:tcPr>
            <w:tcW w:w="1535" w:type="dxa"/>
            <w:gridSpan w:val="2"/>
            <w:tcBorders>
              <w:bottom w:val="single" w:sz="4" w:space="0" w:color="000000"/>
            </w:tcBorders>
          </w:tcPr>
          <w:p w14:paraId="5D60C47D" w14:textId="77777777" w:rsidR="006C34D9" w:rsidRDefault="00CB5041">
            <w:pPr>
              <w:pStyle w:val="TableParagraph"/>
              <w:spacing w:line="208" w:lineRule="exact"/>
              <w:ind w:left="571"/>
              <w:rPr>
                <w:sz w:val="20"/>
              </w:rPr>
            </w:pPr>
            <w:r>
              <w:rPr>
                <w:sz w:val="20"/>
              </w:rPr>
              <w:t>49.0***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645ED17D" w14:textId="77777777" w:rsidR="006C34D9" w:rsidRDefault="00CB5041">
            <w:pPr>
              <w:pStyle w:val="TableParagraph"/>
              <w:spacing w:line="208" w:lineRule="exact"/>
              <w:ind w:left="113" w:right="26"/>
              <w:jc w:val="center"/>
              <w:rPr>
                <w:sz w:val="20"/>
              </w:rPr>
            </w:pPr>
            <w:r>
              <w:rPr>
                <w:sz w:val="20"/>
              </w:rPr>
              <w:t>39.4</w:t>
            </w:r>
          </w:p>
        </w:tc>
        <w:tc>
          <w:tcPr>
            <w:tcW w:w="1784" w:type="dxa"/>
            <w:tcBorders>
              <w:bottom w:val="single" w:sz="4" w:space="0" w:color="000000"/>
              <w:right w:val="single" w:sz="4" w:space="0" w:color="000000"/>
            </w:tcBorders>
          </w:tcPr>
          <w:p w14:paraId="24979FB3" w14:textId="77777777" w:rsidR="006C34D9" w:rsidRDefault="00CB5041">
            <w:pPr>
              <w:pStyle w:val="TableParagraph"/>
              <w:spacing w:line="208" w:lineRule="exact"/>
              <w:ind w:left="325" w:right="234"/>
              <w:jc w:val="center"/>
              <w:rPr>
                <w:sz w:val="20"/>
              </w:rPr>
            </w:pPr>
            <w:r>
              <w:rPr>
                <w:sz w:val="20"/>
              </w:rPr>
              <w:t>19.5</w:t>
            </w:r>
          </w:p>
        </w:tc>
      </w:tr>
      <w:tr w:rsidR="006C34D9" w14:paraId="36A01396" w14:textId="77777777">
        <w:trPr>
          <w:trHeight w:val="230"/>
        </w:trPr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23CBA028" w14:textId="77777777" w:rsidR="006C34D9" w:rsidRDefault="00CB5041">
            <w:pPr>
              <w:pStyle w:val="TableParagraph"/>
              <w:spacing w:line="211" w:lineRule="exact"/>
              <w:ind w:left="56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595" w:type="dxa"/>
            <w:tcBorders>
              <w:top w:val="single" w:sz="4" w:space="0" w:color="000000"/>
            </w:tcBorders>
          </w:tcPr>
          <w:p w14:paraId="55CBE689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</w:tcBorders>
          </w:tcPr>
          <w:p w14:paraId="0A5804F7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6DC3407C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84" w:type="dxa"/>
            <w:tcBorders>
              <w:top w:val="single" w:sz="4" w:space="0" w:color="000000"/>
              <w:right w:val="single" w:sz="4" w:space="0" w:color="000000"/>
            </w:tcBorders>
          </w:tcPr>
          <w:p w14:paraId="768DBD32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</w:tr>
      <w:tr w:rsidR="006C34D9" w14:paraId="2D8C6035" w14:textId="77777777">
        <w:trPr>
          <w:trHeight w:val="230"/>
        </w:trPr>
        <w:tc>
          <w:tcPr>
            <w:tcW w:w="998" w:type="dxa"/>
            <w:tcBorders>
              <w:left w:val="single" w:sz="4" w:space="0" w:color="000000"/>
            </w:tcBorders>
          </w:tcPr>
          <w:p w14:paraId="361C350A" w14:textId="77777777" w:rsidR="006C34D9" w:rsidRDefault="00CB5041"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006" w:type="dxa"/>
          </w:tcPr>
          <w:p w14:paraId="732B8869" w14:textId="77777777" w:rsidR="006C34D9" w:rsidRDefault="00CB5041">
            <w:pPr>
              <w:pStyle w:val="TableParagraph"/>
              <w:spacing w:line="210" w:lineRule="exact"/>
              <w:ind w:left="0" w:right="113"/>
              <w:jc w:val="right"/>
              <w:rPr>
                <w:sz w:val="20"/>
              </w:rPr>
            </w:pPr>
            <w:r>
              <w:rPr>
                <w:sz w:val="20"/>
              </w:rPr>
              <w:t>ACR20</w:t>
            </w:r>
          </w:p>
        </w:tc>
        <w:tc>
          <w:tcPr>
            <w:tcW w:w="1711" w:type="dxa"/>
          </w:tcPr>
          <w:p w14:paraId="681D24CB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95" w:type="dxa"/>
          </w:tcPr>
          <w:p w14:paraId="41197B4E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</w:tcPr>
          <w:p w14:paraId="099C26F9" w14:textId="77777777" w:rsidR="006C34D9" w:rsidRDefault="00CB5041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>
              <w:rPr>
                <w:sz w:val="20"/>
              </w:rPr>
              <w:t>74.5*</w:t>
            </w:r>
          </w:p>
        </w:tc>
        <w:tc>
          <w:tcPr>
            <w:tcW w:w="1471" w:type="dxa"/>
          </w:tcPr>
          <w:p w14:paraId="468FC472" w14:textId="77777777" w:rsidR="006C34D9" w:rsidRDefault="00CB5041">
            <w:pPr>
              <w:pStyle w:val="TableParagraph"/>
              <w:spacing w:line="210" w:lineRule="exact"/>
              <w:ind w:left="113" w:right="26"/>
              <w:jc w:val="center"/>
              <w:rPr>
                <w:sz w:val="20"/>
              </w:rPr>
            </w:pPr>
            <w:r>
              <w:rPr>
                <w:sz w:val="20"/>
              </w:rPr>
              <w:t>70.2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147026C7" w14:textId="77777777" w:rsidR="006C34D9" w:rsidRDefault="00CB5041">
            <w:pPr>
              <w:pStyle w:val="TableParagraph"/>
              <w:spacing w:line="210" w:lineRule="exact"/>
              <w:ind w:left="325" w:right="234"/>
              <w:jc w:val="center"/>
              <w:rPr>
                <w:sz w:val="20"/>
              </w:rPr>
            </w:pPr>
            <w:r>
              <w:rPr>
                <w:sz w:val="20"/>
              </w:rPr>
              <w:t>65.2</w:t>
            </w:r>
          </w:p>
        </w:tc>
      </w:tr>
      <w:tr w:rsidR="006C34D9" w14:paraId="76B13053" w14:textId="77777777">
        <w:trPr>
          <w:trHeight w:val="229"/>
        </w:trPr>
        <w:tc>
          <w:tcPr>
            <w:tcW w:w="3715" w:type="dxa"/>
            <w:gridSpan w:val="3"/>
            <w:tcBorders>
              <w:left w:val="single" w:sz="4" w:space="0" w:color="000000"/>
            </w:tcBorders>
          </w:tcPr>
          <w:p w14:paraId="7D53A8C4" w14:textId="77777777" w:rsidR="006C34D9" w:rsidRDefault="00CB5041">
            <w:pPr>
              <w:pStyle w:val="TableParagraph"/>
              <w:spacing w:line="210" w:lineRule="exact"/>
              <w:ind w:left="0" w:right="413"/>
              <w:jc w:val="right"/>
              <w:rPr>
                <w:sz w:val="20"/>
              </w:rPr>
            </w:pPr>
            <w:r>
              <w:rPr>
                <w:sz w:val="20"/>
              </w:rPr>
              <w:t>ACR50</w:t>
            </w:r>
          </w:p>
        </w:tc>
        <w:tc>
          <w:tcPr>
            <w:tcW w:w="595" w:type="dxa"/>
          </w:tcPr>
          <w:p w14:paraId="0D7E6D67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</w:tcPr>
          <w:p w14:paraId="4637C82F" w14:textId="77777777" w:rsidR="006C34D9" w:rsidRDefault="00CB5041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56.9**</w:t>
            </w:r>
          </w:p>
        </w:tc>
        <w:tc>
          <w:tcPr>
            <w:tcW w:w="1471" w:type="dxa"/>
          </w:tcPr>
          <w:p w14:paraId="65077CA7" w14:textId="77777777" w:rsidR="006C34D9" w:rsidRDefault="00CB5041">
            <w:pPr>
              <w:pStyle w:val="TableParagraph"/>
              <w:spacing w:line="210" w:lineRule="exact"/>
              <w:ind w:left="113" w:right="26"/>
              <w:jc w:val="center"/>
              <w:rPr>
                <w:sz w:val="20"/>
              </w:rPr>
            </w:pPr>
            <w:r>
              <w:rPr>
                <w:sz w:val="20"/>
              </w:rPr>
              <w:t>47.6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6B45FABE" w14:textId="77777777" w:rsidR="006C34D9" w:rsidRDefault="00CB5041">
            <w:pPr>
              <w:pStyle w:val="TableParagraph"/>
              <w:spacing w:line="210" w:lineRule="exact"/>
              <w:ind w:left="325" w:right="234"/>
              <w:jc w:val="center"/>
              <w:rPr>
                <w:sz w:val="20"/>
              </w:rPr>
            </w:pPr>
            <w:r>
              <w:rPr>
                <w:sz w:val="20"/>
              </w:rPr>
              <w:t>43.2</w:t>
            </w:r>
          </w:p>
        </w:tc>
      </w:tr>
      <w:tr w:rsidR="006C34D9" w14:paraId="09EBE0D5" w14:textId="77777777">
        <w:trPr>
          <w:trHeight w:val="229"/>
        </w:trPr>
        <w:tc>
          <w:tcPr>
            <w:tcW w:w="3715" w:type="dxa"/>
            <w:gridSpan w:val="3"/>
            <w:tcBorders>
              <w:left w:val="single" w:sz="4" w:space="0" w:color="000000"/>
            </w:tcBorders>
          </w:tcPr>
          <w:p w14:paraId="0697D02D" w14:textId="77777777" w:rsidR="006C34D9" w:rsidRDefault="00CB5041">
            <w:pPr>
              <w:pStyle w:val="TableParagraph"/>
              <w:spacing w:line="210" w:lineRule="exact"/>
              <w:ind w:left="0" w:right="413"/>
              <w:jc w:val="right"/>
              <w:rPr>
                <w:sz w:val="20"/>
              </w:rPr>
            </w:pPr>
            <w:r>
              <w:rPr>
                <w:sz w:val="20"/>
              </w:rPr>
              <w:t>ACR70</w:t>
            </w:r>
          </w:p>
        </w:tc>
        <w:tc>
          <w:tcPr>
            <w:tcW w:w="595" w:type="dxa"/>
          </w:tcPr>
          <w:p w14:paraId="0919F0BE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</w:tcPr>
          <w:p w14:paraId="43356AD0" w14:textId="77777777" w:rsidR="006C34D9" w:rsidRDefault="00CB5041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38.6**</w:t>
            </w:r>
          </w:p>
        </w:tc>
        <w:tc>
          <w:tcPr>
            <w:tcW w:w="1471" w:type="dxa"/>
          </w:tcPr>
          <w:p w14:paraId="734F7378" w14:textId="77777777" w:rsidR="006C34D9" w:rsidRDefault="00CB5041">
            <w:pPr>
              <w:pStyle w:val="TableParagraph"/>
              <w:spacing w:line="210" w:lineRule="exact"/>
              <w:ind w:left="113" w:right="26"/>
              <w:jc w:val="center"/>
              <w:rPr>
                <w:sz w:val="20"/>
              </w:rPr>
            </w:pPr>
            <w:r>
              <w:rPr>
                <w:sz w:val="20"/>
              </w:rPr>
              <w:t>30.1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4A0DAE7D" w14:textId="77777777" w:rsidR="006C34D9" w:rsidRDefault="00CB5041">
            <w:pPr>
              <w:pStyle w:val="TableParagraph"/>
              <w:spacing w:line="210" w:lineRule="exact"/>
              <w:ind w:left="325" w:right="234"/>
              <w:jc w:val="center"/>
              <w:rPr>
                <w:sz w:val="20"/>
              </w:rPr>
            </w:pPr>
            <w:r>
              <w:rPr>
                <w:sz w:val="20"/>
              </w:rPr>
              <w:t>25.4</w:t>
            </w:r>
          </w:p>
        </w:tc>
      </w:tr>
      <w:tr w:rsidR="006C34D9" w14:paraId="73E26DA6" w14:textId="77777777">
        <w:trPr>
          <w:trHeight w:val="230"/>
        </w:trPr>
        <w:tc>
          <w:tcPr>
            <w:tcW w:w="998" w:type="dxa"/>
            <w:tcBorders>
              <w:left w:val="single" w:sz="4" w:space="0" w:color="000000"/>
            </w:tcBorders>
          </w:tcPr>
          <w:p w14:paraId="391D02AD" w14:textId="77777777" w:rsidR="006C34D9" w:rsidRDefault="00CB5041"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</w:p>
        </w:tc>
        <w:tc>
          <w:tcPr>
            <w:tcW w:w="1006" w:type="dxa"/>
          </w:tcPr>
          <w:p w14:paraId="28FC82A3" w14:textId="77777777" w:rsidR="006C34D9" w:rsidRDefault="00CB5041">
            <w:pPr>
              <w:pStyle w:val="TableParagraph"/>
              <w:spacing w:line="210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ACR20</w:t>
            </w:r>
          </w:p>
        </w:tc>
        <w:tc>
          <w:tcPr>
            <w:tcW w:w="1711" w:type="dxa"/>
          </w:tcPr>
          <w:p w14:paraId="7A2C6E3E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95" w:type="dxa"/>
          </w:tcPr>
          <w:p w14:paraId="158E4839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</w:tcPr>
          <w:p w14:paraId="0E756463" w14:textId="77777777" w:rsidR="006C34D9" w:rsidRDefault="00CB5041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>
              <w:rPr>
                <w:sz w:val="20"/>
              </w:rPr>
              <w:t>67.2*</w:t>
            </w:r>
          </w:p>
        </w:tc>
        <w:tc>
          <w:tcPr>
            <w:tcW w:w="1471" w:type="dxa"/>
          </w:tcPr>
          <w:p w14:paraId="4898EDDA" w14:textId="77777777" w:rsidR="006C34D9" w:rsidRDefault="00CB5041">
            <w:pPr>
              <w:pStyle w:val="TableParagraph"/>
              <w:spacing w:line="210" w:lineRule="exact"/>
              <w:ind w:left="113" w:right="26"/>
              <w:jc w:val="center"/>
              <w:rPr>
                <w:sz w:val="20"/>
              </w:rPr>
            </w:pPr>
            <w:r>
              <w:rPr>
                <w:sz w:val="20"/>
              </w:rPr>
              <w:t>63.0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2DE98D67" w14:textId="77777777" w:rsidR="006C34D9" w:rsidRDefault="00CB5041">
            <w:pPr>
              <w:pStyle w:val="TableParagraph"/>
              <w:spacing w:line="210" w:lineRule="exact"/>
              <w:ind w:left="325" w:right="234"/>
              <w:jc w:val="center"/>
              <w:rPr>
                <w:sz w:val="20"/>
              </w:rPr>
            </w:pPr>
            <w:r>
              <w:rPr>
                <w:sz w:val="20"/>
              </w:rPr>
              <w:t>57.1</w:t>
            </w:r>
          </w:p>
        </w:tc>
      </w:tr>
      <w:tr w:rsidR="006C34D9" w14:paraId="1A6AAD75" w14:textId="77777777">
        <w:trPr>
          <w:trHeight w:val="229"/>
        </w:trPr>
        <w:tc>
          <w:tcPr>
            <w:tcW w:w="3715" w:type="dxa"/>
            <w:gridSpan w:val="3"/>
            <w:tcBorders>
              <w:left w:val="single" w:sz="4" w:space="0" w:color="000000"/>
            </w:tcBorders>
          </w:tcPr>
          <w:p w14:paraId="50957336" w14:textId="77777777" w:rsidR="006C34D9" w:rsidRDefault="00CB5041">
            <w:pPr>
              <w:pStyle w:val="TableParagraph"/>
              <w:spacing w:line="210" w:lineRule="exact"/>
              <w:ind w:left="0" w:right="463"/>
              <w:jc w:val="right"/>
              <w:rPr>
                <w:sz w:val="20"/>
              </w:rPr>
            </w:pPr>
            <w:r>
              <w:rPr>
                <w:sz w:val="20"/>
              </w:rPr>
              <w:t>ACR50</w:t>
            </w:r>
          </w:p>
        </w:tc>
        <w:tc>
          <w:tcPr>
            <w:tcW w:w="595" w:type="dxa"/>
          </w:tcPr>
          <w:p w14:paraId="1071CCD7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</w:tcPr>
          <w:p w14:paraId="78CC0EFF" w14:textId="77777777" w:rsidR="006C34D9" w:rsidRDefault="00CB5041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55.9**</w:t>
            </w:r>
          </w:p>
        </w:tc>
        <w:tc>
          <w:tcPr>
            <w:tcW w:w="1471" w:type="dxa"/>
          </w:tcPr>
          <w:p w14:paraId="476843FF" w14:textId="77777777" w:rsidR="006C34D9" w:rsidRDefault="00CB5041">
            <w:pPr>
              <w:pStyle w:val="TableParagraph"/>
              <w:spacing w:line="210" w:lineRule="exact"/>
              <w:ind w:left="113" w:right="26"/>
              <w:jc w:val="center"/>
              <w:rPr>
                <w:sz w:val="20"/>
              </w:rPr>
            </w:pPr>
            <w:r>
              <w:rPr>
                <w:sz w:val="20"/>
              </w:rPr>
              <w:t>49.3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0605751E" w14:textId="77777777" w:rsidR="006C34D9" w:rsidRDefault="00CB5041">
            <w:pPr>
              <w:pStyle w:val="TableParagraph"/>
              <w:spacing w:line="210" w:lineRule="exact"/>
              <w:ind w:left="325" w:right="234"/>
              <w:jc w:val="center"/>
              <w:rPr>
                <w:sz w:val="20"/>
              </w:rPr>
            </w:pPr>
            <w:r>
              <w:rPr>
                <w:sz w:val="20"/>
              </w:rPr>
              <w:t>40.8</w:t>
            </w:r>
          </w:p>
        </w:tc>
      </w:tr>
      <w:tr w:rsidR="006C34D9" w14:paraId="2775406C" w14:textId="77777777">
        <w:trPr>
          <w:trHeight w:val="227"/>
        </w:trPr>
        <w:tc>
          <w:tcPr>
            <w:tcW w:w="37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98D25C4" w14:textId="77777777" w:rsidR="006C34D9" w:rsidRDefault="00CB5041">
            <w:pPr>
              <w:pStyle w:val="TableParagraph"/>
              <w:spacing w:line="208" w:lineRule="exact"/>
              <w:ind w:left="0" w:right="463"/>
              <w:jc w:val="right"/>
              <w:rPr>
                <w:sz w:val="20"/>
              </w:rPr>
            </w:pPr>
            <w:r>
              <w:rPr>
                <w:sz w:val="20"/>
              </w:rPr>
              <w:t>ACR70</w:t>
            </w:r>
          </w:p>
        </w:tc>
        <w:tc>
          <w:tcPr>
            <w:tcW w:w="595" w:type="dxa"/>
            <w:tcBorders>
              <w:bottom w:val="single" w:sz="4" w:space="0" w:color="000000"/>
            </w:tcBorders>
          </w:tcPr>
          <w:p w14:paraId="06EE95E4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14:paraId="09F8FC76" w14:textId="77777777" w:rsidR="006C34D9" w:rsidRDefault="00CB5041">
            <w:pPr>
              <w:pStyle w:val="TableParagraph"/>
              <w:spacing w:line="208" w:lineRule="exact"/>
              <w:ind w:left="26"/>
              <w:rPr>
                <w:sz w:val="20"/>
              </w:rPr>
            </w:pPr>
            <w:r>
              <w:rPr>
                <w:sz w:val="20"/>
              </w:rPr>
              <w:t>43.1**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2FF9E9EC" w14:textId="77777777" w:rsidR="006C34D9" w:rsidRDefault="00CB5041">
            <w:pPr>
              <w:pStyle w:val="TableParagraph"/>
              <w:spacing w:line="208" w:lineRule="exact"/>
              <w:ind w:left="113" w:right="26"/>
              <w:jc w:val="center"/>
              <w:rPr>
                <w:sz w:val="20"/>
              </w:rPr>
            </w:pPr>
            <w:r>
              <w:rPr>
                <w:sz w:val="20"/>
              </w:rPr>
              <w:t>36.0</w:t>
            </w:r>
          </w:p>
        </w:tc>
        <w:tc>
          <w:tcPr>
            <w:tcW w:w="1784" w:type="dxa"/>
            <w:tcBorders>
              <w:bottom w:val="single" w:sz="4" w:space="0" w:color="000000"/>
              <w:right w:val="single" w:sz="4" w:space="0" w:color="000000"/>
            </w:tcBorders>
          </w:tcPr>
          <w:p w14:paraId="218FDF46" w14:textId="77777777" w:rsidR="006C34D9" w:rsidRDefault="00CB5041">
            <w:pPr>
              <w:pStyle w:val="TableParagraph"/>
              <w:spacing w:line="208" w:lineRule="exact"/>
              <w:ind w:left="325" w:right="234"/>
              <w:jc w:val="center"/>
              <w:rPr>
                <w:sz w:val="20"/>
              </w:rPr>
            </w:pPr>
            <w:r>
              <w:rPr>
                <w:sz w:val="20"/>
              </w:rPr>
              <w:t>28.9</w:t>
            </w:r>
          </w:p>
        </w:tc>
      </w:tr>
      <w:tr w:rsidR="006C34D9" w14:paraId="0A33A9C6" w14:textId="77777777">
        <w:trPr>
          <w:trHeight w:val="232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5275B" w14:textId="77777777" w:rsidR="006C34D9" w:rsidRDefault="00CB5041">
            <w:pPr>
              <w:pStyle w:val="TableParagraph"/>
              <w:spacing w:line="212" w:lineRule="exact"/>
              <w:ind w:left="56"/>
              <w:rPr>
                <w:sz w:val="20"/>
              </w:rPr>
            </w:pPr>
            <w:r>
              <w:rPr>
                <w:sz w:val="20"/>
              </w:rPr>
              <w:t>HAQ-DI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(adjusted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baseline)</w:t>
            </w:r>
          </w:p>
        </w:tc>
      </w:tr>
      <w:tr w:rsidR="006C34D9" w14:paraId="34D92A45" w14:textId="77777777">
        <w:trPr>
          <w:trHeight w:val="228"/>
        </w:trPr>
        <w:tc>
          <w:tcPr>
            <w:tcW w:w="37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B04D0FD" w14:textId="77777777" w:rsidR="006C34D9" w:rsidRDefault="00CB5041">
            <w:pPr>
              <w:pStyle w:val="TableParagraph"/>
              <w:spacing w:line="208" w:lineRule="exact"/>
              <w:ind w:left="56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</w:p>
        </w:tc>
        <w:tc>
          <w:tcPr>
            <w:tcW w:w="595" w:type="dxa"/>
            <w:tcBorders>
              <w:bottom w:val="single" w:sz="4" w:space="0" w:color="000000"/>
            </w:tcBorders>
          </w:tcPr>
          <w:p w14:paraId="02D285BB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14:paraId="6161084F" w14:textId="77777777" w:rsidR="006C34D9" w:rsidRDefault="00CB5041">
            <w:pPr>
              <w:pStyle w:val="TableParagraph"/>
              <w:spacing w:line="208" w:lineRule="exact"/>
              <w:ind w:left="43"/>
              <w:rPr>
                <w:sz w:val="20"/>
              </w:rPr>
            </w:pPr>
            <w:r>
              <w:rPr>
                <w:sz w:val="20"/>
              </w:rPr>
              <w:t>-0.81*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6288B370" w14:textId="77777777" w:rsidR="006C34D9" w:rsidRDefault="00CB5041">
            <w:pPr>
              <w:pStyle w:val="TableParagraph"/>
              <w:spacing w:line="208" w:lineRule="exact"/>
              <w:ind w:left="570"/>
              <w:rPr>
                <w:sz w:val="20"/>
              </w:rPr>
            </w:pPr>
            <w:r>
              <w:rPr>
                <w:sz w:val="20"/>
              </w:rPr>
              <w:t>-0.67</w:t>
            </w:r>
          </w:p>
        </w:tc>
        <w:tc>
          <w:tcPr>
            <w:tcW w:w="1784" w:type="dxa"/>
            <w:tcBorders>
              <w:bottom w:val="single" w:sz="4" w:space="0" w:color="000000"/>
              <w:right w:val="single" w:sz="4" w:space="0" w:color="000000"/>
            </w:tcBorders>
          </w:tcPr>
          <w:p w14:paraId="3158C062" w14:textId="77777777" w:rsidR="006C34D9" w:rsidRDefault="00CB5041">
            <w:pPr>
              <w:pStyle w:val="TableParagraph"/>
              <w:spacing w:line="208" w:lineRule="exact"/>
              <w:ind w:left="325" w:right="234"/>
              <w:jc w:val="center"/>
              <w:rPr>
                <w:sz w:val="20"/>
              </w:rPr>
            </w:pPr>
            <w:r>
              <w:rPr>
                <w:sz w:val="20"/>
              </w:rPr>
              <w:t>-0.64</w:t>
            </w:r>
          </w:p>
        </w:tc>
      </w:tr>
      <w:tr w:rsidR="006C34D9" w14:paraId="0D8A9116" w14:textId="77777777">
        <w:trPr>
          <w:trHeight w:val="229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7B87" w14:textId="77777777" w:rsidR="006C34D9" w:rsidRDefault="00CB5041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Radiographic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(mean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change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baseline)</w:t>
            </w:r>
          </w:p>
        </w:tc>
      </w:tr>
      <w:tr w:rsidR="006C34D9" w14:paraId="0661B95F" w14:textId="77777777">
        <w:trPr>
          <w:trHeight w:val="23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</w:tcPr>
          <w:p w14:paraId="17EC9E76" w14:textId="77777777" w:rsidR="006C34D9" w:rsidRDefault="00CB5041">
            <w:pPr>
              <w:pStyle w:val="TableParagraph"/>
              <w:spacing w:line="212" w:lineRule="exact"/>
              <w:ind w:left="56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</w:p>
        </w:tc>
        <w:tc>
          <w:tcPr>
            <w:tcW w:w="1006" w:type="dxa"/>
            <w:tcBorders>
              <w:top w:val="single" w:sz="4" w:space="0" w:color="000000"/>
            </w:tcBorders>
          </w:tcPr>
          <w:p w14:paraId="6B87C172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</w:tcBorders>
          </w:tcPr>
          <w:p w14:paraId="5215358A" w14:textId="77777777" w:rsidR="006C34D9" w:rsidRDefault="00CB5041">
            <w:pPr>
              <w:pStyle w:val="TableParagraph"/>
              <w:spacing w:line="212" w:lineRule="exact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mTSS</w:t>
            </w:r>
            <w:proofErr w:type="spellEnd"/>
            <w:r>
              <w:rPr>
                <w:sz w:val="20"/>
                <w:vertAlign w:val="superscript"/>
              </w:rPr>
              <w:t>#</w:t>
            </w:r>
          </w:p>
        </w:tc>
        <w:tc>
          <w:tcPr>
            <w:tcW w:w="595" w:type="dxa"/>
            <w:tcBorders>
              <w:top w:val="single" w:sz="4" w:space="0" w:color="000000"/>
            </w:tcBorders>
          </w:tcPr>
          <w:p w14:paraId="12B3C42E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</w:tcBorders>
          </w:tcPr>
          <w:p w14:paraId="1579D269" w14:textId="77777777" w:rsidR="006C34D9" w:rsidRDefault="00CB5041">
            <w:pPr>
              <w:pStyle w:val="TableParagraph"/>
              <w:spacing w:line="212" w:lineRule="exact"/>
              <w:ind w:left="0" w:right="168"/>
              <w:jc w:val="right"/>
              <w:rPr>
                <w:sz w:val="20"/>
              </w:rPr>
            </w:pPr>
            <w:r>
              <w:rPr>
                <w:sz w:val="20"/>
              </w:rPr>
              <w:t>0.08***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7D89B45F" w14:textId="77777777" w:rsidR="006C34D9" w:rsidRDefault="00CB5041">
            <w:pPr>
              <w:pStyle w:val="TableParagraph"/>
              <w:spacing w:line="212" w:lineRule="exact"/>
              <w:ind w:left="113" w:right="164"/>
              <w:jc w:val="center"/>
              <w:rPr>
                <w:sz w:val="20"/>
              </w:rPr>
            </w:pPr>
            <w:r>
              <w:rPr>
                <w:sz w:val="20"/>
              </w:rPr>
              <w:t>0.26</w:t>
            </w:r>
          </w:p>
        </w:tc>
        <w:tc>
          <w:tcPr>
            <w:tcW w:w="1784" w:type="dxa"/>
            <w:tcBorders>
              <w:top w:val="single" w:sz="4" w:space="0" w:color="000000"/>
              <w:right w:val="single" w:sz="4" w:space="0" w:color="000000"/>
            </w:tcBorders>
          </w:tcPr>
          <w:p w14:paraId="26D9A37D" w14:textId="77777777" w:rsidR="006C34D9" w:rsidRDefault="00CB5041">
            <w:pPr>
              <w:pStyle w:val="TableParagraph"/>
              <w:spacing w:line="212" w:lineRule="exact"/>
              <w:ind w:left="277" w:right="322"/>
              <w:jc w:val="center"/>
              <w:rPr>
                <w:sz w:val="20"/>
              </w:rPr>
            </w:pPr>
            <w:r>
              <w:rPr>
                <w:sz w:val="20"/>
              </w:rPr>
              <w:t>1.14</w:t>
            </w:r>
          </w:p>
        </w:tc>
      </w:tr>
      <w:tr w:rsidR="006C34D9" w14:paraId="550199B9" w14:textId="77777777">
        <w:trPr>
          <w:trHeight w:val="229"/>
        </w:trPr>
        <w:tc>
          <w:tcPr>
            <w:tcW w:w="4310" w:type="dxa"/>
            <w:gridSpan w:val="4"/>
            <w:tcBorders>
              <w:left w:val="single" w:sz="4" w:space="0" w:color="000000"/>
            </w:tcBorders>
          </w:tcPr>
          <w:p w14:paraId="6E112582" w14:textId="77777777" w:rsidR="006C34D9" w:rsidRDefault="00CB5041">
            <w:pPr>
              <w:pStyle w:val="TableParagraph"/>
              <w:spacing w:line="210" w:lineRule="exact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Erosion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</w:p>
        </w:tc>
        <w:tc>
          <w:tcPr>
            <w:tcW w:w="940" w:type="dxa"/>
          </w:tcPr>
          <w:p w14:paraId="22D8EEAE" w14:textId="77777777" w:rsidR="006C34D9" w:rsidRDefault="00CB5041">
            <w:pPr>
              <w:pStyle w:val="TableParagraph"/>
              <w:spacing w:line="210" w:lineRule="exact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>0.05**</w:t>
            </w:r>
          </w:p>
        </w:tc>
        <w:tc>
          <w:tcPr>
            <w:tcW w:w="1471" w:type="dxa"/>
          </w:tcPr>
          <w:p w14:paraId="774945D3" w14:textId="77777777" w:rsidR="006C34D9" w:rsidRDefault="00CB5041">
            <w:pPr>
              <w:pStyle w:val="TableParagraph"/>
              <w:spacing w:line="210" w:lineRule="exact"/>
              <w:ind w:left="113" w:right="164"/>
              <w:jc w:val="center"/>
              <w:rPr>
                <w:sz w:val="20"/>
              </w:rPr>
            </w:pPr>
            <w:r>
              <w:rPr>
                <w:sz w:val="20"/>
              </w:rPr>
              <w:t>0.15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5108ADD5" w14:textId="77777777" w:rsidR="006C34D9" w:rsidRDefault="00CB5041">
            <w:pPr>
              <w:pStyle w:val="TableParagraph"/>
              <w:spacing w:line="210" w:lineRule="exact"/>
              <w:ind w:left="277" w:right="322"/>
              <w:jc w:val="center"/>
              <w:rPr>
                <w:sz w:val="20"/>
              </w:rPr>
            </w:pPr>
            <w:r>
              <w:rPr>
                <w:sz w:val="20"/>
              </w:rPr>
              <w:t>0.63</w:t>
            </w:r>
          </w:p>
        </w:tc>
      </w:tr>
      <w:tr w:rsidR="006C34D9" w14:paraId="43C3F272" w14:textId="77777777">
        <w:trPr>
          <w:trHeight w:val="226"/>
        </w:trPr>
        <w:tc>
          <w:tcPr>
            <w:tcW w:w="3715" w:type="dxa"/>
            <w:gridSpan w:val="3"/>
            <w:tcBorders>
              <w:left w:val="single" w:sz="4" w:space="0" w:color="000000"/>
            </w:tcBorders>
          </w:tcPr>
          <w:p w14:paraId="397323C7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95" w:type="dxa"/>
          </w:tcPr>
          <w:p w14:paraId="11304D68" w14:textId="77777777" w:rsidR="006C34D9" w:rsidRDefault="00CB5041">
            <w:pPr>
              <w:pStyle w:val="TableParagraph"/>
              <w:spacing w:line="207" w:lineRule="exact"/>
              <w:ind w:left="151"/>
              <w:rPr>
                <w:sz w:val="20"/>
              </w:rPr>
            </w:pPr>
            <w:r>
              <w:rPr>
                <w:sz w:val="20"/>
              </w:rPr>
              <w:t>JSN</w:t>
            </w:r>
          </w:p>
        </w:tc>
        <w:tc>
          <w:tcPr>
            <w:tcW w:w="940" w:type="dxa"/>
          </w:tcPr>
          <w:p w14:paraId="05164688" w14:textId="77777777" w:rsidR="006C34D9" w:rsidRDefault="00CB5041">
            <w:pPr>
              <w:pStyle w:val="TableParagraph"/>
              <w:spacing w:line="207" w:lineRule="exact"/>
              <w:ind w:left="267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1471" w:type="dxa"/>
          </w:tcPr>
          <w:p w14:paraId="429C8847" w14:textId="77777777" w:rsidR="006C34D9" w:rsidRDefault="00CB5041">
            <w:pPr>
              <w:pStyle w:val="TableParagraph"/>
              <w:spacing w:line="207" w:lineRule="exact"/>
              <w:ind w:left="113" w:right="164"/>
              <w:jc w:val="center"/>
              <w:rPr>
                <w:sz w:val="20"/>
              </w:rPr>
            </w:pPr>
            <w:r>
              <w:rPr>
                <w:sz w:val="20"/>
              </w:rPr>
              <w:t>0.11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0A24E077" w14:textId="77777777" w:rsidR="006C34D9" w:rsidRDefault="00CB5041">
            <w:pPr>
              <w:pStyle w:val="TableParagraph"/>
              <w:spacing w:line="207" w:lineRule="exact"/>
              <w:ind w:left="277" w:right="322"/>
              <w:jc w:val="center"/>
              <w:rPr>
                <w:sz w:val="20"/>
              </w:rPr>
            </w:pPr>
            <w:r>
              <w:rPr>
                <w:sz w:val="20"/>
              </w:rPr>
              <w:t>0.51</w:t>
            </w:r>
          </w:p>
        </w:tc>
      </w:tr>
      <w:tr w:rsidR="006C34D9" w14:paraId="199A6601" w14:textId="77777777">
        <w:trPr>
          <w:trHeight w:val="490"/>
        </w:trPr>
        <w:tc>
          <w:tcPr>
            <w:tcW w:w="431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F38E89D" w14:textId="77777777" w:rsidR="006C34D9" w:rsidRDefault="00CB5041">
            <w:pPr>
              <w:pStyle w:val="TableParagraph"/>
              <w:spacing w:line="229" w:lineRule="exact"/>
              <w:ind w:left="0" w:right="103"/>
              <w:jc w:val="right"/>
              <w:rPr>
                <w:sz w:val="20"/>
              </w:rPr>
            </w:pPr>
            <w:r>
              <w:rPr>
                <w:sz w:val="20"/>
              </w:rPr>
              <w:t>Radiographic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non-progression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  <w:p w14:paraId="5540A9C6" w14:textId="77777777" w:rsidR="006C34D9" w:rsidRDefault="00CB5041">
            <w:pPr>
              <w:pStyle w:val="TableParagraph"/>
              <w:spacing w:before="4" w:line="237" w:lineRule="exact"/>
              <w:ind w:left="0" w:right="104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(change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from baseline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mTSS</w:t>
            </w:r>
            <w:proofErr w:type="spellEnd"/>
            <w:r>
              <w:rPr>
                <w:sz w:val="20"/>
                <w:vertAlign w:val="superscript"/>
              </w:rPr>
              <w:t>#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SimSun" w:hAnsi="SimSun"/>
                <w:sz w:val="20"/>
              </w:rPr>
              <w:t>≤</w:t>
            </w:r>
            <w:r>
              <w:rPr>
                <w:rFonts w:ascii="SimSun" w:hAnsi="SimSun"/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0)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14:paraId="2CBDE97F" w14:textId="77777777" w:rsidR="006C34D9" w:rsidRDefault="00CB5041">
            <w:pPr>
              <w:pStyle w:val="TableParagraph"/>
              <w:spacing w:line="229" w:lineRule="exact"/>
              <w:ind w:left="310"/>
              <w:rPr>
                <w:b/>
                <w:sz w:val="20"/>
              </w:rPr>
            </w:pPr>
            <w:r>
              <w:rPr>
                <w:sz w:val="20"/>
              </w:rPr>
              <w:t>83</w:t>
            </w:r>
            <w:r>
              <w:rPr>
                <w:b/>
                <w:sz w:val="20"/>
                <w:vertAlign w:val="superscript"/>
              </w:rPr>
              <w:t>‡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0CB37B71" w14:textId="77777777" w:rsidR="006C34D9" w:rsidRDefault="00CB5041">
            <w:pPr>
              <w:pStyle w:val="TableParagraph"/>
              <w:spacing w:line="229" w:lineRule="exact"/>
              <w:ind w:left="113" w:right="164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82</w:t>
            </w:r>
            <w:r>
              <w:rPr>
                <w:b/>
                <w:sz w:val="20"/>
                <w:vertAlign w:val="superscript"/>
              </w:rPr>
              <w:t>‡</w:t>
            </w:r>
          </w:p>
        </w:tc>
        <w:tc>
          <w:tcPr>
            <w:tcW w:w="1784" w:type="dxa"/>
            <w:tcBorders>
              <w:bottom w:val="single" w:sz="4" w:space="0" w:color="000000"/>
              <w:right w:val="single" w:sz="4" w:space="0" w:color="000000"/>
            </w:tcBorders>
          </w:tcPr>
          <w:p w14:paraId="5C934A68" w14:textId="77777777" w:rsidR="006C34D9" w:rsidRDefault="00CB5041">
            <w:pPr>
              <w:pStyle w:val="TableParagraph"/>
              <w:spacing w:line="229" w:lineRule="exact"/>
              <w:ind w:left="276" w:right="322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</w:tbl>
    <w:p w14:paraId="5347EF42" w14:textId="77777777" w:rsidR="006C34D9" w:rsidRDefault="00CB5041">
      <w:pPr>
        <w:spacing w:before="5" w:line="205" w:lineRule="exact"/>
        <w:ind w:left="660"/>
        <w:jc w:val="both"/>
        <w:rPr>
          <w:sz w:val="18"/>
        </w:rPr>
      </w:pP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efficacy</w:t>
      </w:r>
      <w:r>
        <w:rPr>
          <w:spacing w:val="-1"/>
          <w:sz w:val="18"/>
        </w:rPr>
        <w:t xml:space="preserve"> </w:t>
      </w:r>
      <w:r>
        <w:rPr>
          <w:sz w:val="18"/>
        </w:rPr>
        <w:t>comparisons</w:t>
      </w:r>
      <w:r>
        <w:rPr>
          <w:spacing w:val="-1"/>
          <w:sz w:val="18"/>
        </w:rPr>
        <w:t xml:space="preserve"> </w:t>
      </w:r>
      <w:r>
        <w:rPr>
          <w:sz w:val="18"/>
        </w:rPr>
        <w:t>vs</w:t>
      </w:r>
      <w:r>
        <w:rPr>
          <w:spacing w:val="-1"/>
          <w:sz w:val="18"/>
        </w:rPr>
        <w:t xml:space="preserve"> </w:t>
      </w:r>
      <w:r>
        <w:rPr>
          <w:sz w:val="18"/>
        </w:rPr>
        <w:t>Placebo</w:t>
      </w:r>
      <w:r>
        <w:rPr>
          <w:spacing w:val="-1"/>
          <w:sz w:val="18"/>
        </w:rPr>
        <w:t xml:space="preserve"> </w:t>
      </w:r>
      <w:r>
        <w:rPr>
          <w:sz w:val="18"/>
        </w:rPr>
        <w:t>+</w:t>
      </w:r>
      <w:r>
        <w:rPr>
          <w:spacing w:val="-2"/>
          <w:sz w:val="18"/>
        </w:rPr>
        <w:t xml:space="preserve"> </w:t>
      </w:r>
      <w:r>
        <w:rPr>
          <w:sz w:val="18"/>
        </w:rPr>
        <w:t>MTX.</w:t>
      </w:r>
      <w:r>
        <w:rPr>
          <w:spacing w:val="-1"/>
          <w:sz w:val="18"/>
        </w:rPr>
        <w:t xml:space="preserve"> </w:t>
      </w:r>
      <w:r>
        <w:rPr>
          <w:sz w:val="18"/>
        </w:rPr>
        <w:t>***p</w:t>
      </w:r>
      <w:r>
        <w:rPr>
          <w:spacing w:val="-1"/>
          <w:sz w:val="18"/>
        </w:rPr>
        <w:t xml:space="preserve"> </w:t>
      </w:r>
      <w:r>
        <w:rPr>
          <w:sz w:val="18"/>
        </w:rPr>
        <w:t>≤</w:t>
      </w:r>
      <w:r>
        <w:rPr>
          <w:spacing w:val="-1"/>
          <w:sz w:val="18"/>
        </w:rPr>
        <w:t xml:space="preserve"> </w:t>
      </w:r>
      <w:r>
        <w:rPr>
          <w:sz w:val="18"/>
        </w:rPr>
        <w:t>0.0001;</w:t>
      </w:r>
      <w:r>
        <w:rPr>
          <w:spacing w:val="-1"/>
          <w:sz w:val="18"/>
        </w:rPr>
        <w:t xml:space="preserve"> </w:t>
      </w:r>
      <w:r>
        <w:rPr>
          <w:sz w:val="18"/>
        </w:rPr>
        <w:t>**p</w:t>
      </w:r>
      <w:r>
        <w:rPr>
          <w:spacing w:val="-3"/>
          <w:sz w:val="18"/>
        </w:rPr>
        <w:t xml:space="preserve"> </w:t>
      </w:r>
      <w:r>
        <w:rPr>
          <w:sz w:val="18"/>
        </w:rPr>
        <w:t>&lt; 0.001; *p</w:t>
      </w:r>
      <w:r>
        <w:rPr>
          <w:spacing w:val="-2"/>
          <w:sz w:val="18"/>
        </w:rPr>
        <w:t xml:space="preserve"> </w:t>
      </w:r>
      <w:r>
        <w:rPr>
          <w:sz w:val="18"/>
        </w:rPr>
        <w:t>&lt;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0.05;</w:t>
      </w:r>
      <w:proofErr w:type="gramEnd"/>
    </w:p>
    <w:p w14:paraId="09B287FA" w14:textId="77777777" w:rsidR="006C34D9" w:rsidRDefault="00CB5041">
      <w:pPr>
        <w:spacing w:line="209" w:lineRule="exact"/>
        <w:ind w:left="660"/>
        <w:jc w:val="both"/>
        <w:rPr>
          <w:sz w:val="18"/>
        </w:rPr>
      </w:pPr>
      <w:r>
        <w:rPr>
          <w:position w:val="6"/>
          <w:sz w:val="12"/>
        </w:rPr>
        <w:t>#</w:t>
      </w:r>
      <w:r>
        <w:rPr>
          <w:spacing w:val="30"/>
          <w:position w:val="6"/>
          <w:sz w:val="12"/>
        </w:rPr>
        <w:t xml:space="preserve"> </w:t>
      </w:r>
      <w:proofErr w:type="spellStart"/>
      <w:r>
        <w:rPr>
          <w:sz w:val="18"/>
        </w:rPr>
        <w:t>mTSS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= modified</w:t>
      </w:r>
      <w:r>
        <w:rPr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spacing w:val="-1"/>
          <w:sz w:val="18"/>
        </w:rPr>
        <w:t xml:space="preserve"> </w:t>
      </w:r>
      <w:r>
        <w:rPr>
          <w:sz w:val="18"/>
        </w:rPr>
        <w:t>Sharp</w:t>
      </w:r>
      <w:r>
        <w:rPr>
          <w:spacing w:val="-2"/>
          <w:sz w:val="18"/>
        </w:rPr>
        <w:t xml:space="preserve"> </w:t>
      </w:r>
      <w:r>
        <w:rPr>
          <w:sz w:val="18"/>
        </w:rPr>
        <w:t>score</w:t>
      </w:r>
    </w:p>
    <w:p w14:paraId="211742DC" w14:textId="77777777" w:rsidR="006C34D9" w:rsidRDefault="006C34D9">
      <w:pPr>
        <w:pStyle w:val="BodyText"/>
        <w:spacing w:before="7"/>
        <w:ind w:left="0"/>
        <w:rPr>
          <w:sz w:val="17"/>
        </w:rPr>
      </w:pPr>
    </w:p>
    <w:p w14:paraId="146CBEE0" w14:textId="77777777" w:rsidR="006C34D9" w:rsidRDefault="00CB5041">
      <w:pPr>
        <w:pStyle w:val="BodyText"/>
        <w:jc w:val="both"/>
      </w:pPr>
      <w:bookmarkStart w:id="102" w:name="Actemra_versus_adalimumab_in_monotherapy"/>
      <w:bookmarkEnd w:id="102"/>
      <w:r>
        <w:rPr>
          <w:u w:val="single"/>
        </w:rPr>
        <w:t>Actemra</w:t>
      </w:r>
      <w:r>
        <w:rPr>
          <w:spacing w:val="-3"/>
          <w:u w:val="single"/>
        </w:rPr>
        <w:t xml:space="preserve"> </w:t>
      </w:r>
      <w:r>
        <w:rPr>
          <w:u w:val="single"/>
        </w:rPr>
        <w:t>versus</w:t>
      </w:r>
      <w:r>
        <w:rPr>
          <w:spacing w:val="-2"/>
          <w:u w:val="single"/>
        </w:rPr>
        <w:t xml:space="preserve"> </w:t>
      </w:r>
      <w:r>
        <w:rPr>
          <w:u w:val="single"/>
        </w:rPr>
        <w:t>adalimumab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monotherapy</w:t>
      </w:r>
    </w:p>
    <w:p w14:paraId="2AE35FC2" w14:textId="77777777" w:rsidR="006C34D9" w:rsidRDefault="00CB5041">
      <w:pPr>
        <w:pStyle w:val="BodyText"/>
        <w:ind w:right="657"/>
        <w:jc w:val="both"/>
      </w:pPr>
      <w:r>
        <w:t>Study</w:t>
      </w:r>
      <w:r>
        <w:rPr>
          <w:spacing w:val="-12"/>
        </w:rPr>
        <w:t xml:space="preserve"> </w:t>
      </w:r>
      <w:r>
        <w:t>IX</w:t>
      </w:r>
      <w:r>
        <w:rPr>
          <w:spacing w:val="-13"/>
        </w:rPr>
        <w:t xml:space="preserve"> </w:t>
      </w:r>
      <w:r>
        <w:t>(ADACTA)</w:t>
      </w:r>
      <w:r>
        <w:rPr>
          <w:spacing w:val="-11"/>
        </w:rPr>
        <w:t xml:space="preserve"> </w:t>
      </w:r>
      <w:r>
        <w:t>evaluated</w:t>
      </w:r>
      <w:r>
        <w:rPr>
          <w:spacing w:val="-12"/>
        </w:rPr>
        <w:t xml:space="preserve"> </w:t>
      </w:r>
      <w:r>
        <w:t>326</w:t>
      </w:r>
      <w:r>
        <w:rPr>
          <w:spacing w:val="-13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RA</w:t>
      </w:r>
      <w:r>
        <w:rPr>
          <w:spacing w:val="-12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intolerant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MTX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whom</w:t>
      </w:r>
      <w:r>
        <w:rPr>
          <w:spacing w:val="-58"/>
        </w:rPr>
        <w:t xml:space="preserve"> </w:t>
      </w:r>
      <w:r>
        <w:t>continued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MTX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inappropriate,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MTX</w:t>
      </w:r>
      <w:r>
        <w:rPr>
          <w:spacing w:val="1"/>
        </w:rPr>
        <w:t xml:space="preserve"> </w:t>
      </w:r>
      <w:r>
        <w:t>inadequate</w:t>
      </w:r>
      <w:r>
        <w:rPr>
          <w:spacing w:val="1"/>
        </w:rPr>
        <w:t xml:space="preserve"> </w:t>
      </w:r>
      <w:r>
        <w:t>responders.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arm received</w:t>
      </w:r>
      <w:r>
        <w:rPr>
          <w:spacing w:val="1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intravenous</w:t>
      </w:r>
      <w:r>
        <w:rPr>
          <w:spacing w:val="-9"/>
        </w:rPr>
        <w:t xml:space="preserve"> </w:t>
      </w:r>
      <w:r>
        <w:t>(IV)</w:t>
      </w:r>
      <w:r>
        <w:rPr>
          <w:spacing w:val="-7"/>
        </w:rPr>
        <w:t xml:space="preserve"> </w:t>
      </w:r>
      <w:r>
        <w:t>infusion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Actemra</w:t>
      </w:r>
      <w:r>
        <w:rPr>
          <w:spacing w:val="-7"/>
        </w:rPr>
        <w:t xml:space="preserve"> </w:t>
      </w:r>
      <w:r>
        <w:t>(8</w:t>
      </w:r>
      <w:r>
        <w:rPr>
          <w:spacing w:val="-6"/>
        </w:rPr>
        <w:t xml:space="preserve"> </w:t>
      </w:r>
      <w:r>
        <w:t>mg/kg)</w:t>
      </w:r>
      <w:r>
        <w:rPr>
          <w:spacing w:val="-7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weeks</w:t>
      </w:r>
      <w:r>
        <w:rPr>
          <w:spacing w:val="-7"/>
        </w:rPr>
        <w:t xml:space="preserve"> </w:t>
      </w:r>
      <w:r>
        <w:t>(q4w)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subcutaneous</w:t>
      </w:r>
      <w:r>
        <w:rPr>
          <w:spacing w:val="-7"/>
        </w:rPr>
        <w:t xml:space="preserve"> </w:t>
      </w:r>
      <w:r>
        <w:t>(SC)</w:t>
      </w:r>
      <w:r>
        <w:rPr>
          <w:spacing w:val="-58"/>
        </w:rPr>
        <w:t xml:space="preserve"> </w:t>
      </w:r>
      <w:r>
        <w:t>placebo</w:t>
      </w:r>
      <w:r>
        <w:rPr>
          <w:spacing w:val="1"/>
        </w:rPr>
        <w:t xml:space="preserve"> </w:t>
      </w:r>
      <w:r>
        <w:t>injection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>(q2w).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adalimumab</w:t>
      </w:r>
      <w:r>
        <w:rPr>
          <w:spacing w:val="1"/>
        </w:rPr>
        <w:t xml:space="preserve"> </w:t>
      </w:r>
      <w:r>
        <w:t>arm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adalimumab SC</w:t>
      </w:r>
      <w:r>
        <w:rPr>
          <w:spacing w:val="-1"/>
        </w:rPr>
        <w:t xml:space="preserve"> </w:t>
      </w:r>
      <w:r>
        <w:t>injection (40</w:t>
      </w:r>
      <w:r>
        <w:rPr>
          <w:spacing w:val="-1"/>
        </w:rPr>
        <w:t xml:space="preserve"> </w:t>
      </w:r>
      <w:r>
        <w:t>mg) q2w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an IV</w:t>
      </w:r>
      <w:r>
        <w:rPr>
          <w:spacing w:val="-1"/>
        </w:rPr>
        <w:t xml:space="preserve"> </w:t>
      </w:r>
      <w:r>
        <w:t>placebo infusion</w:t>
      </w:r>
      <w:r>
        <w:rPr>
          <w:spacing w:val="-1"/>
        </w:rPr>
        <w:t xml:space="preserve"> </w:t>
      </w:r>
      <w:r>
        <w:t>q4w.</w:t>
      </w:r>
    </w:p>
    <w:p w14:paraId="6FDD5AC8" w14:textId="77777777" w:rsidR="006C34D9" w:rsidRDefault="006C34D9">
      <w:pPr>
        <w:pStyle w:val="BodyText"/>
        <w:ind w:left="0"/>
      </w:pPr>
    </w:p>
    <w:p w14:paraId="19F0AB89" w14:textId="700306D0" w:rsidR="00E656C3" w:rsidRDefault="00CB5041">
      <w:pPr>
        <w:pStyle w:val="BodyText"/>
        <w:spacing w:before="1"/>
        <w:ind w:right="657"/>
        <w:jc w:val="both"/>
      </w:pPr>
      <w:r>
        <w:t>A</w:t>
      </w:r>
      <w:r>
        <w:rPr>
          <w:spacing w:val="1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favour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over</w:t>
      </w:r>
      <w:r>
        <w:rPr>
          <w:spacing w:val="-57"/>
        </w:rPr>
        <w:t xml:space="preserve"> </w:t>
      </w:r>
      <w:r>
        <w:t>adalimumab in control of disease activity from baseline to week 24 for the primary endpoint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change in</w:t>
      </w:r>
      <w:r>
        <w:rPr>
          <w:spacing w:val="-2"/>
        </w:rPr>
        <w:t xml:space="preserve"> </w:t>
      </w:r>
      <w:r>
        <w:t>DAS28 and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 secondary endpoints (Table</w:t>
      </w:r>
      <w:r>
        <w:rPr>
          <w:spacing w:val="-1"/>
        </w:rPr>
        <w:t xml:space="preserve"> </w:t>
      </w:r>
      <w:r>
        <w:t>9).</w:t>
      </w:r>
    </w:p>
    <w:p w14:paraId="3F295160" w14:textId="77777777" w:rsidR="00E656C3" w:rsidRDefault="00E656C3">
      <w:pPr>
        <w:rPr>
          <w:sz w:val="24"/>
          <w:szCs w:val="24"/>
        </w:rPr>
      </w:pPr>
      <w:r>
        <w:br w:type="page"/>
      </w:r>
    </w:p>
    <w:p w14:paraId="088CD8A1" w14:textId="77777777" w:rsidR="006C34D9" w:rsidRDefault="00CB5041" w:rsidP="00E656C3">
      <w:pPr>
        <w:pStyle w:val="Heading2"/>
        <w:spacing w:after="120"/>
        <w:ind w:left="658"/>
      </w:pPr>
      <w:r>
        <w:lastRenderedPageBreak/>
        <w:t>Table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Efficacy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(ADACTA)</w:t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2049"/>
        <w:gridCol w:w="1661"/>
        <w:gridCol w:w="968"/>
      </w:tblGrid>
      <w:tr w:rsidR="006C34D9" w14:paraId="4A063527" w14:textId="77777777">
        <w:trPr>
          <w:trHeight w:val="97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5E2A1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</w:tcBorders>
          </w:tcPr>
          <w:p w14:paraId="27C40CD6" w14:textId="77777777" w:rsidR="006C34D9" w:rsidRDefault="00CB5041">
            <w:pPr>
              <w:pStyle w:val="TableParagraph"/>
              <w:spacing w:before="107"/>
              <w:ind w:left="756" w:right="112"/>
              <w:jc w:val="center"/>
              <w:rPr>
                <w:b/>
              </w:rPr>
            </w:pP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+</w:t>
            </w:r>
          </w:p>
          <w:p w14:paraId="272D391F" w14:textId="77777777" w:rsidR="006C34D9" w:rsidRDefault="00CB5041">
            <w:pPr>
              <w:pStyle w:val="TableParagraph"/>
              <w:spacing w:before="1"/>
              <w:ind w:left="756" w:right="112"/>
              <w:jc w:val="center"/>
              <w:rPr>
                <w:b/>
              </w:rPr>
            </w:pPr>
            <w:r>
              <w:rPr>
                <w:b/>
              </w:rPr>
              <w:t>Placebo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(IV)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n=162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14:paraId="0CF529C4" w14:textId="77777777" w:rsidR="006C34D9" w:rsidRDefault="00CB5041">
            <w:pPr>
              <w:pStyle w:val="TableParagraph"/>
              <w:spacing w:before="107"/>
              <w:ind w:left="552" w:right="101" w:hanging="429"/>
              <w:rPr>
                <w:b/>
              </w:rPr>
            </w:pPr>
            <w:r>
              <w:rPr>
                <w:b/>
              </w:rPr>
              <w:t>ACT + Placebo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(SC)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n=163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ECF7" w14:textId="77777777" w:rsidR="006C34D9" w:rsidRDefault="006C34D9">
            <w:pPr>
              <w:pStyle w:val="TableParagraph"/>
              <w:ind w:left="0"/>
              <w:rPr>
                <w:b/>
                <w:sz w:val="24"/>
              </w:rPr>
            </w:pPr>
          </w:p>
          <w:p w14:paraId="79429260" w14:textId="77777777" w:rsidR="006C34D9" w:rsidRDefault="006C34D9">
            <w:pPr>
              <w:pStyle w:val="TableParagraph"/>
              <w:ind w:left="0"/>
              <w:rPr>
                <w:b/>
                <w:sz w:val="24"/>
              </w:rPr>
            </w:pPr>
          </w:p>
          <w:p w14:paraId="09F65421" w14:textId="77777777" w:rsidR="006C34D9" w:rsidRDefault="00CB5041">
            <w:pPr>
              <w:pStyle w:val="TableParagraph"/>
              <w:spacing w:before="167" w:line="234" w:lineRule="exact"/>
              <w:ind w:left="108"/>
              <w:rPr>
                <w:b/>
              </w:rPr>
            </w:pPr>
            <w:r>
              <w:t>p-</w:t>
            </w:r>
            <w:proofErr w:type="spellStart"/>
            <w:r>
              <w:t>value</w:t>
            </w:r>
            <w:r>
              <w:rPr>
                <w:b/>
                <w:vertAlign w:val="superscript"/>
              </w:rPr>
              <w:t>a</w:t>
            </w:r>
            <w:proofErr w:type="spellEnd"/>
          </w:p>
        </w:tc>
      </w:tr>
      <w:tr w:rsidR="006C34D9" w14:paraId="76F97D3F" w14:textId="77777777">
        <w:trPr>
          <w:trHeight w:val="36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F7BA" w14:textId="77777777" w:rsidR="006C34D9" w:rsidRDefault="00CB5041">
            <w:pPr>
              <w:pStyle w:val="TableParagraph"/>
              <w:spacing w:line="253" w:lineRule="exact"/>
              <w:ind w:left="1518" w:right="1511"/>
              <w:jc w:val="center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Endpoint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baseline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Week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24</w:t>
            </w:r>
          </w:p>
        </w:tc>
      </w:tr>
      <w:tr w:rsidR="006C34D9" w14:paraId="6537D4BE" w14:textId="77777777">
        <w:trPr>
          <w:trHeight w:val="32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</w:tcBorders>
          </w:tcPr>
          <w:p w14:paraId="5C46E2A1" w14:textId="77777777" w:rsidR="006C34D9" w:rsidRDefault="00CB5041">
            <w:pPr>
              <w:pStyle w:val="TableParagraph"/>
              <w:spacing w:line="253" w:lineRule="exact"/>
              <w:ind w:left="0" w:right="926"/>
              <w:jc w:val="right"/>
              <w:rPr>
                <w:b/>
              </w:rPr>
            </w:pPr>
            <w:r>
              <w:rPr>
                <w:b/>
              </w:rPr>
              <w:t>DAS28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(adjusted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mean)</w:t>
            </w:r>
          </w:p>
        </w:tc>
        <w:tc>
          <w:tcPr>
            <w:tcW w:w="2049" w:type="dxa"/>
            <w:tcBorders>
              <w:top w:val="single" w:sz="4" w:space="0" w:color="000000"/>
            </w:tcBorders>
          </w:tcPr>
          <w:p w14:paraId="2671275C" w14:textId="77777777" w:rsidR="006C34D9" w:rsidRDefault="00CB5041">
            <w:pPr>
              <w:pStyle w:val="TableParagraph"/>
              <w:spacing w:line="251" w:lineRule="exact"/>
              <w:ind w:left="756" w:right="112"/>
              <w:jc w:val="center"/>
            </w:pPr>
            <w:r>
              <w:t>-1.8</w:t>
            </w:r>
          </w:p>
        </w:tc>
        <w:tc>
          <w:tcPr>
            <w:tcW w:w="1661" w:type="dxa"/>
            <w:tcBorders>
              <w:top w:val="single" w:sz="4" w:space="0" w:color="000000"/>
            </w:tcBorders>
          </w:tcPr>
          <w:p w14:paraId="5DFFCB56" w14:textId="77777777" w:rsidR="006C34D9" w:rsidRDefault="00CB5041">
            <w:pPr>
              <w:pStyle w:val="TableParagraph"/>
              <w:spacing w:line="251" w:lineRule="exact"/>
              <w:ind w:left="364" w:right="341"/>
              <w:jc w:val="center"/>
            </w:pPr>
            <w:r>
              <w:t>-3.3</w:t>
            </w:r>
          </w:p>
        </w:tc>
        <w:tc>
          <w:tcPr>
            <w:tcW w:w="968" w:type="dxa"/>
            <w:tcBorders>
              <w:top w:val="single" w:sz="4" w:space="0" w:color="000000"/>
              <w:right w:val="single" w:sz="4" w:space="0" w:color="000000"/>
            </w:tcBorders>
          </w:tcPr>
          <w:p w14:paraId="3928970E" w14:textId="77777777" w:rsidR="006C34D9" w:rsidRDefault="006C34D9">
            <w:pPr>
              <w:pStyle w:val="TableParagraph"/>
              <w:ind w:left="0"/>
            </w:pPr>
          </w:p>
        </w:tc>
      </w:tr>
      <w:tr w:rsidR="006C34D9" w14:paraId="6DB24DD8" w14:textId="77777777">
        <w:trPr>
          <w:trHeight w:val="574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</w:tcBorders>
          </w:tcPr>
          <w:p w14:paraId="29E96301" w14:textId="77777777" w:rsidR="006C34D9" w:rsidRDefault="00CB5041">
            <w:pPr>
              <w:pStyle w:val="TableParagraph"/>
              <w:spacing w:before="68"/>
              <w:ind w:left="185"/>
              <w:rPr>
                <w:b/>
              </w:rPr>
            </w:pPr>
            <w:r>
              <w:rPr>
                <w:b/>
              </w:rPr>
              <w:t>Difference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adjusted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(95%</w:t>
            </w:r>
          </w:p>
          <w:p w14:paraId="7987D901" w14:textId="77777777" w:rsidR="006C34D9" w:rsidRDefault="00CB5041">
            <w:pPr>
              <w:pStyle w:val="TableParagraph"/>
              <w:spacing w:line="233" w:lineRule="exact"/>
              <w:ind w:left="0" w:right="927"/>
              <w:jc w:val="right"/>
              <w:rPr>
                <w:b/>
              </w:rPr>
            </w:pPr>
            <w:r>
              <w:rPr>
                <w:b/>
              </w:rPr>
              <w:t>CI)</w:t>
            </w:r>
          </w:p>
        </w:tc>
        <w:tc>
          <w:tcPr>
            <w:tcW w:w="3710" w:type="dxa"/>
            <w:gridSpan w:val="2"/>
            <w:tcBorders>
              <w:bottom w:val="single" w:sz="4" w:space="0" w:color="000000"/>
            </w:tcBorders>
          </w:tcPr>
          <w:p w14:paraId="6B9CEBAE" w14:textId="77777777" w:rsidR="006C34D9" w:rsidRDefault="00CB5041">
            <w:pPr>
              <w:pStyle w:val="TableParagraph"/>
              <w:spacing w:before="66"/>
              <w:ind w:left="1471"/>
            </w:pPr>
            <w:r>
              <w:t>-1.5</w:t>
            </w:r>
            <w:r>
              <w:rPr>
                <w:spacing w:val="-2"/>
              </w:rPr>
              <w:t xml:space="preserve"> </w:t>
            </w:r>
            <w:r>
              <w:t>(-1.8,</w:t>
            </w:r>
            <w:r>
              <w:rPr>
                <w:spacing w:val="-1"/>
              </w:rPr>
              <w:t xml:space="preserve"> </w:t>
            </w:r>
            <w:r>
              <w:t>-1.1)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14:paraId="7E0A56D6" w14:textId="77777777" w:rsidR="006C34D9" w:rsidRDefault="00CB5041">
            <w:pPr>
              <w:pStyle w:val="TableParagraph"/>
              <w:spacing w:before="66"/>
              <w:ind w:left="108"/>
            </w:pPr>
            <w:r>
              <w:t>&lt;0.0001</w:t>
            </w:r>
          </w:p>
        </w:tc>
      </w:tr>
      <w:tr w:rsidR="006C34D9" w14:paraId="6BB846E3" w14:textId="77777777">
        <w:trPr>
          <w:trHeight w:val="393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4C48" w14:textId="77777777" w:rsidR="006C34D9" w:rsidRDefault="00CB5041">
            <w:pPr>
              <w:pStyle w:val="TableParagraph"/>
              <w:spacing w:line="253" w:lineRule="exact"/>
              <w:ind w:left="1518" w:right="1512"/>
              <w:jc w:val="center"/>
              <w:rPr>
                <w:b/>
              </w:rPr>
            </w:pPr>
            <w:r>
              <w:rPr>
                <w:b/>
              </w:rPr>
              <w:t>Secondary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Endpoints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Percentage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Responders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(b)</w:t>
            </w:r>
          </w:p>
        </w:tc>
      </w:tr>
      <w:tr w:rsidR="006C34D9" w14:paraId="32EDAB0B" w14:textId="77777777">
        <w:trPr>
          <w:trHeight w:val="25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</w:tcBorders>
          </w:tcPr>
          <w:p w14:paraId="17845F7D" w14:textId="77777777" w:rsidR="006C34D9" w:rsidRDefault="00CB5041">
            <w:pPr>
              <w:pStyle w:val="TableParagraph"/>
              <w:spacing w:line="236" w:lineRule="exact"/>
              <w:ind w:left="0" w:right="926"/>
              <w:jc w:val="right"/>
            </w:pPr>
            <w:r>
              <w:t>DAS28</w:t>
            </w:r>
            <w:r>
              <w:rPr>
                <w:spacing w:val="-2"/>
              </w:rPr>
              <w:t xml:space="preserve"> </w:t>
            </w:r>
            <w:r>
              <w:t>&lt;</w:t>
            </w:r>
            <w:r>
              <w:rPr>
                <w:spacing w:val="-1"/>
              </w:rPr>
              <w:t xml:space="preserve"> </w:t>
            </w:r>
            <w:r>
              <w:t>2.6,</w:t>
            </w:r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t>(%)</w:t>
            </w:r>
          </w:p>
        </w:tc>
        <w:tc>
          <w:tcPr>
            <w:tcW w:w="2049" w:type="dxa"/>
            <w:tcBorders>
              <w:top w:val="single" w:sz="4" w:space="0" w:color="000000"/>
            </w:tcBorders>
          </w:tcPr>
          <w:p w14:paraId="4C4FFCFA" w14:textId="77777777" w:rsidR="006C34D9" w:rsidRDefault="00CB5041">
            <w:pPr>
              <w:pStyle w:val="TableParagraph"/>
              <w:spacing w:line="236" w:lineRule="exact"/>
              <w:ind w:left="756" w:right="110"/>
              <w:jc w:val="center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t>(10.5)</w:t>
            </w:r>
          </w:p>
        </w:tc>
        <w:tc>
          <w:tcPr>
            <w:tcW w:w="1661" w:type="dxa"/>
            <w:tcBorders>
              <w:top w:val="single" w:sz="4" w:space="0" w:color="000000"/>
            </w:tcBorders>
          </w:tcPr>
          <w:p w14:paraId="33A8CFFF" w14:textId="77777777" w:rsidR="006C34D9" w:rsidRDefault="00CB5041">
            <w:pPr>
              <w:pStyle w:val="TableParagraph"/>
              <w:spacing w:line="236" w:lineRule="exact"/>
              <w:ind w:left="365" w:right="341"/>
              <w:jc w:val="center"/>
            </w:pPr>
            <w:r>
              <w:t>65</w:t>
            </w:r>
            <w:r>
              <w:rPr>
                <w:spacing w:val="-2"/>
              </w:rPr>
              <w:t xml:space="preserve"> </w:t>
            </w:r>
            <w:r>
              <w:t>(39.9)</w:t>
            </w:r>
          </w:p>
        </w:tc>
        <w:tc>
          <w:tcPr>
            <w:tcW w:w="968" w:type="dxa"/>
            <w:tcBorders>
              <w:top w:val="single" w:sz="4" w:space="0" w:color="000000"/>
              <w:right w:val="single" w:sz="4" w:space="0" w:color="000000"/>
            </w:tcBorders>
          </w:tcPr>
          <w:p w14:paraId="6E4046EC" w14:textId="77777777" w:rsidR="006C34D9" w:rsidRDefault="00CB5041">
            <w:pPr>
              <w:pStyle w:val="TableParagraph"/>
              <w:spacing w:line="236" w:lineRule="exact"/>
              <w:ind w:left="108"/>
            </w:pPr>
            <w:r>
              <w:t>&lt;0.0001</w:t>
            </w:r>
          </w:p>
        </w:tc>
      </w:tr>
      <w:tr w:rsidR="006C34D9" w14:paraId="0B094645" w14:textId="77777777">
        <w:trPr>
          <w:trHeight w:val="253"/>
        </w:trPr>
        <w:tc>
          <w:tcPr>
            <w:tcW w:w="4339" w:type="dxa"/>
            <w:tcBorders>
              <w:left w:val="single" w:sz="4" w:space="0" w:color="000000"/>
            </w:tcBorders>
          </w:tcPr>
          <w:p w14:paraId="62C7A0A2" w14:textId="77777777" w:rsidR="006C34D9" w:rsidRDefault="00CB5041">
            <w:pPr>
              <w:pStyle w:val="TableParagraph"/>
              <w:spacing w:line="233" w:lineRule="exact"/>
              <w:ind w:left="0" w:right="926"/>
              <w:jc w:val="right"/>
            </w:pPr>
            <w:r>
              <w:t>DAS28</w:t>
            </w:r>
            <w:r>
              <w:rPr>
                <w:spacing w:val="-2"/>
              </w:rPr>
              <w:t xml:space="preserve"> </w:t>
            </w:r>
            <w:r>
              <w:t>≤</w:t>
            </w:r>
            <w:r>
              <w:rPr>
                <w:spacing w:val="-2"/>
              </w:rPr>
              <w:t xml:space="preserve"> </w:t>
            </w:r>
            <w:r>
              <w:t>3.2,</w:t>
            </w:r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t>(%)</w:t>
            </w:r>
          </w:p>
        </w:tc>
        <w:tc>
          <w:tcPr>
            <w:tcW w:w="2049" w:type="dxa"/>
          </w:tcPr>
          <w:p w14:paraId="1F6A4650" w14:textId="77777777" w:rsidR="006C34D9" w:rsidRDefault="00CB5041">
            <w:pPr>
              <w:pStyle w:val="TableParagraph"/>
              <w:spacing w:line="233" w:lineRule="exact"/>
              <w:ind w:left="756" w:right="110"/>
              <w:jc w:val="center"/>
            </w:pPr>
            <w:r>
              <w:t>32</w:t>
            </w:r>
            <w:r>
              <w:rPr>
                <w:spacing w:val="-2"/>
              </w:rPr>
              <w:t xml:space="preserve"> </w:t>
            </w:r>
            <w:r>
              <w:t>(19.8)</w:t>
            </w:r>
          </w:p>
        </w:tc>
        <w:tc>
          <w:tcPr>
            <w:tcW w:w="1661" w:type="dxa"/>
          </w:tcPr>
          <w:p w14:paraId="4B182E46" w14:textId="77777777" w:rsidR="006C34D9" w:rsidRDefault="00CB5041">
            <w:pPr>
              <w:pStyle w:val="TableParagraph"/>
              <w:spacing w:line="233" w:lineRule="exact"/>
              <w:ind w:left="365" w:right="341"/>
              <w:jc w:val="center"/>
            </w:pPr>
            <w:r>
              <w:t>84</w:t>
            </w:r>
            <w:r>
              <w:rPr>
                <w:spacing w:val="-2"/>
              </w:rPr>
              <w:t xml:space="preserve"> </w:t>
            </w:r>
            <w:r>
              <w:t>(51.5)</w:t>
            </w:r>
          </w:p>
        </w:tc>
        <w:tc>
          <w:tcPr>
            <w:tcW w:w="968" w:type="dxa"/>
            <w:tcBorders>
              <w:right w:val="single" w:sz="4" w:space="0" w:color="000000"/>
            </w:tcBorders>
          </w:tcPr>
          <w:p w14:paraId="79B40AA5" w14:textId="77777777" w:rsidR="006C34D9" w:rsidRDefault="00CB5041">
            <w:pPr>
              <w:pStyle w:val="TableParagraph"/>
              <w:spacing w:line="233" w:lineRule="exact"/>
              <w:ind w:left="108"/>
            </w:pPr>
            <w:r>
              <w:t>&lt;0.0001</w:t>
            </w:r>
          </w:p>
        </w:tc>
      </w:tr>
      <w:tr w:rsidR="006C34D9" w14:paraId="4960C9BA" w14:textId="77777777">
        <w:trPr>
          <w:trHeight w:val="252"/>
        </w:trPr>
        <w:tc>
          <w:tcPr>
            <w:tcW w:w="4339" w:type="dxa"/>
            <w:tcBorders>
              <w:left w:val="single" w:sz="4" w:space="0" w:color="000000"/>
            </w:tcBorders>
          </w:tcPr>
          <w:p w14:paraId="7DD96EF3" w14:textId="77777777" w:rsidR="006C34D9" w:rsidRDefault="00CB5041">
            <w:pPr>
              <w:pStyle w:val="TableParagraph"/>
              <w:spacing w:line="233" w:lineRule="exact"/>
              <w:ind w:left="0" w:right="926"/>
              <w:jc w:val="right"/>
            </w:pPr>
            <w:r>
              <w:t>ACR20</w:t>
            </w:r>
            <w:r>
              <w:rPr>
                <w:spacing w:val="-3"/>
              </w:rPr>
              <w:t xml:space="preserve"> </w:t>
            </w:r>
            <w:r>
              <w:t>response,</w:t>
            </w:r>
            <w:r>
              <w:rPr>
                <w:spacing w:val="-3"/>
              </w:rPr>
              <w:t xml:space="preserve"> 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(%)</w:t>
            </w:r>
          </w:p>
        </w:tc>
        <w:tc>
          <w:tcPr>
            <w:tcW w:w="2049" w:type="dxa"/>
          </w:tcPr>
          <w:p w14:paraId="19824EB9" w14:textId="77777777" w:rsidR="006C34D9" w:rsidRDefault="00CB5041">
            <w:pPr>
              <w:pStyle w:val="TableParagraph"/>
              <w:spacing w:line="233" w:lineRule="exact"/>
              <w:ind w:left="756" w:right="110"/>
              <w:jc w:val="center"/>
            </w:pPr>
            <w:r>
              <w:t>80</w:t>
            </w:r>
            <w:r>
              <w:rPr>
                <w:spacing w:val="-2"/>
              </w:rPr>
              <w:t xml:space="preserve"> </w:t>
            </w:r>
            <w:r>
              <w:t>(49.4)</w:t>
            </w:r>
          </w:p>
        </w:tc>
        <w:tc>
          <w:tcPr>
            <w:tcW w:w="1661" w:type="dxa"/>
          </w:tcPr>
          <w:p w14:paraId="3712DF28" w14:textId="77777777" w:rsidR="006C34D9" w:rsidRDefault="00CB5041">
            <w:pPr>
              <w:pStyle w:val="TableParagraph"/>
              <w:spacing w:line="233" w:lineRule="exact"/>
              <w:ind w:left="365" w:right="341"/>
              <w:jc w:val="center"/>
            </w:pPr>
            <w:r>
              <w:t>106</w:t>
            </w:r>
            <w:r>
              <w:rPr>
                <w:spacing w:val="-2"/>
              </w:rPr>
              <w:t xml:space="preserve"> </w:t>
            </w:r>
            <w:r>
              <w:t>(65.0)</w:t>
            </w:r>
          </w:p>
        </w:tc>
        <w:tc>
          <w:tcPr>
            <w:tcW w:w="968" w:type="dxa"/>
            <w:tcBorders>
              <w:right w:val="single" w:sz="4" w:space="0" w:color="000000"/>
            </w:tcBorders>
          </w:tcPr>
          <w:p w14:paraId="6A07D41A" w14:textId="77777777" w:rsidR="006C34D9" w:rsidRDefault="00CB5041">
            <w:pPr>
              <w:pStyle w:val="TableParagraph"/>
              <w:spacing w:line="233" w:lineRule="exact"/>
              <w:ind w:left="170"/>
            </w:pPr>
            <w:r>
              <w:t>0.0038</w:t>
            </w:r>
          </w:p>
        </w:tc>
      </w:tr>
      <w:tr w:rsidR="006C34D9" w14:paraId="7252D58A" w14:textId="77777777">
        <w:trPr>
          <w:trHeight w:val="252"/>
        </w:trPr>
        <w:tc>
          <w:tcPr>
            <w:tcW w:w="4339" w:type="dxa"/>
            <w:tcBorders>
              <w:left w:val="single" w:sz="4" w:space="0" w:color="000000"/>
            </w:tcBorders>
          </w:tcPr>
          <w:p w14:paraId="2127CE12" w14:textId="77777777" w:rsidR="006C34D9" w:rsidRDefault="00CB5041">
            <w:pPr>
              <w:pStyle w:val="TableParagraph"/>
              <w:spacing w:line="233" w:lineRule="exact"/>
              <w:ind w:left="0" w:right="926"/>
              <w:jc w:val="right"/>
            </w:pPr>
            <w:r>
              <w:t>ACR50</w:t>
            </w:r>
            <w:r>
              <w:rPr>
                <w:spacing w:val="-3"/>
              </w:rPr>
              <w:t xml:space="preserve"> </w:t>
            </w:r>
            <w:r>
              <w:t>response,</w:t>
            </w:r>
            <w:r>
              <w:rPr>
                <w:spacing w:val="-3"/>
              </w:rPr>
              <w:t xml:space="preserve"> 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(%)</w:t>
            </w:r>
          </w:p>
        </w:tc>
        <w:tc>
          <w:tcPr>
            <w:tcW w:w="2049" w:type="dxa"/>
          </w:tcPr>
          <w:p w14:paraId="0F1958CA" w14:textId="77777777" w:rsidR="006C34D9" w:rsidRDefault="00CB5041">
            <w:pPr>
              <w:pStyle w:val="TableParagraph"/>
              <w:spacing w:line="233" w:lineRule="exact"/>
              <w:ind w:left="756" w:right="110"/>
              <w:jc w:val="center"/>
            </w:pPr>
            <w:r>
              <w:t>45</w:t>
            </w:r>
            <w:r>
              <w:rPr>
                <w:spacing w:val="-2"/>
              </w:rPr>
              <w:t xml:space="preserve"> </w:t>
            </w:r>
            <w:r>
              <w:t>(27.8)</w:t>
            </w:r>
          </w:p>
        </w:tc>
        <w:tc>
          <w:tcPr>
            <w:tcW w:w="1661" w:type="dxa"/>
          </w:tcPr>
          <w:p w14:paraId="5A700576" w14:textId="77777777" w:rsidR="006C34D9" w:rsidRDefault="00CB5041">
            <w:pPr>
              <w:pStyle w:val="TableParagraph"/>
              <w:spacing w:line="233" w:lineRule="exact"/>
              <w:ind w:left="365" w:right="341"/>
              <w:jc w:val="center"/>
            </w:pPr>
            <w:r>
              <w:t>77</w:t>
            </w:r>
            <w:r>
              <w:rPr>
                <w:spacing w:val="-2"/>
              </w:rPr>
              <w:t xml:space="preserve"> </w:t>
            </w:r>
            <w:r>
              <w:t>(47.2)</w:t>
            </w:r>
          </w:p>
        </w:tc>
        <w:tc>
          <w:tcPr>
            <w:tcW w:w="968" w:type="dxa"/>
            <w:tcBorders>
              <w:right w:val="single" w:sz="4" w:space="0" w:color="000000"/>
            </w:tcBorders>
          </w:tcPr>
          <w:p w14:paraId="168E7608" w14:textId="77777777" w:rsidR="006C34D9" w:rsidRDefault="00CB5041">
            <w:pPr>
              <w:pStyle w:val="TableParagraph"/>
              <w:spacing w:line="233" w:lineRule="exact"/>
              <w:ind w:left="170"/>
            </w:pPr>
            <w:r>
              <w:t>0.0002</w:t>
            </w:r>
          </w:p>
        </w:tc>
      </w:tr>
      <w:tr w:rsidR="006C34D9" w14:paraId="0DDC4F67" w14:textId="77777777">
        <w:trPr>
          <w:trHeight w:val="307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</w:tcBorders>
          </w:tcPr>
          <w:p w14:paraId="6ED6F7A8" w14:textId="77777777" w:rsidR="006C34D9" w:rsidRDefault="00CB5041">
            <w:pPr>
              <w:pStyle w:val="TableParagraph"/>
              <w:spacing w:line="248" w:lineRule="exact"/>
              <w:ind w:left="0" w:right="926"/>
              <w:jc w:val="right"/>
            </w:pPr>
            <w:r>
              <w:t>ACR70</w:t>
            </w:r>
            <w:r>
              <w:rPr>
                <w:spacing w:val="-3"/>
              </w:rPr>
              <w:t xml:space="preserve"> </w:t>
            </w:r>
            <w:r>
              <w:t>response,</w:t>
            </w:r>
            <w:r>
              <w:rPr>
                <w:spacing w:val="-3"/>
              </w:rPr>
              <w:t xml:space="preserve"> 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(%)</w:t>
            </w:r>
          </w:p>
        </w:tc>
        <w:tc>
          <w:tcPr>
            <w:tcW w:w="2049" w:type="dxa"/>
            <w:tcBorders>
              <w:bottom w:val="single" w:sz="4" w:space="0" w:color="000000"/>
            </w:tcBorders>
          </w:tcPr>
          <w:p w14:paraId="47E7D0DB" w14:textId="77777777" w:rsidR="006C34D9" w:rsidRDefault="00CB5041">
            <w:pPr>
              <w:pStyle w:val="TableParagraph"/>
              <w:spacing w:line="248" w:lineRule="exact"/>
              <w:ind w:left="756" w:right="110"/>
              <w:jc w:val="center"/>
            </w:pPr>
            <w:r>
              <w:t>29</w:t>
            </w:r>
            <w:r>
              <w:rPr>
                <w:spacing w:val="-2"/>
              </w:rPr>
              <w:t xml:space="preserve"> </w:t>
            </w:r>
            <w:r>
              <w:t>(17.9)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</w:tcPr>
          <w:p w14:paraId="23443FE5" w14:textId="77777777" w:rsidR="006C34D9" w:rsidRDefault="00CB5041">
            <w:pPr>
              <w:pStyle w:val="TableParagraph"/>
              <w:spacing w:line="248" w:lineRule="exact"/>
              <w:ind w:left="365" w:right="341"/>
              <w:jc w:val="center"/>
            </w:pPr>
            <w:r>
              <w:t>53</w:t>
            </w:r>
            <w:r>
              <w:rPr>
                <w:spacing w:val="-2"/>
              </w:rPr>
              <w:t xml:space="preserve"> </w:t>
            </w:r>
            <w:r>
              <w:t>(32.5)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14:paraId="0C5401F8" w14:textId="77777777" w:rsidR="006C34D9" w:rsidRDefault="00CB5041">
            <w:pPr>
              <w:pStyle w:val="TableParagraph"/>
              <w:spacing w:line="248" w:lineRule="exact"/>
              <w:ind w:left="170"/>
            </w:pPr>
            <w:r>
              <w:t>0.0023</w:t>
            </w:r>
          </w:p>
        </w:tc>
      </w:tr>
    </w:tbl>
    <w:p w14:paraId="57DEE0C2" w14:textId="77777777" w:rsidR="006C34D9" w:rsidRDefault="00CB5041">
      <w:pPr>
        <w:spacing w:before="2"/>
        <w:ind w:left="659" w:right="657"/>
        <w:jc w:val="both"/>
        <w:rPr>
          <w:sz w:val="20"/>
        </w:rPr>
      </w:pPr>
      <w:r>
        <w:rPr>
          <w:sz w:val="20"/>
          <w:vertAlign w:val="superscript"/>
        </w:rPr>
        <w:t>a</w:t>
      </w:r>
      <w:r>
        <w:rPr>
          <w:i/>
          <w:sz w:val="20"/>
        </w:rPr>
        <w:t xml:space="preserve">p </w:t>
      </w:r>
      <w:r>
        <w:rPr>
          <w:sz w:val="20"/>
        </w:rPr>
        <w:t>value is adjusted for region and duration of RA for all endpoints and additionally baseline value for all</w:t>
      </w:r>
      <w:r>
        <w:rPr>
          <w:spacing w:val="1"/>
          <w:sz w:val="20"/>
        </w:rPr>
        <w:t xml:space="preserve"> </w:t>
      </w:r>
      <w:r>
        <w:rPr>
          <w:sz w:val="20"/>
        </w:rPr>
        <w:t>continuous</w:t>
      </w:r>
      <w:r>
        <w:rPr>
          <w:spacing w:val="-1"/>
          <w:sz w:val="20"/>
        </w:rPr>
        <w:t xml:space="preserve"> </w:t>
      </w:r>
      <w:r>
        <w:rPr>
          <w:sz w:val="20"/>
        </w:rPr>
        <w:t>endpoints.</w:t>
      </w:r>
    </w:p>
    <w:p w14:paraId="1C61511D" w14:textId="77777777" w:rsidR="006C34D9" w:rsidRDefault="00CB5041">
      <w:pPr>
        <w:spacing w:line="230" w:lineRule="exact"/>
        <w:ind w:left="660"/>
        <w:jc w:val="both"/>
        <w:rPr>
          <w:sz w:val="20"/>
        </w:rPr>
      </w:pPr>
      <w:proofErr w:type="spellStart"/>
      <w:r>
        <w:rPr>
          <w:sz w:val="20"/>
          <w:vertAlign w:val="superscript"/>
        </w:rPr>
        <w:t>b</w:t>
      </w:r>
      <w:r>
        <w:rPr>
          <w:sz w:val="20"/>
        </w:rPr>
        <w:t>Non</w:t>
      </w:r>
      <w:proofErr w:type="spellEnd"/>
      <w:r>
        <w:rPr>
          <w:sz w:val="20"/>
        </w:rPr>
        <w:t>-responder</w:t>
      </w:r>
      <w:r>
        <w:rPr>
          <w:spacing w:val="-4"/>
          <w:sz w:val="20"/>
        </w:rPr>
        <w:t xml:space="preserve"> </w:t>
      </w:r>
      <w:r>
        <w:rPr>
          <w:sz w:val="20"/>
        </w:rPr>
        <w:t>Imputation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missing</w:t>
      </w:r>
      <w:r>
        <w:rPr>
          <w:spacing w:val="-5"/>
          <w:sz w:val="20"/>
        </w:rPr>
        <w:t xml:space="preserve"> </w:t>
      </w:r>
      <w:r>
        <w:rPr>
          <w:sz w:val="20"/>
        </w:rPr>
        <w:t>data.</w:t>
      </w:r>
      <w:r>
        <w:rPr>
          <w:spacing w:val="-4"/>
          <w:sz w:val="20"/>
        </w:rPr>
        <w:t xml:space="preserve"> </w:t>
      </w:r>
      <w:r>
        <w:rPr>
          <w:sz w:val="20"/>
        </w:rPr>
        <w:t>Multiplicity</w:t>
      </w:r>
      <w:r>
        <w:rPr>
          <w:spacing w:val="-4"/>
          <w:sz w:val="20"/>
        </w:rPr>
        <w:t xml:space="preserve"> </w:t>
      </w:r>
      <w:r>
        <w:rPr>
          <w:sz w:val="20"/>
        </w:rPr>
        <w:t>controlled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Bonferroni-Holm</w:t>
      </w:r>
      <w:r>
        <w:rPr>
          <w:spacing w:val="-6"/>
          <w:sz w:val="20"/>
        </w:rPr>
        <w:t xml:space="preserve"> </w:t>
      </w:r>
      <w:r>
        <w:rPr>
          <w:sz w:val="20"/>
        </w:rPr>
        <w:t>Procedure</w:t>
      </w:r>
    </w:p>
    <w:p w14:paraId="5C7188D2" w14:textId="77777777" w:rsidR="006C34D9" w:rsidRDefault="006C34D9">
      <w:pPr>
        <w:pStyle w:val="BodyText"/>
        <w:ind w:left="0"/>
        <w:rPr>
          <w:sz w:val="22"/>
        </w:rPr>
      </w:pPr>
    </w:p>
    <w:p w14:paraId="0A9ABE7A" w14:textId="77777777" w:rsidR="006C34D9" w:rsidRDefault="00CB5041">
      <w:pPr>
        <w:pStyle w:val="BodyText"/>
        <w:spacing w:before="176"/>
        <w:jc w:val="both"/>
      </w:pPr>
      <w:bookmarkStart w:id="103" w:name="Cardiovascular_Outcomes"/>
      <w:bookmarkEnd w:id="103"/>
      <w:r>
        <w:rPr>
          <w:u w:val="single"/>
        </w:rPr>
        <w:t>Cardiovascular</w:t>
      </w:r>
      <w:r>
        <w:rPr>
          <w:spacing w:val="-7"/>
          <w:u w:val="single"/>
        </w:rPr>
        <w:t xml:space="preserve"> </w:t>
      </w:r>
      <w:r>
        <w:rPr>
          <w:u w:val="single"/>
        </w:rPr>
        <w:t>Outcomes</w:t>
      </w:r>
    </w:p>
    <w:p w14:paraId="6D8A0E28" w14:textId="77777777" w:rsidR="006C34D9" w:rsidRDefault="00CB5041">
      <w:pPr>
        <w:pStyle w:val="BodyText"/>
        <w:spacing w:before="1"/>
        <w:ind w:left="659" w:right="658"/>
        <w:jc w:val="both"/>
      </w:pPr>
      <w:r>
        <w:t>Study</w:t>
      </w:r>
      <w:r>
        <w:rPr>
          <w:spacing w:val="1"/>
        </w:rPr>
        <w:t xml:space="preserve"> </w:t>
      </w:r>
      <w:r>
        <w:t>WA25204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randomised</w:t>
      </w:r>
      <w:proofErr w:type="spellEnd"/>
      <w:r>
        <w:t>,</w:t>
      </w:r>
      <w:r>
        <w:rPr>
          <w:spacing w:val="1"/>
        </w:rPr>
        <w:t xml:space="preserve"> </w:t>
      </w:r>
      <w:r>
        <w:t>open-label</w:t>
      </w:r>
      <w:r>
        <w:rPr>
          <w:spacing w:val="1"/>
        </w:rPr>
        <w:t xml:space="preserve"> </w:t>
      </w:r>
      <w:r>
        <w:t>(sponsor-blinded),</w:t>
      </w:r>
      <w:r>
        <w:rPr>
          <w:spacing w:val="1"/>
        </w:rPr>
        <w:t xml:space="preserve"> </w:t>
      </w:r>
      <w:r>
        <w:t>2-arm</w:t>
      </w:r>
      <w:r>
        <w:rPr>
          <w:spacing w:val="1"/>
        </w:rPr>
        <w:t xml:space="preserve"> </w:t>
      </w:r>
      <w:r>
        <w:t>parallel-group,</w:t>
      </w:r>
      <w:r>
        <w:rPr>
          <w:spacing w:val="1"/>
        </w:rPr>
        <w:t xml:space="preserve"> </w:t>
      </w:r>
      <w:r>
        <w:t>multi-</w:t>
      </w:r>
      <w:proofErr w:type="spellStart"/>
      <w:r>
        <w:t>centre</w:t>
      </w:r>
      <w:proofErr w:type="spellEnd"/>
      <w:r>
        <w:t>, non-inferiority, cardiovascular (CV) outcomes trial in patients with a diagnosis</w:t>
      </w:r>
      <w:r>
        <w:rPr>
          <w:spacing w:val="1"/>
        </w:rPr>
        <w:t xml:space="preserve"> </w:t>
      </w:r>
      <w:r>
        <w:t>of moderate to severe RA. This CV safety study was designed to exclude a moderate increase</w:t>
      </w:r>
      <w:r>
        <w:rPr>
          <w:spacing w:val="-57"/>
        </w:rPr>
        <w:t xml:space="preserve"> </w:t>
      </w:r>
      <w:r>
        <w:t>in CV risk in patients treated with Actemra compared with a TNF inhibitor standard of care</w:t>
      </w:r>
      <w:r>
        <w:rPr>
          <w:spacing w:val="1"/>
        </w:rPr>
        <w:t xml:space="preserve"> </w:t>
      </w:r>
      <w:r>
        <w:t>(etanercept).</w:t>
      </w:r>
    </w:p>
    <w:p w14:paraId="644E0B71" w14:textId="77777777" w:rsidR="006C34D9" w:rsidRDefault="006C34D9">
      <w:pPr>
        <w:pStyle w:val="BodyText"/>
        <w:spacing w:before="11"/>
        <w:ind w:left="0"/>
        <w:rPr>
          <w:sz w:val="23"/>
        </w:rPr>
      </w:pPr>
    </w:p>
    <w:p w14:paraId="2119D215" w14:textId="77777777" w:rsidR="006C34D9" w:rsidRDefault="00CB5041">
      <w:pPr>
        <w:pStyle w:val="BodyText"/>
        <w:ind w:left="659" w:right="657"/>
        <w:jc w:val="both"/>
      </w:pPr>
      <w:r>
        <w:t>The study included 3,080 seropositive RA patients with active disease and an inadequate</w:t>
      </w:r>
      <w:r>
        <w:rPr>
          <w:spacing w:val="1"/>
        </w:rPr>
        <w:t xml:space="preserve"> </w:t>
      </w:r>
      <w:r>
        <w:t>response to non-biologic disease-modifying anti-rheumatic drugs, who were aged ≥ 50 years</w:t>
      </w:r>
      <w:r>
        <w:rPr>
          <w:spacing w:val="1"/>
        </w:rPr>
        <w:t xml:space="preserve"> </w:t>
      </w:r>
      <w:r>
        <w:t xml:space="preserve">with at least one additional CV risk factor beyond RA. Patients were </w:t>
      </w:r>
      <w:proofErr w:type="spellStart"/>
      <w:r>
        <w:t>randomised</w:t>
      </w:r>
      <w:proofErr w:type="spellEnd"/>
      <w:r>
        <w:t xml:space="preserve"> 1:1 to IV</w:t>
      </w:r>
      <w:r>
        <w:rPr>
          <w:spacing w:val="1"/>
        </w:rPr>
        <w:t xml:space="preserve"> </w:t>
      </w:r>
      <w:r>
        <w:t>Actemra 8 mg/kg every four weeks (q4w) or SC etanercept 50 mg every week (</w:t>
      </w:r>
      <w:proofErr w:type="spellStart"/>
      <w:r>
        <w:t>qw</w:t>
      </w:r>
      <w:proofErr w:type="spellEnd"/>
      <w:r>
        <w:t>) and</w:t>
      </w:r>
      <w:r>
        <w:rPr>
          <w:spacing w:val="1"/>
        </w:rPr>
        <w:t xml:space="preserve"> </w:t>
      </w:r>
      <w:r>
        <w:t>followed for an average of 3.2 years.</w:t>
      </w:r>
      <w:r>
        <w:rPr>
          <w:spacing w:val="1"/>
        </w:rPr>
        <w:t xml:space="preserve"> </w:t>
      </w:r>
      <w:r>
        <w:t>The primary endpoint was the comparison of the time-</w:t>
      </w:r>
      <w:r>
        <w:rPr>
          <w:spacing w:val="1"/>
        </w:rPr>
        <w:t xml:space="preserve"> </w:t>
      </w:r>
      <w:r>
        <w:t>to-first</w:t>
      </w:r>
      <w:r>
        <w:rPr>
          <w:spacing w:val="-12"/>
        </w:rPr>
        <w:t xml:space="preserve"> </w:t>
      </w:r>
      <w:r>
        <w:t>occurrence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component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composite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major</w:t>
      </w:r>
      <w:r>
        <w:rPr>
          <w:spacing w:val="-12"/>
        </w:rPr>
        <w:t xml:space="preserve"> </w:t>
      </w:r>
      <w:r>
        <w:t>adverse</w:t>
      </w:r>
      <w:r>
        <w:rPr>
          <w:spacing w:val="-12"/>
        </w:rPr>
        <w:t xml:space="preserve"> </w:t>
      </w:r>
      <w:r>
        <w:t>CV</w:t>
      </w:r>
      <w:r>
        <w:rPr>
          <w:spacing w:val="-12"/>
        </w:rPr>
        <w:t xml:space="preserve"> </w:t>
      </w:r>
      <w:r>
        <w:t>events</w:t>
      </w:r>
      <w:r>
        <w:rPr>
          <w:spacing w:val="-11"/>
        </w:rPr>
        <w:t xml:space="preserve"> </w:t>
      </w:r>
      <w:r>
        <w:t>(MACE;</w:t>
      </w:r>
      <w:r>
        <w:rPr>
          <w:spacing w:val="-12"/>
        </w:rPr>
        <w:t xml:space="preserve"> </w:t>
      </w:r>
      <w:r>
        <w:t>non-</w:t>
      </w:r>
      <w:r>
        <w:rPr>
          <w:spacing w:val="-58"/>
        </w:rPr>
        <w:t xml:space="preserve"> </w:t>
      </w:r>
      <w:r>
        <w:rPr>
          <w:spacing w:val="-1"/>
        </w:rPr>
        <w:t>fatal</w:t>
      </w:r>
      <w:r>
        <w:rPr>
          <w:spacing w:val="-13"/>
        </w:rPr>
        <w:t xml:space="preserve"> </w:t>
      </w:r>
      <w:r>
        <w:rPr>
          <w:spacing w:val="-1"/>
        </w:rPr>
        <w:t>myocardial</w:t>
      </w:r>
      <w:r>
        <w:rPr>
          <w:spacing w:val="-14"/>
        </w:rPr>
        <w:t xml:space="preserve"> </w:t>
      </w:r>
      <w:r>
        <w:t>infarction,</w:t>
      </w:r>
      <w:r>
        <w:rPr>
          <w:spacing w:val="-13"/>
        </w:rPr>
        <w:t xml:space="preserve"> </w:t>
      </w:r>
      <w:r>
        <w:t>non-fatal</w:t>
      </w:r>
      <w:r>
        <w:rPr>
          <w:spacing w:val="-13"/>
        </w:rPr>
        <w:t xml:space="preserve"> </w:t>
      </w:r>
      <w:r>
        <w:t>stroke,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CV</w:t>
      </w:r>
      <w:r>
        <w:rPr>
          <w:spacing w:val="-14"/>
        </w:rPr>
        <w:t xml:space="preserve"> </w:t>
      </w:r>
      <w:r>
        <w:t>death),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final</w:t>
      </w:r>
      <w:r>
        <w:rPr>
          <w:spacing w:val="-12"/>
        </w:rPr>
        <w:t xml:space="preserve"> </w:t>
      </w:r>
      <w:r>
        <w:t>intent-to-treat</w:t>
      </w:r>
      <w:r>
        <w:rPr>
          <w:spacing w:val="-13"/>
        </w:rPr>
        <w:t xml:space="preserve"> </w:t>
      </w:r>
      <w:r>
        <w:t>analysis</w:t>
      </w:r>
      <w:r>
        <w:rPr>
          <w:spacing w:val="-58"/>
        </w:rPr>
        <w:t xml:space="preserve"> </w:t>
      </w:r>
      <w:r>
        <w:t>based on a total of 161 confirmed</w:t>
      </w:r>
      <w:r>
        <w:rPr>
          <w:spacing w:val="1"/>
        </w:rPr>
        <w:t xml:space="preserve"> </w:t>
      </w:r>
      <w:r>
        <w:t>CV events reviewed by an independent and blinded</w:t>
      </w:r>
      <w:r>
        <w:rPr>
          <w:spacing w:val="1"/>
        </w:rPr>
        <w:t xml:space="preserve"> </w:t>
      </w:r>
      <w:r>
        <w:t>adjudication</w:t>
      </w:r>
      <w:r>
        <w:rPr>
          <w:spacing w:val="-3"/>
        </w:rPr>
        <w:t xml:space="preserve"> </w:t>
      </w:r>
      <w:r>
        <w:t>committee.</w:t>
      </w:r>
    </w:p>
    <w:p w14:paraId="769D35E9" w14:textId="77777777" w:rsidR="006C34D9" w:rsidRDefault="006C34D9">
      <w:pPr>
        <w:pStyle w:val="BodyText"/>
        <w:ind w:left="0"/>
      </w:pPr>
    </w:p>
    <w:p w14:paraId="082A1406" w14:textId="77777777" w:rsidR="006C34D9" w:rsidRDefault="00CB5041">
      <w:pPr>
        <w:pStyle w:val="BodyText"/>
        <w:ind w:left="659" w:right="657"/>
        <w:jc w:val="both"/>
      </w:pPr>
      <w:r>
        <w:t>Non-inferiority of Actemra to etanercept for cardiovascular risk was determined by excluding</w:t>
      </w:r>
      <w:r>
        <w:rPr>
          <w:spacing w:val="-57"/>
        </w:rPr>
        <w:t xml:space="preserve"> </w:t>
      </w:r>
      <w:r>
        <w:t>a &gt; 80% relative increase in the risk of MACE.</w:t>
      </w:r>
      <w:r>
        <w:rPr>
          <w:spacing w:val="1"/>
        </w:rPr>
        <w:t xml:space="preserve"> </w:t>
      </w:r>
      <w:r>
        <w:t>The primary endpoint was met with a hazard</w:t>
      </w:r>
      <w:r>
        <w:rPr>
          <w:spacing w:val="1"/>
        </w:rPr>
        <w:t xml:space="preserve"> </w:t>
      </w:r>
      <w:r>
        <w:t>ratio</w:t>
      </w:r>
      <w:r>
        <w:rPr>
          <w:spacing w:val="-1"/>
        </w:rPr>
        <w:t xml:space="preserve"> </w:t>
      </w:r>
      <w:r>
        <w:t>[HR]</w:t>
      </w:r>
      <w:r>
        <w:rPr>
          <w:spacing w:val="-1"/>
        </w:rPr>
        <w:t xml:space="preserve"> </w:t>
      </w:r>
      <w:r>
        <w:t>comparing Actemra</w:t>
      </w:r>
      <w:r>
        <w:rPr>
          <w:spacing w:val="-1"/>
        </w:rPr>
        <w:t xml:space="preserve"> </w:t>
      </w:r>
      <w:r>
        <w:t>to etanercept =</w:t>
      </w:r>
      <w:r>
        <w:rPr>
          <w:spacing w:val="-1"/>
        </w:rPr>
        <w:t xml:space="preserve"> </w:t>
      </w:r>
      <w:r>
        <w:t>1.05; 95% CI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0.77, 1.43.</w:t>
      </w:r>
    </w:p>
    <w:p w14:paraId="514EDEB4" w14:textId="77777777" w:rsidR="006C34D9" w:rsidRDefault="00CB5041">
      <w:pPr>
        <w:pStyle w:val="BodyText"/>
        <w:spacing w:before="201"/>
        <w:jc w:val="both"/>
      </w:pPr>
      <w:r>
        <w:rPr>
          <w:u w:val="single"/>
        </w:rPr>
        <w:t>Giant</w:t>
      </w:r>
      <w:r>
        <w:rPr>
          <w:spacing w:val="-4"/>
          <w:u w:val="single"/>
        </w:rPr>
        <w:t xml:space="preserve"> </w:t>
      </w:r>
      <w:r>
        <w:rPr>
          <w:u w:val="single"/>
        </w:rPr>
        <w:t>Cell</w:t>
      </w:r>
      <w:r>
        <w:rPr>
          <w:spacing w:val="-3"/>
          <w:u w:val="single"/>
        </w:rPr>
        <w:t xml:space="preserve"> </w:t>
      </w:r>
      <w:r>
        <w:rPr>
          <w:u w:val="single"/>
        </w:rPr>
        <w:t>Arteritis</w:t>
      </w:r>
      <w:r>
        <w:rPr>
          <w:spacing w:val="-4"/>
          <w:u w:val="single"/>
        </w:rPr>
        <w:t xml:space="preserve"> </w:t>
      </w:r>
      <w:r>
        <w:rPr>
          <w:u w:val="single"/>
        </w:rPr>
        <w:t>(GCA)</w:t>
      </w:r>
    </w:p>
    <w:p w14:paraId="59C285E4" w14:textId="77777777" w:rsidR="006C34D9" w:rsidRDefault="00CB5041">
      <w:pPr>
        <w:pStyle w:val="BodyText"/>
        <w:ind w:right="657"/>
        <w:jc w:val="both"/>
      </w:pPr>
      <w:r>
        <w:t>Study X (</w:t>
      </w:r>
      <w:proofErr w:type="spellStart"/>
      <w:r>
        <w:t>GiACTA</w:t>
      </w:r>
      <w:proofErr w:type="spellEnd"/>
      <w:r>
        <w:t xml:space="preserve">) was a </w:t>
      </w:r>
      <w:proofErr w:type="spellStart"/>
      <w:r>
        <w:t>randomised</w:t>
      </w:r>
      <w:proofErr w:type="spellEnd"/>
      <w:r>
        <w:t>, multi-</w:t>
      </w:r>
      <w:proofErr w:type="spellStart"/>
      <w:r>
        <w:t>centre</w:t>
      </w:r>
      <w:proofErr w:type="spellEnd"/>
      <w:r>
        <w:t>, double-blind, placebo-controlled Phase</w:t>
      </w:r>
      <w:r>
        <w:rPr>
          <w:spacing w:val="1"/>
        </w:rPr>
        <w:t xml:space="preserve"> </w:t>
      </w:r>
      <w:r>
        <w:t>III superiority study conducted to assess the efficacy and safety of Actemra in patients with</w:t>
      </w:r>
      <w:r>
        <w:rPr>
          <w:spacing w:val="1"/>
        </w:rPr>
        <w:t xml:space="preserve"> </w:t>
      </w:r>
      <w:r>
        <w:t>GCA.</w:t>
      </w:r>
    </w:p>
    <w:p w14:paraId="16976841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498732B8" w14:textId="77777777" w:rsidR="006C34D9" w:rsidRDefault="00CB5041">
      <w:pPr>
        <w:pStyle w:val="BodyText"/>
        <w:ind w:right="657"/>
        <w:jc w:val="both"/>
      </w:pPr>
      <w:r>
        <w:t>Two</w:t>
      </w:r>
      <w:r>
        <w:rPr>
          <w:spacing w:val="-3"/>
        </w:rPr>
        <w:t xml:space="preserve"> </w:t>
      </w:r>
      <w:r>
        <w:t>hundred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fifty</w:t>
      </w:r>
      <w:r>
        <w:rPr>
          <w:spacing w:val="-3"/>
        </w:rPr>
        <w:t xml:space="preserve"> </w:t>
      </w:r>
      <w:r>
        <w:t>one</w:t>
      </w:r>
      <w:proofErr w:type="gramEnd"/>
      <w:r>
        <w:rPr>
          <w:spacing w:val="-2"/>
        </w:rPr>
        <w:t xml:space="preserve"> </w:t>
      </w:r>
      <w:r>
        <w:t>(251)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new-onset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relapsing</w:t>
      </w:r>
      <w:r>
        <w:rPr>
          <w:spacing w:val="-3"/>
        </w:rPr>
        <w:t xml:space="preserve"> </w:t>
      </w:r>
      <w:r>
        <w:t>GCA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assigned to one of four treatment arms. The study consisted of a 52-week blinded period (Part</w:t>
      </w:r>
      <w:r>
        <w:rPr>
          <w:spacing w:val="-57"/>
        </w:rPr>
        <w:t xml:space="preserve"> </w:t>
      </w:r>
      <w:r>
        <w:t>1), followed by a 104-week open-label extension (Part 2). The purpose of Part 2 is to describe</w:t>
      </w:r>
      <w:r>
        <w:rPr>
          <w:spacing w:val="-5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long</w:t>
      </w:r>
      <w:r>
        <w:rPr>
          <w:spacing w:val="-11"/>
        </w:rPr>
        <w:t xml:space="preserve"> </w:t>
      </w:r>
      <w:r>
        <w:t>term</w:t>
      </w:r>
      <w:r>
        <w:rPr>
          <w:spacing w:val="-12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maintenance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efficacy</w:t>
      </w:r>
      <w:r>
        <w:rPr>
          <w:spacing w:val="-10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52</w:t>
      </w:r>
      <w:r>
        <w:rPr>
          <w:spacing w:val="-10"/>
        </w:rPr>
        <w:t xml:space="preserve"> </w:t>
      </w:r>
      <w:r>
        <w:t>weeks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Actemra</w:t>
      </w:r>
      <w:r>
        <w:rPr>
          <w:spacing w:val="-10"/>
        </w:rPr>
        <w:t xml:space="preserve"> </w:t>
      </w:r>
      <w:r>
        <w:t>therapy,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explore</w:t>
      </w:r>
      <w:r>
        <w:rPr>
          <w:spacing w:val="-58"/>
        </w:rPr>
        <w:t xml:space="preserve"> </w:t>
      </w:r>
      <w:r>
        <w:t>the rate of relapse and the requirement for Actemra therapy beyond 52 weeks, and to gain</w:t>
      </w:r>
      <w:r>
        <w:rPr>
          <w:spacing w:val="1"/>
        </w:rPr>
        <w:t xml:space="preserve"> </w:t>
      </w:r>
      <w:r>
        <w:t>insight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 potential</w:t>
      </w:r>
      <w:r>
        <w:rPr>
          <w:spacing w:val="-1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>steroid-sparing</w:t>
      </w:r>
      <w:r>
        <w:rPr>
          <w:spacing w:val="-1"/>
        </w:rPr>
        <w:t xml:space="preserve"> </w:t>
      </w:r>
      <w:r>
        <w:t>effect of</w:t>
      </w:r>
      <w:r>
        <w:rPr>
          <w:spacing w:val="-1"/>
        </w:rPr>
        <w:t xml:space="preserve"> </w:t>
      </w:r>
      <w:r>
        <w:t>Actemra.</w:t>
      </w:r>
    </w:p>
    <w:p w14:paraId="62B1A405" w14:textId="77777777" w:rsidR="006C34D9" w:rsidRDefault="006C34D9">
      <w:pPr>
        <w:jc w:val="both"/>
        <w:sectPr w:rsidR="006C34D9">
          <w:pgSz w:w="11910" w:h="16840"/>
          <w:pgMar w:top="1420" w:right="780" w:bottom="780" w:left="780" w:header="0" w:footer="592" w:gutter="0"/>
          <w:cols w:space="720"/>
        </w:sectPr>
      </w:pPr>
    </w:p>
    <w:p w14:paraId="53EE323A" w14:textId="77777777" w:rsidR="006C34D9" w:rsidRDefault="00CB5041">
      <w:pPr>
        <w:pStyle w:val="BodyText"/>
        <w:spacing w:before="79"/>
        <w:ind w:left="659" w:right="657"/>
        <w:jc w:val="both"/>
      </w:pPr>
      <w:r>
        <w:lastRenderedPageBreak/>
        <w:t>Two</w:t>
      </w:r>
      <w:r>
        <w:rPr>
          <w:spacing w:val="-4"/>
        </w:rPr>
        <w:t xml:space="preserve"> </w:t>
      </w:r>
      <w:r>
        <w:t>subcutaneous</w:t>
      </w:r>
      <w:r>
        <w:rPr>
          <w:spacing w:val="-4"/>
        </w:rPr>
        <w:t xml:space="preserve"> </w:t>
      </w:r>
      <w:r>
        <w:t>(SC)</w:t>
      </w:r>
      <w:r>
        <w:rPr>
          <w:spacing w:val="-4"/>
        </w:rPr>
        <w:t xml:space="preserve"> </w:t>
      </w:r>
      <w:r>
        <w:t>doses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Actemra</w:t>
      </w:r>
      <w:r>
        <w:rPr>
          <w:spacing w:val="-4"/>
        </w:rPr>
        <w:t xml:space="preserve"> </w:t>
      </w:r>
      <w:r>
        <w:t>(162</w:t>
      </w:r>
      <w:r>
        <w:rPr>
          <w:spacing w:val="-4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162</w:t>
      </w:r>
      <w:r>
        <w:rPr>
          <w:spacing w:val="-4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week)</w:t>
      </w:r>
      <w:r>
        <w:rPr>
          <w:spacing w:val="-57"/>
        </w:rPr>
        <w:t xml:space="preserve"> </w:t>
      </w:r>
      <w:r>
        <w:t xml:space="preserve">were compared to two different placebo control groups </w:t>
      </w:r>
      <w:proofErr w:type="spellStart"/>
      <w:r>
        <w:t>randomised</w:t>
      </w:r>
      <w:proofErr w:type="spellEnd"/>
      <w:r>
        <w:t xml:space="preserve"> 2:1:1:1. All patients</w:t>
      </w:r>
      <w:r>
        <w:rPr>
          <w:spacing w:val="1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glucocorticoid</w:t>
      </w:r>
      <w:r>
        <w:rPr>
          <w:spacing w:val="-6"/>
        </w:rPr>
        <w:t xml:space="preserve"> </w:t>
      </w:r>
      <w:r>
        <w:t>(prednisone)</w:t>
      </w:r>
      <w:r>
        <w:rPr>
          <w:spacing w:val="-5"/>
        </w:rPr>
        <w:t xml:space="preserve"> </w:t>
      </w:r>
      <w:r>
        <w:t>therapy.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Actemra-treated</w:t>
      </w:r>
      <w:r>
        <w:rPr>
          <w:spacing w:val="-6"/>
        </w:rPr>
        <w:t xml:space="preserve"> </w:t>
      </w:r>
      <w:r>
        <w:t>groups</w:t>
      </w:r>
      <w:r>
        <w:rPr>
          <w:spacing w:val="-57"/>
        </w:rPr>
        <w:t xml:space="preserve"> </w:t>
      </w:r>
      <w:r>
        <w:t>and one of the placebo-treated groups followed a pre-specified prednisone-taper regimen over</w:t>
      </w:r>
      <w:r>
        <w:rPr>
          <w:spacing w:val="-57"/>
        </w:rPr>
        <w:t xml:space="preserve"> </w:t>
      </w:r>
      <w:r>
        <w:t>26 weeks, while the second placebo-treated group followed a pre-specified prednisone-taper</w:t>
      </w:r>
      <w:r>
        <w:rPr>
          <w:spacing w:val="1"/>
        </w:rPr>
        <w:t xml:space="preserve"> </w:t>
      </w:r>
      <w:r>
        <w:t>regimen</w:t>
      </w:r>
      <w:r>
        <w:rPr>
          <w:spacing w:val="-1"/>
        </w:rPr>
        <w:t xml:space="preserve"> </w:t>
      </w:r>
      <w:r>
        <w:t>over 52 weeks.</w:t>
      </w:r>
    </w:p>
    <w:p w14:paraId="7409AFD0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2AAA91D" w14:textId="77777777" w:rsidR="006C34D9" w:rsidRDefault="00CB5041">
      <w:pPr>
        <w:pStyle w:val="BodyText"/>
        <w:ind w:left="659" w:right="656"/>
        <w:jc w:val="both"/>
      </w:pPr>
      <w:r>
        <w:t>The study included adult patients with new-onset or relapsing active GCA, where active GCA</w:t>
      </w:r>
      <w:r>
        <w:rPr>
          <w:spacing w:val="-57"/>
        </w:rPr>
        <w:t xml:space="preserve"> </w:t>
      </w:r>
      <w:r>
        <w:t>was defined as the presence of clinical signs and symptoms of GCA (cranial or polymyalgia</w:t>
      </w:r>
      <w:r>
        <w:rPr>
          <w:spacing w:val="1"/>
        </w:rPr>
        <w:t xml:space="preserve"> </w:t>
      </w:r>
      <w:r>
        <w:t>rheumatica) and ESR ≥ 30 mm/hour or CRP ≥ 1 mg/dL within 6 weeks prior to the baseline</w:t>
      </w:r>
      <w:r>
        <w:rPr>
          <w:spacing w:val="1"/>
        </w:rPr>
        <w:t xml:space="preserve"> </w:t>
      </w:r>
      <w:r>
        <w:t>visit. New-onset disease was defined as GCA diagnosed within 6 weeks of baseline, and</w:t>
      </w:r>
      <w:r>
        <w:rPr>
          <w:spacing w:val="1"/>
        </w:rPr>
        <w:t xml:space="preserve"> </w:t>
      </w:r>
      <w:r>
        <w:t>relapsing disease was defined as GCA diagnosed &gt; 6 weeks before baseline and previous</w:t>
      </w:r>
      <w:r>
        <w:rPr>
          <w:spacing w:val="1"/>
        </w:rPr>
        <w:t xml:space="preserve"> </w:t>
      </w:r>
      <w:r>
        <w:t>treatment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≥</w:t>
      </w:r>
      <w:r>
        <w:rPr>
          <w:spacing w:val="-11"/>
        </w:rPr>
        <w:t xml:space="preserve"> </w:t>
      </w:r>
      <w:r>
        <w:t>40</w:t>
      </w:r>
      <w:r>
        <w:rPr>
          <w:spacing w:val="-11"/>
        </w:rPr>
        <w:t xml:space="preserve"> </w:t>
      </w:r>
      <w:r>
        <w:t>mg/day</w:t>
      </w:r>
      <w:r>
        <w:rPr>
          <w:spacing w:val="-11"/>
        </w:rPr>
        <w:t xml:space="preserve"> </w:t>
      </w:r>
      <w:r>
        <w:t>prednisone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≥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consecutive</w:t>
      </w:r>
      <w:r>
        <w:rPr>
          <w:spacing w:val="-11"/>
        </w:rPr>
        <w:t xml:space="preserve"> </w:t>
      </w:r>
      <w:r>
        <w:t>weeks.</w:t>
      </w:r>
      <w:r>
        <w:rPr>
          <w:spacing w:val="-11"/>
        </w:rPr>
        <w:t xml:space="preserve"> </w:t>
      </w:r>
      <w:proofErr w:type="gramStart"/>
      <w:r>
        <w:t>The</w:t>
      </w:r>
      <w:r>
        <w:rPr>
          <w:spacing w:val="-11"/>
        </w:rPr>
        <w:t xml:space="preserve"> </w:t>
      </w:r>
      <w:r>
        <w:t>majority</w:t>
      </w:r>
      <w:r>
        <w:rPr>
          <w:spacing w:val="-11"/>
        </w:rPr>
        <w:t xml:space="preserve"> </w:t>
      </w:r>
      <w:r>
        <w:t>of</w:t>
      </w:r>
      <w:proofErr w:type="gramEnd"/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enrolled</w:t>
      </w:r>
      <w:r>
        <w:rPr>
          <w:spacing w:val="-57"/>
        </w:rPr>
        <w:t xml:space="preserve"> </w:t>
      </w:r>
      <w:r>
        <w:t>population were Caucasian (96.8%) and a majority were female (74.9%). The mean age of</w:t>
      </w:r>
      <w:r>
        <w:rPr>
          <w:spacing w:val="1"/>
        </w:rPr>
        <w:t xml:space="preserve"> </w:t>
      </w:r>
      <w:r>
        <w:t>patients was 69 years. Relapsing disease patients comprised 53% of the study population with</w:t>
      </w:r>
      <w:r>
        <w:rPr>
          <w:spacing w:val="-57"/>
        </w:rPr>
        <w:t xml:space="preserve"> </w:t>
      </w:r>
      <w:r>
        <w:t>47% of patients presenting with new-onset disease. The most common clinical manifestations</w:t>
      </w:r>
      <w:r>
        <w:rPr>
          <w:spacing w:val="-57"/>
        </w:rPr>
        <w:t xml:space="preserve"> </w:t>
      </w:r>
      <w:r>
        <w:t>of GCA at diagnosis were headache and polymyalgia rheumatica (in 67% and 62% patients,</w:t>
      </w:r>
      <w:r>
        <w:rPr>
          <w:spacing w:val="1"/>
        </w:rPr>
        <w:t xml:space="preserve"> </w:t>
      </w:r>
      <w:r>
        <w:t>respectively). Jaw claudication and scalp tenderness were reported in approximately one third</w:t>
      </w:r>
      <w:r>
        <w:rPr>
          <w:spacing w:val="-57"/>
        </w:rPr>
        <w:t xml:space="preserve"> </w:t>
      </w:r>
      <w:r>
        <w:t>of patients. Temporal artery tenderness was observed in 29%, decreased temporal artery</w:t>
      </w:r>
      <w:r>
        <w:rPr>
          <w:spacing w:val="1"/>
        </w:rPr>
        <w:t xml:space="preserve"> </w:t>
      </w:r>
      <w:r>
        <w:t>pulsation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12%, and ischemia-related vision</w:t>
      </w:r>
      <w:r>
        <w:rPr>
          <w:spacing w:val="-3"/>
        </w:rPr>
        <w:t xml:space="preserve"> </w:t>
      </w:r>
      <w:r>
        <w:t>loss in 10% of</w:t>
      </w:r>
      <w:r>
        <w:rPr>
          <w:spacing w:val="-1"/>
        </w:rPr>
        <w:t xml:space="preserve"> </w:t>
      </w:r>
      <w:r>
        <w:t>patients.</w:t>
      </w:r>
    </w:p>
    <w:p w14:paraId="58267C66" w14:textId="77777777" w:rsidR="006C34D9" w:rsidRDefault="006C34D9">
      <w:pPr>
        <w:pStyle w:val="BodyText"/>
        <w:spacing w:before="11"/>
        <w:ind w:left="0"/>
        <w:rPr>
          <w:sz w:val="20"/>
        </w:rPr>
      </w:pPr>
    </w:p>
    <w:p w14:paraId="577F3E1A" w14:textId="77777777" w:rsidR="006C34D9" w:rsidRDefault="00CB5041">
      <w:pPr>
        <w:pStyle w:val="BodyText"/>
        <w:ind w:left="659" w:right="657"/>
        <w:jc w:val="both"/>
      </w:pPr>
      <w:r>
        <w:t>The primary efficacy endpoint, assessed by the proportion of patients achieving steroid-free</w:t>
      </w:r>
      <w:r>
        <w:rPr>
          <w:spacing w:val="1"/>
        </w:rPr>
        <w:t xml:space="preserve"> </w:t>
      </w:r>
      <w:r>
        <w:t>sustained remission at Week 52 on Actemra plus 26 weeks prednisone taper compared with</w:t>
      </w:r>
      <w:r>
        <w:rPr>
          <w:spacing w:val="1"/>
        </w:rPr>
        <w:t xml:space="preserve"> </w:t>
      </w:r>
      <w:r>
        <w:t>placebo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26 weeks prednisone</w:t>
      </w:r>
      <w:r>
        <w:rPr>
          <w:spacing w:val="-1"/>
        </w:rPr>
        <w:t xml:space="preserve"> </w:t>
      </w:r>
      <w:r>
        <w:t>taper,</w:t>
      </w:r>
      <w:r>
        <w:rPr>
          <w:spacing w:val="-1"/>
        </w:rPr>
        <w:t xml:space="preserve"> </w:t>
      </w:r>
      <w:r>
        <w:t>was met (Table 10).</w:t>
      </w:r>
    </w:p>
    <w:p w14:paraId="477E5E9C" w14:textId="77777777" w:rsidR="006C34D9" w:rsidRDefault="006C34D9">
      <w:pPr>
        <w:pStyle w:val="BodyText"/>
        <w:spacing w:before="11"/>
        <w:ind w:left="0"/>
        <w:rPr>
          <w:sz w:val="20"/>
        </w:rPr>
      </w:pPr>
    </w:p>
    <w:p w14:paraId="5600677A" w14:textId="77777777" w:rsidR="006C34D9" w:rsidRDefault="00CB5041">
      <w:pPr>
        <w:spacing w:line="275" w:lineRule="exact"/>
        <w:ind w:left="659"/>
        <w:jc w:val="both"/>
        <w:rPr>
          <w:i/>
          <w:sz w:val="24"/>
        </w:rPr>
      </w:pPr>
      <w:bookmarkStart w:id="104" w:name="Secondary_Endpoints"/>
      <w:bookmarkEnd w:id="104"/>
      <w:r>
        <w:rPr>
          <w:i/>
          <w:sz w:val="24"/>
        </w:rPr>
        <w:t>Secondary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Endpoints</w:t>
      </w:r>
    </w:p>
    <w:p w14:paraId="688EA73B" w14:textId="77777777" w:rsidR="006C34D9" w:rsidRDefault="00CB5041">
      <w:pPr>
        <w:pStyle w:val="BodyText"/>
        <w:ind w:left="659" w:right="657"/>
        <w:jc w:val="both"/>
      </w:pPr>
      <w:r>
        <w:t>The key secondary efficacy endpoint, also based on the proportion of patients achieving</w:t>
      </w:r>
      <w:r>
        <w:rPr>
          <w:spacing w:val="1"/>
        </w:rPr>
        <w:t xml:space="preserve"> </w:t>
      </w:r>
      <w:r>
        <w:t>sustained remission at Week 52, comparing Actemra plus 26 weeks prednisone taper with the</w:t>
      </w:r>
      <w:r>
        <w:rPr>
          <w:spacing w:val="-57"/>
        </w:rPr>
        <w:t xml:space="preserve"> </w:t>
      </w:r>
      <w:r>
        <w:t>longer placebo plus 52 weeks prednisone taper, was also met (Table 10). A statistically</w:t>
      </w:r>
      <w:r>
        <w:rPr>
          <w:spacing w:val="1"/>
        </w:rPr>
        <w:t xml:space="preserve"> </w:t>
      </w:r>
      <w:r>
        <w:t xml:space="preserve">significant superior treatment effect was seen in </w:t>
      </w:r>
      <w:proofErr w:type="spellStart"/>
      <w:r>
        <w:t>favour</w:t>
      </w:r>
      <w:proofErr w:type="spellEnd"/>
      <w:r>
        <w:t xml:space="preserve"> of Actemra over placebo in achieving</w:t>
      </w:r>
      <w:r>
        <w:rPr>
          <w:spacing w:val="1"/>
        </w:rPr>
        <w:t xml:space="preserve"> </w:t>
      </w:r>
      <w:r>
        <w:t>steroid-free sustained remission at Week 52 on Actemra plus 26 weeks prednisone taper</w:t>
      </w:r>
      <w:r>
        <w:rPr>
          <w:spacing w:val="1"/>
        </w:rPr>
        <w:t xml:space="preserve"> </w:t>
      </w:r>
      <w:r>
        <w:t>compared with placebo plus 26 weeks prednisone taper and with placebo plus 52 weeks</w:t>
      </w:r>
      <w:r>
        <w:rPr>
          <w:spacing w:val="1"/>
        </w:rPr>
        <w:t xml:space="preserve"> </w:t>
      </w:r>
      <w:r>
        <w:t>prednisone taper. The percentage of patients achieving sustained remission at week 52 are</w:t>
      </w:r>
      <w:r>
        <w:rPr>
          <w:spacing w:val="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in Table 10.</w:t>
      </w:r>
    </w:p>
    <w:p w14:paraId="43B28290" w14:textId="77777777" w:rsidR="006C34D9" w:rsidRDefault="006C34D9">
      <w:pPr>
        <w:pStyle w:val="BodyText"/>
        <w:spacing w:before="8"/>
        <w:ind w:left="0"/>
        <w:rPr>
          <w:sz w:val="20"/>
        </w:rPr>
      </w:pPr>
    </w:p>
    <w:p w14:paraId="32479904" w14:textId="77777777" w:rsidR="006C34D9" w:rsidRDefault="00CB5041">
      <w:pPr>
        <w:pStyle w:val="BodyText"/>
        <w:ind w:left="659" w:right="658"/>
        <w:jc w:val="both"/>
      </w:pPr>
      <w:r>
        <w:t>The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GCA</w:t>
      </w:r>
      <w:r>
        <w:rPr>
          <w:spacing w:val="-3"/>
        </w:rPr>
        <w:t xml:space="preserve"> </w:t>
      </w:r>
      <w:r>
        <w:t>flare</w:t>
      </w:r>
      <w:r>
        <w:rPr>
          <w:spacing w:val="-4"/>
        </w:rPr>
        <w:t xml:space="preserve"> </w:t>
      </w:r>
      <w:r>
        <w:t>showed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flare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Actemra weekly group compared to placebo plus 26 weeks prednisone and placebo plus 52</w:t>
      </w:r>
      <w:r>
        <w:rPr>
          <w:spacing w:val="1"/>
        </w:rPr>
        <w:t xml:space="preserve"> </w:t>
      </w:r>
      <w:r>
        <w:t>weeks prednisone taper groups and for the Actemra every other week group compared to</w:t>
      </w:r>
      <w:r>
        <w:rPr>
          <w:spacing w:val="1"/>
        </w:rPr>
        <w:t xml:space="preserve"> </w:t>
      </w:r>
      <w:r>
        <w:t>placebo plus 26 weeks prednisone (when compared at a 0.01 significance level). Actemra</w:t>
      </w:r>
      <w:r>
        <w:rPr>
          <w:spacing w:val="1"/>
        </w:rPr>
        <w:t xml:space="preserve"> </w:t>
      </w:r>
      <w:r>
        <w:t>weekly dose also showed a clinically meaningful decrease in the risk for flare compared to</w:t>
      </w:r>
      <w:r>
        <w:rPr>
          <w:spacing w:val="1"/>
        </w:rPr>
        <w:t xml:space="preserve"> </w:t>
      </w:r>
      <w:r>
        <w:t>placebo</w:t>
      </w:r>
      <w:r>
        <w:rPr>
          <w:spacing w:val="-6"/>
        </w:rPr>
        <w:t xml:space="preserve"> </w:t>
      </w:r>
      <w:r>
        <w:t>plus</w:t>
      </w:r>
      <w:r>
        <w:rPr>
          <w:spacing w:val="-7"/>
        </w:rPr>
        <w:t xml:space="preserve"> </w:t>
      </w:r>
      <w:r>
        <w:t>26</w:t>
      </w:r>
      <w:r>
        <w:rPr>
          <w:spacing w:val="-6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prednisone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entered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relapsing</w:t>
      </w:r>
      <w:r>
        <w:rPr>
          <w:spacing w:val="-6"/>
        </w:rPr>
        <w:t xml:space="preserve"> </w:t>
      </w:r>
      <w:r>
        <w:t>GCA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5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those with new-onset</w:t>
      </w:r>
      <w:r>
        <w:rPr>
          <w:spacing w:val="-1"/>
        </w:rPr>
        <w:t xml:space="preserve"> </w:t>
      </w:r>
      <w:r>
        <w:t>disease</w:t>
      </w:r>
      <w:r>
        <w:rPr>
          <w:spacing w:val="-1"/>
        </w:rPr>
        <w:t xml:space="preserve"> </w:t>
      </w:r>
      <w:r>
        <w:t>(Table 10).</w:t>
      </w:r>
    </w:p>
    <w:p w14:paraId="7FC60BF6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BC5D094" w14:textId="77777777" w:rsidR="006C34D9" w:rsidRDefault="00CB5041">
      <w:pPr>
        <w:pStyle w:val="BodyText"/>
        <w:spacing w:before="1"/>
        <w:ind w:left="659" w:right="657"/>
        <w:jc w:val="both"/>
      </w:pPr>
      <w:r>
        <w:t>The median cumulative prednisone dose at Week 52 was significantly lower in the two</w:t>
      </w:r>
      <w:r>
        <w:rPr>
          <w:spacing w:val="1"/>
        </w:rPr>
        <w:t xml:space="preserve"> </w:t>
      </w:r>
      <w:r>
        <w:t>Actemra</w:t>
      </w:r>
      <w:r>
        <w:rPr>
          <w:spacing w:val="-5"/>
        </w:rPr>
        <w:t xml:space="preserve"> </w:t>
      </w:r>
      <w:r>
        <w:t>dose</w:t>
      </w:r>
      <w:r>
        <w:rPr>
          <w:spacing w:val="-5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compared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placebo</w:t>
      </w:r>
      <w:r>
        <w:rPr>
          <w:spacing w:val="-5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(Table</w:t>
      </w:r>
      <w:r>
        <w:rPr>
          <w:spacing w:val="-5"/>
        </w:rPr>
        <w:t xml:space="preserve"> </w:t>
      </w:r>
      <w:r>
        <w:t>10).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patients who received escape prednisone to treat GCA flare during the first 52 weeks, the</w:t>
      </w:r>
      <w:r>
        <w:rPr>
          <w:spacing w:val="1"/>
        </w:rPr>
        <w:t xml:space="preserve"> </w:t>
      </w:r>
      <w:r>
        <w:t>cumulative prednisone dose varied greatly. The median doses for escape patients in the</w:t>
      </w:r>
      <w:r>
        <w:rPr>
          <w:spacing w:val="1"/>
        </w:rPr>
        <w:t xml:space="preserve"> </w:t>
      </w:r>
      <w:r>
        <w:t>Actemra weekly and every other week groups were 3129.75 mg and 3847 mg, respectively –</w:t>
      </w:r>
      <w:r>
        <w:rPr>
          <w:spacing w:val="1"/>
        </w:rPr>
        <w:t xml:space="preserve"> </w:t>
      </w:r>
      <w:r>
        <w:t>both considerably lower than in the placebo plus 26 weeks and the placebo plus 52 weeks</w:t>
      </w:r>
      <w:r>
        <w:rPr>
          <w:spacing w:val="1"/>
        </w:rPr>
        <w:t xml:space="preserve"> </w:t>
      </w:r>
      <w:r>
        <w:rPr>
          <w:spacing w:val="-1"/>
        </w:rPr>
        <w:t>prednisone</w:t>
      </w:r>
      <w:r>
        <w:rPr>
          <w:spacing w:val="-15"/>
        </w:rPr>
        <w:t xml:space="preserve"> </w:t>
      </w:r>
      <w:r>
        <w:rPr>
          <w:spacing w:val="-1"/>
        </w:rPr>
        <w:t>taper</w:t>
      </w:r>
      <w:r>
        <w:rPr>
          <w:spacing w:val="-13"/>
        </w:rPr>
        <w:t xml:space="preserve"> </w:t>
      </w:r>
      <w:r>
        <w:rPr>
          <w:spacing w:val="-1"/>
        </w:rPr>
        <w:t>groups,</w:t>
      </w:r>
      <w:r>
        <w:rPr>
          <w:spacing w:val="-14"/>
        </w:rPr>
        <w:t xml:space="preserve"> </w:t>
      </w:r>
      <w:r>
        <w:t>4023.5</w:t>
      </w:r>
      <w:r>
        <w:rPr>
          <w:spacing w:val="-14"/>
        </w:rPr>
        <w:t xml:space="preserve"> </w:t>
      </w:r>
      <w:r>
        <w:t>mg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5389.5</w:t>
      </w:r>
      <w:r>
        <w:rPr>
          <w:spacing w:val="-14"/>
        </w:rPr>
        <w:t xml:space="preserve"> </w:t>
      </w:r>
      <w:r>
        <w:t>mg</w:t>
      </w:r>
      <w:r>
        <w:rPr>
          <w:spacing w:val="-13"/>
        </w:rPr>
        <w:t xml:space="preserve"> </w:t>
      </w:r>
      <w:r>
        <w:t>respectively.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lower</w:t>
      </w:r>
      <w:r>
        <w:rPr>
          <w:spacing w:val="-14"/>
        </w:rPr>
        <w:t xml:space="preserve"> </w:t>
      </w:r>
      <w:r>
        <w:t>proportion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patients</w:t>
      </w:r>
      <w:r>
        <w:rPr>
          <w:spacing w:val="-58"/>
        </w:rPr>
        <w:t xml:space="preserve"> </w:t>
      </w:r>
      <w:r>
        <w:t>stopped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protocol</w:t>
      </w:r>
      <w:r>
        <w:rPr>
          <w:spacing w:val="19"/>
        </w:rPr>
        <w:t xml:space="preserve"> </w:t>
      </w:r>
      <w:r>
        <w:t>defined</w:t>
      </w:r>
      <w:r>
        <w:rPr>
          <w:spacing w:val="19"/>
        </w:rPr>
        <w:t xml:space="preserve"> </w:t>
      </w:r>
      <w:r>
        <w:t>prednisone</w:t>
      </w:r>
      <w:r>
        <w:rPr>
          <w:spacing w:val="19"/>
        </w:rPr>
        <w:t xml:space="preserve"> </w:t>
      </w:r>
      <w:r>
        <w:t>taper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moved</w:t>
      </w:r>
      <w:r>
        <w:rPr>
          <w:spacing w:val="19"/>
        </w:rPr>
        <w:t xml:space="preserve"> </w:t>
      </w:r>
      <w:r>
        <w:t>onto</w:t>
      </w:r>
      <w:r>
        <w:rPr>
          <w:spacing w:val="19"/>
        </w:rPr>
        <w:t xml:space="preserve"> </w:t>
      </w:r>
      <w:r>
        <w:t>treatment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escape</w:t>
      </w:r>
    </w:p>
    <w:p w14:paraId="1EDFB37B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06F536F3" w14:textId="77777777" w:rsidR="006C34D9" w:rsidRDefault="00CB5041">
      <w:pPr>
        <w:pStyle w:val="BodyText"/>
        <w:spacing w:before="79"/>
        <w:ind w:left="659" w:right="656"/>
        <w:jc w:val="both"/>
      </w:pPr>
      <w:r>
        <w:lastRenderedPageBreak/>
        <w:t>prednisone in the Actemra weekly (23.0%) and Actemra every-other-week (32.7%) groups</w:t>
      </w:r>
      <w:r>
        <w:rPr>
          <w:spacing w:val="1"/>
        </w:rPr>
        <w:t xml:space="preserve"> </w:t>
      </w:r>
      <w:r>
        <w:t>compared with patients in the placebo plus 52 weeks prednisone taper (54.9%) and placebo</w:t>
      </w:r>
      <w:r>
        <w:rPr>
          <w:spacing w:val="1"/>
        </w:rPr>
        <w:t xml:space="preserve"> </w:t>
      </w:r>
      <w:r>
        <w:rPr>
          <w:spacing w:val="-1"/>
        </w:rPr>
        <w:t>plus</w:t>
      </w:r>
      <w:r>
        <w:rPr>
          <w:spacing w:val="-13"/>
        </w:rPr>
        <w:t xml:space="preserve"> </w:t>
      </w:r>
      <w:r>
        <w:rPr>
          <w:spacing w:val="-1"/>
        </w:rPr>
        <w:t>26</w:t>
      </w:r>
      <w:r>
        <w:rPr>
          <w:spacing w:val="-14"/>
        </w:rPr>
        <w:t xml:space="preserve"> </w:t>
      </w:r>
      <w:r>
        <w:rPr>
          <w:spacing w:val="-1"/>
        </w:rPr>
        <w:t>weeks</w:t>
      </w:r>
      <w:r>
        <w:rPr>
          <w:spacing w:val="-12"/>
        </w:rPr>
        <w:t xml:space="preserve"> </w:t>
      </w:r>
      <w:r>
        <w:rPr>
          <w:spacing w:val="-1"/>
        </w:rPr>
        <w:t>prednisone</w:t>
      </w:r>
      <w:r>
        <w:rPr>
          <w:spacing w:val="-13"/>
        </w:rPr>
        <w:t xml:space="preserve"> </w:t>
      </w:r>
      <w:r>
        <w:rPr>
          <w:spacing w:val="-1"/>
        </w:rPr>
        <w:t>taper</w:t>
      </w:r>
      <w:r>
        <w:rPr>
          <w:spacing w:val="-14"/>
        </w:rPr>
        <w:t xml:space="preserve"> </w:t>
      </w:r>
      <w:r>
        <w:t>(74.0%)</w:t>
      </w:r>
      <w:r>
        <w:rPr>
          <w:spacing w:val="-12"/>
        </w:rPr>
        <w:t xml:space="preserve"> </w:t>
      </w:r>
      <w:r>
        <w:t>groups.</w:t>
      </w:r>
      <w:r>
        <w:rPr>
          <w:spacing w:val="-15"/>
        </w:rPr>
        <w:t xml:space="preserve"> </w:t>
      </w:r>
      <w:r>
        <w:t>Median</w:t>
      </w:r>
      <w:r>
        <w:rPr>
          <w:spacing w:val="-15"/>
        </w:rPr>
        <w:t xml:space="preserve"> </w:t>
      </w:r>
      <w:r>
        <w:t>prednisone</w:t>
      </w:r>
      <w:r>
        <w:rPr>
          <w:spacing w:val="-12"/>
        </w:rPr>
        <w:t xml:space="preserve"> </w:t>
      </w:r>
      <w:r>
        <w:t>starting</w:t>
      </w:r>
      <w:r>
        <w:rPr>
          <w:spacing w:val="-14"/>
        </w:rPr>
        <w:t xml:space="preserve"> </w:t>
      </w:r>
      <w:r>
        <w:t>dose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escape</w:t>
      </w:r>
      <w:r>
        <w:rPr>
          <w:spacing w:val="-58"/>
        </w:rPr>
        <w:t xml:space="preserve"> </w:t>
      </w:r>
      <w:r>
        <w:t>patient</w:t>
      </w:r>
      <w:r>
        <w:rPr>
          <w:spacing w:val="-9"/>
        </w:rPr>
        <w:t xml:space="preserve"> </w:t>
      </w:r>
      <w:r>
        <w:t>population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30.0</w:t>
      </w:r>
      <w:r>
        <w:rPr>
          <w:spacing w:val="-9"/>
        </w:rPr>
        <w:t xml:space="preserve"> </w:t>
      </w:r>
      <w:r>
        <w:t>mg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Actemra</w:t>
      </w:r>
      <w:r>
        <w:rPr>
          <w:spacing w:val="-9"/>
        </w:rPr>
        <w:t xml:space="preserve"> </w:t>
      </w:r>
      <w:r>
        <w:t>weekly,</w:t>
      </w:r>
      <w:r>
        <w:rPr>
          <w:spacing w:val="-9"/>
        </w:rPr>
        <w:t xml:space="preserve"> </w:t>
      </w:r>
      <w:r>
        <w:t>Actemra</w:t>
      </w:r>
      <w:r>
        <w:rPr>
          <w:spacing w:val="-9"/>
        </w:rPr>
        <w:t xml:space="preserve"> </w:t>
      </w:r>
      <w:r>
        <w:t>every-other-week</w:t>
      </w:r>
      <w:r>
        <w:rPr>
          <w:spacing w:val="-1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placebo plus 26 weeks prednisone taper groups and 37.5 mg in the placebo plus 52 weeks</w:t>
      </w:r>
      <w:r>
        <w:rPr>
          <w:spacing w:val="1"/>
        </w:rPr>
        <w:t xml:space="preserve"> </w:t>
      </w:r>
      <w:r>
        <w:t>prednisone taper group. There was no consistent pattern to the time of initiation of escape</w:t>
      </w:r>
      <w:r>
        <w:rPr>
          <w:spacing w:val="1"/>
        </w:rPr>
        <w:t xml:space="preserve"> </w:t>
      </w:r>
      <w:r>
        <w:t>therapy.</w:t>
      </w:r>
    </w:p>
    <w:p w14:paraId="0849C3C6" w14:textId="77777777" w:rsidR="006C34D9" w:rsidRDefault="006C34D9">
      <w:pPr>
        <w:pStyle w:val="BodyText"/>
        <w:spacing w:before="3"/>
        <w:ind w:left="0"/>
      </w:pPr>
    </w:p>
    <w:p w14:paraId="10E83EF3" w14:textId="77777777" w:rsidR="006C34D9" w:rsidRDefault="00CB5041">
      <w:pPr>
        <w:pStyle w:val="Heading2"/>
        <w:ind w:left="659"/>
      </w:pPr>
      <w:r>
        <w:t>Table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Efficacy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(</w:t>
      </w:r>
      <w:proofErr w:type="spellStart"/>
      <w:r>
        <w:t>GiACTA</w:t>
      </w:r>
      <w:proofErr w:type="spellEnd"/>
      <w:r>
        <w:t>)</w:t>
      </w:r>
    </w:p>
    <w:p w14:paraId="38C3B6B6" w14:textId="77777777" w:rsidR="006C34D9" w:rsidRDefault="006C34D9">
      <w:pPr>
        <w:pStyle w:val="BodyText"/>
        <w:spacing w:before="4" w:after="1"/>
        <w:ind w:left="0"/>
        <w:rPr>
          <w:b/>
          <w:sz w:val="10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1304"/>
        <w:gridCol w:w="917"/>
        <w:gridCol w:w="1087"/>
        <w:gridCol w:w="926"/>
        <w:gridCol w:w="1087"/>
        <w:gridCol w:w="1255"/>
      </w:tblGrid>
      <w:tr w:rsidR="006C34D9" w14:paraId="6C51B0D6" w14:textId="77777777">
        <w:trPr>
          <w:trHeight w:val="1396"/>
        </w:trPr>
        <w:tc>
          <w:tcPr>
            <w:tcW w:w="4371" w:type="dxa"/>
            <w:gridSpan w:val="3"/>
            <w:vMerge w:val="restart"/>
          </w:tcPr>
          <w:p w14:paraId="47453411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 w14:paraId="44EB42BF" w14:textId="77777777" w:rsidR="006C34D9" w:rsidRDefault="006C34D9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106C79AC" w14:textId="77777777" w:rsidR="006C34D9" w:rsidRDefault="00CB5041">
            <w:pPr>
              <w:pStyle w:val="TableParagraph"/>
              <w:spacing w:before="1"/>
              <w:ind w:left="110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PBO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26</w:t>
            </w:r>
          </w:p>
          <w:p w14:paraId="2C847E9F" w14:textId="77777777" w:rsidR="006C34D9" w:rsidRDefault="00CB5041">
            <w:pPr>
              <w:pStyle w:val="TableParagraph"/>
              <w:ind w:left="114" w:right="10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weeks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prednison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taper</w:t>
            </w:r>
          </w:p>
        </w:tc>
        <w:tc>
          <w:tcPr>
            <w:tcW w:w="926" w:type="dxa"/>
            <w:tcBorders>
              <w:bottom w:val="nil"/>
            </w:tcBorders>
          </w:tcPr>
          <w:p w14:paraId="71FA6A02" w14:textId="77777777" w:rsidR="006C34D9" w:rsidRDefault="00CB5041">
            <w:pPr>
              <w:pStyle w:val="TableParagraph"/>
              <w:ind w:left="118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PBO +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52</w:t>
            </w:r>
          </w:p>
          <w:p w14:paraId="2EC1BD2C" w14:textId="77777777" w:rsidR="006C34D9" w:rsidRDefault="00CB5041">
            <w:pPr>
              <w:pStyle w:val="TableParagraph"/>
              <w:ind w:left="141" w:right="12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weeks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prednis</w:t>
            </w:r>
            <w:proofErr w:type="spellEnd"/>
          </w:p>
          <w:p w14:paraId="598310EE" w14:textId="77777777" w:rsidR="006C34D9" w:rsidRDefault="00CB5041">
            <w:pPr>
              <w:pStyle w:val="TableParagraph"/>
              <w:spacing w:line="230" w:lineRule="exact"/>
              <w:ind w:left="235" w:right="22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taper</w:t>
            </w:r>
          </w:p>
        </w:tc>
        <w:tc>
          <w:tcPr>
            <w:tcW w:w="1087" w:type="dxa"/>
            <w:tcBorders>
              <w:bottom w:val="nil"/>
            </w:tcBorders>
          </w:tcPr>
          <w:p w14:paraId="142D7366" w14:textId="77777777" w:rsidR="006C34D9" w:rsidRDefault="00CB5041">
            <w:pPr>
              <w:pStyle w:val="TableParagraph"/>
              <w:spacing w:line="230" w:lineRule="exact"/>
              <w:ind w:left="110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</w:p>
          <w:p w14:paraId="2EB0C9FA" w14:textId="77777777" w:rsidR="006C34D9" w:rsidRDefault="00CB5041">
            <w:pPr>
              <w:pStyle w:val="TableParagraph"/>
              <w:ind w:left="130" w:right="117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162mg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</w:p>
          <w:p w14:paraId="4F413EF5" w14:textId="77777777" w:rsidR="006C34D9" w:rsidRDefault="00CB5041">
            <w:pPr>
              <w:pStyle w:val="TableParagraph"/>
              <w:spacing w:before="1"/>
              <w:ind w:left="114" w:right="10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 weeks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prednison</w:t>
            </w:r>
            <w:proofErr w:type="spellEnd"/>
          </w:p>
          <w:p w14:paraId="15190D41" w14:textId="77777777" w:rsidR="006C34D9" w:rsidRDefault="00CB5041">
            <w:pPr>
              <w:pStyle w:val="TableParagraph"/>
              <w:spacing w:line="226" w:lineRule="exact"/>
              <w:ind w:left="110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taper</w:t>
            </w:r>
          </w:p>
        </w:tc>
        <w:tc>
          <w:tcPr>
            <w:tcW w:w="1255" w:type="dxa"/>
            <w:tcBorders>
              <w:bottom w:val="nil"/>
            </w:tcBorders>
          </w:tcPr>
          <w:p w14:paraId="7D1E3EB1" w14:textId="77777777" w:rsidR="006C34D9" w:rsidRDefault="00CB5041">
            <w:pPr>
              <w:pStyle w:val="TableParagraph"/>
              <w:spacing w:line="230" w:lineRule="exact"/>
              <w:ind w:left="140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162</w:t>
            </w:r>
          </w:p>
          <w:p w14:paraId="0C580277" w14:textId="77777777" w:rsidR="006C34D9" w:rsidRDefault="00CB5041">
            <w:pPr>
              <w:pStyle w:val="TableParagraph"/>
              <w:ind w:left="191" w:right="179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mg SC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Q2W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26</w:t>
            </w:r>
          </w:p>
          <w:p w14:paraId="276353F1" w14:textId="77777777" w:rsidR="006C34D9" w:rsidRDefault="00CB5041">
            <w:pPr>
              <w:pStyle w:val="TableParagraph"/>
              <w:spacing w:before="1"/>
              <w:ind w:left="154" w:right="1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prednisone</w:t>
            </w:r>
          </w:p>
          <w:p w14:paraId="28980DAF" w14:textId="77777777" w:rsidR="006C34D9" w:rsidRDefault="00CB5041">
            <w:pPr>
              <w:pStyle w:val="TableParagraph"/>
              <w:spacing w:line="226" w:lineRule="exact"/>
              <w:ind w:left="140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taper</w:t>
            </w:r>
          </w:p>
        </w:tc>
      </w:tr>
      <w:tr w:rsidR="006C34D9" w14:paraId="00659480" w14:textId="77777777">
        <w:trPr>
          <w:trHeight w:val="273"/>
        </w:trPr>
        <w:tc>
          <w:tcPr>
            <w:tcW w:w="4371" w:type="dxa"/>
            <w:gridSpan w:val="3"/>
            <w:vMerge/>
            <w:tcBorders>
              <w:top w:val="nil"/>
            </w:tcBorders>
          </w:tcPr>
          <w:p w14:paraId="14F9FFC6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</w:tcBorders>
          </w:tcPr>
          <w:p w14:paraId="55D6167C" w14:textId="77777777" w:rsidR="006C34D9" w:rsidRDefault="00CB5041">
            <w:pPr>
              <w:pStyle w:val="TableParagraph"/>
              <w:spacing w:before="8"/>
              <w:ind w:left="109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n=50</w:t>
            </w:r>
          </w:p>
        </w:tc>
        <w:tc>
          <w:tcPr>
            <w:tcW w:w="926" w:type="dxa"/>
            <w:tcBorders>
              <w:top w:val="nil"/>
            </w:tcBorders>
          </w:tcPr>
          <w:p w14:paraId="11297ECC" w14:textId="77777777" w:rsidR="006C34D9" w:rsidRDefault="00CB5041">
            <w:pPr>
              <w:pStyle w:val="TableParagraph"/>
              <w:spacing w:before="8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n=51</w:t>
            </w:r>
          </w:p>
        </w:tc>
        <w:tc>
          <w:tcPr>
            <w:tcW w:w="1087" w:type="dxa"/>
            <w:tcBorders>
              <w:top w:val="nil"/>
            </w:tcBorders>
          </w:tcPr>
          <w:p w14:paraId="7FF21339" w14:textId="77777777" w:rsidR="006C34D9" w:rsidRDefault="00CB5041">
            <w:pPr>
              <w:pStyle w:val="TableParagraph"/>
              <w:spacing w:before="8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n=100</w:t>
            </w:r>
          </w:p>
        </w:tc>
        <w:tc>
          <w:tcPr>
            <w:tcW w:w="1255" w:type="dxa"/>
            <w:tcBorders>
              <w:top w:val="nil"/>
            </w:tcBorders>
          </w:tcPr>
          <w:p w14:paraId="04D87DFA" w14:textId="77777777" w:rsidR="006C34D9" w:rsidRDefault="00CB5041">
            <w:pPr>
              <w:pStyle w:val="TableParagraph"/>
              <w:spacing w:before="8"/>
              <w:ind w:left="140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n=49</w:t>
            </w:r>
          </w:p>
        </w:tc>
      </w:tr>
      <w:tr w:rsidR="006C34D9" w14:paraId="67D94532" w14:textId="77777777">
        <w:trPr>
          <w:trHeight w:val="297"/>
        </w:trPr>
        <w:tc>
          <w:tcPr>
            <w:tcW w:w="2150" w:type="dxa"/>
            <w:tcBorders>
              <w:bottom w:val="nil"/>
              <w:right w:val="nil"/>
            </w:tcBorders>
          </w:tcPr>
          <w:p w14:paraId="53FE9A36" w14:textId="77777777" w:rsidR="006C34D9" w:rsidRDefault="00CB5041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Endpoint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696EEDCC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</w:tcBorders>
          </w:tcPr>
          <w:p w14:paraId="5FA58DB7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vMerge w:val="restart"/>
          </w:tcPr>
          <w:p w14:paraId="6D3A80D1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786CBBDF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7E705437" w14:textId="77777777" w:rsidR="006C34D9" w:rsidRDefault="006C34D9">
            <w:pPr>
              <w:pStyle w:val="TableParagraph"/>
              <w:ind w:left="0"/>
              <w:rPr>
                <w:b/>
                <w:sz w:val="18"/>
              </w:rPr>
            </w:pPr>
          </w:p>
          <w:p w14:paraId="365BCC13" w14:textId="77777777" w:rsidR="006C34D9" w:rsidRDefault="00CB5041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(14%)</w:t>
            </w:r>
          </w:p>
        </w:tc>
        <w:tc>
          <w:tcPr>
            <w:tcW w:w="926" w:type="dxa"/>
            <w:vMerge w:val="restart"/>
          </w:tcPr>
          <w:p w14:paraId="7AB0C5BF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6A9F3036" w14:textId="77777777" w:rsidR="006C34D9" w:rsidRDefault="006C34D9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14:paraId="78098352" w14:textId="77777777" w:rsidR="006C34D9" w:rsidRDefault="00CB504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14:paraId="1FFFDCB9" w14:textId="77777777" w:rsidR="006C34D9" w:rsidRDefault="00CB5041">
            <w:pPr>
              <w:pStyle w:val="TableParagraph"/>
              <w:spacing w:before="1" w:line="212" w:lineRule="exact"/>
              <w:ind w:left="118" w:right="107"/>
              <w:jc w:val="center"/>
              <w:rPr>
                <w:sz w:val="20"/>
              </w:rPr>
            </w:pPr>
            <w:r>
              <w:rPr>
                <w:sz w:val="20"/>
              </w:rPr>
              <w:t>(17.6%)</w:t>
            </w:r>
          </w:p>
        </w:tc>
        <w:tc>
          <w:tcPr>
            <w:tcW w:w="1087" w:type="dxa"/>
            <w:vMerge w:val="restart"/>
          </w:tcPr>
          <w:p w14:paraId="35C36978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24B1E647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57DC08C9" w14:textId="77777777" w:rsidR="006C34D9" w:rsidRDefault="006C34D9">
            <w:pPr>
              <w:pStyle w:val="TableParagraph"/>
              <w:ind w:left="0"/>
              <w:rPr>
                <w:b/>
                <w:sz w:val="18"/>
              </w:rPr>
            </w:pPr>
          </w:p>
          <w:p w14:paraId="2F49DC70" w14:textId="77777777" w:rsidR="006C34D9" w:rsidRDefault="00CB5041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(56%)</w:t>
            </w:r>
          </w:p>
        </w:tc>
        <w:tc>
          <w:tcPr>
            <w:tcW w:w="1255" w:type="dxa"/>
            <w:vMerge w:val="restart"/>
          </w:tcPr>
          <w:p w14:paraId="3F9A9139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27C21E10" w14:textId="77777777" w:rsidR="006C34D9" w:rsidRDefault="006C34D9">
            <w:pPr>
              <w:pStyle w:val="TableParagraph"/>
              <w:ind w:left="0"/>
              <w:rPr>
                <w:b/>
              </w:rPr>
            </w:pPr>
          </w:p>
          <w:p w14:paraId="5D0803EF" w14:textId="77777777" w:rsidR="006C34D9" w:rsidRDefault="006C34D9">
            <w:pPr>
              <w:pStyle w:val="TableParagraph"/>
              <w:ind w:left="0"/>
              <w:rPr>
                <w:b/>
                <w:sz w:val="18"/>
              </w:rPr>
            </w:pPr>
          </w:p>
          <w:p w14:paraId="178BC38A" w14:textId="77777777" w:rsidR="006C34D9" w:rsidRDefault="00CB5041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(53.1%)</w:t>
            </w:r>
          </w:p>
        </w:tc>
      </w:tr>
      <w:tr w:rsidR="006C34D9" w14:paraId="4CB2696E" w14:textId="77777777">
        <w:trPr>
          <w:trHeight w:val="329"/>
        </w:trPr>
        <w:tc>
          <w:tcPr>
            <w:tcW w:w="4371" w:type="dxa"/>
            <w:gridSpan w:val="3"/>
            <w:tcBorders>
              <w:top w:val="nil"/>
              <w:bottom w:val="nil"/>
            </w:tcBorders>
          </w:tcPr>
          <w:p w14:paraId="1540749F" w14:textId="77777777" w:rsidR="006C34D9" w:rsidRDefault="00CB5041">
            <w:pPr>
              <w:pStyle w:val="TableParagraph"/>
              <w:spacing w:before="24"/>
              <w:rPr>
                <w:i/>
                <w:sz w:val="20"/>
              </w:rPr>
            </w:pPr>
            <w:r>
              <w:rPr>
                <w:i/>
                <w:sz w:val="20"/>
              </w:rPr>
              <w:t>Sustained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remission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groups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PBO+26)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14:paraId="64C6A8FD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14:paraId="344DD8B6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297FA00D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202BD5B6" w14:textId="77777777" w:rsidR="006C34D9" w:rsidRDefault="006C34D9">
            <w:pPr>
              <w:rPr>
                <w:sz w:val="2"/>
                <w:szCs w:val="2"/>
              </w:rPr>
            </w:pPr>
          </w:p>
        </w:tc>
      </w:tr>
      <w:tr w:rsidR="006C34D9" w14:paraId="6749F9F6" w14:textId="77777777">
        <w:trPr>
          <w:trHeight w:val="413"/>
        </w:trPr>
        <w:tc>
          <w:tcPr>
            <w:tcW w:w="3454" w:type="dxa"/>
            <w:gridSpan w:val="2"/>
            <w:tcBorders>
              <w:top w:val="nil"/>
              <w:right w:val="nil"/>
            </w:tcBorders>
          </w:tcPr>
          <w:p w14:paraId="73837148" w14:textId="77777777" w:rsidR="006C34D9" w:rsidRDefault="00CB5041">
            <w:pPr>
              <w:pStyle w:val="TableParagraph"/>
              <w:spacing w:before="66"/>
              <w:rPr>
                <w:sz w:val="20"/>
              </w:rPr>
            </w:pPr>
            <w:r>
              <w:rPr>
                <w:sz w:val="20"/>
              </w:rPr>
              <w:t>Responders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917" w:type="dxa"/>
            <w:tcBorders>
              <w:top w:val="nil"/>
              <w:left w:val="nil"/>
            </w:tcBorders>
          </w:tcPr>
          <w:p w14:paraId="149DCC92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04BDC8CC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14:paraId="7FCCDFB8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71AF9D16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792A4FF2" w14:textId="77777777" w:rsidR="006C34D9" w:rsidRDefault="006C34D9">
            <w:pPr>
              <w:rPr>
                <w:sz w:val="2"/>
                <w:szCs w:val="2"/>
              </w:rPr>
            </w:pPr>
          </w:p>
        </w:tc>
      </w:tr>
      <w:tr w:rsidR="006C34D9" w14:paraId="32E55307" w14:textId="77777777">
        <w:trPr>
          <w:trHeight w:val="299"/>
        </w:trPr>
        <w:tc>
          <w:tcPr>
            <w:tcW w:w="4371" w:type="dxa"/>
            <w:gridSpan w:val="3"/>
          </w:tcPr>
          <w:p w14:paraId="1C0746BC" w14:textId="77777777" w:rsidR="006C34D9" w:rsidRDefault="00CB5041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Unadjusted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proportions</w:t>
            </w:r>
          </w:p>
        </w:tc>
        <w:tc>
          <w:tcPr>
            <w:tcW w:w="1087" w:type="dxa"/>
          </w:tcPr>
          <w:p w14:paraId="5E315125" w14:textId="77777777" w:rsidR="006C34D9" w:rsidRDefault="00CB5041">
            <w:pPr>
              <w:pStyle w:val="TableParagraph"/>
              <w:spacing w:before="32"/>
              <w:ind w:left="109" w:right="10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26" w:type="dxa"/>
          </w:tcPr>
          <w:p w14:paraId="2502D0C9" w14:textId="77777777" w:rsidR="006C34D9" w:rsidRDefault="00CB5041">
            <w:pPr>
              <w:pStyle w:val="TableParagraph"/>
              <w:spacing w:before="32"/>
              <w:ind w:left="29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087" w:type="dxa"/>
          </w:tcPr>
          <w:p w14:paraId="78106869" w14:textId="77777777" w:rsidR="006C34D9" w:rsidRDefault="00CB5041">
            <w:pPr>
              <w:pStyle w:val="TableParagraph"/>
              <w:spacing w:before="32"/>
              <w:ind w:left="309"/>
              <w:rPr>
                <w:sz w:val="20"/>
              </w:rPr>
            </w:pPr>
            <w:r>
              <w:rPr>
                <w:sz w:val="20"/>
              </w:rPr>
              <w:t>42%*</w:t>
            </w:r>
          </w:p>
        </w:tc>
        <w:tc>
          <w:tcPr>
            <w:tcW w:w="1255" w:type="dxa"/>
          </w:tcPr>
          <w:p w14:paraId="28828998" w14:textId="77777777" w:rsidR="006C34D9" w:rsidRDefault="00CB5041">
            <w:pPr>
              <w:pStyle w:val="TableParagraph"/>
              <w:spacing w:before="32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39.06%*</w:t>
            </w:r>
          </w:p>
        </w:tc>
      </w:tr>
      <w:tr w:rsidR="006C34D9" w14:paraId="1E779B36" w14:textId="77777777">
        <w:trPr>
          <w:trHeight w:val="460"/>
        </w:trPr>
        <w:tc>
          <w:tcPr>
            <w:tcW w:w="4371" w:type="dxa"/>
            <w:gridSpan w:val="3"/>
          </w:tcPr>
          <w:p w14:paraId="22AEFFF9" w14:textId="77777777" w:rsidR="006C34D9" w:rsidRDefault="00CB5041">
            <w:pPr>
              <w:pStyle w:val="TableParagraph"/>
              <w:spacing w:before="113"/>
              <w:ind w:left="308"/>
              <w:rPr>
                <w:sz w:val="20"/>
              </w:rPr>
            </w:pPr>
            <w:r>
              <w:rPr>
                <w:sz w:val="20"/>
              </w:rPr>
              <w:t>(99.5%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CI)</w:t>
            </w:r>
          </w:p>
        </w:tc>
        <w:tc>
          <w:tcPr>
            <w:tcW w:w="1087" w:type="dxa"/>
          </w:tcPr>
          <w:p w14:paraId="2E9EB16D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6" w:type="dxa"/>
          </w:tcPr>
          <w:p w14:paraId="19095E65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</w:tcPr>
          <w:p w14:paraId="1776FA39" w14:textId="77777777" w:rsidR="006C34D9" w:rsidRDefault="00CB5041">
            <w:pPr>
              <w:pStyle w:val="TableParagraph"/>
              <w:spacing w:line="228" w:lineRule="exact"/>
              <w:ind w:left="258"/>
              <w:rPr>
                <w:sz w:val="20"/>
              </w:rPr>
            </w:pPr>
            <w:r>
              <w:rPr>
                <w:sz w:val="20"/>
              </w:rPr>
              <w:t>(18.00,</w:t>
            </w:r>
          </w:p>
          <w:p w14:paraId="4A6A12A8" w14:textId="77777777" w:rsidR="006C34D9" w:rsidRDefault="00CB5041">
            <w:pPr>
              <w:pStyle w:val="TableParagraph"/>
              <w:spacing w:line="212" w:lineRule="exact"/>
              <w:ind w:left="285"/>
              <w:rPr>
                <w:sz w:val="20"/>
              </w:rPr>
            </w:pPr>
            <w:r>
              <w:rPr>
                <w:sz w:val="20"/>
              </w:rPr>
              <w:t>66.00)</w:t>
            </w:r>
          </w:p>
        </w:tc>
        <w:tc>
          <w:tcPr>
            <w:tcW w:w="1255" w:type="dxa"/>
          </w:tcPr>
          <w:p w14:paraId="625A887A" w14:textId="77777777" w:rsidR="006C34D9" w:rsidRDefault="00CB5041">
            <w:pPr>
              <w:pStyle w:val="TableParagraph"/>
              <w:spacing w:line="228" w:lineRule="exact"/>
              <w:ind w:left="343"/>
              <w:rPr>
                <w:sz w:val="20"/>
              </w:rPr>
            </w:pPr>
            <w:r>
              <w:rPr>
                <w:sz w:val="20"/>
              </w:rPr>
              <w:t>(12.46,</w:t>
            </w:r>
          </w:p>
          <w:p w14:paraId="46329B2B" w14:textId="77777777" w:rsidR="006C34D9" w:rsidRDefault="00CB5041">
            <w:pPr>
              <w:pStyle w:val="TableParagraph"/>
              <w:spacing w:line="212" w:lineRule="exact"/>
              <w:ind w:left="369"/>
              <w:rPr>
                <w:sz w:val="20"/>
              </w:rPr>
            </w:pPr>
            <w:r>
              <w:rPr>
                <w:sz w:val="20"/>
              </w:rPr>
              <w:t>65.66)</w:t>
            </w:r>
          </w:p>
        </w:tc>
      </w:tr>
      <w:tr w:rsidR="006C34D9" w14:paraId="28EA1F6A" w14:textId="77777777">
        <w:trPr>
          <w:trHeight w:val="474"/>
        </w:trPr>
        <w:tc>
          <w:tcPr>
            <w:tcW w:w="2150" w:type="dxa"/>
            <w:tcBorders>
              <w:bottom w:val="nil"/>
              <w:right w:val="nil"/>
            </w:tcBorders>
          </w:tcPr>
          <w:p w14:paraId="6D8A313E" w14:textId="77777777" w:rsidR="006C34D9" w:rsidRDefault="00CB5041">
            <w:pPr>
              <w:pStyle w:val="TableParagraph"/>
              <w:tabs>
                <w:tab w:val="left" w:pos="1182"/>
              </w:tabs>
              <w:spacing w:line="230" w:lineRule="exact"/>
              <w:ind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Secondary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Endpoint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6990146D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</w:tcBorders>
          </w:tcPr>
          <w:p w14:paraId="576C9202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vMerge w:val="restart"/>
          </w:tcPr>
          <w:p w14:paraId="7B2A2C97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6" w:type="dxa"/>
            <w:vMerge w:val="restart"/>
          </w:tcPr>
          <w:p w14:paraId="1BFDA334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vMerge w:val="restart"/>
          </w:tcPr>
          <w:p w14:paraId="6C6ACF97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14:paraId="58AABB8E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</w:tr>
      <w:tr w:rsidR="006C34D9" w14:paraId="64DE51C8" w14:textId="77777777">
        <w:trPr>
          <w:trHeight w:val="274"/>
        </w:trPr>
        <w:tc>
          <w:tcPr>
            <w:tcW w:w="4371" w:type="dxa"/>
            <w:gridSpan w:val="3"/>
            <w:tcBorders>
              <w:top w:val="nil"/>
            </w:tcBorders>
          </w:tcPr>
          <w:p w14:paraId="38C3DD68" w14:textId="77777777" w:rsidR="006C34D9" w:rsidRDefault="00CB5041">
            <w:pPr>
              <w:pStyle w:val="TableParagraph"/>
              <w:spacing w:before="7"/>
              <w:rPr>
                <w:i/>
                <w:sz w:val="20"/>
              </w:rPr>
            </w:pPr>
            <w:r>
              <w:rPr>
                <w:i/>
                <w:sz w:val="20"/>
              </w:rPr>
              <w:t>Sustained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remission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(ACT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groups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PBO+52)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14:paraId="4D11A597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14:paraId="390A5E48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5DCFD47C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09177B35" w14:textId="77777777" w:rsidR="006C34D9" w:rsidRDefault="006C34D9">
            <w:pPr>
              <w:rPr>
                <w:sz w:val="2"/>
                <w:szCs w:val="2"/>
              </w:rPr>
            </w:pPr>
          </w:p>
        </w:tc>
      </w:tr>
      <w:tr w:rsidR="006C34D9" w14:paraId="3F632E7D" w14:textId="77777777">
        <w:trPr>
          <w:trHeight w:val="479"/>
        </w:trPr>
        <w:tc>
          <w:tcPr>
            <w:tcW w:w="3454" w:type="dxa"/>
            <w:gridSpan w:val="2"/>
            <w:tcBorders>
              <w:bottom w:val="nil"/>
              <w:right w:val="nil"/>
            </w:tcBorders>
          </w:tcPr>
          <w:p w14:paraId="3FF441F8" w14:textId="77777777" w:rsidR="006C34D9" w:rsidRDefault="00CB5041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Responders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917" w:type="dxa"/>
            <w:tcBorders>
              <w:left w:val="nil"/>
              <w:bottom w:val="nil"/>
            </w:tcBorders>
          </w:tcPr>
          <w:p w14:paraId="1893988B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 w14:paraId="714FD0FA" w14:textId="77777777" w:rsidR="006C34D9" w:rsidRDefault="00CB5041">
            <w:pPr>
              <w:pStyle w:val="TableParagraph"/>
              <w:spacing w:before="113"/>
              <w:ind w:left="109" w:right="10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(14%)</w:t>
            </w:r>
          </w:p>
        </w:tc>
        <w:tc>
          <w:tcPr>
            <w:tcW w:w="926" w:type="dxa"/>
            <w:tcBorders>
              <w:bottom w:val="nil"/>
            </w:tcBorders>
          </w:tcPr>
          <w:p w14:paraId="1E1107C6" w14:textId="77777777" w:rsidR="006C34D9" w:rsidRDefault="00CB5041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14:paraId="0E6401A3" w14:textId="77777777" w:rsidR="006C34D9" w:rsidRDefault="00CB5041">
            <w:pPr>
              <w:pStyle w:val="TableParagraph"/>
              <w:ind w:left="118" w:right="107"/>
              <w:jc w:val="center"/>
              <w:rPr>
                <w:sz w:val="20"/>
              </w:rPr>
            </w:pPr>
            <w:r>
              <w:rPr>
                <w:sz w:val="20"/>
              </w:rPr>
              <w:t>(17.6%)</w:t>
            </w:r>
          </w:p>
        </w:tc>
        <w:tc>
          <w:tcPr>
            <w:tcW w:w="1087" w:type="dxa"/>
            <w:tcBorders>
              <w:bottom w:val="nil"/>
            </w:tcBorders>
          </w:tcPr>
          <w:p w14:paraId="2D9F815D" w14:textId="77777777" w:rsidR="006C34D9" w:rsidRDefault="00CB5041">
            <w:pPr>
              <w:pStyle w:val="TableParagraph"/>
              <w:spacing w:before="113"/>
              <w:ind w:left="167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(56%)</w:t>
            </w:r>
          </w:p>
        </w:tc>
        <w:tc>
          <w:tcPr>
            <w:tcW w:w="1255" w:type="dxa"/>
            <w:tcBorders>
              <w:bottom w:val="nil"/>
            </w:tcBorders>
          </w:tcPr>
          <w:p w14:paraId="5B329AA2" w14:textId="77777777" w:rsidR="006C34D9" w:rsidRDefault="00CB5041">
            <w:pPr>
              <w:pStyle w:val="TableParagraph"/>
              <w:spacing w:before="113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(53.1%)</w:t>
            </w:r>
          </w:p>
        </w:tc>
      </w:tr>
      <w:tr w:rsidR="006C34D9" w14:paraId="0A9FA97E" w14:textId="77777777">
        <w:trPr>
          <w:trHeight w:val="265"/>
        </w:trPr>
        <w:tc>
          <w:tcPr>
            <w:tcW w:w="3454" w:type="dxa"/>
            <w:gridSpan w:val="2"/>
            <w:tcBorders>
              <w:top w:val="nil"/>
              <w:bottom w:val="nil"/>
              <w:right w:val="nil"/>
            </w:tcBorders>
          </w:tcPr>
          <w:p w14:paraId="5AFB51FE" w14:textId="77777777" w:rsidR="006C34D9" w:rsidRDefault="00CB5041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Unadjusted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proportions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</w:tcBorders>
          </w:tcPr>
          <w:p w14:paraId="76855C48" w14:textId="77777777" w:rsidR="006C34D9" w:rsidRDefault="006C34D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75321C48" w14:textId="77777777" w:rsidR="006C34D9" w:rsidRDefault="00CB5041">
            <w:pPr>
              <w:pStyle w:val="TableParagraph"/>
              <w:spacing w:before="13"/>
              <w:ind w:left="109" w:right="10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1E73E62D" w14:textId="77777777" w:rsidR="006C34D9" w:rsidRDefault="00CB5041">
            <w:pPr>
              <w:pStyle w:val="TableParagraph"/>
              <w:spacing w:before="13"/>
              <w:ind w:left="29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5F52151A" w14:textId="77777777" w:rsidR="006C34D9" w:rsidRDefault="00CB5041">
            <w:pPr>
              <w:pStyle w:val="TableParagraph"/>
              <w:spacing w:before="13"/>
              <w:ind w:left="184"/>
              <w:rPr>
                <w:sz w:val="20"/>
              </w:rPr>
            </w:pPr>
            <w:r>
              <w:rPr>
                <w:sz w:val="20"/>
              </w:rPr>
              <w:t>38.35%*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6B006E98" w14:textId="77777777" w:rsidR="006C34D9" w:rsidRDefault="00CB5041">
            <w:pPr>
              <w:pStyle w:val="TableParagraph"/>
              <w:spacing w:before="13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35.41%**</w:t>
            </w:r>
          </w:p>
        </w:tc>
      </w:tr>
      <w:tr w:rsidR="006C34D9" w14:paraId="6BF7E154" w14:textId="77777777">
        <w:trPr>
          <w:trHeight w:val="474"/>
        </w:trPr>
        <w:tc>
          <w:tcPr>
            <w:tcW w:w="2150" w:type="dxa"/>
            <w:tcBorders>
              <w:top w:val="nil"/>
              <w:right w:val="nil"/>
            </w:tcBorders>
          </w:tcPr>
          <w:p w14:paraId="2A360C62" w14:textId="77777777" w:rsidR="006C34D9" w:rsidRDefault="00CB5041">
            <w:pPr>
              <w:pStyle w:val="TableParagraph"/>
              <w:spacing w:before="127"/>
              <w:ind w:left="308"/>
              <w:rPr>
                <w:sz w:val="20"/>
              </w:rPr>
            </w:pPr>
            <w:r>
              <w:rPr>
                <w:sz w:val="20"/>
              </w:rPr>
              <w:t>(99.5%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CI)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14:paraId="7685DB9F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  <w:left w:val="nil"/>
            </w:tcBorders>
          </w:tcPr>
          <w:p w14:paraId="084762AB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top w:val="nil"/>
            </w:tcBorders>
          </w:tcPr>
          <w:p w14:paraId="35A0EFFF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14:paraId="7A23D41D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top w:val="nil"/>
            </w:tcBorders>
          </w:tcPr>
          <w:p w14:paraId="4B8D4B81" w14:textId="77777777" w:rsidR="006C34D9" w:rsidRDefault="00CB5041">
            <w:pPr>
              <w:pStyle w:val="TableParagraph"/>
              <w:spacing w:before="13" w:line="230" w:lineRule="exact"/>
              <w:ind w:left="23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17.89 ,</w:t>
            </w:r>
            <w:proofErr w:type="gramEnd"/>
          </w:p>
          <w:p w14:paraId="06966E28" w14:textId="77777777" w:rsidR="006C34D9" w:rsidRDefault="00CB5041">
            <w:pPr>
              <w:pStyle w:val="TableParagraph"/>
              <w:spacing w:line="212" w:lineRule="exact"/>
              <w:ind w:left="285"/>
              <w:rPr>
                <w:sz w:val="20"/>
              </w:rPr>
            </w:pPr>
            <w:r>
              <w:rPr>
                <w:sz w:val="20"/>
              </w:rPr>
              <w:t>58.81)</w:t>
            </w:r>
          </w:p>
        </w:tc>
        <w:tc>
          <w:tcPr>
            <w:tcW w:w="1255" w:type="dxa"/>
            <w:tcBorders>
              <w:top w:val="nil"/>
            </w:tcBorders>
          </w:tcPr>
          <w:p w14:paraId="540CA349" w14:textId="77777777" w:rsidR="006C34D9" w:rsidRDefault="00CB5041">
            <w:pPr>
              <w:pStyle w:val="TableParagraph"/>
              <w:spacing w:before="13" w:line="230" w:lineRule="exact"/>
              <w:ind w:left="368"/>
              <w:rPr>
                <w:sz w:val="20"/>
              </w:rPr>
            </w:pPr>
            <w:r>
              <w:rPr>
                <w:sz w:val="20"/>
              </w:rPr>
              <w:t>(10.41</w:t>
            </w:r>
          </w:p>
          <w:p w14:paraId="03E10E8D" w14:textId="77777777" w:rsidR="006C34D9" w:rsidRDefault="00CB5041">
            <w:pPr>
              <w:pStyle w:val="TableParagraph"/>
              <w:spacing w:line="212" w:lineRule="exact"/>
              <w:ind w:left="344"/>
              <w:rPr>
                <w:sz w:val="20"/>
              </w:rPr>
            </w:pPr>
            <w:r>
              <w:rPr>
                <w:sz w:val="20"/>
              </w:rPr>
              <w:t>,60.41)</w:t>
            </w:r>
          </w:p>
        </w:tc>
      </w:tr>
      <w:tr w:rsidR="006C34D9" w14:paraId="5CF27E9B" w14:textId="77777777">
        <w:trPr>
          <w:trHeight w:val="302"/>
        </w:trPr>
        <w:tc>
          <w:tcPr>
            <w:tcW w:w="3454" w:type="dxa"/>
            <w:gridSpan w:val="2"/>
            <w:tcBorders>
              <w:bottom w:val="nil"/>
              <w:right w:val="nil"/>
            </w:tcBorders>
          </w:tcPr>
          <w:p w14:paraId="1F8C56DE" w14:textId="77777777" w:rsidR="006C34D9" w:rsidRDefault="00CB5041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Secondary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Endpoints</w:t>
            </w:r>
          </w:p>
        </w:tc>
        <w:tc>
          <w:tcPr>
            <w:tcW w:w="917" w:type="dxa"/>
            <w:tcBorders>
              <w:left w:val="nil"/>
              <w:bottom w:val="nil"/>
            </w:tcBorders>
          </w:tcPr>
          <w:p w14:paraId="65ED4628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 w14:paraId="5AA95F9F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bottom w:val="nil"/>
            </w:tcBorders>
          </w:tcPr>
          <w:p w14:paraId="2EC6309A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 w14:paraId="0443559F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 w14:paraId="263867CA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</w:tr>
      <w:tr w:rsidR="006C34D9" w14:paraId="3BC5A79C" w14:textId="77777777">
        <w:trPr>
          <w:trHeight w:val="281"/>
        </w:trPr>
        <w:tc>
          <w:tcPr>
            <w:tcW w:w="2150" w:type="dxa"/>
            <w:tcBorders>
              <w:top w:val="nil"/>
              <w:bottom w:val="nil"/>
              <w:right w:val="nil"/>
            </w:tcBorders>
          </w:tcPr>
          <w:p w14:paraId="5DEFF26C" w14:textId="77777777" w:rsidR="006C34D9" w:rsidRDefault="00CB5041">
            <w:pPr>
              <w:pStyle w:val="TableParagraph"/>
              <w:spacing w:before="29"/>
              <w:rPr>
                <w:i/>
                <w:sz w:val="20"/>
              </w:rPr>
            </w:pPr>
            <w:r>
              <w:rPr>
                <w:i/>
                <w:sz w:val="20"/>
              </w:rPr>
              <w:t>Time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first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GCA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flare¹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9340B93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</w:tcBorders>
          </w:tcPr>
          <w:p w14:paraId="3CACE749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5031B00A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1D3B4547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05DD7FE0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1D7F6801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</w:tr>
      <w:tr w:rsidR="006C34D9" w14:paraId="66931312" w14:textId="77777777">
        <w:trPr>
          <w:trHeight w:val="478"/>
        </w:trPr>
        <w:tc>
          <w:tcPr>
            <w:tcW w:w="2150" w:type="dxa"/>
            <w:tcBorders>
              <w:top w:val="nil"/>
              <w:bottom w:val="nil"/>
              <w:right w:val="nil"/>
            </w:tcBorders>
          </w:tcPr>
          <w:p w14:paraId="28BBDCD2" w14:textId="77777777" w:rsidR="006C34D9" w:rsidRDefault="00CB5041">
            <w:pPr>
              <w:pStyle w:val="TableParagraph"/>
              <w:spacing w:before="128"/>
              <w:ind w:left="30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A133343" w14:textId="77777777" w:rsidR="006C34D9" w:rsidRDefault="00CB5041">
            <w:pPr>
              <w:pStyle w:val="TableParagraph"/>
              <w:spacing w:line="230" w:lineRule="atLeast"/>
              <w:ind w:left="306" w:right="276" w:firstLine="10"/>
              <w:rPr>
                <w:sz w:val="20"/>
              </w:rPr>
            </w:pPr>
            <w:r>
              <w:rPr>
                <w:sz w:val="20"/>
              </w:rPr>
              <w:t>ACT vs.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PBO+26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</w:tcBorders>
          </w:tcPr>
          <w:p w14:paraId="5DA27C69" w14:textId="77777777" w:rsidR="006C34D9" w:rsidRDefault="00CB5041">
            <w:pPr>
              <w:pStyle w:val="TableParagraph"/>
              <w:spacing w:before="128"/>
              <w:ind w:left="299"/>
              <w:rPr>
                <w:sz w:val="20"/>
              </w:rPr>
            </w:pPr>
            <w:r>
              <w:rPr>
                <w:sz w:val="20"/>
              </w:rPr>
              <w:t>HR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3D8BB7A3" w14:textId="77777777" w:rsidR="006C34D9" w:rsidRDefault="00CB5041">
            <w:pPr>
              <w:pStyle w:val="TableParagraph"/>
              <w:spacing w:before="128"/>
              <w:ind w:left="109" w:right="10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3410CCD8" w14:textId="77777777" w:rsidR="006C34D9" w:rsidRDefault="00CB5041">
            <w:pPr>
              <w:pStyle w:val="TableParagraph"/>
              <w:spacing w:before="128"/>
              <w:ind w:left="29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038F5224" w14:textId="77777777" w:rsidR="006C34D9" w:rsidRDefault="00CB5041">
            <w:pPr>
              <w:pStyle w:val="TableParagraph"/>
              <w:spacing w:before="128"/>
              <w:ind w:left="317"/>
              <w:rPr>
                <w:sz w:val="20"/>
              </w:rPr>
            </w:pPr>
            <w:r>
              <w:rPr>
                <w:sz w:val="20"/>
              </w:rPr>
              <w:t>0.23*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2C4ED01F" w14:textId="77777777" w:rsidR="006C34D9" w:rsidRDefault="00CB5041">
            <w:pPr>
              <w:pStyle w:val="TableParagraph"/>
              <w:spacing w:before="128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0.28**</w:t>
            </w:r>
          </w:p>
        </w:tc>
      </w:tr>
      <w:tr w:rsidR="006C34D9" w14:paraId="315B97E7" w14:textId="77777777">
        <w:trPr>
          <w:trHeight w:val="459"/>
        </w:trPr>
        <w:tc>
          <w:tcPr>
            <w:tcW w:w="2150" w:type="dxa"/>
            <w:tcBorders>
              <w:top w:val="nil"/>
              <w:bottom w:val="nil"/>
              <w:right w:val="nil"/>
            </w:tcBorders>
          </w:tcPr>
          <w:p w14:paraId="334F8344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C6B867F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</w:tcBorders>
          </w:tcPr>
          <w:p w14:paraId="141371DC" w14:textId="77777777" w:rsidR="006C34D9" w:rsidRDefault="00CB5041">
            <w:pPr>
              <w:pStyle w:val="TableParagraph"/>
              <w:spacing w:line="226" w:lineRule="exact"/>
              <w:ind w:left="181" w:right="208"/>
              <w:jc w:val="center"/>
              <w:rPr>
                <w:sz w:val="20"/>
              </w:rPr>
            </w:pPr>
            <w:r>
              <w:rPr>
                <w:sz w:val="20"/>
              </w:rPr>
              <w:t>(99%</w:t>
            </w:r>
          </w:p>
          <w:p w14:paraId="4903AF7B" w14:textId="77777777" w:rsidR="006C34D9" w:rsidRDefault="00CB5041">
            <w:pPr>
              <w:pStyle w:val="TableParagraph"/>
              <w:spacing w:line="214" w:lineRule="exact"/>
              <w:ind w:left="181" w:right="208"/>
              <w:jc w:val="center"/>
              <w:rPr>
                <w:sz w:val="20"/>
              </w:rPr>
            </w:pPr>
            <w:r>
              <w:rPr>
                <w:sz w:val="20"/>
              </w:rPr>
              <w:t>CI)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2D6FE21E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384269F9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66E83D76" w14:textId="77777777" w:rsidR="006C34D9" w:rsidRDefault="00CB5041">
            <w:pPr>
              <w:pStyle w:val="TableParagraph"/>
              <w:spacing w:line="226" w:lineRule="exact"/>
              <w:ind w:left="309"/>
              <w:rPr>
                <w:sz w:val="20"/>
              </w:rPr>
            </w:pPr>
            <w:r>
              <w:rPr>
                <w:sz w:val="20"/>
              </w:rPr>
              <w:t>(0.11,</w:t>
            </w:r>
          </w:p>
          <w:p w14:paraId="768AC70F" w14:textId="77777777" w:rsidR="006C34D9" w:rsidRDefault="00CB5041">
            <w:pPr>
              <w:pStyle w:val="TableParagraph"/>
              <w:spacing w:line="214" w:lineRule="exact"/>
              <w:ind w:left="334"/>
              <w:rPr>
                <w:sz w:val="20"/>
              </w:rPr>
            </w:pPr>
            <w:r>
              <w:rPr>
                <w:sz w:val="20"/>
              </w:rPr>
              <w:t>0.46)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45037991" w14:textId="77777777" w:rsidR="006C34D9" w:rsidRDefault="00CB5041">
            <w:pPr>
              <w:pStyle w:val="TableParagraph"/>
              <w:spacing w:before="110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(0.12,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0.66)</w:t>
            </w:r>
          </w:p>
        </w:tc>
      </w:tr>
      <w:tr w:rsidR="006C34D9" w14:paraId="75FC3568" w14:textId="77777777">
        <w:trPr>
          <w:trHeight w:val="459"/>
        </w:trPr>
        <w:tc>
          <w:tcPr>
            <w:tcW w:w="2150" w:type="dxa"/>
            <w:tcBorders>
              <w:top w:val="nil"/>
              <w:bottom w:val="nil"/>
              <w:right w:val="nil"/>
            </w:tcBorders>
          </w:tcPr>
          <w:p w14:paraId="21DF45CC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D856486" w14:textId="77777777" w:rsidR="006C34D9" w:rsidRDefault="00CB5041">
            <w:pPr>
              <w:pStyle w:val="TableParagraph"/>
              <w:spacing w:line="226" w:lineRule="exact"/>
              <w:ind w:left="317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vs.</w:t>
            </w:r>
          </w:p>
          <w:p w14:paraId="516E321C" w14:textId="77777777" w:rsidR="006C34D9" w:rsidRDefault="00CB5041">
            <w:pPr>
              <w:pStyle w:val="TableParagraph"/>
              <w:spacing w:line="214" w:lineRule="exact"/>
              <w:ind w:left="306"/>
              <w:rPr>
                <w:sz w:val="20"/>
              </w:rPr>
            </w:pPr>
            <w:r>
              <w:rPr>
                <w:sz w:val="20"/>
              </w:rPr>
              <w:t>PBO+52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</w:tcBorders>
          </w:tcPr>
          <w:p w14:paraId="0B853650" w14:textId="77777777" w:rsidR="006C34D9" w:rsidRDefault="00CB5041">
            <w:pPr>
              <w:pStyle w:val="TableParagraph"/>
              <w:spacing w:before="111"/>
              <w:ind w:left="299"/>
              <w:rPr>
                <w:sz w:val="20"/>
              </w:rPr>
            </w:pPr>
            <w:r>
              <w:rPr>
                <w:sz w:val="20"/>
              </w:rPr>
              <w:t>HR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1081623F" w14:textId="77777777" w:rsidR="006C34D9" w:rsidRDefault="00CB5041">
            <w:pPr>
              <w:pStyle w:val="TableParagraph"/>
              <w:spacing w:before="111"/>
              <w:ind w:left="109" w:right="10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4EA2D3CB" w14:textId="77777777" w:rsidR="006C34D9" w:rsidRDefault="00CB5041">
            <w:pPr>
              <w:pStyle w:val="TableParagraph"/>
              <w:spacing w:before="111"/>
              <w:ind w:left="29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57A3E278" w14:textId="77777777" w:rsidR="006C34D9" w:rsidRDefault="00CB5041">
            <w:pPr>
              <w:pStyle w:val="TableParagraph"/>
              <w:spacing w:before="111"/>
              <w:ind w:left="268"/>
              <w:rPr>
                <w:sz w:val="20"/>
              </w:rPr>
            </w:pPr>
            <w:r>
              <w:rPr>
                <w:sz w:val="20"/>
              </w:rPr>
              <w:t>0.39**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4533F99F" w14:textId="77777777" w:rsidR="006C34D9" w:rsidRDefault="00CB5041">
            <w:pPr>
              <w:pStyle w:val="TableParagraph"/>
              <w:spacing w:before="11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0.48</w:t>
            </w:r>
          </w:p>
        </w:tc>
      </w:tr>
      <w:tr w:rsidR="006C34D9" w14:paraId="3F0AD457" w14:textId="77777777">
        <w:trPr>
          <w:trHeight w:val="460"/>
        </w:trPr>
        <w:tc>
          <w:tcPr>
            <w:tcW w:w="2150" w:type="dxa"/>
            <w:tcBorders>
              <w:top w:val="nil"/>
              <w:bottom w:val="nil"/>
              <w:right w:val="nil"/>
            </w:tcBorders>
          </w:tcPr>
          <w:p w14:paraId="6799BF27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0473C6C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</w:tcBorders>
          </w:tcPr>
          <w:p w14:paraId="17E5BB60" w14:textId="77777777" w:rsidR="006C34D9" w:rsidRDefault="00CB5041">
            <w:pPr>
              <w:pStyle w:val="TableParagraph"/>
              <w:spacing w:line="226" w:lineRule="exact"/>
              <w:ind w:left="181" w:right="208"/>
              <w:jc w:val="center"/>
              <w:rPr>
                <w:sz w:val="20"/>
              </w:rPr>
            </w:pPr>
            <w:r>
              <w:rPr>
                <w:sz w:val="20"/>
              </w:rPr>
              <w:t>(99%</w:t>
            </w:r>
          </w:p>
          <w:p w14:paraId="635217EE" w14:textId="77777777" w:rsidR="006C34D9" w:rsidRDefault="00CB5041">
            <w:pPr>
              <w:pStyle w:val="TableParagraph"/>
              <w:spacing w:line="214" w:lineRule="exact"/>
              <w:ind w:left="181" w:right="208"/>
              <w:jc w:val="center"/>
              <w:rPr>
                <w:sz w:val="20"/>
              </w:rPr>
            </w:pPr>
            <w:r>
              <w:rPr>
                <w:sz w:val="20"/>
              </w:rPr>
              <w:t>CI)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5F6CFF4B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738AC76B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2E1158A5" w14:textId="77777777" w:rsidR="006C34D9" w:rsidRDefault="00CB5041">
            <w:pPr>
              <w:pStyle w:val="TableParagraph"/>
              <w:spacing w:line="226" w:lineRule="exact"/>
              <w:ind w:left="309"/>
              <w:rPr>
                <w:sz w:val="20"/>
              </w:rPr>
            </w:pPr>
            <w:r>
              <w:rPr>
                <w:sz w:val="20"/>
              </w:rPr>
              <w:t>(0.18,</w:t>
            </w:r>
          </w:p>
          <w:p w14:paraId="6A8286AF" w14:textId="77777777" w:rsidR="006C34D9" w:rsidRDefault="00CB5041">
            <w:pPr>
              <w:pStyle w:val="TableParagraph"/>
              <w:spacing w:line="214" w:lineRule="exact"/>
              <w:ind w:left="334"/>
              <w:rPr>
                <w:sz w:val="20"/>
              </w:rPr>
            </w:pPr>
            <w:r>
              <w:rPr>
                <w:sz w:val="20"/>
              </w:rPr>
              <w:t>0.82)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2C75D220" w14:textId="77777777" w:rsidR="006C34D9" w:rsidRDefault="00CB5041">
            <w:pPr>
              <w:pStyle w:val="TableParagraph"/>
              <w:spacing w:before="111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(0.20,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1.16)</w:t>
            </w:r>
          </w:p>
        </w:tc>
      </w:tr>
      <w:tr w:rsidR="006C34D9" w14:paraId="3996EBE7" w14:textId="77777777">
        <w:trPr>
          <w:trHeight w:val="460"/>
        </w:trPr>
        <w:tc>
          <w:tcPr>
            <w:tcW w:w="2150" w:type="dxa"/>
            <w:tcBorders>
              <w:top w:val="nil"/>
              <w:bottom w:val="nil"/>
              <w:right w:val="nil"/>
            </w:tcBorders>
          </w:tcPr>
          <w:p w14:paraId="1D80E8B8" w14:textId="77777777" w:rsidR="006C34D9" w:rsidRDefault="00CB5041">
            <w:pPr>
              <w:pStyle w:val="TableParagraph"/>
              <w:spacing w:before="110"/>
              <w:ind w:left="308"/>
              <w:rPr>
                <w:sz w:val="20"/>
              </w:rPr>
            </w:pPr>
            <w:r>
              <w:rPr>
                <w:sz w:val="20"/>
              </w:rPr>
              <w:t>Relapsing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56CAFE2" w14:textId="77777777" w:rsidR="006C34D9" w:rsidRDefault="00CB5041">
            <w:pPr>
              <w:pStyle w:val="TableParagraph"/>
              <w:spacing w:line="225" w:lineRule="exact"/>
              <w:ind w:left="317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vs.</w:t>
            </w:r>
          </w:p>
          <w:p w14:paraId="65A47785" w14:textId="77777777" w:rsidR="006C34D9" w:rsidRDefault="00CB5041">
            <w:pPr>
              <w:pStyle w:val="TableParagraph"/>
              <w:spacing w:line="214" w:lineRule="exact"/>
              <w:ind w:left="306"/>
              <w:rPr>
                <w:sz w:val="20"/>
              </w:rPr>
            </w:pPr>
            <w:r>
              <w:rPr>
                <w:sz w:val="20"/>
              </w:rPr>
              <w:t>PBO+26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</w:tcBorders>
          </w:tcPr>
          <w:p w14:paraId="718A246C" w14:textId="77777777" w:rsidR="006C34D9" w:rsidRDefault="00CB5041">
            <w:pPr>
              <w:pStyle w:val="TableParagraph"/>
              <w:spacing w:before="110"/>
              <w:ind w:left="299"/>
              <w:rPr>
                <w:sz w:val="20"/>
              </w:rPr>
            </w:pPr>
            <w:r>
              <w:rPr>
                <w:sz w:val="20"/>
              </w:rPr>
              <w:t>HR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5BA42DC8" w14:textId="77777777" w:rsidR="006C34D9" w:rsidRDefault="00CB5041">
            <w:pPr>
              <w:pStyle w:val="TableParagraph"/>
              <w:spacing w:before="110"/>
              <w:ind w:left="109" w:right="10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447D36E2" w14:textId="77777777" w:rsidR="006C34D9" w:rsidRDefault="00CB5041">
            <w:pPr>
              <w:pStyle w:val="TableParagraph"/>
              <w:spacing w:before="110"/>
              <w:ind w:left="29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12AF6527" w14:textId="77777777" w:rsidR="006C34D9" w:rsidRDefault="00CB5041">
            <w:pPr>
              <w:pStyle w:val="TableParagraph"/>
              <w:spacing w:before="110"/>
              <w:ind w:left="224"/>
              <w:rPr>
                <w:sz w:val="20"/>
              </w:rPr>
            </w:pPr>
            <w:r>
              <w:rPr>
                <w:sz w:val="20"/>
              </w:rPr>
              <w:t>0.23***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6DC855F8" w14:textId="77777777" w:rsidR="006C34D9" w:rsidRDefault="00CB5041">
            <w:pPr>
              <w:pStyle w:val="TableParagraph"/>
              <w:spacing w:before="110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0.42</w:t>
            </w:r>
          </w:p>
        </w:tc>
      </w:tr>
      <w:tr w:rsidR="006C34D9" w14:paraId="4DD89BD3" w14:textId="77777777">
        <w:trPr>
          <w:trHeight w:val="459"/>
        </w:trPr>
        <w:tc>
          <w:tcPr>
            <w:tcW w:w="2150" w:type="dxa"/>
            <w:tcBorders>
              <w:top w:val="nil"/>
              <w:bottom w:val="nil"/>
              <w:right w:val="nil"/>
            </w:tcBorders>
          </w:tcPr>
          <w:p w14:paraId="6DE4CA77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D38375B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</w:tcBorders>
          </w:tcPr>
          <w:p w14:paraId="70B08F46" w14:textId="77777777" w:rsidR="006C34D9" w:rsidRDefault="00CB5041">
            <w:pPr>
              <w:pStyle w:val="TableParagraph"/>
              <w:spacing w:line="226" w:lineRule="exact"/>
              <w:ind w:left="181" w:right="208"/>
              <w:jc w:val="center"/>
              <w:rPr>
                <w:sz w:val="20"/>
              </w:rPr>
            </w:pPr>
            <w:r>
              <w:rPr>
                <w:sz w:val="20"/>
              </w:rPr>
              <w:t>(99%</w:t>
            </w:r>
          </w:p>
          <w:p w14:paraId="40755BF4" w14:textId="77777777" w:rsidR="006C34D9" w:rsidRDefault="00CB5041">
            <w:pPr>
              <w:pStyle w:val="TableParagraph"/>
              <w:spacing w:line="214" w:lineRule="exact"/>
              <w:ind w:left="181" w:right="208"/>
              <w:jc w:val="center"/>
              <w:rPr>
                <w:sz w:val="20"/>
              </w:rPr>
            </w:pPr>
            <w:r>
              <w:rPr>
                <w:sz w:val="20"/>
              </w:rPr>
              <w:t>CI)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71556C4A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75284C1D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25FCF0D8" w14:textId="77777777" w:rsidR="006C34D9" w:rsidRDefault="00CB5041">
            <w:pPr>
              <w:pStyle w:val="TableParagraph"/>
              <w:spacing w:before="111"/>
              <w:ind w:left="152"/>
              <w:rPr>
                <w:sz w:val="20"/>
              </w:rPr>
            </w:pPr>
            <w:r>
              <w:rPr>
                <w:sz w:val="20"/>
              </w:rPr>
              <w:t>(0.09,0.61)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73B04F21" w14:textId="77777777" w:rsidR="006C34D9" w:rsidRDefault="00CB5041">
            <w:pPr>
              <w:pStyle w:val="TableParagraph"/>
              <w:spacing w:before="111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(0.14,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1.28)</w:t>
            </w:r>
          </w:p>
        </w:tc>
      </w:tr>
      <w:tr w:rsidR="006C34D9" w14:paraId="59D0C3DD" w14:textId="77777777">
        <w:trPr>
          <w:trHeight w:val="460"/>
        </w:trPr>
        <w:tc>
          <w:tcPr>
            <w:tcW w:w="2150" w:type="dxa"/>
            <w:tcBorders>
              <w:top w:val="nil"/>
              <w:bottom w:val="nil"/>
              <w:right w:val="nil"/>
            </w:tcBorders>
          </w:tcPr>
          <w:p w14:paraId="09DECACB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31678C1" w14:textId="77777777" w:rsidR="006C34D9" w:rsidRDefault="00CB5041">
            <w:pPr>
              <w:pStyle w:val="TableParagraph"/>
              <w:spacing w:line="226" w:lineRule="exact"/>
              <w:ind w:left="317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vs.</w:t>
            </w:r>
          </w:p>
          <w:p w14:paraId="502367FE" w14:textId="77777777" w:rsidR="006C34D9" w:rsidRDefault="00CB5041">
            <w:pPr>
              <w:pStyle w:val="TableParagraph"/>
              <w:spacing w:line="214" w:lineRule="exact"/>
              <w:ind w:left="306"/>
              <w:rPr>
                <w:sz w:val="20"/>
              </w:rPr>
            </w:pPr>
            <w:r>
              <w:rPr>
                <w:sz w:val="20"/>
              </w:rPr>
              <w:t>PBO+52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</w:tcBorders>
          </w:tcPr>
          <w:p w14:paraId="795959FB" w14:textId="77777777" w:rsidR="006C34D9" w:rsidRDefault="00CB5041">
            <w:pPr>
              <w:pStyle w:val="TableParagraph"/>
              <w:spacing w:before="111"/>
              <w:ind w:left="299"/>
              <w:rPr>
                <w:sz w:val="20"/>
              </w:rPr>
            </w:pPr>
            <w:r>
              <w:rPr>
                <w:sz w:val="20"/>
              </w:rPr>
              <w:t>HR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73DDE2CC" w14:textId="77777777" w:rsidR="006C34D9" w:rsidRDefault="00CB5041">
            <w:pPr>
              <w:pStyle w:val="TableParagraph"/>
              <w:spacing w:before="111"/>
              <w:ind w:left="109" w:right="10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2252AC9D" w14:textId="77777777" w:rsidR="006C34D9" w:rsidRDefault="00CB5041">
            <w:pPr>
              <w:pStyle w:val="TableParagraph"/>
              <w:spacing w:before="111"/>
              <w:ind w:left="29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58B4CA4A" w14:textId="77777777" w:rsidR="006C34D9" w:rsidRDefault="00CB5041">
            <w:pPr>
              <w:pStyle w:val="TableParagraph"/>
              <w:spacing w:before="111"/>
              <w:ind w:left="368"/>
              <w:rPr>
                <w:sz w:val="20"/>
              </w:rPr>
            </w:pPr>
            <w:r>
              <w:rPr>
                <w:sz w:val="20"/>
              </w:rPr>
              <w:t>0.36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2AC16F1F" w14:textId="77777777" w:rsidR="006C34D9" w:rsidRDefault="00CB5041">
            <w:pPr>
              <w:pStyle w:val="TableParagraph"/>
              <w:spacing w:before="11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0.67</w:t>
            </w:r>
          </w:p>
        </w:tc>
      </w:tr>
      <w:tr w:rsidR="006C34D9" w14:paraId="1E3596A5" w14:textId="77777777">
        <w:trPr>
          <w:trHeight w:val="460"/>
        </w:trPr>
        <w:tc>
          <w:tcPr>
            <w:tcW w:w="2150" w:type="dxa"/>
            <w:tcBorders>
              <w:top w:val="nil"/>
              <w:bottom w:val="nil"/>
              <w:right w:val="nil"/>
            </w:tcBorders>
          </w:tcPr>
          <w:p w14:paraId="38F6D9B1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10A1E0F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</w:tcBorders>
          </w:tcPr>
          <w:p w14:paraId="2C301F95" w14:textId="77777777" w:rsidR="006C34D9" w:rsidRDefault="00CB5041">
            <w:pPr>
              <w:pStyle w:val="TableParagraph"/>
              <w:spacing w:line="225" w:lineRule="exact"/>
              <w:ind w:left="205" w:right="184"/>
              <w:jc w:val="center"/>
              <w:rPr>
                <w:sz w:val="20"/>
              </w:rPr>
            </w:pPr>
            <w:r>
              <w:rPr>
                <w:sz w:val="20"/>
              </w:rPr>
              <w:t>(99%</w:t>
            </w:r>
          </w:p>
          <w:p w14:paraId="4D3873F7" w14:textId="77777777" w:rsidR="006C34D9" w:rsidRDefault="00CB5041">
            <w:pPr>
              <w:pStyle w:val="TableParagraph"/>
              <w:spacing w:line="214" w:lineRule="exact"/>
              <w:ind w:left="181" w:right="208"/>
              <w:jc w:val="center"/>
              <w:rPr>
                <w:sz w:val="20"/>
              </w:rPr>
            </w:pPr>
            <w:r>
              <w:rPr>
                <w:sz w:val="20"/>
              </w:rPr>
              <w:t>CI)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09C5A699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7E94E337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30DDB88E" w14:textId="77777777" w:rsidR="006C34D9" w:rsidRDefault="00CB5041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(0.13,</w:t>
            </w:r>
          </w:p>
          <w:p w14:paraId="44FDF7ED" w14:textId="77777777" w:rsidR="006C34D9" w:rsidRDefault="00CB5041">
            <w:pPr>
              <w:pStyle w:val="TableParagraph"/>
              <w:spacing w:line="214" w:lineRule="exact"/>
              <w:ind w:left="334"/>
              <w:rPr>
                <w:sz w:val="20"/>
              </w:rPr>
            </w:pPr>
            <w:r>
              <w:rPr>
                <w:sz w:val="20"/>
              </w:rPr>
              <w:t>1.00)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5E1D1EDB" w14:textId="77777777" w:rsidR="006C34D9" w:rsidRDefault="00CB5041">
            <w:pPr>
              <w:pStyle w:val="TableParagraph"/>
              <w:spacing w:before="110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(0.21,2.10)</w:t>
            </w:r>
          </w:p>
        </w:tc>
      </w:tr>
      <w:tr w:rsidR="006C34D9" w14:paraId="0C96CCD6" w14:textId="77777777">
        <w:trPr>
          <w:trHeight w:val="459"/>
        </w:trPr>
        <w:tc>
          <w:tcPr>
            <w:tcW w:w="2150" w:type="dxa"/>
            <w:tcBorders>
              <w:top w:val="nil"/>
              <w:bottom w:val="nil"/>
              <w:right w:val="nil"/>
            </w:tcBorders>
          </w:tcPr>
          <w:p w14:paraId="08E0FEAD" w14:textId="77777777" w:rsidR="006C34D9" w:rsidRDefault="00CB5041">
            <w:pPr>
              <w:pStyle w:val="TableParagraph"/>
              <w:spacing w:before="110"/>
              <w:ind w:left="308"/>
              <w:rPr>
                <w:sz w:val="20"/>
              </w:rPr>
            </w:pPr>
            <w:r>
              <w:rPr>
                <w:sz w:val="20"/>
              </w:rPr>
              <w:t>New-onset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A96F84F" w14:textId="77777777" w:rsidR="006C34D9" w:rsidRDefault="00CB5041">
            <w:pPr>
              <w:pStyle w:val="TableParagraph"/>
              <w:spacing w:line="226" w:lineRule="exact"/>
              <w:ind w:left="317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vs.</w:t>
            </w:r>
          </w:p>
          <w:p w14:paraId="4CC0B0C9" w14:textId="77777777" w:rsidR="006C34D9" w:rsidRDefault="00CB5041">
            <w:pPr>
              <w:pStyle w:val="TableParagraph"/>
              <w:spacing w:line="214" w:lineRule="exact"/>
              <w:ind w:left="306"/>
              <w:rPr>
                <w:sz w:val="20"/>
              </w:rPr>
            </w:pPr>
            <w:r>
              <w:rPr>
                <w:sz w:val="20"/>
              </w:rPr>
              <w:t>PBO+26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</w:tcBorders>
          </w:tcPr>
          <w:p w14:paraId="174AF0CE" w14:textId="77777777" w:rsidR="006C34D9" w:rsidRDefault="00CB5041">
            <w:pPr>
              <w:pStyle w:val="TableParagraph"/>
              <w:spacing w:before="110"/>
              <w:ind w:left="299"/>
              <w:rPr>
                <w:sz w:val="20"/>
              </w:rPr>
            </w:pPr>
            <w:r>
              <w:rPr>
                <w:sz w:val="20"/>
              </w:rPr>
              <w:t>HR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3104C3E3" w14:textId="77777777" w:rsidR="006C34D9" w:rsidRDefault="00CB5041">
            <w:pPr>
              <w:pStyle w:val="TableParagraph"/>
              <w:spacing w:before="110"/>
              <w:ind w:left="109" w:right="10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1EDBA605" w14:textId="77777777" w:rsidR="006C34D9" w:rsidRDefault="00CB5041">
            <w:pPr>
              <w:pStyle w:val="TableParagraph"/>
              <w:spacing w:before="110"/>
              <w:ind w:left="29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6B7CDD63" w14:textId="77777777" w:rsidR="006C34D9" w:rsidRDefault="00CB5041">
            <w:pPr>
              <w:pStyle w:val="TableParagraph"/>
              <w:spacing w:before="110"/>
              <w:ind w:left="218"/>
              <w:rPr>
                <w:sz w:val="20"/>
              </w:rPr>
            </w:pPr>
            <w:r>
              <w:rPr>
                <w:sz w:val="20"/>
              </w:rPr>
              <w:t>0.25***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30461B6C" w14:textId="77777777" w:rsidR="006C34D9" w:rsidRDefault="00CB5041">
            <w:pPr>
              <w:pStyle w:val="TableParagraph"/>
              <w:spacing w:before="110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0.20***</w:t>
            </w:r>
          </w:p>
        </w:tc>
      </w:tr>
      <w:tr w:rsidR="006C34D9" w14:paraId="6639CF5B" w14:textId="77777777">
        <w:trPr>
          <w:trHeight w:val="460"/>
        </w:trPr>
        <w:tc>
          <w:tcPr>
            <w:tcW w:w="2150" w:type="dxa"/>
            <w:tcBorders>
              <w:top w:val="nil"/>
              <w:bottom w:val="nil"/>
              <w:right w:val="nil"/>
            </w:tcBorders>
          </w:tcPr>
          <w:p w14:paraId="103CF5FA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DB52F32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</w:tcBorders>
          </w:tcPr>
          <w:p w14:paraId="7AE04D8E" w14:textId="77777777" w:rsidR="006C34D9" w:rsidRDefault="00CB5041">
            <w:pPr>
              <w:pStyle w:val="TableParagraph"/>
              <w:spacing w:line="226" w:lineRule="exact"/>
              <w:ind w:left="181" w:right="208"/>
              <w:jc w:val="center"/>
              <w:rPr>
                <w:sz w:val="20"/>
              </w:rPr>
            </w:pPr>
            <w:r>
              <w:rPr>
                <w:sz w:val="20"/>
              </w:rPr>
              <w:t>(99%</w:t>
            </w:r>
          </w:p>
          <w:p w14:paraId="0A0C29DD" w14:textId="77777777" w:rsidR="006C34D9" w:rsidRDefault="00CB5041">
            <w:pPr>
              <w:pStyle w:val="TableParagraph"/>
              <w:spacing w:line="214" w:lineRule="exact"/>
              <w:ind w:left="181" w:right="208"/>
              <w:jc w:val="center"/>
              <w:rPr>
                <w:sz w:val="20"/>
              </w:rPr>
            </w:pPr>
            <w:r>
              <w:rPr>
                <w:sz w:val="20"/>
              </w:rPr>
              <w:t>CI)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0FAEBEB5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3DD6DACE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7694DB63" w14:textId="77777777" w:rsidR="006C34D9" w:rsidRDefault="00CB5041">
            <w:pPr>
              <w:pStyle w:val="TableParagraph"/>
              <w:spacing w:line="226" w:lineRule="exact"/>
              <w:ind w:left="309"/>
              <w:rPr>
                <w:sz w:val="20"/>
              </w:rPr>
            </w:pPr>
            <w:r>
              <w:rPr>
                <w:sz w:val="20"/>
              </w:rPr>
              <w:t>(0.09,</w:t>
            </w:r>
          </w:p>
          <w:p w14:paraId="47B15AE7" w14:textId="77777777" w:rsidR="006C34D9" w:rsidRDefault="00CB5041">
            <w:pPr>
              <w:pStyle w:val="TableParagraph"/>
              <w:spacing w:line="214" w:lineRule="exact"/>
              <w:ind w:left="334"/>
              <w:rPr>
                <w:sz w:val="20"/>
              </w:rPr>
            </w:pPr>
            <w:r>
              <w:rPr>
                <w:sz w:val="20"/>
              </w:rPr>
              <w:t>0.70)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79F92628" w14:textId="77777777" w:rsidR="006C34D9" w:rsidRDefault="00CB5041">
            <w:pPr>
              <w:pStyle w:val="TableParagraph"/>
              <w:spacing w:before="111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(0.05,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0.76)</w:t>
            </w:r>
          </w:p>
        </w:tc>
      </w:tr>
      <w:tr w:rsidR="006C34D9" w14:paraId="36C1ACB5" w14:textId="77777777">
        <w:trPr>
          <w:trHeight w:val="458"/>
        </w:trPr>
        <w:tc>
          <w:tcPr>
            <w:tcW w:w="2150" w:type="dxa"/>
            <w:tcBorders>
              <w:top w:val="nil"/>
              <w:bottom w:val="nil"/>
              <w:right w:val="nil"/>
            </w:tcBorders>
          </w:tcPr>
          <w:p w14:paraId="52D4B597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5475266" w14:textId="77777777" w:rsidR="006C34D9" w:rsidRDefault="00CB5041">
            <w:pPr>
              <w:pStyle w:val="TableParagraph"/>
              <w:spacing w:line="225" w:lineRule="exact"/>
              <w:ind w:left="317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vs.</w:t>
            </w:r>
          </w:p>
          <w:p w14:paraId="5C30E626" w14:textId="77777777" w:rsidR="006C34D9" w:rsidRDefault="00CB5041">
            <w:pPr>
              <w:pStyle w:val="TableParagraph"/>
              <w:spacing w:line="212" w:lineRule="exact"/>
              <w:ind w:left="305"/>
              <w:rPr>
                <w:sz w:val="20"/>
              </w:rPr>
            </w:pPr>
            <w:r>
              <w:rPr>
                <w:sz w:val="20"/>
              </w:rPr>
              <w:t>PBO+52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</w:tcBorders>
          </w:tcPr>
          <w:p w14:paraId="5AFA2A80" w14:textId="77777777" w:rsidR="006C34D9" w:rsidRDefault="00CB5041">
            <w:pPr>
              <w:pStyle w:val="TableParagraph"/>
              <w:spacing w:before="110"/>
              <w:ind w:left="299"/>
              <w:rPr>
                <w:sz w:val="20"/>
              </w:rPr>
            </w:pPr>
            <w:r>
              <w:rPr>
                <w:sz w:val="20"/>
              </w:rPr>
              <w:t>HR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4A3D6384" w14:textId="77777777" w:rsidR="006C34D9" w:rsidRDefault="00CB5041">
            <w:pPr>
              <w:pStyle w:val="TableParagraph"/>
              <w:spacing w:before="110"/>
              <w:ind w:left="109" w:right="10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301F91D3" w14:textId="77777777" w:rsidR="006C34D9" w:rsidRDefault="00CB5041">
            <w:pPr>
              <w:pStyle w:val="TableParagraph"/>
              <w:spacing w:before="110"/>
              <w:ind w:left="29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462A2172" w14:textId="77777777" w:rsidR="006C34D9" w:rsidRDefault="00CB5041">
            <w:pPr>
              <w:pStyle w:val="TableParagraph"/>
              <w:spacing w:before="110"/>
              <w:ind w:left="368"/>
              <w:rPr>
                <w:sz w:val="20"/>
              </w:rPr>
            </w:pPr>
            <w:r>
              <w:rPr>
                <w:sz w:val="20"/>
              </w:rPr>
              <w:t>0.44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5951EB6D" w14:textId="77777777" w:rsidR="006C34D9" w:rsidRDefault="00CB5041">
            <w:pPr>
              <w:pStyle w:val="TableParagraph"/>
              <w:spacing w:before="110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0.35</w:t>
            </w:r>
          </w:p>
        </w:tc>
      </w:tr>
    </w:tbl>
    <w:p w14:paraId="3F0B7C1D" w14:textId="77777777" w:rsidR="006C34D9" w:rsidRDefault="006C34D9">
      <w:pPr>
        <w:jc w:val="center"/>
        <w:rPr>
          <w:sz w:val="20"/>
        </w:r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0"/>
        <w:gridCol w:w="1087"/>
        <w:gridCol w:w="926"/>
        <w:gridCol w:w="1087"/>
        <w:gridCol w:w="1255"/>
      </w:tblGrid>
      <w:tr w:rsidR="006C34D9" w14:paraId="16101E4F" w14:textId="77777777">
        <w:trPr>
          <w:trHeight w:val="1401"/>
        </w:trPr>
        <w:tc>
          <w:tcPr>
            <w:tcW w:w="4370" w:type="dxa"/>
            <w:tcBorders>
              <w:bottom w:val="nil"/>
            </w:tcBorders>
          </w:tcPr>
          <w:p w14:paraId="36A52EA4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1087" w:type="dxa"/>
            <w:tcBorders>
              <w:bottom w:val="nil"/>
            </w:tcBorders>
          </w:tcPr>
          <w:p w14:paraId="79FB15B4" w14:textId="77777777" w:rsidR="006C34D9" w:rsidRDefault="006C34D9">
            <w:pPr>
              <w:pStyle w:val="TableParagraph"/>
              <w:ind w:left="0"/>
              <w:rPr>
                <w:b/>
                <w:sz w:val="20"/>
              </w:rPr>
            </w:pPr>
          </w:p>
          <w:p w14:paraId="307C8936" w14:textId="77777777" w:rsidR="006C34D9" w:rsidRDefault="00CB5041">
            <w:pPr>
              <w:pStyle w:val="TableParagraph"/>
              <w:spacing w:line="230" w:lineRule="exact"/>
              <w:ind w:left="111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PBO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26</w:t>
            </w:r>
          </w:p>
          <w:p w14:paraId="34A8A8F8" w14:textId="77777777" w:rsidR="006C34D9" w:rsidRDefault="00CB5041">
            <w:pPr>
              <w:pStyle w:val="TableParagraph"/>
              <w:ind w:left="115" w:right="10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weeks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prednison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taper</w:t>
            </w:r>
          </w:p>
        </w:tc>
        <w:tc>
          <w:tcPr>
            <w:tcW w:w="926" w:type="dxa"/>
            <w:tcBorders>
              <w:bottom w:val="nil"/>
            </w:tcBorders>
          </w:tcPr>
          <w:p w14:paraId="45670F74" w14:textId="77777777" w:rsidR="006C34D9" w:rsidRDefault="00CB5041">
            <w:pPr>
              <w:pStyle w:val="TableParagraph"/>
              <w:ind w:left="11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PBO +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52</w:t>
            </w:r>
          </w:p>
          <w:p w14:paraId="1DC8BB6C" w14:textId="77777777" w:rsidR="006C34D9" w:rsidRDefault="00CB5041">
            <w:pPr>
              <w:pStyle w:val="TableParagraph"/>
              <w:ind w:left="142" w:right="126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weeks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prednis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taper</w:t>
            </w:r>
          </w:p>
        </w:tc>
        <w:tc>
          <w:tcPr>
            <w:tcW w:w="1087" w:type="dxa"/>
            <w:tcBorders>
              <w:bottom w:val="nil"/>
            </w:tcBorders>
          </w:tcPr>
          <w:p w14:paraId="38CACF63" w14:textId="77777777" w:rsidR="006C34D9" w:rsidRDefault="00CB5041">
            <w:pPr>
              <w:pStyle w:val="TableParagraph"/>
              <w:ind w:left="111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</w:p>
          <w:p w14:paraId="5782E8CC" w14:textId="77777777" w:rsidR="006C34D9" w:rsidRDefault="00CB5041">
            <w:pPr>
              <w:pStyle w:val="TableParagraph"/>
              <w:ind w:left="131" w:right="116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162mg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</w:p>
          <w:p w14:paraId="5429C029" w14:textId="77777777" w:rsidR="006C34D9" w:rsidRDefault="00CB5041">
            <w:pPr>
              <w:pStyle w:val="TableParagraph"/>
              <w:ind w:left="115" w:right="10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 weeks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prednison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taper</w:t>
            </w:r>
          </w:p>
        </w:tc>
        <w:tc>
          <w:tcPr>
            <w:tcW w:w="1255" w:type="dxa"/>
            <w:tcBorders>
              <w:bottom w:val="nil"/>
            </w:tcBorders>
          </w:tcPr>
          <w:p w14:paraId="60BDCDDE" w14:textId="77777777" w:rsidR="006C34D9" w:rsidRDefault="00CB5041">
            <w:pPr>
              <w:pStyle w:val="TableParagraph"/>
              <w:ind w:left="141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162</w:t>
            </w:r>
          </w:p>
          <w:p w14:paraId="6C8FA9D8" w14:textId="77777777" w:rsidR="006C34D9" w:rsidRDefault="00CB5041">
            <w:pPr>
              <w:pStyle w:val="TableParagraph"/>
              <w:ind w:left="192" w:right="178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mg SC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Q2W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26</w:t>
            </w:r>
          </w:p>
          <w:p w14:paraId="5E73A865" w14:textId="77777777" w:rsidR="006C34D9" w:rsidRDefault="00CB5041">
            <w:pPr>
              <w:pStyle w:val="TableParagraph"/>
              <w:ind w:left="155" w:right="14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prednisone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taper</w:t>
            </w:r>
          </w:p>
        </w:tc>
      </w:tr>
      <w:tr w:rsidR="006C34D9" w14:paraId="759C2EA8" w14:textId="77777777">
        <w:trPr>
          <w:trHeight w:val="264"/>
        </w:trPr>
        <w:tc>
          <w:tcPr>
            <w:tcW w:w="4370" w:type="dxa"/>
            <w:tcBorders>
              <w:top w:val="nil"/>
              <w:bottom w:val="nil"/>
            </w:tcBorders>
          </w:tcPr>
          <w:p w14:paraId="03677A98" w14:textId="77777777" w:rsidR="006C34D9" w:rsidRDefault="006C34D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33D6CE0B" w14:textId="77777777" w:rsidR="006C34D9" w:rsidRDefault="00CB5041">
            <w:pPr>
              <w:pStyle w:val="TableParagraph"/>
              <w:spacing w:before="13"/>
              <w:ind w:left="111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n=50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52AB5802" w14:textId="77777777" w:rsidR="006C34D9" w:rsidRDefault="00CB5041">
            <w:pPr>
              <w:pStyle w:val="TableParagraph"/>
              <w:spacing w:before="13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n=51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125C20AB" w14:textId="77777777" w:rsidR="006C34D9" w:rsidRDefault="00CB5041">
            <w:pPr>
              <w:pStyle w:val="TableParagraph"/>
              <w:spacing w:before="13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n=100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735DEEB9" w14:textId="77777777" w:rsidR="006C34D9" w:rsidRDefault="00CB5041">
            <w:pPr>
              <w:pStyle w:val="TableParagraph"/>
              <w:spacing w:before="13"/>
              <w:ind w:left="141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n=49</w:t>
            </w:r>
          </w:p>
        </w:tc>
      </w:tr>
      <w:tr w:rsidR="006C34D9" w14:paraId="7B0623BD" w14:textId="77777777">
        <w:trPr>
          <w:trHeight w:val="493"/>
        </w:trPr>
        <w:tc>
          <w:tcPr>
            <w:tcW w:w="4370" w:type="dxa"/>
            <w:tcBorders>
              <w:top w:val="nil"/>
              <w:bottom w:val="nil"/>
            </w:tcBorders>
          </w:tcPr>
          <w:p w14:paraId="03B6E230" w14:textId="77777777" w:rsidR="006C34D9" w:rsidRDefault="00CB5041">
            <w:pPr>
              <w:pStyle w:val="TableParagraph"/>
              <w:spacing w:before="12"/>
              <w:ind w:left="3759" w:right="231" w:hanging="84"/>
              <w:rPr>
                <w:sz w:val="20"/>
              </w:rPr>
            </w:pPr>
            <w:r>
              <w:rPr>
                <w:sz w:val="20"/>
              </w:rPr>
              <w:t>(99%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CI)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1A10085B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741D5862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24D492D3" w14:textId="77777777" w:rsidR="006C34D9" w:rsidRDefault="00CB5041">
            <w:pPr>
              <w:pStyle w:val="TableParagraph"/>
              <w:spacing w:before="12"/>
              <w:ind w:left="310"/>
              <w:rPr>
                <w:sz w:val="20"/>
              </w:rPr>
            </w:pPr>
            <w:r>
              <w:rPr>
                <w:sz w:val="20"/>
              </w:rPr>
              <w:t>(0.14,</w:t>
            </w:r>
          </w:p>
          <w:p w14:paraId="0A117FCC" w14:textId="77777777" w:rsidR="006C34D9" w:rsidRDefault="00CB5041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1.32)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5C607219" w14:textId="77777777" w:rsidR="006C34D9" w:rsidRDefault="00CB5041">
            <w:pPr>
              <w:pStyle w:val="TableParagraph"/>
              <w:spacing w:before="127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(0.09,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1.42)</w:t>
            </w:r>
          </w:p>
        </w:tc>
      </w:tr>
      <w:tr w:rsidR="006C34D9" w14:paraId="3BE5D4F2" w14:textId="77777777">
        <w:trPr>
          <w:trHeight w:val="282"/>
        </w:trPr>
        <w:tc>
          <w:tcPr>
            <w:tcW w:w="4370" w:type="dxa"/>
            <w:tcBorders>
              <w:top w:val="nil"/>
              <w:bottom w:val="nil"/>
            </w:tcBorders>
          </w:tcPr>
          <w:p w14:paraId="3595F0C3" w14:textId="77777777" w:rsidR="006C34D9" w:rsidRDefault="00CB504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>Cumulative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glucocorticoid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(mg)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54424048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0CA8E306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461A20FD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73707282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</w:tr>
      <w:tr w:rsidR="006C34D9" w14:paraId="33055110" w14:textId="77777777">
        <w:trPr>
          <w:trHeight w:val="311"/>
        </w:trPr>
        <w:tc>
          <w:tcPr>
            <w:tcW w:w="4370" w:type="dxa"/>
            <w:tcBorders>
              <w:top w:val="nil"/>
              <w:bottom w:val="nil"/>
            </w:tcBorders>
          </w:tcPr>
          <w:p w14:paraId="7B271B28" w14:textId="77777777" w:rsidR="006C34D9" w:rsidRDefault="00CB5041">
            <w:pPr>
              <w:pStyle w:val="TableParagraph"/>
              <w:spacing w:before="38"/>
              <w:ind w:left="0" w:right="306"/>
              <w:jc w:val="right"/>
              <w:rPr>
                <w:sz w:val="20"/>
              </w:rPr>
            </w:pPr>
            <w:r>
              <w:rPr>
                <w:sz w:val="20"/>
              </w:rPr>
              <w:t>Median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PBO+26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2649C62B" w14:textId="77777777" w:rsidR="006C34D9" w:rsidRDefault="00CB5041">
            <w:pPr>
              <w:pStyle w:val="TableParagraph"/>
              <w:spacing w:before="38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3296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7744242D" w14:textId="77777777" w:rsidR="006C34D9" w:rsidRDefault="00CB5041">
            <w:pPr>
              <w:pStyle w:val="TableParagraph"/>
              <w:spacing w:before="38"/>
              <w:ind w:left="292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0C2CDA45" w14:textId="77777777" w:rsidR="006C34D9" w:rsidRDefault="00CB5041">
            <w:pPr>
              <w:pStyle w:val="TableParagraph"/>
              <w:spacing w:before="38"/>
              <w:ind w:left="111" w:right="101"/>
              <w:jc w:val="center"/>
              <w:rPr>
                <w:sz w:val="20"/>
              </w:rPr>
            </w:pPr>
            <w:r>
              <w:rPr>
                <w:sz w:val="20"/>
              </w:rPr>
              <w:t>1862.00*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2FBE4FBA" w14:textId="77777777" w:rsidR="006C34D9" w:rsidRDefault="00CB5041">
            <w:pPr>
              <w:pStyle w:val="TableParagraph"/>
              <w:spacing w:before="38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1862.00**</w:t>
            </w:r>
          </w:p>
        </w:tc>
      </w:tr>
      <w:tr w:rsidR="006C34D9" w14:paraId="1166F620" w14:textId="77777777">
        <w:trPr>
          <w:trHeight w:val="316"/>
        </w:trPr>
        <w:tc>
          <w:tcPr>
            <w:tcW w:w="4370" w:type="dxa"/>
            <w:tcBorders>
              <w:top w:val="nil"/>
            </w:tcBorders>
          </w:tcPr>
          <w:p w14:paraId="6E039905" w14:textId="77777777" w:rsidR="006C34D9" w:rsidRDefault="00CB5041">
            <w:pPr>
              <w:pStyle w:val="TableParagraph"/>
              <w:spacing w:before="41"/>
              <w:ind w:left="0" w:right="306"/>
              <w:jc w:val="right"/>
              <w:rPr>
                <w:sz w:val="20"/>
              </w:rPr>
            </w:pPr>
            <w:r>
              <w:rPr>
                <w:sz w:val="20"/>
              </w:rPr>
              <w:t>Median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PBO+52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087" w:type="dxa"/>
            <w:tcBorders>
              <w:top w:val="nil"/>
            </w:tcBorders>
          </w:tcPr>
          <w:p w14:paraId="1B12363A" w14:textId="77777777" w:rsidR="006C34D9" w:rsidRDefault="00CB5041">
            <w:pPr>
              <w:pStyle w:val="TableParagraph"/>
              <w:spacing w:before="41"/>
              <w:ind w:left="111" w:right="10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26" w:type="dxa"/>
            <w:tcBorders>
              <w:top w:val="nil"/>
            </w:tcBorders>
          </w:tcPr>
          <w:p w14:paraId="24B707A5" w14:textId="77777777" w:rsidR="006C34D9" w:rsidRDefault="00CB5041">
            <w:pPr>
              <w:pStyle w:val="TableParagraph"/>
              <w:spacing w:before="41"/>
              <w:ind w:left="188"/>
              <w:rPr>
                <w:sz w:val="20"/>
              </w:rPr>
            </w:pPr>
            <w:r>
              <w:rPr>
                <w:sz w:val="20"/>
              </w:rPr>
              <w:t>3817.5</w:t>
            </w:r>
          </w:p>
        </w:tc>
        <w:tc>
          <w:tcPr>
            <w:tcW w:w="1087" w:type="dxa"/>
            <w:tcBorders>
              <w:top w:val="nil"/>
            </w:tcBorders>
          </w:tcPr>
          <w:p w14:paraId="1CACFDBD" w14:textId="77777777" w:rsidR="006C34D9" w:rsidRDefault="00CB5041">
            <w:pPr>
              <w:pStyle w:val="TableParagraph"/>
              <w:spacing w:before="41"/>
              <w:ind w:left="111" w:right="101"/>
              <w:jc w:val="center"/>
              <w:rPr>
                <w:sz w:val="20"/>
              </w:rPr>
            </w:pPr>
            <w:r>
              <w:rPr>
                <w:sz w:val="20"/>
              </w:rPr>
              <w:t>1862.00*</w:t>
            </w:r>
          </w:p>
        </w:tc>
        <w:tc>
          <w:tcPr>
            <w:tcW w:w="1255" w:type="dxa"/>
            <w:tcBorders>
              <w:top w:val="nil"/>
            </w:tcBorders>
          </w:tcPr>
          <w:p w14:paraId="338F095D" w14:textId="77777777" w:rsidR="006C34D9" w:rsidRDefault="00CB5041">
            <w:pPr>
              <w:pStyle w:val="TableParagraph"/>
              <w:spacing w:before="41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1862.00*</w:t>
            </w:r>
          </w:p>
        </w:tc>
      </w:tr>
      <w:tr w:rsidR="006C34D9" w14:paraId="7C64036F" w14:textId="77777777">
        <w:trPr>
          <w:trHeight w:val="294"/>
        </w:trPr>
        <w:tc>
          <w:tcPr>
            <w:tcW w:w="4370" w:type="dxa"/>
            <w:tcBorders>
              <w:bottom w:val="nil"/>
            </w:tcBorders>
          </w:tcPr>
          <w:p w14:paraId="35FCEC16" w14:textId="77777777" w:rsidR="006C34D9" w:rsidRDefault="00CB5041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Exploratory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Endpoints</w:t>
            </w:r>
          </w:p>
        </w:tc>
        <w:tc>
          <w:tcPr>
            <w:tcW w:w="1087" w:type="dxa"/>
            <w:vMerge w:val="restart"/>
          </w:tcPr>
          <w:p w14:paraId="42F9E641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926" w:type="dxa"/>
            <w:vMerge w:val="restart"/>
          </w:tcPr>
          <w:p w14:paraId="0803126D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1087" w:type="dxa"/>
            <w:vMerge w:val="restart"/>
          </w:tcPr>
          <w:p w14:paraId="78E685A8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1255" w:type="dxa"/>
            <w:vMerge w:val="restart"/>
          </w:tcPr>
          <w:p w14:paraId="3EA288B9" w14:textId="77777777" w:rsidR="006C34D9" w:rsidRDefault="006C34D9">
            <w:pPr>
              <w:pStyle w:val="TableParagraph"/>
              <w:ind w:left="0"/>
            </w:pPr>
          </w:p>
        </w:tc>
      </w:tr>
      <w:tr w:rsidR="006C34D9" w14:paraId="71220C74" w14:textId="77777777">
        <w:trPr>
          <w:trHeight w:val="294"/>
        </w:trPr>
        <w:tc>
          <w:tcPr>
            <w:tcW w:w="4370" w:type="dxa"/>
            <w:tcBorders>
              <w:top w:val="nil"/>
            </w:tcBorders>
          </w:tcPr>
          <w:p w14:paraId="23E4BE8C" w14:textId="77777777" w:rsidR="006C34D9" w:rsidRDefault="00CB5041">
            <w:pPr>
              <w:pStyle w:val="TableParagraph"/>
              <w:spacing w:before="28"/>
              <w:rPr>
                <w:i/>
                <w:sz w:val="20"/>
              </w:rPr>
            </w:pPr>
            <w:r>
              <w:rPr>
                <w:i/>
                <w:sz w:val="20"/>
              </w:rPr>
              <w:t>Annualized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relapse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rate,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Week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52</w:t>
            </w:r>
            <w:r>
              <w:rPr>
                <w:i/>
                <w:sz w:val="20"/>
                <w:vertAlign w:val="superscript"/>
              </w:rPr>
              <w:t>§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14:paraId="196ED934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14:paraId="4C8F5949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3261249B" w14:textId="77777777" w:rsidR="006C34D9" w:rsidRDefault="006C34D9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53C6150A" w14:textId="77777777" w:rsidR="006C34D9" w:rsidRDefault="006C34D9">
            <w:pPr>
              <w:rPr>
                <w:sz w:val="2"/>
                <w:szCs w:val="2"/>
              </w:rPr>
            </w:pPr>
          </w:p>
        </w:tc>
      </w:tr>
      <w:tr w:rsidR="006C34D9" w14:paraId="2F556EBD" w14:textId="77777777">
        <w:trPr>
          <w:trHeight w:val="689"/>
        </w:trPr>
        <w:tc>
          <w:tcPr>
            <w:tcW w:w="4370" w:type="dxa"/>
          </w:tcPr>
          <w:p w14:paraId="4244A697" w14:textId="77777777" w:rsidR="006C34D9" w:rsidRDefault="00CB5041">
            <w:pPr>
              <w:pStyle w:val="TableParagraph"/>
              <w:spacing w:line="228" w:lineRule="exact"/>
              <w:ind w:left="308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(SD)</w:t>
            </w:r>
          </w:p>
        </w:tc>
        <w:tc>
          <w:tcPr>
            <w:tcW w:w="1087" w:type="dxa"/>
          </w:tcPr>
          <w:p w14:paraId="5EB7D0C9" w14:textId="77777777" w:rsidR="006C34D9" w:rsidRDefault="00CB5041">
            <w:pPr>
              <w:pStyle w:val="TableParagraph"/>
              <w:spacing w:before="113" w:line="230" w:lineRule="exact"/>
              <w:ind w:left="368"/>
              <w:rPr>
                <w:sz w:val="20"/>
              </w:rPr>
            </w:pPr>
            <w:r>
              <w:rPr>
                <w:sz w:val="20"/>
              </w:rPr>
              <w:t>1.74</w:t>
            </w:r>
          </w:p>
          <w:p w14:paraId="4CD1985E" w14:textId="77777777" w:rsidR="006C34D9" w:rsidRDefault="00CB5041">
            <w:pPr>
              <w:pStyle w:val="TableParagraph"/>
              <w:spacing w:line="230" w:lineRule="exact"/>
              <w:ind w:left="301"/>
              <w:rPr>
                <w:sz w:val="20"/>
              </w:rPr>
            </w:pPr>
            <w:r>
              <w:rPr>
                <w:sz w:val="20"/>
              </w:rPr>
              <w:t>(2.18)</w:t>
            </w:r>
          </w:p>
        </w:tc>
        <w:tc>
          <w:tcPr>
            <w:tcW w:w="926" w:type="dxa"/>
          </w:tcPr>
          <w:p w14:paraId="1FCF36D3" w14:textId="77777777" w:rsidR="006C34D9" w:rsidRDefault="00CB5041">
            <w:pPr>
              <w:pStyle w:val="TableParagraph"/>
              <w:spacing w:before="113" w:line="230" w:lineRule="exact"/>
              <w:ind w:left="118" w:right="106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  <w:p w14:paraId="6B770CF9" w14:textId="77777777" w:rsidR="006C34D9" w:rsidRDefault="00CB5041">
            <w:pPr>
              <w:pStyle w:val="TableParagraph"/>
              <w:spacing w:line="230" w:lineRule="exact"/>
              <w:ind w:left="118" w:right="105"/>
              <w:jc w:val="center"/>
              <w:rPr>
                <w:sz w:val="20"/>
              </w:rPr>
            </w:pPr>
            <w:r>
              <w:rPr>
                <w:sz w:val="20"/>
              </w:rPr>
              <w:t>(1.84)</w:t>
            </w:r>
          </w:p>
        </w:tc>
        <w:tc>
          <w:tcPr>
            <w:tcW w:w="1087" w:type="dxa"/>
          </w:tcPr>
          <w:p w14:paraId="5139A1DE" w14:textId="77777777" w:rsidR="006C34D9" w:rsidRDefault="00CB5041">
            <w:pPr>
              <w:pStyle w:val="TableParagraph"/>
              <w:spacing w:before="113" w:line="230" w:lineRule="exact"/>
              <w:ind w:left="369"/>
              <w:rPr>
                <w:sz w:val="20"/>
              </w:rPr>
            </w:pPr>
            <w:r>
              <w:rPr>
                <w:sz w:val="20"/>
              </w:rPr>
              <w:t>0.41</w:t>
            </w:r>
          </w:p>
          <w:p w14:paraId="2B03B3C4" w14:textId="77777777" w:rsidR="006C34D9" w:rsidRDefault="00CB5041">
            <w:pPr>
              <w:pStyle w:val="TableParagraph"/>
              <w:spacing w:line="230" w:lineRule="exact"/>
              <w:ind w:left="302"/>
              <w:rPr>
                <w:sz w:val="20"/>
              </w:rPr>
            </w:pPr>
            <w:r>
              <w:rPr>
                <w:sz w:val="20"/>
              </w:rPr>
              <w:t>(0.78)</w:t>
            </w:r>
          </w:p>
        </w:tc>
        <w:tc>
          <w:tcPr>
            <w:tcW w:w="1255" w:type="dxa"/>
          </w:tcPr>
          <w:p w14:paraId="4814322E" w14:textId="77777777" w:rsidR="006C34D9" w:rsidRDefault="006C34D9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49D5EF98" w14:textId="77777777" w:rsidR="006C34D9" w:rsidRDefault="00CB5041">
            <w:pPr>
              <w:pStyle w:val="TableParagraph"/>
              <w:spacing w:before="1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0.67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(1.1)</w:t>
            </w:r>
          </w:p>
        </w:tc>
      </w:tr>
    </w:tbl>
    <w:p w14:paraId="7B861E4D" w14:textId="77777777" w:rsidR="006C34D9" w:rsidRDefault="00CB5041">
      <w:pPr>
        <w:spacing w:before="3"/>
        <w:ind w:left="660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p&lt;0.0001</w:t>
      </w:r>
    </w:p>
    <w:p w14:paraId="6345616A" w14:textId="77777777" w:rsidR="006C34D9" w:rsidRDefault="00CB5041">
      <w:pPr>
        <w:spacing w:line="230" w:lineRule="exact"/>
        <w:ind w:left="660"/>
        <w:rPr>
          <w:sz w:val="20"/>
        </w:rPr>
      </w:pPr>
      <w:r>
        <w:rPr>
          <w:sz w:val="20"/>
        </w:rPr>
        <w:t>**</w:t>
      </w:r>
      <w:r>
        <w:rPr>
          <w:spacing w:val="-4"/>
          <w:sz w:val="20"/>
        </w:rPr>
        <w:t xml:space="preserve"> </w:t>
      </w:r>
      <w:r>
        <w:rPr>
          <w:sz w:val="20"/>
        </w:rPr>
        <w:t>p&lt;0.005</w:t>
      </w:r>
      <w:r>
        <w:rPr>
          <w:spacing w:val="-4"/>
          <w:sz w:val="20"/>
        </w:rPr>
        <w:t xml:space="preserve"> </w:t>
      </w:r>
      <w:r>
        <w:rPr>
          <w:sz w:val="20"/>
        </w:rPr>
        <w:t>(threshold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significance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primary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key</w:t>
      </w:r>
      <w:r>
        <w:rPr>
          <w:spacing w:val="-4"/>
          <w:sz w:val="20"/>
        </w:rPr>
        <w:t xml:space="preserve"> </w:t>
      </w:r>
      <w:r>
        <w:rPr>
          <w:sz w:val="20"/>
        </w:rPr>
        <w:t>secondary</w:t>
      </w:r>
      <w:r>
        <w:rPr>
          <w:spacing w:val="-4"/>
          <w:sz w:val="20"/>
        </w:rPr>
        <w:t xml:space="preserve"> </w:t>
      </w:r>
      <w:r>
        <w:rPr>
          <w:sz w:val="20"/>
        </w:rPr>
        <w:t>tests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superiority)</w:t>
      </w:r>
    </w:p>
    <w:p w14:paraId="77B6F9A5" w14:textId="77777777" w:rsidR="006C34D9" w:rsidRDefault="00CB5041">
      <w:pPr>
        <w:spacing w:line="230" w:lineRule="exact"/>
        <w:ind w:left="660"/>
        <w:rPr>
          <w:sz w:val="20"/>
        </w:rPr>
      </w:pPr>
      <w:r>
        <w:rPr>
          <w:sz w:val="20"/>
        </w:rPr>
        <w:t>***Descriptive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pacing w:val="-3"/>
          <w:sz w:val="20"/>
        </w:rPr>
        <w:t xml:space="preserve"> </w:t>
      </w:r>
      <w:r>
        <w:rPr>
          <w:sz w:val="20"/>
        </w:rPr>
        <w:t>value</w:t>
      </w:r>
      <w:r>
        <w:rPr>
          <w:spacing w:val="-3"/>
          <w:sz w:val="20"/>
        </w:rPr>
        <w:t xml:space="preserve"> </w:t>
      </w:r>
      <w:r>
        <w:rPr>
          <w:sz w:val="20"/>
        </w:rPr>
        <w:t>&lt;0.005</w:t>
      </w:r>
    </w:p>
    <w:p w14:paraId="41941C7D" w14:textId="77777777" w:rsidR="006C34D9" w:rsidRDefault="00CB5041">
      <w:pPr>
        <w:spacing w:before="1"/>
        <w:ind w:left="660"/>
        <w:rPr>
          <w:sz w:val="20"/>
        </w:rPr>
      </w:pPr>
      <w:r>
        <w:rPr>
          <w:sz w:val="20"/>
        </w:rPr>
        <w:t>¹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(in</w:t>
      </w:r>
      <w:r>
        <w:rPr>
          <w:spacing w:val="-1"/>
          <w:sz w:val="20"/>
        </w:rPr>
        <w:t xml:space="preserve"> </w:t>
      </w:r>
      <w:r>
        <w:rPr>
          <w:sz w:val="20"/>
        </w:rPr>
        <w:t>days)</w:t>
      </w:r>
      <w:r>
        <w:rPr>
          <w:spacing w:val="-4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remission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disease</w:t>
      </w:r>
      <w:r>
        <w:rPr>
          <w:spacing w:val="-3"/>
          <w:sz w:val="20"/>
        </w:rPr>
        <w:t xml:space="preserve"> </w:t>
      </w:r>
      <w:r>
        <w:rPr>
          <w:sz w:val="20"/>
        </w:rPr>
        <w:t>flare</w:t>
      </w:r>
    </w:p>
    <w:p w14:paraId="6A15B077" w14:textId="77777777" w:rsidR="006C34D9" w:rsidRDefault="00CB5041">
      <w:pPr>
        <w:spacing w:line="230" w:lineRule="exact"/>
        <w:ind w:left="66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p-values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determined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Elteren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non-parametric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</w:p>
    <w:p w14:paraId="5D1FA2E4" w14:textId="77777777" w:rsidR="006C34D9" w:rsidRDefault="00CB5041">
      <w:pPr>
        <w:spacing w:line="230" w:lineRule="exact"/>
        <w:ind w:left="660"/>
        <w:rPr>
          <w:sz w:val="20"/>
        </w:rPr>
      </w:pPr>
      <w:r>
        <w:rPr>
          <w:sz w:val="20"/>
          <w:vertAlign w:val="superscript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4"/>
          <w:sz w:val="20"/>
        </w:rPr>
        <w:t xml:space="preserve"> </w:t>
      </w:r>
      <w:r>
        <w:rPr>
          <w:sz w:val="20"/>
        </w:rPr>
        <w:t>analyses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performed</w:t>
      </w:r>
    </w:p>
    <w:p w14:paraId="21B8E09E" w14:textId="77777777" w:rsidR="006C34D9" w:rsidRDefault="00CB5041">
      <w:pPr>
        <w:spacing w:before="1"/>
        <w:ind w:left="660" w:right="596"/>
        <w:rPr>
          <w:sz w:val="20"/>
        </w:rPr>
      </w:pPr>
      <w:r>
        <w:rPr>
          <w:sz w:val="20"/>
        </w:rPr>
        <w:t>N/A=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applicable,</w:t>
      </w:r>
      <w:r>
        <w:rPr>
          <w:spacing w:val="-4"/>
          <w:sz w:val="20"/>
        </w:rPr>
        <w:t xml:space="preserve"> </w:t>
      </w:r>
      <w:r>
        <w:rPr>
          <w:sz w:val="20"/>
        </w:rPr>
        <w:t>HR</w:t>
      </w:r>
      <w:r>
        <w:rPr>
          <w:spacing w:val="-6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z w:val="20"/>
        </w:rPr>
        <w:t>hazard</w:t>
      </w:r>
      <w:r>
        <w:rPr>
          <w:spacing w:val="-5"/>
          <w:sz w:val="20"/>
        </w:rPr>
        <w:t xml:space="preserve"> </w:t>
      </w:r>
      <w:r>
        <w:rPr>
          <w:sz w:val="20"/>
        </w:rPr>
        <w:t>ratio,</w:t>
      </w:r>
      <w:r>
        <w:rPr>
          <w:spacing w:val="-5"/>
          <w:sz w:val="20"/>
        </w:rPr>
        <w:t xml:space="preserve"> </w:t>
      </w:r>
      <w:r>
        <w:rPr>
          <w:sz w:val="20"/>
        </w:rPr>
        <w:t>CI</w:t>
      </w:r>
      <w:r>
        <w:rPr>
          <w:spacing w:val="-6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confidence</w:t>
      </w:r>
      <w:r>
        <w:rPr>
          <w:spacing w:val="-6"/>
          <w:sz w:val="20"/>
        </w:rPr>
        <w:t xml:space="preserve"> </w:t>
      </w:r>
      <w:r>
        <w:rPr>
          <w:sz w:val="20"/>
        </w:rPr>
        <w:t>interval,</w:t>
      </w:r>
      <w:r>
        <w:rPr>
          <w:spacing w:val="-5"/>
          <w:sz w:val="20"/>
        </w:rPr>
        <w:t xml:space="preserve"> </w:t>
      </w: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7"/>
          <w:sz w:val="20"/>
        </w:rPr>
        <w:t xml:space="preserve"> </w:t>
      </w:r>
      <w:r>
        <w:rPr>
          <w:sz w:val="20"/>
        </w:rPr>
        <w:t>Actemra,</w:t>
      </w:r>
      <w:r>
        <w:rPr>
          <w:spacing w:val="-4"/>
          <w:sz w:val="20"/>
        </w:rPr>
        <w:t xml:space="preserve"> </w:t>
      </w:r>
      <w:r>
        <w:rPr>
          <w:sz w:val="20"/>
        </w:rPr>
        <w:t>PBO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z w:val="20"/>
        </w:rPr>
        <w:t>placebo,</w:t>
      </w:r>
      <w:r>
        <w:rPr>
          <w:spacing w:val="-6"/>
          <w:sz w:val="20"/>
        </w:rPr>
        <w:t xml:space="preserve"> </w:t>
      </w:r>
      <w:r>
        <w:rPr>
          <w:sz w:val="20"/>
        </w:rPr>
        <w:t>QW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z w:val="20"/>
        </w:rPr>
        <w:t>every</w:t>
      </w:r>
      <w:r>
        <w:rPr>
          <w:spacing w:val="1"/>
          <w:sz w:val="20"/>
        </w:rPr>
        <w:t xml:space="preserve"> </w:t>
      </w:r>
      <w:r>
        <w:rPr>
          <w:sz w:val="20"/>
        </w:rPr>
        <w:t>week</w:t>
      </w:r>
      <w:r>
        <w:rPr>
          <w:spacing w:val="-2"/>
          <w:sz w:val="20"/>
        </w:rPr>
        <w:t xml:space="preserve"> </w:t>
      </w:r>
      <w:r>
        <w:rPr>
          <w:sz w:val="20"/>
        </w:rPr>
        <w:t>dose,</w:t>
      </w:r>
      <w:r>
        <w:rPr>
          <w:spacing w:val="-1"/>
          <w:sz w:val="20"/>
        </w:rPr>
        <w:t xml:space="preserve"> </w:t>
      </w:r>
      <w:r>
        <w:rPr>
          <w:sz w:val="20"/>
        </w:rPr>
        <w:t>Q2W = every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week</w:t>
      </w:r>
      <w:r>
        <w:rPr>
          <w:spacing w:val="-1"/>
          <w:sz w:val="20"/>
        </w:rPr>
        <w:t xml:space="preserve"> </w:t>
      </w:r>
      <w:r>
        <w:rPr>
          <w:sz w:val="20"/>
        </w:rPr>
        <w:t>dose</w:t>
      </w:r>
    </w:p>
    <w:p w14:paraId="4C8DD46E" w14:textId="77777777" w:rsidR="006C34D9" w:rsidRDefault="006C34D9">
      <w:pPr>
        <w:pStyle w:val="BodyText"/>
        <w:spacing w:before="4"/>
        <w:ind w:left="0"/>
        <w:rPr>
          <w:sz w:val="17"/>
        </w:rPr>
      </w:pPr>
    </w:p>
    <w:p w14:paraId="781B614A" w14:textId="77777777" w:rsidR="006C34D9" w:rsidRDefault="00CB5041">
      <w:pPr>
        <w:pStyle w:val="BodyText"/>
        <w:jc w:val="both"/>
      </w:pPr>
      <w:bookmarkStart w:id="105" w:name="Quality_of_Life_Outcomes"/>
      <w:bookmarkEnd w:id="105"/>
      <w:r>
        <w:rPr>
          <w:u w:val="single"/>
        </w:rPr>
        <w:t>Quality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Life</w:t>
      </w:r>
      <w:r>
        <w:rPr>
          <w:spacing w:val="-2"/>
          <w:u w:val="single"/>
        </w:rPr>
        <w:t xml:space="preserve"> </w:t>
      </w:r>
      <w:r>
        <w:rPr>
          <w:u w:val="single"/>
        </w:rPr>
        <w:t>Outcomes</w:t>
      </w:r>
    </w:p>
    <w:p w14:paraId="4D705236" w14:textId="77777777" w:rsidR="006C34D9" w:rsidRDefault="00CB5041">
      <w:pPr>
        <w:pStyle w:val="BodyText"/>
        <w:ind w:left="659" w:right="657"/>
        <w:jc w:val="both"/>
      </w:pPr>
      <w:r>
        <w:t>In</w:t>
      </w:r>
      <w:r>
        <w:rPr>
          <w:spacing w:val="-10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X,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SF-36</w:t>
      </w:r>
      <w:r>
        <w:rPr>
          <w:spacing w:val="-10"/>
        </w:rPr>
        <w:t xml:space="preserve"> </w:t>
      </w:r>
      <w:r>
        <w:t>results</w:t>
      </w:r>
      <w:r>
        <w:rPr>
          <w:spacing w:val="-10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separated</w:t>
      </w:r>
      <w:r>
        <w:rPr>
          <w:spacing w:val="-10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mental</w:t>
      </w:r>
      <w:r>
        <w:rPr>
          <w:spacing w:val="-9"/>
        </w:rPr>
        <w:t xml:space="preserve"> </w:t>
      </w:r>
      <w:r>
        <w:t>component</w:t>
      </w:r>
      <w:r>
        <w:rPr>
          <w:spacing w:val="-9"/>
        </w:rPr>
        <w:t xml:space="preserve"> </w:t>
      </w:r>
      <w:r>
        <w:t>summary</w:t>
      </w:r>
      <w:r>
        <w:rPr>
          <w:spacing w:val="-58"/>
        </w:rPr>
        <w:t xml:space="preserve"> </w:t>
      </w:r>
      <w:r>
        <w:t>scores (PCS and MCS, respectively). The PCS mean change from baseline to week 52 was</w:t>
      </w:r>
      <w:r>
        <w:rPr>
          <w:spacing w:val="1"/>
        </w:rPr>
        <w:t xml:space="preserve"> </w:t>
      </w:r>
      <w:r>
        <w:t>higher</w:t>
      </w:r>
      <w:r>
        <w:rPr>
          <w:spacing w:val="-9"/>
        </w:rPr>
        <w:t xml:space="preserve"> </w:t>
      </w:r>
      <w:r>
        <w:t>(showing</w:t>
      </w:r>
      <w:r>
        <w:rPr>
          <w:spacing w:val="-7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improvement)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Actemra</w:t>
      </w:r>
      <w:r>
        <w:rPr>
          <w:spacing w:val="-7"/>
        </w:rPr>
        <w:t xml:space="preserve"> </w:t>
      </w:r>
      <w:r>
        <w:t>weekly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week</w:t>
      </w:r>
      <w:r>
        <w:rPr>
          <w:spacing w:val="-10"/>
        </w:rPr>
        <w:t xml:space="preserve"> </w:t>
      </w:r>
      <w:r>
        <w:t>dose</w:t>
      </w:r>
      <w:r>
        <w:rPr>
          <w:spacing w:val="-7"/>
        </w:rPr>
        <w:t xml:space="preserve"> </w:t>
      </w:r>
      <w:r>
        <w:t>groups</w:t>
      </w:r>
      <w:r>
        <w:rPr>
          <w:spacing w:val="-58"/>
        </w:rPr>
        <w:t xml:space="preserve"> </w:t>
      </w:r>
      <w:r>
        <w:rPr>
          <w:spacing w:val="-1"/>
        </w:rPr>
        <w:t>[4.10,</w:t>
      </w:r>
      <w:r>
        <w:rPr>
          <w:spacing w:val="-14"/>
        </w:rPr>
        <w:t xml:space="preserve"> </w:t>
      </w:r>
      <w:r>
        <w:rPr>
          <w:spacing w:val="-1"/>
        </w:rPr>
        <w:t>2.76,</w:t>
      </w:r>
      <w:r>
        <w:rPr>
          <w:spacing w:val="-14"/>
        </w:rPr>
        <w:t xml:space="preserve"> </w:t>
      </w:r>
      <w:r>
        <w:t>respectively]</w:t>
      </w:r>
      <w:r>
        <w:rPr>
          <w:spacing w:val="-16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two</w:t>
      </w:r>
      <w:r>
        <w:rPr>
          <w:spacing w:val="-14"/>
        </w:rPr>
        <w:t xml:space="preserve"> </w:t>
      </w:r>
      <w:r>
        <w:t>placebo</w:t>
      </w:r>
      <w:r>
        <w:rPr>
          <w:spacing w:val="-15"/>
        </w:rPr>
        <w:t xml:space="preserve"> </w:t>
      </w:r>
      <w:r>
        <w:t>groups</w:t>
      </w:r>
      <w:r>
        <w:rPr>
          <w:spacing w:val="-13"/>
        </w:rPr>
        <w:t xml:space="preserve"> </w:t>
      </w:r>
      <w:r>
        <w:t>[placebo</w:t>
      </w:r>
      <w:r>
        <w:rPr>
          <w:spacing w:val="-14"/>
        </w:rPr>
        <w:t xml:space="preserve"> </w:t>
      </w:r>
      <w:r>
        <w:t>plus</w:t>
      </w:r>
      <w:r>
        <w:rPr>
          <w:spacing w:val="-12"/>
        </w:rPr>
        <w:t xml:space="preserve"> </w:t>
      </w:r>
      <w:r>
        <w:t>26</w:t>
      </w:r>
      <w:r>
        <w:rPr>
          <w:spacing w:val="-15"/>
        </w:rPr>
        <w:t xml:space="preserve"> </w:t>
      </w:r>
      <w:r>
        <w:t>weeks;</w:t>
      </w:r>
      <w:r>
        <w:rPr>
          <w:spacing w:val="-13"/>
        </w:rPr>
        <w:t xml:space="preserve"> </w:t>
      </w:r>
      <w:r>
        <w:t>-0.28,</w:t>
      </w:r>
      <w:r>
        <w:rPr>
          <w:spacing w:val="-14"/>
        </w:rPr>
        <w:t xml:space="preserve"> </w:t>
      </w:r>
      <w:r>
        <w:t>placebo</w:t>
      </w:r>
      <w:r>
        <w:rPr>
          <w:spacing w:val="-57"/>
        </w:rPr>
        <w:t xml:space="preserve"> </w:t>
      </w:r>
      <w:r>
        <w:t>plus 52 weeks; -1.49], although only the comparison between Actemra weekly plus 26 weeks</w:t>
      </w:r>
      <w:r>
        <w:rPr>
          <w:spacing w:val="1"/>
        </w:rPr>
        <w:t xml:space="preserve"> </w:t>
      </w:r>
      <w:r>
        <w:t>prednisone</w:t>
      </w:r>
      <w:r>
        <w:rPr>
          <w:spacing w:val="-7"/>
        </w:rPr>
        <w:t xml:space="preserve"> </w:t>
      </w:r>
      <w:r>
        <w:t>taper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placebo</w:t>
      </w:r>
      <w:r>
        <w:rPr>
          <w:spacing w:val="-5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52</w:t>
      </w:r>
      <w:r>
        <w:rPr>
          <w:spacing w:val="-6"/>
        </w:rPr>
        <w:t xml:space="preserve"> </w:t>
      </w:r>
      <w:r>
        <w:t>weeks</w:t>
      </w:r>
      <w:r>
        <w:rPr>
          <w:spacing w:val="-5"/>
        </w:rPr>
        <w:t xml:space="preserve"> </w:t>
      </w:r>
      <w:r>
        <w:t>prednisone</w:t>
      </w:r>
      <w:r>
        <w:rPr>
          <w:spacing w:val="-7"/>
        </w:rPr>
        <w:t xml:space="preserve"> </w:t>
      </w:r>
      <w:r>
        <w:t>taper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(5.59,</w:t>
      </w:r>
      <w:r>
        <w:rPr>
          <w:spacing w:val="-5"/>
        </w:rPr>
        <w:t xml:space="preserve"> </w:t>
      </w:r>
      <w:r>
        <w:t>99%</w:t>
      </w:r>
      <w:r>
        <w:rPr>
          <w:spacing w:val="-7"/>
        </w:rPr>
        <w:t xml:space="preserve"> </w:t>
      </w:r>
      <w:r>
        <w:t>CI:</w:t>
      </w:r>
      <w:r>
        <w:rPr>
          <w:spacing w:val="-5"/>
        </w:rPr>
        <w:t xml:space="preserve"> </w:t>
      </w:r>
      <w:r>
        <w:t>0.86</w:t>
      </w:r>
      <w:r>
        <w:rPr>
          <w:spacing w:val="-58"/>
        </w:rPr>
        <w:t xml:space="preserve"> </w:t>
      </w:r>
      <w:r>
        <w:t>10.32) showed a statistically significant difference (p = 0.0024). For MCS, the mean change</w:t>
      </w:r>
      <w:r>
        <w:rPr>
          <w:spacing w:val="1"/>
        </w:rPr>
        <w:t xml:space="preserve"> </w:t>
      </w:r>
      <w:r>
        <w:t>from baseline to week 52 for both Actemra weekly and every other week dose groups [7.28,</w:t>
      </w:r>
      <w:r>
        <w:rPr>
          <w:spacing w:val="1"/>
        </w:rPr>
        <w:t xml:space="preserve"> </w:t>
      </w:r>
      <w:r>
        <w:t>6.12, respectively] were higher than the placebo plus 52 weeks prednisone taper group [2.84]</w:t>
      </w:r>
      <w:r>
        <w:rPr>
          <w:spacing w:val="1"/>
        </w:rPr>
        <w:t xml:space="preserve"> </w:t>
      </w:r>
      <w:r>
        <w:t>(although the differences were not statistically significant [p = 0.0252 for weekly, p = 0.1468</w:t>
      </w:r>
      <w:r>
        <w:rPr>
          <w:spacing w:val="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week])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placebo</w:t>
      </w:r>
      <w:r>
        <w:rPr>
          <w:spacing w:val="-7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prednisone</w:t>
      </w:r>
      <w:r>
        <w:rPr>
          <w:spacing w:val="-5"/>
        </w:rPr>
        <w:t xml:space="preserve"> </w:t>
      </w:r>
      <w:r>
        <w:t>taper</w:t>
      </w:r>
      <w:r>
        <w:rPr>
          <w:spacing w:val="-6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[6.67].</w:t>
      </w:r>
    </w:p>
    <w:p w14:paraId="690EC50B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6AA389E" w14:textId="77777777" w:rsidR="006C34D9" w:rsidRDefault="00CB5041">
      <w:pPr>
        <w:pStyle w:val="BodyText"/>
        <w:ind w:right="656"/>
        <w:jc w:val="both"/>
      </w:pPr>
      <w:r>
        <w:t>The Patient’s Global Assessment of disease activity was assessed on a 0 - 100mm Visual</w:t>
      </w:r>
      <w:r>
        <w:rPr>
          <w:spacing w:val="1"/>
        </w:rPr>
        <w:t xml:space="preserve"> </w:t>
      </w:r>
      <w:r>
        <w:t>Analogue Scale (VAS). The mean change in Patient’s global VAS from baseline at week 52</w:t>
      </w:r>
      <w:r>
        <w:rPr>
          <w:spacing w:val="1"/>
        </w:rPr>
        <w:t xml:space="preserve"> </w:t>
      </w:r>
      <w:r>
        <w:t>was lower (showing greater improvement) in the Actemra weekly and every other week dose</w:t>
      </w:r>
      <w:r>
        <w:rPr>
          <w:spacing w:val="1"/>
        </w:rPr>
        <w:t xml:space="preserve"> </w:t>
      </w:r>
      <w:r>
        <w:t>groups [-19.0, -25.3, respectively] than in both placebo groups [placebo plus 26 weeks; -3.4,</w:t>
      </w:r>
      <w:r>
        <w:rPr>
          <w:spacing w:val="1"/>
        </w:rPr>
        <w:t xml:space="preserve"> </w:t>
      </w:r>
      <w:r>
        <w:t>placebo plus 52 weeks; -7.2], although only the Actemra every other week plus 26 weeks</w:t>
      </w:r>
      <w:r>
        <w:rPr>
          <w:spacing w:val="1"/>
        </w:rPr>
        <w:t xml:space="preserve"> </w:t>
      </w:r>
      <w:r>
        <w:t>prednisone taper group showed a statistically significance difference compared to placebo</w:t>
      </w:r>
      <w:r>
        <w:rPr>
          <w:spacing w:val="1"/>
        </w:rPr>
        <w:t xml:space="preserve"> </w:t>
      </w:r>
      <w:r>
        <w:t>[placebo</w:t>
      </w:r>
      <w:r>
        <w:rPr>
          <w:spacing w:val="-1"/>
        </w:rPr>
        <w:t xml:space="preserve"> </w:t>
      </w:r>
      <w:r>
        <w:t>plus 26</w:t>
      </w:r>
      <w:r>
        <w:rPr>
          <w:spacing w:val="-1"/>
        </w:rPr>
        <w:t xml:space="preserve"> </w:t>
      </w:r>
      <w:r>
        <w:t>weeks taper p</w:t>
      </w:r>
      <w:r>
        <w:rPr>
          <w:spacing w:val="-1"/>
        </w:rPr>
        <w:t xml:space="preserve"> </w:t>
      </w:r>
      <w:r>
        <w:t>= 0.0059, and</w:t>
      </w:r>
      <w:r>
        <w:rPr>
          <w:spacing w:val="-1"/>
        </w:rPr>
        <w:t xml:space="preserve"> </w:t>
      </w:r>
      <w:r>
        <w:t>placebo plus 52</w:t>
      </w:r>
      <w:r>
        <w:rPr>
          <w:spacing w:val="-3"/>
        </w:rPr>
        <w:t xml:space="preserve"> </w:t>
      </w:r>
      <w:r>
        <w:t>week taper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= 0.0081].</w:t>
      </w:r>
    </w:p>
    <w:p w14:paraId="7B4B0EBD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098166EB" w14:textId="77777777" w:rsidR="006C34D9" w:rsidRDefault="00CB5041">
      <w:pPr>
        <w:pStyle w:val="BodyText"/>
        <w:spacing w:before="1"/>
        <w:ind w:right="658"/>
        <w:jc w:val="both"/>
      </w:pPr>
      <w:r>
        <w:t>FACIT-Fatigue change from baseline to Week 52 scores were calculated for all groups. The</w:t>
      </w:r>
      <w:r>
        <w:rPr>
          <w:spacing w:val="1"/>
        </w:rPr>
        <w:t xml:space="preserve"> </w:t>
      </w:r>
      <w:r>
        <w:t>mean</w:t>
      </w:r>
      <w:r>
        <w:rPr>
          <w:spacing w:val="-13"/>
        </w:rPr>
        <w:t xml:space="preserve"> </w:t>
      </w:r>
      <w:r>
        <w:t>[SD]</w:t>
      </w:r>
      <w:r>
        <w:rPr>
          <w:spacing w:val="-14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scores</w:t>
      </w:r>
      <w:r>
        <w:rPr>
          <w:spacing w:val="-14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follows:</w:t>
      </w:r>
      <w:r>
        <w:rPr>
          <w:spacing w:val="-12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weekly</w:t>
      </w:r>
      <w:r>
        <w:rPr>
          <w:spacing w:val="-13"/>
        </w:rPr>
        <w:t xml:space="preserve"> </w:t>
      </w:r>
      <w:r>
        <w:t>5.61</w:t>
      </w:r>
      <w:r>
        <w:rPr>
          <w:spacing w:val="-12"/>
        </w:rPr>
        <w:t xml:space="preserve"> </w:t>
      </w:r>
      <w:r>
        <w:t>[10.115],</w:t>
      </w:r>
      <w:r>
        <w:rPr>
          <w:spacing w:val="-12"/>
        </w:rPr>
        <w:t xml:space="preserve"> </w:t>
      </w:r>
      <w:r>
        <w:t>Actemra</w:t>
      </w:r>
      <w:r>
        <w:rPr>
          <w:spacing w:val="-12"/>
        </w:rPr>
        <w:t xml:space="preserve"> </w:t>
      </w:r>
      <w:r>
        <w:t>every</w:t>
      </w:r>
      <w:r>
        <w:rPr>
          <w:spacing w:val="-13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1.81</w:t>
      </w:r>
      <w:r>
        <w:rPr>
          <w:spacing w:val="-1"/>
        </w:rPr>
        <w:t xml:space="preserve"> </w:t>
      </w:r>
      <w:r>
        <w:t>[8.836], PBO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26 weeks</w:t>
      </w:r>
      <w:r>
        <w:rPr>
          <w:spacing w:val="-1"/>
        </w:rPr>
        <w:t xml:space="preserve"> </w:t>
      </w:r>
      <w:r>
        <w:t>0.26</w:t>
      </w:r>
      <w:r>
        <w:rPr>
          <w:spacing w:val="-1"/>
        </w:rPr>
        <w:t xml:space="preserve"> </w:t>
      </w:r>
      <w:r>
        <w:t>[10.702], and</w:t>
      </w:r>
      <w:r>
        <w:rPr>
          <w:spacing w:val="-1"/>
        </w:rPr>
        <w:t xml:space="preserve"> </w:t>
      </w:r>
      <w:r>
        <w:t>PBO</w:t>
      </w:r>
      <w:r>
        <w:rPr>
          <w:spacing w:val="-2"/>
        </w:rPr>
        <w:t xml:space="preserve"> </w:t>
      </w:r>
      <w:r>
        <w:t>plus 52</w:t>
      </w:r>
      <w:r>
        <w:rPr>
          <w:spacing w:val="-1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-1.63</w:t>
      </w:r>
      <w:r>
        <w:rPr>
          <w:spacing w:val="-2"/>
        </w:rPr>
        <w:t xml:space="preserve"> </w:t>
      </w:r>
      <w:r>
        <w:t>[6.753].</w:t>
      </w:r>
    </w:p>
    <w:p w14:paraId="4455FB65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319A2A1C" w14:textId="77777777" w:rsidR="006C34D9" w:rsidRDefault="00CB5041">
      <w:pPr>
        <w:pStyle w:val="BodyText"/>
        <w:spacing w:before="1"/>
        <w:ind w:right="659"/>
        <w:jc w:val="both"/>
      </w:pPr>
      <w:r>
        <w:t>Change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EQ5D</w:t>
      </w:r>
      <w:r>
        <w:rPr>
          <w:spacing w:val="-10"/>
        </w:rPr>
        <w:t xml:space="preserve"> </w:t>
      </w:r>
      <w:r>
        <w:t>scores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baseline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week</w:t>
      </w:r>
      <w:r>
        <w:rPr>
          <w:spacing w:val="-11"/>
        </w:rPr>
        <w:t xml:space="preserve"> </w:t>
      </w:r>
      <w:r>
        <w:t>52</w:t>
      </w:r>
      <w:r>
        <w:rPr>
          <w:spacing w:val="-11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Actemra</w:t>
      </w:r>
      <w:r>
        <w:rPr>
          <w:spacing w:val="-10"/>
        </w:rPr>
        <w:t xml:space="preserve"> </w:t>
      </w:r>
      <w:r>
        <w:t>weekly</w:t>
      </w:r>
      <w:r>
        <w:rPr>
          <w:spacing w:val="-11"/>
        </w:rPr>
        <w:t xml:space="preserve"> </w:t>
      </w:r>
      <w:r>
        <w:t>0.10</w:t>
      </w:r>
      <w:r>
        <w:rPr>
          <w:spacing w:val="-10"/>
        </w:rPr>
        <w:t xml:space="preserve"> </w:t>
      </w:r>
      <w:r>
        <w:t>[0.198],</w:t>
      </w:r>
      <w:r>
        <w:rPr>
          <w:spacing w:val="-11"/>
        </w:rPr>
        <w:t xml:space="preserve"> </w:t>
      </w:r>
      <w:r>
        <w:t>Actemra</w:t>
      </w:r>
      <w:r>
        <w:rPr>
          <w:spacing w:val="-58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0.05</w:t>
      </w:r>
      <w:r>
        <w:rPr>
          <w:spacing w:val="-4"/>
        </w:rPr>
        <w:t xml:space="preserve"> </w:t>
      </w:r>
      <w:r>
        <w:t>[0.215],</w:t>
      </w:r>
      <w:r>
        <w:rPr>
          <w:spacing w:val="-5"/>
        </w:rPr>
        <w:t xml:space="preserve"> </w:t>
      </w:r>
      <w:r>
        <w:t>placebo</w:t>
      </w:r>
      <w:r>
        <w:rPr>
          <w:spacing w:val="-4"/>
        </w:rPr>
        <w:t xml:space="preserve"> </w:t>
      </w:r>
      <w:r>
        <w:t>0.07</w:t>
      </w:r>
      <w:r>
        <w:rPr>
          <w:spacing w:val="-5"/>
        </w:rPr>
        <w:t xml:space="preserve"> </w:t>
      </w:r>
      <w:r>
        <w:t>[0.293],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placebo</w:t>
      </w:r>
      <w:r>
        <w:rPr>
          <w:spacing w:val="-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52</w:t>
      </w:r>
      <w:r>
        <w:rPr>
          <w:spacing w:val="-4"/>
        </w:rPr>
        <w:t xml:space="preserve"> </w:t>
      </w:r>
      <w:r>
        <w:t>weeks</w:t>
      </w:r>
      <w:r>
        <w:rPr>
          <w:spacing w:val="-5"/>
        </w:rPr>
        <w:t xml:space="preserve"> </w:t>
      </w:r>
      <w:r>
        <w:t>-0.02</w:t>
      </w:r>
      <w:r>
        <w:rPr>
          <w:spacing w:val="-4"/>
        </w:rPr>
        <w:t xml:space="preserve"> </w:t>
      </w:r>
      <w:r>
        <w:t>[0.159].</w:t>
      </w:r>
    </w:p>
    <w:p w14:paraId="024E348A" w14:textId="77777777" w:rsidR="006C34D9" w:rsidRDefault="006C34D9">
      <w:pPr>
        <w:jc w:val="both"/>
        <w:sectPr w:rsidR="006C34D9">
          <w:type w:val="continuous"/>
          <w:pgSz w:w="11910" w:h="16840"/>
          <w:pgMar w:top="1420" w:right="780" w:bottom="780" w:left="780" w:header="0" w:footer="592" w:gutter="0"/>
          <w:cols w:space="720"/>
        </w:sectPr>
      </w:pPr>
    </w:p>
    <w:p w14:paraId="0D4246BC" w14:textId="77777777" w:rsidR="006C34D9" w:rsidRDefault="00CB5041">
      <w:pPr>
        <w:pStyle w:val="BodyText"/>
        <w:spacing w:before="79" w:line="415" w:lineRule="auto"/>
        <w:ind w:right="2960"/>
      </w:pPr>
      <w:r>
        <w:lastRenderedPageBreak/>
        <w:t>Higher scores signal improvement in both FACIT-Fatigue and EQ5D.</w:t>
      </w:r>
      <w:r>
        <w:rPr>
          <w:spacing w:val="-57"/>
        </w:rPr>
        <w:t xml:space="preserve"> </w:t>
      </w:r>
      <w:r>
        <w:rPr>
          <w:u w:val="single"/>
        </w:rPr>
        <w:t>COVID-19</w:t>
      </w:r>
    </w:p>
    <w:p w14:paraId="42A06168" w14:textId="77777777" w:rsidR="006C34D9" w:rsidRDefault="00CB5041">
      <w:pPr>
        <w:spacing w:line="273" w:lineRule="exact"/>
        <w:ind w:left="660"/>
        <w:rPr>
          <w:i/>
          <w:sz w:val="24"/>
        </w:rPr>
      </w:pPr>
      <w:bookmarkStart w:id="106" w:name="RECOVERY"/>
      <w:bookmarkEnd w:id="106"/>
      <w:r>
        <w:rPr>
          <w:i/>
          <w:sz w:val="24"/>
        </w:rPr>
        <w:t>RECOVERY</w:t>
      </w:r>
    </w:p>
    <w:p w14:paraId="1DC5ABB7" w14:textId="77777777" w:rsidR="006C34D9" w:rsidRDefault="00CB5041">
      <w:pPr>
        <w:pStyle w:val="BodyText"/>
        <w:ind w:right="658"/>
        <w:jc w:val="both"/>
      </w:pPr>
      <w:r>
        <w:t xml:space="preserve">RECOVERY is a </w:t>
      </w:r>
      <w:proofErr w:type="spellStart"/>
      <w:r>
        <w:t>randomised</w:t>
      </w:r>
      <w:proofErr w:type="spellEnd"/>
      <w:r>
        <w:t xml:space="preserve"> evaluation of COVID-19 therapy. This study is a collaborative</w:t>
      </w:r>
      <w:r>
        <w:rPr>
          <w:spacing w:val="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 xml:space="preserve">in </w:t>
      </w:r>
      <w:proofErr w:type="spellStart"/>
      <w:r>
        <w:t>hospitalised</w:t>
      </w:r>
      <w:proofErr w:type="spellEnd"/>
      <w:r>
        <w:t xml:space="preserve"> adults diagnosed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COVID-19.</w:t>
      </w:r>
    </w:p>
    <w:p w14:paraId="435946F9" w14:textId="77777777" w:rsidR="006C34D9" w:rsidRDefault="006C34D9">
      <w:pPr>
        <w:pStyle w:val="BodyText"/>
        <w:ind w:left="0"/>
      </w:pPr>
    </w:p>
    <w:p w14:paraId="5304A0D6" w14:textId="77777777" w:rsidR="006C34D9" w:rsidRDefault="00CB5041">
      <w:pPr>
        <w:pStyle w:val="BodyText"/>
        <w:ind w:right="656"/>
        <w:jc w:val="both"/>
      </w:pPr>
      <w:r>
        <w:t xml:space="preserve">RECOVERY was a large, </w:t>
      </w:r>
      <w:proofErr w:type="spellStart"/>
      <w:r>
        <w:t>randomised</w:t>
      </w:r>
      <w:proofErr w:type="spellEnd"/>
      <w:r>
        <w:t>, controlled, open-label, multi-</w:t>
      </w:r>
      <w:proofErr w:type="spellStart"/>
      <w:r>
        <w:t>centre</w:t>
      </w:r>
      <w:proofErr w:type="spellEnd"/>
      <w:r>
        <w:t xml:space="preserve"> platform study</w:t>
      </w:r>
      <w:r>
        <w:rPr>
          <w:spacing w:val="1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Kingdom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efficacy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treatments</w:t>
      </w:r>
      <w:r>
        <w:rPr>
          <w:spacing w:val="-4"/>
        </w:rPr>
        <w:t xml:space="preserve"> </w:t>
      </w:r>
      <w:r>
        <w:t>in</w:t>
      </w:r>
      <w:r>
        <w:rPr>
          <w:spacing w:val="-57"/>
        </w:rPr>
        <w:t xml:space="preserve"> </w:t>
      </w:r>
      <w:proofErr w:type="spellStart"/>
      <w:r>
        <w:t>hospitalised</w:t>
      </w:r>
      <w:proofErr w:type="spellEnd"/>
      <w:r>
        <w:rPr>
          <w:spacing w:val="-10"/>
        </w:rPr>
        <w:t xml:space="preserve"> </w:t>
      </w:r>
      <w:r>
        <w:t>adult</w:t>
      </w:r>
      <w:r>
        <w:rPr>
          <w:spacing w:val="-9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severe</w:t>
      </w:r>
      <w:r>
        <w:rPr>
          <w:spacing w:val="-9"/>
        </w:rPr>
        <w:t xml:space="preserve"> </w:t>
      </w:r>
      <w:r>
        <w:t>COVID-19.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usual</w:t>
      </w:r>
      <w:r>
        <w:rPr>
          <w:spacing w:val="-9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underwent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initial</w:t>
      </w:r>
      <w:r>
        <w:rPr>
          <w:spacing w:val="1"/>
        </w:rPr>
        <w:t xml:space="preserve"> </w:t>
      </w:r>
      <w:r>
        <w:t>(main)</w:t>
      </w:r>
      <w:r>
        <w:rPr>
          <w:spacing w:val="1"/>
        </w:rPr>
        <w:t xml:space="preserve"> </w:t>
      </w:r>
      <w:proofErr w:type="spellStart"/>
      <w:r>
        <w:t>randomisation</w:t>
      </w:r>
      <w:proofErr w:type="spellEnd"/>
      <w:r>
        <w:t>.</w:t>
      </w:r>
      <w:r>
        <w:rPr>
          <w:spacing w:val="1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trial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clinically</w:t>
      </w:r>
      <w:r>
        <w:rPr>
          <w:spacing w:val="1"/>
        </w:rPr>
        <w:t xml:space="preserve"> </w:t>
      </w:r>
      <w:r>
        <w:t>suspected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laboratory-confirmed</w:t>
      </w:r>
      <w:r>
        <w:rPr>
          <w:spacing w:val="-10"/>
        </w:rPr>
        <w:t xml:space="preserve"> </w:t>
      </w:r>
      <w:r>
        <w:t>SARS-CoV-2</w:t>
      </w:r>
      <w:r>
        <w:rPr>
          <w:spacing w:val="-10"/>
        </w:rPr>
        <w:t xml:space="preserve"> </w:t>
      </w:r>
      <w:r>
        <w:t>infection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contraindications</w:t>
      </w:r>
      <w:r>
        <w:rPr>
          <w:spacing w:val="-11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any of the treatments. Patients with clinical evidence of progressive COVID-19 (defined as</w:t>
      </w:r>
      <w:r>
        <w:rPr>
          <w:spacing w:val="1"/>
        </w:rPr>
        <w:t xml:space="preserve"> </w:t>
      </w:r>
      <w:r>
        <w:t>oxygen saturation &lt; 92% on room air or receiving oxygen therapy, and CRP ≥ 75 mg/L)</w:t>
      </w:r>
      <w:r>
        <w:rPr>
          <w:spacing w:val="1"/>
        </w:rPr>
        <w:t xml:space="preserve"> </w:t>
      </w:r>
      <w:r>
        <w:t>qualified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second</w:t>
      </w:r>
      <w:r>
        <w:rPr>
          <w:spacing w:val="-9"/>
        </w:rPr>
        <w:t xml:space="preserve"> </w:t>
      </w:r>
      <w:proofErr w:type="spellStart"/>
      <w:r>
        <w:t>randomisation</w:t>
      </w:r>
      <w:proofErr w:type="spellEnd"/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t>intravenous</w:t>
      </w:r>
      <w:r>
        <w:rPr>
          <w:spacing w:val="-8"/>
        </w:rPr>
        <w:t xml:space="preserve"> </w:t>
      </w:r>
      <w:r>
        <w:t>Actemra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usual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alone.</w:t>
      </w:r>
    </w:p>
    <w:p w14:paraId="739B1E89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20EF6415" w14:textId="77777777" w:rsidR="006C34D9" w:rsidRDefault="00CB5041">
      <w:pPr>
        <w:pStyle w:val="BodyText"/>
        <w:ind w:right="657"/>
        <w:jc w:val="both"/>
      </w:pPr>
      <w:r>
        <w:t>Efficacy analyses were performed in the intent-to-treat (ITT) population comprising 4116</w:t>
      </w:r>
      <w:r>
        <w:rPr>
          <w:spacing w:val="1"/>
        </w:rPr>
        <w:t xml:space="preserve"> </w:t>
      </w:r>
      <w:r>
        <w:t xml:space="preserve">patients who were </w:t>
      </w:r>
      <w:proofErr w:type="spellStart"/>
      <w:r>
        <w:t>randomised</w:t>
      </w:r>
      <w:proofErr w:type="spellEnd"/>
      <w:r>
        <w:t xml:space="preserve"> with 2022 patients in the Actemra + usual care arm and 2094</w:t>
      </w:r>
      <w:r>
        <w:rPr>
          <w:spacing w:val="1"/>
        </w:rPr>
        <w:t xml:space="preserve"> </w:t>
      </w:r>
      <w:r>
        <w:t>patients in the usual care alone arm. The baseline demographic and disease characteristics of</w:t>
      </w:r>
      <w:r>
        <w:rPr>
          <w:spacing w:val="1"/>
        </w:rPr>
        <w:t xml:space="preserve"> </w:t>
      </w:r>
      <w:r>
        <w:t>the ITT population were well balanced across treatment arms. The mean age of participants</w:t>
      </w:r>
      <w:r>
        <w:rPr>
          <w:spacing w:val="1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63.6</w:t>
      </w:r>
      <w:r>
        <w:rPr>
          <w:spacing w:val="-9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(standard</w:t>
      </w:r>
      <w:r>
        <w:rPr>
          <w:spacing w:val="-10"/>
        </w:rPr>
        <w:t xml:space="preserve"> </w:t>
      </w:r>
      <w:r>
        <w:t>deviation</w:t>
      </w:r>
      <w:r>
        <w:rPr>
          <w:spacing w:val="-9"/>
        </w:rPr>
        <w:t xml:space="preserve"> </w:t>
      </w:r>
      <w:r>
        <w:t>[SD]</w:t>
      </w:r>
      <w:r>
        <w:rPr>
          <w:spacing w:val="-9"/>
        </w:rPr>
        <w:t xml:space="preserve"> </w:t>
      </w:r>
      <w:r>
        <w:t>13.6</w:t>
      </w:r>
      <w:r>
        <w:rPr>
          <w:spacing w:val="-9"/>
        </w:rPr>
        <w:t xml:space="preserve"> </w:t>
      </w:r>
      <w:r>
        <w:t>years).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majority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male</w:t>
      </w:r>
      <w:r>
        <w:rPr>
          <w:spacing w:val="-8"/>
        </w:rPr>
        <w:t xml:space="preserve"> </w:t>
      </w:r>
      <w:r>
        <w:t>(67%)</w:t>
      </w:r>
      <w:r>
        <w:rPr>
          <w:spacing w:val="-5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(76%</w:t>
      </w:r>
      <w:proofErr w:type="gramStart"/>
      <w:r>
        <w:t>).The</w:t>
      </w:r>
      <w:proofErr w:type="gramEnd"/>
      <w:r>
        <w:rPr>
          <w:spacing w:val="-5"/>
        </w:rPr>
        <w:t xml:space="preserve"> </w:t>
      </w:r>
      <w:r>
        <w:t>median</w:t>
      </w:r>
      <w:r>
        <w:rPr>
          <w:spacing w:val="-5"/>
        </w:rPr>
        <w:t xml:space="preserve"> </w:t>
      </w:r>
      <w:r>
        <w:t>(range)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CRP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143</w:t>
      </w:r>
      <w:r>
        <w:rPr>
          <w:spacing w:val="-4"/>
        </w:rPr>
        <w:t xml:space="preserve"> </w:t>
      </w:r>
      <w:r>
        <w:t>mg/L</w:t>
      </w:r>
      <w:r>
        <w:rPr>
          <w:spacing w:val="-5"/>
        </w:rPr>
        <w:t xml:space="preserve"> </w:t>
      </w:r>
      <w:r>
        <w:t>(75-982).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baseline,</w:t>
      </w:r>
      <w:r>
        <w:rPr>
          <w:spacing w:val="-4"/>
        </w:rPr>
        <w:t xml:space="preserve"> </w:t>
      </w:r>
      <w:r>
        <w:t>0.2%</w:t>
      </w:r>
      <w:r>
        <w:rPr>
          <w:spacing w:val="-58"/>
        </w:rPr>
        <w:t xml:space="preserve"> </w:t>
      </w:r>
      <w:r>
        <w:t>(N=9)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supplemental</w:t>
      </w:r>
      <w:r>
        <w:rPr>
          <w:spacing w:val="-12"/>
        </w:rPr>
        <w:t xml:space="preserve"> </w:t>
      </w:r>
      <w:r>
        <w:t>oxygen,</w:t>
      </w:r>
      <w:r>
        <w:rPr>
          <w:spacing w:val="-13"/>
        </w:rPr>
        <w:t xml:space="preserve"> </w:t>
      </w:r>
      <w:r>
        <w:t>45%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low</w:t>
      </w:r>
      <w:r>
        <w:rPr>
          <w:spacing w:val="-14"/>
        </w:rPr>
        <w:t xml:space="preserve"> </w:t>
      </w:r>
      <w:r>
        <w:t>flow</w:t>
      </w:r>
      <w:r>
        <w:rPr>
          <w:spacing w:val="-12"/>
        </w:rPr>
        <w:t xml:space="preserve"> </w:t>
      </w:r>
      <w:r>
        <w:t>oxygen,</w:t>
      </w:r>
      <w:r>
        <w:rPr>
          <w:spacing w:val="-58"/>
        </w:rPr>
        <w:t xml:space="preserve"> </w:t>
      </w:r>
      <w:r>
        <w:t>41% of patients required non-invasive ventilation or high-flow oxygen and 14% of patients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invasive</w:t>
      </w:r>
      <w:r>
        <w:rPr>
          <w:spacing w:val="1"/>
        </w:rPr>
        <w:t xml:space="preserve"> </w:t>
      </w:r>
      <w:r>
        <w:t>mechanical</w:t>
      </w:r>
      <w:r>
        <w:rPr>
          <w:spacing w:val="1"/>
        </w:rPr>
        <w:t xml:space="preserve"> </w:t>
      </w:r>
      <w:r>
        <w:t>ventilation;</w:t>
      </w:r>
      <w:r>
        <w:rPr>
          <w:spacing w:val="1"/>
        </w:rPr>
        <w:t xml:space="preserve"> </w:t>
      </w:r>
      <w:r>
        <w:t>82%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systemic</w:t>
      </w:r>
      <w:r>
        <w:rPr>
          <w:spacing w:val="-57"/>
        </w:rPr>
        <w:t xml:space="preserve"> </w:t>
      </w:r>
      <w:r>
        <w:t>corticosteroids.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most</w:t>
      </w:r>
      <w:r>
        <w:rPr>
          <w:spacing w:val="-11"/>
        </w:rPr>
        <w:t xml:space="preserve"> </w:t>
      </w:r>
      <w:r>
        <w:t>common</w:t>
      </w:r>
      <w:r>
        <w:rPr>
          <w:spacing w:val="-11"/>
        </w:rPr>
        <w:t xml:space="preserve"> </w:t>
      </w:r>
      <w:r>
        <w:t>comorbidities</w:t>
      </w:r>
      <w:r>
        <w:rPr>
          <w:spacing w:val="-12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diabetes</w:t>
      </w:r>
      <w:r>
        <w:rPr>
          <w:spacing w:val="-11"/>
        </w:rPr>
        <w:t xml:space="preserve"> </w:t>
      </w:r>
      <w:r>
        <w:t>(28.4%),</w:t>
      </w:r>
      <w:r>
        <w:rPr>
          <w:spacing w:val="-12"/>
        </w:rPr>
        <w:t xml:space="preserve"> </w:t>
      </w:r>
      <w:r>
        <w:t>heart</w:t>
      </w:r>
      <w:r>
        <w:rPr>
          <w:spacing w:val="-11"/>
        </w:rPr>
        <w:t xml:space="preserve"> </w:t>
      </w:r>
      <w:r>
        <w:t>disease</w:t>
      </w:r>
      <w:r>
        <w:rPr>
          <w:spacing w:val="-13"/>
        </w:rPr>
        <w:t xml:space="preserve"> </w:t>
      </w:r>
      <w:r>
        <w:t>(22.6%)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chronic</w:t>
      </w:r>
      <w:r>
        <w:rPr>
          <w:spacing w:val="-1"/>
        </w:rPr>
        <w:t xml:space="preserve"> </w:t>
      </w:r>
      <w:r>
        <w:t>lung disease</w:t>
      </w:r>
      <w:r>
        <w:rPr>
          <w:spacing w:val="-1"/>
        </w:rPr>
        <w:t xml:space="preserve"> </w:t>
      </w:r>
      <w:r>
        <w:t>(23.3%).</w:t>
      </w:r>
    </w:p>
    <w:p w14:paraId="1ADF4C47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037E00AF" w14:textId="77777777" w:rsidR="006C34D9" w:rsidRDefault="00CB5041">
      <w:pPr>
        <w:pStyle w:val="BodyText"/>
        <w:ind w:right="657"/>
        <w:jc w:val="both"/>
      </w:pPr>
      <w:r>
        <w:t>The primary outcome was time to death through Day 28. The hazard ratio comparing the</w:t>
      </w:r>
      <w:r>
        <w:rPr>
          <w:spacing w:val="1"/>
        </w:rPr>
        <w:t xml:space="preserve"> </w:t>
      </w:r>
      <w:r>
        <w:t xml:space="preserve">Actemra </w:t>
      </w:r>
      <w:r>
        <w:rPr>
          <w:rFonts w:ascii="Symbol" w:hAnsi="Symbol"/>
        </w:rPr>
        <w:t></w:t>
      </w:r>
      <w:r>
        <w:t xml:space="preserve"> usual care arm to the usual care alone arm was 0.85 (95% CI: 0.76 to 0.94), a</w:t>
      </w:r>
      <w:r>
        <w:rPr>
          <w:spacing w:val="1"/>
        </w:rPr>
        <w:t xml:space="preserve"> </w:t>
      </w:r>
      <w:r>
        <w:t>statistically</w:t>
      </w:r>
      <w:r>
        <w:rPr>
          <w:spacing w:val="-8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(p</w:t>
      </w:r>
      <w:r>
        <w:rPr>
          <w:rFonts w:ascii="Symbol" w:hAnsi="Symbol"/>
        </w:rPr>
        <w:t></w:t>
      </w:r>
      <w:r>
        <w:t>0.0028).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probabilities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dying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estimated</w:t>
      </w:r>
      <w:r>
        <w:rPr>
          <w:spacing w:val="-57"/>
        </w:rPr>
        <w:t xml:space="preserve"> </w:t>
      </w:r>
      <w:r>
        <w:t>to be 30.7% and 34.9% in the Actemra and usual care arms, respectively. The risk difference</w:t>
      </w:r>
      <w:r>
        <w:rPr>
          <w:spacing w:val="1"/>
        </w:rPr>
        <w:t xml:space="preserve"> </w:t>
      </w:r>
      <w:r>
        <w:t>was estimated to be -4.1% (95% CI: -7.0% to -1.3%), consistent with the primary analysis.</w:t>
      </w:r>
      <w:r>
        <w:rPr>
          <w:spacing w:val="1"/>
        </w:rPr>
        <w:t xml:space="preserve"> </w:t>
      </w:r>
      <w:r>
        <w:t>Based on this mortality reduction, 25 treated patients are needed to save one life. The hazard</w:t>
      </w:r>
      <w:r>
        <w:rPr>
          <w:spacing w:val="1"/>
        </w:rPr>
        <w:t xml:space="preserve"> </w:t>
      </w:r>
      <w:r>
        <w:t>ratio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pre-specified</w:t>
      </w:r>
      <w:r>
        <w:rPr>
          <w:spacing w:val="1"/>
        </w:rPr>
        <w:t xml:space="preserve"> </w:t>
      </w:r>
      <w:r>
        <w:t>subgroup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systemic</w:t>
      </w:r>
      <w:r>
        <w:rPr>
          <w:spacing w:val="1"/>
        </w:rPr>
        <w:t xml:space="preserve"> </w:t>
      </w:r>
      <w:r>
        <w:t>corticosteroids</w:t>
      </w:r>
      <w:r>
        <w:rPr>
          <w:spacing w:val="1"/>
        </w:rPr>
        <w:t xml:space="preserve"> </w:t>
      </w:r>
      <w:r>
        <w:t>at</w:t>
      </w:r>
      <w:r>
        <w:rPr>
          <w:spacing w:val="-57"/>
        </w:rPr>
        <w:t xml:space="preserve"> </w:t>
      </w:r>
      <w:r>
        <w:t>baseline was 0.79 (95% CI: 0.70 to 0.89), and for the pre-specified subgroup not receiving</w:t>
      </w:r>
      <w:r>
        <w:rPr>
          <w:spacing w:val="1"/>
        </w:rPr>
        <w:t xml:space="preserve"> </w:t>
      </w:r>
      <w:r>
        <w:t>systemic corticosteroids at baseline was 1.16 (95% CI: 0.91 to 1.48). Within the subgroup of</w:t>
      </w:r>
      <w:r>
        <w:rPr>
          <w:spacing w:val="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systemic</w:t>
      </w:r>
      <w:r>
        <w:rPr>
          <w:spacing w:val="-1"/>
        </w:rPr>
        <w:t xml:space="preserve"> </w:t>
      </w:r>
      <w:r>
        <w:t>corticosteroids,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life.</w:t>
      </w:r>
    </w:p>
    <w:p w14:paraId="13ECF898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0509897B" w14:textId="77777777" w:rsidR="006C34D9" w:rsidRDefault="00CB5041">
      <w:pPr>
        <w:pStyle w:val="BodyText"/>
        <w:ind w:right="656"/>
        <w:jc w:val="both"/>
      </w:pPr>
      <w:r>
        <w:t>The median time to hospital discharge was 19 days in the Actemra + usual care arm and &gt; 28</w:t>
      </w:r>
      <w:r>
        <w:rPr>
          <w:spacing w:val="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in the usual</w:t>
      </w:r>
      <w:r>
        <w:rPr>
          <w:spacing w:val="-1"/>
        </w:rPr>
        <w:t xml:space="preserve"> </w:t>
      </w:r>
      <w:r>
        <w:t>care arm</w:t>
      </w:r>
      <w:r>
        <w:rPr>
          <w:spacing w:val="-1"/>
        </w:rPr>
        <w:t xml:space="preserve"> </w:t>
      </w:r>
      <w:r>
        <w:t>(hazard ratio</w:t>
      </w:r>
      <w:r>
        <w:rPr>
          <w:spacing w:val="-1"/>
        </w:rPr>
        <w:t xml:space="preserve"> </w:t>
      </w:r>
      <w:r>
        <w:t>[95% CI]</w:t>
      </w:r>
      <w:r>
        <w:rPr>
          <w:spacing w:val="-1"/>
        </w:rPr>
        <w:t xml:space="preserve"> </w:t>
      </w:r>
      <w:r>
        <w:t>= 1.22</w:t>
      </w:r>
      <w:r>
        <w:rPr>
          <w:spacing w:val="-1"/>
        </w:rPr>
        <w:t xml:space="preserve"> </w:t>
      </w:r>
      <w:r>
        <w:t>[1.12 to 1.33]).</w:t>
      </w:r>
    </w:p>
    <w:p w14:paraId="59EBF83E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4C9F4414" w14:textId="77777777" w:rsidR="006C34D9" w:rsidRDefault="00CB5041">
      <w:pPr>
        <w:pStyle w:val="BodyText"/>
        <w:ind w:right="657"/>
        <w:jc w:val="both"/>
      </w:pPr>
      <w:r>
        <w:t>Among patients not requiring invasive mechanical ventilation at baseline, the proportion of</w:t>
      </w:r>
      <w:r>
        <w:rPr>
          <w:spacing w:val="1"/>
        </w:rPr>
        <w:t xml:space="preserve"> </w:t>
      </w:r>
      <w:r>
        <w:t>patients who required mechanical ventilation or died by Day 28 was 35% (619/1754) in the</w:t>
      </w:r>
      <w:r>
        <w:rPr>
          <w:spacing w:val="1"/>
        </w:rPr>
        <w:t xml:space="preserve"> </w:t>
      </w:r>
      <w:r>
        <w:t>Actemra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usual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arm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42%</w:t>
      </w:r>
      <w:r>
        <w:rPr>
          <w:spacing w:val="-6"/>
        </w:rPr>
        <w:t xml:space="preserve"> </w:t>
      </w:r>
      <w:r>
        <w:t>(754/1800)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usual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alone</w:t>
      </w:r>
      <w:r>
        <w:rPr>
          <w:spacing w:val="-6"/>
        </w:rPr>
        <w:t xml:space="preserve"> </w:t>
      </w:r>
      <w:r>
        <w:t>arm</w:t>
      </w:r>
      <w:r>
        <w:rPr>
          <w:spacing w:val="-7"/>
        </w:rPr>
        <w:t xml:space="preserve"> </w:t>
      </w:r>
      <w:r>
        <w:t>(risk</w:t>
      </w:r>
      <w:r>
        <w:rPr>
          <w:spacing w:val="-5"/>
        </w:rPr>
        <w:t xml:space="preserve"> </w:t>
      </w:r>
      <w:r>
        <w:t>ratio</w:t>
      </w:r>
      <w:r>
        <w:rPr>
          <w:spacing w:val="-7"/>
        </w:rPr>
        <w:t xml:space="preserve"> </w:t>
      </w:r>
      <w:r>
        <w:t>[95%</w:t>
      </w:r>
      <w:r>
        <w:rPr>
          <w:spacing w:val="-6"/>
        </w:rPr>
        <w:t xml:space="preserve"> </w:t>
      </w:r>
      <w:r>
        <w:t>CI]</w:t>
      </w:r>
    </w:p>
    <w:p w14:paraId="1503A024" w14:textId="77777777" w:rsidR="006C34D9" w:rsidRDefault="00CB5041">
      <w:pPr>
        <w:pStyle w:val="BodyText"/>
        <w:spacing w:before="1"/>
        <w:jc w:val="both"/>
      </w:pPr>
      <w:r>
        <w:t>=</w:t>
      </w:r>
      <w:r>
        <w:rPr>
          <w:spacing w:val="-1"/>
        </w:rPr>
        <w:t xml:space="preserve"> </w:t>
      </w:r>
      <w:r>
        <w:t>0.84, [0.77 to 0.92]</w:t>
      </w:r>
      <w:r>
        <w:rPr>
          <w:spacing w:val="-1"/>
        </w:rPr>
        <w:t xml:space="preserve"> </w:t>
      </w:r>
      <w:r>
        <w:t>p &lt; 0.0001).</w:t>
      </w:r>
    </w:p>
    <w:p w14:paraId="472335A2" w14:textId="77777777" w:rsidR="006C34D9" w:rsidRDefault="006C34D9">
      <w:pPr>
        <w:pStyle w:val="BodyText"/>
        <w:ind w:left="0"/>
        <w:rPr>
          <w:sz w:val="21"/>
        </w:rPr>
      </w:pPr>
    </w:p>
    <w:p w14:paraId="2CCD564E" w14:textId="77777777" w:rsidR="006C34D9" w:rsidRDefault="00CB5041">
      <w:pPr>
        <w:pStyle w:val="Heading2"/>
        <w:ind w:left="1567" w:hanging="908"/>
        <w:jc w:val="left"/>
      </w:pPr>
      <w:r>
        <w:t>Figure</w:t>
      </w:r>
      <w:r>
        <w:rPr>
          <w:spacing w:val="9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RECOVERY</w:t>
      </w:r>
      <w:r>
        <w:rPr>
          <w:spacing w:val="9"/>
        </w:rPr>
        <w:t xml:space="preserve"> </w:t>
      </w:r>
      <w:r>
        <w:t>trial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Effect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allocation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tocilizumab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28-day</w:t>
      </w:r>
      <w:r>
        <w:rPr>
          <w:spacing w:val="9"/>
        </w:rPr>
        <w:t xml:space="preserve"> </w:t>
      </w:r>
      <w:r>
        <w:t>mortality</w:t>
      </w:r>
      <w:r>
        <w:rPr>
          <w:spacing w:val="8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baseline</w:t>
      </w:r>
      <w:r>
        <w:rPr>
          <w:spacing w:val="-1"/>
        </w:rPr>
        <w:t xml:space="preserve"> </w:t>
      </w:r>
      <w:r>
        <w:t>characteristics</w:t>
      </w:r>
    </w:p>
    <w:p w14:paraId="5C74A8A1" w14:textId="77777777" w:rsidR="006C34D9" w:rsidRDefault="006C34D9">
      <w:p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02760E78" w14:textId="77777777" w:rsidR="006C34D9" w:rsidRDefault="00CB5041">
      <w:pPr>
        <w:pStyle w:val="BodyTex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1F75B04" wp14:editId="396B8DAF">
            <wp:extent cx="5723093" cy="380742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093" cy="380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5CD3E" w14:textId="77777777" w:rsidR="006C34D9" w:rsidRDefault="006C34D9">
      <w:pPr>
        <w:pStyle w:val="BodyText"/>
        <w:spacing w:before="8"/>
        <w:ind w:left="0"/>
        <w:rPr>
          <w:b/>
          <w:sz w:val="13"/>
        </w:rPr>
      </w:pPr>
    </w:p>
    <w:p w14:paraId="0D6F671F" w14:textId="77777777" w:rsidR="006C34D9" w:rsidRDefault="00CB5041">
      <w:pPr>
        <w:spacing w:before="90" w:line="275" w:lineRule="exact"/>
        <w:ind w:left="660"/>
        <w:jc w:val="both"/>
        <w:rPr>
          <w:i/>
          <w:sz w:val="24"/>
        </w:rPr>
      </w:pPr>
      <w:bookmarkStart w:id="107" w:name="Study_ML42528_(EMPACTA)"/>
      <w:bookmarkEnd w:id="107"/>
      <w:r>
        <w:rPr>
          <w:i/>
          <w:sz w:val="24"/>
        </w:rPr>
        <w:t>Study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ML42528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(EMPACTA)</w:t>
      </w:r>
    </w:p>
    <w:p w14:paraId="05D3BF16" w14:textId="77777777" w:rsidR="006C34D9" w:rsidRDefault="00CB5041">
      <w:pPr>
        <w:pStyle w:val="BodyText"/>
        <w:ind w:left="659" w:right="656"/>
        <w:jc w:val="both"/>
      </w:pPr>
      <w:r>
        <w:t xml:space="preserve">Study ML42528 was a global Phase III, </w:t>
      </w:r>
      <w:proofErr w:type="spellStart"/>
      <w:r>
        <w:t>randomised</w:t>
      </w:r>
      <w:proofErr w:type="spellEnd"/>
      <w:r>
        <w:t>, double-blind, placebo-controlled, multi-</w:t>
      </w:r>
      <w:r>
        <w:rPr>
          <w:spacing w:val="1"/>
        </w:rPr>
        <w:t xml:space="preserve"> </w:t>
      </w:r>
      <w:proofErr w:type="spellStart"/>
      <w:r>
        <w:t>centre</w:t>
      </w:r>
      <w:proofErr w:type="spellEnd"/>
      <w:r>
        <w:t xml:space="preserve"> study to assess the efficacy and safety of intravenous Actemra in combination with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(SoC),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hospitalised</w:t>
      </w:r>
      <w:proofErr w:type="spellEnd"/>
      <w:r>
        <w:t>,</w:t>
      </w:r>
      <w:r>
        <w:rPr>
          <w:spacing w:val="1"/>
        </w:rPr>
        <w:t xml:space="preserve"> </w:t>
      </w:r>
      <w:r>
        <w:t>non-ventilated</w:t>
      </w:r>
      <w:r>
        <w:rPr>
          <w:spacing w:val="1"/>
        </w:rPr>
        <w:t xml:space="preserve"> </w:t>
      </w:r>
      <w:r>
        <w:t>adult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pneumonia. Eligible patients were at least 18 years of age, had confirmed SARS-CoV-2</w:t>
      </w:r>
      <w:r>
        <w:rPr>
          <w:spacing w:val="1"/>
        </w:rPr>
        <w:t xml:space="preserve"> </w:t>
      </w:r>
      <w:r>
        <w:t>infection by a positive reverse transcriptase polymerase chain reaction (RT-PCR) result, had</w:t>
      </w:r>
      <w:r>
        <w:rPr>
          <w:spacing w:val="1"/>
        </w:rPr>
        <w:t xml:space="preserve"> </w:t>
      </w:r>
      <w:r>
        <w:t>pneumonia confirmed by radiography, and had SpO2 &lt; 94% on ambient air. Standard of care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antiviral</w:t>
      </w:r>
      <w:r>
        <w:rPr>
          <w:spacing w:val="-3"/>
        </w:rPr>
        <w:t xml:space="preserve"> </w:t>
      </w:r>
      <w:r>
        <w:t>treatment,</w:t>
      </w:r>
      <w:r>
        <w:rPr>
          <w:spacing w:val="-5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dose</w:t>
      </w:r>
      <w:r>
        <w:rPr>
          <w:spacing w:val="-5"/>
        </w:rPr>
        <w:t xml:space="preserve"> </w:t>
      </w:r>
      <w:r>
        <w:t>systemic</w:t>
      </w:r>
      <w:r>
        <w:rPr>
          <w:spacing w:val="-4"/>
        </w:rPr>
        <w:t xml:space="preserve"> </w:t>
      </w:r>
      <w:r>
        <w:t>corticosteroids,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supportive</w:t>
      </w:r>
      <w:r>
        <w:rPr>
          <w:spacing w:val="-5"/>
        </w:rPr>
        <w:t xml:space="preserve"> </w:t>
      </w:r>
      <w:r>
        <w:t>care.</w:t>
      </w:r>
      <w:r>
        <w:rPr>
          <w:spacing w:val="-57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proofErr w:type="spellStart"/>
      <w:r>
        <w:t>randomised</w:t>
      </w:r>
      <w:proofErr w:type="spellEnd"/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2:1</w:t>
      </w:r>
      <w:r>
        <w:rPr>
          <w:spacing w:val="-5"/>
        </w:rPr>
        <w:t xml:space="preserve"> </w:t>
      </w:r>
      <w:r>
        <w:t>ratio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infusion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mg/kg</w:t>
      </w:r>
      <w:r>
        <w:rPr>
          <w:spacing w:val="-5"/>
        </w:rPr>
        <w:t xml:space="preserve"> </w:t>
      </w:r>
      <w:r>
        <w:t>Actemra</w:t>
      </w:r>
      <w:r>
        <w:rPr>
          <w:spacing w:val="-3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800</w:t>
      </w:r>
      <w:r>
        <w:rPr>
          <w:spacing w:val="-3"/>
        </w:rPr>
        <w:t xml:space="preserve"> </w:t>
      </w:r>
      <w:r>
        <w:t>mg,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placebo.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symptoms worsened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improve, one additional infusion of blinded treatment of Actemra or placebo could be given,</w:t>
      </w:r>
      <w:r>
        <w:rPr>
          <w:spacing w:val="1"/>
        </w:rPr>
        <w:t xml:space="preserve"> </w:t>
      </w:r>
      <w:r>
        <w:t>8–24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after the</w:t>
      </w:r>
      <w:r>
        <w:rPr>
          <w:spacing w:val="-1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infusion.</w:t>
      </w:r>
    </w:p>
    <w:p w14:paraId="27566761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8C8AECC" w14:textId="77777777" w:rsidR="006C34D9" w:rsidRDefault="00CB5041">
      <w:pPr>
        <w:pStyle w:val="BodyText"/>
        <w:ind w:left="659" w:right="657"/>
        <w:jc w:val="both"/>
      </w:pPr>
      <w:r>
        <w:t xml:space="preserve">Of the 389 patients who were </w:t>
      </w:r>
      <w:proofErr w:type="spellStart"/>
      <w:r>
        <w:t>randomised</w:t>
      </w:r>
      <w:proofErr w:type="spellEnd"/>
      <w:r>
        <w:t>, efficacy analyses were performed in the modified</w:t>
      </w:r>
      <w:r>
        <w:rPr>
          <w:spacing w:val="1"/>
        </w:rPr>
        <w:t xml:space="preserve"> </w:t>
      </w:r>
      <w:r>
        <w:t>intent-to-treat (</w:t>
      </w:r>
      <w:proofErr w:type="spellStart"/>
      <w:r>
        <w:t>mITT</w:t>
      </w:r>
      <w:proofErr w:type="spellEnd"/>
      <w:r>
        <w:t>) population comprised of patients who received any amount of study</w:t>
      </w:r>
      <w:r>
        <w:rPr>
          <w:spacing w:val="1"/>
        </w:rPr>
        <w:t xml:space="preserve"> </w:t>
      </w:r>
      <w:r>
        <w:t>medication (249 in the Actemra arm; 128 in the placebo arm). The baseline demographic and</w:t>
      </w:r>
      <w:r>
        <w:rPr>
          <w:spacing w:val="1"/>
        </w:rPr>
        <w:t xml:space="preserve"> </w:t>
      </w:r>
      <w:r>
        <w:t xml:space="preserve">disease characteristics were overall balanced across treatment arms. In the </w:t>
      </w:r>
      <w:proofErr w:type="spellStart"/>
      <w:r>
        <w:t>mITT</w:t>
      </w:r>
      <w:proofErr w:type="spellEnd"/>
      <w:r>
        <w:t xml:space="preserve"> population</w:t>
      </w:r>
      <w:r>
        <w:rPr>
          <w:spacing w:val="1"/>
        </w:rPr>
        <w:t xml:space="preserve"> </w:t>
      </w:r>
      <w:r>
        <w:t xml:space="preserve">(n=377) at </w:t>
      </w:r>
      <w:proofErr w:type="spellStart"/>
      <w:r>
        <w:t>randomisation</w:t>
      </w:r>
      <w:proofErr w:type="spellEnd"/>
      <w:r>
        <w:t>, median age was 57 years (range 20-95); 59.2% of patients were</w:t>
      </w:r>
      <w:r>
        <w:rPr>
          <w:spacing w:val="1"/>
        </w:rPr>
        <w:t xml:space="preserve"> </w:t>
      </w:r>
      <w:r>
        <w:t>male, 56% were of Hispanic or Latino ethnicity, 52.8% were White, 20.4% were American</w:t>
      </w:r>
      <w:r>
        <w:rPr>
          <w:spacing w:val="1"/>
        </w:rPr>
        <w:t xml:space="preserve"> </w:t>
      </w:r>
      <w:r>
        <w:t>Indian/Alaska</w:t>
      </w:r>
      <w:r>
        <w:rPr>
          <w:spacing w:val="-11"/>
        </w:rPr>
        <w:t xml:space="preserve"> </w:t>
      </w:r>
      <w:r>
        <w:t>Native,</w:t>
      </w:r>
      <w:r>
        <w:rPr>
          <w:spacing w:val="-11"/>
        </w:rPr>
        <w:t xml:space="preserve"> </w:t>
      </w:r>
      <w:r>
        <w:t>15.1%</w:t>
      </w:r>
      <w:r>
        <w:rPr>
          <w:spacing w:val="-10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Black/African</w:t>
      </w:r>
      <w:r>
        <w:rPr>
          <w:spacing w:val="-11"/>
        </w:rPr>
        <w:t xml:space="preserve"> </w:t>
      </w:r>
      <w:r>
        <w:t>American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1.6%</w:t>
      </w:r>
      <w:r>
        <w:rPr>
          <w:spacing w:val="-10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Asian.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baseline,</w:t>
      </w:r>
      <w:r>
        <w:rPr>
          <w:spacing w:val="-57"/>
        </w:rPr>
        <w:t xml:space="preserve"> </w:t>
      </w:r>
      <w:r>
        <w:t>35 (9.3%) patients were not on supplemental oxygen, 242 (64.2%) patients required low flow</w:t>
      </w:r>
      <w:r>
        <w:rPr>
          <w:spacing w:val="1"/>
        </w:rPr>
        <w:t xml:space="preserve"> </w:t>
      </w:r>
      <w:r>
        <w:t>oxygen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(26.5%)</w:t>
      </w:r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high-flow</w:t>
      </w:r>
      <w:r>
        <w:rPr>
          <w:spacing w:val="-3"/>
        </w:rPr>
        <w:t xml:space="preserve"> </w:t>
      </w:r>
      <w:r>
        <w:t>oxygen.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median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symptom</w:t>
      </w:r>
      <w:r>
        <w:rPr>
          <w:spacing w:val="-58"/>
        </w:rPr>
        <w:t xml:space="preserve"> </w:t>
      </w:r>
      <w:r>
        <w:t>onset was 8.0 days. At baseline, across treatment arms, 72.7% of patients received systemic</w:t>
      </w:r>
      <w:r>
        <w:rPr>
          <w:spacing w:val="1"/>
        </w:rPr>
        <w:t xml:space="preserve"> </w:t>
      </w:r>
      <w:r>
        <w:t xml:space="preserve">corticosteroids and 47.7% received </w:t>
      </w:r>
      <w:proofErr w:type="spellStart"/>
      <w:r>
        <w:t>remdesivir</w:t>
      </w:r>
      <w:proofErr w:type="spellEnd"/>
      <w:r>
        <w:t>. The median (range) levels of CRP and ferritin</w:t>
      </w:r>
      <w:r>
        <w:rPr>
          <w:spacing w:val="-57"/>
        </w:rPr>
        <w:t xml:space="preserve"> </w:t>
      </w:r>
      <w:r>
        <w:t>were,</w:t>
      </w:r>
      <w:r>
        <w:rPr>
          <w:spacing w:val="58"/>
        </w:rPr>
        <w:t xml:space="preserve"> </w:t>
      </w:r>
      <w:r>
        <w:t>respectively,</w:t>
      </w:r>
      <w:r>
        <w:rPr>
          <w:spacing w:val="59"/>
        </w:rPr>
        <w:t xml:space="preserve"> </w:t>
      </w:r>
      <w:proofErr w:type="gramStart"/>
      <w:r>
        <w:t>136.10  mg</w:t>
      </w:r>
      <w:proofErr w:type="gramEnd"/>
      <w:r>
        <w:t>/L</w:t>
      </w:r>
      <w:r>
        <w:rPr>
          <w:spacing w:val="58"/>
        </w:rPr>
        <w:t xml:space="preserve"> </w:t>
      </w:r>
      <w:r>
        <w:t>(2.5-3776.0),</w:t>
      </w:r>
      <w:r>
        <w:rPr>
          <w:spacing w:val="56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1.4</w:t>
      </w:r>
      <w:r>
        <w:rPr>
          <w:spacing w:val="59"/>
        </w:rPr>
        <w:t xml:space="preserve"> </w:t>
      </w:r>
      <w:proofErr w:type="spellStart"/>
      <w:r>
        <w:t>pmol</w:t>
      </w:r>
      <w:proofErr w:type="spellEnd"/>
      <w:r>
        <w:t>/mL</w:t>
      </w:r>
      <w:r>
        <w:rPr>
          <w:spacing w:val="58"/>
        </w:rPr>
        <w:t xml:space="preserve"> </w:t>
      </w:r>
      <w:r>
        <w:t>(0.03-122.3).</w:t>
      </w:r>
      <w:r>
        <w:rPr>
          <w:spacing w:val="57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most</w:t>
      </w:r>
    </w:p>
    <w:p w14:paraId="05E68CEF" w14:textId="77777777" w:rsidR="006C34D9" w:rsidRDefault="00CB5041">
      <w:pPr>
        <w:pStyle w:val="BodyText"/>
        <w:ind w:left="659"/>
        <w:jc w:val="both"/>
      </w:pPr>
      <w:r>
        <w:t>common</w:t>
      </w:r>
      <w:r>
        <w:rPr>
          <w:spacing w:val="-5"/>
        </w:rPr>
        <w:t xml:space="preserve"> </w:t>
      </w:r>
      <w:r>
        <w:t>comorbidities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hypertension</w:t>
      </w:r>
      <w:r>
        <w:rPr>
          <w:spacing w:val="-5"/>
        </w:rPr>
        <w:t xml:space="preserve"> </w:t>
      </w:r>
      <w:r>
        <w:t>(48.3%),</w:t>
      </w:r>
      <w:r>
        <w:rPr>
          <w:spacing w:val="-5"/>
        </w:rPr>
        <w:t xml:space="preserve"> </w:t>
      </w:r>
      <w:r>
        <w:t>diabetes</w:t>
      </w:r>
      <w:r>
        <w:rPr>
          <w:spacing w:val="-6"/>
        </w:rPr>
        <w:t xml:space="preserve"> </w:t>
      </w:r>
      <w:r>
        <w:t>(40.6%),</w:t>
      </w:r>
      <w:r>
        <w:rPr>
          <w:spacing w:val="-5"/>
        </w:rPr>
        <w:t xml:space="preserve"> </w:t>
      </w:r>
      <w:r>
        <w:t>hyperlipidemia</w:t>
      </w:r>
      <w:r>
        <w:rPr>
          <w:spacing w:val="-5"/>
        </w:rPr>
        <w:t xml:space="preserve"> </w:t>
      </w:r>
      <w:r>
        <w:t>(27.6%)</w:t>
      </w:r>
    </w:p>
    <w:p w14:paraId="78B96D42" w14:textId="77777777" w:rsidR="006C34D9" w:rsidRDefault="00CB5041">
      <w:pPr>
        <w:pStyle w:val="BodyText"/>
        <w:ind w:left="659"/>
        <w:jc w:val="both"/>
      </w:pPr>
      <w:r>
        <w:t>and</w:t>
      </w:r>
      <w:r>
        <w:rPr>
          <w:spacing w:val="-1"/>
        </w:rPr>
        <w:t xml:space="preserve"> </w:t>
      </w:r>
      <w:r>
        <w:t>obesity</w:t>
      </w:r>
      <w:r>
        <w:rPr>
          <w:spacing w:val="-2"/>
        </w:rPr>
        <w:t xml:space="preserve"> </w:t>
      </w:r>
      <w:r>
        <w:t>(24.4%).</w:t>
      </w:r>
    </w:p>
    <w:p w14:paraId="7CA18545" w14:textId="77777777" w:rsidR="006C34D9" w:rsidRDefault="006C34D9">
      <w:pPr>
        <w:jc w:val="both"/>
        <w:sectPr w:rsidR="006C34D9">
          <w:pgSz w:w="11910" w:h="16840"/>
          <w:pgMar w:top="1420" w:right="780" w:bottom="780" w:left="780" w:header="0" w:footer="592" w:gutter="0"/>
          <w:cols w:space="720"/>
        </w:sectPr>
      </w:pPr>
    </w:p>
    <w:p w14:paraId="5B82917D" w14:textId="77777777" w:rsidR="006C34D9" w:rsidRDefault="00CB5041">
      <w:pPr>
        <w:pStyle w:val="BodyText"/>
        <w:spacing w:before="79"/>
        <w:ind w:right="657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efficacy</w:t>
      </w:r>
      <w:r>
        <w:rPr>
          <w:spacing w:val="1"/>
        </w:rPr>
        <w:t xml:space="preserve"> </w:t>
      </w:r>
      <w:r>
        <w:t>endpoint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cumulative</w:t>
      </w:r>
      <w:r>
        <w:rPr>
          <w:spacing w:val="1"/>
        </w:rPr>
        <w:t xml:space="preserve"> </w:t>
      </w:r>
      <w:r>
        <w:t>proportion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mechanical ventilation or died by Day 28. For patients who received Actemra, there was a</w:t>
      </w:r>
      <w:r>
        <w:rPr>
          <w:spacing w:val="1"/>
        </w:rPr>
        <w:t xml:space="preserve"> </w:t>
      </w:r>
      <w:r>
        <w:t>statistically significant improvement in the time to progression to mechanical ventilation or</w:t>
      </w:r>
      <w:r>
        <w:rPr>
          <w:spacing w:val="1"/>
        </w:rPr>
        <w:t xml:space="preserve"> </w:t>
      </w:r>
      <w:r>
        <w:t>death</w:t>
      </w:r>
      <w:r>
        <w:rPr>
          <w:spacing w:val="1"/>
        </w:rPr>
        <w:t xml:space="preserve"> </w:t>
      </w:r>
      <w:r>
        <w:t>compared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patients</w:t>
      </w:r>
      <w:r>
        <w:rPr>
          <w:spacing w:val="2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received</w:t>
      </w:r>
      <w:r>
        <w:rPr>
          <w:spacing w:val="2"/>
        </w:rPr>
        <w:t xml:space="preserve"> </w:t>
      </w:r>
      <w:r>
        <w:t>placebo</w:t>
      </w:r>
      <w:r>
        <w:rPr>
          <w:spacing w:val="1"/>
        </w:rPr>
        <w:t xml:space="preserve"> </w:t>
      </w:r>
      <w:r>
        <w:t>(log-rank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value</w:t>
      </w:r>
      <w:r>
        <w:rPr>
          <w:spacing w:val="2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0.0360;</w:t>
      </w:r>
      <w:r>
        <w:rPr>
          <w:spacing w:val="3"/>
        </w:rPr>
        <w:t xml:space="preserve"> </w:t>
      </w:r>
      <w:r>
        <w:t>HR</w:t>
      </w:r>
      <w:r>
        <w:rPr>
          <w:spacing w:val="2"/>
        </w:rPr>
        <w:t xml:space="preserve"> </w:t>
      </w:r>
      <w:r>
        <w:t>[95%</w:t>
      </w:r>
      <w:r>
        <w:rPr>
          <w:spacing w:val="3"/>
        </w:rPr>
        <w:t xml:space="preserve"> </w:t>
      </w:r>
      <w:r>
        <w:t>CI]</w:t>
      </w:r>
      <w:r>
        <w:rPr>
          <w:spacing w:val="1"/>
        </w:rPr>
        <w:t xml:space="preserve"> </w:t>
      </w:r>
      <w:r>
        <w:t>=</w:t>
      </w:r>
    </w:p>
    <w:p w14:paraId="3B145821" w14:textId="77777777" w:rsidR="006C34D9" w:rsidRDefault="00CB5041">
      <w:pPr>
        <w:pStyle w:val="BodyText"/>
        <w:ind w:right="658"/>
        <w:jc w:val="both"/>
      </w:pPr>
      <w:r>
        <w:t>0.56</w:t>
      </w:r>
      <w:r>
        <w:rPr>
          <w:spacing w:val="-5"/>
        </w:rPr>
        <w:t xml:space="preserve"> </w:t>
      </w:r>
      <w:r>
        <w:t>[0.33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0.97]).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cumulative</w:t>
      </w:r>
      <w:r>
        <w:rPr>
          <w:spacing w:val="-5"/>
        </w:rPr>
        <w:t xml:space="preserve"> </w:t>
      </w:r>
      <w:r>
        <w:t>proportion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t>mechanical</w:t>
      </w:r>
      <w:r>
        <w:rPr>
          <w:spacing w:val="-5"/>
        </w:rPr>
        <w:t xml:space="preserve"> </w:t>
      </w:r>
      <w:r>
        <w:t>ventilation</w:t>
      </w:r>
      <w:r>
        <w:rPr>
          <w:spacing w:val="-5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who died by Day 28 estimated by Kaplan-Meier method was 12.0% (95% CI, 8.52% to</w:t>
      </w:r>
      <w:r>
        <w:rPr>
          <w:spacing w:val="1"/>
        </w:rPr>
        <w:t xml:space="preserve"> </w:t>
      </w:r>
      <w:r>
        <w:t>16.86%)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Actemra arm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19.3% (95%</w:t>
      </w:r>
      <w:r>
        <w:rPr>
          <w:spacing w:val="-1"/>
        </w:rPr>
        <w:t xml:space="preserve"> </w:t>
      </w:r>
      <w:r>
        <w:t>CI, 13.34% to</w:t>
      </w:r>
      <w:r>
        <w:rPr>
          <w:spacing w:val="-3"/>
        </w:rPr>
        <w:t xml:space="preserve"> </w:t>
      </w:r>
      <w:r>
        <w:t>27.36%) in</w:t>
      </w:r>
      <w:r>
        <w:rPr>
          <w:spacing w:val="-3"/>
        </w:rPr>
        <w:t xml:space="preserve"> </w:t>
      </w:r>
      <w:r>
        <w:t>the placebo</w:t>
      </w:r>
      <w:r>
        <w:rPr>
          <w:spacing w:val="-2"/>
        </w:rPr>
        <w:t xml:space="preserve"> </w:t>
      </w:r>
      <w:r>
        <w:t>arm.</w:t>
      </w:r>
    </w:p>
    <w:p w14:paraId="1685BD29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23B69933" w14:textId="77777777" w:rsidR="006C34D9" w:rsidRDefault="00CB5041">
      <w:pPr>
        <w:pStyle w:val="BodyText"/>
        <w:ind w:right="659"/>
        <w:jc w:val="both"/>
      </w:pPr>
      <w:r>
        <w:t>The median time to hospital discharge or “ready for discharge” to Day 28 was 6.0 days in the</w:t>
      </w:r>
      <w:r>
        <w:rPr>
          <w:spacing w:val="1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arm</w:t>
      </w:r>
      <w:r>
        <w:rPr>
          <w:spacing w:val="-1"/>
        </w:rPr>
        <w:t xml:space="preserve"> </w:t>
      </w:r>
      <w:r>
        <w:t>and 7.5</w:t>
      </w:r>
      <w:r>
        <w:rPr>
          <w:spacing w:val="-1"/>
        </w:rPr>
        <w:t xml:space="preserve"> </w:t>
      </w:r>
      <w:r>
        <w:t>days in the placebo</w:t>
      </w:r>
      <w:r>
        <w:rPr>
          <w:spacing w:val="-1"/>
        </w:rPr>
        <w:t xml:space="preserve"> </w:t>
      </w:r>
      <w:r>
        <w:t>arm</w:t>
      </w:r>
      <w:r>
        <w:rPr>
          <w:spacing w:val="-2"/>
        </w:rPr>
        <w:t xml:space="preserve"> </w:t>
      </w:r>
      <w:r>
        <w:t>(HR=1.16 [95%</w:t>
      </w:r>
      <w:r>
        <w:rPr>
          <w:spacing w:val="-1"/>
        </w:rPr>
        <w:t xml:space="preserve"> </w:t>
      </w:r>
      <w:r>
        <w:t>CI, 0.91 to 1.48]).</w:t>
      </w:r>
    </w:p>
    <w:p w14:paraId="2F20020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9FBCCB1" w14:textId="77777777" w:rsidR="006C34D9" w:rsidRDefault="00CB5041">
      <w:pPr>
        <w:pStyle w:val="BodyText"/>
        <w:ind w:right="657"/>
        <w:jc w:val="both"/>
      </w:pPr>
      <w:r>
        <w:t>Mortality at Day 28 was 10.4% in the Actemra arm versus 8.6% in the placebo arm (weighted</w:t>
      </w:r>
      <w:r>
        <w:rPr>
          <w:spacing w:val="-57"/>
        </w:rPr>
        <w:t xml:space="preserve"> </w:t>
      </w:r>
      <w:r>
        <w:t>difference (Actemra arm - placebo arm): 2.0% [95% CI, -5.2% to 7.8%]). Mortality at Day 60</w:t>
      </w:r>
      <w:r>
        <w:rPr>
          <w:spacing w:val="-57"/>
        </w:rPr>
        <w:t xml:space="preserve"> </w:t>
      </w:r>
      <w:r>
        <w:t>(post-hoc</w:t>
      </w:r>
      <w:r>
        <w:rPr>
          <w:spacing w:val="-5"/>
        </w:rPr>
        <w:t xml:space="preserve"> </w:t>
      </w:r>
      <w:r>
        <w:t>analysis)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11.2%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Actemra</w:t>
      </w:r>
      <w:r>
        <w:rPr>
          <w:spacing w:val="-4"/>
        </w:rPr>
        <w:t xml:space="preserve"> </w:t>
      </w:r>
      <w:r>
        <w:t>arm</w:t>
      </w:r>
      <w:r>
        <w:rPr>
          <w:spacing w:val="-6"/>
        </w:rPr>
        <w:t xml:space="preserve"> </w:t>
      </w:r>
      <w:r>
        <w:t>versus</w:t>
      </w:r>
      <w:r>
        <w:rPr>
          <w:spacing w:val="-4"/>
        </w:rPr>
        <w:t xml:space="preserve"> </w:t>
      </w:r>
      <w:r>
        <w:t>10.9%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placebo</w:t>
      </w:r>
      <w:r>
        <w:rPr>
          <w:spacing w:val="-4"/>
        </w:rPr>
        <w:t xml:space="preserve"> </w:t>
      </w:r>
      <w:r>
        <w:t>arm</w:t>
      </w:r>
      <w:r>
        <w:rPr>
          <w:spacing w:val="-6"/>
        </w:rPr>
        <w:t xml:space="preserve"> </w:t>
      </w:r>
      <w:r>
        <w:t>(weighted</w:t>
      </w:r>
      <w:r>
        <w:rPr>
          <w:spacing w:val="-58"/>
        </w:rPr>
        <w:t xml:space="preserve"> </w:t>
      </w:r>
      <w:r>
        <w:t>difference</w:t>
      </w:r>
      <w:r>
        <w:rPr>
          <w:spacing w:val="-1"/>
        </w:rPr>
        <w:t xml:space="preserve"> </w:t>
      </w:r>
      <w:r>
        <w:t>(Actemra arm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placebo</w:t>
      </w:r>
      <w:r>
        <w:rPr>
          <w:spacing w:val="-2"/>
        </w:rPr>
        <w:t xml:space="preserve"> </w:t>
      </w:r>
      <w:r>
        <w:t>arm): 0.5%</w:t>
      </w:r>
      <w:r>
        <w:rPr>
          <w:spacing w:val="-1"/>
        </w:rPr>
        <w:t xml:space="preserve"> </w:t>
      </w:r>
      <w:r>
        <w:t>[95% CI, -6.9%</w:t>
      </w:r>
      <w:r>
        <w:rPr>
          <w:spacing w:val="-1"/>
        </w:rPr>
        <w:t xml:space="preserve"> </w:t>
      </w:r>
      <w:r>
        <w:t>to 6.8%]).</w:t>
      </w:r>
    </w:p>
    <w:p w14:paraId="4BE89AEF" w14:textId="77777777" w:rsidR="006C34D9" w:rsidRDefault="006C34D9">
      <w:pPr>
        <w:pStyle w:val="BodyText"/>
        <w:ind w:left="0"/>
        <w:rPr>
          <w:sz w:val="21"/>
        </w:rPr>
      </w:pPr>
    </w:p>
    <w:p w14:paraId="358CADBF" w14:textId="77777777" w:rsidR="006C34D9" w:rsidRDefault="00CB5041">
      <w:pPr>
        <w:spacing w:line="275" w:lineRule="exact"/>
        <w:ind w:left="660"/>
        <w:jc w:val="both"/>
        <w:rPr>
          <w:i/>
          <w:sz w:val="24"/>
        </w:rPr>
      </w:pPr>
      <w:bookmarkStart w:id="108" w:name="Study_WA42380_(COVACTA)"/>
      <w:bookmarkEnd w:id="108"/>
      <w:r>
        <w:rPr>
          <w:i/>
          <w:sz w:val="24"/>
        </w:rPr>
        <w:t>Study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WA42380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(COVACTA)</w:t>
      </w:r>
    </w:p>
    <w:p w14:paraId="70F259F1" w14:textId="77777777" w:rsidR="006C34D9" w:rsidRDefault="00CB5041">
      <w:pPr>
        <w:pStyle w:val="BodyText"/>
        <w:ind w:right="658"/>
        <w:jc w:val="both"/>
      </w:pPr>
      <w:r>
        <w:t xml:space="preserve">Study WA42380 was a global Phase III, </w:t>
      </w:r>
      <w:proofErr w:type="spellStart"/>
      <w:r>
        <w:t>randomised</w:t>
      </w:r>
      <w:proofErr w:type="spellEnd"/>
      <w:r>
        <w:t>, double-blind, placebo-controlled, multi-</w:t>
      </w:r>
      <w:r>
        <w:rPr>
          <w:spacing w:val="-57"/>
        </w:rPr>
        <w:t xml:space="preserve"> </w:t>
      </w:r>
      <w:proofErr w:type="spellStart"/>
      <w:r>
        <w:t>centre</w:t>
      </w:r>
      <w:proofErr w:type="spellEnd"/>
      <w:r>
        <w:t xml:space="preserve"> study to assess the efficacy and safety of intravenous Actemra, in combination with</w:t>
      </w:r>
      <w:r>
        <w:rPr>
          <w:spacing w:val="1"/>
        </w:rPr>
        <w:t xml:space="preserve"> </w:t>
      </w:r>
      <w:r>
        <w:t xml:space="preserve">standard of care (SoC), in adult patients </w:t>
      </w:r>
      <w:proofErr w:type="spellStart"/>
      <w:r>
        <w:t>hospitalised</w:t>
      </w:r>
      <w:proofErr w:type="spellEnd"/>
      <w:r>
        <w:t xml:space="preserve"> with severe COVID-19 pneumonia.</w:t>
      </w:r>
      <w:r>
        <w:rPr>
          <w:spacing w:val="1"/>
        </w:rPr>
        <w:t xml:space="preserve"> </w:t>
      </w:r>
      <w:r>
        <w:t>Eligible patients were at least 18 years of age, had confirmed SARS-CoV-2 infection by a</w:t>
      </w:r>
      <w:r>
        <w:rPr>
          <w:spacing w:val="1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RT-PCR</w:t>
      </w:r>
      <w:r>
        <w:rPr>
          <w:spacing w:val="-5"/>
        </w:rPr>
        <w:t xml:space="preserve"> </w:t>
      </w:r>
      <w:r>
        <w:t>result,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pneumonia</w:t>
      </w:r>
      <w:r>
        <w:rPr>
          <w:spacing w:val="-5"/>
        </w:rPr>
        <w:t xml:space="preserve"> </w:t>
      </w:r>
      <w:r>
        <w:t>confirmed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radiography,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oxygen</w:t>
      </w:r>
      <w:r>
        <w:rPr>
          <w:spacing w:val="-5"/>
        </w:rPr>
        <w:t xml:space="preserve"> </w:t>
      </w:r>
      <w:r>
        <w:t>saturation</w:t>
      </w:r>
      <w:r>
        <w:rPr>
          <w:spacing w:val="-57"/>
        </w:rPr>
        <w:t xml:space="preserve"> </w:t>
      </w:r>
      <w:r>
        <w:t>of 93% or lower on ambient air or a ratio of arterial oxygen partial pressure to fractional</w:t>
      </w:r>
      <w:r>
        <w:rPr>
          <w:spacing w:val="1"/>
        </w:rPr>
        <w:t xml:space="preserve"> </w:t>
      </w:r>
      <w:r>
        <w:t>inspired oxygen of 300 mm Hg or less. SOC may have included antiviral treatment, low-dose</w:t>
      </w:r>
      <w:r>
        <w:rPr>
          <w:spacing w:val="1"/>
        </w:rPr>
        <w:t xml:space="preserve"> </w:t>
      </w:r>
      <w:r>
        <w:t>corticosteroids,</w:t>
      </w:r>
      <w:r>
        <w:rPr>
          <w:spacing w:val="-7"/>
        </w:rPr>
        <w:t xml:space="preserve"> </w:t>
      </w:r>
      <w:r>
        <w:t>convalescent</w:t>
      </w:r>
      <w:r>
        <w:rPr>
          <w:spacing w:val="-6"/>
        </w:rPr>
        <w:t xml:space="preserve"> </w:t>
      </w:r>
      <w:proofErr w:type="gramStart"/>
      <w:r>
        <w:t>plasma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supportive</w:t>
      </w:r>
      <w:r>
        <w:rPr>
          <w:spacing w:val="-6"/>
        </w:rPr>
        <w:t xml:space="preserve"> </w:t>
      </w:r>
      <w:r>
        <w:t>therapies.</w:t>
      </w:r>
      <w:r>
        <w:rPr>
          <w:spacing w:val="-6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proofErr w:type="spellStart"/>
      <w:r>
        <w:t>randomised</w:t>
      </w:r>
      <w:proofErr w:type="spellEnd"/>
      <w:r>
        <w:rPr>
          <w:spacing w:val="-57"/>
        </w:rPr>
        <w:t xml:space="preserve"> </w:t>
      </w:r>
      <w:r>
        <w:t>at a 2:1 ratio to receive one infusion of either 8 mg/kg Actemra, with a maximum dose of 800</w:t>
      </w:r>
      <w:r>
        <w:rPr>
          <w:spacing w:val="-57"/>
        </w:rPr>
        <w:t xml:space="preserve"> </w:t>
      </w:r>
      <w:r>
        <w:t>mg, or placebo. If clinical signs or symptoms worsened or did not improve, one additional</w:t>
      </w:r>
      <w:r>
        <w:rPr>
          <w:spacing w:val="1"/>
        </w:rPr>
        <w:t xml:space="preserve"> </w:t>
      </w:r>
      <w:r>
        <w:t>infusion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blinded</w:t>
      </w:r>
      <w:r>
        <w:rPr>
          <w:spacing w:val="-9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Actemra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placebo</w:t>
      </w:r>
      <w:r>
        <w:rPr>
          <w:spacing w:val="-10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given,</w:t>
      </w:r>
      <w:r>
        <w:rPr>
          <w:spacing w:val="-9"/>
        </w:rPr>
        <w:t xml:space="preserve"> </w:t>
      </w:r>
      <w:r>
        <w:t>8–24</w:t>
      </w:r>
      <w:r>
        <w:rPr>
          <w:spacing w:val="-10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initial</w:t>
      </w:r>
      <w:r>
        <w:rPr>
          <w:spacing w:val="-58"/>
        </w:rPr>
        <w:t xml:space="preserve"> </w:t>
      </w:r>
      <w:r>
        <w:t>infusion.</w:t>
      </w:r>
    </w:p>
    <w:p w14:paraId="1C715F6D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4466893A" w14:textId="77777777" w:rsidR="006C34D9" w:rsidRDefault="00CB5041">
      <w:pPr>
        <w:pStyle w:val="BodyText"/>
        <w:ind w:left="659" w:right="656"/>
        <w:jc w:val="both"/>
      </w:pPr>
      <w:r>
        <w:t xml:space="preserve">Of the 452 patients who were </w:t>
      </w:r>
      <w:proofErr w:type="spellStart"/>
      <w:r>
        <w:t>randomised</w:t>
      </w:r>
      <w:proofErr w:type="spellEnd"/>
      <w:r>
        <w:t>, efficacy analyses were performed in the modified</w:t>
      </w:r>
      <w:r>
        <w:rPr>
          <w:spacing w:val="1"/>
        </w:rPr>
        <w:t xml:space="preserve"> </w:t>
      </w:r>
      <w:r>
        <w:t>intent-to-treat (</w:t>
      </w:r>
      <w:proofErr w:type="spellStart"/>
      <w:r>
        <w:t>mITT</w:t>
      </w:r>
      <w:proofErr w:type="spellEnd"/>
      <w:r>
        <w:t>) population comprised of patients who received any amount of study</w:t>
      </w:r>
      <w:r>
        <w:rPr>
          <w:spacing w:val="1"/>
        </w:rPr>
        <w:t xml:space="preserve"> </w:t>
      </w:r>
      <w:r>
        <w:t>medication (294 in the Actemra arm; 144 in the placebo arm). The baseline demographic and</w:t>
      </w:r>
      <w:r>
        <w:rPr>
          <w:spacing w:val="1"/>
        </w:rPr>
        <w:t xml:space="preserve"> </w:t>
      </w:r>
      <w:r>
        <w:t xml:space="preserve">disease characteristics were overall balanced across treatment arms. For the overall </w:t>
      </w:r>
      <w:proofErr w:type="spellStart"/>
      <w:r>
        <w:t>mITT</w:t>
      </w:r>
      <w:proofErr w:type="spellEnd"/>
      <w:r>
        <w:rPr>
          <w:spacing w:val="1"/>
        </w:rPr>
        <w:t xml:space="preserve"> </w:t>
      </w:r>
      <w:r>
        <w:t xml:space="preserve">population (n=438) at </w:t>
      </w:r>
      <w:proofErr w:type="spellStart"/>
      <w:r>
        <w:t>randomisation</w:t>
      </w:r>
      <w:proofErr w:type="spellEnd"/>
      <w:r>
        <w:t>, median age was 62 years (range 22-96 with 44.3% of</w:t>
      </w:r>
      <w:r>
        <w:rPr>
          <w:spacing w:val="1"/>
        </w:rPr>
        <w:t xml:space="preserve"> </w:t>
      </w:r>
      <w:r>
        <w:t>patients aged 65 or older); 69.9% of patients were male, 32.2% were of Hispanic or Latino</w:t>
      </w:r>
      <w:r>
        <w:rPr>
          <w:spacing w:val="1"/>
        </w:rPr>
        <w:t xml:space="preserve"> </w:t>
      </w:r>
      <w:r>
        <w:t>ethnicity, 57.5% were White, 15.1% were Black/African American and 8.7% were Asian. At</w:t>
      </w:r>
      <w:r>
        <w:rPr>
          <w:spacing w:val="1"/>
        </w:rPr>
        <w:t xml:space="preserve"> </w:t>
      </w:r>
      <w:r>
        <w:t>baseline,</w:t>
      </w:r>
      <w:r>
        <w:rPr>
          <w:spacing w:val="-5"/>
        </w:rPr>
        <w:t xml:space="preserve"> </w:t>
      </w:r>
      <w:r>
        <w:t>3.4%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supplemental</w:t>
      </w:r>
      <w:r>
        <w:rPr>
          <w:spacing w:val="-6"/>
        </w:rPr>
        <w:t xml:space="preserve"> </w:t>
      </w:r>
      <w:r>
        <w:t>oxygen,</w:t>
      </w:r>
      <w:r>
        <w:rPr>
          <w:spacing w:val="-6"/>
        </w:rPr>
        <w:t xml:space="preserve"> </w:t>
      </w:r>
      <w:r>
        <w:t>27.9%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flow</w:t>
      </w:r>
      <w:r>
        <w:rPr>
          <w:spacing w:val="-7"/>
        </w:rPr>
        <w:t xml:space="preserve"> </w:t>
      </w:r>
      <w:r>
        <w:t>oxygen,</w:t>
      </w:r>
      <w:r>
        <w:rPr>
          <w:spacing w:val="-58"/>
        </w:rPr>
        <w:t xml:space="preserve"> </w:t>
      </w:r>
      <w:r>
        <w:t>30.4% were on non-invasive ventilation or high flow oxygen, and 38.4% were on invasive</w:t>
      </w:r>
      <w:r>
        <w:rPr>
          <w:spacing w:val="1"/>
        </w:rPr>
        <w:t xml:space="preserve"> </w:t>
      </w:r>
      <w:r>
        <w:t>mechanical ventilation. The median time from symptom onset was 11.0 days. At baseline,</w:t>
      </w:r>
      <w:r>
        <w:rPr>
          <w:spacing w:val="1"/>
        </w:rPr>
        <w:t xml:space="preserve"> </w:t>
      </w:r>
      <w:r>
        <w:t>across treatment arms, 22.4% patients received systemic corticosteroids and 5.7% received</w:t>
      </w:r>
      <w:r>
        <w:rPr>
          <w:spacing w:val="1"/>
        </w:rPr>
        <w:t xml:space="preserve"> </w:t>
      </w:r>
      <w:proofErr w:type="spellStart"/>
      <w:r>
        <w:t>remdesivir</w:t>
      </w:r>
      <w:proofErr w:type="spellEnd"/>
      <w:r>
        <w:t>. The median (range) levels of IL-6, CRP and ferritin were, respectively, 85.8 ng/L</w:t>
      </w:r>
      <w:r>
        <w:rPr>
          <w:spacing w:val="1"/>
        </w:rPr>
        <w:t xml:space="preserve"> </w:t>
      </w:r>
      <w:r>
        <w:t>(3.1-4020),</w:t>
      </w:r>
      <w:r>
        <w:rPr>
          <w:spacing w:val="1"/>
        </w:rPr>
        <w:t xml:space="preserve"> </w:t>
      </w:r>
      <w:r>
        <w:t>155.15</w:t>
      </w:r>
      <w:r>
        <w:rPr>
          <w:spacing w:val="1"/>
        </w:rPr>
        <w:t xml:space="preserve"> </w:t>
      </w:r>
      <w:r>
        <w:t>mg/L</w:t>
      </w:r>
      <w:r>
        <w:rPr>
          <w:spacing w:val="1"/>
        </w:rPr>
        <w:t xml:space="preserve"> </w:t>
      </w:r>
      <w:r>
        <w:t>(1.1-499.6),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proofErr w:type="spellStart"/>
      <w:r>
        <w:t>pmol</w:t>
      </w:r>
      <w:proofErr w:type="spellEnd"/>
      <w:r>
        <w:t>/mL</w:t>
      </w:r>
      <w:r>
        <w:rPr>
          <w:spacing w:val="1"/>
        </w:rPr>
        <w:t xml:space="preserve"> </w:t>
      </w:r>
      <w:r>
        <w:t>(0.0-75.3).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comorbidities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hypertension</w:t>
      </w:r>
      <w:r>
        <w:rPr>
          <w:spacing w:val="1"/>
        </w:rPr>
        <w:t xml:space="preserve"> </w:t>
      </w:r>
      <w:r>
        <w:t>(62.1%),</w:t>
      </w:r>
      <w:r>
        <w:rPr>
          <w:spacing w:val="1"/>
        </w:rPr>
        <w:t xml:space="preserve"> </w:t>
      </w:r>
      <w:r>
        <w:t>diabetes</w:t>
      </w:r>
      <w:r>
        <w:rPr>
          <w:spacing w:val="1"/>
        </w:rPr>
        <w:t xml:space="preserve"> </w:t>
      </w:r>
      <w:r>
        <w:t>(38.1%),</w:t>
      </w:r>
      <w:r>
        <w:rPr>
          <w:spacing w:val="1"/>
        </w:rPr>
        <w:t xml:space="preserve"> </w:t>
      </w:r>
      <w:r>
        <w:t>cardiovascular</w:t>
      </w:r>
      <w:r>
        <w:rPr>
          <w:spacing w:val="1"/>
        </w:rPr>
        <w:t xml:space="preserve"> </w:t>
      </w:r>
      <w:r>
        <w:t>impairment</w:t>
      </w:r>
      <w:r>
        <w:rPr>
          <w:spacing w:val="1"/>
        </w:rPr>
        <w:t xml:space="preserve"> </w:t>
      </w:r>
      <w:r>
        <w:t>(28.1%)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obesity</w:t>
      </w:r>
      <w:r>
        <w:rPr>
          <w:spacing w:val="-2"/>
        </w:rPr>
        <w:t xml:space="preserve"> </w:t>
      </w:r>
      <w:r>
        <w:t>(20.5%).</w:t>
      </w:r>
    </w:p>
    <w:p w14:paraId="2CAB4B7D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427BD6F2" w14:textId="77777777" w:rsidR="006C34D9" w:rsidRDefault="00CB5041">
      <w:pPr>
        <w:pStyle w:val="BodyText"/>
        <w:ind w:left="659" w:right="657"/>
        <w:jc w:val="both"/>
      </w:pPr>
      <w:r>
        <w:t>The primary efficacy endpoint was clinical status on Day 28 assessed on a 7-category ordinal</w:t>
      </w:r>
      <w:r>
        <w:rPr>
          <w:spacing w:val="1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consisting of</w:t>
      </w:r>
      <w:r>
        <w:rPr>
          <w:spacing w:val="-1"/>
        </w:rPr>
        <w:t xml:space="preserve"> </w:t>
      </w:r>
      <w:r>
        <w:t>the following categories:</w:t>
      </w:r>
    </w:p>
    <w:p w14:paraId="23F1E845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2685731" w14:textId="77777777" w:rsidR="006C34D9" w:rsidRDefault="00CB5041">
      <w:pPr>
        <w:pStyle w:val="ListParagraph"/>
        <w:numPr>
          <w:ilvl w:val="0"/>
          <w:numId w:val="2"/>
        </w:numPr>
        <w:tabs>
          <w:tab w:val="left" w:pos="963"/>
        </w:tabs>
        <w:ind w:hanging="304"/>
        <w:jc w:val="both"/>
        <w:rPr>
          <w:sz w:val="24"/>
        </w:rPr>
      </w:pPr>
      <w:r>
        <w:rPr>
          <w:sz w:val="24"/>
        </w:rPr>
        <w:t>Discharged</w:t>
      </w:r>
      <w:r>
        <w:rPr>
          <w:spacing w:val="2"/>
          <w:sz w:val="24"/>
        </w:rPr>
        <w:t xml:space="preserve"> </w:t>
      </w:r>
      <w:r>
        <w:rPr>
          <w:sz w:val="24"/>
        </w:rPr>
        <w:t>(or</w:t>
      </w:r>
      <w:r>
        <w:rPr>
          <w:spacing w:val="59"/>
          <w:sz w:val="24"/>
        </w:rPr>
        <w:t xml:space="preserve"> </w:t>
      </w:r>
      <w:r>
        <w:rPr>
          <w:sz w:val="24"/>
        </w:rPr>
        <w:t>“ready</w:t>
      </w:r>
      <w:r>
        <w:rPr>
          <w:spacing w:val="61"/>
          <w:sz w:val="24"/>
        </w:rPr>
        <w:t xml:space="preserve"> </w:t>
      </w:r>
      <w:r>
        <w:rPr>
          <w:sz w:val="24"/>
        </w:rPr>
        <w:t>for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discharge”  as</w:t>
      </w:r>
      <w:proofErr w:type="gramEnd"/>
      <w:r>
        <w:rPr>
          <w:sz w:val="24"/>
        </w:rPr>
        <w:t xml:space="preserve">  evidenced  by  normal</w:t>
      </w:r>
      <w:r>
        <w:rPr>
          <w:spacing w:val="60"/>
          <w:sz w:val="24"/>
        </w:rPr>
        <w:t xml:space="preserve"> </w:t>
      </w:r>
      <w:r>
        <w:rPr>
          <w:sz w:val="24"/>
        </w:rPr>
        <w:t>body</w:t>
      </w:r>
      <w:r>
        <w:rPr>
          <w:spacing w:val="61"/>
          <w:sz w:val="24"/>
        </w:rPr>
        <w:t xml:space="preserve"> </w:t>
      </w:r>
      <w:r>
        <w:rPr>
          <w:sz w:val="24"/>
        </w:rPr>
        <w:t>temperature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</w:p>
    <w:p w14:paraId="47E5A826" w14:textId="77777777" w:rsidR="006C34D9" w:rsidRDefault="00CB5041">
      <w:pPr>
        <w:pStyle w:val="BodyText"/>
        <w:ind w:left="659"/>
        <w:jc w:val="both"/>
      </w:pPr>
      <w:r>
        <w:t>respiratory</w:t>
      </w:r>
      <w:r>
        <w:rPr>
          <w:spacing w:val="-2"/>
        </w:rPr>
        <w:t xml:space="preserve"> </w:t>
      </w:r>
      <w:r>
        <w:t>rate,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stable</w:t>
      </w:r>
      <w:r>
        <w:rPr>
          <w:spacing w:val="-1"/>
        </w:rPr>
        <w:t xml:space="preserve"> </w:t>
      </w:r>
      <w:r>
        <w:t>oxygen</w:t>
      </w:r>
      <w:r>
        <w:rPr>
          <w:spacing w:val="-1"/>
        </w:rPr>
        <w:t xml:space="preserve"> </w:t>
      </w:r>
      <w:r>
        <w:t>saturation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ambient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≤</w:t>
      </w:r>
      <w:r>
        <w:rPr>
          <w:spacing w:val="-2"/>
        </w:rPr>
        <w:t xml:space="preserve"> </w:t>
      </w:r>
      <w:r>
        <w:t>2L</w:t>
      </w:r>
      <w:r>
        <w:rPr>
          <w:spacing w:val="-2"/>
        </w:rPr>
        <w:t xml:space="preserve"> </w:t>
      </w:r>
      <w:r>
        <w:t>supplemental</w:t>
      </w:r>
      <w:r>
        <w:rPr>
          <w:spacing w:val="-1"/>
        </w:rPr>
        <w:t xml:space="preserve"> </w:t>
      </w:r>
      <w:r>
        <w:t>oxygen</w:t>
      </w:r>
      <w:proofErr w:type="gramStart"/>
      <w:r>
        <w:t>);</w:t>
      </w:r>
      <w:proofErr w:type="gramEnd"/>
    </w:p>
    <w:p w14:paraId="5070A03B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0BBFDCE4" w14:textId="77777777" w:rsidR="006C34D9" w:rsidRDefault="00CB5041">
      <w:pPr>
        <w:pStyle w:val="ListParagraph"/>
        <w:numPr>
          <w:ilvl w:val="0"/>
          <w:numId w:val="2"/>
        </w:numPr>
        <w:tabs>
          <w:tab w:val="left" w:pos="897"/>
        </w:tabs>
        <w:spacing w:before="79"/>
        <w:ind w:left="896" w:hanging="237"/>
        <w:rPr>
          <w:sz w:val="24"/>
        </w:rPr>
      </w:pPr>
      <w:r>
        <w:rPr>
          <w:sz w:val="24"/>
        </w:rPr>
        <w:lastRenderedPageBreak/>
        <w:t>Non–ICU</w:t>
      </w:r>
      <w:r>
        <w:rPr>
          <w:spacing w:val="-5"/>
          <w:sz w:val="24"/>
        </w:rPr>
        <w:t xml:space="preserve"> </w:t>
      </w:r>
      <w:r>
        <w:rPr>
          <w:sz w:val="24"/>
        </w:rPr>
        <w:t>hospital</w:t>
      </w:r>
      <w:r>
        <w:rPr>
          <w:spacing w:val="-5"/>
          <w:sz w:val="24"/>
        </w:rPr>
        <w:t xml:space="preserve"> </w:t>
      </w:r>
      <w:r>
        <w:rPr>
          <w:sz w:val="24"/>
        </w:rPr>
        <w:t>ward</w:t>
      </w:r>
      <w:r>
        <w:rPr>
          <w:spacing w:val="-5"/>
          <w:sz w:val="24"/>
        </w:rPr>
        <w:t xml:space="preserve"> </w:t>
      </w:r>
      <w:r>
        <w:rPr>
          <w:sz w:val="24"/>
        </w:rPr>
        <w:t>(or</w:t>
      </w:r>
      <w:r>
        <w:rPr>
          <w:spacing w:val="-7"/>
          <w:sz w:val="24"/>
        </w:rPr>
        <w:t xml:space="preserve"> </w:t>
      </w:r>
      <w:r>
        <w:rPr>
          <w:sz w:val="24"/>
        </w:rPr>
        <w:t>“ready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hospital</w:t>
      </w:r>
      <w:r>
        <w:rPr>
          <w:spacing w:val="-6"/>
          <w:sz w:val="24"/>
        </w:rPr>
        <w:t xml:space="preserve"> </w:t>
      </w:r>
      <w:r>
        <w:rPr>
          <w:sz w:val="24"/>
        </w:rPr>
        <w:t>ward”),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requiring</w:t>
      </w:r>
      <w:r>
        <w:rPr>
          <w:spacing w:val="-6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oxygen;</w:t>
      </w:r>
      <w:proofErr w:type="gramEnd"/>
    </w:p>
    <w:p w14:paraId="5A89C80E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72CCA7E3" w14:textId="77777777" w:rsidR="006C34D9" w:rsidRDefault="00CB5041">
      <w:pPr>
        <w:pStyle w:val="ListParagraph"/>
        <w:numPr>
          <w:ilvl w:val="0"/>
          <w:numId w:val="2"/>
        </w:numPr>
        <w:tabs>
          <w:tab w:val="left" w:pos="900"/>
        </w:tabs>
        <w:ind w:left="900" w:hanging="240"/>
        <w:rPr>
          <w:sz w:val="24"/>
        </w:rPr>
      </w:pPr>
      <w:r>
        <w:rPr>
          <w:sz w:val="24"/>
        </w:rPr>
        <w:t>Non–ICU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ward</w:t>
      </w:r>
      <w:r>
        <w:rPr>
          <w:spacing w:val="-1"/>
          <w:sz w:val="24"/>
        </w:rPr>
        <w:t xml:space="preserve"> </w:t>
      </w:r>
      <w:r>
        <w:rPr>
          <w:sz w:val="24"/>
        </w:rPr>
        <w:t>(or</w:t>
      </w:r>
      <w:r>
        <w:rPr>
          <w:spacing w:val="-2"/>
          <w:sz w:val="24"/>
        </w:rPr>
        <w:t xml:space="preserve"> </w:t>
      </w:r>
      <w:r>
        <w:rPr>
          <w:sz w:val="24"/>
        </w:rPr>
        <w:t>“ready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ward”),</w:t>
      </w:r>
      <w:r>
        <w:rPr>
          <w:spacing w:val="-3"/>
          <w:sz w:val="24"/>
        </w:rPr>
        <w:t xml:space="preserve"> </w:t>
      </w:r>
      <w:r>
        <w:rPr>
          <w:sz w:val="24"/>
        </w:rPr>
        <w:t>requiring</w:t>
      </w:r>
      <w:r>
        <w:rPr>
          <w:spacing w:val="-2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oxygen;</w:t>
      </w:r>
      <w:proofErr w:type="gramEnd"/>
    </w:p>
    <w:p w14:paraId="30519166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4443B91E" w14:textId="77777777" w:rsidR="006C34D9" w:rsidRDefault="00CB5041">
      <w:pPr>
        <w:pStyle w:val="ListParagraph"/>
        <w:numPr>
          <w:ilvl w:val="0"/>
          <w:numId w:val="2"/>
        </w:numPr>
        <w:tabs>
          <w:tab w:val="left" w:pos="900"/>
        </w:tabs>
        <w:ind w:left="900" w:hanging="240"/>
        <w:rPr>
          <w:sz w:val="24"/>
        </w:rPr>
      </w:pPr>
      <w:r>
        <w:rPr>
          <w:sz w:val="24"/>
        </w:rPr>
        <w:t>ICU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non–ICU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ward,</w:t>
      </w:r>
      <w:r>
        <w:rPr>
          <w:spacing w:val="-2"/>
          <w:sz w:val="24"/>
        </w:rPr>
        <w:t xml:space="preserve"> </w:t>
      </w:r>
      <w:r>
        <w:rPr>
          <w:sz w:val="24"/>
        </w:rPr>
        <w:t>requiring</w:t>
      </w:r>
      <w:r>
        <w:rPr>
          <w:spacing w:val="-1"/>
          <w:sz w:val="24"/>
        </w:rPr>
        <w:t xml:space="preserve"> </w:t>
      </w:r>
      <w:r>
        <w:rPr>
          <w:sz w:val="24"/>
        </w:rPr>
        <w:t>non-invasive</w:t>
      </w:r>
      <w:r>
        <w:rPr>
          <w:spacing w:val="-2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high-flow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oxygen;</w:t>
      </w:r>
      <w:proofErr w:type="gramEnd"/>
    </w:p>
    <w:p w14:paraId="75217D2D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20CC19EA" w14:textId="77777777" w:rsidR="006C34D9" w:rsidRDefault="00CB5041">
      <w:pPr>
        <w:pStyle w:val="ListParagraph"/>
        <w:numPr>
          <w:ilvl w:val="0"/>
          <w:numId w:val="2"/>
        </w:numPr>
        <w:tabs>
          <w:tab w:val="left" w:pos="900"/>
        </w:tabs>
        <w:ind w:left="900" w:hanging="240"/>
        <w:rPr>
          <w:sz w:val="24"/>
        </w:rPr>
      </w:pPr>
      <w:r>
        <w:rPr>
          <w:sz w:val="24"/>
        </w:rPr>
        <w:t>ICU,</w:t>
      </w:r>
      <w:r>
        <w:rPr>
          <w:spacing w:val="-2"/>
          <w:sz w:val="24"/>
        </w:rPr>
        <w:t xml:space="preserve"> </w:t>
      </w:r>
      <w:r>
        <w:rPr>
          <w:sz w:val="24"/>
        </w:rPr>
        <w:t>requiring</w:t>
      </w:r>
      <w:r>
        <w:rPr>
          <w:spacing w:val="-3"/>
          <w:sz w:val="24"/>
        </w:rPr>
        <w:t xml:space="preserve"> </w:t>
      </w:r>
      <w:r>
        <w:rPr>
          <w:sz w:val="24"/>
        </w:rPr>
        <w:t>intubation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mechanical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ventilation;</w:t>
      </w:r>
      <w:proofErr w:type="gramEnd"/>
    </w:p>
    <w:p w14:paraId="510AF582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2C794B5A" w14:textId="77777777" w:rsidR="006C34D9" w:rsidRDefault="00CB5041">
      <w:pPr>
        <w:pStyle w:val="ListParagraph"/>
        <w:numPr>
          <w:ilvl w:val="0"/>
          <w:numId w:val="2"/>
        </w:numPr>
        <w:tabs>
          <w:tab w:val="left" w:pos="978"/>
        </w:tabs>
        <w:ind w:left="660" w:right="657" w:firstLine="0"/>
        <w:rPr>
          <w:sz w:val="24"/>
        </w:rPr>
      </w:pPr>
      <w:r>
        <w:rPr>
          <w:sz w:val="24"/>
        </w:rPr>
        <w:t>ICU,</w:t>
      </w:r>
      <w:r>
        <w:rPr>
          <w:spacing w:val="17"/>
          <w:sz w:val="24"/>
        </w:rPr>
        <w:t xml:space="preserve"> </w:t>
      </w:r>
      <w:r>
        <w:rPr>
          <w:sz w:val="24"/>
        </w:rPr>
        <w:t>requiring</w:t>
      </w:r>
      <w:r>
        <w:rPr>
          <w:spacing w:val="17"/>
          <w:sz w:val="24"/>
        </w:rPr>
        <w:t xml:space="preserve"> </w:t>
      </w:r>
      <w:r>
        <w:rPr>
          <w:sz w:val="24"/>
        </w:rPr>
        <w:t>extracorporeal</w:t>
      </w:r>
      <w:r>
        <w:rPr>
          <w:spacing w:val="16"/>
          <w:sz w:val="24"/>
        </w:rPr>
        <w:t xml:space="preserve"> </w:t>
      </w:r>
      <w:r>
        <w:rPr>
          <w:sz w:val="24"/>
        </w:rPr>
        <w:t>membrane</w:t>
      </w:r>
      <w:r>
        <w:rPr>
          <w:spacing w:val="17"/>
          <w:sz w:val="24"/>
        </w:rPr>
        <w:t xml:space="preserve"> </w:t>
      </w:r>
      <w:r>
        <w:rPr>
          <w:sz w:val="24"/>
        </w:rPr>
        <w:t>oxygenation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z w:val="24"/>
        </w:rPr>
        <w:t>mechanical</w:t>
      </w:r>
      <w:r>
        <w:rPr>
          <w:spacing w:val="17"/>
          <w:sz w:val="24"/>
        </w:rPr>
        <w:t xml:space="preserve"> </w:t>
      </w:r>
      <w:r>
        <w:rPr>
          <w:sz w:val="24"/>
        </w:rPr>
        <w:t>ventilation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organ support</w:t>
      </w:r>
      <w:r>
        <w:rPr>
          <w:spacing w:val="-1"/>
          <w:sz w:val="24"/>
        </w:rPr>
        <w:t xml:space="preserve"> </w:t>
      </w:r>
      <w:r>
        <w:rPr>
          <w:sz w:val="24"/>
        </w:rPr>
        <w:t>(e.g., vasopressors,</w:t>
      </w:r>
      <w:r>
        <w:rPr>
          <w:spacing w:val="-3"/>
          <w:sz w:val="24"/>
        </w:rPr>
        <w:t xml:space="preserve"> </w:t>
      </w:r>
      <w:r>
        <w:rPr>
          <w:sz w:val="24"/>
        </w:rPr>
        <w:t>renal</w:t>
      </w:r>
      <w:r>
        <w:rPr>
          <w:spacing w:val="-1"/>
          <w:sz w:val="24"/>
        </w:rPr>
        <w:t xml:space="preserve"> </w:t>
      </w:r>
      <w:r>
        <w:rPr>
          <w:sz w:val="24"/>
        </w:rPr>
        <w:t>replacement therapy</w:t>
      </w:r>
      <w:proofErr w:type="gramStart"/>
      <w:r>
        <w:rPr>
          <w:sz w:val="24"/>
        </w:rPr>
        <w:t>);</w:t>
      </w:r>
      <w:proofErr w:type="gramEnd"/>
    </w:p>
    <w:p w14:paraId="444C8E57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47FD86DB" w14:textId="77777777" w:rsidR="006C34D9" w:rsidRDefault="00CB5041">
      <w:pPr>
        <w:pStyle w:val="ListParagraph"/>
        <w:numPr>
          <w:ilvl w:val="0"/>
          <w:numId w:val="2"/>
        </w:numPr>
        <w:tabs>
          <w:tab w:val="left" w:pos="900"/>
        </w:tabs>
        <w:ind w:left="900" w:hanging="240"/>
        <w:rPr>
          <w:sz w:val="24"/>
        </w:rPr>
      </w:pPr>
      <w:r>
        <w:rPr>
          <w:sz w:val="24"/>
        </w:rPr>
        <w:t>Death</w:t>
      </w:r>
    </w:p>
    <w:p w14:paraId="642B64E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FCC1BCF" w14:textId="77777777" w:rsidR="006C34D9" w:rsidRDefault="00CB5041">
      <w:pPr>
        <w:pStyle w:val="BodyText"/>
        <w:spacing w:before="1"/>
        <w:ind w:right="658"/>
        <w:jc w:val="both"/>
      </w:pPr>
      <w:r>
        <w:t>There was no statistically significant difference observed in the distribution of clinical status</w:t>
      </w:r>
      <w:r>
        <w:rPr>
          <w:spacing w:val="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7-category</w:t>
      </w:r>
      <w:r>
        <w:rPr>
          <w:spacing w:val="-11"/>
        </w:rPr>
        <w:t xml:space="preserve"> </w:t>
      </w:r>
      <w:r>
        <w:t>ordinal</w:t>
      </w:r>
      <w:r>
        <w:rPr>
          <w:spacing w:val="-13"/>
        </w:rPr>
        <w:t xml:space="preserve"> </w:t>
      </w:r>
      <w:r>
        <w:t>scale</w:t>
      </w:r>
      <w:r>
        <w:rPr>
          <w:spacing w:val="-12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28</w:t>
      </w:r>
      <w:r>
        <w:rPr>
          <w:spacing w:val="-11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comparing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Actemra</w:t>
      </w:r>
      <w:r>
        <w:rPr>
          <w:spacing w:val="-11"/>
        </w:rPr>
        <w:t xml:space="preserve"> </w:t>
      </w:r>
      <w:r>
        <w:t>arm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placebo</w:t>
      </w:r>
      <w:r>
        <w:rPr>
          <w:spacing w:val="-11"/>
        </w:rPr>
        <w:t xml:space="preserve"> </w:t>
      </w:r>
      <w:r>
        <w:t>arm.</w:t>
      </w:r>
      <w:r>
        <w:rPr>
          <w:spacing w:val="-58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median</w:t>
      </w:r>
      <w:r>
        <w:rPr>
          <w:spacing w:val="-15"/>
        </w:rPr>
        <w:t xml:space="preserve"> </w:t>
      </w:r>
      <w:r>
        <w:rPr>
          <w:spacing w:val="-1"/>
        </w:rPr>
        <w:t>clinical</w:t>
      </w:r>
      <w:r>
        <w:rPr>
          <w:spacing w:val="-14"/>
        </w:rPr>
        <w:t xml:space="preserve"> </w:t>
      </w:r>
      <w:r>
        <w:t>status</w:t>
      </w:r>
      <w:r>
        <w:rPr>
          <w:spacing w:val="-14"/>
        </w:rPr>
        <w:t xml:space="preserve"> </w:t>
      </w:r>
      <w:r>
        <w:t>category</w:t>
      </w:r>
      <w:r>
        <w:rPr>
          <w:spacing w:val="-15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Day</w:t>
      </w:r>
      <w:r>
        <w:rPr>
          <w:spacing w:val="-15"/>
        </w:rPr>
        <w:t xml:space="preserve"> </w:t>
      </w:r>
      <w:r>
        <w:t>28</w:t>
      </w:r>
      <w:r>
        <w:rPr>
          <w:spacing w:val="-13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1.0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Actemra</w:t>
      </w:r>
      <w:r>
        <w:rPr>
          <w:spacing w:val="-14"/>
        </w:rPr>
        <w:t xml:space="preserve"> </w:t>
      </w:r>
      <w:r>
        <w:t>arm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2.0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placebo</w:t>
      </w:r>
      <w:r>
        <w:rPr>
          <w:spacing w:val="-58"/>
        </w:rPr>
        <w:t xml:space="preserve"> </w:t>
      </w:r>
      <w:r>
        <w:t>arm</w:t>
      </w:r>
      <w:r>
        <w:rPr>
          <w:spacing w:val="-3"/>
        </w:rPr>
        <w:t xml:space="preserve"> </w:t>
      </w:r>
      <w:r>
        <w:t>(odds ratio (OR) 1.19 [95% CI: 0.81, 1.76]).</w:t>
      </w:r>
    </w:p>
    <w:p w14:paraId="0453BF20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1BD7E9E5" w14:textId="77777777" w:rsidR="006C34D9" w:rsidRDefault="00CB5041">
      <w:pPr>
        <w:pStyle w:val="BodyText"/>
        <w:spacing w:before="1"/>
        <w:ind w:right="660"/>
        <w:jc w:val="both"/>
      </w:pPr>
      <w:r>
        <w:t>The median time to hospital discharge or “ready for discharge” to Day 28 was 20 days in the</w:t>
      </w:r>
      <w:r>
        <w:rPr>
          <w:spacing w:val="1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arm</w:t>
      </w:r>
      <w:r>
        <w:rPr>
          <w:spacing w:val="-1"/>
        </w:rPr>
        <w:t xml:space="preserve"> </w:t>
      </w:r>
      <w:r>
        <w:t>and 28</w:t>
      </w:r>
      <w:r>
        <w:rPr>
          <w:spacing w:val="-1"/>
        </w:rPr>
        <w:t xml:space="preserve"> </w:t>
      </w:r>
      <w:r>
        <w:t>days in the</w:t>
      </w:r>
      <w:r>
        <w:rPr>
          <w:spacing w:val="-1"/>
        </w:rPr>
        <w:t xml:space="preserve"> </w:t>
      </w:r>
      <w:r>
        <w:t>placebo arm</w:t>
      </w:r>
      <w:r>
        <w:rPr>
          <w:spacing w:val="-2"/>
        </w:rPr>
        <w:t xml:space="preserve"> </w:t>
      </w:r>
      <w:r>
        <w:t>(HR=1.35</w:t>
      </w:r>
      <w:r>
        <w:rPr>
          <w:spacing w:val="-1"/>
        </w:rPr>
        <w:t xml:space="preserve"> </w:t>
      </w:r>
      <w:r>
        <w:t>[95% CI, 1.02 to</w:t>
      </w:r>
      <w:r>
        <w:rPr>
          <w:spacing w:val="-1"/>
        </w:rPr>
        <w:t xml:space="preserve"> </w:t>
      </w:r>
      <w:r>
        <w:t>1.79]).</w:t>
      </w:r>
    </w:p>
    <w:p w14:paraId="4534C3AB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44349EB" w14:textId="77777777" w:rsidR="006C34D9" w:rsidRDefault="00CB5041">
      <w:pPr>
        <w:pStyle w:val="BodyText"/>
        <w:ind w:left="659" w:right="656"/>
        <w:jc w:val="both"/>
      </w:pPr>
      <w:r>
        <w:t>Mortality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19.7%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Actemra</w:t>
      </w:r>
      <w:r>
        <w:rPr>
          <w:spacing w:val="-8"/>
        </w:rPr>
        <w:t xml:space="preserve"> </w:t>
      </w:r>
      <w:r>
        <w:t>arm</w:t>
      </w:r>
      <w:r>
        <w:rPr>
          <w:spacing w:val="-10"/>
        </w:rPr>
        <w:t xml:space="preserve"> </w:t>
      </w:r>
      <w:r>
        <w:t>versus</w:t>
      </w:r>
      <w:r>
        <w:rPr>
          <w:spacing w:val="-8"/>
        </w:rPr>
        <w:t xml:space="preserve"> </w:t>
      </w:r>
      <w:r>
        <w:t>19.4%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placebo</w:t>
      </w:r>
      <w:r>
        <w:rPr>
          <w:spacing w:val="-9"/>
        </w:rPr>
        <w:t xml:space="preserve"> </w:t>
      </w:r>
      <w:r>
        <w:t>arm</w:t>
      </w:r>
      <w:r>
        <w:rPr>
          <w:spacing w:val="-10"/>
        </w:rPr>
        <w:t xml:space="preserve"> </w:t>
      </w:r>
      <w:r>
        <w:t>(weighted</w:t>
      </w:r>
      <w:r>
        <w:rPr>
          <w:spacing w:val="-58"/>
        </w:rPr>
        <w:t xml:space="preserve"> </w:t>
      </w:r>
      <w:r>
        <w:t>difference (Actemra arm - placebo arm) Day 28: 0.3% [95% CI, -7.6 to 8.2]. Mortality at Day</w:t>
      </w:r>
      <w:r>
        <w:rPr>
          <w:spacing w:val="-57"/>
        </w:rPr>
        <w:t xml:space="preserve"> </w:t>
      </w:r>
      <w:r>
        <w:t>60 was 24.5% in the Actemra arm versus 25.0% in the placebo arm (weighted difference</w:t>
      </w:r>
      <w:r>
        <w:rPr>
          <w:spacing w:val="1"/>
        </w:rPr>
        <w:t xml:space="preserve"> </w:t>
      </w:r>
      <w:r>
        <w:t>(Actemra</w:t>
      </w:r>
      <w:r>
        <w:rPr>
          <w:spacing w:val="-1"/>
        </w:rPr>
        <w:t xml:space="preserve"> </w:t>
      </w:r>
      <w:r>
        <w:t>arm</w:t>
      </w:r>
      <w:r>
        <w:rPr>
          <w:spacing w:val="-1"/>
        </w:rPr>
        <w:t xml:space="preserve"> </w:t>
      </w:r>
      <w:r>
        <w:t>- placebo</w:t>
      </w:r>
      <w:r>
        <w:rPr>
          <w:spacing w:val="-2"/>
        </w:rPr>
        <w:t xml:space="preserve"> </w:t>
      </w:r>
      <w:r>
        <w:t>arm): -0.5%</w:t>
      </w:r>
      <w:r>
        <w:rPr>
          <w:spacing w:val="-1"/>
        </w:rPr>
        <w:t xml:space="preserve"> </w:t>
      </w:r>
      <w:r>
        <w:t>[95% CI,</w:t>
      </w:r>
      <w:r>
        <w:rPr>
          <w:spacing w:val="-1"/>
        </w:rPr>
        <w:t xml:space="preserve"> </w:t>
      </w:r>
      <w:r>
        <w:t>-9.1 to 8.0]).</w:t>
      </w:r>
    </w:p>
    <w:p w14:paraId="74778B31" w14:textId="77777777" w:rsidR="006C34D9" w:rsidRDefault="006C34D9">
      <w:pPr>
        <w:pStyle w:val="BodyText"/>
        <w:spacing w:before="11"/>
        <w:ind w:left="0"/>
        <w:rPr>
          <w:sz w:val="20"/>
        </w:rPr>
      </w:pPr>
    </w:p>
    <w:p w14:paraId="2923DA4D" w14:textId="77777777" w:rsidR="006C34D9" w:rsidRDefault="00CB5041">
      <w:pPr>
        <w:spacing w:line="275" w:lineRule="exact"/>
        <w:ind w:left="660"/>
        <w:jc w:val="both"/>
        <w:rPr>
          <w:i/>
          <w:sz w:val="24"/>
        </w:rPr>
      </w:pPr>
      <w:bookmarkStart w:id="109" w:name="Study_WA42511_(REMDACTA)"/>
      <w:bookmarkEnd w:id="109"/>
      <w:r>
        <w:rPr>
          <w:i/>
          <w:sz w:val="24"/>
        </w:rPr>
        <w:t>Study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WA42511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(REMDACTA)</w:t>
      </w:r>
    </w:p>
    <w:p w14:paraId="5F7A8D6B" w14:textId="77777777" w:rsidR="006C34D9" w:rsidRDefault="00CB5041">
      <w:pPr>
        <w:pStyle w:val="BodyText"/>
        <w:ind w:left="659" w:right="657"/>
        <w:jc w:val="both"/>
      </w:pPr>
      <w:r>
        <w:t>Study</w:t>
      </w:r>
      <w:r>
        <w:rPr>
          <w:spacing w:val="-6"/>
        </w:rPr>
        <w:t xml:space="preserve"> </w:t>
      </w:r>
      <w:r>
        <w:t>WA42511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global,</w:t>
      </w:r>
      <w:r>
        <w:rPr>
          <w:spacing w:val="-7"/>
        </w:rPr>
        <w:t xml:space="preserve"> </w:t>
      </w:r>
      <w:r>
        <w:t>Phase</w:t>
      </w:r>
      <w:r>
        <w:rPr>
          <w:spacing w:val="-6"/>
        </w:rPr>
        <w:t xml:space="preserve"> </w:t>
      </w:r>
      <w:r>
        <w:t>III,</w:t>
      </w:r>
      <w:r>
        <w:rPr>
          <w:spacing w:val="-7"/>
        </w:rPr>
        <w:t xml:space="preserve"> </w:t>
      </w:r>
      <w:proofErr w:type="spellStart"/>
      <w:r>
        <w:t>randomised</w:t>
      </w:r>
      <w:proofErr w:type="spellEnd"/>
      <w:r>
        <w:t>,</w:t>
      </w:r>
      <w:r>
        <w:rPr>
          <w:spacing w:val="-7"/>
        </w:rPr>
        <w:t xml:space="preserve"> </w:t>
      </w:r>
      <w:r>
        <w:t>double-blind,</w:t>
      </w:r>
      <w:r>
        <w:rPr>
          <w:spacing w:val="-7"/>
        </w:rPr>
        <w:t xml:space="preserve"> </w:t>
      </w:r>
      <w:r>
        <w:t>placebo-controlled,</w:t>
      </w:r>
      <w:r>
        <w:rPr>
          <w:spacing w:val="-7"/>
        </w:rPr>
        <w:t xml:space="preserve"> </w:t>
      </w:r>
      <w:r>
        <w:t>multi-</w:t>
      </w:r>
      <w:r>
        <w:rPr>
          <w:spacing w:val="-57"/>
        </w:rPr>
        <w:t xml:space="preserve"> </w:t>
      </w:r>
      <w:proofErr w:type="spellStart"/>
      <w:r>
        <w:t>centre</w:t>
      </w:r>
      <w:proofErr w:type="spellEnd"/>
      <w:r>
        <w:rPr>
          <w:spacing w:val="-12"/>
        </w:rPr>
        <w:t xml:space="preserve"> </w:t>
      </w:r>
      <w:r>
        <w:t>study</w:t>
      </w:r>
      <w:r>
        <w:rPr>
          <w:spacing w:val="-13"/>
        </w:rPr>
        <w:t xml:space="preserve"> </w:t>
      </w:r>
      <w:r>
        <w:t>conducted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assess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efficacy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intravenous</w:t>
      </w:r>
      <w:r>
        <w:rPr>
          <w:spacing w:val="-12"/>
        </w:rPr>
        <w:t xml:space="preserve"> </w:t>
      </w:r>
      <w:r>
        <w:t>Actemra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combination</w:t>
      </w:r>
      <w:r>
        <w:rPr>
          <w:spacing w:val="-58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remdesivir</w:t>
      </w:r>
      <w:proofErr w:type="spellEnd"/>
      <w:r>
        <w:rPr>
          <w:spacing w:val="1"/>
        </w:rPr>
        <w:t xml:space="preserve"> </w:t>
      </w:r>
      <w:r>
        <w:t>(RDV)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matching</w:t>
      </w:r>
      <w:r>
        <w:rPr>
          <w:spacing w:val="1"/>
        </w:rPr>
        <w:t xml:space="preserve"> </w:t>
      </w:r>
      <w:r>
        <w:t>placebo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RDV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hospitalised</w:t>
      </w:r>
      <w:proofErr w:type="spellEnd"/>
      <w:r>
        <w:t xml:space="preserve"> adult patients with severe COVID-19 pneumonia. Eligible patients were at least</w:t>
      </w:r>
      <w:r>
        <w:rPr>
          <w:spacing w:val="1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confirmed</w:t>
      </w:r>
      <w:r>
        <w:rPr>
          <w:spacing w:val="-5"/>
        </w:rPr>
        <w:t xml:space="preserve"> </w:t>
      </w:r>
      <w:r>
        <w:t>SARS-CoV-2</w:t>
      </w:r>
      <w:r>
        <w:rPr>
          <w:spacing w:val="-4"/>
        </w:rPr>
        <w:t xml:space="preserve"> </w:t>
      </w:r>
      <w:r>
        <w:t>infection,</w:t>
      </w:r>
      <w:r>
        <w:rPr>
          <w:spacing w:val="-6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polymerase</w:t>
      </w:r>
      <w:r>
        <w:rPr>
          <w:spacing w:val="-5"/>
        </w:rPr>
        <w:t xml:space="preserve"> </w:t>
      </w:r>
      <w:r>
        <w:t>chain</w:t>
      </w:r>
      <w:r>
        <w:rPr>
          <w:spacing w:val="-58"/>
        </w:rPr>
        <w:t xml:space="preserve"> </w:t>
      </w:r>
      <w:r>
        <w:t>reaction</w:t>
      </w:r>
      <w:r>
        <w:rPr>
          <w:spacing w:val="2"/>
        </w:rPr>
        <w:t xml:space="preserve"> </w:t>
      </w:r>
      <w:r>
        <w:t>(PCR)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pneumonia</w:t>
      </w:r>
      <w:r>
        <w:rPr>
          <w:spacing w:val="4"/>
        </w:rPr>
        <w:t xml:space="preserve"> </w:t>
      </w:r>
      <w:r>
        <w:t>confirmed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radiography,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required</w:t>
      </w:r>
      <w:r>
        <w:rPr>
          <w:spacing w:val="3"/>
        </w:rPr>
        <w:t xml:space="preserve"> </w:t>
      </w:r>
      <w:r>
        <w:t>supplemental</w:t>
      </w:r>
      <w:r>
        <w:rPr>
          <w:spacing w:val="3"/>
        </w:rPr>
        <w:t xml:space="preserve"> </w:t>
      </w:r>
      <w:r>
        <w:t>oxygen</w:t>
      </w:r>
    </w:p>
    <w:p w14:paraId="7B902CB7" w14:textId="77777777" w:rsidR="006C34D9" w:rsidRDefault="00CB5041">
      <w:pPr>
        <w:pStyle w:val="BodyText"/>
        <w:ind w:left="659" w:right="658"/>
        <w:jc w:val="both"/>
      </w:pPr>
      <w:r>
        <w:t xml:space="preserve">&gt; 6 L/min to maintain SpO2 &gt;93%. Patients were </w:t>
      </w:r>
      <w:proofErr w:type="spellStart"/>
      <w:r>
        <w:t>randomised</w:t>
      </w:r>
      <w:proofErr w:type="spellEnd"/>
      <w:r>
        <w:t xml:space="preserve"> at a 2:1 ratio to receive blinded</w:t>
      </w:r>
      <w:r>
        <w:rPr>
          <w:spacing w:val="-57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Actemra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RDV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matching</w:t>
      </w:r>
      <w:r>
        <w:rPr>
          <w:spacing w:val="-3"/>
        </w:rPr>
        <w:t xml:space="preserve"> </w:t>
      </w:r>
      <w:r>
        <w:t>placebo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RDV.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given</w:t>
      </w:r>
      <w:r>
        <w:rPr>
          <w:spacing w:val="-58"/>
        </w:rPr>
        <w:t xml:space="preserve"> </w:t>
      </w:r>
      <w:r>
        <w:t>in combination with standard of care per local guidance (</w:t>
      </w:r>
      <w:proofErr w:type="spellStart"/>
      <w:r>
        <w:t>e.g</w:t>
      </w:r>
      <w:proofErr w:type="spellEnd"/>
      <w:r>
        <w:t xml:space="preserve"> corticosteroids, supportive care).</w:t>
      </w:r>
      <w:r>
        <w:rPr>
          <w:spacing w:val="-57"/>
        </w:rPr>
        <w:t xml:space="preserve"> </w:t>
      </w:r>
      <w:r>
        <w:t>Patients assigned to the Actemra + RDV arm received one infusion of Actemra 8 mg/kg, with</w:t>
      </w:r>
      <w:r>
        <w:rPr>
          <w:spacing w:val="-57"/>
        </w:rPr>
        <w:t xml:space="preserve"> </w:t>
      </w:r>
      <w:r>
        <w:t>a maximum dose of 800 mg, and patients assigned to the placebo + RDV arm received one</w:t>
      </w:r>
      <w:r>
        <w:rPr>
          <w:spacing w:val="1"/>
        </w:rPr>
        <w:t xml:space="preserve"> </w:t>
      </w:r>
      <w:r>
        <w:t>infusion of placebo. For both arms, if the clinical signs or symptoms worsened or did not</w:t>
      </w:r>
      <w:r>
        <w:rPr>
          <w:spacing w:val="1"/>
        </w:rPr>
        <w:t xml:space="preserve"> </w:t>
      </w:r>
      <w:r>
        <w:t>improve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infusion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blinded</w:t>
      </w:r>
      <w:r>
        <w:rPr>
          <w:spacing w:val="-8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Actemra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placebo</w:t>
      </w:r>
      <w:r>
        <w:rPr>
          <w:spacing w:val="-9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given,</w:t>
      </w:r>
      <w:r>
        <w:rPr>
          <w:spacing w:val="-9"/>
        </w:rPr>
        <w:t xml:space="preserve"> </w:t>
      </w:r>
      <w:r>
        <w:t>8–</w:t>
      </w:r>
      <w:r>
        <w:rPr>
          <w:spacing w:val="-58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hours after the</w:t>
      </w:r>
      <w:r>
        <w:rPr>
          <w:spacing w:val="-1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infusion.</w:t>
      </w:r>
    </w:p>
    <w:p w14:paraId="6510696E" w14:textId="77777777" w:rsidR="006C34D9" w:rsidRDefault="006C34D9">
      <w:pPr>
        <w:pStyle w:val="BodyText"/>
        <w:spacing w:before="8"/>
        <w:ind w:left="0"/>
        <w:rPr>
          <w:sz w:val="20"/>
        </w:rPr>
      </w:pPr>
    </w:p>
    <w:p w14:paraId="41A99207" w14:textId="77777777" w:rsidR="006C34D9" w:rsidRDefault="00CB5041">
      <w:pPr>
        <w:pStyle w:val="BodyText"/>
        <w:spacing w:before="1"/>
        <w:ind w:left="659" w:right="657"/>
        <w:jc w:val="both"/>
      </w:pPr>
      <w:r>
        <w:t xml:space="preserve">Of the 649 patients who were </w:t>
      </w:r>
      <w:proofErr w:type="spellStart"/>
      <w:r>
        <w:t>randomised</w:t>
      </w:r>
      <w:proofErr w:type="spellEnd"/>
      <w:r>
        <w:t>, efficacy analyses were performed in the modified</w:t>
      </w:r>
      <w:r>
        <w:rPr>
          <w:spacing w:val="1"/>
        </w:rPr>
        <w:t xml:space="preserve"> </w:t>
      </w:r>
      <w:r>
        <w:t>intent-to-treat (</w:t>
      </w:r>
      <w:proofErr w:type="spellStart"/>
      <w:r>
        <w:t>mITT</w:t>
      </w:r>
      <w:proofErr w:type="spellEnd"/>
      <w:r>
        <w:t>) population comprised of all patients who received any amount of</w:t>
      </w:r>
      <w:r>
        <w:rPr>
          <w:spacing w:val="1"/>
        </w:rPr>
        <w:t xml:space="preserve"> </w:t>
      </w:r>
      <w:r>
        <w:t>Actemra / placebo (430 in the Actemra + RDV arm; 210 in the placebo + RDV arm). The</w:t>
      </w:r>
      <w:r>
        <w:rPr>
          <w:spacing w:val="1"/>
        </w:rPr>
        <w:t xml:space="preserve"> </w:t>
      </w:r>
      <w:r>
        <w:t>baseline</w:t>
      </w:r>
      <w:r>
        <w:rPr>
          <w:spacing w:val="-7"/>
        </w:rPr>
        <w:t xml:space="preserve"> </w:t>
      </w:r>
      <w:r>
        <w:t>demographic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disease</w:t>
      </w:r>
      <w:r>
        <w:rPr>
          <w:spacing w:val="-7"/>
        </w:rPr>
        <w:t xml:space="preserve"> </w:t>
      </w:r>
      <w:r>
        <w:t>characteristics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balanced</w:t>
      </w:r>
      <w:r>
        <w:rPr>
          <w:spacing w:val="-7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arms.</w:t>
      </w:r>
      <w:r>
        <w:rPr>
          <w:spacing w:val="-57"/>
        </w:rPr>
        <w:t xml:space="preserve"> </w:t>
      </w:r>
      <w:r>
        <w:t xml:space="preserve">For the overall </w:t>
      </w:r>
      <w:proofErr w:type="spellStart"/>
      <w:r>
        <w:t>mITT</w:t>
      </w:r>
      <w:proofErr w:type="spellEnd"/>
      <w:r>
        <w:t xml:space="preserve"> population (n=640) at </w:t>
      </w:r>
      <w:proofErr w:type="spellStart"/>
      <w:r>
        <w:t>randomisation</w:t>
      </w:r>
      <w:proofErr w:type="spellEnd"/>
      <w:r>
        <w:t>, median age was 60 years (range</w:t>
      </w:r>
      <w:r>
        <w:rPr>
          <w:spacing w:val="1"/>
        </w:rPr>
        <w:t xml:space="preserve"> </w:t>
      </w:r>
      <w:r>
        <w:t>20-93</w:t>
      </w:r>
      <w:r>
        <w:rPr>
          <w:spacing w:val="-12"/>
        </w:rPr>
        <w:t xml:space="preserve"> </w:t>
      </w:r>
      <w:r>
        <w:t>years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38.3%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aged</w:t>
      </w:r>
      <w:r>
        <w:rPr>
          <w:spacing w:val="-12"/>
        </w:rPr>
        <w:t xml:space="preserve"> </w:t>
      </w:r>
      <w:r>
        <w:t>65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older);</w:t>
      </w:r>
      <w:r>
        <w:rPr>
          <w:spacing w:val="-12"/>
        </w:rPr>
        <w:t xml:space="preserve"> </w:t>
      </w:r>
      <w:r>
        <w:t>63.3%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male,</w:t>
      </w:r>
      <w:r>
        <w:rPr>
          <w:spacing w:val="-12"/>
        </w:rPr>
        <w:t xml:space="preserve"> </w:t>
      </w:r>
      <w:r>
        <w:t>51.6%</w:t>
      </w:r>
      <w:r>
        <w:rPr>
          <w:spacing w:val="-11"/>
        </w:rPr>
        <w:t xml:space="preserve"> </w:t>
      </w:r>
      <w:r>
        <w:t>were</w:t>
      </w:r>
      <w:r>
        <w:rPr>
          <w:spacing w:val="-58"/>
        </w:rPr>
        <w:t xml:space="preserve"> </w:t>
      </w:r>
      <w:r>
        <w:t>Hispanic or Latino, 67% were White, 10.9% were Black/African American and 3.4% were</w:t>
      </w:r>
      <w:r>
        <w:rPr>
          <w:spacing w:val="1"/>
        </w:rPr>
        <w:t xml:space="preserve"> </w:t>
      </w:r>
      <w:r>
        <w:t>Asian.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baseline,</w:t>
      </w:r>
      <w:r>
        <w:rPr>
          <w:spacing w:val="-7"/>
        </w:rPr>
        <w:t xml:space="preserve"> </w:t>
      </w:r>
      <w:r>
        <w:t>6.6%</w:t>
      </w:r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low</w:t>
      </w:r>
      <w:r>
        <w:rPr>
          <w:spacing w:val="-9"/>
        </w:rPr>
        <w:t xml:space="preserve"> </w:t>
      </w:r>
      <w:r>
        <w:t>flow</w:t>
      </w:r>
      <w:r>
        <w:rPr>
          <w:spacing w:val="-8"/>
        </w:rPr>
        <w:t xml:space="preserve"> </w:t>
      </w:r>
      <w:r>
        <w:t>oxygen,</w:t>
      </w:r>
      <w:r>
        <w:rPr>
          <w:spacing w:val="-7"/>
        </w:rPr>
        <w:t xml:space="preserve"> </w:t>
      </w:r>
      <w:r>
        <w:t>79.8%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non-invasive</w:t>
      </w:r>
      <w:r>
        <w:rPr>
          <w:spacing w:val="-7"/>
        </w:rPr>
        <w:t xml:space="preserve"> </w:t>
      </w:r>
      <w:r>
        <w:t>ventilation</w:t>
      </w:r>
      <w:r>
        <w:rPr>
          <w:spacing w:val="-7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high</w:t>
      </w:r>
      <w:r>
        <w:rPr>
          <w:spacing w:val="2"/>
        </w:rPr>
        <w:t xml:space="preserve"> </w:t>
      </w:r>
      <w:r>
        <w:t>flow</w:t>
      </w:r>
      <w:r>
        <w:rPr>
          <w:spacing w:val="2"/>
        </w:rPr>
        <w:t xml:space="preserve"> </w:t>
      </w:r>
      <w:r>
        <w:t>oxygen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13.6%</w:t>
      </w:r>
      <w:r>
        <w:rPr>
          <w:spacing w:val="3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invasive</w:t>
      </w:r>
      <w:r>
        <w:rPr>
          <w:spacing w:val="1"/>
        </w:rPr>
        <w:t xml:space="preserve"> </w:t>
      </w:r>
      <w:r>
        <w:t>mechanical</w:t>
      </w:r>
      <w:r>
        <w:rPr>
          <w:spacing w:val="3"/>
        </w:rPr>
        <w:t xml:space="preserve"> </w:t>
      </w:r>
      <w:r>
        <w:t>ventilation.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median</w:t>
      </w:r>
      <w:r>
        <w:rPr>
          <w:spacing w:val="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from</w:t>
      </w:r>
    </w:p>
    <w:p w14:paraId="2153F40E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2CC68AF0" w14:textId="77777777" w:rsidR="006C34D9" w:rsidRDefault="00CB5041">
      <w:pPr>
        <w:pStyle w:val="BodyText"/>
        <w:spacing w:before="79"/>
        <w:ind w:right="659"/>
        <w:jc w:val="both"/>
      </w:pPr>
      <w:r>
        <w:lastRenderedPageBreak/>
        <w:t xml:space="preserve">symptom onset was 8 days. At baseline, </w:t>
      </w:r>
      <w:proofErr w:type="gramStart"/>
      <w:r>
        <w:t>the majority of</w:t>
      </w:r>
      <w:proofErr w:type="gramEnd"/>
      <w:r>
        <w:t xml:space="preserve"> patients received corticosteroids</w:t>
      </w:r>
      <w:r>
        <w:rPr>
          <w:spacing w:val="1"/>
        </w:rPr>
        <w:t xml:space="preserve"> </w:t>
      </w:r>
      <w:r>
        <w:t>(84.2%</w:t>
      </w:r>
      <w:r>
        <w:rPr>
          <w:spacing w:val="-13"/>
        </w:rPr>
        <w:t xml:space="preserve"> </w:t>
      </w:r>
      <w:r>
        <w:t>across</w:t>
      </w:r>
      <w:r>
        <w:rPr>
          <w:spacing w:val="-12"/>
        </w:rPr>
        <w:t xml:space="preserve"> </w:t>
      </w:r>
      <w:r>
        <w:t>treatment</w:t>
      </w:r>
      <w:r>
        <w:rPr>
          <w:spacing w:val="-13"/>
        </w:rPr>
        <w:t xml:space="preserve"> </w:t>
      </w:r>
      <w:r>
        <w:t>arms).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median</w:t>
      </w:r>
      <w:r>
        <w:rPr>
          <w:spacing w:val="-12"/>
        </w:rPr>
        <w:t xml:space="preserve"> </w:t>
      </w:r>
      <w:r>
        <w:t>(range)</w:t>
      </w:r>
      <w:r>
        <w:rPr>
          <w:spacing w:val="-13"/>
        </w:rPr>
        <w:t xml:space="preserve"> </w:t>
      </w:r>
      <w:r>
        <w:t>levels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CRP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ferritin</w:t>
      </w:r>
      <w:r>
        <w:rPr>
          <w:spacing w:val="-13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98.20</w:t>
      </w:r>
      <w:r>
        <w:rPr>
          <w:spacing w:val="-12"/>
        </w:rPr>
        <w:t xml:space="preserve"> </w:t>
      </w:r>
      <w:r>
        <w:t>mg/L</w:t>
      </w:r>
      <w:r>
        <w:rPr>
          <w:spacing w:val="-57"/>
        </w:rPr>
        <w:t xml:space="preserve"> </w:t>
      </w:r>
      <w:r>
        <w:t>(1.3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418.3)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2.13</w:t>
      </w:r>
      <w:r>
        <w:rPr>
          <w:spacing w:val="-13"/>
        </w:rPr>
        <w:t xml:space="preserve"> </w:t>
      </w:r>
      <w:proofErr w:type="spellStart"/>
      <w:r>
        <w:t>pmol</w:t>
      </w:r>
      <w:proofErr w:type="spellEnd"/>
      <w:r>
        <w:t>/mL</w:t>
      </w:r>
      <w:r>
        <w:rPr>
          <w:spacing w:val="-14"/>
        </w:rPr>
        <w:t xml:space="preserve"> </w:t>
      </w:r>
      <w:r>
        <w:t>(0.1-30.8),</w:t>
      </w:r>
      <w:r>
        <w:rPr>
          <w:spacing w:val="-13"/>
        </w:rPr>
        <w:t xml:space="preserve"> </w:t>
      </w:r>
      <w:r>
        <w:t>respectively.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most</w:t>
      </w:r>
      <w:r>
        <w:rPr>
          <w:spacing w:val="-13"/>
        </w:rPr>
        <w:t xml:space="preserve"> </w:t>
      </w:r>
      <w:r>
        <w:t>common</w:t>
      </w:r>
      <w:r>
        <w:rPr>
          <w:spacing w:val="-12"/>
        </w:rPr>
        <w:t xml:space="preserve"> </w:t>
      </w:r>
      <w:r>
        <w:t>comorbidities</w:t>
      </w:r>
      <w:r>
        <w:rPr>
          <w:spacing w:val="-13"/>
        </w:rPr>
        <w:t xml:space="preserve"> </w:t>
      </w:r>
      <w:r>
        <w:t>were</w:t>
      </w:r>
    </w:p>
    <w:p w14:paraId="57CCE876" w14:textId="77777777" w:rsidR="006C34D9" w:rsidRDefault="00CB5041">
      <w:pPr>
        <w:pStyle w:val="BodyText"/>
        <w:jc w:val="both"/>
      </w:pPr>
      <w:r>
        <w:t>hypertension</w:t>
      </w:r>
      <w:r>
        <w:rPr>
          <w:spacing w:val="-2"/>
        </w:rPr>
        <w:t xml:space="preserve"> </w:t>
      </w:r>
      <w:r>
        <w:t>(61.7%),</w:t>
      </w:r>
      <w:r>
        <w:rPr>
          <w:spacing w:val="-2"/>
        </w:rPr>
        <w:t xml:space="preserve"> </w:t>
      </w:r>
      <w:r>
        <w:t>diabetes</w:t>
      </w:r>
      <w:r>
        <w:rPr>
          <w:spacing w:val="-1"/>
        </w:rPr>
        <w:t xml:space="preserve"> </w:t>
      </w:r>
      <w:r>
        <w:t>(39.5%)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obesity</w:t>
      </w:r>
      <w:r>
        <w:rPr>
          <w:spacing w:val="-2"/>
        </w:rPr>
        <w:t xml:space="preserve"> </w:t>
      </w:r>
      <w:r>
        <w:t>(27%).</w:t>
      </w:r>
    </w:p>
    <w:p w14:paraId="6AFED773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4D9C35C9" w14:textId="77777777" w:rsidR="006C34D9" w:rsidRDefault="00CB5041">
      <w:pPr>
        <w:pStyle w:val="BodyText"/>
        <w:ind w:right="657"/>
        <w:jc w:val="both"/>
      </w:pPr>
      <w:r>
        <w:t xml:space="preserve">The primary efficacy endpoint was time from </w:t>
      </w:r>
      <w:proofErr w:type="spellStart"/>
      <w:r>
        <w:t>randomisation</w:t>
      </w:r>
      <w:proofErr w:type="spellEnd"/>
      <w:r>
        <w:t xml:space="preserve"> to hospital discharge or “ready</w:t>
      </w:r>
      <w:r>
        <w:rPr>
          <w:spacing w:val="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discharge”</w:t>
      </w:r>
      <w:r>
        <w:rPr>
          <w:spacing w:val="-10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28.</w:t>
      </w:r>
      <w:r>
        <w:rPr>
          <w:spacing w:val="-11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statistically</w:t>
      </w:r>
      <w:r>
        <w:rPr>
          <w:spacing w:val="-10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t>difference</w:t>
      </w:r>
      <w:r>
        <w:rPr>
          <w:spacing w:val="-10"/>
        </w:rPr>
        <w:t xml:space="preserve"> </w:t>
      </w:r>
      <w:r>
        <w:t>observed</w:t>
      </w:r>
      <w:r>
        <w:rPr>
          <w:spacing w:val="-11"/>
        </w:rPr>
        <w:t xml:space="preserve"> </w:t>
      </w:r>
      <w:r>
        <w:t>between</w:t>
      </w:r>
      <w:r>
        <w:rPr>
          <w:spacing w:val="-58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arms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discharge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“ready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discharge”</w:t>
      </w:r>
      <w:r>
        <w:rPr>
          <w:spacing w:val="-8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Day</w:t>
      </w:r>
      <w:r>
        <w:rPr>
          <w:spacing w:val="-58"/>
        </w:rPr>
        <w:t xml:space="preserve"> </w:t>
      </w:r>
      <w:r>
        <w:t>28 (HR 0.965 [95% CI: 0.78 to 1.19]) or time to mechanical ventilation or death through Day</w:t>
      </w:r>
      <w:r>
        <w:rPr>
          <w:spacing w:val="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(HR</w:t>
      </w:r>
      <w:r>
        <w:rPr>
          <w:spacing w:val="-1"/>
        </w:rPr>
        <w:t xml:space="preserve"> </w:t>
      </w:r>
      <w:r>
        <w:t>0.980 [95% CI: 0.72 to 1.34]).</w:t>
      </w:r>
    </w:p>
    <w:p w14:paraId="7CC84625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2A37E963" w14:textId="77777777" w:rsidR="006C34D9" w:rsidRDefault="00CB5041">
      <w:pPr>
        <w:pStyle w:val="BodyText"/>
        <w:ind w:right="656"/>
        <w:jc w:val="both"/>
      </w:pPr>
      <w:r>
        <w:t>Mortality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18.1%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Actemra</w:t>
      </w:r>
      <w:r>
        <w:rPr>
          <w:spacing w:val="-8"/>
        </w:rPr>
        <w:t xml:space="preserve"> </w:t>
      </w:r>
      <w:r>
        <w:t>arm</w:t>
      </w:r>
      <w:r>
        <w:rPr>
          <w:spacing w:val="-10"/>
        </w:rPr>
        <w:t xml:space="preserve"> </w:t>
      </w:r>
      <w:r>
        <w:t>versus</w:t>
      </w:r>
      <w:r>
        <w:rPr>
          <w:spacing w:val="-8"/>
        </w:rPr>
        <w:t xml:space="preserve"> </w:t>
      </w:r>
      <w:r>
        <w:t>19.5%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placebo</w:t>
      </w:r>
      <w:r>
        <w:rPr>
          <w:spacing w:val="-9"/>
        </w:rPr>
        <w:t xml:space="preserve"> </w:t>
      </w:r>
      <w:r>
        <w:t>arm</w:t>
      </w:r>
      <w:r>
        <w:rPr>
          <w:spacing w:val="-10"/>
        </w:rPr>
        <w:t xml:space="preserve"> </w:t>
      </w:r>
      <w:r>
        <w:t>(weighted</w:t>
      </w:r>
      <w:r>
        <w:rPr>
          <w:spacing w:val="-58"/>
        </w:rPr>
        <w:t xml:space="preserve"> </w:t>
      </w:r>
      <w:r>
        <w:t>difference</w:t>
      </w:r>
      <w:r>
        <w:rPr>
          <w:spacing w:val="-7"/>
        </w:rPr>
        <w:t xml:space="preserve"> </w:t>
      </w:r>
      <w:r>
        <w:t>(Actemra</w:t>
      </w:r>
      <w:r>
        <w:rPr>
          <w:spacing w:val="-6"/>
        </w:rPr>
        <w:t xml:space="preserve"> </w:t>
      </w:r>
      <w:r>
        <w:t>arm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placebo</w:t>
      </w:r>
      <w:r>
        <w:rPr>
          <w:spacing w:val="-7"/>
        </w:rPr>
        <w:t xml:space="preserve"> </w:t>
      </w:r>
      <w:r>
        <w:t>arm):</w:t>
      </w:r>
      <w:r>
        <w:rPr>
          <w:spacing w:val="-6"/>
        </w:rPr>
        <w:t xml:space="preserve"> </w:t>
      </w:r>
      <w:r>
        <w:t>-1.3%</w:t>
      </w:r>
      <w:r>
        <w:rPr>
          <w:spacing w:val="-8"/>
        </w:rPr>
        <w:t xml:space="preserve"> </w:t>
      </w:r>
      <w:r>
        <w:t>[95%</w:t>
      </w:r>
      <w:r>
        <w:rPr>
          <w:spacing w:val="-6"/>
        </w:rPr>
        <w:t xml:space="preserve"> </w:t>
      </w:r>
      <w:r>
        <w:t>CI,</w:t>
      </w:r>
      <w:r>
        <w:rPr>
          <w:spacing w:val="-6"/>
        </w:rPr>
        <w:t xml:space="preserve"> </w:t>
      </w:r>
      <w:r>
        <w:t>-7.8%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5.2%]).</w:t>
      </w:r>
      <w:r>
        <w:rPr>
          <w:spacing w:val="-6"/>
        </w:rPr>
        <w:t xml:space="preserve"> </w:t>
      </w:r>
      <w:r>
        <w:t>Mortality</w:t>
      </w:r>
      <w:r>
        <w:rPr>
          <w:spacing w:val="-10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60</w:t>
      </w:r>
      <w:r>
        <w:rPr>
          <w:spacing w:val="-58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22.6%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Actemra</w:t>
      </w:r>
      <w:r>
        <w:rPr>
          <w:spacing w:val="-12"/>
        </w:rPr>
        <w:t xml:space="preserve"> </w:t>
      </w:r>
      <w:r>
        <w:t>arm</w:t>
      </w:r>
      <w:r>
        <w:rPr>
          <w:spacing w:val="-14"/>
        </w:rPr>
        <w:t xml:space="preserve"> </w:t>
      </w:r>
      <w:r>
        <w:t>versus</w:t>
      </w:r>
      <w:r>
        <w:rPr>
          <w:spacing w:val="-12"/>
        </w:rPr>
        <w:t xml:space="preserve"> </w:t>
      </w:r>
      <w:r>
        <w:t>25.7%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placebo</w:t>
      </w:r>
      <w:r>
        <w:rPr>
          <w:spacing w:val="-12"/>
        </w:rPr>
        <w:t xml:space="preserve"> </w:t>
      </w:r>
      <w:r>
        <w:t>arm</w:t>
      </w:r>
      <w:r>
        <w:rPr>
          <w:spacing w:val="-14"/>
        </w:rPr>
        <w:t xml:space="preserve"> </w:t>
      </w:r>
      <w:r>
        <w:t>(weighted</w:t>
      </w:r>
      <w:r>
        <w:rPr>
          <w:spacing w:val="-12"/>
        </w:rPr>
        <w:t xml:space="preserve"> </w:t>
      </w:r>
      <w:r>
        <w:t>difference</w:t>
      </w:r>
      <w:r>
        <w:rPr>
          <w:spacing w:val="-13"/>
        </w:rPr>
        <w:t xml:space="preserve"> </w:t>
      </w:r>
      <w:r>
        <w:t>(Actemra</w:t>
      </w:r>
      <w:r>
        <w:rPr>
          <w:spacing w:val="-58"/>
        </w:rPr>
        <w:t xml:space="preserve"> </w:t>
      </w:r>
      <w:r>
        <w:t>arm</w:t>
      </w:r>
      <w:r>
        <w:rPr>
          <w:spacing w:val="-3"/>
        </w:rPr>
        <w:t xml:space="preserve"> </w:t>
      </w:r>
      <w:r>
        <w:t>- placebo</w:t>
      </w:r>
      <w:r>
        <w:rPr>
          <w:spacing w:val="-1"/>
        </w:rPr>
        <w:t xml:space="preserve"> </w:t>
      </w:r>
      <w:r>
        <w:t>arm): -3.0% [95% CI, -10.1% to</w:t>
      </w:r>
      <w:r>
        <w:rPr>
          <w:spacing w:val="-1"/>
        </w:rPr>
        <w:t xml:space="preserve"> </w:t>
      </w:r>
      <w:r>
        <w:t>4%]).</w:t>
      </w:r>
    </w:p>
    <w:p w14:paraId="3E013CD4" w14:textId="77777777" w:rsidR="006C34D9" w:rsidRDefault="006C34D9">
      <w:pPr>
        <w:pStyle w:val="BodyText"/>
        <w:ind w:left="0"/>
        <w:rPr>
          <w:sz w:val="21"/>
        </w:rPr>
      </w:pPr>
    </w:p>
    <w:p w14:paraId="50875DE4" w14:textId="77777777" w:rsidR="006C34D9" w:rsidRDefault="00CB5041">
      <w:pPr>
        <w:ind w:left="660" w:right="657"/>
        <w:jc w:val="both"/>
        <w:rPr>
          <w:i/>
          <w:sz w:val="24"/>
        </w:rPr>
      </w:pPr>
      <w:bookmarkStart w:id="110" w:name="Meta-analysis_of_RECOVERY,_EMPACTA_(Stud"/>
      <w:bookmarkEnd w:id="110"/>
      <w:r>
        <w:rPr>
          <w:i/>
          <w:sz w:val="24"/>
        </w:rPr>
        <w:t>Meta-analysis of RECOVERY, EMPACTA (Study ML42528), COVACTA (Study WA42380)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REMDACTA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(Study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WA42511)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Baseline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Systemic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Corticosteroid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Treatment.</w:t>
      </w:r>
    </w:p>
    <w:p w14:paraId="7429DB9A" w14:textId="77777777" w:rsidR="006C34D9" w:rsidRDefault="00CB5041">
      <w:pPr>
        <w:pStyle w:val="BodyText"/>
        <w:ind w:right="656"/>
        <w:jc w:val="both"/>
      </w:pPr>
      <w:r>
        <w:t>A study-level meta-analysis was conducted on the 3 Roche trials and the RECOVERY study.</w:t>
      </w:r>
      <w:r>
        <w:rPr>
          <w:spacing w:val="1"/>
        </w:rPr>
        <w:t xml:space="preserve"> </w:t>
      </w:r>
      <w:r>
        <w:t>For each study, the hazard ratio (HR) for time to death up to Day 28 was estimated in the</w:t>
      </w:r>
      <w:r>
        <w:rPr>
          <w:spacing w:val="1"/>
        </w:rPr>
        <w:t xml:space="preserve"> </w:t>
      </w:r>
      <w:r>
        <w:t>subgroup of patients receiving baseline systemic corticosteroids (Actemra: 597 and placebo:</w:t>
      </w:r>
      <w:r>
        <w:rPr>
          <w:spacing w:val="1"/>
        </w:rPr>
        <w:t xml:space="preserve"> </w:t>
      </w:r>
      <w:r>
        <w:t>313 from Roche trials, Actemra: 1664 and standard of care 1721 from RECOVERY). The</w:t>
      </w:r>
      <w:r>
        <w:rPr>
          <w:spacing w:val="1"/>
        </w:rPr>
        <w:t xml:space="preserve"> </w:t>
      </w:r>
      <w:r>
        <w:t>combined</w:t>
      </w:r>
      <w:r>
        <w:rPr>
          <w:spacing w:val="-7"/>
        </w:rPr>
        <w:t xml:space="preserve"> </w:t>
      </w:r>
      <w:r>
        <w:t>HR</w:t>
      </w:r>
      <w:r>
        <w:rPr>
          <w:spacing w:val="-7"/>
        </w:rPr>
        <w:t xml:space="preserve"> </w:t>
      </w:r>
      <w:r>
        <w:t>showed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Actemra</w:t>
      </w:r>
      <w:r>
        <w:rPr>
          <w:spacing w:val="-6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(n=2261)</w:t>
      </w:r>
      <w:r>
        <w:rPr>
          <w:spacing w:val="-6"/>
        </w:rPr>
        <w:t xml:space="preserve"> </w:t>
      </w:r>
      <w:r>
        <w:t>resulted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19%</w:t>
      </w:r>
      <w:r>
        <w:rPr>
          <w:spacing w:val="-7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the risk of death up to Day 28 (HR=0.81; 95% CI: 0.72, 0.90; p=0.0002) compared to SoC</w:t>
      </w:r>
      <w:r>
        <w:rPr>
          <w:spacing w:val="1"/>
        </w:rPr>
        <w:t xml:space="preserve"> </w:t>
      </w:r>
      <w:r>
        <w:t>(n=2034).</w:t>
      </w:r>
    </w:p>
    <w:p w14:paraId="04DA92BE" w14:textId="77777777" w:rsidR="006C34D9" w:rsidRDefault="006C34D9">
      <w:pPr>
        <w:pStyle w:val="BodyText"/>
        <w:ind w:left="0"/>
        <w:rPr>
          <w:sz w:val="21"/>
        </w:rPr>
      </w:pPr>
    </w:p>
    <w:p w14:paraId="503C36CC" w14:textId="77777777" w:rsidR="006C34D9" w:rsidRDefault="00CB5041">
      <w:pPr>
        <w:pStyle w:val="Heading2"/>
        <w:ind w:left="1567" w:hanging="908"/>
        <w:jc w:val="left"/>
      </w:pPr>
      <w:r>
        <w:t>Figure</w:t>
      </w:r>
      <w:r>
        <w:rPr>
          <w:spacing w:val="18"/>
        </w:rPr>
        <w:t xml:space="preserve"> </w:t>
      </w:r>
      <w:r>
        <w:t>3</w:t>
      </w:r>
      <w:r>
        <w:rPr>
          <w:spacing w:val="19"/>
        </w:rPr>
        <w:t xml:space="preserve"> </w:t>
      </w:r>
      <w:proofErr w:type="spellStart"/>
      <w:r>
        <w:t>Meta</w:t>
      </w:r>
      <w:r>
        <w:rPr>
          <w:spacing w:val="18"/>
        </w:rPr>
        <w:t xml:space="preserve"> </w:t>
      </w:r>
      <w:r>
        <w:t>analysis</w:t>
      </w:r>
      <w:proofErr w:type="spellEnd"/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Time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Death</w:t>
      </w:r>
      <w:r>
        <w:rPr>
          <w:spacing w:val="19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Day</w:t>
      </w:r>
      <w:r>
        <w:rPr>
          <w:spacing w:val="19"/>
        </w:rPr>
        <w:t xml:space="preserve"> </w:t>
      </w:r>
      <w:r>
        <w:t>28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Baseline</w:t>
      </w:r>
      <w:r>
        <w:rPr>
          <w:spacing w:val="17"/>
        </w:rPr>
        <w:t xml:space="preserve"> </w:t>
      </w:r>
      <w:r>
        <w:t>Corticosteroid</w:t>
      </w:r>
      <w:r>
        <w:rPr>
          <w:spacing w:val="18"/>
        </w:rPr>
        <w:t xml:space="preserve"> </w:t>
      </w:r>
      <w:r>
        <w:t>Use</w:t>
      </w:r>
      <w:r>
        <w:rPr>
          <w:spacing w:val="-57"/>
        </w:rPr>
        <w:t xml:space="preserve"> </w:t>
      </w:r>
      <w:r>
        <w:t>Subpopulation</w:t>
      </w:r>
    </w:p>
    <w:p w14:paraId="310F1DA8" w14:textId="77777777" w:rsidR="006C34D9" w:rsidRDefault="00CB5041">
      <w:pPr>
        <w:pStyle w:val="BodyText"/>
        <w:spacing w:before="2"/>
        <w:ind w:left="0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E273555" wp14:editId="7135F802">
            <wp:simplePos x="0" y="0"/>
            <wp:positionH relativeFrom="page">
              <wp:posOffset>1115482</wp:posOffset>
            </wp:positionH>
            <wp:positionV relativeFrom="paragraph">
              <wp:posOffset>155501</wp:posOffset>
            </wp:positionV>
            <wp:extent cx="5094475" cy="2670048"/>
            <wp:effectExtent l="0" t="0" r="0" b="0"/>
            <wp:wrapTopAndBottom/>
            <wp:docPr id="5" name="image3.jpeg" descr="Forest Plo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475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17EF0" w14:textId="77777777" w:rsidR="006C34D9" w:rsidRDefault="006C34D9">
      <w:pPr>
        <w:pStyle w:val="BodyText"/>
        <w:ind w:left="0"/>
        <w:rPr>
          <w:b/>
          <w:sz w:val="26"/>
        </w:rPr>
      </w:pPr>
    </w:p>
    <w:p w14:paraId="6A9F8CE9" w14:textId="77777777" w:rsidR="006C34D9" w:rsidRDefault="006C34D9">
      <w:pPr>
        <w:pStyle w:val="BodyText"/>
        <w:spacing w:before="11"/>
        <w:ind w:left="0"/>
        <w:rPr>
          <w:b/>
        </w:rPr>
      </w:pPr>
    </w:p>
    <w:p w14:paraId="05EDAAAD" w14:textId="77777777" w:rsidR="006C34D9" w:rsidRDefault="00CB5041">
      <w:pPr>
        <w:pStyle w:val="BodyText"/>
        <w:jc w:val="both"/>
      </w:pPr>
      <w:r>
        <w:rPr>
          <w:u w:val="single"/>
        </w:rPr>
        <w:t>Polyarticular</w:t>
      </w:r>
      <w:r>
        <w:rPr>
          <w:spacing w:val="-5"/>
          <w:u w:val="single"/>
        </w:rPr>
        <w:t xml:space="preserve"> </w:t>
      </w:r>
      <w:r>
        <w:rPr>
          <w:u w:val="single"/>
        </w:rPr>
        <w:t>Juvenile</w:t>
      </w:r>
      <w:r>
        <w:rPr>
          <w:spacing w:val="-4"/>
          <w:u w:val="single"/>
        </w:rPr>
        <w:t xml:space="preserve"> </w:t>
      </w:r>
      <w:r>
        <w:rPr>
          <w:u w:val="single"/>
        </w:rPr>
        <w:t>Idiopathic</w:t>
      </w:r>
      <w:r>
        <w:rPr>
          <w:spacing w:val="-4"/>
          <w:u w:val="single"/>
        </w:rPr>
        <w:t xml:space="preserve"> </w:t>
      </w:r>
      <w:r>
        <w:rPr>
          <w:u w:val="single"/>
        </w:rPr>
        <w:t>Arthritis</w:t>
      </w:r>
    </w:p>
    <w:p w14:paraId="09B97522" w14:textId="77777777" w:rsidR="006C34D9" w:rsidRDefault="00CB5041">
      <w:pPr>
        <w:spacing w:before="200" w:line="275" w:lineRule="exact"/>
        <w:ind w:left="660"/>
        <w:jc w:val="both"/>
        <w:rPr>
          <w:i/>
          <w:sz w:val="24"/>
        </w:rPr>
      </w:pPr>
      <w:r>
        <w:rPr>
          <w:i/>
          <w:sz w:val="24"/>
        </w:rPr>
        <w:t>Intravenous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administration</w:t>
      </w:r>
    </w:p>
    <w:p w14:paraId="2ACF5B5D" w14:textId="77777777" w:rsidR="006C34D9" w:rsidRDefault="00CB5041">
      <w:pPr>
        <w:pStyle w:val="BodyText"/>
        <w:ind w:left="659" w:right="657"/>
        <w:jc w:val="both"/>
      </w:pPr>
      <w:r>
        <w:t>The</w:t>
      </w:r>
      <w:r>
        <w:rPr>
          <w:spacing w:val="-12"/>
        </w:rPr>
        <w:t xml:space="preserve"> </w:t>
      </w:r>
      <w:r>
        <w:t>efficacy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intravenous</w:t>
      </w:r>
      <w:r>
        <w:rPr>
          <w:spacing w:val="-11"/>
        </w:rPr>
        <w:t xml:space="preserve"> </w:t>
      </w:r>
      <w:r>
        <w:t>Actemra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assessed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three-part</w:t>
      </w:r>
      <w:r>
        <w:rPr>
          <w:spacing w:val="-12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open-label</w:t>
      </w:r>
      <w:r>
        <w:rPr>
          <w:spacing w:val="-57"/>
        </w:rPr>
        <w:t xml:space="preserve"> </w:t>
      </w:r>
      <w:r>
        <w:t>extension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moderately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severely</w:t>
      </w:r>
      <w:r>
        <w:rPr>
          <w:spacing w:val="-11"/>
        </w:rPr>
        <w:t xml:space="preserve"> </w:t>
      </w:r>
      <w:r>
        <w:t>active</w:t>
      </w:r>
      <w:r>
        <w:rPr>
          <w:spacing w:val="-10"/>
        </w:rPr>
        <w:t xml:space="preserve"> </w:t>
      </w:r>
      <w:proofErr w:type="spellStart"/>
      <w:r>
        <w:t>pJIA</w:t>
      </w:r>
      <w:proofErr w:type="spellEnd"/>
      <w:r>
        <w:t>,</w:t>
      </w:r>
      <w:r>
        <w:rPr>
          <w:spacing w:val="-10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inadequate</w:t>
      </w:r>
      <w:r>
        <w:rPr>
          <w:spacing w:val="-10"/>
        </w:rPr>
        <w:t xml:space="preserve"> </w:t>
      </w:r>
      <w:r>
        <w:t>response</w:t>
      </w:r>
    </w:p>
    <w:p w14:paraId="6FF0D998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05D8A21F" w14:textId="77777777" w:rsidR="006C34D9" w:rsidRDefault="00CB5041">
      <w:pPr>
        <w:pStyle w:val="BodyText"/>
        <w:spacing w:before="79"/>
        <w:ind w:right="657"/>
        <w:jc w:val="both"/>
      </w:pPr>
      <w:r>
        <w:lastRenderedPageBreak/>
        <w:t>to methotrexate (MTX) or inability to tolerate MTX (Study XI, CHERISH). Patients had at</w:t>
      </w:r>
      <w:r>
        <w:rPr>
          <w:spacing w:val="1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months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active</w:t>
      </w:r>
      <w:r>
        <w:rPr>
          <w:spacing w:val="-10"/>
        </w:rPr>
        <w:t xml:space="preserve"> </w:t>
      </w:r>
      <w:r>
        <w:t>disease</w:t>
      </w:r>
      <w:r>
        <w:rPr>
          <w:spacing w:val="-11"/>
        </w:rPr>
        <w:t xml:space="preserve"> </w:t>
      </w:r>
      <w:r>
        <w:t>(mean</w:t>
      </w:r>
      <w:r>
        <w:rPr>
          <w:spacing w:val="-9"/>
        </w:rPr>
        <w:t xml:space="preserve"> </w:t>
      </w:r>
      <w:r>
        <w:t>disease</w:t>
      </w:r>
      <w:r>
        <w:rPr>
          <w:spacing w:val="-10"/>
        </w:rPr>
        <w:t xml:space="preserve"> </w:t>
      </w:r>
      <w:r>
        <w:t>duration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4.2</w:t>
      </w:r>
      <w:r>
        <w:rPr>
          <w:spacing w:val="-10"/>
        </w:rPr>
        <w:t xml:space="preserve"> </w:t>
      </w:r>
      <w:r>
        <w:t>±</w:t>
      </w:r>
      <w:r>
        <w:rPr>
          <w:spacing w:val="-9"/>
        </w:rPr>
        <w:t xml:space="preserve"> </w:t>
      </w:r>
      <w:r>
        <w:t>3.7</w:t>
      </w:r>
      <w:r>
        <w:rPr>
          <w:spacing w:val="-10"/>
        </w:rPr>
        <w:t xml:space="preserve"> </w:t>
      </w:r>
      <w:r>
        <w:t>years),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11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joints</w:t>
      </w:r>
      <w:r>
        <w:rPr>
          <w:spacing w:val="-57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arthritis</w:t>
      </w:r>
      <w:r>
        <w:rPr>
          <w:spacing w:val="1"/>
        </w:rPr>
        <w:t xml:space="preserve"> </w:t>
      </w:r>
      <w:r>
        <w:t>(swollen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limitation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movement</w:t>
      </w:r>
      <w:r>
        <w:rPr>
          <w:spacing w:val="1"/>
        </w:rPr>
        <w:t xml:space="preserve"> </w:t>
      </w:r>
      <w:r>
        <w:t>accompanied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pain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tenderness) and/or at least 3 active joints having limitation of motion (mean, 20 ± 14 active</w:t>
      </w:r>
      <w:r>
        <w:rPr>
          <w:spacing w:val="1"/>
        </w:rPr>
        <w:t xml:space="preserve"> </w:t>
      </w:r>
      <w:r>
        <w:t>joints). The patients treated had subtypes of JIA that at disease onset included Rheumatoid</w:t>
      </w:r>
      <w:r>
        <w:rPr>
          <w:spacing w:val="1"/>
        </w:rPr>
        <w:t xml:space="preserve"> </w:t>
      </w:r>
      <w:r>
        <w:t>Factor Positive or Negative Polyarticular JIA, or Extended Oligoarticular JIA. Treatment with</w:t>
      </w:r>
      <w:r>
        <w:rPr>
          <w:spacing w:val="-58"/>
        </w:rPr>
        <w:t xml:space="preserve"> </w:t>
      </w:r>
      <w:r>
        <w:t>a stable dose of MTX was permitted but was not required during the study. Concurrent use of</w:t>
      </w:r>
      <w:r>
        <w:rPr>
          <w:spacing w:val="-57"/>
        </w:rPr>
        <w:t xml:space="preserve"> </w:t>
      </w:r>
      <w:r>
        <w:t xml:space="preserve">DMARDs other than MTX, or other biologics (e.g. TNF antagonists or T cell </w:t>
      </w:r>
      <w:proofErr w:type="spellStart"/>
      <w:r>
        <w:t>costimulation</w:t>
      </w:r>
      <w:proofErr w:type="spellEnd"/>
      <w:r>
        <w:rPr>
          <w:spacing w:val="1"/>
        </w:rPr>
        <w:t xml:space="preserve"> </w:t>
      </w:r>
      <w:r>
        <w:t>modulator) were not permitted in the study. Ten patients who participated in the study were</w:t>
      </w:r>
      <w:r>
        <w:rPr>
          <w:spacing w:val="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 4 years of</w:t>
      </w:r>
      <w:r>
        <w:rPr>
          <w:spacing w:val="-1"/>
        </w:rPr>
        <w:t xml:space="preserve"> </w:t>
      </w:r>
      <w:r>
        <w:t>age.</w:t>
      </w:r>
    </w:p>
    <w:p w14:paraId="62D02327" w14:textId="77777777" w:rsidR="006C34D9" w:rsidRDefault="00CB5041">
      <w:pPr>
        <w:pStyle w:val="BodyText"/>
        <w:spacing w:before="173" w:line="242" w:lineRule="auto"/>
        <w:ind w:left="659" w:right="657"/>
        <w:jc w:val="both"/>
      </w:pPr>
      <w:r>
        <w:t>Part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consisted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week</w:t>
      </w:r>
      <w:r>
        <w:rPr>
          <w:spacing w:val="-9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Actemra</w:t>
      </w:r>
      <w:r>
        <w:rPr>
          <w:spacing w:val="-8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lead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(n=188)</w:t>
      </w:r>
      <w:r>
        <w:rPr>
          <w:spacing w:val="-8"/>
        </w:rPr>
        <w:t xml:space="preserve"> </w:t>
      </w:r>
      <w:r>
        <w:t>followed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Part</w:t>
      </w:r>
      <w:r>
        <w:rPr>
          <w:spacing w:val="-58"/>
        </w:rPr>
        <w:t xml:space="preserve"> </w:t>
      </w:r>
      <w:r>
        <w:t xml:space="preserve">II, a 24 week </w:t>
      </w:r>
      <w:proofErr w:type="spellStart"/>
      <w:r>
        <w:t>randomised</w:t>
      </w:r>
      <w:proofErr w:type="spellEnd"/>
      <w:r>
        <w:t>, double-blind, placebo-controlled withdrawal period (ITT n=163),</w:t>
      </w:r>
      <w:r>
        <w:rPr>
          <w:spacing w:val="1"/>
        </w:rPr>
        <w:t xml:space="preserve"> </w:t>
      </w:r>
      <w:r>
        <w:t>followed by Part III, a 64 week open-label period. Eligible patients ≥ 30 kg received Actemra</w:t>
      </w:r>
      <w:r>
        <w:rPr>
          <w:spacing w:val="-57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mg/kg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doses.</w:t>
      </w:r>
      <w:r>
        <w:rPr>
          <w:spacing w:val="-13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&lt;</w:t>
      </w:r>
      <w:r>
        <w:rPr>
          <w:spacing w:val="-13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kg</w:t>
      </w:r>
      <w:r>
        <w:rPr>
          <w:spacing w:val="-13"/>
        </w:rPr>
        <w:t xml:space="preserve"> </w:t>
      </w:r>
      <w:r>
        <w:t>were</w:t>
      </w:r>
      <w:r>
        <w:rPr>
          <w:spacing w:val="-13"/>
        </w:rPr>
        <w:t xml:space="preserve"> </w:t>
      </w:r>
      <w:proofErr w:type="spellStart"/>
      <w:r>
        <w:t>randomised</w:t>
      </w:r>
      <w:proofErr w:type="spellEnd"/>
      <w:r>
        <w:rPr>
          <w:spacing w:val="-13"/>
        </w:rPr>
        <w:t xml:space="preserve"> </w:t>
      </w:r>
      <w:r>
        <w:t>1:1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receive</w:t>
      </w:r>
      <w:r>
        <w:rPr>
          <w:spacing w:val="-13"/>
        </w:rPr>
        <w:t xml:space="preserve"> </w:t>
      </w:r>
      <w:r>
        <w:t>either</w:t>
      </w:r>
      <w:r>
        <w:rPr>
          <w:spacing w:val="-13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mg/kg</w:t>
      </w:r>
      <w:r>
        <w:rPr>
          <w:spacing w:val="-58"/>
        </w:rPr>
        <w:t xml:space="preserve"> </w:t>
      </w:r>
      <w:r>
        <w:t>or 10 mg/kg IV every 4 weeks for 4 doses. Patients who completed Part I of the study and</w:t>
      </w:r>
      <w:r>
        <w:rPr>
          <w:spacing w:val="1"/>
        </w:rPr>
        <w:t xml:space="preserve"> </w:t>
      </w:r>
      <w:r>
        <w:t>achieved at least a JIA ACR30 response at week 16 compared to baseline entered the blinded</w:t>
      </w:r>
      <w:r>
        <w:rPr>
          <w:spacing w:val="1"/>
        </w:rPr>
        <w:t xml:space="preserve"> </w:t>
      </w:r>
      <w:r>
        <w:t>withdrawal</w:t>
      </w:r>
      <w:r>
        <w:rPr>
          <w:spacing w:val="-8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(Part</w:t>
      </w:r>
      <w:r>
        <w:rPr>
          <w:spacing w:val="-7"/>
        </w:rPr>
        <w:t xml:space="preserve"> </w:t>
      </w:r>
      <w:r>
        <w:t>II)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proofErr w:type="spellStart"/>
      <w:r>
        <w:t>randomised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Actemra</w:t>
      </w:r>
      <w:r>
        <w:rPr>
          <w:spacing w:val="-6"/>
        </w:rPr>
        <w:t xml:space="preserve"> </w:t>
      </w:r>
      <w:r>
        <w:t>(same</w:t>
      </w:r>
      <w:r>
        <w:rPr>
          <w:spacing w:val="-58"/>
        </w:rPr>
        <w:t xml:space="preserve"> </w:t>
      </w:r>
      <w:r>
        <w:t>dose received in Part I) or placebo in a 1:1 ratio, stratified by concurrent MTX use and</w:t>
      </w:r>
      <w:r>
        <w:rPr>
          <w:spacing w:val="1"/>
        </w:rPr>
        <w:t xml:space="preserve"> </w:t>
      </w:r>
      <w:r>
        <w:t>concurrent corticosteroid use. Each patient continued in Part II of the study until Week 40 or</w:t>
      </w:r>
      <w:r>
        <w:rPr>
          <w:spacing w:val="1"/>
        </w:rPr>
        <w:t xml:space="preserve"> </w:t>
      </w:r>
      <w:r>
        <w:t>until the patient satisfied JIA ACR30 flare criteria (relative to Week 16) and qualified for</w:t>
      </w:r>
      <w:r>
        <w:rPr>
          <w:spacing w:val="1"/>
        </w:rPr>
        <w:t xml:space="preserve"> </w:t>
      </w:r>
      <w:r>
        <w:t>escape.</w:t>
      </w:r>
    </w:p>
    <w:p w14:paraId="65E1693B" w14:textId="77777777" w:rsidR="006C34D9" w:rsidRDefault="00CB5041">
      <w:pPr>
        <w:pStyle w:val="BodyText"/>
        <w:spacing w:before="185" w:line="242" w:lineRule="auto"/>
        <w:ind w:left="659" w:right="657"/>
        <w:jc w:val="both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primary</w:t>
      </w:r>
      <w:r>
        <w:rPr>
          <w:spacing w:val="-14"/>
        </w:rPr>
        <w:t xml:space="preserve"> </w:t>
      </w:r>
      <w:r>
        <w:rPr>
          <w:spacing w:val="-1"/>
        </w:rPr>
        <w:t>endpoint</w:t>
      </w:r>
      <w:r>
        <w:rPr>
          <w:spacing w:val="-14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proportion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patients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JIA</w:t>
      </w:r>
      <w:r>
        <w:rPr>
          <w:spacing w:val="-15"/>
        </w:rPr>
        <w:t xml:space="preserve"> </w:t>
      </w:r>
      <w:r>
        <w:t>ACR30</w:t>
      </w:r>
      <w:r>
        <w:rPr>
          <w:spacing w:val="-14"/>
        </w:rPr>
        <w:t xml:space="preserve"> </w:t>
      </w:r>
      <w:r>
        <w:t>flare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week</w:t>
      </w:r>
      <w:r>
        <w:rPr>
          <w:spacing w:val="-15"/>
        </w:rPr>
        <w:t xml:space="preserve"> </w:t>
      </w:r>
      <w:r>
        <w:t>40</w:t>
      </w:r>
      <w:r>
        <w:rPr>
          <w:spacing w:val="-15"/>
        </w:rPr>
        <w:t xml:space="preserve"> </w:t>
      </w:r>
      <w:r>
        <w:t>relative</w:t>
      </w:r>
      <w:r>
        <w:rPr>
          <w:spacing w:val="-58"/>
        </w:rPr>
        <w:t xml:space="preserve"> </w:t>
      </w:r>
      <w:r>
        <w:t>to week 16. JIA ACR 30 flare was defined as 3 or more of the 6 core outcome variables</w:t>
      </w:r>
      <w:r>
        <w:rPr>
          <w:spacing w:val="1"/>
        </w:rPr>
        <w:t xml:space="preserve"> </w:t>
      </w:r>
      <w:r>
        <w:t>worsening by at least 30% with no more than 1 of the remaining variables improving by more</w:t>
      </w:r>
      <w:r>
        <w:rPr>
          <w:spacing w:val="-57"/>
        </w:rPr>
        <w:t xml:space="preserve"> </w:t>
      </w:r>
      <w:r>
        <w:t>than 30% relative to Week 16. Forty eight percent (48.1%, 39/81) of the patients treated with</w:t>
      </w:r>
      <w:r>
        <w:rPr>
          <w:spacing w:val="1"/>
        </w:rPr>
        <w:t xml:space="preserve"> </w:t>
      </w:r>
      <w:r>
        <w:t>placebo flared compared with 25.6% (21/82) of Actemra-treated patients. These proportions</w:t>
      </w:r>
      <w:r>
        <w:rPr>
          <w:spacing w:val="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statistically</w:t>
      </w:r>
      <w:r>
        <w:rPr>
          <w:spacing w:val="-2"/>
        </w:rPr>
        <w:t xml:space="preserve"> </w:t>
      </w:r>
      <w:r>
        <w:t>significantly different (p=0.0024).</w:t>
      </w:r>
    </w:p>
    <w:p w14:paraId="138EE303" w14:textId="77777777" w:rsidR="006C34D9" w:rsidRDefault="00CB5041">
      <w:pPr>
        <w:pStyle w:val="BodyText"/>
        <w:spacing w:before="177" w:line="244" w:lineRule="auto"/>
        <w:ind w:right="658"/>
        <w:jc w:val="both"/>
      </w:pPr>
      <w:r>
        <w:t>At the conclusion of Part I, JIA ACR 30/50/70/90 responses were 89.4%, 83.0%, 62.2%, and</w:t>
      </w:r>
      <w:r>
        <w:rPr>
          <w:spacing w:val="1"/>
        </w:rPr>
        <w:t xml:space="preserve"> </w:t>
      </w:r>
      <w:r>
        <w:t>26.1%,</w:t>
      </w:r>
      <w:r>
        <w:rPr>
          <w:spacing w:val="-1"/>
        </w:rPr>
        <w:t xml:space="preserve"> </w:t>
      </w:r>
      <w:r>
        <w:t>respectively.</w:t>
      </w:r>
    </w:p>
    <w:p w14:paraId="6BA7B71D" w14:textId="77777777" w:rsidR="006C34D9" w:rsidRDefault="00CB5041">
      <w:pPr>
        <w:pStyle w:val="BodyText"/>
        <w:spacing w:before="168" w:line="242" w:lineRule="auto"/>
        <w:ind w:right="659"/>
        <w:jc w:val="both"/>
      </w:pPr>
      <w:r>
        <w:t>During the withdrawal phase (Part II), the percentages of patients achieving JIA ACR 30, 50,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70 responses at</w:t>
      </w:r>
      <w:r>
        <w:rPr>
          <w:spacing w:val="-1"/>
        </w:rPr>
        <w:t xml:space="preserve"> </w:t>
      </w:r>
      <w:r>
        <w:t>Week 40 relative</w:t>
      </w:r>
      <w:r>
        <w:rPr>
          <w:spacing w:val="-2"/>
        </w:rPr>
        <w:t xml:space="preserve"> </w:t>
      </w:r>
      <w:r>
        <w:t>to baseline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shown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 below.</w:t>
      </w:r>
    </w:p>
    <w:p w14:paraId="1C28C940" w14:textId="77777777" w:rsidR="006C34D9" w:rsidRDefault="00CB5041">
      <w:pPr>
        <w:pStyle w:val="Heading2"/>
        <w:spacing w:before="170"/>
      </w:pPr>
      <w:r>
        <w:t>Table</w:t>
      </w:r>
      <w:r>
        <w:rPr>
          <w:spacing w:val="-9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JIA</w:t>
      </w:r>
      <w:r>
        <w:rPr>
          <w:spacing w:val="-9"/>
        </w:rPr>
        <w:t xml:space="preserve"> </w:t>
      </w:r>
      <w:r>
        <w:t>ACR</w:t>
      </w:r>
      <w:r>
        <w:rPr>
          <w:spacing w:val="-8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t>rates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week</w:t>
      </w:r>
      <w:r>
        <w:rPr>
          <w:spacing w:val="-8"/>
        </w:rPr>
        <w:t xml:space="preserve"> </w:t>
      </w:r>
      <w:r>
        <w:t>40</w:t>
      </w:r>
      <w:r>
        <w:rPr>
          <w:spacing w:val="-9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baseline</w:t>
      </w:r>
      <w:r>
        <w:rPr>
          <w:spacing w:val="-9"/>
        </w:rPr>
        <w:t xml:space="preserve"> </w:t>
      </w:r>
      <w:r>
        <w:t>(percentages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patients)</w:t>
      </w:r>
    </w:p>
    <w:p w14:paraId="63BD5D83" w14:textId="77777777" w:rsidR="006C34D9" w:rsidRDefault="006C34D9">
      <w:pPr>
        <w:pStyle w:val="BodyText"/>
        <w:spacing w:before="5"/>
        <w:ind w:left="0"/>
        <w:rPr>
          <w:b/>
          <w:sz w:val="10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3"/>
        <w:gridCol w:w="2609"/>
        <w:gridCol w:w="2395"/>
      </w:tblGrid>
      <w:tr w:rsidR="006C34D9" w14:paraId="40D3E751" w14:textId="77777777">
        <w:trPr>
          <w:trHeight w:val="506"/>
        </w:trPr>
        <w:tc>
          <w:tcPr>
            <w:tcW w:w="4013" w:type="dxa"/>
          </w:tcPr>
          <w:p w14:paraId="72B94C72" w14:textId="77777777" w:rsidR="006C34D9" w:rsidRDefault="00CB504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Response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Rate</w:t>
            </w:r>
          </w:p>
        </w:tc>
        <w:tc>
          <w:tcPr>
            <w:tcW w:w="2609" w:type="dxa"/>
          </w:tcPr>
          <w:p w14:paraId="49B693CB" w14:textId="77777777" w:rsidR="006C34D9" w:rsidRDefault="00CB5041">
            <w:pPr>
              <w:pStyle w:val="TableParagraph"/>
              <w:spacing w:line="254" w:lineRule="exact"/>
              <w:ind w:left="894" w:right="885"/>
              <w:jc w:val="center"/>
              <w:rPr>
                <w:b/>
              </w:rPr>
            </w:pPr>
            <w:r>
              <w:rPr>
                <w:b/>
                <w:spacing w:val="-1"/>
              </w:rPr>
              <w:t>Actemra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n=82</w:t>
            </w:r>
          </w:p>
        </w:tc>
        <w:tc>
          <w:tcPr>
            <w:tcW w:w="2395" w:type="dxa"/>
          </w:tcPr>
          <w:p w14:paraId="7C50BF9D" w14:textId="77777777" w:rsidR="006C34D9" w:rsidRDefault="00CB5041">
            <w:pPr>
              <w:pStyle w:val="TableParagraph"/>
              <w:spacing w:line="254" w:lineRule="exact"/>
              <w:ind w:left="829" w:right="820"/>
              <w:jc w:val="center"/>
              <w:rPr>
                <w:b/>
              </w:rPr>
            </w:pPr>
            <w:r>
              <w:rPr>
                <w:b/>
              </w:rPr>
              <w:t>Placebo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n=81</w:t>
            </w:r>
          </w:p>
        </w:tc>
      </w:tr>
      <w:tr w:rsidR="006C34D9" w14:paraId="6C34461B" w14:textId="77777777">
        <w:trPr>
          <w:trHeight w:val="250"/>
        </w:trPr>
        <w:tc>
          <w:tcPr>
            <w:tcW w:w="4013" w:type="dxa"/>
          </w:tcPr>
          <w:p w14:paraId="1C5DDCE1" w14:textId="77777777" w:rsidR="006C34D9" w:rsidRDefault="00CB5041">
            <w:pPr>
              <w:pStyle w:val="TableParagraph"/>
              <w:spacing w:line="231" w:lineRule="exact"/>
            </w:pPr>
            <w:r>
              <w:t>JIA</w:t>
            </w:r>
            <w:r>
              <w:rPr>
                <w:spacing w:val="-2"/>
              </w:rPr>
              <w:t xml:space="preserve"> </w:t>
            </w:r>
            <w:r>
              <w:t>ACR</w:t>
            </w:r>
            <w:r>
              <w:rPr>
                <w:spacing w:val="-1"/>
              </w:rPr>
              <w:t xml:space="preserve"> </w:t>
            </w:r>
            <w:r>
              <w:t>30</w:t>
            </w:r>
          </w:p>
        </w:tc>
        <w:tc>
          <w:tcPr>
            <w:tcW w:w="2609" w:type="dxa"/>
          </w:tcPr>
          <w:p w14:paraId="57EF5E08" w14:textId="77777777" w:rsidR="006C34D9" w:rsidRDefault="00CB5041">
            <w:pPr>
              <w:pStyle w:val="TableParagraph"/>
              <w:spacing w:line="231" w:lineRule="exact"/>
              <w:ind w:left="0" w:right="973"/>
              <w:jc w:val="right"/>
            </w:pPr>
            <w:r>
              <w:t>74.4%</w:t>
            </w:r>
            <w:r>
              <w:rPr>
                <w:vertAlign w:val="superscript"/>
              </w:rPr>
              <w:t>†</w:t>
            </w:r>
          </w:p>
        </w:tc>
        <w:tc>
          <w:tcPr>
            <w:tcW w:w="2395" w:type="dxa"/>
          </w:tcPr>
          <w:p w14:paraId="14F73EE3" w14:textId="77777777" w:rsidR="006C34D9" w:rsidRDefault="00CB5041">
            <w:pPr>
              <w:pStyle w:val="TableParagraph"/>
              <w:spacing w:line="231" w:lineRule="exact"/>
              <w:ind w:left="829" w:right="820"/>
              <w:jc w:val="center"/>
            </w:pPr>
            <w:r>
              <w:t>54.3%</w:t>
            </w:r>
            <w:r>
              <w:rPr>
                <w:vertAlign w:val="superscript"/>
              </w:rPr>
              <w:t>†</w:t>
            </w:r>
          </w:p>
        </w:tc>
      </w:tr>
      <w:tr w:rsidR="006C34D9" w14:paraId="0B48F491" w14:textId="77777777">
        <w:trPr>
          <w:trHeight w:val="252"/>
        </w:trPr>
        <w:tc>
          <w:tcPr>
            <w:tcW w:w="4013" w:type="dxa"/>
          </w:tcPr>
          <w:p w14:paraId="2C726A21" w14:textId="77777777" w:rsidR="006C34D9" w:rsidRDefault="00CB5041">
            <w:pPr>
              <w:pStyle w:val="TableParagraph"/>
              <w:spacing w:line="233" w:lineRule="exact"/>
            </w:pPr>
            <w:r>
              <w:t>JIA</w:t>
            </w:r>
            <w:r>
              <w:rPr>
                <w:spacing w:val="-2"/>
              </w:rPr>
              <w:t xml:space="preserve"> </w:t>
            </w:r>
            <w:r>
              <w:t>ACR</w:t>
            </w:r>
            <w:r>
              <w:rPr>
                <w:spacing w:val="-1"/>
              </w:rPr>
              <w:t xml:space="preserve"> </w:t>
            </w:r>
            <w:r>
              <w:t>50</w:t>
            </w:r>
          </w:p>
        </w:tc>
        <w:tc>
          <w:tcPr>
            <w:tcW w:w="2609" w:type="dxa"/>
          </w:tcPr>
          <w:p w14:paraId="3C5E3241" w14:textId="77777777" w:rsidR="006C34D9" w:rsidRDefault="00CB5041">
            <w:pPr>
              <w:pStyle w:val="TableParagraph"/>
              <w:spacing w:line="233" w:lineRule="exact"/>
              <w:ind w:left="0" w:right="973"/>
              <w:jc w:val="right"/>
            </w:pPr>
            <w:r>
              <w:t>73.2%</w:t>
            </w:r>
            <w:r>
              <w:rPr>
                <w:vertAlign w:val="superscript"/>
              </w:rPr>
              <w:t>†</w:t>
            </w:r>
          </w:p>
        </w:tc>
        <w:tc>
          <w:tcPr>
            <w:tcW w:w="2395" w:type="dxa"/>
          </w:tcPr>
          <w:p w14:paraId="04BABF49" w14:textId="77777777" w:rsidR="006C34D9" w:rsidRDefault="00CB5041">
            <w:pPr>
              <w:pStyle w:val="TableParagraph"/>
              <w:spacing w:line="233" w:lineRule="exact"/>
              <w:ind w:left="829" w:right="820"/>
              <w:jc w:val="center"/>
            </w:pPr>
            <w:r>
              <w:t>51.9%</w:t>
            </w:r>
            <w:r>
              <w:rPr>
                <w:vertAlign w:val="superscript"/>
              </w:rPr>
              <w:t>†</w:t>
            </w:r>
          </w:p>
        </w:tc>
      </w:tr>
      <w:tr w:rsidR="006C34D9" w14:paraId="2194A91C" w14:textId="77777777">
        <w:trPr>
          <w:trHeight w:val="253"/>
        </w:trPr>
        <w:tc>
          <w:tcPr>
            <w:tcW w:w="4013" w:type="dxa"/>
          </w:tcPr>
          <w:p w14:paraId="08DB1620" w14:textId="77777777" w:rsidR="006C34D9" w:rsidRDefault="00CB5041">
            <w:pPr>
              <w:pStyle w:val="TableParagraph"/>
              <w:spacing w:line="234" w:lineRule="exact"/>
            </w:pPr>
            <w:r>
              <w:t>JIA</w:t>
            </w:r>
            <w:r>
              <w:rPr>
                <w:spacing w:val="-2"/>
              </w:rPr>
              <w:t xml:space="preserve"> </w:t>
            </w:r>
            <w:r>
              <w:t>ACR</w:t>
            </w:r>
            <w:r>
              <w:rPr>
                <w:spacing w:val="-1"/>
              </w:rPr>
              <w:t xml:space="preserve"> </w:t>
            </w:r>
            <w:r>
              <w:t>70</w:t>
            </w:r>
          </w:p>
        </w:tc>
        <w:tc>
          <w:tcPr>
            <w:tcW w:w="2609" w:type="dxa"/>
          </w:tcPr>
          <w:p w14:paraId="57EC8CFC" w14:textId="77777777" w:rsidR="006C34D9" w:rsidRDefault="00CB5041">
            <w:pPr>
              <w:pStyle w:val="TableParagraph"/>
              <w:spacing w:line="234" w:lineRule="exact"/>
              <w:ind w:left="0" w:right="973"/>
              <w:jc w:val="right"/>
            </w:pPr>
            <w:r>
              <w:t>64.6%</w:t>
            </w:r>
            <w:r>
              <w:rPr>
                <w:vertAlign w:val="superscript"/>
              </w:rPr>
              <w:t>†</w:t>
            </w:r>
          </w:p>
        </w:tc>
        <w:tc>
          <w:tcPr>
            <w:tcW w:w="2395" w:type="dxa"/>
          </w:tcPr>
          <w:p w14:paraId="28E984B4" w14:textId="77777777" w:rsidR="006C34D9" w:rsidRDefault="00CB5041">
            <w:pPr>
              <w:pStyle w:val="TableParagraph"/>
              <w:spacing w:line="234" w:lineRule="exact"/>
              <w:ind w:left="829" w:right="820"/>
              <w:jc w:val="center"/>
            </w:pPr>
            <w:r>
              <w:t>42.0%</w:t>
            </w:r>
            <w:r>
              <w:rPr>
                <w:vertAlign w:val="superscript"/>
              </w:rPr>
              <w:t>†</w:t>
            </w:r>
          </w:p>
        </w:tc>
      </w:tr>
    </w:tbl>
    <w:p w14:paraId="5F286818" w14:textId="77777777" w:rsidR="006C34D9" w:rsidRDefault="00CB5041">
      <w:pPr>
        <w:ind w:left="660"/>
        <w:jc w:val="both"/>
        <w:rPr>
          <w:sz w:val="20"/>
        </w:rPr>
      </w:pPr>
      <w:r>
        <w:rPr>
          <w:position w:val="9"/>
          <w:sz w:val="16"/>
        </w:rPr>
        <w:t>†</w:t>
      </w:r>
      <w:r>
        <w:rPr>
          <w:spacing w:val="9"/>
          <w:position w:val="9"/>
          <w:sz w:val="16"/>
        </w:rPr>
        <w:t xml:space="preserve"> </w:t>
      </w:r>
      <w:r>
        <w:rPr>
          <w:sz w:val="20"/>
        </w:rPr>
        <w:t>p&lt;0.001,</w:t>
      </w:r>
      <w:r>
        <w:rPr>
          <w:spacing w:val="-3"/>
          <w:sz w:val="20"/>
        </w:rPr>
        <w:t xml:space="preserve"> </w:t>
      </w:r>
      <w:r>
        <w:rPr>
          <w:sz w:val="20"/>
        </w:rPr>
        <w:t>Actemra</w:t>
      </w:r>
      <w:r>
        <w:rPr>
          <w:spacing w:val="-2"/>
          <w:sz w:val="20"/>
        </w:rPr>
        <w:t xml:space="preserve"> </w:t>
      </w:r>
      <w:r>
        <w:rPr>
          <w:sz w:val="20"/>
        </w:rPr>
        <w:t>vs.</w:t>
      </w:r>
      <w:r>
        <w:rPr>
          <w:spacing w:val="-3"/>
          <w:sz w:val="20"/>
        </w:rPr>
        <w:t xml:space="preserve"> </w:t>
      </w:r>
      <w:r>
        <w:rPr>
          <w:sz w:val="20"/>
        </w:rPr>
        <w:t>placebo</w:t>
      </w:r>
    </w:p>
    <w:p w14:paraId="2C2E4127" w14:textId="77777777" w:rsidR="006C34D9" w:rsidRDefault="00CB5041">
      <w:pPr>
        <w:pStyle w:val="BodyText"/>
        <w:spacing w:before="233"/>
        <w:ind w:right="657"/>
        <w:jc w:val="both"/>
      </w:pPr>
      <w:r>
        <w:t>A</w:t>
      </w:r>
      <w:r>
        <w:rPr>
          <w:spacing w:val="-8"/>
        </w:rPr>
        <w:t xml:space="preserve"> </w:t>
      </w:r>
      <w:r>
        <w:t>difference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incidence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JIA</w:t>
      </w:r>
      <w:r>
        <w:rPr>
          <w:spacing w:val="-6"/>
        </w:rPr>
        <w:t xml:space="preserve"> </w:t>
      </w:r>
      <w:r>
        <w:t>ACR30</w:t>
      </w:r>
      <w:r>
        <w:rPr>
          <w:spacing w:val="-6"/>
        </w:rPr>
        <w:t xml:space="preserve"> </w:t>
      </w:r>
      <w:r>
        <w:t>flare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observed</w:t>
      </w:r>
      <w:r>
        <w:rPr>
          <w:spacing w:val="-8"/>
        </w:rPr>
        <w:t xml:space="preserve"> </w:t>
      </w:r>
      <w:r>
        <w:t>between</w:t>
      </w:r>
      <w:r>
        <w:rPr>
          <w:spacing w:val="-58"/>
        </w:rPr>
        <w:t xml:space="preserve"> </w:t>
      </w:r>
      <w:r>
        <w:t>those patients who were and were not taking concurrent MTX, and those patients who had</w:t>
      </w:r>
      <w:r>
        <w:rPr>
          <w:spacing w:val="1"/>
        </w:rPr>
        <w:t xml:space="preserve"> </w:t>
      </w:r>
      <w:r>
        <w:t>previously been exposed to a biologic DMARD or not. Irrespective of concurrent MTX or</w:t>
      </w:r>
      <w:r>
        <w:rPr>
          <w:spacing w:val="1"/>
        </w:rPr>
        <w:t xml:space="preserve"> </w:t>
      </w:r>
      <w:r>
        <w:t>previous biologic DMARD use JIA ACR30 flare was lower for patients receiving Actemra</w:t>
      </w:r>
      <w:r>
        <w:rPr>
          <w:spacing w:val="1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 placebo</w:t>
      </w:r>
      <w:r>
        <w:rPr>
          <w:spacing w:val="-2"/>
        </w:rPr>
        <w:t xml:space="preserve"> </w:t>
      </w:r>
      <w:r>
        <w:t>(Table 12).</w:t>
      </w:r>
    </w:p>
    <w:p w14:paraId="0586463F" w14:textId="77777777" w:rsidR="006C34D9" w:rsidRDefault="006C34D9">
      <w:pPr>
        <w:pStyle w:val="BodyText"/>
        <w:spacing w:before="1"/>
        <w:ind w:left="0"/>
        <w:rPr>
          <w:sz w:val="21"/>
        </w:rPr>
      </w:pPr>
    </w:p>
    <w:p w14:paraId="0B418088" w14:textId="77777777" w:rsidR="006C34D9" w:rsidRDefault="00CB5041">
      <w:pPr>
        <w:pStyle w:val="Heading2"/>
        <w:ind w:left="1560" w:right="596" w:hanging="900"/>
        <w:jc w:val="left"/>
      </w:pPr>
      <w:r>
        <w:rPr>
          <w:spacing w:val="-1"/>
        </w:rPr>
        <w:t>Table</w:t>
      </w:r>
      <w:r>
        <w:rPr>
          <w:spacing w:val="-14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Proportion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JIA</w:t>
      </w:r>
      <w:r>
        <w:rPr>
          <w:spacing w:val="-13"/>
        </w:rPr>
        <w:t xml:space="preserve"> </w:t>
      </w:r>
      <w:r>
        <w:t>ACR30</w:t>
      </w:r>
      <w:r>
        <w:rPr>
          <w:spacing w:val="-15"/>
        </w:rPr>
        <w:t xml:space="preserve"> </w:t>
      </w:r>
      <w:r>
        <w:t>Flare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Week</w:t>
      </w:r>
      <w:r>
        <w:rPr>
          <w:spacing w:val="-14"/>
        </w:rPr>
        <w:t xml:space="preserve"> </w:t>
      </w:r>
      <w:r>
        <w:t>40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background</w:t>
      </w:r>
      <w:r>
        <w:rPr>
          <w:spacing w:val="-15"/>
        </w:rPr>
        <w:t xml:space="preserve"> </w:t>
      </w:r>
      <w:r>
        <w:t>MTX</w:t>
      </w:r>
      <w:r>
        <w:rPr>
          <w:spacing w:val="-57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at baseline or prior</w:t>
      </w:r>
      <w:r>
        <w:rPr>
          <w:spacing w:val="-1"/>
        </w:rPr>
        <w:t xml:space="preserve"> </w:t>
      </w:r>
      <w:r>
        <w:t>biologic</w:t>
      </w:r>
      <w:r>
        <w:rPr>
          <w:spacing w:val="-1"/>
        </w:rPr>
        <w:t xml:space="preserve"> </w:t>
      </w:r>
      <w:r>
        <w:t>DMARD</w:t>
      </w:r>
      <w:r>
        <w:rPr>
          <w:spacing w:val="-1"/>
        </w:rPr>
        <w:t xml:space="preserve"> </w:t>
      </w:r>
      <w:r>
        <w:t>use</w:t>
      </w:r>
    </w:p>
    <w:p w14:paraId="6AECAA3C" w14:textId="77777777" w:rsidR="006C34D9" w:rsidRDefault="006C34D9">
      <w:p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1736"/>
        <w:gridCol w:w="1579"/>
        <w:gridCol w:w="1736"/>
        <w:gridCol w:w="1605"/>
      </w:tblGrid>
      <w:tr w:rsidR="006C34D9" w14:paraId="27F6F743" w14:textId="77777777">
        <w:trPr>
          <w:trHeight w:val="252"/>
        </w:trPr>
        <w:tc>
          <w:tcPr>
            <w:tcW w:w="2359" w:type="dxa"/>
          </w:tcPr>
          <w:p w14:paraId="144BAEEB" w14:textId="77777777" w:rsidR="006C34D9" w:rsidRDefault="006C34D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15" w:type="dxa"/>
            <w:gridSpan w:val="2"/>
          </w:tcPr>
          <w:p w14:paraId="36822F3C" w14:textId="77777777" w:rsidR="006C34D9" w:rsidRDefault="00CB5041">
            <w:pPr>
              <w:pStyle w:val="TableParagraph"/>
              <w:spacing w:line="233" w:lineRule="exact"/>
              <w:ind w:left="1270" w:right="1260"/>
              <w:jc w:val="center"/>
              <w:rPr>
                <w:b/>
              </w:rPr>
            </w:pPr>
            <w:r>
              <w:rPr>
                <w:b/>
              </w:rPr>
              <w:t>Placebo</w:t>
            </w:r>
          </w:p>
        </w:tc>
        <w:tc>
          <w:tcPr>
            <w:tcW w:w="3341" w:type="dxa"/>
            <w:gridSpan w:val="2"/>
          </w:tcPr>
          <w:p w14:paraId="3B5ADDAD" w14:textId="77777777" w:rsidR="006C34D9" w:rsidRDefault="00CB5041">
            <w:pPr>
              <w:pStyle w:val="TableParagraph"/>
              <w:spacing w:line="233" w:lineRule="exact"/>
              <w:ind w:left="1240" w:right="1231"/>
              <w:jc w:val="center"/>
              <w:rPr>
                <w:b/>
              </w:rPr>
            </w:pPr>
            <w:r>
              <w:rPr>
                <w:b/>
              </w:rPr>
              <w:t>Actemra</w:t>
            </w:r>
          </w:p>
        </w:tc>
      </w:tr>
      <w:tr w:rsidR="006C34D9" w14:paraId="79B5DE14" w14:textId="77777777">
        <w:trPr>
          <w:trHeight w:val="252"/>
        </w:trPr>
        <w:tc>
          <w:tcPr>
            <w:tcW w:w="2359" w:type="dxa"/>
          </w:tcPr>
          <w:p w14:paraId="48788EC5" w14:textId="77777777" w:rsidR="006C34D9" w:rsidRDefault="00CB504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MTX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</w:t>
            </w:r>
          </w:p>
        </w:tc>
        <w:tc>
          <w:tcPr>
            <w:tcW w:w="1736" w:type="dxa"/>
          </w:tcPr>
          <w:p w14:paraId="5409F5B4" w14:textId="77777777" w:rsidR="006C34D9" w:rsidRDefault="00CB5041">
            <w:pPr>
              <w:pStyle w:val="TableParagraph"/>
              <w:spacing w:line="233" w:lineRule="exact"/>
              <w:ind w:left="342" w:right="333"/>
              <w:jc w:val="center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(n=64)</w:t>
            </w:r>
          </w:p>
        </w:tc>
        <w:tc>
          <w:tcPr>
            <w:tcW w:w="1579" w:type="dxa"/>
          </w:tcPr>
          <w:p w14:paraId="1D23E7F0" w14:textId="77777777" w:rsidR="006C34D9" w:rsidRDefault="00CB5041">
            <w:pPr>
              <w:pStyle w:val="TableParagraph"/>
              <w:spacing w:line="233" w:lineRule="exact"/>
              <w:ind w:left="275" w:right="264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(n=17)</w:t>
            </w:r>
          </w:p>
        </w:tc>
        <w:tc>
          <w:tcPr>
            <w:tcW w:w="1736" w:type="dxa"/>
          </w:tcPr>
          <w:p w14:paraId="0585AB19" w14:textId="77777777" w:rsidR="006C34D9" w:rsidRDefault="00CB5041">
            <w:pPr>
              <w:pStyle w:val="TableParagraph"/>
              <w:spacing w:line="233" w:lineRule="exact"/>
              <w:ind w:left="343" w:right="333"/>
              <w:jc w:val="center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(n=67)</w:t>
            </w:r>
          </w:p>
        </w:tc>
        <w:tc>
          <w:tcPr>
            <w:tcW w:w="1605" w:type="dxa"/>
          </w:tcPr>
          <w:p w14:paraId="74018771" w14:textId="77777777" w:rsidR="006C34D9" w:rsidRDefault="00CB5041">
            <w:pPr>
              <w:pStyle w:val="TableParagraph"/>
              <w:spacing w:line="233" w:lineRule="exact"/>
              <w:ind w:left="314" w:right="304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(n=15)</w:t>
            </w:r>
          </w:p>
        </w:tc>
      </w:tr>
      <w:tr w:rsidR="006C34D9" w14:paraId="423F28CB" w14:textId="77777777">
        <w:trPr>
          <w:trHeight w:val="252"/>
        </w:trPr>
        <w:tc>
          <w:tcPr>
            <w:tcW w:w="2359" w:type="dxa"/>
          </w:tcPr>
          <w:p w14:paraId="511591FC" w14:textId="77777777" w:rsidR="006C34D9" w:rsidRDefault="00CB5041">
            <w:pPr>
              <w:pStyle w:val="TableParagraph"/>
              <w:spacing w:line="233" w:lineRule="exact"/>
            </w:pPr>
            <w:r>
              <w:t>JIA</w:t>
            </w:r>
            <w:r>
              <w:rPr>
                <w:spacing w:val="-3"/>
              </w:rPr>
              <w:t xml:space="preserve"> </w:t>
            </w:r>
            <w:r>
              <w:t>ACR30</w:t>
            </w:r>
            <w:r>
              <w:rPr>
                <w:spacing w:val="-2"/>
              </w:rPr>
              <w:t xml:space="preserve"> </w:t>
            </w:r>
            <w:r>
              <w:t>Flare</w:t>
            </w:r>
          </w:p>
        </w:tc>
        <w:tc>
          <w:tcPr>
            <w:tcW w:w="1736" w:type="dxa"/>
          </w:tcPr>
          <w:p w14:paraId="438E5FF7" w14:textId="77777777" w:rsidR="006C34D9" w:rsidRDefault="00CB5041">
            <w:pPr>
              <w:pStyle w:val="TableParagraph"/>
              <w:spacing w:line="233" w:lineRule="exact"/>
              <w:ind w:left="343" w:right="333"/>
              <w:jc w:val="center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(39.1%)</w:t>
            </w:r>
          </w:p>
        </w:tc>
        <w:tc>
          <w:tcPr>
            <w:tcW w:w="1579" w:type="dxa"/>
          </w:tcPr>
          <w:p w14:paraId="48046464" w14:textId="77777777" w:rsidR="006C34D9" w:rsidRDefault="00CB5041">
            <w:pPr>
              <w:pStyle w:val="TableParagraph"/>
              <w:spacing w:line="233" w:lineRule="exact"/>
              <w:ind w:left="276" w:right="264"/>
              <w:jc w:val="center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t>(82.4%)</w:t>
            </w:r>
          </w:p>
        </w:tc>
        <w:tc>
          <w:tcPr>
            <w:tcW w:w="1736" w:type="dxa"/>
          </w:tcPr>
          <w:p w14:paraId="6B8C2C1D" w14:textId="77777777" w:rsidR="006C34D9" w:rsidRDefault="00CB5041">
            <w:pPr>
              <w:pStyle w:val="TableParagraph"/>
              <w:spacing w:line="233" w:lineRule="exact"/>
              <w:ind w:left="343" w:right="332"/>
              <w:jc w:val="center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t>(19.4%)</w:t>
            </w:r>
          </w:p>
        </w:tc>
        <w:tc>
          <w:tcPr>
            <w:tcW w:w="1605" w:type="dxa"/>
          </w:tcPr>
          <w:p w14:paraId="7B8541ED" w14:textId="77777777" w:rsidR="006C34D9" w:rsidRDefault="00CB5041">
            <w:pPr>
              <w:pStyle w:val="TableParagraph"/>
              <w:spacing w:line="233" w:lineRule="exact"/>
              <w:ind w:left="314" w:right="303"/>
              <w:jc w:val="center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(53.3%)</w:t>
            </w:r>
          </w:p>
        </w:tc>
      </w:tr>
      <w:tr w:rsidR="006C34D9" w14:paraId="748E2B1D" w14:textId="77777777">
        <w:trPr>
          <w:trHeight w:val="254"/>
        </w:trPr>
        <w:tc>
          <w:tcPr>
            <w:tcW w:w="2359" w:type="dxa"/>
          </w:tcPr>
          <w:p w14:paraId="0C0CCBCA" w14:textId="77777777" w:rsidR="006C34D9" w:rsidRDefault="00CB504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Prior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Biologic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Use</w:t>
            </w:r>
          </w:p>
        </w:tc>
        <w:tc>
          <w:tcPr>
            <w:tcW w:w="1736" w:type="dxa"/>
          </w:tcPr>
          <w:p w14:paraId="61F2C844" w14:textId="77777777" w:rsidR="006C34D9" w:rsidRDefault="00CB5041">
            <w:pPr>
              <w:pStyle w:val="TableParagraph"/>
              <w:spacing w:before="1" w:line="233" w:lineRule="exact"/>
              <w:ind w:left="342" w:right="333"/>
              <w:jc w:val="center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(n=23)</w:t>
            </w:r>
          </w:p>
        </w:tc>
        <w:tc>
          <w:tcPr>
            <w:tcW w:w="1579" w:type="dxa"/>
          </w:tcPr>
          <w:p w14:paraId="39F9C846" w14:textId="77777777" w:rsidR="006C34D9" w:rsidRDefault="00CB5041">
            <w:pPr>
              <w:pStyle w:val="TableParagraph"/>
              <w:spacing w:before="1" w:line="233" w:lineRule="exact"/>
              <w:ind w:left="275" w:right="264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(n=58)</w:t>
            </w:r>
          </w:p>
        </w:tc>
        <w:tc>
          <w:tcPr>
            <w:tcW w:w="1736" w:type="dxa"/>
          </w:tcPr>
          <w:p w14:paraId="3E84EAAA" w14:textId="77777777" w:rsidR="006C34D9" w:rsidRDefault="00CB5041">
            <w:pPr>
              <w:pStyle w:val="TableParagraph"/>
              <w:spacing w:before="1" w:line="233" w:lineRule="exact"/>
              <w:ind w:left="343" w:right="332"/>
              <w:jc w:val="center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(n=27)</w:t>
            </w:r>
          </w:p>
        </w:tc>
        <w:tc>
          <w:tcPr>
            <w:tcW w:w="1605" w:type="dxa"/>
          </w:tcPr>
          <w:p w14:paraId="0C2B4F4E" w14:textId="77777777" w:rsidR="006C34D9" w:rsidRDefault="00CB5041">
            <w:pPr>
              <w:pStyle w:val="TableParagraph"/>
              <w:spacing w:before="1" w:line="233" w:lineRule="exact"/>
              <w:ind w:left="314" w:right="304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(n=55)</w:t>
            </w:r>
          </w:p>
        </w:tc>
      </w:tr>
      <w:tr w:rsidR="006C34D9" w14:paraId="6BE483C8" w14:textId="77777777">
        <w:trPr>
          <w:trHeight w:val="252"/>
        </w:trPr>
        <w:tc>
          <w:tcPr>
            <w:tcW w:w="2359" w:type="dxa"/>
          </w:tcPr>
          <w:p w14:paraId="0D18F831" w14:textId="77777777" w:rsidR="006C34D9" w:rsidRDefault="00CB5041">
            <w:pPr>
              <w:pStyle w:val="TableParagraph"/>
              <w:spacing w:line="233" w:lineRule="exact"/>
            </w:pPr>
            <w:r>
              <w:t>JIA</w:t>
            </w:r>
            <w:r>
              <w:rPr>
                <w:spacing w:val="-3"/>
              </w:rPr>
              <w:t xml:space="preserve"> </w:t>
            </w:r>
            <w:r>
              <w:t>ACR30</w:t>
            </w:r>
            <w:r>
              <w:rPr>
                <w:spacing w:val="-2"/>
              </w:rPr>
              <w:t xml:space="preserve"> </w:t>
            </w:r>
            <w:r>
              <w:t>Flare</w:t>
            </w:r>
          </w:p>
        </w:tc>
        <w:tc>
          <w:tcPr>
            <w:tcW w:w="1736" w:type="dxa"/>
          </w:tcPr>
          <w:p w14:paraId="11F61EA2" w14:textId="77777777" w:rsidR="006C34D9" w:rsidRDefault="00CB5041">
            <w:pPr>
              <w:pStyle w:val="TableParagraph"/>
              <w:spacing w:line="233" w:lineRule="exact"/>
              <w:ind w:left="343" w:right="332"/>
              <w:jc w:val="center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t>(78.3)</w:t>
            </w:r>
          </w:p>
        </w:tc>
        <w:tc>
          <w:tcPr>
            <w:tcW w:w="1579" w:type="dxa"/>
          </w:tcPr>
          <w:p w14:paraId="2A01F47C" w14:textId="77777777" w:rsidR="006C34D9" w:rsidRDefault="00CB5041">
            <w:pPr>
              <w:pStyle w:val="TableParagraph"/>
              <w:spacing w:line="233" w:lineRule="exact"/>
              <w:ind w:left="276" w:right="264"/>
              <w:jc w:val="center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t>(36.2)</w:t>
            </w:r>
          </w:p>
        </w:tc>
        <w:tc>
          <w:tcPr>
            <w:tcW w:w="1736" w:type="dxa"/>
          </w:tcPr>
          <w:p w14:paraId="280D0567" w14:textId="77777777" w:rsidR="006C34D9" w:rsidRDefault="00CB5041">
            <w:pPr>
              <w:pStyle w:val="TableParagraph"/>
              <w:spacing w:line="233" w:lineRule="exact"/>
              <w:ind w:left="343" w:right="331"/>
              <w:jc w:val="center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(44.4)</w:t>
            </w:r>
          </w:p>
        </w:tc>
        <w:tc>
          <w:tcPr>
            <w:tcW w:w="1605" w:type="dxa"/>
          </w:tcPr>
          <w:p w14:paraId="1694F76B" w14:textId="77777777" w:rsidR="006C34D9" w:rsidRDefault="00CB5041">
            <w:pPr>
              <w:pStyle w:val="TableParagraph"/>
              <w:spacing w:line="233" w:lineRule="exact"/>
              <w:ind w:left="314" w:right="302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(16.4)</w:t>
            </w:r>
          </w:p>
        </w:tc>
      </w:tr>
    </w:tbl>
    <w:p w14:paraId="38A08D89" w14:textId="77777777" w:rsidR="006C34D9" w:rsidRDefault="006C34D9">
      <w:pPr>
        <w:pStyle w:val="BodyText"/>
        <w:spacing w:before="1"/>
        <w:ind w:left="0"/>
        <w:rPr>
          <w:b/>
          <w:sz w:val="13"/>
        </w:rPr>
      </w:pPr>
    </w:p>
    <w:p w14:paraId="0262A09B" w14:textId="77777777" w:rsidR="006C34D9" w:rsidRDefault="00CB5041">
      <w:pPr>
        <w:pStyle w:val="BodyText"/>
        <w:spacing w:before="90"/>
        <w:ind w:right="656"/>
        <w:jc w:val="both"/>
      </w:pPr>
      <w:r>
        <w:t>In Part III maintenance of efficacy through Week 104 was demonstrated for each of the JIA</w:t>
      </w:r>
      <w:r>
        <w:rPr>
          <w:spacing w:val="1"/>
        </w:rPr>
        <w:t xml:space="preserve"> </w:t>
      </w:r>
      <w:r>
        <w:t>responses rates and were similar between the continuous Actemra-treated subgroup and the</w:t>
      </w:r>
      <w:r>
        <w:rPr>
          <w:spacing w:val="1"/>
        </w:rPr>
        <w:t xml:space="preserve"> </w:t>
      </w:r>
      <w:r>
        <w:t>placebo-treated patients in Part II who re-commenced Actemra. For the continuous Actemra</w:t>
      </w:r>
      <w:r>
        <w:rPr>
          <w:spacing w:val="1"/>
        </w:rPr>
        <w:t xml:space="preserve"> </w:t>
      </w:r>
      <w:r>
        <w:t>group the JIA ACR 30/50/70/90 response rates at Week 104 were 95.1%, 90.2%, 86.6% and</w:t>
      </w:r>
      <w:r>
        <w:rPr>
          <w:spacing w:val="1"/>
        </w:rPr>
        <w:t xml:space="preserve"> </w:t>
      </w:r>
      <w:r>
        <w:t>70.7%, respectively. For placebo-treated patients in Part II who re-commenced Actemra JIA</w:t>
      </w:r>
      <w:r>
        <w:rPr>
          <w:spacing w:val="1"/>
        </w:rPr>
        <w:t xml:space="preserve"> </w:t>
      </w:r>
      <w:r>
        <w:t>ACR</w:t>
      </w:r>
      <w:r>
        <w:rPr>
          <w:spacing w:val="1"/>
        </w:rPr>
        <w:t xml:space="preserve"> </w:t>
      </w:r>
      <w:r>
        <w:t>30/50/70/90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Week</w:t>
      </w:r>
      <w:r>
        <w:rPr>
          <w:spacing w:val="1"/>
        </w:rPr>
        <w:t xml:space="preserve"> </w:t>
      </w:r>
      <w:r>
        <w:t>104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95.1%,</w:t>
      </w:r>
      <w:r>
        <w:rPr>
          <w:spacing w:val="1"/>
        </w:rPr>
        <w:t xml:space="preserve"> </w:t>
      </w:r>
      <w:r>
        <w:t>95.1%,</w:t>
      </w:r>
      <w:r>
        <w:rPr>
          <w:spacing w:val="1"/>
        </w:rPr>
        <w:t xml:space="preserve"> </w:t>
      </w:r>
      <w:r>
        <w:t>91.4%,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66.7%,</w:t>
      </w:r>
      <w:r>
        <w:rPr>
          <w:spacing w:val="-57"/>
        </w:rPr>
        <w:t xml:space="preserve"> </w:t>
      </w:r>
      <w:r>
        <w:rPr>
          <w:spacing w:val="-1"/>
        </w:rPr>
        <w:t>respectively.</w:t>
      </w:r>
      <w:r>
        <w:rPr>
          <w:spacing w:val="-14"/>
        </w:rPr>
        <w:t xml:space="preserve"> </w:t>
      </w:r>
      <w:r>
        <w:rPr>
          <w:spacing w:val="-1"/>
        </w:rPr>
        <w:t>Improvement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JIA</w:t>
      </w:r>
      <w:r>
        <w:rPr>
          <w:spacing w:val="-12"/>
        </w:rPr>
        <w:t xml:space="preserve"> </w:t>
      </w:r>
      <w:r>
        <w:t>ACR</w:t>
      </w:r>
      <w:r>
        <w:rPr>
          <w:spacing w:val="-13"/>
        </w:rPr>
        <w:t xml:space="preserve"> </w:t>
      </w:r>
      <w:r>
        <w:t>core</w:t>
      </w:r>
      <w:r>
        <w:rPr>
          <w:spacing w:val="-11"/>
        </w:rPr>
        <w:t xml:space="preserve"> </w:t>
      </w:r>
      <w:r>
        <w:t>components</w:t>
      </w:r>
      <w:r>
        <w:rPr>
          <w:spacing w:val="-11"/>
        </w:rPr>
        <w:t xml:space="preserve"> </w:t>
      </w:r>
      <w:r>
        <w:t>observed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Week</w:t>
      </w:r>
      <w:r>
        <w:rPr>
          <w:spacing w:val="-11"/>
        </w:rPr>
        <w:t xml:space="preserve"> </w:t>
      </w:r>
      <w:r>
        <w:t>40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maintained.</w:t>
      </w:r>
    </w:p>
    <w:p w14:paraId="1CB81A00" w14:textId="77777777" w:rsidR="006C34D9" w:rsidRDefault="00CB5041">
      <w:pPr>
        <w:spacing w:before="202"/>
        <w:ind w:left="659"/>
        <w:jc w:val="both"/>
        <w:rPr>
          <w:i/>
          <w:sz w:val="24"/>
        </w:rPr>
      </w:pPr>
      <w:r>
        <w:rPr>
          <w:i/>
          <w:sz w:val="24"/>
        </w:rPr>
        <w:t>Subcutaneous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Administration</w:t>
      </w:r>
    </w:p>
    <w:p w14:paraId="5DCA349D" w14:textId="77777777" w:rsidR="006C34D9" w:rsidRDefault="00CB5041">
      <w:pPr>
        <w:pStyle w:val="BodyText"/>
        <w:spacing w:before="2" w:line="242" w:lineRule="auto"/>
        <w:ind w:left="659" w:right="659"/>
        <w:jc w:val="both"/>
      </w:pPr>
      <w:r>
        <w:t>A 52-week, open-label, multi-</w:t>
      </w:r>
      <w:proofErr w:type="spellStart"/>
      <w:r>
        <w:t>centre</w:t>
      </w:r>
      <w:proofErr w:type="spellEnd"/>
      <w:r>
        <w:t>, PK-PD and safety study (Study XI, JIGSAW) was</w:t>
      </w:r>
      <w:r>
        <w:rPr>
          <w:spacing w:val="1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 xml:space="preserve">in </w:t>
      </w:r>
      <w:proofErr w:type="spellStart"/>
      <w:r>
        <w:t>paediatric</w:t>
      </w:r>
      <w:proofErr w:type="spellEnd"/>
      <w:r>
        <w:rPr>
          <w:spacing w:val="-1"/>
        </w:rPr>
        <w:t xml:space="preserve"> </w:t>
      </w:r>
      <w:r>
        <w:t xml:space="preserve">patients with </w:t>
      </w:r>
      <w:proofErr w:type="spellStart"/>
      <w:r>
        <w:t>pJIA</w:t>
      </w:r>
      <w:proofErr w:type="spellEnd"/>
      <w:r>
        <w:t>, aged</w:t>
      </w:r>
      <w:r>
        <w:rPr>
          <w:spacing w:val="-3"/>
        </w:rPr>
        <w:t xml:space="preserve"> </w:t>
      </w:r>
      <w:r>
        <w:t>1 to 17 years old.</w:t>
      </w:r>
    </w:p>
    <w:p w14:paraId="315147DF" w14:textId="77777777" w:rsidR="006C34D9" w:rsidRDefault="006C34D9">
      <w:pPr>
        <w:pStyle w:val="BodyText"/>
        <w:spacing w:before="4"/>
        <w:ind w:left="0"/>
      </w:pPr>
    </w:p>
    <w:p w14:paraId="163F11E0" w14:textId="77777777" w:rsidR="006C34D9" w:rsidRDefault="00CB5041">
      <w:pPr>
        <w:pStyle w:val="BodyText"/>
        <w:ind w:left="659"/>
        <w:jc w:val="both"/>
        <w:rPr>
          <w:rFonts w:ascii="Symbol" w:hAnsi="Symbol"/>
        </w:rPr>
      </w:pPr>
      <w:r>
        <w:t>Eligible</w:t>
      </w:r>
      <w:r>
        <w:rPr>
          <w:spacing w:val="-1"/>
        </w:rPr>
        <w:t xml:space="preserve"> </w:t>
      </w:r>
      <w:r>
        <w:t>patients received Actemra</w:t>
      </w:r>
      <w:r>
        <w:rPr>
          <w:spacing w:val="-1"/>
        </w:rPr>
        <w:t xml:space="preserve"> </w:t>
      </w:r>
      <w:r>
        <w:t>dosed according to body</w:t>
      </w:r>
      <w:r>
        <w:rPr>
          <w:spacing w:val="-1"/>
        </w:rPr>
        <w:t xml:space="preserve"> </w:t>
      </w:r>
      <w:r>
        <w:t>weight, with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weighing</w:t>
      </w:r>
      <w:r>
        <w:rPr>
          <w:spacing w:val="59"/>
        </w:rPr>
        <w:t xml:space="preserve"> </w:t>
      </w:r>
      <w:r>
        <w:rPr>
          <w:rFonts w:ascii="Symbol" w:hAnsi="Symbol"/>
        </w:rPr>
        <w:t></w:t>
      </w:r>
    </w:p>
    <w:p w14:paraId="0C9D8C61" w14:textId="77777777" w:rsidR="006C34D9" w:rsidRDefault="00CB5041">
      <w:pPr>
        <w:pStyle w:val="BodyText"/>
        <w:ind w:left="659" w:right="658"/>
        <w:jc w:val="both"/>
      </w:pPr>
      <w:r>
        <w:t>30</w:t>
      </w:r>
      <w:r>
        <w:rPr>
          <w:spacing w:val="1"/>
        </w:rPr>
        <w:t xml:space="preserve"> </w:t>
      </w:r>
      <w:r>
        <w:t>kg</w:t>
      </w:r>
      <w:r>
        <w:rPr>
          <w:spacing w:val="1"/>
        </w:rPr>
        <w:t xml:space="preserve"> </w:t>
      </w:r>
      <w:r>
        <w:t xml:space="preserve">(n </w:t>
      </w:r>
      <w:r>
        <w:rPr>
          <w:rFonts w:ascii="Symbol" w:hAnsi="Symbol"/>
        </w:rPr>
        <w:t></w:t>
      </w:r>
      <w:r>
        <w:t xml:space="preserve"> 25)</w:t>
      </w:r>
      <w:r>
        <w:rPr>
          <w:spacing w:val="1"/>
        </w:rPr>
        <w:t xml:space="preserve"> </w:t>
      </w:r>
      <w:r>
        <w:t>dosed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162</w:t>
      </w:r>
      <w:r>
        <w:rPr>
          <w:spacing w:val="1"/>
        </w:rPr>
        <w:t xml:space="preserve"> </w:t>
      </w:r>
      <w:r>
        <w:t>mg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Actemra</w:t>
      </w:r>
      <w:r>
        <w:rPr>
          <w:spacing w:val="60"/>
        </w:rPr>
        <w:t xml:space="preserve"> </w:t>
      </w:r>
      <w:r>
        <w:t>every</w:t>
      </w:r>
      <w:r>
        <w:rPr>
          <w:spacing w:val="60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weeks</w:t>
      </w:r>
      <w:r>
        <w:rPr>
          <w:spacing w:val="60"/>
        </w:rPr>
        <w:t xml:space="preserve"> </w:t>
      </w:r>
      <w:r>
        <w:t>(Q2W)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 xml:space="preserve">weighing below 30 kg (n </w:t>
      </w:r>
      <w:r>
        <w:rPr>
          <w:rFonts w:ascii="Symbol" w:hAnsi="Symbol"/>
        </w:rPr>
        <w:t></w:t>
      </w:r>
      <w:r>
        <w:t xml:space="preserve"> 27) dosed with 162 mg of Actemra every 3 weeks (Q3W) for 52</w:t>
      </w:r>
      <w:r>
        <w:rPr>
          <w:spacing w:val="1"/>
        </w:rPr>
        <w:t xml:space="preserve"> </w:t>
      </w:r>
      <w:r>
        <w:t>weeks.</w:t>
      </w:r>
      <w:r>
        <w:rPr>
          <w:spacing w:val="3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52</w:t>
      </w:r>
      <w:r>
        <w:rPr>
          <w:spacing w:val="-11"/>
        </w:rPr>
        <w:t xml:space="preserve"> </w:t>
      </w:r>
      <w:r>
        <w:t>patients,</w:t>
      </w:r>
      <w:r>
        <w:rPr>
          <w:spacing w:val="-11"/>
        </w:rPr>
        <w:t xml:space="preserve"> </w:t>
      </w:r>
      <w:r>
        <w:t>37</w:t>
      </w:r>
      <w:r>
        <w:rPr>
          <w:spacing w:val="-11"/>
        </w:rPr>
        <w:t xml:space="preserve"> </w:t>
      </w:r>
      <w:r>
        <w:t>(71%)</w:t>
      </w:r>
      <w:r>
        <w:rPr>
          <w:spacing w:val="-11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naive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Actemra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(29%)</w:t>
      </w:r>
      <w:r>
        <w:rPr>
          <w:spacing w:val="-11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receiving</w:t>
      </w:r>
      <w:r>
        <w:rPr>
          <w:spacing w:val="-58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Actemra and switched to SC</w:t>
      </w:r>
      <w:r>
        <w:rPr>
          <w:spacing w:val="-1"/>
        </w:rPr>
        <w:t xml:space="preserve"> </w:t>
      </w:r>
      <w:r>
        <w:t>Actemra at</w:t>
      </w:r>
      <w:r>
        <w:rPr>
          <w:spacing w:val="-1"/>
        </w:rPr>
        <w:t xml:space="preserve"> </w:t>
      </w:r>
      <w:r>
        <w:t>baseline.</w:t>
      </w:r>
    </w:p>
    <w:p w14:paraId="131F1C17" w14:textId="77777777" w:rsidR="006C34D9" w:rsidRDefault="00CB5041">
      <w:pPr>
        <w:pStyle w:val="BodyText"/>
        <w:spacing w:before="168"/>
        <w:ind w:left="659" w:right="658"/>
        <w:jc w:val="both"/>
      </w:pPr>
      <w:r>
        <w:t>The SC Actemra regimens of 162 mg Q3W for patients weighing below 30 kg and of 162 mg</w:t>
      </w:r>
      <w:r>
        <w:rPr>
          <w:spacing w:val="-57"/>
        </w:rPr>
        <w:t xml:space="preserve"> </w:t>
      </w:r>
      <w:r>
        <w:t>Q2W for patients weighing ≥ 30 kg, respectively provided PK exposure and PD responses to</w:t>
      </w:r>
      <w:r>
        <w:rPr>
          <w:spacing w:val="1"/>
        </w:rPr>
        <w:t xml:space="preserve"> </w:t>
      </w:r>
      <w:r>
        <w:t>support efficacy and safety outcomes similar to those achieved with the approved IV Actemra</w:t>
      </w:r>
      <w:r>
        <w:rPr>
          <w:spacing w:val="-57"/>
        </w:rPr>
        <w:t xml:space="preserve"> </w:t>
      </w:r>
      <w:r>
        <w:t>regimens</w:t>
      </w:r>
      <w:r>
        <w:rPr>
          <w:spacing w:val="-1"/>
        </w:rPr>
        <w:t xml:space="preserve"> </w:t>
      </w:r>
      <w:r>
        <w:t xml:space="preserve">for </w:t>
      </w:r>
      <w:proofErr w:type="spellStart"/>
      <w:r>
        <w:t>pJIA</w:t>
      </w:r>
      <w:proofErr w:type="spellEnd"/>
      <w:r>
        <w:t>.</w:t>
      </w:r>
    </w:p>
    <w:p w14:paraId="2B855056" w14:textId="77777777" w:rsidR="006C34D9" w:rsidRDefault="00CB5041">
      <w:pPr>
        <w:pStyle w:val="BodyText"/>
        <w:spacing w:before="171"/>
        <w:ind w:left="659" w:right="657"/>
        <w:jc w:val="both"/>
      </w:pPr>
      <w:r>
        <w:t>Exploratory efficacy results showed that SC Actemra improved median Juvenile Arthritis</w:t>
      </w:r>
      <w:r>
        <w:rPr>
          <w:spacing w:val="1"/>
        </w:rPr>
        <w:t xml:space="preserve"> </w:t>
      </w:r>
      <w:r>
        <w:t>Disease Activity Score (JADAS)-71 for Actemra naïve patients and maintained the median</w:t>
      </w:r>
      <w:r>
        <w:rPr>
          <w:spacing w:val="1"/>
        </w:rPr>
        <w:t xml:space="preserve"> </w:t>
      </w:r>
      <w:r>
        <w:t>JADAS-71 for patients who switched from IV to SC Actemra treatment over the entire course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study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patients in both body</w:t>
      </w:r>
      <w:r>
        <w:rPr>
          <w:spacing w:val="-1"/>
        </w:rPr>
        <w:t xml:space="preserve"> </w:t>
      </w:r>
      <w:r>
        <w:t>weight groups (below</w:t>
      </w:r>
      <w:r>
        <w:rPr>
          <w:spacing w:val="-2"/>
        </w:rPr>
        <w:t xml:space="preserve"> </w:t>
      </w:r>
      <w:r>
        <w:t xml:space="preserve">30 kg and </w:t>
      </w:r>
      <w:r>
        <w:rPr>
          <w:rFonts w:ascii="Symbol" w:hAnsi="Symbol"/>
        </w:rPr>
        <w:t></w:t>
      </w:r>
      <w:r>
        <w:rPr>
          <w:spacing w:val="-1"/>
        </w:rPr>
        <w:t xml:space="preserve"> </w:t>
      </w:r>
      <w:r>
        <w:t>30 kg).</w:t>
      </w:r>
    </w:p>
    <w:p w14:paraId="3467ACA3" w14:textId="77777777" w:rsidR="006C34D9" w:rsidRDefault="00CB5041">
      <w:pPr>
        <w:pStyle w:val="BodyText"/>
        <w:spacing w:before="199"/>
        <w:jc w:val="both"/>
      </w:pPr>
      <w:r>
        <w:rPr>
          <w:u w:val="single"/>
        </w:rPr>
        <w:t>Systemic</w:t>
      </w:r>
      <w:r>
        <w:rPr>
          <w:spacing w:val="-4"/>
          <w:u w:val="single"/>
        </w:rPr>
        <w:t xml:space="preserve"> </w:t>
      </w:r>
      <w:r>
        <w:rPr>
          <w:u w:val="single"/>
        </w:rPr>
        <w:t>Juvenile</w:t>
      </w:r>
      <w:r>
        <w:rPr>
          <w:spacing w:val="-4"/>
          <w:u w:val="single"/>
        </w:rPr>
        <w:t xml:space="preserve"> </w:t>
      </w:r>
      <w:r>
        <w:rPr>
          <w:u w:val="single"/>
        </w:rPr>
        <w:t>Idiopathic</w:t>
      </w:r>
      <w:r>
        <w:rPr>
          <w:spacing w:val="-3"/>
          <w:u w:val="single"/>
        </w:rPr>
        <w:t xml:space="preserve"> </w:t>
      </w:r>
      <w:r>
        <w:rPr>
          <w:u w:val="single"/>
        </w:rPr>
        <w:t>Arthritis</w:t>
      </w:r>
    </w:p>
    <w:p w14:paraId="0856C84D" w14:textId="77777777" w:rsidR="006C34D9" w:rsidRDefault="00CB5041">
      <w:pPr>
        <w:spacing w:before="202" w:line="275" w:lineRule="exact"/>
        <w:ind w:left="660"/>
        <w:jc w:val="both"/>
        <w:rPr>
          <w:i/>
          <w:sz w:val="24"/>
        </w:rPr>
      </w:pPr>
      <w:r>
        <w:rPr>
          <w:i/>
          <w:sz w:val="24"/>
        </w:rPr>
        <w:t>Intravenous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administration</w:t>
      </w:r>
    </w:p>
    <w:p w14:paraId="044EF8B5" w14:textId="77777777" w:rsidR="006C34D9" w:rsidRDefault="00CB5041">
      <w:pPr>
        <w:pStyle w:val="BodyText"/>
        <w:ind w:left="659" w:right="656"/>
        <w:jc w:val="both"/>
      </w:pPr>
      <w:r>
        <w:t>The</w:t>
      </w:r>
      <w:r>
        <w:rPr>
          <w:spacing w:val="-13"/>
        </w:rPr>
        <w:t xml:space="preserve"> </w:t>
      </w:r>
      <w:r>
        <w:t>efficacy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intravenous</w:t>
      </w:r>
      <w:r>
        <w:rPr>
          <w:spacing w:val="-12"/>
        </w:rPr>
        <w:t xml:space="preserve"> </w:t>
      </w:r>
      <w:r>
        <w:t>Actemra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treatment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active</w:t>
      </w:r>
      <w:r>
        <w:rPr>
          <w:spacing w:val="-13"/>
        </w:rPr>
        <w:t xml:space="preserve"> </w:t>
      </w:r>
      <w:proofErr w:type="spellStart"/>
      <w:r>
        <w:t>sJIA</w:t>
      </w:r>
      <w:proofErr w:type="spellEnd"/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assessed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12-week</w:t>
      </w:r>
      <w:r>
        <w:rPr>
          <w:spacing w:val="-58"/>
        </w:rPr>
        <w:t xml:space="preserve"> </w:t>
      </w:r>
      <w:proofErr w:type="spellStart"/>
      <w:r>
        <w:t>randomised</w:t>
      </w:r>
      <w:proofErr w:type="spellEnd"/>
      <w:r>
        <w:t>,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blind,</w:t>
      </w:r>
      <w:r>
        <w:rPr>
          <w:spacing w:val="1"/>
        </w:rPr>
        <w:t xml:space="preserve"> </w:t>
      </w:r>
      <w:r>
        <w:t>placebo-controlled,</w:t>
      </w:r>
      <w:r>
        <w:rPr>
          <w:spacing w:val="1"/>
        </w:rPr>
        <w:t xml:space="preserve"> </w:t>
      </w:r>
      <w:r>
        <w:t>parallel</w:t>
      </w:r>
      <w:r>
        <w:rPr>
          <w:spacing w:val="1"/>
        </w:rPr>
        <w:t xml:space="preserve"> </w:t>
      </w:r>
      <w:r>
        <w:t>group,</w:t>
      </w:r>
      <w:r>
        <w:rPr>
          <w:spacing w:val="1"/>
        </w:rPr>
        <w:t xml:space="preserve"> </w:t>
      </w:r>
      <w:r>
        <w:t>2-arm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(Study</w:t>
      </w:r>
      <w:r>
        <w:rPr>
          <w:spacing w:val="1"/>
        </w:rPr>
        <w:t xml:space="preserve"> </w:t>
      </w:r>
      <w:r>
        <w:t>XII,</w:t>
      </w:r>
      <w:r>
        <w:rPr>
          <w:spacing w:val="1"/>
        </w:rPr>
        <w:t xml:space="preserve"> </w:t>
      </w:r>
      <w:r>
        <w:t>TENDER).</w:t>
      </w:r>
      <w:r>
        <w:rPr>
          <w:spacing w:val="-8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(treated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MTX)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proofErr w:type="spellStart"/>
      <w:r>
        <w:t>randomised</w:t>
      </w:r>
      <w:proofErr w:type="spellEnd"/>
      <w:r>
        <w:rPr>
          <w:spacing w:val="-8"/>
        </w:rPr>
        <w:t xml:space="preserve"> </w:t>
      </w:r>
      <w:r>
        <w:t>(Actemra:</w:t>
      </w:r>
      <w:r>
        <w:rPr>
          <w:spacing w:val="-8"/>
        </w:rPr>
        <w:t xml:space="preserve"> </w:t>
      </w:r>
      <w:r>
        <w:t>placebo</w:t>
      </w:r>
      <w:r>
        <w:rPr>
          <w:spacing w:val="-8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2:1)</w:t>
      </w:r>
      <w:r>
        <w:rPr>
          <w:spacing w:val="-5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groups.</w:t>
      </w:r>
      <w:r>
        <w:rPr>
          <w:spacing w:val="-6"/>
        </w:rPr>
        <w:t xml:space="preserve"> </w:t>
      </w:r>
      <w:r>
        <w:t>75</w:t>
      </w:r>
      <w:r>
        <w:rPr>
          <w:spacing w:val="-7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Actemra</w:t>
      </w:r>
      <w:r>
        <w:rPr>
          <w:spacing w:val="-6"/>
        </w:rPr>
        <w:t xml:space="preserve"> </w:t>
      </w:r>
      <w:r>
        <w:t>infusions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either</w:t>
      </w:r>
      <w:r>
        <w:rPr>
          <w:spacing w:val="-58"/>
        </w:rPr>
        <w:t xml:space="preserve"> </w:t>
      </w:r>
      <w:r>
        <w:t>8 mg/kg for patients ≥ 30kg or 12 mg/kg for patients &lt; 30 kg and 37 patients were assigned to</w:t>
      </w:r>
      <w:r>
        <w:rPr>
          <w:spacing w:val="-57"/>
        </w:rPr>
        <w:t xml:space="preserve"> </w:t>
      </w:r>
      <w:r>
        <w:t>receiving placebo infusions every two weeks. Corticosteroid tapering could occur from week</w:t>
      </w:r>
      <w:r>
        <w:rPr>
          <w:spacing w:val="1"/>
        </w:rPr>
        <w:t xml:space="preserve"> </w:t>
      </w:r>
      <w:r>
        <w:t>6 for patients who achieved a JIA ACR70 response. After 12 weeks or at the time of escape,</w:t>
      </w:r>
      <w:r>
        <w:rPr>
          <w:spacing w:val="1"/>
        </w:rPr>
        <w:t xml:space="preserve"> </w:t>
      </w:r>
      <w:r>
        <w:t>due to disease worsening, patients were treated in the open-label extension phase at weight</w:t>
      </w:r>
      <w:r>
        <w:rPr>
          <w:spacing w:val="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dosing.</w:t>
      </w:r>
    </w:p>
    <w:p w14:paraId="64A7FD36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1BA9E912" w14:textId="77777777" w:rsidR="006C34D9" w:rsidRDefault="00CB5041">
      <w:pPr>
        <w:pStyle w:val="BodyText"/>
        <w:ind w:left="659" w:right="657"/>
        <w:jc w:val="both"/>
      </w:pPr>
      <w:r>
        <w:t>The demographic characteristics at baseline were similar between the placebo and Actemra</w:t>
      </w:r>
      <w:r>
        <w:rPr>
          <w:spacing w:val="1"/>
        </w:rPr>
        <w:t xml:space="preserve"> </w:t>
      </w:r>
      <w:r>
        <w:t>groups.</w:t>
      </w:r>
      <w:r>
        <w:rPr>
          <w:spacing w:val="-6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evenly</w:t>
      </w:r>
      <w:r>
        <w:rPr>
          <w:spacing w:val="-6"/>
        </w:rPr>
        <w:t xml:space="preserve"> </w:t>
      </w:r>
      <w:r>
        <w:t>split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male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female,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median</w:t>
      </w:r>
      <w:r>
        <w:rPr>
          <w:spacing w:val="-6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placebo and Actemra groups, respectively. 27 patients in the study were aged between 2-5</w:t>
      </w:r>
      <w:r>
        <w:rPr>
          <w:spacing w:val="-57"/>
        </w:rPr>
        <w:t xml:space="preserve"> </w:t>
      </w:r>
      <w:r>
        <w:t>years, 48 patients between 6-12 years and 37 patients between 13-18 years. Baseline disease</w:t>
      </w:r>
      <w:r>
        <w:rPr>
          <w:spacing w:val="1"/>
        </w:rPr>
        <w:t xml:space="preserve"> </w:t>
      </w:r>
      <w:r>
        <w:t>characteristics studied included</w:t>
      </w:r>
      <w:r>
        <w:rPr>
          <w:spacing w:val="1"/>
        </w:rPr>
        <w:t xml:space="preserve"> </w:t>
      </w:r>
      <w:r>
        <w:t>fever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rash status,</w:t>
      </w:r>
      <w:r>
        <w:rPr>
          <w:spacing w:val="1"/>
        </w:rPr>
        <w:t xml:space="preserve"> </w:t>
      </w:r>
      <w:r>
        <w:t>previous use of DMARDs, previous</w:t>
      </w:r>
      <w:r>
        <w:rPr>
          <w:spacing w:val="1"/>
        </w:rPr>
        <w:t xml:space="preserve"> </w:t>
      </w:r>
      <w:r>
        <w:t>use</w:t>
      </w:r>
    </w:p>
    <w:p w14:paraId="605F12F5" w14:textId="77777777" w:rsidR="006C34D9" w:rsidRDefault="006C34D9">
      <w:pPr>
        <w:jc w:val="both"/>
        <w:sectPr w:rsidR="006C34D9">
          <w:pgSz w:w="11910" w:h="16840"/>
          <w:pgMar w:top="1420" w:right="780" w:bottom="780" w:left="780" w:header="0" w:footer="592" w:gutter="0"/>
          <w:cols w:space="720"/>
        </w:sectPr>
      </w:pPr>
    </w:p>
    <w:p w14:paraId="3A671C6B" w14:textId="77777777" w:rsidR="006C34D9" w:rsidRDefault="00CB5041">
      <w:pPr>
        <w:pStyle w:val="BodyText"/>
        <w:spacing w:before="79"/>
        <w:ind w:right="658"/>
        <w:jc w:val="both"/>
      </w:pPr>
      <w:r>
        <w:lastRenderedPageBreak/>
        <w:t>of biologics, CRP, and articular and extra-articular damage. All were similar between the</w:t>
      </w:r>
      <w:r>
        <w:rPr>
          <w:spacing w:val="1"/>
        </w:rPr>
        <w:t xml:space="preserve"> </w:t>
      </w:r>
      <w:r>
        <w:t>placebo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Actemra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proportion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rash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placebo</w:t>
      </w:r>
      <w:r>
        <w:rPr>
          <w:spacing w:val="-58"/>
        </w:rPr>
        <w:t xml:space="preserve"> </w:t>
      </w:r>
      <w:r>
        <w:rPr>
          <w:spacing w:val="-1"/>
        </w:rPr>
        <w:t>group</w:t>
      </w:r>
      <w:r>
        <w:rPr>
          <w:spacing w:val="-15"/>
        </w:rPr>
        <w:t xml:space="preserve"> </w:t>
      </w:r>
      <w:r>
        <w:rPr>
          <w:spacing w:val="-1"/>
        </w:rPr>
        <w:t>(48.6%)</w:t>
      </w:r>
      <w:r>
        <w:rPr>
          <w:spacing w:val="-14"/>
        </w:rPr>
        <w:t xml:space="preserve"> </w:t>
      </w:r>
      <w:r>
        <w:rPr>
          <w:spacing w:val="-1"/>
        </w:rPr>
        <w:t>compared</w:t>
      </w:r>
      <w:r>
        <w:rPr>
          <w:spacing w:val="-15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Actemra</w:t>
      </w:r>
      <w:r>
        <w:rPr>
          <w:spacing w:val="-15"/>
        </w:rPr>
        <w:t xml:space="preserve"> </w:t>
      </w:r>
      <w:r>
        <w:t>group</w:t>
      </w:r>
      <w:r>
        <w:rPr>
          <w:spacing w:val="-15"/>
        </w:rPr>
        <w:t xml:space="preserve"> </w:t>
      </w:r>
      <w:r>
        <w:t>(29.3%).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addition,</w:t>
      </w:r>
      <w:r>
        <w:rPr>
          <w:spacing w:val="-15"/>
        </w:rPr>
        <w:t xml:space="preserve"> </w:t>
      </w:r>
      <w:r>
        <w:t>baseline</w:t>
      </w:r>
      <w:r>
        <w:rPr>
          <w:spacing w:val="-14"/>
        </w:rPr>
        <w:t xml:space="preserve"> </w:t>
      </w:r>
      <w:r>
        <w:t>CRP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lower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placebo group in comparison</w:t>
      </w:r>
      <w:r>
        <w:rPr>
          <w:spacing w:val="-3"/>
        </w:rPr>
        <w:t xml:space="preserve"> </w:t>
      </w:r>
      <w:r>
        <w:t>with the Actemra group.</w:t>
      </w:r>
    </w:p>
    <w:p w14:paraId="20B9FF6D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A88C82D" w14:textId="77777777" w:rsidR="006C34D9" w:rsidRDefault="00CB5041">
      <w:pPr>
        <w:pStyle w:val="BodyText"/>
        <w:ind w:left="659" w:right="657"/>
        <w:jc w:val="both"/>
      </w:pPr>
      <w:r>
        <w:t>The primary endpoint was the proportion of patients with at least 30% improvement in JIA</w:t>
      </w:r>
      <w:r>
        <w:rPr>
          <w:spacing w:val="1"/>
        </w:rPr>
        <w:t xml:space="preserve"> </w:t>
      </w:r>
      <w:r>
        <w:t>ACR core set (JIA ACR30 response) at Week 12 and absence of fever (no temperature</w:t>
      </w:r>
      <w:r>
        <w:rPr>
          <w:spacing w:val="1"/>
        </w:rPr>
        <w:t xml:space="preserve"> </w:t>
      </w:r>
      <w:r>
        <w:t>recording</w:t>
      </w:r>
      <w:r>
        <w:rPr>
          <w:spacing w:val="-5"/>
        </w:rPr>
        <w:t xml:space="preserve"> </w:t>
      </w:r>
      <w:r>
        <w:t>≥</w:t>
      </w:r>
      <w:r>
        <w:rPr>
          <w:spacing w:val="-4"/>
        </w:rPr>
        <w:t xml:space="preserve"> </w:t>
      </w:r>
      <w:r>
        <w:t>37.5°C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preceding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days).</w:t>
      </w:r>
      <w:r>
        <w:rPr>
          <w:spacing w:val="-4"/>
        </w:rPr>
        <w:t xml:space="preserve"> </w:t>
      </w:r>
      <w:r>
        <w:t>Eighty</w:t>
      </w:r>
      <w:r>
        <w:rPr>
          <w:spacing w:val="-4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(64/75)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treated</w:t>
      </w:r>
      <w:r>
        <w:rPr>
          <w:spacing w:val="-58"/>
        </w:rPr>
        <w:t xml:space="preserve"> </w:t>
      </w:r>
      <w:r>
        <w:t>with Actemra and 24.3% (9/37) of placebo patients achieved this endpoint. These proportions</w:t>
      </w:r>
      <w:r>
        <w:rPr>
          <w:spacing w:val="-57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significantly</w:t>
      </w:r>
      <w:r>
        <w:rPr>
          <w:spacing w:val="-2"/>
        </w:rPr>
        <w:t xml:space="preserve"> </w:t>
      </w:r>
      <w:r>
        <w:t>different (p&lt;0.0001).</w:t>
      </w:r>
    </w:p>
    <w:p w14:paraId="0C741615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5C7FCBCA" w14:textId="77777777" w:rsidR="006C34D9" w:rsidRDefault="00CB5041">
      <w:pPr>
        <w:pStyle w:val="BodyText"/>
        <w:ind w:left="659" w:right="657"/>
        <w:jc w:val="both"/>
      </w:pPr>
      <w:r>
        <w:t>The</w:t>
      </w:r>
      <w:r>
        <w:rPr>
          <w:spacing w:val="-2"/>
        </w:rPr>
        <w:t xml:space="preserve"> </w:t>
      </w:r>
      <w:r>
        <w:t>percent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JIA</w:t>
      </w:r>
      <w:r>
        <w:rPr>
          <w:spacing w:val="-3"/>
        </w:rPr>
        <w:t xml:space="preserve"> </w:t>
      </w:r>
      <w:r>
        <w:t>ACR</w:t>
      </w:r>
      <w:r>
        <w:rPr>
          <w:spacing w:val="-3"/>
        </w:rPr>
        <w:t xml:space="preserve"> </w:t>
      </w:r>
      <w:r>
        <w:t>30, 50,</w:t>
      </w:r>
      <w:r>
        <w:rPr>
          <w:spacing w:val="-3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57"/>
        </w:rPr>
        <w:t xml:space="preserve"> </w:t>
      </w:r>
      <w:r>
        <w:t>below.</w:t>
      </w:r>
    </w:p>
    <w:p w14:paraId="2DB9EC03" w14:textId="77777777" w:rsidR="006C34D9" w:rsidRDefault="006C34D9">
      <w:pPr>
        <w:pStyle w:val="BodyText"/>
        <w:spacing w:before="1"/>
        <w:ind w:left="0"/>
        <w:rPr>
          <w:sz w:val="21"/>
        </w:rPr>
      </w:pPr>
    </w:p>
    <w:p w14:paraId="509FEA95" w14:textId="77777777" w:rsidR="006C34D9" w:rsidRDefault="00CB5041">
      <w:pPr>
        <w:pStyle w:val="Heading2"/>
        <w:ind w:left="659"/>
      </w:pPr>
      <w:r>
        <w:t>Table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JIA</w:t>
      </w:r>
      <w:r>
        <w:rPr>
          <w:spacing w:val="-2"/>
        </w:rPr>
        <w:t xml:space="preserve"> </w:t>
      </w:r>
      <w:r>
        <w:t>ACR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(percent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patients)</w:t>
      </w:r>
    </w:p>
    <w:p w14:paraId="21F73883" w14:textId="77777777" w:rsidR="006C34D9" w:rsidRDefault="006C34D9">
      <w:pPr>
        <w:pStyle w:val="BodyText"/>
        <w:spacing w:before="5"/>
        <w:ind w:left="0"/>
        <w:rPr>
          <w:b/>
          <w:sz w:val="10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3"/>
        <w:gridCol w:w="2954"/>
        <w:gridCol w:w="2779"/>
      </w:tblGrid>
      <w:tr w:rsidR="006C34D9" w14:paraId="7E0F283B" w14:textId="77777777">
        <w:trPr>
          <w:trHeight w:val="506"/>
        </w:trPr>
        <w:tc>
          <w:tcPr>
            <w:tcW w:w="3283" w:type="dxa"/>
          </w:tcPr>
          <w:p w14:paraId="243FC006" w14:textId="77777777" w:rsidR="006C34D9" w:rsidRDefault="00CB504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Response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Rate</w:t>
            </w:r>
          </w:p>
        </w:tc>
        <w:tc>
          <w:tcPr>
            <w:tcW w:w="2954" w:type="dxa"/>
          </w:tcPr>
          <w:p w14:paraId="3CB67621" w14:textId="77777777" w:rsidR="006C34D9" w:rsidRDefault="00CB5041">
            <w:pPr>
              <w:pStyle w:val="TableParagraph"/>
              <w:spacing w:line="254" w:lineRule="exact"/>
              <w:ind w:left="1068" w:right="1057"/>
              <w:jc w:val="center"/>
              <w:rPr>
                <w:b/>
              </w:rPr>
            </w:pPr>
            <w:r>
              <w:rPr>
                <w:b/>
                <w:spacing w:val="-1"/>
              </w:rPr>
              <w:t>Actemra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n=75</w:t>
            </w:r>
          </w:p>
        </w:tc>
        <w:tc>
          <w:tcPr>
            <w:tcW w:w="2779" w:type="dxa"/>
          </w:tcPr>
          <w:p w14:paraId="3EDEA28F" w14:textId="77777777" w:rsidR="006C34D9" w:rsidRDefault="00CB5041">
            <w:pPr>
              <w:pStyle w:val="TableParagraph"/>
              <w:spacing w:line="254" w:lineRule="exact"/>
              <w:ind w:left="1022" w:right="1011"/>
              <w:jc w:val="center"/>
              <w:rPr>
                <w:b/>
              </w:rPr>
            </w:pPr>
            <w:r>
              <w:rPr>
                <w:b/>
              </w:rPr>
              <w:t>Placebo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n=37</w:t>
            </w:r>
          </w:p>
        </w:tc>
      </w:tr>
      <w:tr w:rsidR="006C34D9" w14:paraId="698F8458" w14:textId="77777777">
        <w:trPr>
          <w:trHeight w:val="250"/>
        </w:trPr>
        <w:tc>
          <w:tcPr>
            <w:tcW w:w="3283" w:type="dxa"/>
          </w:tcPr>
          <w:p w14:paraId="268748EF" w14:textId="77777777" w:rsidR="006C34D9" w:rsidRDefault="00CB5041">
            <w:pPr>
              <w:pStyle w:val="TableParagraph"/>
              <w:spacing w:line="231" w:lineRule="exact"/>
            </w:pPr>
            <w:r>
              <w:t>ACR</w:t>
            </w:r>
            <w:r>
              <w:rPr>
                <w:spacing w:val="-1"/>
              </w:rPr>
              <w:t xml:space="preserve"> </w:t>
            </w:r>
            <w:r>
              <w:t>30</w:t>
            </w:r>
          </w:p>
        </w:tc>
        <w:tc>
          <w:tcPr>
            <w:tcW w:w="2954" w:type="dxa"/>
          </w:tcPr>
          <w:p w14:paraId="2F05C913" w14:textId="77777777" w:rsidR="006C34D9" w:rsidRDefault="00CB5041">
            <w:pPr>
              <w:pStyle w:val="TableParagraph"/>
              <w:spacing w:line="231" w:lineRule="exact"/>
              <w:ind w:left="1066" w:right="1057"/>
              <w:jc w:val="center"/>
            </w:pPr>
            <w:r>
              <w:t>90.7%*</w:t>
            </w:r>
          </w:p>
        </w:tc>
        <w:tc>
          <w:tcPr>
            <w:tcW w:w="2779" w:type="dxa"/>
          </w:tcPr>
          <w:p w14:paraId="0BFFA5FD" w14:textId="77777777" w:rsidR="006C34D9" w:rsidRDefault="00CB5041">
            <w:pPr>
              <w:pStyle w:val="TableParagraph"/>
              <w:spacing w:line="231" w:lineRule="exact"/>
              <w:ind w:left="0" w:right="1091"/>
              <w:jc w:val="right"/>
            </w:pPr>
            <w:r>
              <w:t>24.3%</w:t>
            </w:r>
          </w:p>
        </w:tc>
      </w:tr>
      <w:tr w:rsidR="006C34D9" w14:paraId="5E80A713" w14:textId="77777777">
        <w:trPr>
          <w:trHeight w:val="252"/>
        </w:trPr>
        <w:tc>
          <w:tcPr>
            <w:tcW w:w="3283" w:type="dxa"/>
          </w:tcPr>
          <w:p w14:paraId="41D50EF7" w14:textId="77777777" w:rsidR="006C34D9" w:rsidRDefault="00CB5041">
            <w:pPr>
              <w:pStyle w:val="TableParagraph"/>
              <w:spacing w:line="233" w:lineRule="exact"/>
            </w:pPr>
            <w:r>
              <w:t>ACR</w:t>
            </w:r>
            <w:r>
              <w:rPr>
                <w:spacing w:val="-1"/>
              </w:rPr>
              <w:t xml:space="preserve"> </w:t>
            </w:r>
            <w:r>
              <w:t>50</w:t>
            </w:r>
          </w:p>
        </w:tc>
        <w:tc>
          <w:tcPr>
            <w:tcW w:w="2954" w:type="dxa"/>
          </w:tcPr>
          <w:p w14:paraId="25AC0242" w14:textId="77777777" w:rsidR="006C34D9" w:rsidRDefault="00CB5041">
            <w:pPr>
              <w:pStyle w:val="TableParagraph"/>
              <w:spacing w:line="233" w:lineRule="exact"/>
              <w:ind w:left="1066" w:right="1057"/>
              <w:jc w:val="center"/>
            </w:pPr>
            <w:r>
              <w:t>85.3%*</w:t>
            </w:r>
          </w:p>
        </w:tc>
        <w:tc>
          <w:tcPr>
            <w:tcW w:w="2779" w:type="dxa"/>
          </w:tcPr>
          <w:p w14:paraId="52DF605D" w14:textId="77777777" w:rsidR="006C34D9" w:rsidRDefault="00CB5041">
            <w:pPr>
              <w:pStyle w:val="TableParagraph"/>
              <w:spacing w:line="233" w:lineRule="exact"/>
              <w:ind w:left="0" w:right="1091"/>
              <w:jc w:val="right"/>
            </w:pPr>
            <w:r>
              <w:t>10.8%</w:t>
            </w:r>
          </w:p>
        </w:tc>
      </w:tr>
      <w:tr w:rsidR="006C34D9" w14:paraId="2E418FC7" w14:textId="77777777">
        <w:trPr>
          <w:trHeight w:val="252"/>
        </w:trPr>
        <w:tc>
          <w:tcPr>
            <w:tcW w:w="3283" w:type="dxa"/>
          </w:tcPr>
          <w:p w14:paraId="08967533" w14:textId="77777777" w:rsidR="006C34D9" w:rsidRDefault="00CB5041">
            <w:pPr>
              <w:pStyle w:val="TableParagraph"/>
              <w:spacing w:line="233" w:lineRule="exact"/>
            </w:pPr>
            <w:r>
              <w:t>ACR</w:t>
            </w:r>
            <w:r>
              <w:rPr>
                <w:spacing w:val="-1"/>
              </w:rPr>
              <w:t xml:space="preserve"> </w:t>
            </w:r>
            <w:r>
              <w:t>70</w:t>
            </w:r>
          </w:p>
        </w:tc>
        <w:tc>
          <w:tcPr>
            <w:tcW w:w="2954" w:type="dxa"/>
          </w:tcPr>
          <w:p w14:paraId="0F1ACB38" w14:textId="77777777" w:rsidR="006C34D9" w:rsidRDefault="00CB5041">
            <w:pPr>
              <w:pStyle w:val="TableParagraph"/>
              <w:spacing w:line="233" w:lineRule="exact"/>
              <w:ind w:left="1066" w:right="1057"/>
              <w:jc w:val="center"/>
            </w:pPr>
            <w:r>
              <w:t>70.7%*</w:t>
            </w:r>
          </w:p>
        </w:tc>
        <w:tc>
          <w:tcPr>
            <w:tcW w:w="2779" w:type="dxa"/>
          </w:tcPr>
          <w:p w14:paraId="11F2E4D6" w14:textId="77777777" w:rsidR="006C34D9" w:rsidRDefault="00CB5041">
            <w:pPr>
              <w:pStyle w:val="TableParagraph"/>
              <w:spacing w:line="233" w:lineRule="exact"/>
              <w:ind w:left="0" w:right="1146"/>
              <w:jc w:val="right"/>
            </w:pPr>
            <w:r>
              <w:t>8.1%</w:t>
            </w:r>
          </w:p>
        </w:tc>
      </w:tr>
      <w:tr w:rsidR="006C34D9" w14:paraId="085DECED" w14:textId="77777777">
        <w:trPr>
          <w:trHeight w:val="253"/>
        </w:trPr>
        <w:tc>
          <w:tcPr>
            <w:tcW w:w="3283" w:type="dxa"/>
          </w:tcPr>
          <w:p w14:paraId="24359B50" w14:textId="77777777" w:rsidR="006C34D9" w:rsidRDefault="00CB5041">
            <w:pPr>
              <w:pStyle w:val="TableParagraph"/>
              <w:spacing w:line="234" w:lineRule="exact"/>
            </w:pPr>
            <w:r>
              <w:t>ACR</w:t>
            </w:r>
            <w:r>
              <w:rPr>
                <w:spacing w:val="-1"/>
              </w:rPr>
              <w:t xml:space="preserve"> </w:t>
            </w:r>
            <w:r>
              <w:t>90</w:t>
            </w:r>
          </w:p>
        </w:tc>
        <w:tc>
          <w:tcPr>
            <w:tcW w:w="2954" w:type="dxa"/>
          </w:tcPr>
          <w:p w14:paraId="3794139F" w14:textId="77777777" w:rsidR="006C34D9" w:rsidRDefault="00CB5041">
            <w:pPr>
              <w:pStyle w:val="TableParagraph"/>
              <w:spacing w:line="234" w:lineRule="exact"/>
              <w:ind w:left="1066" w:right="1057"/>
              <w:jc w:val="center"/>
            </w:pPr>
            <w:r>
              <w:t>37.3%*</w:t>
            </w:r>
          </w:p>
        </w:tc>
        <w:tc>
          <w:tcPr>
            <w:tcW w:w="2779" w:type="dxa"/>
          </w:tcPr>
          <w:p w14:paraId="46C18025" w14:textId="77777777" w:rsidR="006C34D9" w:rsidRDefault="00CB5041">
            <w:pPr>
              <w:pStyle w:val="TableParagraph"/>
              <w:spacing w:line="234" w:lineRule="exact"/>
              <w:ind w:left="0" w:right="1146"/>
              <w:jc w:val="right"/>
            </w:pPr>
            <w:r>
              <w:t>5.4%</w:t>
            </w:r>
          </w:p>
        </w:tc>
      </w:tr>
    </w:tbl>
    <w:p w14:paraId="1656FFA4" w14:textId="77777777" w:rsidR="006C34D9" w:rsidRDefault="00CB5041">
      <w:pPr>
        <w:pStyle w:val="ListParagraph"/>
        <w:numPr>
          <w:ilvl w:val="0"/>
          <w:numId w:val="3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p&lt;0.0001,</w:t>
      </w:r>
      <w:r>
        <w:rPr>
          <w:spacing w:val="-4"/>
          <w:sz w:val="20"/>
        </w:rPr>
        <w:t xml:space="preserve"> </w:t>
      </w:r>
      <w:r>
        <w:rPr>
          <w:sz w:val="20"/>
        </w:rPr>
        <w:t>Actemra</w:t>
      </w:r>
      <w:r>
        <w:rPr>
          <w:spacing w:val="-2"/>
          <w:sz w:val="20"/>
        </w:rPr>
        <w:t xml:space="preserve"> </w:t>
      </w:r>
      <w:r>
        <w:rPr>
          <w:sz w:val="20"/>
        </w:rPr>
        <w:t>vs.</w:t>
      </w:r>
      <w:r>
        <w:rPr>
          <w:spacing w:val="-4"/>
          <w:sz w:val="20"/>
        </w:rPr>
        <w:t xml:space="preserve"> </w:t>
      </w:r>
      <w:r>
        <w:rPr>
          <w:sz w:val="20"/>
        </w:rPr>
        <w:t>placebo</w:t>
      </w:r>
    </w:p>
    <w:p w14:paraId="2299EB41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05E2EAB1" w14:textId="77777777" w:rsidR="006C34D9" w:rsidRDefault="00CB5041">
      <w:pPr>
        <w:pStyle w:val="BodyText"/>
        <w:ind w:right="658"/>
        <w:jc w:val="both"/>
      </w:pPr>
      <w:r>
        <w:t xml:space="preserve">Secondary endpoints of the study included the proportion of patients with fever due to </w:t>
      </w:r>
      <w:proofErr w:type="spellStart"/>
      <w:r>
        <w:t>sJIA</w:t>
      </w:r>
      <w:proofErr w:type="spellEnd"/>
      <w:r>
        <w:t xml:space="preserve"> at</w:t>
      </w:r>
      <w:r>
        <w:rPr>
          <w:spacing w:val="-57"/>
        </w:rPr>
        <w:t xml:space="preserve"> </w:t>
      </w:r>
      <w:r>
        <w:t>baseline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fever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week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corticosteroid</w:t>
      </w:r>
      <w:r>
        <w:rPr>
          <w:spacing w:val="1"/>
        </w:rPr>
        <w:t xml:space="preserve"> </w:t>
      </w:r>
      <w:r>
        <w:t>tapering,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bookmarkStart w:id="111" w:name="Systemic_Features"/>
      <w:bookmarkEnd w:id="111"/>
      <w:r>
        <w:t>improvements</w:t>
      </w:r>
      <w:r>
        <w:rPr>
          <w:spacing w:val="-1"/>
        </w:rPr>
        <w:t xml:space="preserve"> </w:t>
      </w:r>
      <w:r>
        <w:t>as measured</w:t>
      </w:r>
      <w:r>
        <w:rPr>
          <w:spacing w:val="-1"/>
        </w:rPr>
        <w:t xml:space="preserve"> </w:t>
      </w:r>
      <w:r>
        <w:t>by CHAQ-DI</w:t>
      </w:r>
      <w:r>
        <w:rPr>
          <w:spacing w:val="-1"/>
        </w:rPr>
        <w:t xml:space="preserve"> </w:t>
      </w:r>
      <w:r>
        <w:t>and changes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parameters.</w:t>
      </w:r>
    </w:p>
    <w:p w14:paraId="6D52461D" w14:textId="77777777" w:rsidR="006C34D9" w:rsidRDefault="00CB5041">
      <w:pPr>
        <w:spacing w:before="202" w:line="275" w:lineRule="exact"/>
        <w:ind w:left="660"/>
        <w:jc w:val="both"/>
        <w:rPr>
          <w:i/>
          <w:sz w:val="24"/>
        </w:rPr>
      </w:pPr>
      <w:r>
        <w:rPr>
          <w:i/>
          <w:sz w:val="24"/>
        </w:rPr>
        <w:t>Systemic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Features</w:t>
      </w:r>
    </w:p>
    <w:p w14:paraId="0858C11F" w14:textId="77777777" w:rsidR="006C34D9" w:rsidRDefault="00CB5041">
      <w:pPr>
        <w:pStyle w:val="BodyText"/>
        <w:ind w:right="657"/>
        <w:jc w:val="both"/>
      </w:pPr>
      <w:r>
        <w:t>In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treated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Actemra,</w:t>
      </w:r>
      <w:r>
        <w:rPr>
          <w:spacing w:val="-5"/>
        </w:rPr>
        <w:t xml:space="preserve"> </w:t>
      </w:r>
      <w:r>
        <w:t>85%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fever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sJIA</w:t>
      </w:r>
      <w:proofErr w:type="spellEnd"/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baseline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fever (no temperature recording ≥ 37.5°C in the preceding 14 days) at week 12 versus only</w:t>
      </w:r>
      <w:r>
        <w:rPr>
          <w:spacing w:val="1"/>
        </w:rPr>
        <w:t xml:space="preserve"> </w:t>
      </w:r>
      <w:r>
        <w:t>21%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placebo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(p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0.0001),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64%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Actemra-treated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rash</w:t>
      </w:r>
      <w:r>
        <w:rPr>
          <w:spacing w:val="1"/>
        </w:rPr>
        <w:t xml:space="preserve"> </w:t>
      </w:r>
      <w:r>
        <w:t xml:space="preserve">characteristic of </w:t>
      </w:r>
      <w:proofErr w:type="spellStart"/>
      <w:r>
        <w:t>sJIA</w:t>
      </w:r>
      <w:proofErr w:type="spellEnd"/>
      <w:r>
        <w:t xml:space="preserve"> at baseline were free of rash at week 12 versus 11% of placebo patients</w:t>
      </w:r>
      <w:r>
        <w:rPr>
          <w:spacing w:val="1"/>
        </w:rPr>
        <w:t xml:space="preserve"> </w:t>
      </w:r>
      <w:r>
        <w:t>(p=0.0008).</w:t>
      </w:r>
    </w:p>
    <w:p w14:paraId="4FF57C08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17A41A79" w14:textId="77777777" w:rsidR="006C34D9" w:rsidRDefault="00CB5041">
      <w:pPr>
        <w:pStyle w:val="BodyText"/>
        <w:ind w:right="657"/>
        <w:jc w:val="both"/>
      </w:pPr>
      <w:r>
        <w:t>There was a highly statistically significant reduction in pain for Actemra-treated patients at</w:t>
      </w:r>
      <w:r>
        <w:rPr>
          <w:spacing w:val="1"/>
        </w:rPr>
        <w:t xml:space="preserve"> </w:t>
      </w:r>
      <w:r>
        <w:t xml:space="preserve">week 12 in comparison to placebo patients. The adjusted mean </w:t>
      </w:r>
      <w:proofErr w:type="gramStart"/>
      <w:r>
        <w:t>change</w:t>
      </w:r>
      <w:proofErr w:type="gramEnd"/>
      <w:r>
        <w:t xml:space="preserve"> in the pain VAS after</w:t>
      </w:r>
      <w:r>
        <w:rPr>
          <w:spacing w:val="1"/>
        </w:rPr>
        <w:t xml:space="preserve"> </w:t>
      </w:r>
      <w:r>
        <w:t>12 weeks of Actemra treatment was a reduction of 41 points on a scale of 0 -100 compared to</w:t>
      </w:r>
      <w:r>
        <w:rPr>
          <w:spacing w:val="-57"/>
        </w:rPr>
        <w:t xml:space="preserve"> </w:t>
      </w:r>
      <w:bookmarkStart w:id="112" w:name="Corticosteroid_Tapering"/>
      <w:bookmarkEnd w:id="112"/>
      <w:r>
        <w:t>a</w:t>
      </w:r>
      <w:r>
        <w:rPr>
          <w:spacing w:val="-1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 for placebo patients</w:t>
      </w:r>
      <w:r>
        <w:rPr>
          <w:spacing w:val="-1"/>
        </w:rPr>
        <w:t xml:space="preserve"> </w:t>
      </w:r>
      <w:r>
        <w:t>(p &lt; 0.0001).</w:t>
      </w:r>
    </w:p>
    <w:p w14:paraId="0D984616" w14:textId="77777777" w:rsidR="006C34D9" w:rsidRDefault="00CB5041">
      <w:pPr>
        <w:spacing w:before="201" w:line="275" w:lineRule="exact"/>
        <w:ind w:left="660"/>
        <w:jc w:val="both"/>
        <w:rPr>
          <w:i/>
          <w:sz w:val="24"/>
        </w:rPr>
      </w:pPr>
      <w:r>
        <w:rPr>
          <w:i/>
          <w:sz w:val="24"/>
        </w:rPr>
        <w:t>Corticosteroid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Tapering</w:t>
      </w:r>
    </w:p>
    <w:p w14:paraId="25C58153" w14:textId="77777777" w:rsidR="006C34D9" w:rsidRDefault="00CB5041">
      <w:pPr>
        <w:pStyle w:val="BodyText"/>
        <w:ind w:right="657"/>
        <w:jc w:val="both"/>
      </w:pP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placebo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70</w:t>
      </w:r>
      <w:r>
        <w:rPr>
          <w:spacing w:val="-6"/>
        </w:rPr>
        <w:t xml:space="preserve"> </w:t>
      </w:r>
      <w:r>
        <w:t>Actemra</w:t>
      </w:r>
      <w:r>
        <w:rPr>
          <w:spacing w:val="-7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corticosteroids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baseline,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placebo</w:t>
      </w:r>
      <w:r>
        <w:rPr>
          <w:spacing w:val="-5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48</w:t>
      </w:r>
      <w:r>
        <w:rPr>
          <w:spacing w:val="-13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achieved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JIA</w:t>
      </w:r>
      <w:r>
        <w:rPr>
          <w:spacing w:val="-14"/>
        </w:rPr>
        <w:t xml:space="preserve"> </w:t>
      </w:r>
      <w:r>
        <w:t>ACR70</w:t>
      </w:r>
      <w:r>
        <w:rPr>
          <w:spacing w:val="-13"/>
        </w:rPr>
        <w:t xml:space="preserve"> </w:t>
      </w:r>
      <w:r>
        <w:t>response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week</w:t>
      </w:r>
      <w:r>
        <w:rPr>
          <w:spacing w:val="-13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enabling</w:t>
      </w:r>
      <w:r>
        <w:rPr>
          <w:spacing w:val="-13"/>
        </w:rPr>
        <w:t xml:space="preserve"> </w:t>
      </w:r>
      <w:r>
        <w:t>corticosteroid</w:t>
      </w:r>
      <w:r>
        <w:rPr>
          <w:spacing w:val="-58"/>
        </w:rPr>
        <w:t xml:space="preserve"> </w:t>
      </w:r>
      <w:r>
        <w:t>dose reduction. Seventeen (24%) Actemra patients versus 1 (3%) placebo patient were able to</w:t>
      </w:r>
      <w:r>
        <w:rPr>
          <w:spacing w:val="-57"/>
        </w:rPr>
        <w:t xml:space="preserve"> </w:t>
      </w:r>
      <w:r>
        <w:t>reduce the dose of corticosteroid by at least 20% without experiencing a subsequent JIA</w:t>
      </w:r>
      <w:r>
        <w:rPr>
          <w:spacing w:val="1"/>
        </w:rPr>
        <w:t xml:space="preserve"> </w:t>
      </w:r>
      <w:bookmarkStart w:id="113" w:name="Quality_of_Life"/>
      <w:bookmarkEnd w:id="113"/>
      <w:r>
        <w:t>ACR30 flare or</w:t>
      </w:r>
      <w:r>
        <w:rPr>
          <w:spacing w:val="-1"/>
        </w:rPr>
        <w:t xml:space="preserve"> </w:t>
      </w:r>
      <w:r>
        <w:t>occurrence of</w:t>
      </w:r>
      <w:r>
        <w:rPr>
          <w:spacing w:val="-1"/>
        </w:rPr>
        <w:t xml:space="preserve"> </w:t>
      </w:r>
      <w:r>
        <w:t>systemic</w:t>
      </w:r>
      <w:r>
        <w:rPr>
          <w:spacing w:val="-1"/>
        </w:rPr>
        <w:t xml:space="preserve"> </w:t>
      </w:r>
      <w:r>
        <w:t>symptoms to week 12 (p=0.028).</w:t>
      </w:r>
    </w:p>
    <w:p w14:paraId="24FF23FF" w14:textId="77777777" w:rsidR="006C34D9" w:rsidRDefault="00CB5041">
      <w:pPr>
        <w:spacing w:before="201" w:line="275" w:lineRule="exact"/>
        <w:ind w:left="660"/>
        <w:jc w:val="both"/>
        <w:rPr>
          <w:i/>
          <w:sz w:val="24"/>
        </w:rPr>
      </w:pPr>
      <w:r>
        <w:rPr>
          <w:i/>
          <w:sz w:val="24"/>
        </w:rPr>
        <w:t>Quality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Life</w:t>
      </w:r>
    </w:p>
    <w:p w14:paraId="6B14B51E" w14:textId="77777777" w:rsidR="006C34D9" w:rsidRDefault="00CB5041">
      <w:pPr>
        <w:pStyle w:val="BodyText"/>
        <w:ind w:right="658"/>
        <w:jc w:val="both"/>
      </w:pPr>
      <w:r>
        <w:t>At</w:t>
      </w:r>
      <w:r>
        <w:rPr>
          <w:spacing w:val="1"/>
        </w:rPr>
        <w:t xml:space="preserve"> </w:t>
      </w:r>
      <w:r>
        <w:t>week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proportion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Actemra-treated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showing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minimally</w:t>
      </w:r>
      <w:r>
        <w:rPr>
          <w:spacing w:val="1"/>
        </w:rPr>
        <w:t xml:space="preserve"> </w:t>
      </w:r>
      <w:r>
        <w:t>clinically</w:t>
      </w:r>
      <w:r>
        <w:rPr>
          <w:spacing w:val="-57"/>
        </w:rPr>
        <w:t xml:space="preserve"> </w:t>
      </w:r>
      <w:r>
        <w:t>important improvement in CHAQ-DI (defined as an individual total score decrease of ≥ 0.13)</w:t>
      </w:r>
      <w:r>
        <w:rPr>
          <w:spacing w:val="-57"/>
        </w:rPr>
        <w:t xml:space="preserve"> </w:t>
      </w:r>
      <w:bookmarkStart w:id="114" w:name="Laboratory_Parameters"/>
      <w:bookmarkEnd w:id="114"/>
      <w:r>
        <w:t>was</w:t>
      </w:r>
      <w:r>
        <w:rPr>
          <w:spacing w:val="-1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placebo,</w:t>
      </w:r>
      <w:r>
        <w:rPr>
          <w:spacing w:val="-1"/>
        </w:rPr>
        <w:t xml:space="preserve"> </w:t>
      </w:r>
      <w:r>
        <w:t>77%</w:t>
      </w:r>
      <w:r>
        <w:rPr>
          <w:spacing w:val="-1"/>
        </w:rPr>
        <w:t xml:space="preserve"> </w:t>
      </w:r>
      <w:r>
        <w:t>versus</w:t>
      </w:r>
      <w:r>
        <w:rPr>
          <w:spacing w:val="-1"/>
        </w:rPr>
        <w:t xml:space="preserve"> </w:t>
      </w:r>
      <w:r>
        <w:t>19%</w:t>
      </w:r>
      <w:r>
        <w:rPr>
          <w:spacing w:val="-1"/>
        </w:rPr>
        <w:t xml:space="preserve"> </w:t>
      </w:r>
      <w:r>
        <w:t>(p</w:t>
      </w:r>
      <w:r>
        <w:rPr>
          <w:spacing w:val="-1"/>
        </w:rPr>
        <w:t xml:space="preserve"> </w:t>
      </w:r>
      <w:r>
        <w:t>&lt; 0.0001).</w:t>
      </w:r>
    </w:p>
    <w:p w14:paraId="147524AE" w14:textId="77777777" w:rsidR="006C34D9" w:rsidRDefault="00CB5041">
      <w:pPr>
        <w:spacing w:before="201"/>
        <w:ind w:left="660"/>
        <w:jc w:val="both"/>
        <w:rPr>
          <w:i/>
          <w:sz w:val="24"/>
        </w:rPr>
      </w:pPr>
      <w:r>
        <w:rPr>
          <w:i/>
          <w:sz w:val="24"/>
        </w:rPr>
        <w:t>Laboratory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Parameters</w:t>
      </w:r>
    </w:p>
    <w:p w14:paraId="6D0CE686" w14:textId="77777777" w:rsidR="006C34D9" w:rsidRDefault="006C34D9">
      <w:pPr>
        <w:jc w:val="both"/>
        <w:rPr>
          <w:sz w:val="24"/>
        </w:r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22F48F2E" w14:textId="77777777" w:rsidR="006C34D9" w:rsidRDefault="00CB5041">
      <w:pPr>
        <w:pStyle w:val="BodyText"/>
        <w:spacing w:before="79"/>
        <w:ind w:left="659" w:right="657"/>
        <w:jc w:val="both"/>
      </w:pPr>
      <w:r>
        <w:lastRenderedPageBreak/>
        <w:t xml:space="preserve">Fifty out of 75 (67%) patients treated with Actemra had a </w:t>
      </w:r>
      <w:proofErr w:type="spellStart"/>
      <w:r>
        <w:t>haemoglobin</w:t>
      </w:r>
      <w:proofErr w:type="spellEnd"/>
      <w:r>
        <w:t xml:space="preserve"> &lt; LLN at baseline.</w:t>
      </w:r>
      <w:r>
        <w:rPr>
          <w:spacing w:val="1"/>
        </w:rPr>
        <w:t xml:space="preserve"> </w:t>
      </w:r>
      <w:r>
        <w:rPr>
          <w:spacing w:val="-1"/>
        </w:rPr>
        <w:t>Forty</w:t>
      </w:r>
      <w:r>
        <w:rPr>
          <w:spacing w:val="-14"/>
        </w:rPr>
        <w:t xml:space="preserve"> </w:t>
      </w:r>
      <w:r>
        <w:rPr>
          <w:spacing w:val="-1"/>
        </w:rPr>
        <w:t>(80%)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these</w:t>
      </w:r>
      <w:r>
        <w:rPr>
          <w:spacing w:val="-13"/>
        </w:rPr>
        <w:t xml:space="preserve"> </w:t>
      </w:r>
      <w:r>
        <w:rPr>
          <w:spacing w:val="-1"/>
        </w:rPr>
        <w:t>patients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decreased</w:t>
      </w:r>
      <w:r>
        <w:rPr>
          <w:spacing w:val="-14"/>
        </w:rPr>
        <w:t xml:space="preserve"> </w:t>
      </w:r>
      <w:proofErr w:type="spellStart"/>
      <w:r>
        <w:t>haemoglobin</w:t>
      </w:r>
      <w:proofErr w:type="spellEnd"/>
      <w:r>
        <w:rPr>
          <w:spacing w:val="-14"/>
        </w:rPr>
        <w:t xml:space="preserve"> </w:t>
      </w:r>
      <w:r>
        <w:t>had</w:t>
      </w:r>
      <w:r>
        <w:rPr>
          <w:spacing w:val="-13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increase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their</w:t>
      </w:r>
      <w:r>
        <w:rPr>
          <w:spacing w:val="-13"/>
        </w:rPr>
        <w:t xml:space="preserve"> </w:t>
      </w:r>
      <w:proofErr w:type="spellStart"/>
      <w:r>
        <w:t>haemoglobin</w:t>
      </w:r>
      <w:proofErr w:type="spellEnd"/>
      <w:r>
        <w:rPr>
          <w:spacing w:val="-58"/>
        </w:rPr>
        <w:t xml:space="preserve"> </w:t>
      </w:r>
      <w:r>
        <w:t>to within the normal range at week 12, in comparison to only 2 out of 29 (7%) of placebo</w:t>
      </w:r>
      <w:r>
        <w:rPr>
          <w:spacing w:val="1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spellStart"/>
      <w:r>
        <w:t>haemoglobin</w:t>
      </w:r>
      <w:proofErr w:type="spellEnd"/>
      <w:r>
        <w:rPr>
          <w:spacing w:val="-6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LLN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baseline</w:t>
      </w:r>
      <w:r>
        <w:rPr>
          <w:spacing w:val="-7"/>
        </w:rPr>
        <w:t xml:space="preserve"> </w:t>
      </w:r>
      <w:r>
        <w:t>(p</w:t>
      </w:r>
      <w:r>
        <w:rPr>
          <w:spacing w:val="-6"/>
        </w:rPr>
        <w:t xml:space="preserve"> </w:t>
      </w:r>
      <w:r>
        <w:t>&lt;</w:t>
      </w:r>
      <w:r>
        <w:rPr>
          <w:spacing w:val="-6"/>
        </w:rPr>
        <w:t xml:space="preserve"> </w:t>
      </w:r>
      <w:r>
        <w:t>0.0001).</w:t>
      </w:r>
      <w:r>
        <w:rPr>
          <w:spacing w:val="-5"/>
        </w:rPr>
        <w:t xml:space="preserve"> </w:t>
      </w:r>
      <w:r>
        <w:t>Forty-four</w:t>
      </w:r>
      <w:r>
        <w:rPr>
          <w:spacing w:val="-7"/>
        </w:rPr>
        <w:t xml:space="preserve"> </w:t>
      </w:r>
      <w:r>
        <w:t>(88%)</w:t>
      </w:r>
      <w:r>
        <w:rPr>
          <w:spacing w:val="-5"/>
        </w:rPr>
        <w:t xml:space="preserve"> </w:t>
      </w:r>
      <w:r>
        <w:t>Actemra</w:t>
      </w:r>
      <w:r>
        <w:rPr>
          <w:spacing w:val="-6"/>
        </w:rPr>
        <w:t xml:space="preserve"> </w:t>
      </w:r>
      <w:r>
        <w:t>patients</w:t>
      </w:r>
      <w:r>
        <w:rPr>
          <w:spacing w:val="-57"/>
        </w:rPr>
        <w:t xml:space="preserve"> </w:t>
      </w:r>
      <w:r>
        <w:t xml:space="preserve">with decreased </w:t>
      </w:r>
      <w:proofErr w:type="spellStart"/>
      <w:r>
        <w:t>haemoglobin</w:t>
      </w:r>
      <w:proofErr w:type="spellEnd"/>
      <w:r>
        <w:t xml:space="preserve"> at baseline had an increase in their </w:t>
      </w:r>
      <w:proofErr w:type="spellStart"/>
      <w:r>
        <w:t>haemoglobin</w:t>
      </w:r>
      <w:proofErr w:type="spellEnd"/>
      <w:r>
        <w:t xml:space="preserve"> by ≥ 10 g/L at</w:t>
      </w:r>
      <w:r>
        <w:rPr>
          <w:spacing w:val="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6 versus 1 (3%) placebo patient (p</w:t>
      </w:r>
      <w:r>
        <w:rPr>
          <w:spacing w:val="-1"/>
        </w:rPr>
        <w:t xml:space="preserve"> </w:t>
      </w:r>
      <w:r>
        <w:t>&lt; 0.0001).</w:t>
      </w:r>
    </w:p>
    <w:p w14:paraId="1B258BCA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0A708114" w14:textId="77777777" w:rsidR="006C34D9" w:rsidRDefault="00CB5041">
      <w:pPr>
        <w:pStyle w:val="BodyText"/>
        <w:ind w:right="658"/>
        <w:jc w:val="both"/>
      </w:pPr>
      <w:r>
        <w:t>The proportion of Actemra-treated patients with thrombocytosis at baseline who had a normal</w:t>
      </w:r>
      <w:r>
        <w:rPr>
          <w:spacing w:val="-57"/>
        </w:rPr>
        <w:t xml:space="preserve"> </w:t>
      </w:r>
      <w:r>
        <w:t>platelet</w:t>
      </w:r>
      <w:r>
        <w:rPr>
          <w:spacing w:val="-9"/>
        </w:rPr>
        <w:t xml:space="preserve"> </w:t>
      </w:r>
      <w:r>
        <w:t>count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week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significantly</w:t>
      </w:r>
      <w:r>
        <w:rPr>
          <w:spacing w:val="-9"/>
        </w:rPr>
        <w:t xml:space="preserve"> </w:t>
      </w:r>
      <w:r>
        <w:t>higher</w:t>
      </w:r>
      <w:r>
        <w:rPr>
          <w:spacing w:val="-8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placebo</w:t>
      </w:r>
      <w:r>
        <w:rPr>
          <w:spacing w:val="-10"/>
        </w:rPr>
        <w:t xml:space="preserve"> </w:t>
      </w:r>
      <w:r>
        <w:t>patients,</w:t>
      </w:r>
      <w:r>
        <w:rPr>
          <w:spacing w:val="-7"/>
        </w:rPr>
        <w:t xml:space="preserve"> </w:t>
      </w:r>
      <w:r>
        <w:t>90%</w:t>
      </w:r>
      <w:r>
        <w:rPr>
          <w:spacing w:val="-8"/>
        </w:rPr>
        <w:t xml:space="preserve"> </w:t>
      </w:r>
      <w:r>
        <w:t>versus</w:t>
      </w:r>
      <w:r>
        <w:rPr>
          <w:spacing w:val="-7"/>
        </w:rPr>
        <w:t xml:space="preserve"> </w:t>
      </w:r>
      <w:r>
        <w:t>4%,</w:t>
      </w:r>
      <w:r>
        <w:rPr>
          <w:spacing w:val="-58"/>
        </w:rPr>
        <w:t xml:space="preserve"> </w:t>
      </w:r>
      <w:r>
        <w:t>(p &lt;</w:t>
      </w:r>
      <w:r>
        <w:rPr>
          <w:spacing w:val="-1"/>
        </w:rPr>
        <w:t xml:space="preserve"> </w:t>
      </w:r>
      <w:r>
        <w:t>0.0001).</w:t>
      </w:r>
    </w:p>
    <w:p w14:paraId="191494B0" w14:textId="77777777" w:rsidR="006C34D9" w:rsidRDefault="006C34D9">
      <w:pPr>
        <w:pStyle w:val="BodyText"/>
        <w:spacing w:before="2"/>
        <w:ind w:left="0"/>
        <w:rPr>
          <w:sz w:val="21"/>
        </w:rPr>
      </w:pPr>
    </w:p>
    <w:p w14:paraId="4598F529" w14:textId="77777777" w:rsidR="006C34D9" w:rsidRDefault="00CB5041">
      <w:pPr>
        <w:pStyle w:val="BodyText"/>
        <w:spacing w:before="1" w:line="242" w:lineRule="auto"/>
        <w:ind w:right="656"/>
        <w:jc w:val="both"/>
      </w:pPr>
      <w:r>
        <w:t>A marked decrease in mean levels of acute phase reactants, CRP, ESR, and serum amyloid A</w:t>
      </w:r>
      <w:r>
        <w:rPr>
          <w:spacing w:val="1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rapidly after Actemra administration.</w:t>
      </w:r>
    </w:p>
    <w:p w14:paraId="1801FBD7" w14:textId="77777777" w:rsidR="006C34D9" w:rsidRDefault="00CB5041">
      <w:pPr>
        <w:spacing w:before="199"/>
        <w:ind w:left="660"/>
        <w:jc w:val="both"/>
        <w:rPr>
          <w:i/>
          <w:sz w:val="24"/>
        </w:rPr>
      </w:pPr>
      <w:r>
        <w:rPr>
          <w:i/>
          <w:sz w:val="24"/>
        </w:rPr>
        <w:t>Subcutaneous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administration</w:t>
      </w:r>
    </w:p>
    <w:p w14:paraId="1F2727B2" w14:textId="77777777" w:rsidR="006C34D9" w:rsidRDefault="00CB5041">
      <w:pPr>
        <w:pStyle w:val="BodyText"/>
        <w:spacing w:before="3" w:line="244" w:lineRule="auto"/>
        <w:ind w:right="659"/>
        <w:jc w:val="both"/>
      </w:pPr>
      <w:r>
        <w:t>A 52-week, open-label, multi-</w:t>
      </w:r>
      <w:proofErr w:type="spellStart"/>
      <w:r>
        <w:t>centre</w:t>
      </w:r>
      <w:proofErr w:type="spellEnd"/>
      <w:r>
        <w:t>, PK/PD and safety study (WA28118) was conducted in</w:t>
      </w:r>
      <w:r>
        <w:rPr>
          <w:spacing w:val="1"/>
        </w:rPr>
        <w:t xml:space="preserve"> </w:t>
      </w:r>
      <w:proofErr w:type="spellStart"/>
      <w:r>
        <w:t>paediatric</w:t>
      </w:r>
      <w:proofErr w:type="spellEnd"/>
      <w:r>
        <w:t xml:space="preserve"> patients with </w:t>
      </w:r>
      <w:proofErr w:type="spellStart"/>
      <w:r>
        <w:t>sJIA</w:t>
      </w:r>
      <w:proofErr w:type="spellEnd"/>
      <w:r>
        <w:t>, aged 1 to 17 years, to determine the appropriate SC dose of</w:t>
      </w:r>
      <w:r>
        <w:rPr>
          <w:spacing w:val="1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that achieved</w:t>
      </w:r>
      <w:r>
        <w:rPr>
          <w:spacing w:val="-1"/>
        </w:rPr>
        <w:t xml:space="preserve"> </w:t>
      </w:r>
      <w:r>
        <w:t>comparable PK/PD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profiles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regimen.</w:t>
      </w:r>
    </w:p>
    <w:p w14:paraId="3C2AA12B" w14:textId="77777777" w:rsidR="006C34D9" w:rsidRDefault="00CB5041">
      <w:pPr>
        <w:pStyle w:val="BodyText"/>
        <w:spacing w:before="166" w:line="242" w:lineRule="auto"/>
        <w:ind w:right="657"/>
        <w:jc w:val="both"/>
      </w:pPr>
      <w:r>
        <w:t>Eligible patients received Actemra dosed according to body weight (BW), with patients</w:t>
      </w:r>
      <w:r>
        <w:rPr>
          <w:spacing w:val="1"/>
        </w:rPr>
        <w:t xml:space="preserve"> </w:t>
      </w:r>
      <w:r>
        <w:t>weighing ≥ 30 kg (n=26) dosed with 162 mg of Actemra every week (QW) and patients</w:t>
      </w:r>
      <w:r>
        <w:rPr>
          <w:spacing w:val="1"/>
        </w:rPr>
        <w:t xml:space="preserve"> </w:t>
      </w:r>
      <w:r>
        <w:t>weighing below 30 kg (n = 25) dosed with 162 mg of Actemra every 10 days (Q10D; n=8) or</w:t>
      </w:r>
      <w:r>
        <w:rPr>
          <w:spacing w:val="-57"/>
        </w:rPr>
        <w:t xml:space="preserve"> </w:t>
      </w:r>
      <w:r>
        <w:t>every 2 weeks (Q2W; n=17) for 52 weeks. Of these 51 patients, 26 (51%) were naive to</w:t>
      </w:r>
      <w:r>
        <w:rPr>
          <w:spacing w:val="1"/>
        </w:rPr>
        <w:t xml:space="preserve"> </w:t>
      </w:r>
      <w:r>
        <w:rPr>
          <w:spacing w:val="-1"/>
        </w:rPr>
        <w:t>Actemra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(49%)</w:t>
      </w:r>
      <w:r>
        <w:rPr>
          <w:spacing w:val="-12"/>
        </w:rPr>
        <w:t xml:space="preserve"> </w:t>
      </w:r>
      <w:r>
        <w:t>had</w:t>
      </w:r>
      <w:r>
        <w:rPr>
          <w:spacing w:val="-13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receiving</w:t>
      </w:r>
      <w:r>
        <w:rPr>
          <w:spacing w:val="-13"/>
        </w:rPr>
        <w:t xml:space="preserve"> </w:t>
      </w:r>
      <w:r>
        <w:t>IV</w:t>
      </w:r>
      <w:r>
        <w:rPr>
          <w:spacing w:val="-13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switched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SC</w:t>
      </w:r>
      <w:r>
        <w:rPr>
          <w:spacing w:val="-15"/>
        </w:rPr>
        <w:t xml:space="preserve"> </w:t>
      </w:r>
      <w:r>
        <w:t>Actemra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baseline.</w:t>
      </w:r>
    </w:p>
    <w:p w14:paraId="4A75CFBA" w14:textId="77777777" w:rsidR="006C34D9" w:rsidRDefault="00CB5041">
      <w:pPr>
        <w:pStyle w:val="BodyText"/>
        <w:spacing w:before="176" w:line="242" w:lineRule="auto"/>
        <w:ind w:right="658"/>
        <w:jc w:val="both"/>
      </w:pPr>
      <w:r>
        <w:t>Exploratory</w:t>
      </w:r>
      <w:r>
        <w:rPr>
          <w:spacing w:val="1"/>
        </w:rPr>
        <w:t xml:space="preserve"> </w:t>
      </w:r>
      <w:r>
        <w:t>efficacy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SC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exploratory</w:t>
      </w:r>
      <w:r>
        <w:rPr>
          <w:spacing w:val="1"/>
        </w:rPr>
        <w:t xml:space="preserve"> </w:t>
      </w:r>
      <w:r>
        <w:t>efficacy</w:t>
      </w:r>
      <w:r>
        <w:rPr>
          <w:spacing w:val="-57"/>
        </w:rPr>
        <w:t xml:space="preserve"> </w:t>
      </w:r>
      <w:r>
        <w:rPr>
          <w:spacing w:val="-1"/>
        </w:rPr>
        <w:t>parameters</w:t>
      </w:r>
      <w:r>
        <w:rPr>
          <w:spacing w:val="-15"/>
        </w:rPr>
        <w:t xml:space="preserve"> </w:t>
      </w:r>
      <w:r>
        <w:rPr>
          <w:spacing w:val="-1"/>
        </w:rPr>
        <w:t>including</w:t>
      </w:r>
      <w:r>
        <w:rPr>
          <w:spacing w:val="-14"/>
        </w:rPr>
        <w:t xml:space="preserve"> </w:t>
      </w:r>
      <w:r>
        <w:rPr>
          <w:spacing w:val="-1"/>
        </w:rPr>
        <w:t>Juvenile</w:t>
      </w:r>
      <w:r>
        <w:rPr>
          <w:spacing w:val="-15"/>
        </w:rPr>
        <w:t xml:space="preserve"> </w:t>
      </w:r>
      <w:r>
        <w:t>Arthritis</w:t>
      </w:r>
      <w:r>
        <w:rPr>
          <w:spacing w:val="-14"/>
        </w:rPr>
        <w:t xml:space="preserve"> </w:t>
      </w:r>
      <w:r>
        <w:t>Disease</w:t>
      </w:r>
      <w:r>
        <w:rPr>
          <w:spacing w:val="-15"/>
        </w:rPr>
        <w:t xml:space="preserve"> </w:t>
      </w:r>
      <w:r>
        <w:t>Activity</w:t>
      </w:r>
      <w:r>
        <w:rPr>
          <w:spacing w:val="-14"/>
        </w:rPr>
        <w:t xml:space="preserve"> </w:t>
      </w:r>
      <w:r>
        <w:t>Score</w:t>
      </w:r>
      <w:r>
        <w:rPr>
          <w:spacing w:val="-15"/>
        </w:rPr>
        <w:t xml:space="preserve"> </w:t>
      </w:r>
      <w:r>
        <w:t>(JADAS)-71,</w:t>
      </w:r>
      <w:r>
        <w:rPr>
          <w:spacing w:val="-15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Actemra</w:t>
      </w:r>
      <w:r>
        <w:rPr>
          <w:spacing w:val="-15"/>
        </w:rPr>
        <w:t xml:space="preserve"> </w:t>
      </w:r>
      <w:r>
        <w:t>naïve</w:t>
      </w:r>
      <w:r>
        <w:rPr>
          <w:spacing w:val="-57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exploratory</w:t>
      </w:r>
      <w:r>
        <w:rPr>
          <w:spacing w:val="-5"/>
        </w:rPr>
        <w:t xml:space="preserve"> </w:t>
      </w:r>
      <w:r>
        <w:t>efficacy</w:t>
      </w:r>
      <w:r>
        <w:rPr>
          <w:spacing w:val="-5"/>
        </w:rPr>
        <w:t xml:space="preserve"> </w:t>
      </w:r>
      <w:r>
        <w:t>parameters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switched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IV</w:t>
      </w:r>
      <w:r>
        <w:rPr>
          <w:spacing w:val="-58"/>
        </w:rPr>
        <w:t xml:space="preserve"> </w:t>
      </w:r>
      <w:r>
        <w:t>to SC Actemra treatment over the entire course of the study for patients in both body weight</w:t>
      </w:r>
      <w:r>
        <w:rPr>
          <w:spacing w:val="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(below</w:t>
      </w:r>
      <w:r>
        <w:rPr>
          <w:spacing w:val="-1"/>
        </w:rPr>
        <w:t xml:space="preserve"> </w:t>
      </w:r>
      <w:r>
        <w:t>30 kg and ≥ 30 kg).</w:t>
      </w:r>
    </w:p>
    <w:p w14:paraId="24AEFBFF" w14:textId="77777777" w:rsidR="006C34D9" w:rsidRDefault="00CB5041">
      <w:pPr>
        <w:pStyle w:val="BodyText"/>
        <w:spacing w:before="202"/>
        <w:jc w:val="both"/>
      </w:pPr>
      <w:bookmarkStart w:id="115" w:name="Cytokine_Release_Syndrome_(CRS)"/>
      <w:bookmarkEnd w:id="115"/>
      <w:r>
        <w:rPr>
          <w:u w:val="single"/>
        </w:rPr>
        <w:t>Cytokine</w:t>
      </w:r>
      <w:r>
        <w:rPr>
          <w:spacing w:val="-4"/>
          <w:u w:val="single"/>
        </w:rPr>
        <w:t xml:space="preserve"> </w:t>
      </w:r>
      <w:r>
        <w:rPr>
          <w:u w:val="single"/>
        </w:rPr>
        <w:t>Release</w:t>
      </w:r>
      <w:r>
        <w:rPr>
          <w:spacing w:val="-3"/>
          <w:u w:val="single"/>
        </w:rPr>
        <w:t xml:space="preserve"> </w:t>
      </w:r>
      <w:r>
        <w:rPr>
          <w:u w:val="single"/>
        </w:rPr>
        <w:t>Syndrome</w:t>
      </w:r>
      <w:r>
        <w:rPr>
          <w:spacing w:val="-3"/>
          <w:u w:val="single"/>
        </w:rPr>
        <w:t xml:space="preserve"> </w:t>
      </w:r>
      <w:r>
        <w:rPr>
          <w:u w:val="single"/>
        </w:rPr>
        <w:t>(CRS)</w:t>
      </w:r>
    </w:p>
    <w:p w14:paraId="68062EEA" w14:textId="77777777" w:rsidR="006C34D9" w:rsidRDefault="00CB5041">
      <w:pPr>
        <w:pStyle w:val="BodyText"/>
        <w:ind w:right="657"/>
        <w:jc w:val="both"/>
      </w:pPr>
      <w:r>
        <w:t>The efficacy of Actemra for the treatment of CRS was assessed in a retrospective analysis of</w:t>
      </w:r>
      <w:r>
        <w:rPr>
          <w:spacing w:val="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trials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CAR</w:t>
      </w:r>
      <w:r>
        <w:rPr>
          <w:spacing w:val="-6"/>
        </w:rPr>
        <w:t xml:space="preserve"> </w:t>
      </w:r>
      <w:r>
        <w:t>T-cell</w:t>
      </w:r>
      <w:r>
        <w:rPr>
          <w:spacing w:val="-6"/>
        </w:rPr>
        <w:t xml:space="preserve"> </w:t>
      </w:r>
      <w:r>
        <w:t>therapies</w:t>
      </w:r>
      <w:r>
        <w:rPr>
          <w:spacing w:val="-7"/>
        </w:rPr>
        <w:t xml:space="preserve"> </w:t>
      </w:r>
      <w:r>
        <w:t>(</w:t>
      </w:r>
      <w:proofErr w:type="spellStart"/>
      <w:r>
        <w:t>tisagenlecleucel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axicabtagene</w:t>
      </w:r>
      <w:proofErr w:type="spellEnd"/>
      <w:r>
        <w:rPr>
          <w:spacing w:val="-6"/>
        </w:rPr>
        <w:t xml:space="preserve"> </w:t>
      </w:r>
      <w:proofErr w:type="spellStart"/>
      <w:r>
        <w:t>ciloleucel</w:t>
      </w:r>
      <w:proofErr w:type="spellEnd"/>
      <w:r>
        <w:t>)</w:t>
      </w:r>
      <w:r>
        <w:rPr>
          <w:spacing w:val="-58"/>
        </w:rPr>
        <w:t xml:space="preserve"> </w:t>
      </w:r>
      <w:r>
        <w:t xml:space="preserve">for </w:t>
      </w:r>
      <w:proofErr w:type="spellStart"/>
      <w:r>
        <w:t>haematological</w:t>
      </w:r>
      <w:proofErr w:type="spellEnd"/>
      <w:r>
        <w:t xml:space="preserve"> malignancies. Evaluable patients had been treated with Actemra 8 mg/kg</w:t>
      </w:r>
      <w:r>
        <w:rPr>
          <w:spacing w:val="1"/>
        </w:rPr>
        <w:t xml:space="preserve"> </w:t>
      </w:r>
      <w:r>
        <w:t>(12</w:t>
      </w:r>
      <w:r>
        <w:rPr>
          <w:spacing w:val="-5"/>
        </w:rPr>
        <w:t xml:space="preserve"> </w:t>
      </w:r>
      <w:r>
        <w:t>mg/kg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&lt;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kg)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high-dose</w:t>
      </w:r>
      <w:r>
        <w:rPr>
          <w:spacing w:val="-5"/>
        </w:rPr>
        <w:t xml:space="preserve"> </w:t>
      </w:r>
      <w:r>
        <w:t>corticosteroids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severe</w:t>
      </w:r>
      <w:r>
        <w:rPr>
          <w:spacing w:val="-5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life-threatening CRS;</w:t>
      </w:r>
      <w:r>
        <w:rPr>
          <w:spacing w:val="-1"/>
        </w:rPr>
        <w:t xml:space="preserve"> </w:t>
      </w:r>
      <w:r>
        <w:t>only 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episode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CRS</w:t>
      </w:r>
      <w:r>
        <w:rPr>
          <w:spacing w:val="-2"/>
        </w:rPr>
        <w:t xml:space="preserve"> </w:t>
      </w:r>
      <w:r>
        <w:t>was included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analysis.</w:t>
      </w:r>
    </w:p>
    <w:p w14:paraId="5042B993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2AD60BD4" w14:textId="77777777" w:rsidR="006C34D9" w:rsidRDefault="00CB5041">
      <w:pPr>
        <w:pStyle w:val="BodyText"/>
        <w:ind w:left="659" w:right="657"/>
        <w:jc w:val="both"/>
      </w:pPr>
      <w:r>
        <w:t>The</w:t>
      </w:r>
      <w:r>
        <w:rPr>
          <w:spacing w:val="-11"/>
        </w:rPr>
        <w:t xml:space="preserve"> </w:t>
      </w:r>
      <w:r>
        <w:t>efficacy</w:t>
      </w:r>
      <w:r>
        <w:rPr>
          <w:spacing w:val="-10"/>
        </w:rPr>
        <w:t xml:space="preserve"> </w:t>
      </w:r>
      <w:r>
        <w:t>population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t>tisagenlecleucel</w:t>
      </w:r>
      <w:proofErr w:type="spellEnd"/>
      <w:r>
        <w:rPr>
          <w:spacing w:val="-14"/>
        </w:rPr>
        <w:t xml:space="preserve"> </w:t>
      </w:r>
      <w:r>
        <w:t>cohort</w:t>
      </w:r>
      <w:r>
        <w:rPr>
          <w:spacing w:val="-10"/>
        </w:rPr>
        <w:t xml:space="preserve"> </w:t>
      </w:r>
      <w:r>
        <w:t>included</w:t>
      </w:r>
      <w:r>
        <w:rPr>
          <w:spacing w:val="-10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males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23</w:t>
      </w:r>
      <w:r>
        <w:rPr>
          <w:spacing w:val="-10"/>
        </w:rPr>
        <w:t xml:space="preserve"> </w:t>
      </w:r>
      <w:r>
        <w:t>females</w:t>
      </w:r>
      <w:r>
        <w:rPr>
          <w:spacing w:val="-11"/>
        </w:rPr>
        <w:t xml:space="preserve"> </w:t>
      </w:r>
      <w:r>
        <w:t>(total</w:t>
      </w:r>
      <w:r>
        <w:rPr>
          <w:spacing w:val="-57"/>
        </w:rPr>
        <w:t xml:space="preserve"> </w:t>
      </w:r>
      <w:r>
        <w:t>51</w:t>
      </w:r>
      <w:r>
        <w:rPr>
          <w:spacing w:val="-5"/>
        </w:rPr>
        <w:t xml:space="preserve"> </w:t>
      </w:r>
      <w:r>
        <w:t>patients)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median</w:t>
      </w:r>
      <w:r>
        <w:rPr>
          <w:spacing w:val="-5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(range,</w:t>
      </w:r>
      <w:r>
        <w:rPr>
          <w:spacing w:val="-5"/>
        </w:rPr>
        <w:t xml:space="preserve"> </w:t>
      </w:r>
      <w:r>
        <w:t>3–68</w:t>
      </w:r>
      <w:r>
        <w:rPr>
          <w:spacing w:val="-7"/>
        </w:rPr>
        <w:t xml:space="preserve"> </w:t>
      </w:r>
      <w:r>
        <w:t>years).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median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CRS</w:t>
      </w:r>
      <w:r>
        <w:rPr>
          <w:spacing w:val="-5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first dose of Actemra was 3 days (range, 0–18 days). Resolution of CRS was defined as lack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fever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vasopressors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hours.</w:t>
      </w:r>
      <w:r>
        <w:rPr>
          <w:spacing w:val="-6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responders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CRS</w:t>
      </w:r>
      <w:r>
        <w:rPr>
          <w:spacing w:val="-57"/>
        </w:rPr>
        <w:t xml:space="preserve"> </w:t>
      </w:r>
      <w:r>
        <w:t>resolved within 14 days of the first dose of Actemra, if no more than 2 doses of Actemra were</w:t>
      </w:r>
      <w:r>
        <w:rPr>
          <w:spacing w:val="-57"/>
        </w:rPr>
        <w:t xml:space="preserve"> </w:t>
      </w:r>
      <w:r>
        <w:t>needed, and no drugs other than Actemra and corticosteroids were used for treatment. Thirty-</w:t>
      </w:r>
      <w:r>
        <w:rPr>
          <w:spacing w:val="1"/>
        </w:rPr>
        <w:t xml:space="preserve"> </w:t>
      </w:r>
      <w:r>
        <w:t>nine patients (76.5%; 95% CI: 62.5%–87.2%) achieved a response. In an independent cohort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(range:</w:t>
      </w:r>
      <w:r>
        <w:rPr>
          <w:spacing w:val="1"/>
        </w:rPr>
        <w:t xml:space="preserve"> </w:t>
      </w:r>
      <w:r>
        <w:t>9–75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old)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axicabtagene</w:t>
      </w:r>
      <w:proofErr w:type="spellEnd"/>
      <w:r>
        <w:rPr>
          <w:spacing w:val="1"/>
        </w:rPr>
        <w:t xml:space="preserve"> </w:t>
      </w:r>
      <w:proofErr w:type="spellStart"/>
      <w:r>
        <w:t>ciloleucel</w:t>
      </w:r>
      <w:proofErr w:type="spellEnd"/>
      <w:r>
        <w:t>-induced</w:t>
      </w:r>
      <w:r>
        <w:rPr>
          <w:spacing w:val="1"/>
        </w:rPr>
        <w:t xml:space="preserve"> </w:t>
      </w:r>
      <w:r>
        <w:t>CRS,</w:t>
      </w:r>
      <w:r>
        <w:rPr>
          <w:spacing w:val="1"/>
        </w:rPr>
        <w:t xml:space="preserve"> </w:t>
      </w:r>
      <w:r>
        <w:t>53%</w:t>
      </w:r>
      <w:r>
        <w:rPr>
          <w:spacing w:val="1"/>
        </w:rPr>
        <w:t xml:space="preserve"> </w:t>
      </w:r>
      <w:r>
        <w:t>responded.</w:t>
      </w:r>
    </w:p>
    <w:p w14:paraId="70908C2B" w14:textId="77777777" w:rsidR="006C34D9" w:rsidRDefault="00CB5041">
      <w:pPr>
        <w:pStyle w:val="Heading2"/>
        <w:tabs>
          <w:tab w:val="left" w:pos="1445"/>
        </w:tabs>
        <w:spacing w:before="9" w:line="470" w:lineRule="atLeast"/>
        <w:ind w:left="659" w:right="4826"/>
        <w:jc w:val="left"/>
      </w:pPr>
      <w:bookmarkStart w:id="116" w:name="5.2_PHARMACOKINETIC_PROPERTIES"/>
      <w:bookmarkEnd w:id="116"/>
      <w:r>
        <w:t>5.2</w:t>
      </w:r>
      <w:r>
        <w:tab/>
        <w:t>PHARMACOKINETIC PROPERTIES</w:t>
      </w:r>
      <w:r>
        <w:rPr>
          <w:spacing w:val="-57"/>
        </w:rPr>
        <w:t xml:space="preserve"> </w:t>
      </w:r>
      <w:bookmarkStart w:id="117" w:name="Rheumatoid_Arthritis"/>
      <w:bookmarkEnd w:id="117"/>
      <w:r>
        <w:t>Rheumatoid</w:t>
      </w:r>
      <w:r>
        <w:rPr>
          <w:spacing w:val="-2"/>
        </w:rPr>
        <w:t xml:space="preserve"> </w:t>
      </w:r>
      <w:r>
        <w:t>Arthritis</w:t>
      </w:r>
    </w:p>
    <w:p w14:paraId="745E4AC0" w14:textId="77777777" w:rsidR="006C34D9" w:rsidRDefault="00CB5041">
      <w:pPr>
        <w:pStyle w:val="BodyText"/>
        <w:spacing w:before="39"/>
        <w:jc w:val="both"/>
      </w:pPr>
      <w:bookmarkStart w:id="118" w:name="Intravenous_Administration"/>
      <w:bookmarkEnd w:id="118"/>
      <w:r>
        <w:rPr>
          <w:u w:val="single"/>
        </w:rPr>
        <w:t>Intravenous</w:t>
      </w:r>
      <w:r>
        <w:rPr>
          <w:spacing w:val="-8"/>
          <w:u w:val="single"/>
        </w:rPr>
        <w:t xml:space="preserve"> </w:t>
      </w:r>
      <w:r>
        <w:rPr>
          <w:u w:val="single"/>
        </w:rPr>
        <w:t>Administration</w:t>
      </w:r>
    </w:p>
    <w:p w14:paraId="60668EC6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598038D7" w14:textId="77777777" w:rsidR="006C34D9" w:rsidRDefault="00CB5041">
      <w:pPr>
        <w:pStyle w:val="BodyText"/>
        <w:spacing w:before="79"/>
        <w:ind w:right="659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pharmacokinetics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pharmacokinetic</w:t>
      </w:r>
      <w:r>
        <w:rPr>
          <w:spacing w:val="1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database</w:t>
      </w:r>
      <w:r>
        <w:rPr>
          <w:spacing w:val="-6"/>
        </w:rPr>
        <w:t xml:space="preserve"> </w:t>
      </w:r>
      <w:r>
        <w:t>composed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1793</w:t>
      </w:r>
      <w:r>
        <w:rPr>
          <w:spacing w:val="-7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treated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gramStart"/>
      <w:r>
        <w:t>one</w:t>
      </w:r>
      <w:r>
        <w:rPr>
          <w:spacing w:val="-7"/>
        </w:rPr>
        <w:t xml:space="preserve"> </w:t>
      </w:r>
      <w:r>
        <w:t>hour</w:t>
      </w:r>
      <w:proofErr w:type="gramEnd"/>
      <w:r>
        <w:rPr>
          <w:spacing w:val="-6"/>
        </w:rPr>
        <w:t xml:space="preserve"> </w:t>
      </w:r>
      <w:r>
        <w:t>infusion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8 mg/kg every 4 weeks for 24 weeks.</w:t>
      </w:r>
    </w:p>
    <w:p w14:paraId="27117410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39E4920" w14:textId="77777777" w:rsidR="006C34D9" w:rsidRDefault="00CB5041">
      <w:pPr>
        <w:pStyle w:val="BodyText"/>
        <w:ind w:left="659" w:right="657"/>
        <w:jc w:val="both"/>
      </w:pPr>
      <w:r>
        <w:t>The pharmacokinetic parameters of Actemra did not change with time.</w:t>
      </w:r>
      <w:r>
        <w:rPr>
          <w:spacing w:val="1"/>
        </w:rPr>
        <w:t xml:space="preserve"> </w:t>
      </w:r>
      <w:r>
        <w:t>A more than dose-</w:t>
      </w:r>
      <w:r>
        <w:rPr>
          <w:spacing w:val="1"/>
        </w:rPr>
        <w:t xml:space="preserve"> </w:t>
      </w:r>
      <w:r>
        <w:rPr>
          <w:position w:val="1"/>
        </w:rPr>
        <w:t>proportional increase in area under the curve (AUC) and trough concentration (C</w:t>
      </w:r>
      <w:r>
        <w:rPr>
          <w:sz w:val="16"/>
        </w:rPr>
        <w:t>min</w:t>
      </w:r>
      <w:r>
        <w:rPr>
          <w:position w:val="1"/>
        </w:rPr>
        <w:t>) was</w:t>
      </w:r>
      <w:r>
        <w:rPr>
          <w:spacing w:val="1"/>
          <w:position w:val="1"/>
        </w:rPr>
        <w:t xml:space="preserve"> </w:t>
      </w:r>
      <w:r>
        <w:rPr>
          <w:position w:val="1"/>
        </w:rPr>
        <w:t>observed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doses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4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8 mg/kg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every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4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weeks.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Maximum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concentration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(C</w:t>
      </w:r>
      <w:r>
        <w:rPr>
          <w:sz w:val="16"/>
        </w:rPr>
        <w:t>max</w:t>
      </w:r>
      <w:r>
        <w:rPr>
          <w:position w:val="1"/>
        </w:rPr>
        <w:t>)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increased</w:t>
      </w:r>
      <w:r>
        <w:rPr>
          <w:spacing w:val="-57"/>
          <w:position w:val="1"/>
        </w:rPr>
        <w:t xml:space="preserve"> </w:t>
      </w:r>
      <w:r>
        <w:rPr>
          <w:position w:val="1"/>
        </w:rPr>
        <w:t>dose-proportionally.</w:t>
      </w:r>
      <w:r>
        <w:rPr>
          <w:spacing w:val="60"/>
          <w:position w:val="1"/>
        </w:rPr>
        <w:t xml:space="preserve"> </w:t>
      </w:r>
      <w:r>
        <w:rPr>
          <w:position w:val="1"/>
        </w:rPr>
        <w:t xml:space="preserve">At </w:t>
      </w:r>
      <w:proofErr w:type="gramStart"/>
      <w:r>
        <w:rPr>
          <w:position w:val="1"/>
        </w:rPr>
        <w:t>steady-state</w:t>
      </w:r>
      <w:proofErr w:type="gramEnd"/>
      <w:r>
        <w:rPr>
          <w:position w:val="1"/>
        </w:rPr>
        <w:t>, predicted AUC and C</w:t>
      </w:r>
      <w:r>
        <w:rPr>
          <w:sz w:val="16"/>
        </w:rPr>
        <w:t xml:space="preserve">min </w:t>
      </w:r>
      <w:r>
        <w:rPr>
          <w:position w:val="1"/>
        </w:rPr>
        <w:t>were 2.7 and 6.5 fold higher at</w:t>
      </w:r>
      <w:r>
        <w:rPr>
          <w:spacing w:val="1"/>
          <w:position w:val="1"/>
        </w:rPr>
        <w:t xml:space="preserve"> </w:t>
      </w:r>
      <w:r>
        <w:t>8 mg/kg as compared to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mg/kg, respectively.</w:t>
      </w:r>
    </w:p>
    <w:p w14:paraId="4A683D1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BFDA8B4" w14:textId="77777777" w:rsidR="006C34D9" w:rsidRDefault="00CB5041">
      <w:pPr>
        <w:pStyle w:val="BodyText"/>
        <w:ind w:left="659" w:right="657"/>
        <w:jc w:val="both"/>
      </w:pPr>
      <w:r>
        <w:t>The following parameters are valid for a dose of 8 mg/kg Actemra given every 4 weeks.</w:t>
      </w:r>
      <w:r>
        <w:rPr>
          <w:spacing w:val="1"/>
        </w:rPr>
        <w:t xml:space="preserve"> </w:t>
      </w:r>
      <w:r>
        <w:rPr>
          <w:position w:val="1"/>
        </w:rPr>
        <w:t>Predicted mean (</w:t>
      </w:r>
      <w:r>
        <w:rPr>
          <w:rFonts w:ascii="Symbol" w:hAnsi="Symbol"/>
          <w:position w:val="1"/>
        </w:rPr>
        <w:t></w:t>
      </w:r>
      <w:r>
        <w:rPr>
          <w:position w:val="1"/>
        </w:rPr>
        <w:t xml:space="preserve"> SD) steady-state AUC, C</w:t>
      </w:r>
      <w:r>
        <w:rPr>
          <w:sz w:val="16"/>
        </w:rPr>
        <w:t>min</w:t>
      </w:r>
      <w:r>
        <w:rPr>
          <w:spacing w:val="1"/>
          <w:sz w:val="16"/>
        </w:rPr>
        <w:t xml:space="preserve"> </w:t>
      </w:r>
      <w:r>
        <w:rPr>
          <w:position w:val="1"/>
        </w:rPr>
        <w:t>and C</w:t>
      </w:r>
      <w:r>
        <w:rPr>
          <w:sz w:val="16"/>
        </w:rPr>
        <w:t>max</w:t>
      </w:r>
      <w:r>
        <w:rPr>
          <w:spacing w:val="1"/>
          <w:sz w:val="16"/>
        </w:rPr>
        <w:t xml:space="preserve"> </w:t>
      </w:r>
      <w:r>
        <w:rPr>
          <w:position w:val="1"/>
        </w:rPr>
        <w:t xml:space="preserve">of Actemra were 35000 </w:t>
      </w:r>
      <w:r>
        <w:rPr>
          <w:rFonts w:ascii="Symbol" w:hAnsi="Symbol"/>
          <w:position w:val="1"/>
        </w:rPr>
        <w:t></w:t>
      </w:r>
      <w:r>
        <w:rPr>
          <w:position w:val="1"/>
        </w:rPr>
        <w:t xml:space="preserve"> 15500</w:t>
      </w:r>
      <w:r>
        <w:rPr>
          <w:spacing w:val="1"/>
          <w:position w:val="1"/>
        </w:rPr>
        <w:t xml:space="preserve"> </w:t>
      </w:r>
      <w:r>
        <w:t>h·µg/mL,</w:t>
      </w:r>
      <w:r>
        <w:rPr>
          <w:spacing w:val="-10"/>
        </w:rPr>
        <w:t xml:space="preserve"> </w:t>
      </w:r>
      <w:r>
        <w:t>9.74</w:t>
      </w:r>
      <w:r>
        <w:rPr>
          <w:spacing w:val="-9"/>
        </w:rPr>
        <w:t xml:space="preserve"> </w:t>
      </w:r>
      <w:r>
        <w:rPr>
          <w:rFonts w:ascii="Symbol" w:hAnsi="Symbol"/>
        </w:rPr>
        <w:t></w:t>
      </w:r>
      <w:r>
        <w:rPr>
          <w:spacing w:val="-8"/>
        </w:rPr>
        <w:t xml:space="preserve"> </w:t>
      </w:r>
      <w:r>
        <w:t>10.5</w:t>
      </w:r>
      <w:r>
        <w:rPr>
          <w:spacing w:val="-9"/>
        </w:rPr>
        <w:t xml:space="preserve"> </w:t>
      </w:r>
      <w:r>
        <w:rPr>
          <w:rFonts w:ascii="Symbol" w:hAnsi="Symbol"/>
        </w:rPr>
        <w:t></w:t>
      </w:r>
      <w:r>
        <w:t>g/mL,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183</w:t>
      </w:r>
      <w:r>
        <w:rPr>
          <w:spacing w:val="-9"/>
        </w:rPr>
        <w:t xml:space="preserve"> </w:t>
      </w:r>
      <w:r>
        <w:rPr>
          <w:rFonts w:ascii="Symbol" w:hAnsi="Symbol"/>
        </w:rPr>
        <w:t></w:t>
      </w:r>
      <w:r>
        <w:rPr>
          <w:spacing w:val="-8"/>
        </w:rPr>
        <w:t xml:space="preserve"> </w:t>
      </w:r>
      <w:r>
        <w:t>85.6</w:t>
      </w:r>
      <w:r>
        <w:rPr>
          <w:spacing w:val="-9"/>
        </w:rPr>
        <w:t xml:space="preserve"> </w:t>
      </w:r>
      <w:r>
        <w:t>µg/mL,</w:t>
      </w:r>
      <w:r>
        <w:rPr>
          <w:spacing w:val="-9"/>
        </w:rPr>
        <w:t xml:space="preserve"> </w:t>
      </w:r>
      <w:r>
        <w:t>respectively.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accumulation</w:t>
      </w:r>
      <w:r>
        <w:rPr>
          <w:spacing w:val="-9"/>
        </w:rPr>
        <w:t xml:space="preserve"> </w:t>
      </w:r>
      <w:r>
        <w:t>ratios</w:t>
      </w:r>
      <w:r>
        <w:rPr>
          <w:spacing w:val="-8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rPr>
          <w:position w:val="1"/>
        </w:rPr>
        <w:t>AUC and C</w:t>
      </w:r>
      <w:r>
        <w:rPr>
          <w:sz w:val="16"/>
        </w:rPr>
        <w:t xml:space="preserve">max </w:t>
      </w:r>
      <w:r>
        <w:rPr>
          <w:position w:val="1"/>
        </w:rPr>
        <w:t>were small; 1.22 and 1.06, respectively. The accumulation ratio was higher for</w:t>
      </w:r>
      <w:r>
        <w:rPr>
          <w:spacing w:val="-57"/>
          <w:position w:val="1"/>
        </w:rPr>
        <w:t xml:space="preserve"> </w:t>
      </w:r>
      <w:r>
        <w:rPr>
          <w:position w:val="1"/>
        </w:rPr>
        <w:t>C</w:t>
      </w:r>
      <w:r>
        <w:rPr>
          <w:sz w:val="16"/>
        </w:rPr>
        <w:t>min</w:t>
      </w:r>
      <w:r>
        <w:rPr>
          <w:spacing w:val="1"/>
          <w:sz w:val="16"/>
        </w:rPr>
        <w:t xml:space="preserve"> </w:t>
      </w:r>
      <w:r>
        <w:rPr>
          <w:position w:val="1"/>
        </w:rPr>
        <w:t>(2.35), which was expected based on the nonlinear clearance contribution at lower</w:t>
      </w:r>
      <w:r>
        <w:rPr>
          <w:spacing w:val="1"/>
          <w:position w:val="1"/>
        </w:rPr>
        <w:t xml:space="preserve"> </w:t>
      </w:r>
      <w:r>
        <w:t>concentrations.</w:t>
      </w:r>
      <w:r>
        <w:rPr>
          <w:spacing w:val="1"/>
        </w:rPr>
        <w:t xml:space="preserve"> </w:t>
      </w:r>
      <w:proofErr w:type="gramStart"/>
      <w:r>
        <w:t>Steady-state</w:t>
      </w:r>
      <w:proofErr w:type="gramEnd"/>
      <w:r>
        <w:t xml:space="preserve"> was reached following the first administration and after 8 and 20</w:t>
      </w:r>
      <w:r>
        <w:rPr>
          <w:spacing w:val="-57"/>
        </w:rPr>
        <w:t xml:space="preserve"> </w:t>
      </w:r>
      <w:r>
        <w:rPr>
          <w:position w:val="1"/>
        </w:rPr>
        <w:t>weeks for C</w:t>
      </w:r>
      <w:r>
        <w:rPr>
          <w:sz w:val="16"/>
        </w:rPr>
        <w:t>max</w:t>
      </w:r>
      <w:r>
        <w:rPr>
          <w:position w:val="1"/>
        </w:rPr>
        <w:t>, AUC, and C</w:t>
      </w:r>
      <w:r>
        <w:rPr>
          <w:sz w:val="16"/>
        </w:rPr>
        <w:t>min</w:t>
      </w:r>
      <w:r>
        <w:rPr>
          <w:position w:val="1"/>
        </w:rPr>
        <w:t>, respectively. Actemra AUC, C</w:t>
      </w:r>
      <w:r>
        <w:rPr>
          <w:sz w:val="16"/>
        </w:rPr>
        <w:t>min</w:t>
      </w:r>
      <w:r>
        <w:rPr>
          <w:spacing w:val="1"/>
          <w:sz w:val="16"/>
        </w:rPr>
        <w:t xml:space="preserve"> </w:t>
      </w:r>
      <w:r>
        <w:rPr>
          <w:position w:val="1"/>
        </w:rPr>
        <w:t>and C</w:t>
      </w:r>
      <w:r>
        <w:rPr>
          <w:sz w:val="16"/>
        </w:rPr>
        <w:t>max</w:t>
      </w:r>
      <w:r>
        <w:rPr>
          <w:spacing w:val="1"/>
          <w:sz w:val="16"/>
        </w:rPr>
        <w:t xml:space="preserve"> </w:t>
      </w:r>
      <w:r>
        <w:rPr>
          <w:position w:val="1"/>
        </w:rPr>
        <w:t>increased with</w:t>
      </w:r>
      <w:r>
        <w:rPr>
          <w:spacing w:val="1"/>
          <w:position w:val="1"/>
        </w:rPr>
        <w:t xml:space="preserve"> </w:t>
      </w:r>
      <w:r>
        <w:t>increase of body weight. At body weight ≥ 100 kg, the predicted mean (± SD) steady-state</w:t>
      </w:r>
      <w:r>
        <w:rPr>
          <w:spacing w:val="1"/>
        </w:rPr>
        <w:t xml:space="preserve"> </w:t>
      </w:r>
      <w:r>
        <w:rPr>
          <w:position w:val="1"/>
        </w:rPr>
        <w:t>AUC,</w:t>
      </w:r>
      <w:r>
        <w:rPr>
          <w:spacing w:val="8"/>
          <w:position w:val="1"/>
        </w:rPr>
        <w:t xml:space="preserve"> </w:t>
      </w:r>
      <w:r>
        <w:rPr>
          <w:position w:val="1"/>
        </w:rPr>
        <w:t>C</w:t>
      </w:r>
      <w:r>
        <w:rPr>
          <w:sz w:val="16"/>
        </w:rPr>
        <w:t>min</w:t>
      </w:r>
      <w:r>
        <w:rPr>
          <w:spacing w:val="3"/>
          <w:sz w:val="16"/>
        </w:rPr>
        <w:t xml:space="preserve"> </w:t>
      </w:r>
      <w:r>
        <w:rPr>
          <w:position w:val="1"/>
        </w:rPr>
        <w:t>and</w:t>
      </w:r>
      <w:r>
        <w:rPr>
          <w:spacing w:val="7"/>
          <w:position w:val="1"/>
        </w:rPr>
        <w:t xml:space="preserve"> </w:t>
      </w:r>
      <w:proofErr w:type="gramStart"/>
      <w:r>
        <w:rPr>
          <w:position w:val="1"/>
        </w:rPr>
        <w:t>C</w:t>
      </w:r>
      <w:r>
        <w:rPr>
          <w:sz w:val="16"/>
        </w:rPr>
        <w:t xml:space="preserve">max  </w:t>
      </w:r>
      <w:r>
        <w:rPr>
          <w:position w:val="1"/>
        </w:rPr>
        <w:t>of</w:t>
      </w:r>
      <w:proofErr w:type="gramEnd"/>
      <w:r>
        <w:rPr>
          <w:spacing w:val="7"/>
          <w:position w:val="1"/>
        </w:rPr>
        <w:t xml:space="preserve"> </w:t>
      </w:r>
      <w:r>
        <w:rPr>
          <w:position w:val="1"/>
        </w:rPr>
        <w:t>Actemra</w:t>
      </w:r>
      <w:r>
        <w:rPr>
          <w:spacing w:val="8"/>
          <w:position w:val="1"/>
        </w:rPr>
        <w:t xml:space="preserve"> </w:t>
      </w:r>
      <w:r>
        <w:rPr>
          <w:position w:val="1"/>
        </w:rPr>
        <w:t>were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55500</w:t>
      </w:r>
      <w:r>
        <w:rPr>
          <w:spacing w:val="8"/>
          <w:position w:val="1"/>
        </w:rPr>
        <w:t xml:space="preserve"> </w:t>
      </w:r>
      <w:r>
        <w:rPr>
          <w:position w:val="1"/>
        </w:rPr>
        <w:t>±</w:t>
      </w:r>
      <w:r>
        <w:rPr>
          <w:spacing w:val="7"/>
          <w:position w:val="1"/>
        </w:rPr>
        <w:t xml:space="preserve"> </w:t>
      </w:r>
      <w:r>
        <w:rPr>
          <w:position w:val="1"/>
        </w:rPr>
        <w:t>14100</w:t>
      </w:r>
      <w:r>
        <w:rPr>
          <w:spacing w:val="8"/>
          <w:position w:val="1"/>
        </w:rPr>
        <w:t xml:space="preserve"> </w:t>
      </w:r>
      <w:r>
        <w:rPr>
          <w:position w:val="1"/>
        </w:rPr>
        <w:t>h·µg/mL,</w:t>
      </w:r>
      <w:r>
        <w:rPr>
          <w:spacing w:val="7"/>
          <w:position w:val="1"/>
        </w:rPr>
        <w:t xml:space="preserve"> </w:t>
      </w:r>
      <w:r>
        <w:rPr>
          <w:position w:val="1"/>
        </w:rPr>
        <w:t>19.0</w:t>
      </w:r>
      <w:r>
        <w:rPr>
          <w:spacing w:val="7"/>
          <w:position w:val="1"/>
        </w:rPr>
        <w:t xml:space="preserve"> </w:t>
      </w:r>
      <w:r>
        <w:rPr>
          <w:position w:val="1"/>
        </w:rPr>
        <w:t>±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12.0</w:t>
      </w:r>
      <w:r>
        <w:rPr>
          <w:spacing w:val="7"/>
          <w:position w:val="1"/>
        </w:rPr>
        <w:t xml:space="preserve"> </w:t>
      </w:r>
      <w:r>
        <w:rPr>
          <w:rFonts w:ascii="Symbol" w:hAnsi="Symbol"/>
          <w:position w:val="1"/>
        </w:rPr>
        <w:t></w:t>
      </w:r>
      <w:r>
        <w:rPr>
          <w:position w:val="1"/>
        </w:rPr>
        <w:t>g/mL,</w:t>
      </w:r>
      <w:r>
        <w:rPr>
          <w:spacing w:val="9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7"/>
          <w:position w:val="1"/>
        </w:rPr>
        <w:t xml:space="preserve"> </w:t>
      </w:r>
      <w:r>
        <w:rPr>
          <w:position w:val="1"/>
        </w:rPr>
        <w:t>269</w:t>
      </w:r>
    </w:p>
    <w:p w14:paraId="6D3DBE15" w14:textId="77777777" w:rsidR="006C34D9" w:rsidRDefault="00CB5041">
      <w:pPr>
        <w:pStyle w:val="BodyText"/>
        <w:spacing w:before="1"/>
        <w:ind w:right="658"/>
        <w:jc w:val="both"/>
      </w:pPr>
      <w:r>
        <w:t>±</w:t>
      </w:r>
      <w:r>
        <w:rPr>
          <w:spacing w:val="1"/>
        </w:rPr>
        <w:t xml:space="preserve"> </w:t>
      </w:r>
      <w:r>
        <w:t>57</w:t>
      </w:r>
      <w:r>
        <w:rPr>
          <w:spacing w:val="1"/>
        </w:rPr>
        <w:t xml:space="preserve"> </w:t>
      </w:r>
      <w:r>
        <w:rPr>
          <w:rFonts w:ascii="Symbol" w:hAnsi="Symbol"/>
        </w:rPr>
        <w:t></w:t>
      </w:r>
      <w:r>
        <w:t>g/mL,</w:t>
      </w:r>
      <w:r>
        <w:rPr>
          <w:spacing w:val="1"/>
        </w:rPr>
        <w:t xml:space="preserve"> </w:t>
      </w:r>
      <w:r>
        <w:t>respectively,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exposure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-57"/>
        </w:rPr>
        <w:t xml:space="preserve"> </w:t>
      </w:r>
      <w:r>
        <w:t>population.</w:t>
      </w:r>
      <w:r>
        <w:rPr>
          <w:spacing w:val="-5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Actemra</w:t>
      </w:r>
      <w:r>
        <w:rPr>
          <w:spacing w:val="-3"/>
        </w:rPr>
        <w:t xml:space="preserve"> </w:t>
      </w:r>
      <w:r>
        <w:t>doses</w:t>
      </w:r>
      <w:r>
        <w:rPr>
          <w:spacing w:val="-4"/>
        </w:rPr>
        <w:t xml:space="preserve"> </w:t>
      </w:r>
      <w:r>
        <w:t>exceeding</w:t>
      </w:r>
      <w:r>
        <w:rPr>
          <w:spacing w:val="-4"/>
        </w:rPr>
        <w:t xml:space="preserve"> </w:t>
      </w:r>
      <w:r>
        <w:t>800</w:t>
      </w:r>
      <w:r>
        <w:rPr>
          <w:spacing w:val="-3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infusion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≥ 100 kg (see</w:t>
      </w:r>
      <w:r>
        <w:rPr>
          <w:spacing w:val="-1"/>
        </w:rPr>
        <w:t xml:space="preserve"> </w:t>
      </w:r>
      <w:r>
        <w:t>section 4.2 Dose and</w:t>
      </w:r>
      <w:r>
        <w:rPr>
          <w:spacing w:val="-1"/>
        </w:rPr>
        <w:t xml:space="preserve"> </w:t>
      </w:r>
      <w:r>
        <w:t>Method of</w:t>
      </w:r>
      <w:r>
        <w:rPr>
          <w:spacing w:val="-1"/>
        </w:rPr>
        <w:t xml:space="preserve"> </w:t>
      </w:r>
      <w:r>
        <w:t>Administration).</w:t>
      </w:r>
    </w:p>
    <w:p w14:paraId="74B20A69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6D4655CD" w14:textId="77777777" w:rsidR="006C34D9" w:rsidRDefault="00CB5041">
      <w:pPr>
        <w:pStyle w:val="BodyText"/>
        <w:spacing w:before="1"/>
        <w:ind w:right="657"/>
        <w:jc w:val="both"/>
      </w:pPr>
      <w:r>
        <w:t>The following parameters are valid for a dose of 4 mg/kg Actemra given every 4 weeks.</w:t>
      </w:r>
      <w:r>
        <w:rPr>
          <w:spacing w:val="1"/>
        </w:rPr>
        <w:t xml:space="preserve"> </w:t>
      </w:r>
      <w:r>
        <w:rPr>
          <w:position w:val="1"/>
        </w:rPr>
        <w:t>Predicted</w:t>
      </w:r>
      <w:r>
        <w:rPr>
          <w:spacing w:val="1"/>
          <w:position w:val="1"/>
        </w:rPr>
        <w:t xml:space="preserve"> </w:t>
      </w:r>
      <w:r>
        <w:rPr>
          <w:position w:val="1"/>
        </w:rPr>
        <w:t>mean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(±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SD)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steady-state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AUC,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</w:t>
      </w:r>
      <w:r>
        <w:rPr>
          <w:sz w:val="16"/>
        </w:rPr>
        <w:t>min</w:t>
      </w:r>
      <w:r>
        <w:rPr>
          <w:spacing w:val="1"/>
          <w:sz w:val="16"/>
        </w:rPr>
        <w:t xml:space="preserve"> </w:t>
      </w:r>
      <w:r>
        <w:rPr>
          <w:position w:val="1"/>
        </w:rPr>
        <w:t>and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</w:t>
      </w:r>
      <w:r>
        <w:rPr>
          <w:sz w:val="16"/>
        </w:rPr>
        <w:t>max</w:t>
      </w:r>
      <w:r>
        <w:rPr>
          <w:spacing w:val="1"/>
          <w:sz w:val="16"/>
        </w:rPr>
        <w:t xml:space="preserve"> </w:t>
      </w:r>
      <w:r>
        <w:rPr>
          <w:position w:val="1"/>
        </w:rPr>
        <w:t>of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Actemra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were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13000</w:t>
      </w:r>
      <w:r>
        <w:rPr>
          <w:spacing w:val="1"/>
          <w:position w:val="1"/>
        </w:rPr>
        <w:t xml:space="preserve"> </w:t>
      </w:r>
      <w:r>
        <w:rPr>
          <w:position w:val="1"/>
        </w:rPr>
        <w:t>±</w:t>
      </w:r>
      <w:r>
        <w:rPr>
          <w:spacing w:val="1"/>
          <w:position w:val="1"/>
        </w:rPr>
        <w:t xml:space="preserve"> </w:t>
      </w:r>
      <w:r>
        <w:t>5800•µ</w:t>
      </w:r>
      <w:proofErr w:type="spellStart"/>
      <w:r>
        <w:t>g•h</w:t>
      </w:r>
      <w:proofErr w:type="spellEnd"/>
      <w:r>
        <w:t xml:space="preserve">/mL, 1.49 ± 2.13 </w:t>
      </w:r>
      <w:r>
        <w:rPr>
          <w:rFonts w:ascii="Symbol" w:hAnsi="Symbol"/>
        </w:rPr>
        <w:t></w:t>
      </w:r>
      <w:r>
        <w:t>g/mL, and 88.3 ± 41.4 µg/mL, respectively. The accumulation</w:t>
      </w:r>
      <w:r>
        <w:rPr>
          <w:spacing w:val="1"/>
        </w:rPr>
        <w:t xml:space="preserve"> </w:t>
      </w:r>
      <w:r>
        <w:rPr>
          <w:position w:val="1"/>
        </w:rPr>
        <w:t>ratios for AUC and C</w:t>
      </w:r>
      <w:r>
        <w:rPr>
          <w:sz w:val="16"/>
        </w:rPr>
        <w:t xml:space="preserve">max </w:t>
      </w:r>
      <w:r>
        <w:rPr>
          <w:position w:val="1"/>
        </w:rPr>
        <w:t>were small; 1.11 and 1.02, respectively. The accumulation ratio was</w:t>
      </w:r>
      <w:r>
        <w:rPr>
          <w:spacing w:val="1"/>
          <w:position w:val="1"/>
        </w:rPr>
        <w:t xml:space="preserve"> </w:t>
      </w:r>
      <w:r>
        <w:rPr>
          <w:position w:val="1"/>
        </w:rPr>
        <w:t>higher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C</w:t>
      </w:r>
      <w:r>
        <w:rPr>
          <w:sz w:val="16"/>
        </w:rPr>
        <w:t>min</w:t>
      </w:r>
      <w:r>
        <w:rPr>
          <w:spacing w:val="19"/>
          <w:sz w:val="16"/>
        </w:rPr>
        <w:t xml:space="preserve"> </w:t>
      </w:r>
      <w:r>
        <w:rPr>
          <w:position w:val="1"/>
        </w:rPr>
        <w:t>(1.96).</w:t>
      </w:r>
      <w:r>
        <w:rPr>
          <w:spacing w:val="-14"/>
          <w:position w:val="1"/>
        </w:rPr>
        <w:t xml:space="preserve"> </w:t>
      </w:r>
      <w:proofErr w:type="gramStart"/>
      <w:r>
        <w:rPr>
          <w:position w:val="1"/>
        </w:rPr>
        <w:t>Steady-state</w:t>
      </w:r>
      <w:proofErr w:type="gramEnd"/>
      <w:r>
        <w:rPr>
          <w:spacing w:val="-15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reached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following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first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administration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both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C</w:t>
      </w:r>
      <w:r>
        <w:rPr>
          <w:sz w:val="16"/>
        </w:rPr>
        <w:t>max</w:t>
      </w:r>
      <w:r>
        <w:rPr>
          <w:spacing w:val="1"/>
          <w:sz w:val="16"/>
        </w:rPr>
        <w:t xml:space="preserve"> </w:t>
      </w:r>
      <w:bookmarkStart w:id="119" w:name="Subcutaneous_Administration"/>
      <w:bookmarkEnd w:id="119"/>
      <w:r>
        <w:rPr>
          <w:position w:val="1"/>
        </w:rPr>
        <w:t>and AUC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and from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16</w:t>
      </w:r>
      <w:r>
        <w:rPr>
          <w:spacing w:val="1"/>
          <w:position w:val="1"/>
        </w:rPr>
        <w:t xml:space="preserve"> </w:t>
      </w:r>
      <w:r>
        <w:rPr>
          <w:position w:val="1"/>
        </w:rPr>
        <w:t>weeks for C</w:t>
      </w:r>
      <w:r>
        <w:rPr>
          <w:sz w:val="16"/>
        </w:rPr>
        <w:t>min</w:t>
      </w:r>
      <w:r>
        <w:rPr>
          <w:position w:val="1"/>
        </w:rPr>
        <w:t>.</w:t>
      </w:r>
    </w:p>
    <w:p w14:paraId="3E569CD3" w14:textId="77777777" w:rsidR="006C34D9" w:rsidRDefault="00CB5041">
      <w:pPr>
        <w:pStyle w:val="BodyText"/>
        <w:spacing w:before="199"/>
        <w:jc w:val="both"/>
      </w:pPr>
      <w:r>
        <w:rPr>
          <w:u w:val="single"/>
        </w:rPr>
        <w:t>Subcutaneous</w:t>
      </w:r>
      <w:r>
        <w:rPr>
          <w:spacing w:val="-4"/>
          <w:u w:val="single"/>
        </w:rPr>
        <w:t xml:space="preserve"> </w:t>
      </w:r>
      <w:r>
        <w:rPr>
          <w:u w:val="single"/>
        </w:rPr>
        <w:t>Administration</w:t>
      </w:r>
    </w:p>
    <w:p w14:paraId="1BCB0E2A" w14:textId="77777777" w:rsidR="006C34D9" w:rsidRDefault="00CB5041">
      <w:pPr>
        <w:pStyle w:val="BodyText"/>
        <w:spacing w:before="3" w:line="244" w:lineRule="auto"/>
        <w:ind w:right="658"/>
        <w:jc w:val="both"/>
      </w:pPr>
      <w:r>
        <w:t>The</w:t>
      </w:r>
      <w:r>
        <w:rPr>
          <w:spacing w:val="1"/>
        </w:rPr>
        <w:t xml:space="preserve"> </w:t>
      </w:r>
      <w:r>
        <w:t>pharmacokinetics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pharmacokinetic</w:t>
      </w:r>
      <w:r>
        <w:rPr>
          <w:spacing w:val="1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database</w:t>
      </w:r>
      <w:r>
        <w:rPr>
          <w:spacing w:val="-8"/>
        </w:rPr>
        <w:t xml:space="preserve"> </w:t>
      </w:r>
      <w:r>
        <w:t>composed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1759</w:t>
      </w:r>
      <w:r>
        <w:rPr>
          <w:spacing w:val="-9"/>
        </w:rPr>
        <w:t xml:space="preserve"> </w:t>
      </w:r>
      <w:r>
        <w:t>RA</w:t>
      </w:r>
      <w:r>
        <w:rPr>
          <w:spacing w:val="-8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treated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162</w:t>
      </w:r>
      <w:r>
        <w:rPr>
          <w:spacing w:val="-9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SC</w:t>
      </w:r>
      <w:r>
        <w:rPr>
          <w:spacing w:val="-8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week,</w:t>
      </w:r>
      <w:r>
        <w:rPr>
          <w:spacing w:val="-9"/>
        </w:rPr>
        <w:t xml:space="preserve"> </w:t>
      </w:r>
      <w:r>
        <w:t>162</w:t>
      </w:r>
      <w:r>
        <w:rPr>
          <w:spacing w:val="-57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every other week, and 8</w:t>
      </w:r>
      <w:r>
        <w:rPr>
          <w:spacing w:val="-1"/>
        </w:rPr>
        <w:t xml:space="preserve"> </w:t>
      </w:r>
      <w:r>
        <w:t>mg/kg every 4</w:t>
      </w:r>
      <w:r>
        <w:rPr>
          <w:spacing w:val="-2"/>
        </w:rPr>
        <w:t xml:space="preserve"> </w:t>
      </w:r>
      <w:r>
        <w:t>weeks for 24 weeks.</w:t>
      </w:r>
    </w:p>
    <w:p w14:paraId="57EB2DFC" w14:textId="77777777" w:rsidR="006C34D9" w:rsidRDefault="00CB5041">
      <w:pPr>
        <w:pStyle w:val="BodyText"/>
        <w:spacing w:before="163"/>
        <w:ind w:left="659" w:right="658"/>
        <w:jc w:val="both"/>
      </w:pPr>
      <w:r>
        <w:t>The pharmacokinetic parameters of Actemra did not change with time.</w:t>
      </w:r>
      <w:r>
        <w:rPr>
          <w:spacing w:val="1"/>
        </w:rPr>
        <w:t xml:space="preserve"> </w:t>
      </w:r>
      <w:r>
        <w:t>For the 162 mg SC</w:t>
      </w:r>
      <w:r>
        <w:rPr>
          <w:spacing w:val="1"/>
        </w:rPr>
        <w:t xml:space="preserve"> </w:t>
      </w:r>
      <w:r>
        <w:rPr>
          <w:position w:val="1"/>
        </w:rPr>
        <w:t>every week dose, the predicted mean (± SD) steady-state AUC</w:t>
      </w:r>
      <w:r>
        <w:rPr>
          <w:sz w:val="16"/>
        </w:rPr>
        <w:t>1week</w:t>
      </w:r>
      <w:r>
        <w:rPr>
          <w:position w:val="1"/>
        </w:rPr>
        <w:t>, C</w:t>
      </w:r>
      <w:r>
        <w:rPr>
          <w:sz w:val="16"/>
        </w:rPr>
        <w:t xml:space="preserve">min </w:t>
      </w:r>
      <w:r>
        <w:rPr>
          <w:position w:val="1"/>
        </w:rPr>
        <w:t>and C</w:t>
      </w:r>
      <w:r>
        <w:rPr>
          <w:sz w:val="16"/>
        </w:rPr>
        <w:t xml:space="preserve">max </w:t>
      </w:r>
      <w:r>
        <w:rPr>
          <w:position w:val="1"/>
        </w:rPr>
        <w:t>of Actemra</w:t>
      </w:r>
      <w:r>
        <w:rPr>
          <w:spacing w:val="-57"/>
          <w:position w:val="1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8200</w:t>
      </w:r>
      <w:r>
        <w:rPr>
          <w:spacing w:val="-11"/>
        </w:rPr>
        <w:t xml:space="preserve"> </w:t>
      </w:r>
      <w:r>
        <w:t>±</w:t>
      </w:r>
      <w:r>
        <w:rPr>
          <w:spacing w:val="-11"/>
        </w:rPr>
        <w:t xml:space="preserve"> </w:t>
      </w:r>
      <w:r>
        <w:t>3600</w:t>
      </w:r>
      <w:r>
        <w:rPr>
          <w:spacing w:val="-10"/>
        </w:rPr>
        <w:t xml:space="preserve"> </w:t>
      </w:r>
      <w:proofErr w:type="spellStart"/>
      <w:r>
        <w:t>mcg•h</w:t>
      </w:r>
      <w:proofErr w:type="spellEnd"/>
      <w:r>
        <w:t>/mL,</w:t>
      </w:r>
      <w:r>
        <w:rPr>
          <w:spacing w:val="-10"/>
        </w:rPr>
        <w:t xml:space="preserve"> </w:t>
      </w:r>
      <w:r>
        <w:t>44.6</w:t>
      </w:r>
      <w:r>
        <w:rPr>
          <w:spacing w:val="-11"/>
        </w:rPr>
        <w:t xml:space="preserve"> </w:t>
      </w:r>
      <w:r>
        <w:t>±</w:t>
      </w:r>
      <w:r>
        <w:rPr>
          <w:spacing w:val="-10"/>
        </w:rPr>
        <w:t xml:space="preserve"> </w:t>
      </w:r>
      <w:r>
        <w:t>20.6</w:t>
      </w:r>
      <w:r>
        <w:rPr>
          <w:spacing w:val="-10"/>
        </w:rPr>
        <w:t xml:space="preserve"> </w:t>
      </w:r>
      <w:r>
        <w:t>mcg/mL,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50.9</w:t>
      </w:r>
      <w:r>
        <w:rPr>
          <w:spacing w:val="-10"/>
        </w:rPr>
        <w:t xml:space="preserve"> </w:t>
      </w:r>
      <w:r>
        <w:t>±</w:t>
      </w:r>
      <w:r>
        <w:rPr>
          <w:spacing w:val="-11"/>
        </w:rPr>
        <w:t xml:space="preserve"> </w:t>
      </w:r>
      <w:r>
        <w:t>21.8</w:t>
      </w:r>
      <w:r>
        <w:rPr>
          <w:spacing w:val="-10"/>
        </w:rPr>
        <w:t xml:space="preserve"> </w:t>
      </w:r>
      <w:r>
        <w:t>mcg/mL,</w:t>
      </w:r>
      <w:r>
        <w:rPr>
          <w:spacing w:val="-11"/>
        </w:rPr>
        <w:t xml:space="preserve"> </w:t>
      </w:r>
      <w:r>
        <w:t>respectively.</w:t>
      </w:r>
      <w:r>
        <w:rPr>
          <w:spacing w:val="-1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rPr>
          <w:position w:val="1"/>
        </w:rPr>
        <w:t>accumulation ratios for AUC, C</w:t>
      </w:r>
      <w:r>
        <w:rPr>
          <w:sz w:val="16"/>
        </w:rPr>
        <w:t>min</w:t>
      </w:r>
      <w:r>
        <w:rPr>
          <w:position w:val="1"/>
        </w:rPr>
        <w:t>, and C</w:t>
      </w:r>
      <w:r>
        <w:rPr>
          <w:sz w:val="16"/>
        </w:rPr>
        <w:t>max</w:t>
      </w:r>
      <w:r>
        <w:rPr>
          <w:spacing w:val="1"/>
          <w:sz w:val="16"/>
        </w:rPr>
        <w:t xml:space="preserve"> </w:t>
      </w:r>
      <w:r>
        <w:rPr>
          <w:position w:val="1"/>
        </w:rPr>
        <w:t>were 6.83, 6.37, and 5.47, respectively. Steady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state was reached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after 12</w:t>
      </w:r>
      <w:r>
        <w:rPr>
          <w:spacing w:val="1"/>
          <w:position w:val="1"/>
        </w:rPr>
        <w:t xml:space="preserve"> </w:t>
      </w:r>
      <w:r>
        <w:rPr>
          <w:position w:val="1"/>
        </w:rPr>
        <w:t>weeks for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AUC,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</w:t>
      </w:r>
      <w:r>
        <w:rPr>
          <w:sz w:val="16"/>
        </w:rPr>
        <w:t>min</w:t>
      </w:r>
      <w:r>
        <w:rPr>
          <w:position w:val="1"/>
        </w:rPr>
        <w:t>,</w:t>
      </w:r>
      <w:r>
        <w:rPr>
          <w:spacing w:val="2"/>
          <w:position w:val="1"/>
        </w:rPr>
        <w:t xml:space="preserve"> </w:t>
      </w:r>
      <w:r>
        <w:rPr>
          <w:position w:val="1"/>
        </w:rPr>
        <w:t>and C</w:t>
      </w:r>
      <w:r>
        <w:rPr>
          <w:sz w:val="16"/>
        </w:rPr>
        <w:t>max</w:t>
      </w:r>
      <w:r>
        <w:rPr>
          <w:position w:val="1"/>
        </w:rPr>
        <w:t>.</w:t>
      </w:r>
    </w:p>
    <w:p w14:paraId="744FF662" w14:textId="77777777" w:rsidR="006C34D9" w:rsidRDefault="006C34D9">
      <w:pPr>
        <w:pStyle w:val="BodyText"/>
        <w:spacing w:before="3"/>
        <w:ind w:left="0"/>
      </w:pPr>
    </w:p>
    <w:p w14:paraId="3AAC05A3" w14:textId="77777777" w:rsidR="006C34D9" w:rsidRDefault="00CB5041">
      <w:pPr>
        <w:pStyle w:val="BodyText"/>
        <w:spacing w:line="242" w:lineRule="auto"/>
        <w:ind w:right="656"/>
        <w:jc w:val="both"/>
      </w:pPr>
      <w:r>
        <w:rPr>
          <w:position w:val="1"/>
        </w:rPr>
        <w:t>For the 162 mg SC every other week dose, the predicted mean (± SD) steady-state AUC</w:t>
      </w:r>
      <w:r>
        <w:rPr>
          <w:sz w:val="16"/>
        </w:rPr>
        <w:t>2week</w:t>
      </w:r>
      <w:r>
        <w:rPr>
          <w:position w:val="1"/>
        </w:rPr>
        <w:t>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</w:t>
      </w:r>
      <w:r>
        <w:rPr>
          <w:sz w:val="16"/>
        </w:rPr>
        <w:t>min</w:t>
      </w:r>
      <w:r>
        <w:rPr>
          <w:position w:val="1"/>
        </w:rPr>
        <w:t>, and C</w:t>
      </w:r>
      <w:r>
        <w:rPr>
          <w:sz w:val="16"/>
        </w:rPr>
        <w:t>max</w:t>
      </w:r>
      <w:r>
        <w:rPr>
          <w:spacing w:val="1"/>
          <w:sz w:val="16"/>
        </w:rPr>
        <w:t xml:space="preserve"> </w:t>
      </w:r>
      <w:r>
        <w:rPr>
          <w:position w:val="1"/>
        </w:rPr>
        <w:t xml:space="preserve">of Actemra were 3200 ± 2700 </w:t>
      </w:r>
      <w:proofErr w:type="spellStart"/>
      <w:r>
        <w:rPr>
          <w:position w:val="1"/>
        </w:rPr>
        <w:t>mcg•h</w:t>
      </w:r>
      <w:proofErr w:type="spellEnd"/>
      <w:r>
        <w:rPr>
          <w:position w:val="1"/>
        </w:rPr>
        <w:t>/mL, 5.6 ± 7.0 mcg/mL, and 12.3 ± 8.7</w:t>
      </w:r>
      <w:r>
        <w:rPr>
          <w:spacing w:val="1"/>
          <w:position w:val="1"/>
        </w:rPr>
        <w:t xml:space="preserve"> </w:t>
      </w:r>
      <w:r>
        <w:rPr>
          <w:position w:val="1"/>
        </w:rPr>
        <w:t>mcg/mL, respectively.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The accumulation ratios for AUC, C</w:t>
      </w:r>
      <w:r>
        <w:rPr>
          <w:sz w:val="16"/>
        </w:rPr>
        <w:t>min</w:t>
      </w:r>
      <w:r>
        <w:rPr>
          <w:position w:val="1"/>
        </w:rPr>
        <w:t>, and C</w:t>
      </w:r>
      <w:r>
        <w:rPr>
          <w:sz w:val="16"/>
        </w:rPr>
        <w:t>max</w:t>
      </w:r>
      <w:r>
        <w:rPr>
          <w:spacing w:val="1"/>
          <w:sz w:val="16"/>
        </w:rPr>
        <w:t xml:space="preserve"> </w:t>
      </w:r>
      <w:r>
        <w:rPr>
          <w:position w:val="1"/>
        </w:rPr>
        <w:t>were 2.67, 5.6, and</w:t>
      </w:r>
      <w:r>
        <w:rPr>
          <w:spacing w:val="1"/>
          <w:position w:val="1"/>
        </w:rPr>
        <w:t xml:space="preserve"> </w:t>
      </w:r>
      <w:r>
        <w:rPr>
          <w:position w:val="1"/>
        </w:rPr>
        <w:t>2.12, respectively.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Steady state was reached after 12 weeks for AUC and C</w:t>
      </w:r>
      <w:r>
        <w:rPr>
          <w:sz w:val="16"/>
        </w:rPr>
        <w:t>min</w:t>
      </w:r>
      <w:r>
        <w:rPr>
          <w:position w:val="1"/>
        </w:rPr>
        <w:t>, and after 10</w:t>
      </w:r>
      <w:r>
        <w:rPr>
          <w:spacing w:val="1"/>
          <w:position w:val="1"/>
        </w:rPr>
        <w:t xml:space="preserve"> </w:t>
      </w:r>
      <w:r>
        <w:rPr>
          <w:position w:val="1"/>
        </w:rPr>
        <w:t>weeks for C</w:t>
      </w:r>
      <w:r>
        <w:rPr>
          <w:sz w:val="16"/>
        </w:rPr>
        <w:t>max</w:t>
      </w:r>
      <w:r>
        <w:rPr>
          <w:position w:val="1"/>
        </w:rPr>
        <w:t>.</w:t>
      </w:r>
    </w:p>
    <w:p w14:paraId="746117C0" w14:textId="77777777" w:rsidR="006C34D9" w:rsidRDefault="00CB5041">
      <w:pPr>
        <w:pStyle w:val="Heading2"/>
        <w:spacing w:before="205"/>
      </w:pPr>
      <w:bookmarkStart w:id="120" w:name="Giant_Cell_Arteritis_(GCA)"/>
      <w:bookmarkEnd w:id="120"/>
      <w:r>
        <w:t>Giant</w:t>
      </w:r>
      <w:r>
        <w:rPr>
          <w:spacing w:val="-3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Arteritis</w:t>
      </w:r>
      <w:r>
        <w:rPr>
          <w:spacing w:val="-4"/>
        </w:rPr>
        <w:t xml:space="preserve"> </w:t>
      </w:r>
      <w:r>
        <w:t>(GCA)</w:t>
      </w:r>
    </w:p>
    <w:p w14:paraId="4BD92346" w14:textId="77777777" w:rsidR="006C34D9" w:rsidRDefault="00CB5041">
      <w:pPr>
        <w:pStyle w:val="BodyText"/>
        <w:spacing w:before="34"/>
        <w:ind w:left="659" w:right="657"/>
        <w:jc w:val="both"/>
      </w:pPr>
      <w:r>
        <w:t>The pharmacokinetics of Actemra</w:t>
      </w:r>
      <w:r>
        <w:rPr>
          <w:spacing w:val="1"/>
        </w:rPr>
        <w:t xml:space="preserve"> </w:t>
      </w:r>
      <w:r>
        <w:t>in GCA patients were determined using a population</w:t>
      </w:r>
      <w:r>
        <w:rPr>
          <w:spacing w:val="1"/>
        </w:rPr>
        <w:t xml:space="preserve"> </w:t>
      </w:r>
      <w:r>
        <w:t>pharmacokinetic</w:t>
      </w:r>
      <w:r>
        <w:rPr>
          <w:spacing w:val="6"/>
        </w:rPr>
        <w:t xml:space="preserve"> </w:t>
      </w:r>
      <w:r>
        <w:t>model</w:t>
      </w:r>
      <w:r>
        <w:rPr>
          <w:spacing w:val="9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analysis</w:t>
      </w:r>
      <w:r>
        <w:rPr>
          <w:spacing w:val="6"/>
        </w:rPr>
        <w:t xml:space="preserve"> </w:t>
      </w:r>
      <w:r>
        <w:t>dataset</w:t>
      </w:r>
      <w:r>
        <w:rPr>
          <w:spacing w:val="7"/>
        </w:rPr>
        <w:t xml:space="preserve"> </w:t>
      </w:r>
      <w:r>
        <w:t>composed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149</w:t>
      </w:r>
      <w:r>
        <w:rPr>
          <w:spacing w:val="7"/>
        </w:rPr>
        <w:t xml:space="preserve"> </w:t>
      </w:r>
      <w:r>
        <w:t>GCA</w:t>
      </w:r>
      <w:r>
        <w:rPr>
          <w:spacing w:val="9"/>
        </w:rPr>
        <w:t xml:space="preserve"> </w:t>
      </w:r>
      <w:r>
        <w:t>patients</w:t>
      </w:r>
      <w:r>
        <w:rPr>
          <w:spacing w:val="7"/>
        </w:rPr>
        <w:t xml:space="preserve"> </w:t>
      </w:r>
      <w:r>
        <w:t>treated</w:t>
      </w:r>
      <w:r>
        <w:rPr>
          <w:spacing w:val="8"/>
        </w:rPr>
        <w:t xml:space="preserve"> </w:t>
      </w:r>
      <w:r>
        <w:t>with</w:t>
      </w:r>
    </w:p>
    <w:p w14:paraId="642B1E74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653C22CD" w14:textId="77777777" w:rsidR="006C34D9" w:rsidRDefault="00CB5041">
      <w:pPr>
        <w:pStyle w:val="BodyText"/>
        <w:spacing w:before="79"/>
        <w:ind w:right="657"/>
        <w:jc w:val="both"/>
      </w:pPr>
      <w:r>
        <w:lastRenderedPageBreak/>
        <w:t>162 mg SC every week or with 162 mg SC every other week.</w:t>
      </w:r>
      <w:r>
        <w:rPr>
          <w:spacing w:val="1"/>
        </w:rPr>
        <w:t xml:space="preserve"> </w:t>
      </w:r>
      <w:r>
        <w:t>The developed model had the</w:t>
      </w:r>
      <w:r>
        <w:rPr>
          <w:spacing w:val="1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PK</w:t>
      </w:r>
      <w:r>
        <w:rPr>
          <w:spacing w:val="-2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earlier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patients.</w:t>
      </w:r>
    </w:p>
    <w:p w14:paraId="4F100A6F" w14:textId="77777777" w:rsidR="006C34D9" w:rsidRDefault="006C34D9">
      <w:pPr>
        <w:pStyle w:val="BodyText"/>
        <w:spacing w:before="3"/>
        <w:ind w:left="0"/>
      </w:pPr>
    </w:p>
    <w:p w14:paraId="356D16BF" w14:textId="77777777" w:rsidR="006C34D9" w:rsidRDefault="00CB5041">
      <w:pPr>
        <w:pStyle w:val="Heading2"/>
      </w:pPr>
      <w:r>
        <w:t>Table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Predicted</w:t>
      </w:r>
      <w:r>
        <w:rPr>
          <w:spacing w:val="-2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±</w:t>
      </w:r>
      <w:r>
        <w:rPr>
          <w:spacing w:val="-1"/>
        </w:rPr>
        <w:t xml:space="preserve"> </w:t>
      </w:r>
      <w:r>
        <w:t>SD</w:t>
      </w:r>
      <w:r>
        <w:rPr>
          <w:spacing w:val="-2"/>
        </w:rPr>
        <w:t xml:space="preserve"> </w:t>
      </w:r>
      <w:r>
        <w:t>PK</w:t>
      </w:r>
      <w:r>
        <w:rPr>
          <w:spacing w:val="-1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proofErr w:type="gramStart"/>
      <w:r>
        <w:t>steady-state</w:t>
      </w:r>
      <w:proofErr w:type="gramEnd"/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SC</w:t>
      </w:r>
      <w:r>
        <w:rPr>
          <w:spacing w:val="-2"/>
        </w:rPr>
        <w:t xml:space="preserve"> </w:t>
      </w:r>
      <w:r>
        <w:t>dosing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GCA</w:t>
      </w:r>
    </w:p>
    <w:p w14:paraId="350E6FBC" w14:textId="77777777" w:rsidR="006C34D9" w:rsidRDefault="006C34D9">
      <w:pPr>
        <w:pStyle w:val="BodyText"/>
        <w:spacing w:before="4"/>
        <w:ind w:left="0"/>
        <w:rPr>
          <w:b/>
          <w:sz w:val="10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2189"/>
        <w:gridCol w:w="2859"/>
      </w:tblGrid>
      <w:tr w:rsidR="006C34D9" w14:paraId="5F998B74" w14:textId="77777777">
        <w:trPr>
          <w:trHeight w:val="479"/>
        </w:trPr>
        <w:tc>
          <w:tcPr>
            <w:tcW w:w="3970" w:type="dxa"/>
          </w:tcPr>
          <w:p w14:paraId="05E14AAE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5048" w:type="dxa"/>
            <w:gridSpan w:val="2"/>
          </w:tcPr>
          <w:p w14:paraId="2EFA9E59" w14:textId="77777777" w:rsidR="006C34D9" w:rsidRDefault="00CB5041">
            <w:pPr>
              <w:pStyle w:val="TableParagraph"/>
              <w:spacing w:before="3"/>
              <w:ind w:left="2349" w:right="2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</w:t>
            </w:r>
          </w:p>
        </w:tc>
      </w:tr>
      <w:tr w:rsidR="006C34D9" w14:paraId="3FCB4EDB" w14:textId="77777777">
        <w:trPr>
          <w:trHeight w:val="452"/>
        </w:trPr>
        <w:tc>
          <w:tcPr>
            <w:tcW w:w="3970" w:type="dxa"/>
          </w:tcPr>
          <w:p w14:paraId="2087DA27" w14:textId="77777777" w:rsidR="006C34D9" w:rsidRDefault="00CB5041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Actemra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Parameter</w:t>
            </w:r>
          </w:p>
        </w:tc>
        <w:tc>
          <w:tcPr>
            <w:tcW w:w="2189" w:type="dxa"/>
          </w:tcPr>
          <w:p w14:paraId="16C8CB0F" w14:textId="77777777" w:rsidR="006C34D9" w:rsidRDefault="00CB5041">
            <w:pPr>
              <w:pStyle w:val="TableParagraph"/>
              <w:spacing w:before="5"/>
              <w:ind w:left="401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Q2W</w:t>
            </w:r>
          </w:p>
        </w:tc>
        <w:tc>
          <w:tcPr>
            <w:tcW w:w="2859" w:type="dxa"/>
          </w:tcPr>
          <w:p w14:paraId="3022BD77" w14:textId="77777777" w:rsidR="006C34D9" w:rsidRDefault="00CB5041">
            <w:pPr>
              <w:pStyle w:val="TableParagraph"/>
              <w:spacing w:before="5"/>
              <w:ind w:left="795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162 mg QW</w:t>
            </w:r>
          </w:p>
        </w:tc>
      </w:tr>
      <w:tr w:rsidR="006C34D9" w14:paraId="11C4B8C0" w14:textId="77777777">
        <w:trPr>
          <w:trHeight w:val="400"/>
        </w:trPr>
        <w:tc>
          <w:tcPr>
            <w:tcW w:w="3970" w:type="dxa"/>
          </w:tcPr>
          <w:p w14:paraId="759CEC1D" w14:textId="77777777" w:rsidR="006C34D9" w:rsidRDefault="00CB5041">
            <w:pPr>
              <w:pStyle w:val="TableParagraph"/>
              <w:spacing w:before="2"/>
              <w:rPr>
                <w:sz w:val="24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max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(mcg/mL)</w:t>
            </w:r>
          </w:p>
        </w:tc>
        <w:tc>
          <w:tcPr>
            <w:tcW w:w="2189" w:type="dxa"/>
          </w:tcPr>
          <w:p w14:paraId="201B1C75" w14:textId="77777777" w:rsidR="006C34D9" w:rsidRDefault="00CB5041">
            <w:pPr>
              <w:pStyle w:val="TableParagraph"/>
              <w:spacing w:before="2"/>
              <w:ind w:left="401" w:right="393"/>
              <w:jc w:val="center"/>
              <w:rPr>
                <w:sz w:val="24"/>
              </w:rPr>
            </w:pPr>
            <w:r>
              <w:rPr>
                <w:sz w:val="24"/>
              </w:rPr>
              <w:t>19.3 ± 12.8</w:t>
            </w:r>
          </w:p>
        </w:tc>
        <w:tc>
          <w:tcPr>
            <w:tcW w:w="2859" w:type="dxa"/>
          </w:tcPr>
          <w:p w14:paraId="4B1F7B29" w14:textId="77777777" w:rsidR="006C34D9" w:rsidRDefault="00CB5041">
            <w:pPr>
              <w:pStyle w:val="TableParagraph"/>
              <w:spacing w:before="2"/>
              <w:ind w:left="794" w:right="787"/>
              <w:jc w:val="center"/>
              <w:rPr>
                <w:sz w:val="24"/>
              </w:rPr>
            </w:pPr>
            <w:r>
              <w:rPr>
                <w:sz w:val="24"/>
              </w:rPr>
              <w:t>73 ± 30.4</w:t>
            </w:r>
          </w:p>
        </w:tc>
      </w:tr>
      <w:tr w:rsidR="006C34D9" w14:paraId="47A8746D" w14:textId="77777777">
        <w:trPr>
          <w:trHeight w:val="400"/>
        </w:trPr>
        <w:tc>
          <w:tcPr>
            <w:tcW w:w="3970" w:type="dxa"/>
          </w:tcPr>
          <w:p w14:paraId="42F063F5" w14:textId="77777777" w:rsidR="006C34D9" w:rsidRDefault="00CB5041">
            <w:pPr>
              <w:pStyle w:val="TableParagraph"/>
              <w:spacing w:before="1"/>
              <w:rPr>
                <w:sz w:val="24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trough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(mcg/mL)</w:t>
            </w:r>
          </w:p>
        </w:tc>
        <w:tc>
          <w:tcPr>
            <w:tcW w:w="2189" w:type="dxa"/>
          </w:tcPr>
          <w:p w14:paraId="1B378F6A" w14:textId="77777777" w:rsidR="006C34D9" w:rsidRDefault="00CB5041">
            <w:pPr>
              <w:pStyle w:val="TableParagraph"/>
              <w:spacing w:before="1"/>
              <w:ind w:left="401" w:right="393"/>
              <w:jc w:val="center"/>
              <w:rPr>
                <w:sz w:val="24"/>
              </w:rPr>
            </w:pPr>
            <w:r>
              <w:rPr>
                <w:sz w:val="24"/>
              </w:rPr>
              <w:t>11.1 ± 10.3</w:t>
            </w:r>
          </w:p>
        </w:tc>
        <w:tc>
          <w:tcPr>
            <w:tcW w:w="2859" w:type="dxa"/>
          </w:tcPr>
          <w:p w14:paraId="3D858E14" w14:textId="77777777" w:rsidR="006C34D9" w:rsidRDefault="00CB5041">
            <w:pPr>
              <w:pStyle w:val="TableParagraph"/>
              <w:spacing w:before="1"/>
              <w:ind w:left="794" w:right="787"/>
              <w:jc w:val="center"/>
              <w:rPr>
                <w:sz w:val="24"/>
              </w:rPr>
            </w:pPr>
            <w:r>
              <w:rPr>
                <w:sz w:val="24"/>
              </w:rPr>
              <w:t>68.1± 29.5</w:t>
            </w:r>
          </w:p>
        </w:tc>
      </w:tr>
      <w:tr w:rsidR="006C34D9" w14:paraId="35069C04" w14:textId="77777777">
        <w:trPr>
          <w:trHeight w:val="399"/>
        </w:trPr>
        <w:tc>
          <w:tcPr>
            <w:tcW w:w="3970" w:type="dxa"/>
          </w:tcPr>
          <w:p w14:paraId="2487474D" w14:textId="77777777" w:rsidR="006C34D9" w:rsidRDefault="00CB5041">
            <w:pPr>
              <w:pStyle w:val="TableParagraph"/>
              <w:spacing w:before="1"/>
              <w:rPr>
                <w:sz w:val="24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mean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(mcg/mL)</w:t>
            </w:r>
          </w:p>
        </w:tc>
        <w:tc>
          <w:tcPr>
            <w:tcW w:w="2189" w:type="dxa"/>
          </w:tcPr>
          <w:p w14:paraId="74C7164F" w14:textId="77777777" w:rsidR="006C34D9" w:rsidRDefault="00CB5041">
            <w:pPr>
              <w:pStyle w:val="TableParagraph"/>
              <w:spacing w:before="1"/>
              <w:ind w:left="401" w:right="333"/>
              <w:jc w:val="center"/>
              <w:rPr>
                <w:sz w:val="24"/>
              </w:rPr>
            </w:pPr>
            <w:r>
              <w:rPr>
                <w:sz w:val="24"/>
              </w:rPr>
              <w:t>16.2 ± 11.8</w:t>
            </w:r>
          </w:p>
        </w:tc>
        <w:tc>
          <w:tcPr>
            <w:tcW w:w="2859" w:type="dxa"/>
          </w:tcPr>
          <w:p w14:paraId="14AFBD87" w14:textId="77777777" w:rsidR="006C34D9" w:rsidRDefault="00CB5041">
            <w:pPr>
              <w:pStyle w:val="TableParagraph"/>
              <w:spacing w:before="1"/>
              <w:ind w:left="794" w:right="787"/>
              <w:jc w:val="center"/>
              <w:rPr>
                <w:sz w:val="24"/>
              </w:rPr>
            </w:pPr>
            <w:r>
              <w:rPr>
                <w:sz w:val="24"/>
              </w:rPr>
              <w:t>71.3 ± 30.1</w:t>
            </w:r>
          </w:p>
        </w:tc>
      </w:tr>
      <w:tr w:rsidR="006C34D9" w14:paraId="4A7EFF6B" w14:textId="77777777">
        <w:trPr>
          <w:trHeight w:val="400"/>
        </w:trPr>
        <w:tc>
          <w:tcPr>
            <w:tcW w:w="3970" w:type="dxa"/>
          </w:tcPr>
          <w:p w14:paraId="599C133A" w14:textId="77777777" w:rsidR="006C34D9" w:rsidRDefault="00CB5041">
            <w:pPr>
              <w:pStyle w:val="TableParagraph"/>
              <w:spacing w:before="2"/>
              <w:rPr>
                <w:sz w:val="16"/>
              </w:rPr>
            </w:pPr>
            <w:r>
              <w:rPr>
                <w:position w:val="1"/>
                <w:sz w:val="24"/>
              </w:rPr>
              <w:t>Accumulation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max</w:t>
            </w:r>
          </w:p>
        </w:tc>
        <w:tc>
          <w:tcPr>
            <w:tcW w:w="2189" w:type="dxa"/>
          </w:tcPr>
          <w:p w14:paraId="539A86BD" w14:textId="77777777" w:rsidR="006C34D9" w:rsidRDefault="00CB5041">
            <w:pPr>
              <w:pStyle w:val="TableParagraph"/>
              <w:spacing w:before="2"/>
              <w:ind w:left="401" w:right="393"/>
              <w:jc w:val="center"/>
              <w:rPr>
                <w:sz w:val="24"/>
              </w:rPr>
            </w:pPr>
            <w:r>
              <w:rPr>
                <w:sz w:val="24"/>
              </w:rPr>
              <w:t>2.26</w:t>
            </w:r>
          </w:p>
        </w:tc>
        <w:tc>
          <w:tcPr>
            <w:tcW w:w="2859" w:type="dxa"/>
          </w:tcPr>
          <w:p w14:paraId="6A2FE55D" w14:textId="77777777" w:rsidR="006C34D9" w:rsidRDefault="00CB5041">
            <w:pPr>
              <w:pStyle w:val="TableParagraph"/>
              <w:spacing w:before="2"/>
              <w:ind w:left="795" w:right="728"/>
              <w:jc w:val="center"/>
              <w:rPr>
                <w:sz w:val="24"/>
              </w:rPr>
            </w:pPr>
            <w:r>
              <w:rPr>
                <w:sz w:val="24"/>
              </w:rPr>
              <w:t>8.88</w:t>
            </w:r>
          </w:p>
        </w:tc>
      </w:tr>
      <w:tr w:rsidR="006C34D9" w14:paraId="550B22F0" w14:textId="77777777">
        <w:trPr>
          <w:trHeight w:val="400"/>
        </w:trPr>
        <w:tc>
          <w:tcPr>
            <w:tcW w:w="3970" w:type="dxa"/>
          </w:tcPr>
          <w:p w14:paraId="05199586" w14:textId="77777777" w:rsidR="006C34D9" w:rsidRDefault="00CB5041">
            <w:pPr>
              <w:pStyle w:val="TableParagraph"/>
              <w:spacing w:before="1"/>
              <w:rPr>
                <w:sz w:val="16"/>
              </w:rPr>
            </w:pPr>
            <w:r>
              <w:rPr>
                <w:position w:val="1"/>
                <w:sz w:val="24"/>
              </w:rPr>
              <w:t>Accumulation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trough</w:t>
            </w:r>
          </w:p>
        </w:tc>
        <w:tc>
          <w:tcPr>
            <w:tcW w:w="2189" w:type="dxa"/>
          </w:tcPr>
          <w:p w14:paraId="4189ED80" w14:textId="77777777" w:rsidR="006C34D9" w:rsidRDefault="00CB5041">
            <w:pPr>
              <w:pStyle w:val="TableParagraph"/>
              <w:spacing w:before="1"/>
              <w:ind w:left="401" w:right="393"/>
              <w:jc w:val="center"/>
              <w:rPr>
                <w:sz w:val="24"/>
              </w:rPr>
            </w:pPr>
            <w:r>
              <w:rPr>
                <w:sz w:val="24"/>
              </w:rPr>
              <w:t>5.61</w:t>
            </w:r>
          </w:p>
        </w:tc>
        <w:tc>
          <w:tcPr>
            <w:tcW w:w="2859" w:type="dxa"/>
          </w:tcPr>
          <w:p w14:paraId="63692DB3" w14:textId="77777777" w:rsidR="006C34D9" w:rsidRDefault="00CB5041">
            <w:pPr>
              <w:pStyle w:val="TableParagraph"/>
              <w:spacing w:before="1"/>
              <w:ind w:left="794" w:right="787"/>
              <w:jc w:val="center"/>
              <w:rPr>
                <w:sz w:val="24"/>
              </w:rPr>
            </w:pPr>
            <w:r>
              <w:rPr>
                <w:sz w:val="24"/>
              </w:rPr>
              <w:t>9.59</w:t>
            </w:r>
          </w:p>
        </w:tc>
      </w:tr>
      <w:tr w:rsidR="006C34D9" w14:paraId="0436D61D" w14:textId="77777777">
        <w:trPr>
          <w:trHeight w:val="400"/>
        </w:trPr>
        <w:tc>
          <w:tcPr>
            <w:tcW w:w="3970" w:type="dxa"/>
          </w:tcPr>
          <w:p w14:paraId="27483525" w14:textId="77777777" w:rsidR="006C34D9" w:rsidRDefault="00CB5041">
            <w:pPr>
              <w:pStyle w:val="TableParagraph"/>
              <w:spacing w:before="1"/>
              <w:rPr>
                <w:sz w:val="16"/>
              </w:rPr>
            </w:pPr>
            <w:r>
              <w:rPr>
                <w:position w:val="1"/>
                <w:sz w:val="24"/>
              </w:rPr>
              <w:t>Accumulation</w:t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mean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or</w:t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AUC</w:t>
            </w:r>
            <w:r>
              <w:rPr>
                <w:sz w:val="16"/>
              </w:rPr>
              <w:t>τ</w:t>
            </w:r>
          </w:p>
        </w:tc>
        <w:tc>
          <w:tcPr>
            <w:tcW w:w="2189" w:type="dxa"/>
          </w:tcPr>
          <w:p w14:paraId="182B8BC2" w14:textId="77777777" w:rsidR="006C34D9" w:rsidRDefault="00CB5041">
            <w:pPr>
              <w:pStyle w:val="TableParagraph"/>
              <w:spacing w:before="1"/>
              <w:ind w:left="401" w:right="393"/>
              <w:jc w:val="center"/>
              <w:rPr>
                <w:sz w:val="24"/>
              </w:rPr>
            </w:pPr>
            <w:r>
              <w:rPr>
                <w:sz w:val="24"/>
              </w:rPr>
              <w:t>2.81</w:t>
            </w:r>
          </w:p>
        </w:tc>
        <w:tc>
          <w:tcPr>
            <w:tcW w:w="2859" w:type="dxa"/>
          </w:tcPr>
          <w:p w14:paraId="599D579C" w14:textId="77777777" w:rsidR="006C34D9" w:rsidRDefault="00CB5041">
            <w:pPr>
              <w:pStyle w:val="TableParagraph"/>
              <w:spacing w:before="1"/>
              <w:ind w:left="794" w:right="787"/>
              <w:jc w:val="center"/>
              <w:rPr>
                <w:sz w:val="24"/>
              </w:rPr>
            </w:pPr>
            <w:r>
              <w:rPr>
                <w:sz w:val="24"/>
              </w:rPr>
              <w:t>10.91</w:t>
            </w:r>
          </w:p>
        </w:tc>
      </w:tr>
    </w:tbl>
    <w:p w14:paraId="46C0D33A" w14:textId="77777777" w:rsidR="006C34D9" w:rsidRDefault="00CB5041">
      <w:pPr>
        <w:pStyle w:val="BodyText"/>
        <w:ind w:left="659" w:right="656"/>
        <w:jc w:val="both"/>
      </w:pPr>
      <w:r>
        <w:t>The steady-state profile following the Actemra weekly dose was almost flat, with very little</w:t>
      </w:r>
      <w:r>
        <w:rPr>
          <w:spacing w:val="1"/>
        </w:rPr>
        <w:t xml:space="preserve"> </w:t>
      </w:r>
      <w:r>
        <w:t>fluctuations between trough and peak values, while there were substantial fluctuations for the</w:t>
      </w:r>
      <w:r>
        <w:rPr>
          <w:spacing w:val="1"/>
        </w:rPr>
        <w:t xml:space="preserve"> </w:t>
      </w:r>
      <w:r>
        <w:t xml:space="preserve">Actemra every other week dose. Approximately 90% of the </w:t>
      </w:r>
      <w:proofErr w:type="gramStart"/>
      <w:r>
        <w:t>steady-state</w:t>
      </w:r>
      <w:proofErr w:type="gramEnd"/>
      <w:r>
        <w:t xml:space="preserve"> (</w:t>
      </w:r>
      <w:proofErr w:type="spellStart"/>
      <w:r>
        <w:t>AUCτ</w:t>
      </w:r>
      <w:proofErr w:type="spellEnd"/>
      <w:r>
        <w:t>) was reached</w:t>
      </w:r>
      <w:r>
        <w:rPr>
          <w:spacing w:val="-57"/>
        </w:rPr>
        <w:t xml:space="preserve"> </w:t>
      </w:r>
      <w:r>
        <w:t>by Week 14</w:t>
      </w:r>
      <w:r>
        <w:rPr>
          <w:spacing w:val="-1"/>
        </w:rPr>
        <w:t xml:space="preserve"> </w:t>
      </w:r>
      <w:r>
        <w:t>in the every</w:t>
      </w:r>
      <w:r>
        <w:rPr>
          <w:spacing w:val="-3"/>
        </w:rPr>
        <w:t xml:space="preserve"> </w:t>
      </w:r>
      <w:r>
        <w:t>other week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Week 17</w:t>
      </w:r>
      <w:r>
        <w:rPr>
          <w:spacing w:val="-1"/>
        </w:rPr>
        <w:t xml:space="preserve"> </w:t>
      </w:r>
      <w:r>
        <w:t>in the weekly</w:t>
      </w:r>
      <w:r>
        <w:rPr>
          <w:spacing w:val="-1"/>
        </w:rPr>
        <w:t xml:space="preserve"> </w:t>
      </w:r>
      <w:r>
        <w:t>dose groups.</w:t>
      </w:r>
    </w:p>
    <w:p w14:paraId="6E7436DA" w14:textId="77777777" w:rsidR="006C34D9" w:rsidRDefault="00CB5041">
      <w:pPr>
        <w:pStyle w:val="Heading1"/>
        <w:spacing w:before="202" w:line="240" w:lineRule="auto"/>
        <w:ind w:left="659" w:firstLine="0"/>
      </w:pPr>
      <w:bookmarkStart w:id="121" w:name="COVID-19"/>
      <w:bookmarkEnd w:id="121"/>
      <w:r>
        <w:t>COVID-19</w:t>
      </w:r>
    </w:p>
    <w:p w14:paraId="7B6940C7" w14:textId="77777777" w:rsidR="006C34D9" w:rsidRDefault="00CB5041">
      <w:pPr>
        <w:pStyle w:val="BodyText"/>
        <w:spacing w:before="33"/>
        <w:ind w:left="659" w:right="656"/>
        <w:jc w:val="both"/>
      </w:pPr>
      <w:r>
        <w:t xml:space="preserve">The pharmacokinetics of Actemra in COVID-19 adult patients was </w:t>
      </w:r>
      <w:proofErr w:type="spellStart"/>
      <w:r>
        <w:t>characterised</w:t>
      </w:r>
      <w:proofErr w:type="spellEnd"/>
      <w:r>
        <w:t xml:space="preserve"> in Study</w:t>
      </w:r>
      <w:r>
        <w:rPr>
          <w:spacing w:val="1"/>
        </w:rPr>
        <w:t xml:space="preserve"> </w:t>
      </w:r>
      <w:r>
        <w:t>WA42380</w:t>
      </w:r>
      <w:r>
        <w:rPr>
          <w:spacing w:val="-8"/>
        </w:rPr>
        <w:t xml:space="preserve"> </w:t>
      </w:r>
      <w:r>
        <w:t>(COVACTA)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CA42481</w:t>
      </w:r>
      <w:r>
        <w:rPr>
          <w:spacing w:val="-8"/>
        </w:rPr>
        <w:t xml:space="preserve"> </w:t>
      </w:r>
      <w:r>
        <w:t>(MARIPOSA)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population</w:t>
      </w:r>
      <w:r>
        <w:rPr>
          <w:spacing w:val="-8"/>
        </w:rPr>
        <w:t xml:space="preserve"> </w:t>
      </w:r>
      <w:r>
        <w:t>pharmacokinetic</w:t>
      </w:r>
      <w:r>
        <w:rPr>
          <w:spacing w:val="-57"/>
        </w:rPr>
        <w:t xml:space="preserve"> </w:t>
      </w:r>
      <w:r>
        <w:t>analysis which included 380 adult patients who were treated with one or two 8mg/kg IV</w:t>
      </w:r>
      <w:r>
        <w:rPr>
          <w:spacing w:val="1"/>
        </w:rPr>
        <w:t xml:space="preserve"> </w:t>
      </w:r>
      <w:r>
        <w:t>infusions</w:t>
      </w:r>
      <w:r>
        <w:rPr>
          <w:spacing w:val="-1"/>
        </w:rPr>
        <w:t xml:space="preserve"> </w:t>
      </w:r>
      <w:r>
        <w:t>administered at least 8 hours apart.</w:t>
      </w:r>
    </w:p>
    <w:p w14:paraId="0FE70E9A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2E27EA9C" w14:textId="77777777" w:rsidR="006C34D9" w:rsidRDefault="00CB5041">
      <w:pPr>
        <w:pStyle w:val="BodyText"/>
        <w:ind w:left="659"/>
        <w:jc w:val="both"/>
      </w:pPr>
      <w:r>
        <w:t>Table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Predicted</w:t>
      </w:r>
      <w:r>
        <w:rPr>
          <w:spacing w:val="-1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±</w:t>
      </w:r>
      <w:r>
        <w:rPr>
          <w:spacing w:val="-1"/>
        </w:rPr>
        <w:t xml:space="preserve"> </w:t>
      </w:r>
      <w:r>
        <w:t>(SD)</w:t>
      </w:r>
      <w:r>
        <w:rPr>
          <w:spacing w:val="-1"/>
        </w:rPr>
        <w:t xml:space="preserve"> </w:t>
      </w:r>
      <w:r>
        <w:t>PK</w:t>
      </w:r>
      <w:r>
        <w:rPr>
          <w:spacing w:val="-2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mg/kg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dosing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COVID-19</w:t>
      </w:r>
    </w:p>
    <w:p w14:paraId="4C603325" w14:textId="77777777" w:rsidR="006C34D9" w:rsidRDefault="006C34D9">
      <w:pPr>
        <w:pStyle w:val="BodyText"/>
        <w:spacing w:before="1"/>
        <w:ind w:left="0"/>
        <w:rPr>
          <w:sz w:val="21"/>
        </w:rPr>
      </w:pPr>
    </w:p>
    <w:tbl>
      <w:tblPr>
        <w:tblW w:w="0" w:type="auto"/>
        <w:tblInd w:w="2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1482"/>
        <w:gridCol w:w="1454"/>
      </w:tblGrid>
      <w:tr w:rsidR="006C34D9" w14:paraId="6B0A98D0" w14:textId="77777777">
        <w:trPr>
          <w:trHeight w:val="275"/>
        </w:trPr>
        <w:tc>
          <w:tcPr>
            <w:tcW w:w="2549" w:type="dxa"/>
          </w:tcPr>
          <w:p w14:paraId="2196EF6E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36" w:type="dxa"/>
            <w:gridSpan w:val="2"/>
          </w:tcPr>
          <w:p w14:paraId="366C1266" w14:textId="77777777" w:rsidR="006C34D9" w:rsidRDefault="00CB5041">
            <w:pPr>
              <w:pStyle w:val="TableParagraph"/>
              <w:spacing w:line="255" w:lineRule="exact"/>
              <w:ind w:left="1038" w:righ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mg/kg</w:t>
            </w:r>
          </w:p>
        </w:tc>
      </w:tr>
      <w:tr w:rsidR="006C34D9" w14:paraId="42E6F58C" w14:textId="77777777">
        <w:trPr>
          <w:trHeight w:val="451"/>
        </w:trPr>
        <w:tc>
          <w:tcPr>
            <w:tcW w:w="2549" w:type="dxa"/>
          </w:tcPr>
          <w:p w14:paraId="10954187" w14:textId="77777777" w:rsidR="006C34D9" w:rsidRDefault="00CB50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TCZ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Parameter</w:t>
            </w:r>
          </w:p>
        </w:tc>
        <w:tc>
          <w:tcPr>
            <w:tcW w:w="1482" w:type="dxa"/>
          </w:tcPr>
          <w:p w14:paraId="48FF8320" w14:textId="77777777" w:rsidR="006C34D9" w:rsidRDefault="00CB50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dose</w:t>
            </w:r>
          </w:p>
        </w:tc>
        <w:tc>
          <w:tcPr>
            <w:tcW w:w="1454" w:type="dxa"/>
          </w:tcPr>
          <w:p w14:paraId="0D564D7A" w14:textId="77777777" w:rsidR="006C34D9" w:rsidRDefault="00CB504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Two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doses</w:t>
            </w:r>
          </w:p>
        </w:tc>
      </w:tr>
      <w:tr w:rsidR="006C34D9" w14:paraId="0D28A6F0" w14:textId="77777777">
        <w:trPr>
          <w:trHeight w:val="275"/>
        </w:trPr>
        <w:tc>
          <w:tcPr>
            <w:tcW w:w="2549" w:type="dxa"/>
          </w:tcPr>
          <w:p w14:paraId="3166C67D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max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(mcg/mL)</w:t>
            </w:r>
          </w:p>
        </w:tc>
        <w:tc>
          <w:tcPr>
            <w:tcW w:w="1482" w:type="dxa"/>
          </w:tcPr>
          <w:p w14:paraId="4ED97FF4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154 (34.9)</w:t>
            </w:r>
          </w:p>
        </w:tc>
        <w:tc>
          <w:tcPr>
            <w:tcW w:w="1454" w:type="dxa"/>
          </w:tcPr>
          <w:p w14:paraId="090E859E" w14:textId="77777777" w:rsidR="006C34D9" w:rsidRDefault="00CB50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296 (64.7)</w:t>
            </w:r>
          </w:p>
        </w:tc>
      </w:tr>
      <w:tr w:rsidR="006C34D9" w14:paraId="2266B292" w14:textId="77777777">
        <w:trPr>
          <w:trHeight w:val="276"/>
        </w:trPr>
        <w:tc>
          <w:tcPr>
            <w:tcW w:w="2549" w:type="dxa"/>
          </w:tcPr>
          <w:p w14:paraId="6B9902ED" w14:textId="77777777" w:rsidR="006C34D9" w:rsidRDefault="00CB50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day28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(mcg/mL)</w:t>
            </w:r>
          </w:p>
        </w:tc>
        <w:tc>
          <w:tcPr>
            <w:tcW w:w="1482" w:type="dxa"/>
          </w:tcPr>
          <w:p w14:paraId="681231B6" w14:textId="77777777" w:rsidR="006C34D9" w:rsidRDefault="00CB50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0.934 (1.93)</w:t>
            </w:r>
          </w:p>
        </w:tc>
        <w:tc>
          <w:tcPr>
            <w:tcW w:w="1454" w:type="dxa"/>
          </w:tcPr>
          <w:p w14:paraId="1D09F773" w14:textId="77777777" w:rsidR="006C34D9" w:rsidRDefault="00CB504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8.94 (8.5)</w:t>
            </w:r>
          </w:p>
        </w:tc>
      </w:tr>
    </w:tbl>
    <w:p w14:paraId="58DD62EE" w14:textId="77777777" w:rsidR="006C34D9" w:rsidRDefault="006C34D9">
      <w:pPr>
        <w:pStyle w:val="BodyText"/>
        <w:ind w:left="0"/>
      </w:pPr>
    </w:p>
    <w:p w14:paraId="402920C6" w14:textId="77777777" w:rsidR="006C34D9" w:rsidRDefault="00CB5041">
      <w:pPr>
        <w:pStyle w:val="BodyText"/>
        <w:ind w:left="659" w:right="657"/>
        <w:jc w:val="both"/>
      </w:pPr>
      <w:r>
        <w:t>Population PK analysis identified body weight and disease severity as significant covariates</w:t>
      </w:r>
      <w:r>
        <w:rPr>
          <w:spacing w:val="1"/>
        </w:rPr>
        <w:t xml:space="preserve"> </w:t>
      </w:r>
      <w:r>
        <w:t>impacting pharmacokinetics of intravenous Actemra. With a dosing regimen of 8 mg/kg</w:t>
      </w:r>
      <w:r>
        <w:rPr>
          <w:spacing w:val="1"/>
        </w:rPr>
        <w:t xml:space="preserve"> </w:t>
      </w:r>
      <w:r>
        <w:t>Actemra with a maximum dose of 800 mg Actemra, within a specified Ordinal Scale (OS)</w:t>
      </w:r>
      <w:r>
        <w:rPr>
          <w:spacing w:val="1"/>
        </w:rPr>
        <w:t xml:space="preserve"> </w:t>
      </w:r>
      <w:r>
        <w:t>category,</w:t>
      </w:r>
      <w:r>
        <w:rPr>
          <w:spacing w:val="-4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kg,</w:t>
      </w:r>
      <w:r>
        <w:rPr>
          <w:spacing w:val="-4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20%</w:t>
      </w:r>
      <w:r>
        <w:rPr>
          <w:spacing w:val="-5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patients weighing less than 60 kg. Exposure in patients weighing more than 100 kg was in the</w:t>
      </w:r>
      <w:r>
        <w:rPr>
          <w:spacing w:val="-57"/>
        </w:rPr>
        <w:t xml:space="preserve"> </w:t>
      </w:r>
      <w:r>
        <w:t>same range as exposure in patients with a mean body weight of 80 kg. For an 80 kg patient,</w:t>
      </w:r>
      <w:r>
        <w:rPr>
          <w:spacing w:val="1"/>
        </w:rPr>
        <w:t xml:space="preserve"> </w:t>
      </w:r>
      <w:r>
        <w:t>exposure decreased as disease severity increased; for each category increase on the OS,</w:t>
      </w:r>
      <w:r>
        <w:rPr>
          <w:spacing w:val="1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decreased consistently by 13%.</w:t>
      </w:r>
    </w:p>
    <w:p w14:paraId="04DB1D61" w14:textId="77777777" w:rsidR="006C34D9" w:rsidRDefault="006C34D9">
      <w:pPr>
        <w:pStyle w:val="BodyText"/>
        <w:spacing w:before="1"/>
        <w:ind w:left="0"/>
        <w:rPr>
          <w:sz w:val="21"/>
        </w:rPr>
      </w:pPr>
    </w:p>
    <w:p w14:paraId="6502D6B9" w14:textId="77777777" w:rsidR="006C34D9" w:rsidRDefault="00CB5041">
      <w:pPr>
        <w:pStyle w:val="Heading2"/>
        <w:ind w:left="659"/>
      </w:pPr>
      <w:bookmarkStart w:id="122" w:name="Polyarticular_Juvenile_Idiopathic_Arthri"/>
      <w:bookmarkEnd w:id="122"/>
      <w:r>
        <w:t>Polyarticular</w:t>
      </w:r>
      <w:r>
        <w:rPr>
          <w:spacing w:val="-5"/>
        </w:rPr>
        <w:t xml:space="preserve"> </w:t>
      </w:r>
      <w:r>
        <w:t>Juvenile</w:t>
      </w:r>
      <w:r>
        <w:rPr>
          <w:spacing w:val="-5"/>
        </w:rPr>
        <w:t xml:space="preserve"> </w:t>
      </w:r>
      <w:r>
        <w:t>Idiopathic</w:t>
      </w:r>
      <w:r>
        <w:rPr>
          <w:spacing w:val="-5"/>
        </w:rPr>
        <w:t xml:space="preserve"> </w:t>
      </w:r>
      <w:r>
        <w:t>Arthritis</w:t>
      </w:r>
    </w:p>
    <w:p w14:paraId="38F451CC" w14:textId="77777777" w:rsidR="006C34D9" w:rsidRDefault="00CB5041">
      <w:pPr>
        <w:pStyle w:val="BodyText"/>
        <w:spacing w:before="34"/>
        <w:ind w:left="659" w:right="656"/>
        <w:jc w:val="both"/>
      </w:pPr>
      <w:r>
        <w:t>The pharmacokinetics of Actemra in polyarticular juvenile idiopathic arthritis (</w:t>
      </w:r>
      <w:proofErr w:type="spellStart"/>
      <w:r>
        <w:t>pJIA</w:t>
      </w:r>
      <w:proofErr w:type="spellEnd"/>
      <w:r>
        <w:t>) patients</w:t>
      </w:r>
      <w:r>
        <w:rPr>
          <w:spacing w:val="1"/>
        </w:rPr>
        <w:t xml:space="preserve"> </w:t>
      </w:r>
      <w:r>
        <w:t xml:space="preserve">were </w:t>
      </w:r>
      <w:proofErr w:type="spellStart"/>
      <w:r>
        <w:t>characterised</w:t>
      </w:r>
      <w:proofErr w:type="spellEnd"/>
      <w:r>
        <w:t xml:space="preserve"> using a population pharmacokinetic analysis which included 237 patients</w:t>
      </w:r>
      <w:r>
        <w:rPr>
          <w:spacing w:val="1"/>
        </w:rPr>
        <w:t xml:space="preserve"> </w:t>
      </w:r>
      <w:r>
        <w:t>who were treated with 8 mg/kg IV every 4 weeks (patients weighing ≥ 30 kg), 10 mg/kg IV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>(patients</w:t>
      </w:r>
      <w:r>
        <w:rPr>
          <w:spacing w:val="1"/>
        </w:rPr>
        <w:t xml:space="preserve"> </w:t>
      </w:r>
      <w:r>
        <w:t>weighing</w:t>
      </w:r>
      <w:r>
        <w:rPr>
          <w:spacing w:val="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kg),</w:t>
      </w:r>
      <w:r>
        <w:rPr>
          <w:spacing w:val="1"/>
        </w:rPr>
        <w:t xml:space="preserve"> </w:t>
      </w:r>
      <w:r>
        <w:t>162</w:t>
      </w:r>
      <w:r>
        <w:rPr>
          <w:spacing w:val="1"/>
        </w:rPr>
        <w:t xml:space="preserve"> </w:t>
      </w:r>
      <w:r>
        <w:t>mg</w:t>
      </w:r>
      <w:r>
        <w:rPr>
          <w:spacing w:val="1"/>
        </w:rPr>
        <w:t xml:space="preserve"> </w:t>
      </w:r>
      <w:r>
        <w:t>SC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weeks</w:t>
      </w:r>
      <w:r>
        <w:rPr>
          <w:spacing w:val="60"/>
        </w:rPr>
        <w:t xml:space="preserve"> </w:t>
      </w:r>
      <w:r>
        <w:t>(patients</w:t>
      </w:r>
      <w:r>
        <w:rPr>
          <w:spacing w:val="1"/>
        </w:rPr>
        <w:t xml:space="preserve"> </w:t>
      </w:r>
      <w:r>
        <w:t>weighing</w:t>
      </w:r>
      <w:r>
        <w:rPr>
          <w:spacing w:val="60"/>
        </w:rPr>
        <w:t xml:space="preserve"> </w:t>
      </w:r>
      <w:r>
        <w:t>≥</w:t>
      </w:r>
      <w:r>
        <w:rPr>
          <w:spacing w:val="-2"/>
        </w:rPr>
        <w:t xml:space="preserve"> </w:t>
      </w:r>
      <w:r>
        <w:t>30 kg),</w:t>
      </w:r>
      <w:r>
        <w:rPr>
          <w:spacing w:val="-1"/>
        </w:rPr>
        <w:t xml:space="preserve"> </w:t>
      </w:r>
      <w:r>
        <w:t>or 162 mg SC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3 weeks</w:t>
      </w:r>
      <w:r>
        <w:rPr>
          <w:spacing w:val="-1"/>
        </w:rPr>
        <w:t xml:space="preserve"> </w:t>
      </w:r>
      <w:r>
        <w:t>(patients weighing below</w:t>
      </w:r>
      <w:r>
        <w:rPr>
          <w:spacing w:val="-2"/>
        </w:rPr>
        <w:t xml:space="preserve"> </w:t>
      </w:r>
      <w:r>
        <w:t>30 kg).</w:t>
      </w:r>
    </w:p>
    <w:p w14:paraId="0FF2C9BE" w14:textId="77777777" w:rsidR="006C34D9" w:rsidRDefault="006C34D9">
      <w:pPr>
        <w:jc w:val="both"/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70322E33" w14:textId="77777777" w:rsidR="006C34D9" w:rsidRDefault="00CB5041">
      <w:pPr>
        <w:pStyle w:val="Heading2"/>
        <w:spacing w:before="118"/>
        <w:ind w:left="1653" w:right="596" w:hanging="994"/>
        <w:jc w:val="left"/>
      </w:pPr>
      <w:r>
        <w:lastRenderedPageBreak/>
        <w:t>Table</w:t>
      </w:r>
      <w:r>
        <w:rPr>
          <w:spacing w:val="13"/>
        </w:rPr>
        <w:t xml:space="preserve"> </w:t>
      </w:r>
      <w:r>
        <w:t>16</w:t>
      </w:r>
      <w:r>
        <w:rPr>
          <w:spacing w:val="14"/>
        </w:rPr>
        <w:t xml:space="preserve"> </w:t>
      </w:r>
      <w:r>
        <w:t>Predicted</w:t>
      </w:r>
      <w:r>
        <w:rPr>
          <w:spacing w:val="14"/>
        </w:rPr>
        <w:t xml:space="preserve"> </w:t>
      </w:r>
      <w:r>
        <w:t>mean</w:t>
      </w:r>
      <w:r>
        <w:rPr>
          <w:spacing w:val="14"/>
        </w:rPr>
        <w:t xml:space="preserve"> </w:t>
      </w:r>
      <w:r>
        <w:t>±</w:t>
      </w:r>
      <w:r>
        <w:rPr>
          <w:spacing w:val="14"/>
        </w:rPr>
        <w:t xml:space="preserve"> </w:t>
      </w:r>
      <w:r>
        <w:t>SD</w:t>
      </w:r>
      <w:r>
        <w:rPr>
          <w:spacing w:val="14"/>
        </w:rPr>
        <w:t xml:space="preserve"> </w:t>
      </w:r>
      <w:r>
        <w:t>PK</w:t>
      </w:r>
      <w:r>
        <w:rPr>
          <w:spacing w:val="14"/>
        </w:rPr>
        <w:t xml:space="preserve"> </w:t>
      </w:r>
      <w:r>
        <w:t>parameters</w:t>
      </w:r>
      <w:r>
        <w:rPr>
          <w:spacing w:val="14"/>
        </w:rPr>
        <w:t xml:space="preserve"> </w:t>
      </w:r>
      <w:r>
        <w:t>at</w:t>
      </w:r>
      <w:r>
        <w:rPr>
          <w:spacing w:val="15"/>
        </w:rPr>
        <w:t xml:space="preserve"> </w:t>
      </w:r>
      <w:proofErr w:type="gramStart"/>
      <w:r>
        <w:t>steady-state</w:t>
      </w:r>
      <w:proofErr w:type="gramEnd"/>
      <w:r>
        <w:rPr>
          <w:spacing w:val="14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IV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SC</w:t>
      </w:r>
      <w:r>
        <w:rPr>
          <w:spacing w:val="14"/>
        </w:rPr>
        <w:t xml:space="preserve"> </w:t>
      </w:r>
      <w:r>
        <w:t>dosing</w:t>
      </w:r>
      <w:r>
        <w:rPr>
          <w:spacing w:val="14"/>
        </w:rPr>
        <w:t xml:space="preserve"> </w:t>
      </w:r>
      <w:r>
        <w:t>in</w:t>
      </w:r>
      <w:r>
        <w:rPr>
          <w:spacing w:val="-57"/>
        </w:rPr>
        <w:t xml:space="preserve"> </w:t>
      </w:r>
      <w:proofErr w:type="spellStart"/>
      <w:r>
        <w:t>pJIA</w:t>
      </w:r>
      <w:proofErr w:type="spellEnd"/>
    </w:p>
    <w:p w14:paraId="502352DD" w14:textId="77777777" w:rsidR="006C34D9" w:rsidRDefault="006C34D9">
      <w:pPr>
        <w:pStyle w:val="BodyText"/>
        <w:spacing w:before="4"/>
        <w:ind w:left="0"/>
        <w:rPr>
          <w:b/>
          <w:sz w:val="10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1559"/>
        <w:gridCol w:w="1787"/>
        <w:gridCol w:w="1785"/>
        <w:gridCol w:w="1789"/>
      </w:tblGrid>
      <w:tr w:rsidR="006C34D9" w14:paraId="5238A8D8" w14:textId="77777777">
        <w:trPr>
          <w:trHeight w:val="479"/>
        </w:trPr>
        <w:tc>
          <w:tcPr>
            <w:tcW w:w="2099" w:type="dxa"/>
          </w:tcPr>
          <w:p w14:paraId="762EB755" w14:textId="77777777" w:rsidR="006C34D9" w:rsidRDefault="006C34D9">
            <w:pPr>
              <w:pStyle w:val="TableParagraph"/>
              <w:ind w:left="0"/>
            </w:pPr>
          </w:p>
        </w:tc>
        <w:tc>
          <w:tcPr>
            <w:tcW w:w="3346" w:type="dxa"/>
            <w:gridSpan w:val="2"/>
          </w:tcPr>
          <w:p w14:paraId="793C29EB" w14:textId="77777777" w:rsidR="006C34D9" w:rsidRDefault="00CB5041">
            <w:pPr>
              <w:pStyle w:val="TableParagraph"/>
              <w:spacing w:before="3"/>
              <w:ind w:left="1518" w:right="1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3574" w:type="dxa"/>
            <w:gridSpan w:val="2"/>
          </w:tcPr>
          <w:p w14:paraId="142107E5" w14:textId="77777777" w:rsidR="006C34D9" w:rsidRDefault="00CB5041">
            <w:pPr>
              <w:pStyle w:val="TableParagraph"/>
              <w:spacing w:before="3"/>
              <w:ind w:left="1610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</w:t>
            </w:r>
          </w:p>
        </w:tc>
      </w:tr>
      <w:tr w:rsidR="006C34D9" w14:paraId="7511127B" w14:textId="77777777">
        <w:trPr>
          <w:trHeight w:val="800"/>
        </w:trPr>
        <w:tc>
          <w:tcPr>
            <w:tcW w:w="2099" w:type="dxa"/>
          </w:tcPr>
          <w:p w14:paraId="62B23956" w14:textId="77777777" w:rsidR="006C34D9" w:rsidRDefault="00CB5041">
            <w:pPr>
              <w:pStyle w:val="TableParagraph"/>
              <w:tabs>
                <w:tab w:val="left" w:pos="1656"/>
              </w:tabs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TCZ</w:t>
            </w:r>
            <w:r>
              <w:rPr>
                <w:b/>
                <w:sz w:val="24"/>
              </w:rPr>
              <w:tab/>
              <w:t>PK</w:t>
            </w:r>
          </w:p>
          <w:p w14:paraId="6A4E9465" w14:textId="77777777" w:rsidR="006C34D9" w:rsidRDefault="00CB5041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  <w:tc>
          <w:tcPr>
            <w:tcW w:w="1559" w:type="dxa"/>
          </w:tcPr>
          <w:p w14:paraId="639FE611" w14:textId="77777777" w:rsidR="006C34D9" w:rsidRDefault="00CB5041">
            <w:pPr>
              <w:pStyle w:val="TableParagraph"/>
              <w:spacing w:before="5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mg/kg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q4w</w:t>
            </w:r>
          </w:p>
          <w:p w14:paraId="084A124A" w14:textId="77777777" w:rsidR="006C34D9" w:rsidRDefault="00CB5041">
            <w:pPr>
              <w:pStyle w:val="TableParagraph"/>
              <w:spacing w:before="123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≥ 30 kg</w:t>
            </w:r>
          </w:p>
        </w:tc>
        <w:tc>
          <w:tcPr>
            <w:tcW w:w="1787" w:type="dxa"/>
          </w:tcPr>
          <w:p w14:paraId="1CAC5AE1" w14:textId="77777777" w:rsidR="006C34D9" w:rsidRDefault="00CB5041">
            <w:pPr>
              <w:pStyle w:val="TableParagraph"/>
              <w:spacing w:before="5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mg/kg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q4w</w:t>
            </w:r>
          </w:p>
          <w:p w14:paraId="1B2733D8" w14:textId="77777777" w:rsidR="006C34D9" w:rsidRDefault="00CB5041">
            <w:pPr>
              <w:pStyle w:val="TableParagraph"/>
              <w:spacing w:before="12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below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 kg</w:t>
            </w:r>
          </w:p>
        </w:tc>
        <w:tc>
          <w:tcPr>
            <w:tcW w:w="1785" w:type="dxa"/>
          </w:tcPr>
          <w:p w14:paraId="49FCB198" w14:textId="77777777" w:rsidR="006C34D9" w:rsidRDefault="00CB5041">
            <w:pPr>
              <w:pStyle w:val="TableParagraph"/>
              <w:spacing w:before="5"/>
              <w:ind w:left="25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mg q2w</w:t>
            </w:r>
          </w:p>
          <w:p w14:paraId="7E360309" w14:textId="77777777" w:rsidR="006C34D9" w:rsidRDefault="00CB5041">
            <w:pPr>
              <w:pStyle w:val="TableParagraph"/>
              <w:spacing w:before="123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≥ 30 kg</w:t>
            </w:r>
          </w:p>
        </w:tc>
        <w:tc>
          <w:tcPr>
            <w:tcW w:w="1789" w:type="dxa"/>
          </w:tcPr>
          <w:p w14:paraId="791F62E8" w14:textId="77777777" w:rsidR="006C34D9" w:rsidRDefault="00CB5041">
            <w:pPr>
              <w:pStyle w:val="TableParagraph"/>
              <w:spacing w:before="5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162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q3w</w:t>
            </w:r>
          </w:p>
          <w:p w14:paraId="44225B30" w14:textId="77777777" w:rsidR="006C34D9" w:rsidRDefault="00CB5041">
            <w:pPr>
              <w:pStyle w:val="TableParagraph"/>
              <w:spacing w:before="123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below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kg</w:t>
            </w:r>
          </w:p>
        </w:tc>
      </w:tr>
      <w:tr w:rsidR="006C34D9" w14:paraId="478EE7DA" w14:textId="77777777">
        <w:trPr>
          <w:trHeight w:val="425"/>
        </w:trPr>
        <w:tc>
          <w:tcPr>
            <w:tcW w:w="2099" w:type="dxa"/>
          </w:tcPr>
          <w:p w14:paraId="2AFEF4EB" w14:textId="77777777" w:rsidR="006C34D9" w:rsidRDefault="00CB5041">
            <w:pPr>
              <w:pStyle w:val="TableParagraph"/>
              <w:spacing w:before="2"/>
              <w:rPr>
                <w:sz w:val="24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max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(µg/mL)</w:t>
            </w:r>
          </w:p>
        </w:tc>
        <w:tc>
          <w:tcPr>
            <w:tcW w:w="1559" w:type="dxa"/>
          </w:tcPr>
          <w:p w14:paraId="12069525" w14:textId="77777777" w:rsidR="006C34D9" w:rsidRDefault="00CB5041">
            <w:pPr>
              <w:pStyle w:val="TableParagraph"/>
              <w:spacing w:before="2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183 ± 42.3</w:t>
            </w:r>
          </w:p>
        </w:tc>
        <w:tc>
          <w:tcPr>
            <w:tcW w:w="1787" w:type="dxa"/>
          </w:tcPr>
          <w:p w14:paraId="219461A5" w14:textId="77777777" w:rsidR="006C34D9" w:rsidRDefault="00CB5041">
            <w:pPr>
              <w:pStyle w:val="TableParagraph"/>
              <w:spacing w:before="1"/>
              <w:ind w:left="324" w:right="31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168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24.8</w:t>
            </w:r>
          </w:p>
        </w:tc>
        <w:tc>
          <w:tcPr>
            <w:tcW w:w="1785" w:type="dxa"/>
          </w:tcPr>
          <w:p w14:paraId="5472A911" w14:textId="77777777" w:rsidR="006C34D9" w:rsidRDefault="00CB5041">
            <w:pPr>
              <w:pStyle w:val="TableParagraph"/>
              <w:spacing w:before="2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29.4 ± 13.5</w:t>
            </w:r>
          </w:p>
        </w:tc>
        <w:tc>
          <w:tcPr>
            <w:tcW w:w="1789" w:type="dxa"/>
          </w:tcPr>
          <w:p w14:paraId="4DCCDEDF" w14:textId="77777777" w:rsidR="006C34D9" w:rsidRDefault="00CB5041">
            <w:pPr>
              <w:pStyle w:val="TableParagraph"/>
              <w:spacing w:before="2"/>
              <w:ind w:left="325" w:right="322"/>
              <w:jc w:val="center"/>
              <w:rPr>
                <w:sz w:val="24"/>
              </w:rPr>
            </w:pPr>
            <w:r>
              <w:rPr>
                <w:sz w:val="24"/>
              </w:rPr>
              <w:t>75.5 ± 24.1</w:t>
            </w:r>
          </w:p>
        </w:tc>
      </w:tr>
      <w:tr w:rsidR="006C34D9" w14:paraId="479D115B" w14:textId="77777777">
        <w:trPr>
          <w:trHeight w:val="414"/>
        </w:trPr>
        <w:tc>
          <w:tcPr>
            <w:tcW w:w="2099" w:type="dxa"/>
          </w:tcPr>
          <w:p w14:paraId="5061840A" w14:textId="77777777" w:rsidR="006C34D9" w:rsidRDefault="00CB5041">
            <w:pPr>
              <w:pStyle w:val="TableParagraph"/>
              <w:spacing w:before="2"/>
              <w:rPr>
                <w:sz w:val="24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trough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(µg/mL)</w:t>
            </w:r>
          </w:p>
        </w:tc>
        <w:tc>
          <w:tcPr>
            <w:tcW w:w="1559" w:type="dxa"/>
          </w:tcPr>
          <w:p w14:paraId="48135869" w14:textId="77777777" w:rsidR="006C34D9" w:rsidRDefault="00CB5041">
            <w:pPr>
              <w:pStyle w:val="TableParagraph"/>
              <w:spacing w:before="2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6.55 ± 7.93</w:t>
            </w:r>
          </w:p>
        </w:tc>
        <w:tc>
          <w:tcPr>
            <w:tcW w:w="1787" w:type="dxa"/>
          </w:tcPr>
          <w:p w14:paraId="293399C0" w14:textId="77777777" w:rsidR="006C34D9" w:rsidRDefault="00CB5041">
            <w:pPr>
              <w:pStyle w:val="TableParagraph"/>
              <w:spacing w:line="294" w:lineRule="exact"/>
              <w:ind w:left="325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1.47 </w:t>
            </w:r>
            <w:r>
              <w:rPr>
                <w:rFonts w:ascii="Symbol" w:hAnsi="Symbol"/>
                <w:sz w:val="24"/>
              </w:rPr>
              <w:t></w:t>
            </w:r>
            <w:r>
              <w:rPr>
                <w:sz w:val="24"/>
              </w:rPr>
              <w:t xml:space="preserve"> 2.44</w:t>
            </w:r>
          </w:p>
        </w:tc>
        <w:tc>
          <w:tcPr>
            <w:tcW w:w="1785" w:type="dxa"/>
          </w:tcPr>
          <w:p w14:paraId="3B9E19EA" w14:textId="77777777" w:rsidR="006C34D9" w:rsidRDefault="00CB5041">
            <w:pPr>
              <w:pStyle w:val="TableParagraph"/>
              <w:spacing w:before="2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11.8 ± 7.08</w:t>
            </w:r>
          </w:p>
        </w:tc>
        <w:tc>
          <w:tcPr>
            <w:tcW w:w="1789" w:type="dxa"/>
          </w:tcPr>
          <w:p w14:paraId="3B550491" w14:textId="77777777" w:rsidR="006C34D9" w:rsidRDefault="00CB5041">
            <w:pPr>
              <w:pStyle w:val="TableParagraph"/>
              <w:spacing w:before="2"/>
              <w:ind w:left="325" w:right="322"/>
              <w:jc w:val="center"/>
              <w:rPr>
                <w:sz w:val="24"/>
              </w:rPr>
            </w:pPr>
            <w:r>
              <w:rPr>
                <w:sz w:val="24"/>
              </w:rPr>
              <w:t>18.4 ± 12.9</w:t>
            </w:r>
          </w:p>
        </w:tc>
      </w:tr>
      <w:tr w:rsidR="006C34D9" w14:paraId="1C84FF91" w14:textId="77777777">
        <w:trPr>
          <w:trHeight w:val="413"/>
        </w:trPr>
        <w:tc>
          <w:tcPr>
            <w:tcW w:w="2099" w:type="dxa"/>
          </w:tcPr>
          <w:p w14:paraId="6FAFB25D" w14:textId="77777777" w:rsidR="006C34D9" w:rsidRDefault="00CB5041">
            <w:pPr>
              <w:pStyle w:val="TableParagraph"/>
              <w:spacing w:before="1"/>
              <w:rPr>
                <w:sz w:val="24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mean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(µg/mL)</w:t>
            </w:r>
          </w:p>
        </w:tc>
        <w:tc>
          <w:tcPr>
            <w:tcW w:w="1559" w:type="dxa"/>
          </w:tcPr>
          <w:p w14:paraId="425A7F9D" w14:textId="77777777" w:rsidR="006C34D9" w:rsidRDefault="00CB5041">
            <w:pPr>
              <w:pStyle w:val="TableParagraph"/>
              <w:spacing w:before="1"/>
              <w:ind w:left="105" w:right="38"/>
              <w:jc w:val="center"/>
              <w:rPr>
                <w:sz w:val="24"/>
              </w:rPr>
            </w:pPr>
            <w:r>
              <w:rPr>
                <w:sz w:val="24"/>
              </w:rPr>
              <w:t>42.2 ± 13.4</w:t>
            </w:r>
          </w:p>
        </w:tc>
        <w:tc>
          <w:tcPr>
            <w:tcW w:w="1787" w:type="dxa"/>
          </w:tcPr>
          <w:p w14:paraId="24DE7E2E" w14:textId="77777777" w:rsidR="006C34D9" w:rsidRDefault="00CB5041">
            <w:pPr>
              <w:pStyle w:val="TableParagraph"/>
              <w:spacing w:line="293" w:lineRule="exact"/>
              <w:ind w:left="325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31.6 </w:t>
            </w:r>
            <w:r>
              <w:rPr>
                <w:rFonts w:ascii="Symbol" w:hAnsi="Symbol"/>
                <w:sz w:val="24"/>
              </w:rPr>
              <w:t>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7.84</w:t>
            </w:r>
          </w:p>
        </w:tc>
        <w:tc>
          <w:tcPr>
            <w:tcW w:w="1785" w:type="dxa"/>
          </w:tcPr>
          <w:p w14:paraId="069B83E1" w14:textId="77777777" w:rsidR="006C34D9" w:rsidRDefault="00CB5041">
            <w:pPr>
              <w:pStyle w:val="TableParagraph"/>
              <w:spacing w:before="1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21.7 ± 10.4</w:t>
            </w:r>
          </w:p>
        </w:tc>
        <w:tc>
          <w:tcPr>
            <w:tcW w:w="1789" w:type="dxa"/>
          </w:tcPr>
          <w:p w14:paraId="171F0810" w14:textId="77777777" w:rsidR="006C34D9" w:rsidRDefault="00CB5041">
            <w:pPr>
              <w:pStyle w:val="TableParagraph"/>
              <w:spacing w:before="1"/>
              <w:ind w:left="325" w:right="322"/>
              <w:jc w:val="center"/>
              <w:rPr>
                <w:sz w:val="24"/>
              </w:rPr>
            </w:pPr>
            <w:r>
              <w:rPr>
                <w:sz w:val="24"/>
              </w:rPr>
              <w:t>45.5 ± 19.8</w:t>
            </w:r>
          </w:p>
        </w:tc>
      </w:tr>
      <w:tr w:rsidR="006C34D9" w14:paraId="08B76ED0" w14:textId="77777777">
        <w:trPr>
          <w:trHeight w:val="400"/>
        </w:trPr>
        <w:tc>
          <w:tcPr>
            <w:tcW w:w="2099" w:type="dxa"/>
          </w:tcPr>
          <w:p w14:paraId="354D2888" w14:textId="77777777" w:rsidR="006C34D9" w:rsidRDefault="00CB5041">
            <w:pPr>
              <w:pStyle w:val="TableParagraph"/>
              <w:spacing w:before="1"/>
              <w:rPr>
                <w:sz w:val="16"/>
              </w:rPr>
            </w:pPr>
            <w:r>
              <w:rPr>
                <w:position w:val="1"/>
                <w:sz w:val="24"/>
              </w:rPr>
              <w:t>Accumulation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max</w:t>
            </w:r>
          </w:p>
        </w:tc>
        <w:tc>
          <w:tcPr>
            <w:tcW w:w="1559" w:type="dxa"/>
          </w:tcPr>
          <w:p w14:paraId="6C18AE7D" w14:textId="77777777" w:rsidR="006C34D9" w:rsidRDefault="00CB5041">
            <w:pPr>
              <w:pStyle w:val="TableParagraph"/>
              <w:spacing w:before="1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1.04</w:t>
            </w:r>
          </w:p>
        </w:tc>
        <w:tc>
          <w:tcPr>
            <w:tcW w:w="1787" w:type="dxa"/>
          </w:tcPr>
          <w:p w14:paraId="09EADD63" w14:textId="77777777" w:rsidR="006C34D9" w:rsidRDefault="00CB5041">
            <w:pPr>
              <w:pStyle w:val="TableParagraph"/>
              <w:spacing w:before="1"/>
              <w:ind w:left="325" w:right="318"/>
              <w:jc w:val="center"/>
              <w:rPr>
                <w:sz w:val="24"/>
              </w:rPr>
            </w:pPr>
            <w:r>
              <w:rPr>
                <w:sz w:val="24"/>
              </w:rPr>
              <w:t>1.01</w:t>
            </w:r>
          </w:p>
        </w:tc>
        <w:tc>
          <w:tcPr>
            <w:tcW w:w="1785" w:type="dxa"/>
          </w:tcPr>
          <w:p w14:paraId="123BC8B4" w14:textId="77777777" w:rsidR="006C34D9" w:rsidRDefault="00CB5041">
            <w:pPr>
              <w:pStyle w:val="TableParagraph"/>
              <w:spacing w:before="1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1.72</w:t>
            </w:r>
          </w:p>
        </w:tc>
        <w:tc>
          <w:tcPr>
            <w:tcW w:w="1789" w:type="dxa"/>
          </w:tcPr>
          <w:p w14:paraId="1A8F5B8A" w14:textId="77777777" w:rsidR="006C34D9" w:rsidRDefault="00CB5041">
            <w:pPr>
              <w:pStyle w:val="TableParagraph"/>
              <w:spacing w:before="1"/>
              <w:ind w:left="325" w:right="322"/>
              <w:jc w:val="center"/>
              <w:rPr>
                <w:sz w:val="24"/>
              </w:rPr>
            </w:pPr>
            <w:r>
              <w:rPr>
                <w:sz w:val="24"/>
              </w:rPr>
              <w:t>1.32</w:t>
            </w:r>
          </w:p>
        </w:tc>
      </w:tr>
      <w:tr w:rsidR="006C34D9" w14:paraId="0D252EEF" w14:textId="77777777">
        <w:trPr>
          <w:trHeight w:val="680"/>
        </w:trPr>
        <w:tc>
          <w:tcPr>
            <w:tcW w:w="2099" w:type="dxa"/>
          </w:tcPr>
          <w:p w14:paraId="0022E574" w14:textId="77777777" w:rsidR="006C34D9" w:rsidRDefault="00CB5041">
            <w:pPr>
              <w:pStyle w:val="TableParagraph"/>
              <w:spacing w:before="1" w:line="242" w:lineRule="auto"/>
              <w:ind w:right="602"/>
              <w:rPr>
                <w:sz w:val="16"/>
              </w:rPr>
            </w:pPr>
            <w:r>
              <w:rPr>
                <w:sz w:val="24"/>
              </w:rPr>
              <w:t>Accumulation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trough</w:t>
            </w:r>
          </w:p>
        </w:tc>
        <w:tc>
          <w:tcPr>
            <w:tcW w:w="1559" w:type="dxa"/>
          </w:tcPr>
          <w:p w14:paraId="55C935FB" w14:textId="77777777" w:rsidR="006C34D9" w:rsidRDefault="00CB5041">
            <w:pPr>
              <w:pStyle w:val="TableParagraph"/>
              <w:spacing w:before="1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2.22</w:t>
            </w:r>
          </w:p>
        </w:tc>
        <w:tc>
          <w:tcPr>
            <w:tcW w:w="1787" w:type="dxa"/>
          </w:tcPr>
          <w:p w14:paraId="2328C9C9" w14:textId="77777777" w:rsidR="006C34D9" w:rsidRDefault="00CB5041">
            <w:pPr>
              <w:pStyle w:val="TableParagraph"/>
              <w:spacing w:before="1"/>
              <w:ind w:left="325" w:right="318"/>
              <w:jc w:val="center"/>
              <w:rPr>
                <w:sz w:val="24"/>
              </w:rPr>
            </w:pPr>
            <w:r>
              <w:rPr>
                <w:sz w:val="24"/>
              </w:rPr>
              <w:t>1.43</w:t>
            </w:r>
          </w:p>
        </w:tc>
        <w:tc>
          <w:tcPr>
            <w:tcW w:w="1785" w:type="dxa"/>
          </w:tcPr>
          <w:p w14:paraId="6ED1DF96" w14:textId="77777777" w:rsidR="006C34D9" w:rsidRDefault="00CB5041">
            <w:pPr>
              <w:pStyle w:val="TableParagraph"/>
              <w:spacing w:before="1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3.58</w:t>
            </w:r>
          </w:p>
        </w:tc>
        <w:tc>
          <w:tcPr>
            <w:tcW w:w="1789" w:type="dxa"/>
          </w:tcPr>
          <w:p w14:paraId="047B66D8" w14:textId="77777777" w:rsidR="006C34D9" w:rsidRDefault="00CB5041">
            <w:pPr>
              <w:pStyle w:val="TableParagraph"/>
              <w:spacing w:before="1"/>
              <w:ind w:left="325" w:right="322"/>
              <w:jc w:val="center"/>
              <w:rPr>
                <w:sz w:val="24"/>
              </w:rPr>
            </w:pPr>
            <w:r>
              <w:rPr>
                <w:sz w:val="24"/>
              </w:rPr>
              <w:t>2.08</w:t>
            </w:r>
          </w:p>
        </w:tc>
      </w:tr>
      <w:tr w:rsidR="006C34D9" w14:paraId="3757E5C5" w14:textId="77777777">
        <w:trPr>
          <w:trHeight w:val="680"/>
        </w:trPr>
        <w:tc>
          <w:tcPr>
            <w:tcW w:w="2099" w:type="dxa"/>
          </w:tcPr>
          <w:p w14:paraId="66863EB8" w14:textId="77777777" w:rsidR="006C34D9" w:rsidRDefault="00CB5041">
            <w:pPr>
              <w:pStyle w:val="TableParagraph"/>
              <w:spacing w:before="1" w:line="242" w:lineRule="auto"/>
              <w:ind w:right="135"/>
              <w:rPr>
                <w:sz w:val="24"/>
              </w:rPr>
            </w:pPr>
            <w:r>
              <w:rPr>
                <w:sz w:val="24"/>
              </w:rPr>
              <w:t>Accumulation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mean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or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AUC</w:t>
            </w:r>
            <w:r>
              <w:rPr>
                <w:sz w:val="16"/>
              </w:rPr>
              <w:t>τ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*</w:t>
            </w:r>
          </w:p>
        </w:tc>
        <w:tc>
          <w:tcPr>
            <w:tcW w:w="1559" w:type="dxa"/>
          </w:tcPr>
          <w:p w14:paraId="47210604" w14:textId="77777777" w:rsidR="006C34D9" w:rsidRDefault="00CB5041">
            <w:pPr>
              <w:pStyle w:val="TableParagraph"/>
              <w:spacing w:before="1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1787" w:type="dxa"/>
          </w:tcPr>
          <w:p w14:paraId="58F093E1" w14:textId="77777777" w:rsidR="006C34D9" w:rsidRDefault="00CB5041">
            <w:pPr>
              <w:pStyle w:val="TableParagraph"/>
              <w:spacing w:before="1"/>
              <w:ind w:left="325" w:right="318"/>
              <w:jc w:val="center"/>
              <w:rPr>
                <w:sz w:val="24"/>
              </w:rPr>
            </w:pPr>
            <w:r>
              <w:rPr>
                <w:sz w:val="24"/>
              </w:rPr>
              <w:t>1.05</w:t>
            </w:r>
          </w:p>
        </w:tc>
        <w:tc>
          <w:tcPr>
            <w:tcW w:w="1785" w:type="dxa"/>
          </w:tcPr>
          <w:p w14:paraId="20660312" w14:textId="77777777" w:rsidR="006C34D9" w:rsidRDefault="00CB5041">
            <w:pPr>
              <w:pStyle w:val="TableParagraph"/>
              <w:spacing w:before="1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2.04</w:t>
            </w:r>
          </w:p>
        </w:tc>
        <w:tc>
          <w:tcPr>
            <w:tcW w:w="1789" w:type="dxa"/>
          </w:tcPr>
          <w:p w14:paraId="04908556" w14:textId="77777777" w:rsidR="006C34D9" w:rsidRDefault="00CB5041">
            <w:pPr>
              <w:pStyle w:val="TableParagraph"/>
              <w:spacing w:before="1"/>
              <w:ind w:left="325" w:right="322"/>
              <w:jc w:val="center"/>
              <w:rPr>
                <w:sz w:val="24"/>
              </w:rPr>
            </w:pPr>
            <w:r>
              <w:rPr>
                <w:sz w:val="24"/>
              </w:rPr>
              <w:t>1.46</w:t>
            </w:r>
          </w:p>
        </w:tc>
      </w:tr>
    </w:tbl>
    <w:p w14:paraId="421692E1" w14:textId="77777777" w:rsidR="006C34D9" w:rsidRDefault="00CB5041">
      <w:pPr>
        <w:spacing w:before="50"/>
        <w:ind w:left="660"/>
        <w:jc w:val="both"/>
        <w:rPr>
          <w:sz w:val="18"/>
        </w:rPr>
      </w:pPr>
      <w:r>
        <w:rPr>
          <w:sz w:val="18"/>
        </w:rPr>
        <w:t>*</w:t>
      </w:r>
      <w:r>
        <w:rPr>
          <w:sz w:val="20"/>
        </w:rPr>
        <w:t>τ</w:t>
      </w:r>
      <w:r>
        <w:rPr>
          <w:spacing w:val="-7"/>
          <w:sz w:val="20"/>
        </w:rPr>
        <w:t xml:space="preserve"> </w:t>
      </w:r>
      <w:r>
        <w:rPr>
          <w:sz w:val="18"/>
        </w:rPr>
        <w:t>= 4</w:t>
      </w:r>
      <w:r>
        <w:rPr>
          <w:spacing w:val="-2"/>
          <w:sz w:val="18"/>
        </w:rPr>
        <w:t xml:space="preserve"> </w:t>
      </w:r>
      <w:r>
        <w:rPr>
          <w:sz w:val="18"/>
        </w:rPr>
        <w:t>weeks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IV</w:t>
      </w:r>
      <w:r>
        <w:rPr>
          <w:spacing w:val="-1"/>
          <w:sz w:val="18"/>
        </w:rPr>
        <w:t xml:space="preserve"> </w:t>
      </w:r>
      <w:r>
        <w:rPr>
          <w:sz w:val="18"/>
        </w:rPr>
        <w:t>regimens, 2</w:t>
      </w:r>
      <w:r>
        <w:rPr>
          <w:spacing w:val="-2"/>
          <w:sz w:val="18"/>
        </w:rPr>
        <w:t xml:space="preserve"> </w:t>
      </w:r>
      <w:r>
        <w:rPr>
          <w:sz w:val="18"/>
        </w:rPr>
        <w:t>week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week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two</w:t>
      </w:r>
      <w:r>
        <w:rPr>
          <w:spacing w:val="-1"/>
          <w:sz w:val="18"/>
        </w:rPr>
        <w:t xml:space="preserve"> </w:t>
      </w:r>
      <w:r>
        <w:rPr>
          <w:sz w:val="18"/>
        </w:rPr>
        <w:t>SC</w:t>
      </w:r>
      <w:r>
        <w:rPr>
          <w:spacing w:val="-1"/>
          <w:sz w:val="18"/>
        </w:rPr>
        <w:t xml:space="preserve"> </w:t>
      </w:r>
      <w:r>
        <w:rPr>
          <w:sz w:val="18"/>
        </w:rPr>
        <w:t>regimens, respectively</w:t>
      </w:r>
    </w:p>
    <w:p w14:paraId="770D932F" w14:textId="77777777" w:rsidR="006C34D9" w:rsidRDefault="00CB5041">
      <w:pPr>
        <w:spacing w:before="186" w:line="254" w:lineRule="auto"/>
        <w:ind w:left="660" w:right="657"/>
        <w:jc w:val="both"/>
        <w:rPr>
          <w:sz w:val="23"/>
        </w:rPr>
      </w:pPr>
      <w:r>
        <w:rPr>
          <w:sz w:val="23"/>
        </w:rPr>
        <w:t>After</w:t>
      </w:r>
      <w:r>
        <w:rPr>
          <w:spacing w:val="-5"/>
          <w:sz w:val="23"/>
        </w:rPr>
        <w:t xml:space="preserve"> </w:t>
      </w:r>
      <w:r>
        <w:rPr>
          <w:sz w:val="23"/>
        </w:rPr>
        <w:t>IV</w:t>
      </w:r>
      <w:r>
        <w:rPr>
          <w:spacing w:val="-5"/>
          <w:sz w:val="23"/>
        </w:rPr>
        <w:t xml:space="preserve"> </w:t>
      </w:r>
      <w:r>
        <w:rPr>
          <w:sz w:val="23"/>
        </w:rPr>
        <w:t>dosing,</w:t>
      </w:r>
      <w:r>
        <w:rPr>
          <w:spacing w:val="-5"/>
          <w:sz w:val="23"/>
        </w:rPr>
        <w:t xml:space="preserve"> </w:t>
      </w:r>
      <w:r>
        <w:rPr>
          <w:sz w:val="23"/>
        </w:rPr>
        <w:t>approximately</w:t>
      </w:r>
      <w:r>
        <w:rPr>
          <w:spacing w:val="-2"/>
          <w:sz w:val="23"/>
        </w:rPr>
        <w:t xml:space="preserve"> </w:t>
      </w:r>
      <w:r>
        <w:rPr>
          <w:sz w:val="23"/>
        </w:rPr>
        <w:t>90%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steady-state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was</w:t>
      </w:r>
      <w:r>
        <w:rPr>
          <w:spacing w:val="-3"/>
          <w:sz w:val="23"/>
        </w:rPr>
        <w:t xml:space="preserve"> </w:t>
      </w:r>
      <w:r>
        <w:rPr>
          <w:sz w:val="23"/>
        </w:rPr>
        <w:t>reached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2"/>
          <w:sz w:val="23"/>
        </w:rPr>
        <w:t xml:space="preserve"> </w:t>
      </w:r>
      <w:r>
        <w:rPr>
          <w:sz w:val="23"/>
        </w:rPr>
        <w:t>Week</w:t>
      </w:r>
      <w:r>
        <w:rPr>
          <w:spacing w:val="-6"/>
          <w:sz w:val="23"/>
        </w:rPr>
        <w:t xml:space="preserve"> </w:t>
      </w:r>
      <w:r>
        <w:rPr>
          <w:sz w:val="23"/>
        </w:rPr>
        <w:t>12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10</w:t>
      </w:r>
      <w:r>
        <w:rPr>
          <w:spacing w:val="-5"/>
          <w:sz w:val="23"/>
        </w:rPr>
        <w:t xml:space="preserve"> </w:t>
      </w:r>
      <w:r>
        <w:rPr>
          <w:sz w:val="23"/>
        </w:rPr>
        <w:t>mg/kg</w:t>
      </w:r>
      <w:r>
        <w:rPr>
          <w:spacing w:val="-55"/>
          <w:sz w:val="23"/>
        </w:rPr>
        <w:t xml:space="preserve"> </w:t>
      </w:r>
      <w:r>
        <w:rPr>
          <w:sz w:val="23"/>
        </w:rPr>
        <w:t>(body weight &lt; 30 kg), and by Week 16 for the 8 mg/kg (body weight ≥ 30 kg) dose.</w:t>
      </w:r>
      <w:r>
        <w:rPr>
          <w:spacing w:val="1"/>
          <w:sz w:val="23"/>
        </w:rPr>
        <w:t xml:space="preserve"> </w:t>
      </w:r>
      <w:r>
        <w:rPr>
          <w:sz w:val="23"/>
        </w:rPr>
        <w:t>After SC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dosing, approximately 90% of the </w:t>
      </w:r>
      <w:proofErr w:type="gramStart"/>
      <w:r>
        <w:rPr>
          <w:sz w:val="23"/>
        </w:rPr>
        <w:t>steady-state</w:t>
      </w:r>
      <w:proofErr w:type="gramEnd"/>
      <w:r>
        <w:rPr>
          <w:sz w:val="23"/>
        </w:rPr>
        <w:t xml:space="preserve"> was reached by Week 12 for both the 162 mg SC</w:t>
      </w:r>
      <w:r>
        <w:rPr>
          <w:spacing w:val="1"/>
          <w:sz w:val="23"/>
        </w:rPr>
        <w:t xml:space="preserve"> </w:t>
      </w:r>
      <w:r>
        <w:rPr>
          <w:sz w:val="23"/>
        </w:rPr>
        <w:t>q2w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q3w regimens.</w:t>
      </w:r>
    </w:p>
    <w:p w14:paraId="5ED45CEC" w14:textId="77777777" w:rsidR="006C34D9" w:rsidRDefault="00CB5041">
      <w:pPr>
        <w:spacing w:before="168" w:line="252" w:lineRule="auto"/>
        <w:ind w:left="660" w:right="659" w:hanging="1"/>
        <w:jc w:val="both"/>
        <w:rPr>
          <w:sz w:val="23"/>
        </w:rPr>
      </w:pPr>
      <w:r>
        <w:rPr>
          <w:sz w:val="23"/>
        </w:rPr>
        <w:t>Caution</w:t>
      </w:r>
      <w:r>
        <w:rPr>
          <w:spacing w:val="-13"/>
          <w:sz w:val="23"/>
        </w:rPr>
        <w:t xml:space="preserve"> </w:t>
      </w:r>
      <w:r>
        <w:rPr>
          <w:sz w:val="23"/>
        </w:rPr>
        <w:t>is</w:t>
      </w:r>
      <w:r>
        <w:rPr>
          <w:spacing w:val="-13"/>
          <w:sz w:val="23"/>
        </w:rPr>
        <w:t xml:space="preserve"> </w:t>
      </w:r>
      <w:r>
        <w:rPr>
          <w:sz w:val="23"/>
        </w:rPr>
        <w:t>advised</w:t>
      </w:r>
      <w:r>
        <w:rPr>
          <w:spacing w:val="-12"/>
          <w:sz w:val="23"/>
        </w:rPr>
        <w:t xml:space="preserve"> </w:t>
      </w:r>
      <w:r>
        <w:rPr>
          <w:sz w:val="23"/>
        </w:rPr>
        <w:t>with</w:t>
      </w:r>
      <w:r>
        <w:rPr>
          <w:spacing w:val="-13"/>
          <w:sz w:val="23"/>
        </w:rPr>
        <w:t xml:space="preserve"> </w:t>
      </w:r>
      <w:r>
        <w:rPr>
          <w:sz w:val="23"/>
        </w:rPr>
        <w:t>interpretation</w:t>
      </w:r>
      <w:r>
        <w:rPr>
          <w:spacing w:val="-13"/>
          <w:sz w:val="23"/>
        </w:rPr>
        <w:t xml:space="preserve"> </w:t>
      </w:r>
      <w:r>
        <w:rPr>
          <w:sz w:val="23"/>
        </w:rPr>
        <w:t>of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z w:val="23"/>
        </w:rPr>
        <w:t>model-derived</w:t>
      </w:r>
      <w:r>
        <w:rPr>
          <w:spacing w:val="-12"/>
          <w:sz w:val="23"/>
        </w:rPr>
        <w:t xml:space="preserve"> </w:t>
      </w:r>
      <w:r>
        <w:rPr>
          <w:sz w:val="23"/>
        </w:rPr>
        <w:t>PK</w:t>
      </w:r>
      <w:r>
        <w:rPr>
          <w:spacing w:val="-13"/>
          <w:sz w:val="23"/>
        </w:rPr>
        <w:t xml:space="preserve"> </w:t>
      </w:r>
      <w:r>
        <w:rPr>
          <w:sz w:val="23"/>
        </w:rPr>
        <w:t>results</w:t>
      </w:r>
      <w:r>
        <w:rPr>
          <w:spacing w:val="-12"/>
          <w:sz w:val="23"/>
        </w:rPr>
        <w:t xml:space="preserve"> </w:t>
      </w:r>
      <w:r>
        <w:rPr>
          <w:sz w:val="23"/>
        </w:rPr>
        <w:t>as</w:t>
      </w:r>
      <w:r>
        <w:rPr>
          <w:spacing w:val="-13"/>
          <w:sz w:val="23"/>
        </w:rPr>
        <w:t xml:space="preserve"> </w:t>
      </w:r>
      <w:r>
        <w:rPr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z w:val="23"/>
        </w:rPr>
        <w:t>model</w:t>
      </w:r>
      <w:r>
        <w:rPr>
          <w:spacing w:val="-13"/>
          <w:sz w:val="23"/>
        </w:rPr>
        <w:t xml:space="preserve"> </w:t>
      </w:r>
      <w:r>
        <w:rPr>
          <w:sz w:val="23"/>
        </w:rPr>
        <w:t>under</w:t>
      </w:r>
      <w:r>
        <w:rPr>
          <w:spacing w:val="-12"/>
          <w:sz w:val="23"/>
        </w:rPr>
        <w:t xml:space="preserve"> </w:t>
      </w:r>
      <w:r>
        <w:rPr>
          <w:sz w:val="23"/>
        </w:rPr>
        <w:t>predicted</w:t>
      </w:r>
      <w:r>
        <w:rPr>
          <w:spacing w:val="-55"/>
          <w:sz w:val="23"/>
        </w:rPr>
        <w:t xml:space="preserve"> </w:t>
      </w:r>
      <w:r>
        <w:rPr>
          <w:position w:val="1"/>
          <w:sz w:val="23"/>
        </w:rPr>
        <w:t>C</w:t>
      </w:r>
      <w:proofErr w:type="spellStart"/>
      <w:r>
        <w:rPr>
          <w:sz w:val="15"/>
        </w:rPr>
        <w:t>trough.ss</w:t>
      </w:r>
      <w:proofErr w:type="spellEnd"/>
      <w:r>
        <w:rPr>
          <w:spacing w:val="30"/>
          <w:sz w:val="15"/>
        </w:rPr>
        <w:t xml:space="preserve"> </w:t>
      </w:r>
      <w:r>
        <w:rPr>
          <w:position w:val="1"/>
          <w:sz w:val="23"/>
        </w:rPr>
        <w:t>after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SC dosing in</w:t>
      </w:r>
      <w:r>
        <w:rPr>
          <w:spacing w:val="-1"/>
          <w:position w:val="1"/>
          <w:sz w:val="23"/>
        </w:rPr>
        <w:t xml:space="preserve"> </w:t>
      </w:r>
      <w:r>
        <w:rPr>
          <w:position w:val="1"/>
          <w:sz w:val="23"/>
        </w:rPr>
        <w:t>the</w:t>
      </w:r>
      <w:r>
        <w:rPr>
          <w:spacing w:val="-1"/>
          <w:position w:val="1"/>
          <w:sz w:val="23"/>
        </w:rPr>
        <w:t xml:space="preserve"> </w:t>
      </w:r>
      <w:r>
        <w:rPr>
          <w:position w:val="1"/>
          <w:sz w:val="23"/>
        </w:rPr>
        <w:t>body weight</w:t>
      </w:r>
      <w:r>
        <w:rPr>
          <w:spacing w:val="-1"/>
          <w:position w:val="1"/>
          <w:sz w:val="23"/>
        </w:rPr>
        <w:t xml:space="preserve"> </w:t>
      </w:r>
      <w:r>
        <w:rPr>
          <w:position w:val="1"/>
          <w:sz w:val="23"/>
        </w:rPr>
        <w:t>&lt;30</w:t>
      </w:r>
      <w:r>
        <w:rPr>
          <w:spacing w:val="-1"/>
          <w:position w:val="1"/>
          <w:sz w:val="23"/>
        </w:rPr>
        <w:t xml:space="preserve"> </w:t>
      </w:r>
      <w:r>
        <w:rPr>
          <w:position w:val="1"/>
          <w:sz w:val="23"/>
        </w:rPr>
        <w:t>kg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group by greater than</w:t>
      </w:r>
      <w:r>
        <w:rPr>
          <w:spacing w:val="-1"/>
          <w:position w:val="1"/>
          <w:sz w:val="23"/>
        </w:rPr>
        <w:t xml:space="preserve"> </w:t>
      </w:r>
      <w:r>
        <w:rPr>
          <w:position w:val="1"/>
          <w:sz w:val="23"/>
        </w:rPr>
        <w:t>30%.</w:t>
      </w:r>
    </w:p>
    <w:p w14:paraId="13FDA47A" w14:textId="77777777" w:rsidR="006C34D9" w:rsidRDefault="00CB5041">
      <w:pPr>
        <w:pStyle w:val="Heading2"/>
        <w:spacing w:before="191"/>
      </w:pPr>
      <w:bookmarkStart w:id="123" w:name="Systemic_Juvenile_Idiopathic_Arthritis"/>
      <w:bookmarkEnd w:id="123"/>
      <w:r>
        <w:t>Systemic</w:t>
      </w:r>
      <w:r>
        <w:rPr>
          <w:spacing w:val="-4"/>
        </w:rPr>
        <w:t xml:space="preserve"> </w:t>
      </w:r>
      <w:r>
        <w:t>Juvenile</w:t>
      </w:r>
      <w:r>
        <w:rPr>
          <w:spacing w:val="-4"/>
        </w:rPr>
        <w:t xml:space="preserve"> </w:t>
      </w:r>
      <w:r>
        <w:t>Idiopathic</w:t>
      </w:r>
      <w:r>
        <w:rPr>
          <w:spacing w:val="-4"/>
        </w:rPr>
        <w:t xml:space="preserve"> </w:t>
      </w:r>
      <w:r>
        <w:t>Arthritis</w:t>
      </w:r>
    </w:p>
    <w:p w14:paraId="049B8E87" w14:textId="77777777" w:rsidR="006C34D9" w:rsidRDefault="00CB5041">
      <w:pPr>
        <w:pStyle w:val="BodyText"/>
        <w:spacing w:before="34"/>
        <w:ind w:right="658"/>
        <w:jc w:val="both"/>
      </w:pPr>
      <w:r>
        <w:t>The</w:t>
      </w:r>
      <w:r>
        <w:rPr>
          <w:spacing w:val="1"/>
        </w:rPr>
        <w:t xml:space="preserve"> </w:t>
      </w:r>
      <w:r>
        <w:t>pharmacokinetics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sJIA</w:t>
      </w:r>
      <w:proofErr w:type="spellEnd"/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proofErr w:type="spellStart"/>
      <w:r>
        <w:t>characterised</w:t>
      </w:r>
      <w:proofErr w:type="spellEnd"/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pharmacokinetic</w:t>
      </w:r>
      <w:r>
        <w:rPr>
          <w:spacing w:val="-13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included</w:t>
      </w:r>
      <w:r>
        <w:rPr>
          <w:spacing w:val="-11"/>
        </w:rPr>
        <w:t xml:space="preserve"> </w:t>
      </w:r>
      <w:r>
        <w:t>140</w:t>
      </w:r>
      <w:r>
        <w:rPr>
          <w:spacing w:val="-11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treated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mg/kg</w:t>
      </w:r>
      <w:r>
        <w:rPr>
          <w:spacing w:val="-11"/>
        </w:rPr>
        <w:t xml:space="preserve"> </w:t>
      </w:r>
      <w:r>
        <w:t>IV</w:t>
      </w:r>
      <w:r>
        <w:rPr>
          <w:spacing w:val="-12"/>
        </w:rPr>
        <w:t xml:space="preserve"> </w:t>
      </w:r>
      <w:r>
        <w:t>every</w:t>
      </w:r>
      <w:r>
        <w:rPr>
          <w:spacing w:val="-58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(patients</w:t>
      </w:r>
      <w:r>
        <w:rPr>
          <w:spacing w:val="-3"/>
        </w:rPr>
        <w:t xml:space="preserve"> </w:t>
      </w:r>
      <w:r>
        <w:t>weighing</w:t>
      </w:r>
      <w:r>
        <w:rPr>
          <w:spacing w:val="-4"/>
        </w:rPr>
        <w:t xml:space="preserve"> </w:t>
      </w:r>
      <w:r>
        <w:t>≥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kg),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(patients</w:t>
      </w:r>
      <w:r>
        <w:rPr>
          <w:spacing w:val="-5"/>
        </w:rPr>
        <w:t xml:space="preserve"> </w:t>
      </w:r>
      <w:r>
        <w:t>weighing</w:t>
      </w:r>
      <w:r>
        <w:rPr>
          <w:spacing w:val="-4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30</w:t>
      </w:r>
      <w:r>
        <w:rPr>
          <w:spacing w:val="-58"/>
        </w:rPr>
        <w:t xml:space="preserve"> </w:t>
      </w:r>
      <w:r>
        <w:t>kg), 162 mg SC every week (patients weighing ≥ 30 kg), 162 mg SC every 10 days or every 2</w:t>
      </w:r>
      <w:r>
        <w:rPr>
          <w:spacing w:val="-57"/>
        </w:rPr>
        <w:t xml:space="preserve"> </w:t>
      </w:r>
      <w:r>
        <w:t>weeks (patients weighing below 30 kg).</w:t>
      </w:r>
      <w:r>
        <w:rPr>
          <w:spacing w:val="1"/>
        </w:rPr>
        <w:t xml:space="preserve"> </w:t>
      </w:r>
      <w:r>
        <w:t>Limited data are available regarding exposures</w:t>
      </w:r>
      <w:r>
        <w:rPr>
          <w:spacing w:val="1"/>
        </w:rPr>
        <w:t xml:space="preserve"> </w:t>
      </w:r>
      <w:r>
        <w:t xml:space="preserve">following subcutaneous administration of Actemra in </w:t>
      </w:r>
      <w:proofErr w:type="spellStart"/>
      <w:r>
        <w:t>sJIA</w:t>
      </w:r>
      <w:proofErr w:type="spellEnd"/>
      <w:r>
        <w:t xml:space="preserve"> patients below 2 years of age and</w:t>
      </w:r>
      <w:r>
        <w:rPr>
          <w:spacing w:val="1"/>
        </w:rPr>
        <w:t xml:space="preserve"> </w:t>
      </w:r>
      <w:r>
        <w:t xml:space="preserve">in </w:t>
      </w:r>
      <w:proofErr w:type="spellStart"/>
      <w:r>
        <w:t>sJIA</w:t>
      </w:r>
      <w:proofErr w:type="spellEnd"/>
      <w:r>
        <w:t xml:space="preserve"> patients who weigh less than 10 kg. Three patients aged 1-2 were included in Study</w:t>
      </w:r>
      <w:r>
        <w:rPr>
          <w:spacing w:val="1"/>
        </w:rPr>
        <w:t xml:space="preserve"> </w:t>
      </w:r>
      <w:r>
        <w:t>WA28118.</w:t>
      </w:r>
    </w:p>
    <w:p w14:paraId="5EB778FA" w14:textId="77777777" w:rsidR="006C34D9" w:rsidRDefault="006C34D9">
      <w:pPr>
        <w:pStyle w:val="BodyText"/>
        <w:ind w:left="0"/>
      </w:pPr>
    </w:p>
    <w:p w14:paraId="3FA907E8" w14:textId="77777777" w:rsidR="006C34D9" w:rsidRDefault="00CB5041">
      <w:pPr>
        <w:pStyle w:val="BodyText"/>
        <w:ind w:right="660"/>
        <w:jc w:val="both"/>
      </w:pPr>
      <w:r>
        <w:t xml:space="preserve">Patients with </w:t>
      </w:r>
      <w:proofErr w:type="spellStart"/>
      <w:r>
        <w:t>sJIA</w:t>
      </w:r>
      <w:proofErr w:type="spellEnd"/>
      <w:r>
        <w:t xml:space="preserve"> must have a minimum body weight of 10 kg when receiving Actemra</w:t>
      </w:r>
      <w:r>
        <w:rPr>
          <w:spacing w:val="1"/>
        </w:rPr>
        <w:t xml:space="preserve"> </w:t>
      </w:r>
      <w:r>
        <w:t>subcutaneously</w:t>
      </w:r>
      <w:r>
        <w:rPr>
          <w:spacing w:val="-1"/>
        </w:rPr>
        <w:t xml:space="preserve"> </w:t>
      </w:r>
      <w:r>
        <w:t>(see section 4.2 Dose and</w:t>
      </w:r>
      <w:r>
        <w:rPr>
          <w:spacing w:val="-1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Administration).</w:t>
      </w:r>
    </w:p>
    <w:p w14:paraId="52A11723" w14:textId="77777777" w:rsidR="006C34D9" w:rsidRDefault="006C34D9">
      <w:pPr>
        <w:pStyle w:val="BodyText"/>
        <w:spacing w:before="2"/>
        <w:ind w:left="0"/>
      </w:pPr>
    </w:p>
    <w:p w14:paraId="09017AFA" w14:textId="77777777" w:rsidR="006C34D9" w:rsidRDefault="00CB5041">
      <w:pPr>
        <w:pStyle w:val="Heading2"/>
        <w:ind w:left="659" w:right="657"/>
      </w:pPr>
      <w:r>
        <w:t xml:space="preserve">Table 17. Predicted mean </w:t>
      </w:r>
      <w:r>
        <w:rPr>
          <w:rFonts w:ascii="Symbol" w:hAnsi="Symbol"/>
        </w:rPr>
        <w:t></w:t>
      </w:r>
      <w:r>
        <w:t xml:space="preserve"> SD PK parameters at </w:t>
      </w:r>
      <w:proofErr w:type="gramStart"/>
      <w:r>
        <w:t>steady-state</w:t>
      </w:r>
      <w:proofErr w:type="gramEnd"/>
      <w:r>
        <w:t xml:space="preserve"> after IV or SC dosing in</w:t>
      </w:r>
      <w:r>
        <w:rPr>
          <w:spacing w:val="1"/>
        </w:rPr>
        <w:t xml:space="preserve"> </w:t>
      </w:r>
      <w:proofErr w:type="spellStart"/>
      <w:r>
        <w:t>sJIA</w:t>
      </w:r>
      <w:proofErr w:type="spellEnd"/>
    </w:p>
    <w:p w14:paraId="18D77375" w14:textId="77777777" w:rsidR="006C34D9" w:rsidRDefault="006C34D9">
      <w:pPr>
        <w:pStyle w:val="BodyText"/>
        <w:spacing w:before="5"/>
        <w:ind w:left="0"/>
        <w:rPr>
          <w:b/>
          <w:sz w:val="10"/>
        </w:rPr>
      </w:pPr>
    </w:p>
    <w:tbl>
      <w:tblPr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1483"/>
        <w:gridCol w:w="1700"/>
        <w:gridCol w:w="1699"/>
        <w:gridCol w:w="1699"/>
      </w:tblGrid>
      <w:tr w:rsidR="006C34D9" w14:paraId="5CA01734" w14:textId="77777777">
        <w:trPr>
          <w:trHeight w:val="230"/>
        </w:trPr>
        <w:tc>
          <w:tcPr>
            <w:tcW w:w="1998" w:type="dxa"/>
          </w:tcPr>
          <w:p w14:paraId="1C75108B" w14:textId="77777777" w:rsidR="006C34D9" w:rsidRDefault="006C34D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83" w:type="dxa"/>
            <w:gridSpan w:val="2"/>
          </w:tcPr>
          <w:p w14:paraId="52087172" w14:textId="77777777" w:rsidR="006C34D9" w:rsidRDefault="00CB5041">
            <w:pPr>
              <w:pStyle w:val="TableParagraph"/>
              <w:spacing w:line="210" w:lineRule="exact"/>
              <w:ind w:left="1460" w:right="1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3398" w:type="dxa"/>
            <w:gridSpan w:val="2"/>
          </w:tcPr>
          <w:p w14:paraId="28F51129" w14:textId="77777777" w:rsidR="006C34D9" w:rsidRDefault="00CB5041">
            <w:pPr>
              <w:pStyle w:val="TableParagraph"/>
              <w:spacing w:line="210" w:lineRule="exact"/>
              <w:ind w:left="1550" w:right="15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</w:t>
            </w:r>
          </w:p>
        </w:tc>
      </w:tr>
      <w:tr w:rsidR="006C34D9" w14:paraId="4A836B43" w14:textId="77777777">
        <w:trPr>
          <w:trHeight w:val="460"/>
        </w:trPr>
        <w:tc>
          <w:tcPr>
            <w:tcW w:w="1998" w:type="dxa"/>
          </w:tcPr>
          <w:p w14:paraId="04A70068" w14:textId="77777777" w:rsidR="006C34D9" w:rsidRDefault="00CB5041">
            <w:pPr>
              <w:pStyle w:val="TableParagraph"/>
              <w:spacing w:line="230" w:lineRule="atLeast"/>
              <w:ind w:right="789"/>
              <w:rPr>
                <w:b/>
                <w:sz w:val="20"/>
              </w:rPr>
            </w:pPr>
            <w:r>
              <w:rPr>
                <w:b/>
                <w:sz w:val="20"/>
              </w:rPr>
              <w:t>Actemra PK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Parameter</w:t>
            </w:r>
          </w:p>
        </w:tc>
        <w:tc>
          <w:tcPr>
            <w:tcW w:w="1483" w:type="dxa"/>
          </w:tcPr>
          <w:p w14:paraId="15C75972" w14:textId="77777777" w:rsidR="006C34D9" w:rsidRDefault="00CB5041">
            <w:pPr>
              <w:pStyle w:val="TableParagraph"/>
              <w:ind w:left="127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mg/kg Q2W</w:t>
            </w:r>
          </w:p>
          <w:p w14:paraId="1BBF1EB7" w14:textId="77777777" w:rsidR="006C34D9" w:rsidRDefault="00CB5041">
            <w:pPr>
              <w:pStyle w:val="TableParagraph"/>
              <w:spacing w:line="210" w:lineRule="exact"/>
              <w:ind w:left="126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≥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kg</w:t>
            </w:r>
          </w:p>
        </w:tc>
        <w:tc>
          <w:tcPr>
            <w:tcW w:w="1700" w:type="dxa"/>
          </w:tcPr>
          <w:p w14:paraId="0E0A2415" w14:textId="77777777" w:rsidR="006C34D9" w:rsidRDefault="00CB5041">
            <w:pPr>
              <w:pStyle w:val="TableParagraph"/>
              <w:ind w:left="187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Q2W</w:t>
            </w:r>
          </w:p>
          <w:p w14:paraId="3616E5B0" w14:textId="77777777" w:rsidR="006C34D9" w:rsidRDefault="00CB5041">
            <w:pPr>
              <w:pStyle w:val="TableParagraph"/>
              <w:spacing w:line="210" w:lineRule="exact"/>
              <w:ind w:left="187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below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kg</w:t>
            </w:r>
          </w:p>
        </w:tc>
        <w:tc>
          <w:tcPr>
            <w:tcW w:w="1699" w:type="dxa"/>
          </w:tcPr>
          <w:p w14:paraId="27766349" w14:textId="77777777" w:rsidR="006C34D9" w:rsidRDefault="00CB5041">
            <w:pPr>
              <w:pStyle w:val="TableParagraph"/>
              <w:ind w:left="319" w:right="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QW</w:t>
            </w:r>
          </w:p>
          <w:p w14:paraId="03CBB2E7" w14:textId="77777777" w:rsidR="006C34D9" w:rsidRDefault="00CB5041">
            <w:pPr>
              <w:pStyle w:val="TableParagraph"/>
              <w:spacing w:line="210" w:lineRule="exact"/>
              <w:ind w:left="318" w:right="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≥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kg</w:t>
            </w:r>
          </w:p>
        </w:tc>
        <w:tc>
          <w:tcPr>
            <w:tcW w:w="1699" w:type="dxa"/>
          </w:tcPr>
          <w:p w14:paraId="389AF10E" w14:textId="77777777" w:rsidR="006C34D9" w:rsidRDefault="00CB5041"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z w:val="20"/>
              </w:rPr>
              <w:t>162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Q2W</w:t>
            </w:r>
          </w:p>
          <w:p w14:paraId="2B1E7536" w14:textId="77777777" w:rsidR="006C34D9" w:rsidRDefault="00CB5041">
            <w:pPr>
              <w:pStyle w:val="TableParagraph"/>
              <w:spacing w:line="210" w:lineRule="exact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below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kg</w:t>
            </w:r>
          </w:p>
        </w:tc>
      </w:tr>
      <w:tr w:rsidR="006C34D9" w14:paraId="4AA936D8" w14:textId="77777777">
        <w:trPr>
          <w:trHeight w:val="275"/>
        </w:trPr>
        <w:tc>
          <w:tcPr>
            <w:tcW w:w="1998" w:type="dxa"/>
          </w:tcPr>
          <w:p w14:paraId="2EB6D098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max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(µg/mL)</w:t>
            </w:r>
          </w:p>
        </w:tc>
        <w:tc>
          <w:tcPr>
            <w:tcW w:w="1483" w:type="dxa"/>
          </w:tcPr>
          <w:p w14:paraId="366D163C" w14:textId="77777777" w:rsidR="006C34D9" w:rsidRDefault="00CB504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256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60.8</w:t>
            </w:r>
          </w:p>
        </w:tc>
        <w:tc>
          <w:tcPr>
            <w:tcW w:w="1700" w:type="dxa"/>
          </w:tcPr>
          <w:p w14:paraId="11FACC6C" w14:textId="77777777" w:rsidR="006C34D9" w:rsidRDefault="00CB504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274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63.8</w:t>
            </w:r>
          </w:p>
        </w:tc>
        <w:tc>
          <w:tcPr>
            <w:tcW w:w="1699" w:type="dxa"/>
          </w:tcPr>
          <w:p w14:paraId="5D810FCB" w14:textId="77777777" w:rsidR="006C34D9" w:rsidRDefault="00CB504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99.8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46.2</w:t>
            </w:r>
          </w:p>
        </w:tc>
        <w:tc>
          <w:tcPr>
            <w:tcW w:w="1699" w:type="dxa"/>
          </w:tcPr>
          <w:p w14:paraId="3B47C04E" w14:textId="77777777" w:rsidR="006C34D9" w:rsidRDefault="00CB504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134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58.6</w:t>
            </w:r>
          </w:p>
        </w:tc>
      </w:tr>
      <w:tr w:rsidR="006C34D9" w14:paraId="5D1A0EA9" w14:textId="77777777">
        <w:trPr>
          <w:trHeight w:val="275"/>
        </w:trPr>
        <w:tc>
          <w:tcPr>
            <w:tcW w:w="1998" w:type="dxa"/>
          </w:tcPr>
          <w:p w14:paraId="58A9D362" w14:textId="77777777" w:rsidR="006C34D9" w:rsidRDefault="00CB50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trough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(µg/mL)</w:t>
            </w:r>
          </w:p>
        </w:tc>
        <w:tc>
          <w:tcPr>
            <w:tcW w:w="1483" w:type="dxa"/>
          </w:tcPr>
          <w:p w14:paraId="061F4B6B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69.7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29.1</w:t>
            </w:r>
          </w:p>
        </w:tc>
        <w:tc>
          <w:tcPr>
            <w:tcW w:w="1700" w:type="dxa"/>
          </w:tcPr>
          <w:p w14:paraId="799D022A" w14:textId="77777777" w:rsidR="006C34D9" w:rsidRDefault="00CB504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68.4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30.0</w:t>
            </w:r>
          </w:p>
        </w:tc>
        <w:tc>
          <w:tcPr>
            <w:tcW w:w="1699" w:type="dxa"/>
          </w:tcPr>
          <w:p w14:paraId="1768EB3D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79.2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35.6</w:t>
            </w:r>
          </w:p>
        </w:tc>
        <w:tc>
          <w:tcPr>
            <w:tcW w:w="1699" w:type="dxa"/>
          </w:tcPr>
          <w:p w14:paraId="2F153EE1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65.9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31.3</w:t>
            </w:r>
          </w:p>
        </w:tc>
      </w:tr>
      <w:tr w:rsidR="006C34D9" w14:paraId="5E0CAD35" w14:textId="77777777">
        <w:trPr>
          <w:trHeight w:val="324"/>
        </w:trPr>
        <w:tc>
          <w:tcPr>
            <w:tcW w:w="1998" w:type="dxa"/>
          </w:tcPr>
          <w:p w14:paraId="4BB149D4" w14:textId="77777777" w:rsidR="006C34D9" w:rsidRDefault="00CB50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mean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(µg/mL)</w:t>
            </w:r>
          </w:p>
        </w:tc>
        <w:tc>
          <w:tcPr>
            <w:tcW w:w="1483" w:type="dxa"/>
          </w:tcPr>
          <w:p w14:paraId="6B6A1B16" w14:textId="77777777" w:rsidR="006C34D9" w:rsidRDefault="00CB5041">
            <w:pPr>
              <w:pStyle w:val="TableParagraph"/>
              <w:spacing w:line="228" w:lineRule="exact"/>
              <w:ind w:left="158"/>
              <w:rPr>
                <w:sz w:val="20"/>
              </w:rPr>
            </w:pPr>
            <w:r>
              <w:rPr>
                <w:sz w:val="20"/>
              </w:rPr>
              <w:t>119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36.0</w:t>
            </w:r>
          </w:p>
        </w:tc>
        <w:tc>
          <w:tcPr>
            <w:tcW w:w="1700" w:type="dxa"/>
          </w:tcPr>
          <w:p w14:paraId="609E095C" w14:textId="77777777" w:rsidR="006C34D9" w:rsidRDefault="00CB504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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36.0</w:t>
            </w:r>
          </w:p>
        </w:tc>
        <w:tc>
          <w:tcPr>
            <w:tcW w:w="1699" w:type="dxa"/>
          </w:tcPr>
          <w:p w14:paraId="29D9FDB1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91.3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40.4</w:t>
            </w:r>
          </w:p>
        </w:tc>
        <w:tc>
          <w:tcPr>
            <w:tcW w:w="1699" w:type="dxa"/>
          </w:tcPr>
          <w:p w14:paraId="2AE63F07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43.2</w:t>
            </w:r>
          </w:p>
        </w:tc>
      </w:tr>
    </w:tbl>
    <w:p w14:paraId="275DB6E7" w14:textId="77777777" w:rsidR="006C34D9" w:rsidRDefault="006C34D9">
      <w:pPr>
        <w:spacing w:line="228" w:lineRule="exact"/>
        <w:rPr>
          <w:sz w:val="20"/>
        </w:rPr>
        <w:sectPr w:rsidR="006C34D9">
          <w:pgSz w:w="11910" w:h="16840"/>
          <w:pgMar w:top="1580" w:right="780" w:bottom="1512" w:left="780" w:header="0" w:footer="592" w:gutter="0"/>
          <w:cols w:space="720"/>
        </w:sectPr>
      </w:pPr>
    </w:p>
    <w:tbl>
      <w:tblPr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1483"/>
        <w:gridCol w:w="1700"/>
        <w:gridCol w:w="1699"/>
        <w:gridCol w:w="1699"/>
      </w:tblGrid>
      <w:tr w:rsidR="006C34D9" w14:paraId="271BF55C" w14:textId="77777777">
        <w:trPr>
          <w:trHeight w:val="275"/>
        </w:trPr>
        <w:tc>
          <w:tcPr>
            <w:tcW w:w="1998" w:type="dxa"/>
          </w:tcPr>
          <w:p w14:paraId="513E7DEE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3" w:type="dxa"/>
          </w:tcPr>
          <w:p w14:paraId="6571EE46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 w14:paraId="5ECED2F6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</w:tcPr>
          <w:p w14:paraId="3F8017E9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</w:tcPr>
          <w:p w14:paraId="302218BE" w14:textId="77777777" w:rsidR="006C34D9" w:rsidRDefault="006C34D9">
            <w:pPr>
              <w:pStyle w:val="TableParagraph"/>
              <w:ind w:left="0"/>
              <w:rPr>
                <w:sz w:val="20"/>
              </w:rPr>
            </w:pPr>
          </w:p>
        </w:tc>
      </w:tr>
      <w:tr w:rsidR="006C34D9" w14:paraId="70C61657" w14:textId="77777777">
        <w:trPr>
          <w:trHeight w:val="552"/>
        </w:trPr>
        <w:tc>
          <w:tcPr>
            <w:tcW w:w="1998" w:type="dxa"/>
          </w:tcPr>
          <w:p w14:paraId="76A09712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Accumulation</w:t>
            </w:r>
          </w:p>
          <w:p w14:paraId="09D086C7" w14:textId="77777777" w:rsidR="006C34D9" w:rsidRDefault="00CB5041">
            <w:pPr>
              <w:pStyle w:val="TableParagraph"/>
              <w:spacing w:line="258" w:lineRule="exact"/>
              <w:rPr>
                <w:sz w:val="16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max</w:t>
            </w:r>
          </w:p>
        </w:tc>
        <w:tc>
          <w:tcPr>
            <w:tcW w:w="1483" w:type="dxa"/>
          </w:tcPr>
          <w:p w14:paraId="1FCF2FE0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1.42</w:t>
            </w:r>
          </w:p>
        </w:tc>
        <w:tc>
          <w:tcPr>
            <w:tcW w:w="1700" w:type="dxa"/>
          </w:tcPr>
          <w:p w14:paraId="6A6C64F6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1.37</w:t>
            </w:r>
          </w:p>
        </w:tc>
        <w:tc>
          <w:tcPr>
            <w:tcW w:w="1699" w:type="dxa"/>
          </w:tcPr>
          <w:p w14:paraId="5B6A213C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3.66</w:t>
            </w:r>
          </w:p>
        </w:tc>
        <w:tc>
          <w:tcPr>
            <w:tcW w:w="1699" w:type="dxa"/>
          </w:tcPr>
          <w:p w14:paraId="1189DBE8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1.88</w:t>
            </w:r>
          </w:p>
        </w:tc>
      </w:tr>
      <w:tr w:rsidR="006C34D9" w14:paraId="7BDF72F0" w14:textId="77777777">
        <w:trPr>
          <w:trHeight w:val="551"/>
        </w:trPr>
        <w:tc>
          <w:tcPr>
            <w:tcW w:w="1998" w:type="dxa"/>
          </w:tcPr>
          <w:p w14:paraId="7A53F73F" w14:textId="77777777" w:rsidR="006C34D9" w:rsidRDefault="00CB50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Accumulation</w:t>
            </w:r>
          </w:p>
          <w:p w14:paraId="02411E9B" w14:textId="77777777" w:rsidR="006C34D9" w:rsidRDefault="00CB5041">
            <w:pPr>
              <w:pStyle w:val="TableParagraph"/>
              <w:spacing w:line="258" w:lineRule="exact"/>
              <w:rPr>
                <w:sz w:val="16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trough</w:t>
            </w:r>
          </w:p>
        </w:tc>
        <w:tc>
          <w:tcPr>
            <w:tcW w:w="1483" w:type="dxa"/>
          </w:tcPr>
          <w:p w14:paraId="173FD762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3.20</w:t>
            </w:r>
          </w:p>
        </w:tc>
        <w:tc>
          <w:tcPr>
            <w:tcW w:w="1700" w:type="dxa"/>
          </w:tcPr>
          <w:p w14:paraId="0736917D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3.41</w:t>
            </w:r>
          </w:p>
        </w:tc>
        <w:tc>
          <w:tcPr>
            <w:tcW w:w="1699" w:type="dxa"/>
          </w:tcPr>
          <w:p w14:paraId="53782C72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4.39</w:t>
            </w:r>
          </w:p>
        </w:tc>
        <w:tc>
          <w:tcPr>
            <w:tcW w:w="1699" w:type="dxa"/>
          </w:tcPr>
          <w:p w14:paraId="444DE88E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3.21</w:t>
            </w:r>
          </w:p>
        </w:tc>
      </w:tr>
      <w:tr w:rsidR="006C34D9" w14:paraId="13C2CC41" w14:textId="77777777">
        <w:trPr>
          <w:trHeight w:val="552"/>
        </w:trPr>
        <w:tc>
          <w:tcPr>
            <w:tcW w:w="1998" w:type="dxa"/>
          </w:tcPr>
          <w:p w14:paraId="46495BD8" w14:textId="77777777" w:rsidR="006C34D9" w:rsidRDefault="00CB50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Accumulation</w:t>
            </w:r>
          </w:p>
          <w:p w14:paraId="075554A6" w14:textId="77777777" w:rsidR="006C34D9" w:rsidRDefault="00CB504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position w:val="1"/>
                <w:sz w:val="24"/>
              </w:rPr>
              <w:t>C</w:t>
            </w:r>
            <w:r>
              <w:rPr>
                <w:sz w:val="16"/>
              </w:rPr>
              <w:t>mean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or</w:t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AUC</w:t>
            </w:r>
            <w:r>
              <w:rPr>
                <w:sz w:val="16"/>
              </w:rPr>
              <w:t>τ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*</w:t>
            </w:r>
          </w:p>
        </w:tc>
        <w:tc>
          <w:tcPr>
            <w:tcW w:w="1483" w:type="dxa"/>
          </w:tcPr>
          <w:p w14:paraId="6F9D1C59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2.01</w:t>
            </w:r>
          </w:p>
        </w:tc>
        <w:tc>
          <w:tcPr>
            <w:tcW w:w="1700" w:type="dxa"/>
          </w:tcPr>
          <w:p w14:paraId="79557D70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1.95</w:t>
            </w:r>
          </w:p>
        </w:tc>
        <w:tc>
          <w:tcPr>
            <w:tcW w:w="1699" w:type="dxa"/>
          </w:tcPr>
          <w:p w14:paraId="5FBA1C4F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4.28</w:t>
            </w:r>
          </w:p>
        </w:tc>
        <w:tc>
          <w:tcPr>
            <w:tcW w:w="1699" w:type="dxa"/>
          </w:tcPr>
          <w:p w14:paraId="01DCEED3" w14:textId="77777777" w:rsidR="006C34D9" w:rsidRDefault="00CB50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2.27</w:t>
            </w:r>
          </w:p>
        </w:tc>
      </w:tr>
    </w:tbl>
    <w:p w14:paraId="3322848D" w14:textId="77777777" w:rsidR="006C34D9" w:rsidRDefault="00CB5041">
      <w:pPr>
        <w:spacing w:line="229" w:lineRule="exact"/>
        <w:ind w:left="660"/>
        <w:jc w:val="both"/>
        <w:rPr>
          <w:sz w:val="20"/>
        </w:rPr>
      </w:pPr>
      <w:r>
        <w:rPr>
          <w:sz w:val="20"/>
        </w:rPr>
        <w:t>*τ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weeks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regimens,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week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week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SC</w:t>
      </w:r>
      <w:r>
        <w:rPr>
          <w:spacing w:val="-4"/>
          <w:sz w:val="20"/>
        </w:rPr>
        <w:t xml:space="preserve"> </w:t>
      </w:r>
      <w:r>
        <w:rPr>
          <w:sz w:val="20"/>
        </w:rPr>
        <w:t>regimens,</w:t>
      </w:r>
      <w:r>
        <w:rPr>
          <w:spacing w:val="-2"/>
          <w:sz w:val="20"/>
        </w:rPr>
        <w:t xml:space="preserve"> </w:t>
      </w:r>
      <w:r>
        <w:rPr>
          <w:sz w:val="20"/>
        </w:rPr>
        <w:t>respectively</w:t>
      </w:r>
    </w:p>
    <w:p w14:paraId="4E43E2C6" w14:textId="77777777" w:rsidR="006C34D9" w:rsidRDefault="006C34D9">
      <w:pPr>
        <w:pStyle w:val="BodyText"/>
        <w:ind w:left="0"/>
        <w:rPr>
          <w:sz w:val="20"/>
        </w:rPr>
      </w:pPr>
    </w:p>
    <w:p w14:paraId="1D5F9FB2" w14:textId="77777777" w:rsidR="006C34D9" w:rsidRDefault="00CB5041">
      <w:pPr>
        <w:pStyle w:val="BodyText"/>
        <w:ind w:right="657"/>
        <w:jc w:val="both"/>
      </w:pPr>
      <w:r>
        <w:t xml:space="preserve">After IV dosing, approximately 90% of the </w:t>
      </w:r>
      <w:proofErr w:type="gramStart"/>
      <w:r>
        <w:t>steady-state</w:t>
      </w:r>
      <w:proofErr w:type="gramEnd"/>
      <w:r>
        <w:t xml:space="preserve"> was reached by Week 8 for both the</w:t>
      </w:r>
      <w:r>
        <w:rPr>
          <w:spacing w:val="1"/>
        </w:rPr>
        <w:t xml:space="preserve"> </w:t>
      </w:r>
      <w:r>
        <w:t>12 mg/kg and 8 mg/kg Q2W regimens.</w:t>
      </w:r>
      <w:r>
        <w:rPr>
          <w:spacing w:val="1"/>
        </w:rPr>
        <w:t xml:space="preserve"> </w:t>
      </w:r>
      <w:r>
        <w:t>After SC dosing, approximately 90% of the steady-</w:t>
      </w:r>
      <w:r>
        <w:rPr>
          <w:spacing w:val="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was reached by Week 12</w:t>
      </w:r>
      <w:r>
        <w:rPr>
          <w:spacing w:val="-1"/>
        </w:rPr>
        <w:t xml:space="preserve"> </w:t>
      </w:r>
      <w:r>
        <w:t>for both the 162 mg</w:t>
      </w:r>
      <w:r>
        <w:rPr>
          <w:spacing w:val="-1"/>
        </w:rPr>
        <w:t xml:space="preserve"> </w:t>
      </w:r>
      <w:r>
        <w:t>QW</w:t>
      </w:r>
      <w:r>
        <w:rPr>
          <w:spacing w:val="-3"/>
        </w:rPr>
        <w:t xml:space="preserve"> </w:t>
      </w:r>
      <w:r>
        <w:t>and Q2W</w:t>
      </w:r>
      <w:r>
        <w:rPr>
          <w:spacing w:val="-3"/>
        </w:rPr>
        <w:t xml:space="preserve"> </w:t>
      </w:r>
      <w:r>
        <w:t>regimens.</w:t>
      </w:r>
    </w:p>
    <w:p w14:paraId="787E3A5D" w14:textId="77777777" w:rsidR="006C34D9" w:rsidRDefault="00CB5041">
      <w:pPr>
        <w:pStyle w:val="Heading2"/>
        <w:spacing w:before="202"/>
        <w:jc w:val="left"/>
      </w:pPr>
      <w:bookmarkStart w:id="124" w:name="Absorption"/>
      <w:bookmarkEnd w:id="124"/>
      <w:r>
        <w:t>Absorption</w:t>
      </w:r>
    </w:p>
    <w:p w14:paraId="1D9205A9" w14:textId="77777777" w:rsidR="006C34D9" w:rsidRDefault="00CB5041">
      <w:pPr>
        <w:pStyle w:val="BodyText"/>
        <w:spacing w:before="34"/>
      </w:pPr>
      <w:r>
        <w:t>Following</w:t>
      </w:r>
      <w:r>
        <w:rPr>
          <w:spacing w:val="-11"/>
        </w:rPr>
        <w:t xml:space="preserve"> </w:t>
      </w:r>
      <w:r>
        <w:t>SC</w:t>
      </w:r>
      <w:r>
        <w:rPr>
          <w:spacing w:val="-12"/>
        </w:rPr>
        <w:t xml:space="preserve"> </w:t>
      </w:r>
      <w:r>
        <w:t>dosing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GCA</w:t>
      </w:r>
      <w:r>
        <w:rPr>
          <w:spacing w:val="-12"/>
        </w:rPr>
        <w:t xml:space="preserve"> </w:t>
      </w:r>
      <w:r>
        <w:t>patients,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absorption</w:t>
      </w:r>
      <w:r>
        <w:rPr>
          <w:spacing w:val="-11"/>
        </w:rPr>
        <w:t xml:space="preserve"> </w:t>
      </w:r>
      <w:r>
        <w:t>half-life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around</w:t>
      </w:r>
      <w:r>
        <w:rPr>
          <w:spacing w:val="-11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days.</w:t>
      </w:r>
      <w:r>
        <w:rPr>
          <w:spacing w:val="3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bioavailability</w:t>
      </w:r>
      <w:r>
        <w:rPr>
          <w:spacing w:val="-1"/>
        </w:rPr>
        <w:t xml:space="preserve"> </w:t>
      </w:r>
      <w:r>
        <w:t>for the SC</w:t>
      </w:r>
      <w:r>
        <w:rPr>
          <w:spacing w:val="-1"/>
        </w:rPr>
        <w:t xml:space="preserve"> </w:t>
      </w:r>
      <w:r>
        <w:t>formulation was 80%.</w:t>
      </w:r>
    </w:p>
    <w:p w14:paraId="05EFF240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12D2A29" w14:textId="77777777" w:rsidR="006C34D9" w:rsidRDefault="00CB5041">
      <w:pPr>
        <w:pStyle w:val="BodyText"/>
      </w:pPr>
      <w:r>
        <w:t>In</w:t>
      </w:r>
      <w:r>
        <w:rPr>
          <w:spacing w:val="5"/>
        </w:rPr>
        <w:t xml:space="preserve"> </w:t>
      </w:r>
      <w:r>
        <w:t>GCA</w:t>
      </w:r>
      <w:r>
        <w:rPr>
          <w:spacing w:val="6"/>
        </w:rPr>
        <w:t xml:space="preserve"> </w:t>
      </w:r>
      <w:r>
        <w:t>patients,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median</w:t>
      </w:r>
      <w:r>
        <w:rPr>
          <w:spacing w:val="6"/>
        </w:rPr>
        <w:t xml:space="preserve"> </w:t>
      </w:r>
      <w:r>
        <w:t>values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proofErr w:type="spellStart"/>
      <w:r>
        <w:t>Tmax</w:t>
      </w:r>
      <w:proofErr w:type="spellEnd"/>
      <w:r>
        <w:rPr>
          <w:spacing w:val="7"/>
        </w:rPr>
        <w:t xml:space="preserve"> </w:t>
      </w:r>
      <w:r>
        <w:t>were</w:t>
      </w:r>
      <w:r>
        <w:rPr>
          <w:spacing w:val="6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days</w:t>
      </w:r>
      <w:r>
        <w:rPr>
          <w:spacing w:val="6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Actemra</w:t>
      </w:r>
      <w:r>
        <w:rPr>
          <w:spacing w:val="6"/>
        </w:rPr>
        <w:t xml:space="preserve"> </w:t>
      </w:r>
      <w:r>
        <w:t>weekly</w:t>
      </w:r>
      <w:r>
        <w:rPr>
          <w:spacing w:val="6"/>
        </w:rPr>
        <w:t xml:space="preserve"> </w:t>
      </w:r>
      <w:r>
        <w:t>dose</w:t>
      </w:r>
      <w:r>
        <w:rPr>
          <w:spacing w:val="6"/>
        </w:rPr>
        <w:t xml:space="preserve"> </w:t>
      </w:r>
      <w:r>
        <w:t>and</w:t>
      </w:r>
    </w:p>
    <w:p w14:paraId="1CB7477B" w14:textId="77777777" w:rsidR="006C34D9" w:rsidRDefault="00CB5041">
      <w:pPr>
        <w:pStyle w:val="BodyText"/>
      </w:pPr>
      <w:r>
        <w:t>4.5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dose.</w:t>
      </w:r>
    </w:p>
    <w:p w14:paraId="3E3DF254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698666A4" w14:textId="77777777" w:rsidR="006C34D9" w:rsidRDefault="00CB5041">
      <w:pPr>
        <w:pStyle w:val="BodyText"/>
      </w:pPr>
      <w:r>
        <w:t>Following</w:t>
      </w:r>
      <w:r>
        <w:rPr>
          <w:spacing w:val="29"/>
        </w:rPr>
        <w:t xml:space="preserve"> </w:t>
      </w:r>
      <w:r>
        <w:t>SC</w:t>
      </w:r>
      <w:r>
        <w:rPr>
          <w:spacing w:val="28"/>
        </w:rPr>
        <w:t xml:space="preserve"> </w:t>
      </w:r>
      <w:r>
        <w:t>dosing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proofErr w:type="spellStart"/>
      <w:r>
        <w:t>pJIA</w:t>
      </w:r>
      <w:proofErr w:type="spellEnd"/>
      <w:r>
        <w:rPr>
          <w:spacing w:val="28"/>
        </w:rPr>
        <w:t xml:space="preserve"> </w:t>
      </w:r>
      <w:r>
        <w:t>patients,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absorption</w:t>
      </w:r>
      <w:r>
        <w:rPr>
          <w:spacing w:val="29"/>
        </w:rPr>
        <w:t xml:space="preserve"> </w:t>
      </w:r>
      <w:r>
        <w:t>half-life</w:t>
      </w:r>
      <w:r>
        <w:rPr>
          <w:spacing w:val="30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around</w:t>
      </w:r>
      <w:r>
        <w:rPr>
          <w:spacing w:val="29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days,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bioavailability</w:t>
      </w:r>
      <w:r>
        <w:rPr>
          <w:spacing w:val="-1"/>
        </w:rPr>
        <w:t xml:space="preserve"> </w:t>
      </w:r>
      <w:r>
        <w:t>for the SC</w:t>
      </w:r>
      <w:r>
        <w:rPr>
          <w:spacing w:val="-1"/>
        </w:rPr>
        <w:t xml:space="preserve"> </w:t>
      </w:r>
      <w:r>
        <w:t>formulation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t>pJIA</w:t>
      </w:r>
      <w:proofErr w:type="spellEnd"/>
      <w:r>
        <w:rPr>
          <w:spacing w:val="-1"/>
        </w:rPr>
        <w:t xml:space="preserve"> </w:t>
      </w:r>
      <w:r>
        <w:t>patients was</w:t>
      </w:r>
      <w:r>
        <w:rPr>
          <w:spacing w:val="-2"/>
        </w:rPr>
        <w:t xml:space="preserve"> </w:t>
      </w:r>
      <w:r>
        <w:t>96%.</w:t>
      </w:r>
    </w:p>
    <w:p w14:paraId="641C9185" w14:textId="77777777" w:rsidR="006C34D9" w:rsidRDefault="006C34D9">
      <w:pPr>
        <w:pStyle w:val="BodyText"/>
        <w:ind w:left="0"/>
      </w:pPr>
    </w:p>
    <w:p w14:paraId="37078365" w14:textId="77777777" w:rsidR="006C34D9" w:rsidRDefault="00CB5041">
      <w:pPr>
        <w:pStyle w:val="BodyText"/>
      </w:pPr>
      <w:r>
        <w:t>Following</w:t>
      </w:r>
      <w:r>
        <w:rPr>
          <w:spacing w:val="31"/>
        </w:rPr>
        <w:t xml:space="preserve"> </w:t>
      </w:r>
      <w:r>
        <w:t>SC</w:t>
      </w:r>
      <w:r>
        <w:rPr>
          <w:spacing w:val="30"/>
        </w:rPr>
        <w:t xml:space="preserve"> </w:t>
      </w:r>
      <w:r>
        <w:t>dosing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proofErr w:type="spellStart"/>
      <w:r>
        <w:t>sJIA</w:t>
      </w:r>
      <w:proofErr w:type="spellEnd"/>
      <w:r>
        <w:rPr>
          <w:spacing w:val="30"/>
        </w:rPr>
        <w:t xml:space="preserve"> </w:t>
      </w:r>
      <w:r>
        <w:t>patients,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absorption</w:t>
      </w:r>
      <w:r>
        <w:rPr>
          <w:spacing w:val="32"/>
        </w:rPr>
        <w:t xml:space="preserve"> </w:t>
      </w:r>
      <w:r>
        <w:t>half-life</w:t>
      </w:r>
      <w:r>
        <w:rPr>
          <w:spacing w:val="31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around</w:t>
      </w:r>
      <w:r>
        <w:rPr>
          <w:spacing w:val="31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days,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-57"/>
        </w:rPr>
        <w:t xml:space="preserve"> </w:t>
      </w:r>
      <w:bookmarkStart w:id="125" w:name="Distribution"/>
      <w:bookmarkEnd w:id="125"/>
      <w:r>
        <w:t>bioavailability</w:t>
      </w:r>
      <w:r>
        <w:rPr>
          <w:spacing w:val="-1"/>
        </w:rPr>
        <w:t xml:space="preserve"> </w:t>
      </w:r>
      <w:r>
        <w:t>for the SC</w:t>
      </w:r>
      <w:r>
        <w:rPr>
          <w:spacing w:val="-1"/>
        </w:rPr>
        <w:t xml:space="preserve"> </w:t>
      </w:r>
      <w:r>
        <w:t>formulation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t>sJIA</w:t>
      </w:r>
      <w:proofErr w:type="spellEnd"/>
      <w:r>
        <w:rPr>
          <w:spacing w:val="-1"/>
        </w:rPr>
        <w:t xml:space="preserve"> </w:t>
      </w:r>
      <w:r>
        <w:t>patients was</w:t>
      </w:r>
      <w:r>
        <w:rPr>
          <w:spacing w:val="-2"/>
        </w:rPr>
        <w:t xml:space="preserve"> </w:t>
      </w:r>
      <w:r>
        <w:t>95%.</w:t>
      </w:r>
    </w:p>
    <w:p w14:paraId="364878A2" w14:textId="77777777" w:rsidR="006C34D9" w:rsidRDefault="00CB5041">
      <w:pPr>
        <w:pStyle w:val="Heading2"/>
        <w:spacing w:before="202"/>
        <w:jc w:val="left"/>
      </w:pPr>
      <w:r>
        <w:t>Distribution</w:t>
      </w:r>
    </w:p>
    <w:p w14:paraId="1548A882" w14:textId="77777777" w:rsidR="006C34D9" w:rsidRDefault="00CB5041">
      <w:pPr>
        <w:pStyle w:val="BodyText"/>
        <w:spacing w:before="37" w:line="244" w:lineRule="auto"/>
        <w:ind w:right="658"/>
        <w:jc w:val="both"/>
      </w:pPr>
      <w:r>
        <w:t>Following IV dosing, Actemra undergoes biphasic elimination from the circulation.</w:t>
      </w:r>
      <w:r>
        <w:rPr>
          <w:spacing w:val="1"/>
        </w:rPr>
        <w:t xml:space="preserve"> </w:t>
      </w:r>
      <w:r>
        <w:t>In RA</w:t>
      </w:r>
      <w:r>
        <w:rPr>
          <w:spacing w:val="1"/>
        </w:rPr>
        <w:t xml:space="preserve"> </w:t>
      </w:r>
      <w:r>
        <w:t>patients the central volume of distribution was 3.5 L and the peripheral volume of distribution</w:t>
      </w:r>
      <w:r>
        <w:rPr>
          <w:spacing w:val="-5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2.9 L, resulting in a</w:t>
      </w:r>
      <w:r>
        <w:rPr>
          <w:spacing w:val="-2"/>
        </w:rPr>
        <w:t xml:space="preserve"> </w:t>
      </w:r>
      <w:r>
        <w:t>volume of</w:t>
      </w:r>
      <w:r>
        <w:rPr>
          <w:spacing w:val="-1"/>
        </w:rPr>
        <w:t xml:space="preserve"> </w:t>
      </w:r>
      <w:r>
        <w:t>distribution at</w:t>
      </w:r>
      <w:r>
        <w:rPr>
          <w:spacing w:val="-1"/>
        </w:rPr>
        <w:t xml:space="preserve"> </w:t>
      </w:r>
      <w:r>
        <w:t>steady 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6.4 L.</w:t>
      </w:r>
    </w:p>
    <w:p w14:paraId="1F754BE9" w14:textId="77777777" w:rsidR="006C34D9" w:rsidRDefault="00CB5041">
      <w:pPr>
        <w:pStyle w:val="BodyText"/>
        <w:spacing w:before="166" w:line="242" w:lineRule="auto"/>
        <w:ind w:right="658"/>
        <w:jc w:val="both"/>
      </w:pPr>
      <w:r>
        <w:t>In GCA patients, the central volume of distribution was 4.09 L, the peripheral volume of</w:t>
      </w:r>
      <w:r>
        <w:rPr>
          <w:spacing w:val="1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was 3.37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resulting 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volume of</w:t>
      </w:r>
      <w:r>
        <w:rPr>
          <w:spacing w:val="-2"/>
        </w:rPr>
        <w:t xml:space="preserve"> </w:t>
      </w:r>
      <w:r>
        <w:t>distribution at</w:t>
      </w:r>
      <w:r>
        <w:rPr>
          <w:spacing w:val="-1"/>
        </w:rPr>
        <w:t xml:space="preserve"> </w:t>
      </w:r>
      <w:r>
        <w:t>steady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7.46</w:t>
      </w:r>
      <w:r>
        <w:rPr>
          <w:spacing w:val="-1"/>
        </w:rPr>
        <w:t xml:space="preserve"> </w:t>
      </w:r>
      <w:r>
        <w:t>L.</w:t>
      </w:r>
    </w:p>
    <w:p w14:paraId="71EDE476" w14:textId="77777777" w:rsidR="006C34D9" w:rsidRDefault="00CB5041">
      <w:pPr>
        <w:pStyle w:val="BodyText"/>
        <w:spacing w:before="172" w:line="244" w:lineRule="auto"/>
        <w:ind w:right="658"/>
        <w:jc w:val="both"/>
      </w:pPr>
      <w:r>
        <w:t xml:space="preserve">In </w:t>
      </w:r>
      <w:proofErr w:type="spellStart"/>
      <w:r>
        <w:t>paediatric</w:t>
      </w:r>
      <w:proofErr w:type="spellEnd"/>
      <w:r>
        <w:t xml:space="preserve"> patients with </w:t>
      </w:r>
      <w:proofErr w:type="spellStart"/>
      <w:r>
        <w:t>pJIA</w:t>
      </w:r>
      <w:proofErr w:type="spellEnd"/>
      <w:r>
        <w:t>, the central volume of distribution was 1.98 L, the peripheral</w:t>
      </w:r>
      <w:r>
        <w:rPr>
          <w:spacing w:val="1"/>
        </w:rPr>
        <w:t xml:space="preserve"> </w:t>
      </w:r>
      <w:r>
        <w:t>volume of distribution was 2.1 L, resulting in a volume of distribution at steady state of 4.08</w:t>
      </w:r>
      <w:r>
        <w:rPr>
          <w:spacing w:val="1"/>
        </w:rPr>
        <w:t xml:space="preserve"> </w:t>
      </w:r>
      <w:r>
        <w:t>L.</w:t>
      </w:r>
    </w:p>
    <w:p w14:paraId="4E627342" w14:textId="77777777" w:rsidR="006C34D9" w:rsidRDefault="00CB5041">
      <w:pPr>
        <w:pStyle w:val="BodyText"/>
        <w:spacing w:before="166" w:line="244" w:lineRule="auto"/>
        <w:ind w:right="658"/>
        <w:jc w:val="both"/>
      </w:pPr>
      <w:r>
        <w:rPr>
          <w:spacing w:val="-1"/>
        </w:rPr>
        <w:t>In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paediatric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patients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proofErr w:type="spellStart"/>
      <w:r>
        <w:t>sJIA</w:t>
      </w:r>
      <w:proofErr w:type="spellEnd"/>
      <w:r>
        <w:t>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central</w:t>
      </w:r>
      <w:r>
        <w:rPr>
          <w:spacing w:val="-14"/>
        </w:rPr>
        <w:t xml:space="preserve"> </w:t>
      </w:r>
      <w:r>
        <w:t>volume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distribution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1.87</w:t>
      </w:r>
      <w:r>
        <w:rPr>
          <w:spacing w:val="-14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peripheral</w:t>
      </w:r>
      <w:r>
        <w:rPr>
          <w:spacing w:val="-58"/>
        </w:rPr>
        <w:t xml:space="preserve"> </w:t>
      </w:r>
      <w:r>
        <w:t>volume of distribution was 2.14 L resulting in a volume of distribution at steady state of 4.01</w:t>
      </w:r>
      <w:r>
        <w:rPr>
          <w:spacing w:val="1"/>
        </w:rPr>
        <w:t xml:space="preserve"> </w:t>
      </w:r>
      <w:r>
        <w:t>L.</w:t>
      </w:r>
    </w:p>
    <w:p w14:paraId="31EC9680" w14:textId="77777777" w:rsidR="006C34D9" w:rsidRDefault="00CB5041">
      <w:pPr>
        <w:pStyle w:val="BodyText"/>
        <w:spacing w:before="166" w:line="242" w:lineRule="auto"/>
        <w:ind w:right="657"/>
        <w:jc w:val="both"/>
      </w:pPr>
      <w:r>
        <w:t>In</w:t>
      </w:r>
      <w:r>
        <w:rPr>
          <w:spacing w:val="-5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COVID-19,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volume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4.52</w:t>
      </w:r>
      <w:r>
        <w:rPr>
          <w:spacing w:val="-5"/>
        </w:rPr>
        <w:t xml:space="preserve"> </w:t>
      </w:r>
      <w:r>
        <w:t>L,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peripheral</w:t>
      </w:r>
      <w:r>
        <w:rPr>
          <w:spacing w:val="-58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distribution was</w:t>
      </w:r>
      <w:r>
        <w:rPr>
          <w:spacing w:val="-1"/>
        </w:rPr>
        <w:t xml:space="preserve"> </w:t>
      </w:r>
      <w:r>
        <w:t>4.23 L</w:t>
      </w:r>
      <w:r>
        <w:rPr>
          <w:spacing w:val="-1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 a volume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distribution of</w:t>
      </w:r>
      <w:r>
        <w:rPr>
          <w:spacing w:val="-3"/>
        </w:rPr>
        <w:t xml:space="preserve"> </w:t>
      </w:r>
      <w:r>
        <w:t>8.75 L.</w:t>
      </w:r>
    </w:p>
    <w:p w14:paraId="5C567913" w14:textId="77777777" w:rsidR="006C34D9" w:rsidRDefault="00CB5041">
      <w:pPr>
        <w:pStyle w:val="Heading2"/>
        <w:spacing w:before="201"/>
        <w:jc w:val="left"/>
      </w:pPr>
      <w:bookmarkStart w:id="126" w:name="Metabolism"/>
      <w:bookmarkEnd w:id="126"/>
      <w:r>
        <w:t>Metabolism</w:t>
      </w:r>
    </w:p>
    <w:p w14:paraId="7C6FC02A" w14:textId="77777777" w:rsidR="006C34D9" w:rsidRDefault="00CB5041">
      <w:pPr>
        <w:pStyle w:val="BodyText"/>
        <w:spacing w:before="37"/>
      </w:pPr>
      <w:r>
        <w:t>Not</w:t>
      </w:r>
      <w:r>
        <w:rPr>
          <w:spacing w:val="-2"/>
        </w:rPr>
        <w:t xml:space="preserve"> </w:t>
      </w:r>
      <w:r>
        <w:t>applicable.</w:t>
      </w:r>
    </w:p>
    <w:p w14:paraId="662C0B88" w14:textId="77777777" w:rsidR="006C34D9" w:rsidRDefault="00CB5041">
      <w:pPr>
        <w:pStyle w:val="Heading2"/>
        <w:spacing w:before="203"/>
        <w:jc w:val="left"/>
      </w:pPr>
      <w:bookmarkStart w:id="127" w:name="Excretion"/>
      <w:bookmarkEnd w:id="127"/>
      <w:r>
        <w:t>Excretion</w:t>
      </w:r>
    </w:p>
    <w:p w14:paraId="42C35F69" w14:textId="77777777" w:rsidR="006C34D9" w:rsidRDefault="00CB5041">
      <w:pPr>
        <w:pStyle w:val="BodyText"/>
        <w:spacing w:before="36" w:line="244" w:lineRule="auto"/>
        <w:ind w:right="657"/>
        <w:jc w:val="both"/>
      </w:pPr>
      <w:r>
        <w:t>The total clearance of Actemra was concentration-dependent and is the sum of the linear</w:t>
      </w:r>
      <w:r>
        <w:rPr>
          <w:spacing w:val="1"/>
        </w:rPr>
        <w:t xml:space="preserve"> </w:t>
      </w:r>
      <w:r>
        <w:t>clearance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nonlinear</w:t>
      </w:r>
      <w:r>
        <w:rPr>
          <w:spacing w:val="-8"/>
        </w:rPr>
        <w:t xml:space="preserve"> </w:t>
      </w:r>
      <w:r>
        <w:t>clearance.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linear</w:t>
      </w:r>
      <w:r>
        <w:rPr>
          <w:spacing w:val="-9"/>
        </w:rPr>
        <w:t xml:space="preserve"> </w:t>
      </w:r>
      <w:r>
        <w:t>clearance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estimated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parameter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population</w:t>
      </w:r>
      <w:r>
        <w:rPr>
          <w:spacing w:val="24"/>
        </w:rPr>
        <w:t xml:space="preserve"> </w:t>
      </w:r>
      <w:r>
        <w:t>pharmacokinetic</w:t>
      </w:r>
      <w:r>
        <w:rPr>
          <w:spacing w:val="25"/>
        </w:rPr>
        <w:t xml:space="preserve"> </w:t>
      </w:r>
      <w:r>
        <w:t>analysis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t>12.5</w:t>
      </w:r>
      <w:r>
        <w:rPr>
          <w:spacing w:val="26"/>
        </w:rPr>
        <w:t xml:space="preserve"> </w:t>
      </w:r>
      <w:r>
        <w:t>mL/h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RA</w:t>
      </w:r>
      <w:r>
        <w:rPr>
          <w:spacing w:val="24"/>
        </w:rPr>
        <w:t xml:space="preserve"> </w:t>
      </w:r>
      <w:r>
        <w:t>patients,</w:t>
      </w:r>
      <w:r>
        <w:rPr>
          <w:spacing w:val="25"/>
        </w:rPr>
        <w:t xml:space="preserve"> </w:t>
      </w:r>
      <w:r>
        <w:t>6.7</w:t>
      </w:r>
      <w:r>
        <w:rPr>
          <w:spacing w:val="25"/>
        </w:rPr>
        <w:t xml:space="preserve"> </w:t>
      </w:r>
      <w:r>
        <w:t>mL/h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GCA</w:t>
      </w:r>
    </w:p>
    <w:p w14:paraId="5C301469" w14:textId="77777777" w:rsidR="006C34D9" w:rsidRDefault="006C34D9">
      <w:pPr>
        <w:spacing w:line="244" w:lineRule="auto"/>
        <w:jc w:val="both"/>
        <w:sectPr w:rsidR="006C34D9">
          <w:type w:val="continuous"/>
          <w:pgSz w:w="11910" w:h="16840"/>
          <w:pgMar w:top="1420" w:right="780" w:bottom="780" w:left="780" w:header="0" w:footer="592" w:gutter="0"/>
          <w:cols w:space="720"/>
        </w:sectPr>
      </w:pPr>
    </w:p>
    <w:p w14:paraId="3B8BF51C" w14:textId="77777777" w:rsidR="006C34D9" w:rsidRDefault="00CB5041">
      <w:pPr>
        <w:pStyle w:val="BodyText"/>
        <w:spacing w:before="63" w:line="242" w:lineRule="auto"/>
        <w:ind w:right="656"/>
        <w:jc w:val="both"/>
      </w:pPr>
      <w:r>
        <w:lastRenderedPageBreak/>
        <w:t xml:space="preserve">patients, 5.8 mL/h in </w:t>
      </w:r>
      <w:proofErr w:type="spellStart"/>
      <w:r>
        <w:t>paediatric</w:t>
      </w:r>
      <w:proofErr w:type="spellEnd"/>
      <w:r>
        <w:t xml:space="preserve"> patients with </w:t>
      </w:r>
      <w:proofErr w:type="spellStart"/>
      <w:r>
        <w:t>pJIA</w:t>
      </w:r>
      <w:proofErr w:type="spellEnd"/>
      <w:r>
        <w:t xml:space="preserve"> and 5.7 mL/h in </w:t>
      </w:r>
      <w:proofErr w:type="spellStart"/>
      <w:r>
        <w:t>paediatric</w:t>
      </w:r>
      <w:proofErr w:type="spellEnd"/>
      <w:r>
        <w:t xml:space="preserve"> patients with</w:t>
      </w:r>
      <w:r>
        <w:rPr>
          <w:spacing w:val="1"/>
        </w:rPr>
        <w:t xml:space="preserve"> </w:t>
      </w:r>
      <w:proofErr w:type="spellStart"/>
      <w:r>
        <w:t>sJIA</w:t>
      </w:r>
      <w:proofErr w:type="spellEnd"/>
      <w:r>
        <w:t>. The concentration-dependent nonlinear clearance plays a major role at low Actemra</w:t>
      </w:r>
      <w:r>
        <w:rPr>
          <w:spacing w:val="1"/>
        </w:rPr>
        <w:t xml:space="preserve"> </w:t>
      </w:r>
      <w:r>
        <w:t>concentrations.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nonlinear</w:t>
      </w:r>
      <w:r>
        <w:rPr>
          <w:spacing w:val="1"/>
        </w:rPr>
        <w:t xml:space="preserve"> </w:t>
      </w:r>
      <w:r>
        <w:t>clearance</w:t>
      </w:r>
      <w:r>
        <w:rPr>
          <w:spacing w:val="1"/>
        </w:rPr>
        <w:t xml:space="preserve"> </w:t>
      </w:r>
      <w:r>
        <w:t>pathway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saturated,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Actemra</w:t>
      </w:r>
      <w:r>
        <w:rPr>
          <w:spacing w:val="1"/>
        </w:rPr>
        <w:t xml:space="preserve"> </w:t>
      </w:r>
      <w:r>
        <w:t>concentrations, clearance is mainly determined by the linear clearance. Due to dependence of</w:t>
      </w:r>
      <w:r>
        <w:rPr>
          <w:spacing w:val="1"/>
        </w:rPr>
        <w:t xml:space="preserve"> </w:t>
      </w:r>
      <w:r>
        <w:rPr>
          <w:position w:val="1"/>
        </w:rPr>
        <w:t>total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clearance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Actemra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serum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concentrations,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</w:t>
      </w:r>
      <w:r>
        <w:rPr>
          <w:sz w:val="16"/>
        </w:rPr>
        <w:t>1/2</w:t>
      </w:r>
      <w:r>
        <w:rPr>
          <w:spacing w:val="1"/>
          <w:sz w:val="16"/>
        </w:rPr>
        <w:t xml:space="preserve"> </w:t>
      </w:r>
      <w:r>
        <w:rPr>
          <w:position w:val="1"/>
        </w:rPr>
        <w:t>of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Actemra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also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concentration-</w:t>
      </w:r>
      <w:r>
        <w:rPr>
          <w:spacing w:val="-57"/>
          <w:position w:val="1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and can only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calculated at a given</w:t>
      </w:r>
      <w:r>
        <w:rPr>
          <w:spacing w:val="-3"/>
        </w:rPr>
        <w:t xml:space="preserve"> </w:t>
      </w:r>
      <w:r>
        <w:t>serum</w:t>
      </w:r>
      <w:r>
        <w:rPr>
          <w:spacing w:val="-2"/>
        </w:rPr>
        <w:t xml:space="preserve"> </w:t>
      </w:r>
      <w:r>
        <w:t>concentration level.</w:t>
      </w:r>
    </w:p>
    <w:p w14:paraId="0346FB68" w14:textId="77777777" w:rsidR="006C34D9" w:rsidRDefault="00CB5041">
      <w:pPr>
        <w:pStyle w:val="BodyText"/>
        <w:spacing w:before="177" w:line="242" w:lineRule="auto"/>
        <w:ind w:right="656"/>
        <w:jc w:val="both"/>
      </w:pPr>
      <w:r>
        <w:rPr>
          <w:position w:val="1"/>
        </w:rPr>
        <w:t>In RA patients, for intravenous administration, the concentration-dependent apparent t</w:t>
      </w:r>
      <w:r>
        <w:rPr>
          <w:sz w:val="16"/>
        </w:rPr>
        <w:t xml:space="preserve">1/2 </w:t>
      </w:r>
      <w:r>
        <w:rPr>
          <w:position w:val="1"/>
        </w:rPr>
        <w:t>is up</w:t>
      </w:r>
      <w:r>
        <w:rPr>
          <w:spacing w:val="-57"/>
          <w:position w:val="1"/>
        </w:rPr>
        <w:t xml:space="preserve"> </w:t>
      </w:r>
      <w:r>
        <w:t>to 11 days for 4 mg/kg and 13 days for 8 mg/kg every 4 weeks in patients with RA at steady-</w:t>
      </w:r>
      <w:r>
        <w:rPr>
          <w:spacing w:val="1"/>
        </w:rPr>
        <w:t xml:space="preserve"> </w:t>
      </w:r>
      <w:r>
        <w:t>state. For subcutaneous administration, the concentration-dependent apparent t1/2 is up to 13</w:t>
      </w:r>
      <w:r>
        <w:rPr>
          <w:spacing w:val="1"/>
        </w:rPr>
        <w:t xml:space="preserve"> </w:t>
      </w:r>
      <w:r>
        <w:t>days for 162 mg every week and 5 days for 162 mg every other week in patients with RA at</w:t>
      </w:r>
      <w:r>
        <w:rPr>
          <w:spacing w:val="1"/>
        </w:rPr>
        <w:t xml:space="preserve"> </w:t>
      </w:r>
      <w:r>
        <w:t>steady-state. At high serum concentrations, when total clearance of Actemra is dominated by</w:t>
      </w:r>
      <w:r>
        <w:rPr>
          <w:spacing w:val="1"/>
        </w:rPr>
        <w:t xml:space="preserve"> </w:t>
      </w:r>
      <w:r>
        <w:t>linear clearance, a terminal t1/2 of approximately 21.5 days was derived from the population</w:t>
      </w:r>
      <w:r>
        <w:rPr>
          <w:spacing w:val="1"/>
        </w:rPr>
        <w:t xml:space="preserve"> </w:t>
      </w:r>
      <w:r>
        <w:t>parameter</w:t>
      </w:r>
      <w:r>
        <w:rPr>
          <w:spacing w:val="-1"/>
        </w:rPr>
        <w:t xml:space="preserve"> </w:t>
      </w:r>
      <w:r>
        <w:t>estimates.</w:t>
      </w:r>
    </w:p>
    <w:p w14:paraId="55277C27" w14:textId="77777777" w:rsidR="006C34D9" w:rsidRDefault="00CB5041">
      <w:pPr>
        <w:pStyle w:val="BodyText"/>
        <w:spacing w:before="179" w:line="242" w:lineRule="auto"/>
        <w:ind w:right="657"/>
        <w:jc w:val="both"/>
      </w:pPr>
      <w:r>
        <w:rPr>
          <w:position w:val="1"/>
        </w:rPr>
        <w:t>In GCA patients, at steady state, the effective t</w:t>
      </w:r>
      <w:r>
        <w:rPr>
          <w:sz w:val="16"/>
        </w:rPr>
        <w:t>1/2</w:t>
      </w:r>
      <w:r>
        <w:rPr>
          <w:spacing w:val="1"/>
          <w:sz w:val="16"/>
        </w:rPr>
        <w:t xml:space="preserve"> </w:t>
      </w:r>
      <w:r>
        <w:rPr>
          <w:position w:val="1"/>
        </w:rPr>
        <w:t>of Actemra varied between 18.3 and 18.9</w:t>
      </w:r>
      <w:r>
        <w:rPr>
          <w:spacing w:val="1"/>
          <w:position w:val="1"/>
        </w:rPr>
        <w:t xml:space="preserve"> </w:t>
      </w:r>
      <w:r>
        <w:t>days for 162 mg weekly regimen, and between 4.2 and 7.9 days for 162 mg every other week</w:t>
      </w:r>
      <w:r>
        <w:rPr>
          <w:spacing w:val="1"/>
        </w:rPr>
        <w:t xml:space="preserve"> </w:t>
      </w:r>
      <w:r>
        <w:t>regimen.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high</w:t>
      </w:r>
      <w:r>
        <w:rPr>
          <w:spacing w:val="-13"/>
        </w:rPr>
        <w:t xml:space="preserve"> </w:t>
      </w:r>
      <w:r>
        <w:t>serum</w:t>
      </w:r>
      <w:r>
        <w:rPr>
          <w:spacing w:val="-15"/>
        </w:rPr>
        <w:t xml:space="preserve"> </w:t>
      </w:r>
      <w:r>
        <w:t>concentrations,</w:t>
      </w:r>
      <w:r>
        <w:rPr>
          <w:spacing w:val="-13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clearance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Actemra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dominated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linear</w:t>
      </w:r>
      <w:r>
        <w:rPr>
          <w:spacing w:val="-58"/>
        </w:rPr>
        <w:t xml:space="preserve"> </w:t>
      </w:r>
      <w:r>
        <w:rPr>
          <w:spacing w:val="-1"/>
          <w:position w:val="1"/>
        </w:rPr>
        <w:t>clearance,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effective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t</w:t>
      </w:r>
      <w:r>
        <w:rPr>
          <w:sz w:val="16"/>
        </w:rPr>
        <w:t>1/2</w:t>
      </w:r>
      <w:r>
        <w:rPr>
          <w:spacing w:val="18"/>
          <w:sz w:val="16"/>
        </w:rPr>
        <w:t xml:space="preserve"> </w:t>
      </w:r>
      <w:r>
        <w:rPr>
          <w:position w:val="1"/>
        </w:rPr>
        <w:t>of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approximately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32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days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derived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population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parameter</w:t>
      </w:r>
      <w:r>
        <w:rPr>
          <w:spacing w:val="-58"/>
          <w:position w:val="1"/>
        </w:rPr>
        <w:t xml:space="preserve"> </w:t>
      </w:r>
      <w:r>
        <w:t>estimates.</w:t>
      </w:r>
    </w:p>
    <w:p w14:paraId="66D2C6EC" w14:textId="77777777" w:rsidR="006C34D9" w:rsidRDefault="00CB5041">
      <w:pPr>
        <w:pStyle w:val="BodyText"/>
        <w:spacing w:before="177" w:line="242" w:lineRule="auto"/>
        <w:ind w:right="657"/>
        <w:jc w:val="both"/>
      </w:pPr>
      <w:r>
        <w:t>In adult patients with COVID-19, serum concentrations were below the limit of quantification</w:t>
      </w:r>
      <w:r>
        <w:rPr>
          <w:spacing w:val="-58"/>
        </w:rPr>
        <w:t xml:space="preserve"> </w:t>
      </w:r>
      <w:r>
        <w:t>after 35 days on average following one infusion of Actemra IV 8 mg/kg. The average linear</w:t>
      </w:r>
      <w:r>
        <w:rPr>
          <w:spacing w:val="1"/>
        </w:rPr>
        <w:t xml:space="preserve"> </w:t>
      </w:r>
      <w:r>
        <w:t>clearance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population</w:t>
      </w:r>
      <w:r>
        <w:rPr>
          <w:spacing w:val="-11"/>
        </w:rPr>
        <w:t xml:space="preserve"> </w:t>
      </w:r>
      <w:r>
        <w:t>pharmacokinetic</w:t>
      </w:r>
      <w:r>
        <w:rPr>
          <w:spacing w:val="-11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estimated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17.6</w:t>
      </w:r>
      <w:r>
        <w:rPr>
          <w:spacing w:val="-10"/>
        </w:rPr>
        <w:t xml:space="preserve"> </w:t>
      </w:r>
      <w:r>
        <w:t>mL/h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patients</w:t>
      </w:r>
      <w:r>
        <w:rPr>
          <w:spacing w:val="-58"/>
        </w:rPr>
        <w:t xml:space="preserve"> </w:t>
      </w:r>
      <w:r>
        <w:t>with baseline ordinal scale category 3 (OS 3, patients requiring supplemental oxygen), 22.5</w:t>
      </w:r>
      <w:r>
        <w:rPr>
          <w:spacing w:val="1"/>
        </w:rPr>
        <w:t xml:space="preserve"> </w:t>
      </w:r>
      <w:r>
        <w:t>mL/h in patients with baseline OS 4 (patients requiring high-flow oxygen or non-invasive</w:t>
      </w:r>
      <w:r>
        <w:rPr>
          <w:spacing w:val="1"/>
        </w:rPr>
        <w:t xml:space="preserve"> </w:t>
      </w:r>
      <w:r>
        <w:rPr>
          <w:spacing w:val="-1"/>
        </w:rPr>
        <w:t>ventilation),</w:t>
      </w:r>
      <w:r>
        <w:rPr>
          <w:spacing w:val="-15"/>
        </w:rPr>
        <w:t xml:space="preserve"> </w:t>
      </w:r>
      <w:r>
        <w:rPr>
          <w:spacing w:val="-1"/>
        </w:rPr>
        <w:t>29</w:t>
      </w:r>
      <w:r>
        <w:rPr>
          <w:spacing w:val="-12"/>
        </w:rPr>
        <w:t xml:space="preserve"> </w:t>
      </w:r>
      <w:r>
        <w:rPr>
          <w:spacing w:val="-1"/>
        </w:rPr>
        <w:t>mL/h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baseline</w:t>
      </w:r>
      <w:r>
        <w:rPr>
          <w:spacing w:val="-13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(patients</w:t>
      </w:r>
      <w:r>
        <w:rPr>
          <w:spacing w:val="-15"/>
        </w:rPr>
        <w:t xml:space="preserve"> </w:t>
      </w:r>
      <w:r>
        <w:t>requiring</w:t>
      </w:r>
      <w:r>
        <w:rPr>
          <w:spacing w:val="-14"/>
        </w:rPr>
        <w:t xml:space="preserve"> </w:t>
      </w:r>
      <w:r>
        <w:t>mechanical</w:t>
      </w:r>
      <w:r>
        <w:rPr>
          <w:spacing w:val="-13"/>
        </w:rPr>
        <w:t xml:space="preserve"> </w:t>
      </w:r>
      <w:r>
        <w:t>ventilation),</w:t>
      </w:r>
      <w:r>
        <w:rPr>
          <w:spacing w:val="-57"/>
        </w:rPr>
        <w:t xml:space="preserve"> </w:t>
      </w:r>
      <w:r>
        <w:t>and 35.4 mL/h in patients with baseline OS 6 (patients requiring extracorporeal membrane</w:t>
      </w:r>
      <w:r>
        <w:rPr>
          <w:spacing w:val="1"/>
        </w:rPr>
        <w:t xml:space="preserve"> </w:t>
      </w:r>
      <w:r>
        <w:t>oxygenation</w:t>
      </w:r>
      <w:r>
        <w:rPr>
          <w:spacing w:val="-3"/>
        </w:rPr>
        <w:t xml:space="preserve"> </w:t>
      </w:r>
      <w:r>
        <w:t>(ECMO) or mechanical</w:t>
      </w:r>
      <w:r>
        <w:rPr>
          <w:spacing w:val="-1"/>
        </w:rPr>
        <w:t xml:space="preserve"> </w:t>
      </w:r>
      <w:r>
        <w:t>ventilation and</w:t>
      </w:r>
      <w:r>
        <w:rPr>
          <w:spacing w:val="-1"/>
        </w:rPr>
        <w:t xml:space="preserve"> </w:t>
      </w:r>
      <w:r>
        <w:t>additional organ support).</w:t>
      </w:r>
    </w:p>
    <w:p w14:paraId="3F264C03" w14:textId="77777777" w:rsidR="006C34D9" w:rsidRDefault="00CB5041">
      <w:pPr>
        <w:pStyle w:val="BodyText"/>
        <w:spacing w:before="179" w:line="244" w:lineRule="auto"/>
        <w:ind w:left="659" w:right="657"/>
        <w:jc w:val="both"/>
      </w:pPr>
      <w:r>
        <w:rPr>
          <w:position w:val="1"/>
        </w:rPr>
        <w:t xml:space="preserve">In children with </w:t>
      </w:r>
      <w:proofErr w:type="spellStart"/>
      <w:r>
        <w:rPr>
          <w:position w:val="1"/>
        </w:rPr>
        <w:t>pJIA</w:t>
      </w:r>
      <w:proofErr w:type="spellEnd"/>
      <w:r>
        <w:rPr>
          <w:position w:val="1"/>
        </w:rPr>
        <w:t>, the effective t</w:t>
      </w:r>
      <w:r>
        <w:rPr>
          <w:sz w:val="16"/>
        </w:rPr>
        <w:t>1/2</w:t>
      </w:r>
      <w:r>
        <w:rPr>
          <w:spacing w:val="1"/>
          <w:sz w:val="16"/>
        </w:rPr>
        <w:t xml:space="preserve"> </w:t>
      </w:r>
      <w:r>
        <w:rPr>
          <w:position w:val="1"/>
        </w:rPr>
        <w:t xml:space="preserve">of Actemra in children with </w:t>
      </w:r>
      <w:proofErr w:type="spellStart"/>
      <w:r>
        <w:rPr>
          <w:position w:val="1"/>
        </w:rPr>
        <w:t>pJIA</w:t>
      </w:r>
      <w:proofErr w:type="spellEnd"/>
      <w:r>
        <w:rPr>
          <w:position w:val="1"/>
        </w:rPr>
        <w:t xml:space="preserve"> is up to 17 days for</w:t>
      </w:r>
      <w:r>
        <w:rPr>
          <w:spacing w:val="1"/>
          <w:position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body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t>categories</w:t>
      </w:r>
      <w:r>
        <w:rPr>
          <w:spacing w:val="-8"/>
        </w:rPr>
        <w:t xml:space="preserve"> </w:t>
      </w:r>
      <w:r>
        <w:t>(8</w:t>
      </w:r>
      <w:r>
        <w:rPr>
          <w:spacing w:val="-9"/>
        </w:rPr>
        <w:t xml:space="preserve"> </w:t>
      </w:r>
      <w:r>
        <w:t>mg/kg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body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t>≥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kg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mg/kg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body</w:t>
      </w:r>
      <w:r>
        <w:rPr>
          <w:spacing w:val="-7"/>
        </w:rPr>
        <w:t xml:space="preserve"> </w:t>
      </w:r>
      <w:r>
        <w:t>weight</w:t>
      </w:r>
    </w:p>
    <w:p w14:paraId="3B3EE7BB" w14:textId="77777777" w:rsidR="006C34D9" w:rsidRDefault="00CB5041">
      <w:pPr>
        <w:pStyle w:val="BodyText"/>
        <w:spacing w:line="242" w:lineRule="auto"/>
        <w:ind w:left="659" w:right="657"/>
        <w:jc w:val="both"/>
      </w:pPr>
      <w:r>
        <w:t>&lt; 30 kg) during a dosing interval at steady state. After subcutaneous administration, the</w:t>
      </w:r>
      <w:r>
        <w:rPr>
          <w:spacing w:val="1"/>
        </w:rPr>
        <w:t xml:space="preserve"> </w:t>
      </w:r>
      <w:r>
        <w:rPr>
          <w:position w:val="1"/>
        </w:rPr>
        <w:t>estimated effective t</w:t>
      </w:r>
      <w:r>
        <w:rPr>
          <w:sz w:val="16"/>
        </w:rPr>
        <w:t xml:space="preserve">1/2 </w:t>
      </w:r>
      <w:r>
        <w:rPr>
          <w:position w:val="1"/>
        </w:rPr>
        <w:t xml:space="preserve">of Actemra in </w:t>
      </w:r>
      <w:proofErr w:type="spellStart"/>
      <w:r>
        <w:rPr>
          <w:position w:val="1"/>
        </w:rPr>
        <w:t>pJIA</w:t>
      </w:r>
      <w:proofErr w:type="spellEnd"/>
      <w:r>
        <w:rPr>
          <w:position w:val="1"/>
        </w:rPr>
        <w:t xml:space="preserve"> patients is up to 10 days for the two body weight</w:t>
      </w:r>
      <w:r>
        <w:rPr>
          <w:spacing w:val="1"/>
          <w:position w:val="1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(Q2W</w:t>
      </w:r>
      <w:r>
        <w:rPr>
          <w:spacing w:val="-7"/>
        </w:rPr>
        <w:t xml:space="preserve"> </w:t>
      </w:r>
      <w:r>
        <w:t>regimen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weight</w:t>
      </w:r>
      <w:r>
        <w:rPr>
          <w:spacing w:val="-5"/>
        </w:rPr>
        <w:t xml:space="preserve"> </w:t>
      </w:r>
      <w:r>
        <w:t>≥</w:t>
      </w:r>
      <w:r>
        <w:rPr>
          <w:spacing w:val="-5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kg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Q3W</w:t>
      </w:r>
      <w:r>
        <w:rPr>
          <w:spacing w:val="-7"/>
        </w:rPr>
        <w:t xml:space="preserve"> </w:t>
      </w:r>
      <w:r>
        <w:t>regimen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30</w:t>
      </w:r>
      <w:r>
        <w:rPr>
          <w:spacing w:val="-58"/>
        </w:rPr>
        <w:t xml:space="preserve"> </w:t>
      </w:r>
      <w:r>
        <w:t>kg)</w:t>
      </w:r>
      <w:r>
        <w:rPr>
          <w:spacing w:val="-1"/>
        </w:rPr>
        <w:t xml:space="preserve"> </w:t>
      </w:r>
      <w:r>
        <w:t>during a</w:t>
      </w:r>
      <w:r>
        <w:rPr>
          <w:spacing w:val="-1"/>
        </w:rPr>
        <w:t xml:space="preserve"> </w:t>
      </w:r>
      <w:r>
        <w:t>dosing interval at</w:t>
      </w:r>
      <w:r>
        <w:rPr>
          <w:spacing w:val="-1"/>
        </w:rPr>
        <w:t xml:space="preserve"> </w:t>
      </w:r>
      <w:r>
        <w:t>steady</w:t>
      </w:r>
      <w:r>
        <w:rPr>
          <w:spacing w:val="-2"/>
        </w:rPr>
        <w:t xml:space="preserve"> </w:t>
      </w:r>
      <w:r>
        <w:t>state.</w:t>
      </w:r>
    </w:p>
    <w:p w14:paraId="774CC633" w14:textId="77777777" w:rsidR="006C34D9" w:rsidRDefault="00CB5041">
      <w:pPr>
        <w:pStyle w:val="BodyText"/>
        <w:spacing w:before="172" w:line="244" w:lineRule="auto"/>
        <w:ind w:right="658"/>
        <w:jc w:val="both"/>
      </w:pPr>
      <w:r>
        <w:rPr>
          <w:position w:val="1"/>
        </w:rPr>
        <w:t xml:space="preserve">In children with </w:t>
      </w:r>
      <w:proofErr w:type="spellStart"/>
      <w:r>
        <w:rPr>
          <w:position w:val="1"/>
        </w:rPr>
        <w:t>sJIA</w:t>
      </w:r>
      <w:proofErr w:type="spellEnd"/>
      <w:r>
        <w:rPr>
          <w:position w:val="1"/>
        </w:rPr>
        <w:t>, the effective t</w:t>
      </w:r>
      <w:r>
        <w:rPr>
          <w:sz w:val="16"/>
        </w:rPr>
        <w:t xml:space="preserve">1/2 </w:t>
      </w:r>
      <w:r>
        <w:rPr>
          <w:position w:val="1"/>
        </w:rPr>
        <w:t>of IV Actemra is up to 16 days for both the 12 mg/kg</w:t>
      </w:r>
      <w:r>
        <w:rPr>
          <w:spacing w:val="1"/>
          <w:position w:val="1"/>
        </w:rPr>
        <w:t xml:space="preserve"> </w:t>
      </w:r>
      <w:r>
        <w:t xml:space="preserve">and 8 mg/kg Q2W regimens during a dosing interval at </w:t>
      </w:r>
      <w:proofErr w:type="gramStart"/>
      <w:r>
        <w:t>steady-state</w:t>
      </w:r>
      <w:proofErr w:type="gramEnd"/>
      <w:r>
        <w:t>.</w:t>
      </w:r>
      <w:r>
        <w:rPr>
          <w:spacing w:val="1"/>
        </w:rPr>
        <w:t xml:space="preserve"> </w:t>
      </w:r>
      <w:r>
        <w:t>Following subcutaneous</w:t>
      </w:r>
      <w:r>
        <w:rPr>
          <w:spacing w:val="-57"/>
        </w:rPr>
        <w:t xml:space="preserve"> </w:t>
      </w:r>
      <w:r>
        <w:rPr>
          <w:position w:val="1"/>
        </w:rPr>
        <w:t>administration, the effective t</w:t>
      </w:r>
      <w:r>
        <w:rPr>
          <w:sz w:val="16"/>
        </w:rPr>
        <w:t xml:space="preserve">1/2 </w:t>
      </w:r>
      <w:r>
        <w:rPr>
          <w:position w:val="1"/>
        </w:rPr>
        <w:t xml:space="preserve">of Actemra in </w:t>
      </w:r>
      <w:proofErr w:type="spellStart"/>
      <w:r>
        <w:rPr>
          <w:position w:val="1"/>
        </w:rPr>
        <w:t>sJIA</w:t>
      </w:r>
      <w:proofErr w:type="spellEnd"/>
      <w:r>
        <w:rPr>
          <w:position w:val="1"/>
        </w:rPr>
        <w:t xml:space="preserve"> patients is up to 14 days for both the 162</w:t>
      </w:r>
      <w:r>
        <w:rPr>
          <w:spacing w:val="1"/>
          <w:position w:val="1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QW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Q2W</w:t>
      </w:r>
      <w:r>
        <w:rPr>
          <w:spacing w:val="-3"/>
        </w:rPr>
        <w:t xml:space="preserve"> </w:t>
      </w:r>
      <w:r>
        <w:t>regimens during a</w:t>
      </w:r>
      <w:r>
        <w:rPr>
          <w:spacing w:val="-1"/>
        </w:rPr>
        <w:t xml:space="preserve"> </w:t>
      </w:r>
      <w:r>
        <w:t>dosing interval at</w:t>
      </w:r>
      <w:r>
        <w:rPr>
          <w:spacing w:val="-1"/>
        </w:rPr>
        <w:t xml:space="preserve"> </w:t>
      </w:r>
      <w:r>
        <w:t>steady</w:t>
      </w:r>
      <w:r>
        <w:rPr>
          <w:spacing w:val="-3"/>
        </w:rPr>
        <w:t xml:space="preserve"> </w:t>
      </w:r>
      <w:r>
        <w:t>state.</w:t>
      </w:r>
    </w:p>
    <w:p w14:paraId="575C877D" w14:textId="77777777" w:rsidR="006C34D9" w:rsidRDefault="00CB5041">
      <w:pPr>
        <w:pStyle w:val="Heading2"/>
        <w:spacing w:before="194"/>
        <w:jc w:val="left"/>
      </w:pPr>
      <w:bookmarkStart w:id="128" w:name="Pharmacokinetics_in_Special_Populations"/>
      <w:bookmarkEnd w:id="128"/>
      <w:r>
        <w:t>Pharmacokinetics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Populations</w:t>
      </w:r>
    </w:p>
    <w:p w14:paraId="13C6B515" w14:textId="77777777" w:rsidR="006C34D9" w:rsidRDefault="00CB5041">
      <w:pPr>
        <w:pStyle w:val="BodyText"/>
        <w:spacing w:before="33"/>
      </w:pPr>
      <w:bookmarkStart w:id="129" w:name="Hepatic_Impairment"/>
      <w:bookmarkEnd w:id="129"/>
      <w:r>
        <w:rPr>
          <w:u w:val="single"/>
        </w:rPr>
        <w:t>Hepatic</w:t>
      </w:r>
      <w:r>
        <w:rPr>
          <w:spacing w:val="-6"/>
          <w:u w:val="single"/>
        </w:rPr>
        <w:t xml:space="preserve"> </w:t>
      </w:r>
      <w:r>
        <w:rPr>
          <w:u w:val="single"/>
        </w:rPr>
        <w:t>Impairment</w:t>
      </w:r>
    </w:p>
    <w:p w14:paraId="491DA4F8" w14:textId="77777777" w:rsidR="006C34D9" w:rsidRDefault="00CB5041">
      <w:pPr>
        <w:pStyle w:val="BodyText"/>
        <w:rPr>
          <w:i/>
        </w:rPr>
      </w:pPr>
      <w:r>
        <w:t>No</w:t>
      </w:r>
      <w:r>
        <w:rPr>
          <w:spacing w:val="2"/>
        </w:rPr>
        <w:t xml:space="preserve"> </w:t>
      </w:r>
      <w:r>
        <w:t>formal</w:t>
      </w:r>
      <w:r>
        <w:rPr>
          <w:spacing w:val="4"/>
        </w:rPr>
        <w:t xml:space="preserve"> </w:t>
      </w:r>
      <w:r>
        <w:t>study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effect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hepatic</w:t>
      </w:r>
      <w:r>
        <w:rPr>
          <w:spacing w:val="3"/>
        </w:rPr>
        <w:t xml:space="preserve"> </w:t>
      </w:r>
      <w:r>
        <w:t>impairment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pharmacokinetics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Actemra</w:t>
      </w:r>
      <w:r>
        <w:rPr>
          <w:spacing w:val="4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conducted</w:t>
      </w:r>
      <w:r>
        <w:rPr>
          <w:i/>
        </w:rPr>
        <w:t>.</w:t>
      </w:r>
    </w:p>
    <w:p w14:paraId="114E9CBB" w14:textId="77777777" w:rsidR="006C34D9" w:rsidRDefault="00CB5041">
      <w:pPr>
        <w:pStyle w:val="BodyText"/>
        <w:spacing w:before="199"/>
      </w:pPr>
      <w:bookmarkStart w:id="130" w:name="Renal_Impairment"/>
      <w:bookmarkEnd w:id="130"/>
      <w:r>
        <w:rPr>
          <w:u w:val="single"/>
        </w:rPr>
        <w:t>Renal</w:t>
      </w:r>
      <w:r>
        <w:rPr>
          <w:spacing w:val="-5"/>
          <w:u w:val="single"/>
        </w:rPr>
        <w:t xml:space="preserve"> </w:t>
      </w:r>
      <w:r>
        <w:rPr>
          <w:u w:val="single"/>
        </w:rPr>
        <w:t>Impairment</w:t>
      </w:r>
    </w:p>
    <w:p w14:paraId="0FDF7539" w14:textId="77777777" w:rsidR="006C34D9" w:rsidRDefault="00CB5041">
      <w:pPr>
        <w:pStyle w:val="BodyText"/>
      </w:pPr>
      <w:r>
        <w:t>No</w:t>
      </w:r>
      <w:r>
        <w:rPr>
          <w:spacing w:val="18"/>
        </w:rPr>
        <w:t xml:space="preserve"> </w:t>
      </w:r>
      <w:r>
        <w:t>formal</w:t>
      </w:r>
      <w:r>
        <w:rPr>
          <w:spacing w:val="19"/>
        </w:rPr>
        <w:t xml:space="preserve"> </w:t>
      </w:r>
      <w:r>
        <w:t>study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effect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renal</w:t>
      </w:r>
      <w:r>
        <w:rPr>
          <w:spacing w:val="18"/>
        </w:rPr>
        <w:t xml:space="preserve"> </w:t>
      </w:r>
      <w:r>
        <w:t>impairment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pharmacokinetics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Actemra</w:t>
      </w:r>
      <w:r>
        <w:rPr>
          <w:spacing w:val="19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conducted.</w:t>
      </w:r>
    </w:p>
    <w:p w14:paraId="0AA0C388" w14:textId="77777777" w:rsidR="006C34D9" w:rsidRDefault="006C34D9">
      <w:pPr>
        <w:sectPr w:rsidR="006C34D9">
          <w:pgSz w:w="11910" w:h="16840"/>
          <w:pgMar w:top="1360" w:right="780" w:bottom="780" w:left="780" w:header="0" w:footer="592" w:gutter="0"/>
          <w:cols w:space="720"/>
        </w:sectPr>
      </w:pPr>
    </w:p>
    <w:p w14:paraId="5479F83F" w14:textId="77777777" w:rsidR="006C34D9" w:rsidRDefault="00CB5041">
      <w:pPr>
        <w:pStyle w:val="BodyText"/>
        <w:spacing w:before="79"/>
        <w:ind w:right="656"/>
        <w:jc w:val="both"/>
      </w:pPr>
      <w:r>
        <w:lastRenderedPageBreak/>
        <w:t>Most of the patients in the RA and GCA studies in the population pharmacokinetic analysis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renal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mild</w:t>
      </w:r>
      <w:r>
        <w:rPr>
          <w:spacing w:val="1"/>
        </w:rPr>
        <w:t xml:space="preserve"> </w:t>
      </w:r>
      <w:r>
        <w:t>renal</w:t>
      </w:r>
      <w:r>
        <w:rPr>
          <w:spacing w:val="1"/>
        </w:rPr>
        <w:t xml:space="preserve"> </w:t>
      </w:r>
      <w:r>
        <w:t>impairment.</w:t>
      </w:r>
      <w:r>
        <w:rPr>
          <w:spacing w:val="1"/>
        </w:rPr>
        <w:t xml:space="preserve"> </w:t>
      </w:r>
      <w:r>
        <w:t>Mild</w:t>
      </w:r>
      <w:r>
        <w:rPr>
          <w:spacing w:val="1"/>
        </w:rPr>
        <w:t xml:space="preserve"> </w:t>
      </w:r>
      <w:r>
        <w:t>renal</w:t>
      </w:r>
      <w:r>
        <w:rPr>
          <w:spacing w:val="1"/>
        </w:rPr>
        <w:t xml:space="preserve"> </w:t>
      </w:r>
      <w:r>
        <w:t>impairment</w:t>
      </w:r>
      <w:r>
        <w:rPr>
          <w:spacing w:val="1"/>
        </w:rPr>
        <w:t xml:space="preserve"> </w:t>
      </w:r>
      <w:r>
        <w:t>(estimated</w:t>
      </w:r>
      <w:r>
        <w:rPr>
          <w:spacing w:val="1"/>
        </w:rPr>
        <w:t xml:space="preserve"> </w:t>
      </w:r>
      <w:r>
        <w:t>creatinine clearance based on Cockcroft-Gault formula) did not impact the pharmacokinetics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Actemra.</w:t>
      </w:r>
      <w:r>
        <w:rPr>
          <w:spacing w:val="-14"/>
        </w:rPr>
        <w:t xml:space="preserve"> </w:t>
      </w:r>
      <w:r>
        <w:rPr>
          <w:spacing w:val="-1"/>
        </w:rPr>
        <w:t>Actemra</w:t>
      </w:r>
      <w:r>
        <w:rPr>
          <w:spacing w:val="-15"/>
        </w:rPr>
        <w:t xml:space="preserve"> </w:t>
      </w:r>
      <w:r>
        <w:rPr>
          <w:spacing w:val="-1"/>
        </w:rPr>
        <w:t>has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studied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moderate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severe</w:t>
      </w:r>
      <w:r>
        <w:rPr>
          <w:spacing w:val="-15"/>
        </w:rPr>
        <w:t xml:space="preserve"> </w:t>
      </w:r>
      <w:r>
        <w:t>renal</w:t>
      </w:r>
      <w:r>
        <w:rPr>
          <w:spacing w:val="-14"/>
        </w:rPr>
        <w:t xml:space="preserve"> </w:t>
      </w:r>
      <w:r>
        <w:t>impairment.</w:t>
      </w:r>
      <w:r>
        <w:rPr>
          <w:spacing w:val="-57"/>
        </w:rPr>
        <w:t xml:space="preserve"> </w:t>
      </w:r>
      <w:r>
        <w:t>(see</w:t>
      </w:r>
      <w:r>
        <w:rPr>
          <w:spacing w:val="-12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5.1</w:t>
      </w:r>
      <w:r>
        <w:rPr>
          <w:spacing w:val="-11"/>
        </w:rPr>
        <w:t xml:space="preserve"> </w:t>
      </w:r>
      <w:r>
        <w:t>Pharmacodynamic</w:t>
      </w:r>
      <w:r>
        <w:rPr>
          <w:spacing w:val="-11"/>
        </w:rPr>
        <w:t xml:space="preserve"> </w:t>
      </w:r>
      <w:r>
        <w:t>Properties,</w:t>
      </w:r>
      <w:r>
        <w:rPr>
          <w:spacing w:val="-11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Trials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4.2</w:t>
      </w:r>
      <w:r>
        <w:rPr>
          <w:spacing w:val="-11"/>
        </w:rPr>
        <w:t xml:space="preserve"> </w:t>
      </w:r>
      <w:r>
        <w:t>Dose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Method</w:t>
      </w:r>
      <w:r>
        <w:rPr>
          <w:spacing w:val="-5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Administration).</w:t>
      </w:r>
    </w:p>
    <w:p w14:paraId="6635596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27B4DB48" w14:textId="77777777" w:rsidR="006C34D9" w:rsidRDefault="00CB5041">
      <w:pPr>
        <w:pStyle w:val="BodyText"/>
        <w:ind w:right="657"/>
        <w:jc w:val="both"/>
      </w:pPr>
      <w:r>
        <w:t>Approximately</w:t>
      </w:r>
      <w:r>
        <w:rPr>
          <w:spacing w:val="1"/>
        </w:rPr>
        <w:t xml:space="preserve"> </w:t>
      </w:r>
      <w:r>
        <w:t>one-third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(</w:t>
      </w:r>
      <w:proofErr w:type="spellStart"/>
      <w:r>
        <w:t>GiACTA</w:t>
      </w:r>
      <w:proofErr w:type="spellEnd"/>
      <w:r>
        <w:t>)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moderate</w:t>
      </w:r>
      <w:r>
        <w:rPr>
          <w:spacing w:val="1"/>
        </w:rPr>
        <w:t xml:space="preserve"> </w:t>
      </w:r>
      <w:r>
        <w:t>renal</w:t>
      </w:r>
      <w:r>
        <w:rPr>
          <w:spacing w:val="-57"/>
        </w:rPr>
        <w:t xml:space="preserve"> </w:t>
      </w:r>
      <w:r>
        <w:t>impairment at baseline (estimated creatinine clearance of 30-59 mL/min). No impact on</w:t>
      </w:r>
      <w:r>
        <w:rPr>
          <w:spacing w:val="1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exposure was</w:t>
      </w:r>
      <w:r>
        <w:rPr>
          <w:spacing w:val="-1"/>
        </w:rPr>
        <w:t xml:space="preserve"> </w:t>
      </w:r>
      <w:r>
        <w:t>noted in</w:t>
      </w:r>
      <w:r>
        <w:rPr>
          <w:spacing w:val="-2"/>
        </w:rPr>
        <w:t xml:space="preserve"> </w:t>
      </w:r>
      <w:r>
        <w:t>these patients.</w:t>
      </w:r>
    </w:p>
    <w:p w14:paraId="604D1878" w14:textId="77777777" w:rsidR="006C34D9" w:rsidRDefault="00CB5041">
      <w:pPr>
        <w:pStyle w:val="BodyText"/>
        <w:spacing w:before="46" w:line="470" w:lineRule="atLeast"/>
        <w:ind w:right="1680"/>
        <w:jc w:val="both"/>
      </w:pPr>
      <w:r>
        <w:t>No dose adjustment is required in patients with mild or moderate renal impairment.</w:t>
      </w:r>
      <w:r>
        <w:rPr>
          <w:spacing w:val="-57"/>
        </w:rPr>
        <w:t xml:space="preserve"> </w:t>
      </w:r>
      <w:bookmarkStart w:id="131" w:name="Other_special_populations"/>
      <w:bookmarkEnd w:id="131"/>
      <w:r>
        <w:rPr>
          <w:u w:val="single"/>
        </w:rPr>
        <w:t>Other</w:t>
      </w:r>
      <w:r>
        <w:rPr>
          <w:spacing w:val="-1"/>
          <w:u w:val="single"/>
        </w:rPr>
        <w:t xml:space="preserve"> </w:t>
      </w:r>
      <w:r>
        <w:rPr>
          <w:u w:val="single"/>
        </w:rPr>
        <w:t>special populations</w:t>
      </w:r>
    </w:p>
    <w:p w14:paraId="08B0A018" w14:textId="77777777" w:rsidR="006C34D9" w:rsidRDefault="00CB5041">
      <w:pPr>
        <w:pStyle w:val="BodyText"/>
        <w:spacing w:before="6"/>
        <w:ind w:left="659" w:right="657"/>
        <w:jc w:val="both"/>
      </w:pPr>
      <w:r>
        <w:t xml:space="preserve">Population pharmacokinetics in adult RA, GCA and COVID-19 patients showed that age, </w:t>
      </w:r>
      <w:proofErr w:type="gramStart"/>
      <w:r>
        <w:t>sex</w:t>
      </w:r>
      <w:proofErr w:type="gramEnd"/>
      <w:r>
        <w:rPr>
          <w:spacing w:val="-57"/>
        </w:rPr>
        <w:t xml:space="preserve"> </w:t>
      </w:r>
      <w:r>
        <w:t>and race did not affect the pharmacokinetics of Actemra. No dose adjustment is necessary for</w:t>
      </w:r>
      <w:r>
        <w:rPr>
          <w:spacing w:val="-57"/>
        </w:rPr>
        <w:t xml:space="preserve"> </w:t>
      </w:r>
      <w:bookmarkStart w:id="132" w:name="5.3_PRECLINICAL_SAFETY_DATA"/>
      <w:bookmarkEnd w:id="132"/>
      <w:r>
        <w:t>these</w:t>
      </w:r>
      <w:r>
        <w:rPr>
          <w:spacing w:val="-1"/>
        </w:rPr>
        <w:t xml:space="preserve"> </w:t>
      </w:r>
      <w:r>
        <w:t>demographic factors.</w:t>
      </w:r>
    </w:p>
    <w:p w14:paraId="7AFA6CCA" w14:textId="77777777" w:rsidR="006C34D9" w:rsidRDefault="00CB5041">
      <w:pPr>
        <w:pStyle w:val="Heading2"/>
        <w:tabs>
          <w:tab w:val="left" w:pos="1445"/>
        </w:tabs>
        <w:spacing w:before="203"/>
        <w:ind w:left="659" w:right="5473"/>
        <w:jc w:val="left"/>
      </w:pPr>
      <w:bookmarkStart w:id="133" w:name="Genotoxicity"/>
      <w:bookmarkEnd w:id="133"/>
      <w:r>
        <w:t>5.3</w:t>
      </w:r>
      <w:r>
        <w:tab/>
        <w:t>PRECLINICAL SAFETY DATA</w:t>
      </w:r>
      <w:r>
        <w:rPr>
          <w:spacing w:val="-57"/>
        </w:rPr>
        <w:t xml:space="preserve"> </w:t>
      </w:r>
      <w:r>
        <w:t>Genotoxicity</w:t>
      </w:r>
    </w:p>
    <w:p w14:paraId="742C8ACC" w14:textId="77777777" w:rsidR="006C34D9" w:rsidRDefault="00CB5041">
      <w:pPr>
        <w:pStyle w:val="BodyText"/>
        <w:spacing w:before="33"/>
        <w:ind w:left="659"/>
      </w:pPr>
      <w:r>
        <w:t>Standard</w:t>
      </w:r>
      <w:r>
        <w:rPr>
          <w:spacing w:val="35"/>
        </w:rPr>
        <w:t xml:space="preserve"> </w:t>
      </w:r>
      <w:r>
        <w:t>genotoxicity</w:t>
      </w:r>
      <w:r>
        <w:rPr>
          <w:spacing w:val="36"/>
        </w:rPr>
        <w:t xml:space="preserve"> </w:t>
      </w:r>
      <w:r>
        <w:t>studies</w:t>
      </w:r>
      <w:r>
        <w:rPr>
          <w:spacing w:val="35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Actemra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both</w:t>
      </w:r>
      <w:r>
        <w:rPr>
          <w:spacing w:val="35"/>
        </w:rPr>
        <w:t xml:space="preserve"> </w:t>
      </w:r>
      <w:r>
        <w:t>prokaryotic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eukaryotic</w:t>
      </w:r>
      <w:r>
        <w:rPr>
          <w:spacing w:val="35"/>
        </w:rPr>
        <w:t xml:space="preserve"> </w:t>
      </w:r>
      <w:r>
        <w:t>cells</w:t>
      </w:r>
      <w:r>
        <w:rPr>
          <w:spacing w:val="36"/>
        </w:rPr>
        <w:t xml:space="preserve"> </w:t>
      </w:r>
      <w:r>
        <w:t>were</w:t>
      </w:r>
      <w:r>
        <w:rPr>
          <w:spacing w:val="-57"/>
        </w:rPr>
        <w:t xml:space="preserve"> </w:t>
      </w:r>
      <w:bookmarkStart w:id="134" w:name="Carcinogenicity"/>
      <w:bookmarkEnd w:id="134"/>
      <w:r>
        <w:t>negative.</w:t>
      </w:r>
    </w:p>
    <w:p w14:paraId="6BD5B968" w14:textId="77777777" w:rsidR="006C34D9" w:rsidRDefault="00CB5041">
      <w:pPr>
        <w:pStyle w:val="Heading2"/>
        <w:spacing w:before="202"/>
        <w:ind w:left="659"/>
        <w:jc w:val="left"/>
      </w:pPr>
      <w:r>
        <w:t>Carcinogenicity</w:t>
      </w:r>
    </w:p>
    <w:p w14:paraId="0136AA05" w14:textId="77777777" w:rsidR="006C34D9" w:rsidRDefault="00CB5041">
      <w:pPr>
        <w:pStyle w:val="BodyText"/>
        <w:spacing w:before="33"/>
        <w:ind w:left="659"/>
      </w:pPr>
      <w:r>
        <w:t>A</w:t>
      </w:r>
      <w:r>
        <w:rPr>
          <w:spacing w:val="25"/>
        </w:rPr>
        <w:t xml:space="preserve"> </w:t>
      </w:r>
      <w:r>
        <w:t>carcinogenicity</w:t>
      </w:r>
      <w:r>
        <w:rPr>
          <w:spacing w:val="25"/>
        </w:rPr>
        <w:t xml:space="preserve"> </w:t>
      </w:r>
      <w:r>
        <w:t>study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Actemra</w:t>
      </w:r>
      <w:r>
        <w:rPr>
          <w:spacing w:val="28"/>
        </w:rPr>
        <w:t xml:space="preserve"> </w:t>
      </w:r>
      <w:r>
        <w:t>has</w:t>
      </w:r>
      <w:r>
        <w:rPr>
          <w:spacing w:val="25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been</w:t>
      </w:r>
      <w:r>
        <w:rPr>
          <w:spacing w:val="25"/>
        </w:rPr>
        <w:t xml:space="preserve"> </w:t>
      </w:r>
      <w:r>
        <w:t>conducted.</w:t>
      </w:r>
      <w:r>
        <w:rPr>
          <w:spacing w:val="25"/>
        </w:rPr>
        <w:t xml:space="preserve"> </w:t>
      </w:r>
      <w:r>
        <w:t>Proliferating</w:t>
      </w:r>
      <w:r>
        <w:rPr>
          <w:spacing w:val="26"/>
        </w:rPr>
        <w:t xml:space="preserve"> </w:t>
      </w:r>
      <w:r>
        <w:t>lesions</w:t>
      </w:r>
      <w:r>
        <w:rPr>
          <w:spacing w:val="24"/>
        </w:rPr>
        <w:t xml:space="preserve"> </w:t>
      </w:r>
      <w:r>
        <w:t>were</w:t>
      </w:r>
      <w:r>
        <w:rPr>
          <w:spacing w:val="26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observed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chronic cynomolgus monkey 6-month toxicity</w:t>
      </w:r>
      <w:r>
        <w:rPr>
          <w:spacing w:val="-3"/>
        </w:rPr>
        <w:t xml:space="preserve"> </w:t>
      </w:r>
      <w:r>
        <w:t>study.</w:t>
      </w:r>
    </w:p>
    <w:p w14:paraId="29253033" w14:textId="77777777" w:rsidR="006C34D9" w:rsidRDefault="006C34D9">
      <w:pPr>
        <w:pStyle w:val="BodyText"/>
        <w:spacing w:before="1"/>
        <w:ind w:left="0"/>
        <w:rPr>
          <w:sz w:val="21"/>
        </w:rPr>
      </w:pPr>
    </w:p>
    <w:p w14:paraId="12B6D8B7" w14:textId="77777777" w:rsidR="006C34D9" w:rsidRDefault="00CB5041">
      <w:pPr>
        <w:pStyle w:val="Heading1"/>
        <w:numPr>
          <w:ilvl w:val="0"/>
          <w:numId w:val="1"/>
        </w:numPr>
        <w:tabs>
          <w:tab w:val="left" w:pos="1020"/>
        </w:tabs>
        <w:spacing w:line="240" w:lineRule="auto"/>
        <w:ind w:hanging="361"/>
      </w:pPr>
      <w:bookmarkStart w:id="135" w:name="6._PHARMACEUTICAL_PARTICULARS"/>
      <w:bookmarkStart w:id="136" w:name="6.1_LIST_OF_EXCIPIENTS"/>
      <w:bookmarkEnd w:id="135"/>
      <w:bookmarkEnd w:id="136"/>
      <w:r>
        <w:rPr>
          <w:spacing w:val="-1"/>
        </w:rPr>
        <w:t>PHARMACEUTICAL</w:t>
      </w:r>
      <w:r>
        <w:rPr>
          <w:spacing w:val="-2"/>
        </w:rPr>
        <w:t xml:space="preserve"> </w:t>
      </w:r>
      <w:r>
        <w:t>PARTICULARS</w:t>
      </w:r>
    </w:p>
    <w:p w14:paraId="0BA4AEB3" w14:textId="77777777" w:rsidR="006C34D9" w:rsidRDefault="00CB5041">
      <w:pPr>
        <w:pStyle w:val="ListParagraph"/>
        <w:numPr>
          <w:ilvl w:val="1"/>
          <w:numId w:val="1"/>
        </w:numPr>
        <w:tabs>
          <w:tab w:val="left" w:pos="1445"/>
          <w:tab w:val="left" w:pos="1446"/>
        </w:tabs>
        <w:spacing w:before="201"/>
        <w:ind w:hanging="787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EXCIPIENTS</w:t>
      </w:r>
    </w:p>
    <w:p w14:paraId="47CECC6D" w14:textId="77777777" w:rsidR="006C34D9" w:rsidRDefault="00CB5041">
      <w:pPr>
        <w:pStyle w:val="Heading2"/>
        <w:ind w:left="659"/>
        <w:jc w:val="left"/>
      </w:pPr>
      <w:r>
        <w:t>Concentrated</w:t>
      </w:r>
      <w:r>
        <w:rPr>
          <w:spacing w:val="-4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intravenous</w:t>
      </w:r>
      <w:r>
        <w:rPr>
          <w:spacing w:val="-2"/>
        </w:rPr>
        <w:t xml:space="preserve"> </w:t>
      </w:r>
      <w:r>
        <w:t>infusion</w:t>
      </w:r>
    </w:p>
    <w:p w14:paraId="6385470D" w14:textId="77777777" w:rsidR="006C34D9" w:rsidRDefault="00CB5041">
      <w:pPr>
        <w:spacing w:before="35" w:line="275" w:lineRule="exact"/>
        <w:ind w:left="659"/>
        <w:rPr>
          <w:b/>
          <w:sz w:val="24"/>
        </w:rPr>
      </w:pPr>
      <w:r>
        <w:rPr>
          <w:b/>
          <w:sz w:val="24"/>
          <w:u w:val="single"/>
        </w:rPr>
        <w:t>Actemra</w:t>
      </w:r>
      <w:r>
        <w:rPr>
          <w:b/>
          <w:sz w:val="24"/>
          <w:u w:val="single"/>
          <w:vertAlign w:val="superscript"/>
        </w:rPr>
        <w:t>®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AUST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149402,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AUST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149403,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AUST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149404</w:t>
      </w:r>
    </w:p>
    <w:p w14:paraId="0B03B0F7" w14:textId="77777777" w:rsidR="006C34D9" w:rsidRDefault="00CB5041">
      <w:pPr>
        <w:pStyle w:val="BodyText"/>
        <w:ind w:right="8236"/>
      </w:pPr>
      <w:r>
        <w:t>Polysorbate 80</w:t>
      </w:r>
      <w:r>
        <w:rPr>
          <w:spacing w:val="-57"/>
        </w:rPr>
        <w:t xml:space="preserve"> </w:t>
      </w:r>
      <w:r>
        <w:t>Sucrose</w:t>
      </w:r>
    </w:p>
    <w:p w14:paraId="27A8B525" w14:textId="77777777" w:rsidR="006C34D9" w:rsidRDefault="00CB5041">
      <w:pPr>
        <w:pStyle w:val="BodyText"/>
        <w:ind w:left="659" w:right="5678"/>
      </w:pPr>
      <w:r>
        <w:t>Dibasic sodium phosphate dodecahydrate</w:t>
      </w:r>
      <w:r>
        <w:rPr>
          <w:spacing w:val="-57"/>
        </w:rPr>
        <w:t xml:space="preserve"> </w:t>
      </w:r>
      <w:r>
        <w:t>Monobasic sodium phosphate dihydrate</w:t>
      </w:r>
      <w:r>
        <w:rPr>
          <w:spacing w:val="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for injections</w:t>
      </w:r>
    </w:p>
    <w:p w14:paraId="0E3A15E0" w14:textId="77777777" w:rsidR="006C34D9" w:rsidRDefault="00CB5041">
      <w:pPr>
        <w:pStyle w:val="Heading2"/>
        <w:spacing w:before="200"/>
        <w:ind w:left="659"/>
        <w:jc w:val="left"/>
      </w:pPr>
      <w:r>
        <w:t>Solution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subcutaneous</w:t>
      </w:r>
      <w:r>
        <w:rPr>
          <w:spacing w:val="-2"/>
        </w:rPr>
        <w:t xml:space="preserve"> </w:t>
      </w:r>
      <w:r>
        <w:t>injection</w:t>
      </w:r>
    </w:p>
    <w:p w14:paraId="6565E626" w14:textId="77777777" w:rsidR="006C34D9" w:rsidRDefault="00CB5041">
      <w:pPr>
        <w:spacing w:before="37" w:line="275" w:lineRule="exact"/>
        <w:ind w:left="659"/>
        <w:rPr>
          <w:b/>
          <w:sz w:val="24"/>
        </w:rPr>
      </w:pPr>
      <w:r>
        <w:rPr>
          <w:b/>
          <w:sz w:val="24"/>
          <w:u w:val="single"/>
        </w:rPr>
        <w:t>Actemra</w:t>
      </w:r>
      <w:r>
        <w:rPr>
          <w:b/>
          <w:sz w:val="24"/>
          <w:u w:val="single"/>
          <w:vertAlign w:val="superscript"/>
        </w:rPr>
        <w:t>®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AUST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234034,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AUST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296808:</w:t>
      </w:r>
    </w:p>
    <w:p w14:paraId="113B2D5A" w14:textId="77777777" w:rsidR="006C34D9" w:rsidRDefault="00CB5041">
      <w:pPr>
        <w:pStyle w:val="BodyText"/>
        <w:spacing w:line="275" w:lineRule="exact"/>
      </w:pPr>
      <w:r>
        <w:t>Histidine</w:t>
      </w:r>
    </w:p>
    <w:p w14:paraId="26479E9A" w14:textId="77777777" w:rsidR="006C34D9" w:rsidRDefault="00CB5041">
      <w:pPr>
        <w:pStyle w:val="BodyText"/>
        <w:ind w:right="6057"/>
      </w:pPr>
      <w:r>
        <w:t>Histidine hydrochloride monohydrate</w:t>
      </w:r>
      <w:r>
        <w:rPr>
          <w:spacing w:val="-57"/>
        </w:rPr>
        <w:t xml:space="preserve"> </w:t>
      </w:r>
      <w:r>
        <w:t>Polysorbate</w:t>
      </w:r>
      <w:r>
        <w:rPr>
          <w:spacing w:val="-2"/>
        </w:rPr>
        <w:t xml:space="preserve"> </w:t>
      </w:r>
      <w:r>
        <w:t>80</w:t>
      </w:r>
    </w:p>
    <w:p w14:paraId="249C49AC" w14:textId="77777777" w:rsidR="006C34D9" w:rsidRDefault="00CB5041">
      <w:pPr>
        <w:pStyle w:val="BodyText"/>
        <w:spacing w:line="275" w:lineRule="exact"/>
      </w:pPr>
      <w:r>
        <w:t>Arginine</w:t>
      </w:r>
    </w:p>
    <w:p w14:paraId="1AC30927" w14:textId="77777777" w:rsidR="006C34D9" w:rsidRDefault="00CB5041">
      <w:pPr>
        <w:pStyle w:val="BodyText"/>
        <w:ind w:right="7410"/>
      </w:pPr>
      <w:r>
        <w:t>Arginine hydrochloride</w:t>
      </w:r>
      <w:r>
        <w:rPr>
          <w:spacing w:val="-57"/>
        </w:rPr>
        <w:t xml:space="preserve"> </w:t>
      </w:r>
      <w:r>
        <w:t>Methionine</w:t>
      </w:r>
    </w:p>
    <w:p w14:paraId="4742E373" w14:textId="77777777" w:rsidR="006C34D9" w:rsidRDefault="00CB5041">
      <w:pPr>
        <w:pStyle w:val="BodyText"/>
        <w:spacing w:before="1"/>
      </w:pPr>
      <w:r>
        <w:t>Water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injections</w:t>
      </w:r>
    </w:p>
    <w:p w14:paraId="6C1C9B26" w14:textId="77777777" w:rsidR="006C34D9" w:rsidRDefault="006C34D9">
      <w:pPr>
        <w:pStyle w:val="BodyText"/>
        <w:spacing w:before="2"/>
        <w:ind w:left="0"/>
      </w:pPr>
    </w:p>
    <w:p w14:paraId="207901FC" w14:textId="77777777" w:rsidR="006C34D9" w:rsidRDefault="00CB5041">
      <w:pPr>
        <w:spacing w:line="275" w:lineRule="exact"/>
        <w:ind w:left="660"/>
        <w:rPr>
          <w:b/>
          <w:sz w:val="24"/>
        </w:rPr>
      </w:pPr>
      <w:r>
        <w:rPr>
          <w:b/>
          <w:sz w:val="24"/>
          <w:u w:val="single"/>
        </w:rPr>
        <w:t>Actemra</w:t>
      </w:r>
      <w:r>
        <w:rPr>
          <w:b/>
          <w:sz w:val="24"/>
          <w:u w:val="single"/>
          <w:vertAlign w:val="superscript"/>
        </w:rPr>
        <w:t>®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SC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AUST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370314,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AUST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370315:</w:t>
      </w:r>
    </w:p>
    <w:p w14:paraId="5D4DD9B7" w14:textId="77777777" w:rsidR="006C34D9" w:rsidRDefault="00CB5041">
      <w:pPr>
        <w:pStyle w:val="BodyText"/>
        <w:spacing w:line="275" w:lineRule="exact"/>
      </w:pPr>
      <w:r>
        <w:t>Histidine</w:t>
      </w:r>
    </w:p>
    <w:p w14:paraId="0EA63207" w14:textId="77777777" w:rsidR="006C34D9" w:rsidRDefault="00CB5041">
      <w:pPr>
        <w:pStyle w:val="BodyText"/>
      </w:pPr>
      <w:r>
        <w:t>Histidine</w:t>
      </w:r>
      <w:r>
        <w:rPr>
          <w:spacing w:val="-3"/>
        </w:rPr>
        <w:t xml:space="preserve"> </w:t>
      </w:r>
      <w:r>
        <w:t>hydrochloride</w:t>
      </w:r>
      <w:r>
        <w:rPr>
          <w:spacing w:val="-3"/>
        </w:rPr>
        <w:t xml:space="preserve"> </w:t>
      </w:r>
      <w:r>
        <w:t>monohydrate</w:t>
      </w:r>
    </w:p>
    <w:p w14:paraId="18D9E347" w14:textId="77777777" w:rsidR="006C34D9" w:rsidRDefault="006C34D9">
      <w:p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79F0DF20" w14:textId="77777777" w:rsidR="006C34D9" w:rsidRDefault="00CB5041">
      <w:pPr>
        <w:pStyle w:val="BodyText"/>
        <w:spacing w:before="79"/>
        <w:ind w:right="7410"/>
      </w:pPr>
      <w:r>
        <w:lastRenderedPageBreak/>
        <w:t>Polysorbate 80</w:t>
      </w:r>
      <w:r>
        <w:rPr>
          <w:spacing w:val="1"/>
        </w:rPr>
        <w:t xml:space="preserve"> </w:t>
      </w:r>
      <w:r>
        <w:t>Arginine hydrochloride</w:t>
      </w:r>
      <w:r>
        <w:rPr>
          <w:spacing w:val="-57"/>
        </w:rPr>
        <w:t xml:space="preserve"> </w:t>
      </w:r>
      <w:r>
        <w:t>Methionine</w:t>
      </w:r>
    </w:p>
    <w:p w14:paraId="28ACC1A4" w14:textId="77777777" w:rsidR="006C34D9" w:rsidRDefault="00CB5041">
      <w:pPr>
        <w:pStyle w:val="BodyText"/>
      </w:pPr>
      <w:bookmarkStart w:id="137" w:name="6.2_INCOMPATIBILITIES"/>
      <w:bookmarkEnd w:id="137"/>
      <w:r>
        <w:t>Water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injections</w:t>
      </w:r>
    </w:p>
    <w:p w14:paraId="068D8387" w14:textId="77777777" w:rsidR="006C34D9" w:rsidRDefault="00CB5041">
      <w:pPr>
        <w:pStyle w:val="Heading1"/>
        <w:numPr>
          <w:ilvl w:val="1"/>
          <w:numId w:val="1"/>
        </w:numPr>
        <w:tabs>
          <w:tab w:val="left" w:pos="1445"/>
          <w:tab w:val="left" w:pos="1446"/>
        </w:tabs>
        <w:spacing w:before="203"/>
      </w:pPr>
      <w:r>
        <w:t>INCOMPATIBILITIES</w:t>
      </w:r>
    </w:p>
    <w:p w14:paraId="7DFB8870" w14:textId="77777777" w:rsidR="006C34D9" w:rsidRDefault="00CB5041">
      <w:pPr>
        <w:pStyle w:val="BodyText"/>
      </w:pPr>
      <w:r>
        <w:t>Incompatibilities</w:t>
      </w:r>
      <w:r>
        <w:rPr>
          <w:spacing w:val="19"/>
        </w:rPr>
        <w:t xml:space="preserve"> </w:t>
      </w:r>
      <w:r>
        <w:t>were</w:t>
      </w:r>
      <w:r>
        <w:rPr>
          <w:spacing w:val="19"/>
        </w:rPr>
        <w:t xml:space="preserve"> </w:t>
      </w:r>
      <w:r>
        <w:t>either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assessed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identified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part</w:t>
      </w:r>
      <w:r>
        <w:rPr>
          <w:spacing w:val="2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registration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medicine.</w:t>
      </w:r>
    </w:p>
    <w:p w14:paraId="35AE2BF2" w14:textId="77777777" w:rsidR="006C34D9" w:rsidRDefault="00CB5041">
      <w:pPr>
        <w:pStyle w:val="Heading1"/>
        <w:numPr>
          <w:ilvl w:val="1"/>
          <w:numId w:val="1"/>
        </w:numPr>
        <w:tabs>
          <w:tab w:val="left" w:pos="1445"/>
          <w:tab w:val="left" w:pos="1446"/>
        </w:tabs>
        <w:spacing w:before="201"/>
      </w:pPr>
      <w:bookmarkStart w:id="138" w:name="6.3_SHELF_LIFE"/>
      <w:bookmarkEnd w:id="138"/>
      <w:r>
        <w:t>SHELF</w:t>
      </w:r>
      <w:r>
        <w:rPr>
          <w:spacing w:val="-6"/>
        </w:rPr>
        <w:t xml:space="preserve"> </w:t>
      </w:r>
      <w:r>
        <w:t>LIFE</w:t>
      </w:r>
    </w:p>
    <w:p w14:paraId="75D8B51C" w14:textId="77777777" w:rsidR="006C34D9" w:rsidRDefault="00CB5041">
      <w:pPr>
        <w:pStyle w:val="BodyText"/>
        <w:ind w:left="659"/>
      </w:pPr>
      <w:r>
        <w:t>In</w:t>
      </w:r>
      <w:r>
        <w:rPr>
          <w:spacing w:val="-12"/>
        </w:rPr>
        <w:t xml:space="preserve"> </w:t>
      </w:r>
      <w:r>
        <w:t>Australia,</w:t>
      </w:r>
      <w:r>
        <w:rPr>
          <w:spacing w:val="-13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shelf</w:t>
      </w:r>
      <w:r>
        <w:rPr>
          <w:spacing w:val="-11"/>
        </w:rPr>
        <w:t xml:space="preserve"> </w:t>
      </w:r>
      <w:r>
        <w:t>life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found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summary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Australian</w:t>
      </w:r>
      <w:r>
        <w:rPr>
          <w:spacing w:val="-57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Therapeutic</w:t>
      </w:r>
      <w:r>
        <w:rPr>
          <w:spacing w:val="-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(ARTG).</w:t>
      </w:r>
      <w:r>
        <w:rPr>
          <w:spacing w:val="-1"/>
        </w:rPr>
        <w:t xml:space="preserve"> </w:t>
      </w:r>
      <w:r>
        <w:t>The expiry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packaging.</w:t>
      </w:r>
    </w:p>
    <w:p w14:paraId="15A8D6FB" w14:textId="77777777" w:rsidR="006C34D9" w:rsidRDefault="006C34D9">
      <w:pPr>
        <w:pStyle w:val="BodyText"/>
        <w:spacing w:before="8"/>
        <w:ind w:left="0"/>
        <w:rPr>
          <w:sz w:val="20"/>
        </w:rPr>
      </w:pPr>
    </w:p>
    <w:p w14:paraId="094C0C91" w14:textId="77777777" w:rsidR="006C34D9" w:rsidRDefault="00CB5041">
      <w:pPr>
        <w:pStyle w:val="BodyText"/>
        <w:ind w:right="596"/>
      </w:pPr>
      <w:r>
        <w:t>The</w:t>
      </w:r>
      <w:r>
        <w:rPr>
          <w:spacing w:val="5"/>
        </w:rPr>
        <w:t xml:space="preserve"> </w:t>
      </w:r>
      <w:r>
        <w:t>medicine</w:t>
      </w:r>
      <w:r>
        <w:rPr>
          <w:spacing w:val="5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after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expiry</w:t>
      </w:r>
      <w:r>
        <w:rPr>
          <w:spacing w:val="3"/>
        </w:rPr>
        <w:t xml:space="preserve"> </w:t>
      </w:r>
      <w:r>
        <w:t>date</w:t>
      </w:r>
      <w:r>
        <w:rPr>
          <w:spacing w:val="5"/>
        </w:rPr>
        <w:t xml:space="preserve"> </w:t>
      </w:r>
      <w:r>
        <w:t>(EXP)</w:t>
      </w:r>
      <w:r>
        <w:rPr>
          <w:spacing w:val="5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vial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vial</w:t>
      </w:r>
      <w:r>
        <w:rPr>
          <w:spacing w:val="5"/>
        </w:rPr>
        <w:t xml:space="preserve"> </w:t>
      </w:r>
      <w:r>
        <w:t>carton</w:t>
      </w:r>
      <w:r>
        <w:rPr>
          <w:spacing w:val="-5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pre-filled syringe</w:t>
      </w:r>
      <w:r>
        <w:rPr>
          <w:spacing w:val="-1"/>
        </w:rPr>
        <w:t xml:space="preserve"> </w:t>
      </w:r>
      <w:r>
        <w:t>or the pre-filled pen and</w:t>
      </w:r>
      <w:r>
        <w:rPr>
          <w:spacing w:val="-3"/>
        </w:rPr>
        <w:t xml:space="preserve"> </w:t>
      </w:r>
      <w:r>
        <w:t>the carton.</w:t>
      </w:r>
    </w:p>
    <w:p w14:paraId="458ABEB0" w14:textId="77777777" w:rsidR="006C34D9" w:rsidRDefault="00CB5041">
      <w:pPr>
        <w:pStyle w:val="Heading2"/>
        <w:numPr>
          <w:ilvl w:val="1"/>
          <w:numId w:val="1"/>
        </w:numPr>
        <w:tabs>
          <w:tab w:val="left" w:pos="1445"/>
          <w:tab w:val="left" w:pos="1446"/>
        </w:tabs>
        <w:spacing w:before="9" w:line="470" w:lineRule="atLeast"/>
        <w:ind w:left="660" w:right="4251" w:firstLine="0"/>
      </w:pPr>
      <w:bookmarkStart w:id="139" w:name="6.4_SPECIAL_PRECAUTIONS_FOR_STORAGE"/>
      <w:bookmarkEnd w:id="139"/>
      <w:r>
        <w:t>SPECIAL PRECAUTIONS FOR STORAGE</w:t>
      </w:r>
      <w:r>
        <w:rPr>
          <w:spacing w:val="-57"/>
        </w:rPr>
        <w:t xml:space="preserve"> </w:t>
      </w:r>
      <w:r>
        <w:t>Concentrated</w:t>
      </w:r>
      <w:r>
        <w:rPr>
          <w:spacing w:val="-2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intravenous</w:t>
      </w:r>
      <w:r>
        <w:rPr>
          <w:spacing w:val="-1"/>
        </w:rPr>
        <w:t xml:space="preserve"> </w:t>
      </w:r>
      <w:r>
        <w:t>infusion</w:t>
      </w:r>
    </w:p>
    <w:p w14:paraId="76C23FA0" w14:textId="77777777" w:rsidR="006C34D9" w:rsidRDefault="00CB5041">
      <w:pPr>
        <w:pStyle w:val="BodyText"/>
        <w:spacing w:before="39"/>
      </w:pPr>
      <w:r>
        <w:t>Store</w:t>
      </w:r>
      <w:r>
        <w:rPr>
          <w:spacing w:val="-1"/>
        </w:rPr>
        <w:t xml:space="preserve"> </w:t>
      </w:r>
      <w:r>
        <w:t>vials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ºC</w:t>
      </w:r>
      <w:r>
        <w:rPr>
          <w:spacing w:val="-2"/>
        </w:rPr>
        <w:t xml:space="preserve"> </w:t>
      </w:r>
      <w:r>
        <w:t>to 8</w:t>
      </w:r>
      <w:r>
        <w:rPr>
          <w:spacing w:val="-3"/>
        </w:rPr>
        <w:t xml:space="preserve"> </w:t>
      </w:r>
      <w:r>
        <w:t>ºC.</w:t>
      </w:r>
      <w:r>
        <w:rPr>
          <w:spacing w:val="-1"/>
        </w:rPr>
        <w:t xml:space="preserve"> </w:t>
      </w:r>
      <w:r>
        <w:t>(Refrigerate.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freeze.)</w:t>
      </w:r>
    </w:p>
    <w:p w14:paraId="150FC73A" w14:textId="77777777" w:rsidR="006C34D9" w:rsidRDefault="006C34D9">
      <w:pPr>
        <w:pStyle w:val="BodyText"/>
        <w:ind w:left="0"/>
      </w:pPr>
    </w:p>
    <w:p w14:paraId="195AB757" w14:textId="77777777" w:rsidR="006C34D9" w:rsidRDefault="00CB5041">
      <w:pPr>
        <w:pStyle w:val="BodyText"/>
      </w:pPr>
      <w:r>
        <w:t>Keep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outer</w:t>
      </w:r>
      <w:r>
        <w:rPr>
          <w:spacing w:val="-2"/>
        </w:rPr>
        <w:t xml:space="preserve"> </w:t>
      </w:r>
      <w:r>
        <w:t>carton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light.</w:t>
      </w:r>
    </w:p>
    <w:p w14:paraId="48385215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33B1C26D" w14:textId="77777777" w:rsidR="006C34D9" w:rsidRDefault="00CB5041">
      <w:pPr>
        <w:pStyle w:val="BodyText"/>
        <w:ind w:right="657"/>
        <w:jc w:val="both"/>
      </w:pPr>
      <w:r>
        <w:t>Actemra does not contain any antimicrobial agent; therefore, care must be taken to ensure the</w:t>
      </w:r>
      <w:r>
        <w:rPr>
          <w:spacing w:val="-57"/>
        </w:rPr>
        <w:t xml:space="preserve"> </w:t>
      </w:r>
      <w:r>
        <w:t>sterility of the prepared solution. Product is for single use in one patient only.</w:t>
      </w:r>
      <w:r>
        <w:rPr>
          <w:spacing w:val="1"/>
        </w:rPr>
        <w:t xml:space="preserve"> </w:t>
      </w:r>
      <w:r>
        <w:t>Discard any</w:t>
      </w:r>
      <w:r>
        <w:rPr>
          <w:spacing w:val="1"/>
        </w:rPr>
        <w:t xml:space="preserve"> </w:t>
      </w:r>
      <w:r>
        <w:t>residue.</w:t>
      </w:r>
    </w:p>
    <w:p w14:paraId="457C9E6C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58D6725E" w14:textId="77777777" w:rsidR="006C34D9" w:rsidRDefault="00CB5041">
      <w:pPr>
        <w:pStyle w:val="BodyText"/>
        <w:ind w:right="658"/>
        <w:jc w:val="both"/>
      </w:pPr>
      <w:r>
        <w:t>The prepared infusion solution of Actemra is physically and chemically stable in 0.9% w/v</w:t>
      </w:r>
      <w:r>
        <w:rPr>
          <w:spacing w:val="1"/>
        </w:rPr>
        <w:t xml:space="preserve"> </w:t>
      </w:r>
      <w:r>
        <w:t>sodium</w:t>
      </w:r>
      <w:r>
        <w:rPr>
          <w:spacing w:val="-7"/>
        </w:rPr>
        <w:t xml:space="preserve"> </w:t>
      </w:r>
      <w:r>
        <w:t>chloride</w:t>
      </w:r>
      <w:r>
        <w:rPr>
          <w:spacing w:val="-5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30ºC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microbiological</w:t>
      </w:r>
      <w:r>
        <w:rPr>
          <w:spacing w:val="-6"/>
        </w:rPr>
        <w:t xml:space="preserve"> </w:t>
      </w:r>
      <w:r>
        <w:t>hazard,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prepared</w:t>
      </w:r>
      <w:r>
        <w:rPr>
          <w:spacing w:val="-58"/>
        </w:rPr>
        <w:t xml:space="preserve"> </w:t>
      </w:r>
      <w:r>
        <w:t>infusion should be used immediately. If storage is necessary, hold at 2ºC to 8ºC for not more</w:t>
      </w:r>
      <w:r>
        <w:rPr>
          <w:spacing w:val="1"/>
        </w:rPr>
        <w:t xml:space="preserve"> </w:t>
      </w:r>
      <w:r>
        <w:t>than 24</w:t>
      </w:r>
      <w:r>
        <w:rPr>
          <w:spacing w:val="-1"/>
        </w:rPr>
        <w:t xml:space="preserve"> </w:t>
      </w:r>
      <w:r>
        <w:t>hours.</w:t>
      </w:r>
    </w:p>
    <w:p w14:paraId="35EE77E3" w14:textId="77777777" w:rsidR="006C34D9" w:rsidRDefault="00CB5041">
      <w:pPr>
        <w:pStyle w:val="Heading2"/>
        <w:spacing w:before="202"/>
      </w:pPr>
      <w:r>
        <w:t>Solution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subcutaneous</w:t>
      </w:r>
      <w:r>
        <w:rPr>
          <w:spacing w:val="-3"/>
        </w:rPr>
        <w:t xml:space="preserve"> </w:t>
      </w:r>
      <w:r>
        <w:t>injection</w:t>
      </w:r>
    </w:p>
    <w:p w14:paraId="1879FCFC" w14:textId="77777777" w:rsidR="006C34D9" w:rsidRDefault="00CB5041">
      <w:pPr>
        <w:pStyle w:val="BodyText"/>
        <w:spacing w:before="34"/>
        <w:ind w:right="658"/>
        <w:jc w:val="both"/>
      </w:pPr>
      <w:r>
        <w:t>Store the pre-filled syringe or pen at 2 ºC to 8 ºC. (Refrigerate. Do not freeze.) Keep in carton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 from</w:t>
      </w:r>
      <w:r>
        <w:rPr>
          <w:spacing w:val="-2"/>
        </w:rPr>
        <w:t xml:space="preserve"> </w:t>
      </w:r>
      <w:r>
        <w:t>light and</w:t>
      </w:r>
      <w:r>
        <w:rPr>
          <w:spacing w:val="-2"/>
        </w:rPr>
        <w:t xml:space="preserve"> </w:t>
      </w:r>
      <w:r>
        <w:t>keep dry.</w:t>
      </w:r>
    </w:p>
    <w:p w14:paraId="1AEB07E5" w14:textId="77777777" w:rsidR="006C34D9" w:rsidRDefault="006C34D9">
      <w:pPr>
        <w:pStyle w:val="BodyText"/>
        <w:spacing w:before="9"/>
        <w:ind w:left="0"/>
        <w:rPr>
          <w:sz w:val="20"/>
        </w:rPr>
      </w:pPr>
    </w:p>
    <w:p w14:paraId="459AA672" w14:textId="77777777" w:rsidR="006C34D9" w:rsidRDefault="00CB5041">
      <w:pPr>
        <w:pStyle w:val="BodyText"/>
        <w:spacing w:before="1"/>
        <w:ind w:right="659"/>
        <w:jc w:val="both"/>
      </w:pPr>
      <w:r>
        <w:t>Once</w:t>
      </w:r>
      <w:r>
        <w:rPr>
          <w:spacing w:val="-5"/>
        </w:rPr>
        <w:t xml:space="preserve"> </w:t>
      </w:r>
      <w:r>
        <w:t>removed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refrigerator,</w:t>
      </w:r>
      <w:r>
        <w:rPr>
          <w:spacing w:val="-4"/>
        </w:rPr>
        <w:t xml:space="preserve"> </w:t>
      </w:r>
      <w:r>
        <w:t>Actemra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58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above 30 °C.</w:t>
      </w:r>
    </w:p>
    <w:p w14:paraId="58F03D7A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37357E6" w14:textId="77777777" w:rsidR="006C34D9" w:rsidRDefault="00CB5041">
      <w:pPr>
        <w:pStyle w:val="BodyText"/>
        <w:ind w:right="658"/>
        <w:jc w:val="both"/>
      </w:pPr>
      <w:r>
        <w:t>Actemra</w:t>
      </w:r>
      <w:r>
        <w:rPr>
          <w:spacing w:val="-9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contain</w:t>
      </w:r>
      <w:r>
        <w:rPr>
          <w:spacing w:val="-11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antimicrobial</w:t>
      </w:r>
      <w:r>
        <w:rPr>
          <w:spacing w:val="-8"/>
        </w:rPr>
        <w:t xml:space="preserve"> </w:t>
      </w:r>
      <w:r>
        <w:t>agent.</w:t>
      </w:r>
      <w:r>
        <w:rPr>
          <w:spacing w:val="-11"/>
        </w:rPr>
        <w:t xml:space="preserve"> </w:t>
      </w:r>
      <w:r>
        <w:t>Product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only.</w:t>
      </w:r>
      <w:r>
        <w:rPr>
          <w:spacing w:val="-58"/>
        </w:rPr>
        <w:t xml:space="preserve"> </w:t>
      </w:r>
      <w:bookmarkStart w:id="140" w:name="6.5_NATURE_AND_CONTENTS_OF_CONTAINER"/>
      <w:bookmarkEnd w:id="140"/>
      <w:r>
        <w:t>Discard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residue.</w:t>
      </w:r>
    </w:p>
    <w:p w14:paraId="4AFFDF95" w14:textId="77777777" w:rsidR="006C34D9" w:rsidRDefault="00CB5041">
      <w:pPr>
        <w:pStyle w:val="Heading2"/>
        <w:numPr>
          <w:ilvl w:val="1"/>
          <w:numId w:val="1"/>
        </w:numPr>
        <w:tabs>
          <w:tab w:val="left" w:pos="1445"/>
          <w:tab w:val="left" w:pos="1446"/>
        </w:tabs>
        <w:spacing w:before="9" w:line="470" w:lineRule="atLeast"/>
        <w:ind w:left="660" w:right="4006" w:firstLine="0"/>
      </w:pPr>
      <w:bookmarkStart w:id="141" w:name="Concentrated_solution_for_intravenous_in"/>
      <w:bookmarkEnd w:id="141"/>
      <w:r>
        <w:t>NATURE AND CONTENTS OF CONTAINER</w:t>
      </w:r>
      <w:r>
        <w:rPr>
          <w:spacing w:val="-57"/>
        </w:rPr>
        <w:t xml:space="preserve"> </w:t>
      </w:r>
      <w:r>
        <w:t>Concentrated</w:t>
      </w:r>
      <w:r>
        <w:rPr>
          <w:spacing w:val="-2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intravenous</w:t>
      </w:r>
      <w:r>
        <w:rPr>
          <w:spacing w:val="-1"/>
        </w:rPr>
        <w:t xml:space="preserve"> </w:t>
      </w:r>
      <w:r>
        <w:t>infusion</w:t>
      </w:r>
    </w:p>
    <w:p w14:paraId="5531267A" w14:textId="77777777" w:rsidR="006C34D9" w:rsidRDefault="00CB5041">
      <w:pPr>
        <w:pStyle w:val="BodyText"/>
        <w:spacing w:before="38"/>
      </w:pPr>
      <w:r>
        <w:t>Actemra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supplied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preservative-free,</w:t>
      </w:r>
      <w:r>
        <w:rPr>
          <w:spacing w:val="-1"/>
        </w:rPr>
        <w:t xml:space="preserve"> </w:t>
      </w:r>
      <w:r>
        <w:t>non-pyrogenic</w:t>
      </w:r>
      <w:r>
        <w:rPr>
          <w:spacing w:val="-2"/>
        </w:rPr>
        <w:t xml:space="preserve"> </w:t>
      </w:r>
      <w:r>
        <w:t>single-use,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glass</w:t>
      </w:r>
      <w:r>
        <w:rPr>
          <w:spacing w:val="-2"/>
        </w:rPr>
        <w:t xml:space="preserve"> </w:t>
      </w:r>
      <w:r>
        <w:t>vials.</w:t>
      </w:r>
    </w:p>
    <w:p w14:paraId="599DFDDF" w14:textId="77777777" w:rsidR="006C34D9" w:rsidRDefault="006C34D9">
      <w:pPr>
        <w:pStyle w:val="BodyText"/>
        <w:spacing w:before="10"/>
        <w:ind w:left="0"/>
        <w:rPr>
          <w:sz w:val="20"/>
        </w:rPr>
      </w:pPr>
    </w:p>
    <w:p w14:paraId="1D212EE7" w14:textId="77777777" w:rsidR="006C34D9" w:rsidRDefault="00CB5041">
      <w:pPr>
        <w:pStyle w:val="BodyText"/>
        <w:ind w:right="596"/>
      </w:pPr>
      <w:r>
        <w:t>Single use vial containing 80 mg of Actemra in 4 mL (20 mg/mL).</w:t>
      </w:r>
      <w:r>
        <w:rPr>
          <w:spacing w:val="1"/>
        </w:rPr>
        <w:t xml:space="preserve"> </w:t>
      </w:r>
      <w:r>
        <w:t>Packs of 1 and 4 vials.</w:t>
      </w:r>
      <w:r>
        <w:rPr>
          <w:spacing w:val="1"/>
        </w:rPr>
        <w:t xml:space="preserve"> </w:t>
      </w:r>
      <w:r>
        <w:t>Single use vial containing 200 mg of Actemra in 10 mL (20 mg/mL).</w:t>
      </w:r>
      <w:r>
        <w:rPr>
          <w:spacing w:val="1"/>
        </w:rPr>
        <w:t xml:space="preserve"> </w:t>
      </w:r>
      <w:r>
        <w:t>Packs of 1 and 4 vials.</w:t>
      </w:r>
      <w:r>
        <w:rPr>
          <w:spacing w:val="-57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vial</w:t>
      </w:r>
      <w:r>
        <w:rPr>
          <w:spacing w:val="-1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400 mg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 mL</w:t>
      </w:r>
      <w:r>
        <w:rPr>
          <w:spacing w:val="-2"/>
        </w:rPr>
        <w:t xml:space="preserve"> </w:t>
      </w:r>
      <w:r>
        <w:t>(20</w:t>
      </w:r>
      <w:r>
        <w:rPr>
          <w:spacing w:val="-1"/>
        </w:rPr>
        <w:t xml:space="preserve"> </w:t>
      </w:r>
      <w:r>
        <w:t>mg/mL).</w:t>
      </w:r>
      <w:r>
        <w:rPr>
          <w:spacing w:val="58"/>
        </w:rPr>
        <w:t xml:space="preserve"> </w:t>
      </w:r>
      <w:r>
        <w:t>Packs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vials.</w:t>
      </w:r>
    </w:p>
    <w:p w14:paraId="1D11140F" w14:textId="77777777" w:rsidR="006C34D9" w:rsidRDefault="00CB5041">
      <w:pPr>
        <w:pStyle w:val="Heading2"/>
        <w:spacing w:before="202"/>
      </w:pPr>
      <w:bookmarkStart w:id="142" w:name="Solution_for_subcutaneous_injection"/>
      <w:bookmarkEnd w:id="142"/>
      <w:r>
        <w:t>Solution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subcutaneous</w:t>
      </w:r>
      <w:r>
        <w:rPr>
          <w:spacing w:val="-3"/>
        </w:rPr>
        <w:t xml:space="preserve"> </w:t>
      </w:r>
      <w:r>
        <w:t>injection</w:t>
      </w:r>
    </w:p>
    <w:p w14:paraId="333B4982" w14:textId="77777777" w:rsidR="006C34D9" w:rsidRDefault="006C34D9">
      <w:pPr>
        <w:sectPr w:rsidR="006C34D9">
          <w:pgSz w:w="11910" w:h="16840"/>
          <w:pgMar w:top="1340" w:right="780" w:bottom="780" w:left="780" w:header="0" w:footer="592" w:gutter="0"/>
          <w:cols w:space="720"/>
        </w:sectPr>
      </w:pPr>
    </w:p>
    <w:p w14:paraId="047FD3B3" w14:textId="77777777" w:rsidR="006C34D9" w:rsidRDefault="00CB5041">
      <w:pPr>
        <w:pStyle w:val="BodyText"/>
        <w:spacing w:before="63" w:line="244" w:lineRule="auto"/>
        <w:ind w:left="659" w:right="659"/>
        <w:jc w:val="both"/>
      </w:pPr>
      <w:r>
        <w:lastRenderedPageBreak/>
        <w:t>Actemra and Actemra SC is supplied as a preservative-free, non-pyrogenic solution presented</w:t>
      </w:r>
      <w:r>
        <w:rPr>
          <w:spacing w:val="-5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ready-to-use,</w:t>
      </w:r>
      <w:r>
        <w:rPr>
          <w:spacing w:val="-5"/>
        </w:rPr>
        <w:t xml:space="preserve"> </w:t>
      </w:r>
      <w:r>
        <w:t>single-use</w:t>
      </w:r>
      <w:r>
        <w:rPr>
          <w:spacing w:val="-5"/>
        </w:rPr>
        <w:t xml:space="preserve"> </w:t>
      </w:r>
      <w:r>
        <w:t>pre-filled</w:t>
      </w:r>
      <w:r>
        <w:rPr>
          <w:spacing w:val="-5"/>
        </w:rPr>
        <w:t xml:space="preserve"> </w:t>
      </w:r>
      <w:r>
        <w:t>syringe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pre-filled</w:t>
      </w:r>
      <w:r>
        <w:rPr>
          <w:spacing w:val="-6"/>
        </w:rPr>
        <w:t xml:space="preserve"> </w:t>
      </w:r>
      <w:r>
        <w:t>pen</w:t>
      </w:r>
      <w:r>
        <w:rPr>
          <w:spacing w:val="-5"/>
        </w:rPr>
        <w:t xml:space="preserve"> </w:t>
      </w:r>
      <w:r>
        <w:t>(</w:t>
      </w:r>
      <w:proofErr w:type="spellStart"/>
      <w:r>
        <w:t>ACTPen</w:t>
      </w:r>
      <w:proofErr w:type="spellEnd"/>
      <w:r>
        <w:t>)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needle</w:t>
      </w:r>
      <w:r>
        <w:rPr>
          <w:spacing w:val="-5"/>
        </w:rPr>
        <w:t xml:space="preserve"> </w:t>
      </w:r>
      <w:r>
        <w:t>safety</w:t>
      </w:r>
      <w:r>
        <w:rPr>
          <w:spacing w:val="-57"/>
        </w:rPr>
        <w:t xml:space="preserve"> </w:t>
      </w:r>
      <w:r>
        <w:t>device.</w:t>
      </w:r>
    </w:p>
    <w:p w14:paraId="36E93AD7" w14:textId="77777777" w:rsidR="006C34D9" w:rsidRDefault="006C34D9">
      <w:pPr>
        <w:pStyle w:val="BodyText"/>
        <w:spacing w:before="5"/>
        <w:ind w:left="0"/>
        <w:rPr>
          <w:sz w:val="20"/>
        </w:rPr>
      </w:pPr>
    </w:p>
    <w:p w14:paraId="2C832884" w14:textId="77777777" w:rsidR="006C34D9" w:rsidRDefault="00CB5041">
      <w:pPr>
        <w:pStyle w:val="BodyText"/>
        <w:spacing w:line="242" w:lineRule="auto"/>
        <w:ind w:left="659" w:right="659"/>
        <w:jc w:val="both"/>
      </w:pPr>
      <w:r>
        <w:t>Single-use pre-filled syringe with needle safety device. Each syringe contains 162 mg of</w:t>
      </w:r>
      <w:r>
        <w:rPr>
          <w:spacing w:val="1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in 0.9</w:t>
      </w:r>
      <w:r>
        <w:rPr>
          <w:spacing w:val="1"/>
        </w:rPr>
        <w:t xml:space="preserve"> </w:t>
      </w:r>
      <w:proofErr w:type="spellStart"/>
      <w:r>
        <w:t>mL.</w:t>
      </w:r>
      <w:proofErr w:type="spellEnd"/>
      <w:r>
        <w:t xml:space="preserve"> Packs of</w:t>
      </w:r>
      <w:r>
        <w:rPr>
          <w:spacing w:val="-1"/>
        </w:rPr>
        <w:t xml:space="preserve"> </w:t>
      </w:r>
      <w:r>
        <w:t>1 and 4 syringes.</w:t>
      </w:r>
    </w:p>
    <w:p w14:paraId="3EB624B3" w14:textId="77777777" w:rsidR="006C34D9" w:rsidRDefault="006C34D9">
      <w:pPr>
        <w:pStyle w:val="BodyText"/>
        <w:spacing w:before="2"/>
        <w:ind w:left="0"/>
        <w:rPr>
          <w:sz w:val="21"/>
        </w:rPr>
      </w:pPr>
    </w:p>
    <w:p w14:paraId="6CAAAB36" w14:textId="77777777" w:rsidR="006C34D9" w:rsidRDefault="00CB5041">
      <w:pPr>
        <w:pStyle w:val="BodyText"/>
        <w:spacing w:line="242" w:lineRule="auto"/>
        <w:ind w:left="659" w:right="659"/>
        <w:jc w:val="both"/>
      </w:pPr>
      <w:r>
        <w:t>Single-use pre-filled pen (</w:t>
      </w:r>
      <w:proofErr w:type="spellStart"/>
      <w:r>
        <w:t>ACTPen</w:t>
      </w:r>
      <w:proofErr w:type="spellEnd"/>
      <w:r>
        <w:t>) with needle safety device. Each pen contains 162 mg of</w:t>
      </w:r>
      <w:r>
        <w:rPr>
          <w:spacing w:val="1"/>
        </w:rPr>
        <w:t xml:space="preserve"> </w:t>
      </w:r>
      <w:r>
        <w:t>Actemra</w:t>
      </w:r>
      <w:r>
        <w:rPr>
          <w:spacing w:val="-1"/>
        </w:rPr>
        <w:t xml:space="preserve"> </w:t>
      </w:r>
      <w:r>
        <w:t>in 0.9</w:t>
      </w:r>
      <w:r>
        <w:rPr>
          <w:spacing w:val="1"/>
        </w:rPr>
        <w:t xml:space="preserve"> </w:t>
      </w:r>
      <w:proofErr w:type="spellStart"/>
      <w:r>
        <w:t>mL.</w:t>
      </w:r>
      <w:proofErr w:type="spellEnd"/>
      <w:r>
        <w:t xml:space="preserve"> Available in packs of</w:t>
      </w:r>
      <w:r>
        <w:rPr>
          <w:spacing w:val="-2"/>
        </w:rPr>
        <w:t xml:space="preserve"> </w:t>
      </w:r>
      <w:r>
        <w:t>1 and 4 pens.</w:t>
      </w:r>
    </w:p>
    <w:p w14:paraId="6A771BB1" w14:textId="77777777" w:rsidR="006C34D9" w:rsidRDefault="006C34D9">
      <w:pPr>
        <w:pStyle w:val="BodyText"/>
        <w:spacing w:before="1"/>
        <w:ind w:left="0"/>
        <w:rPr>
          <w:sz w:val="21"/>
        </w:rPr>
      </w:pPr>
    </w:p>
    <w:p w14:paraId="766E56D9" w14:textId="77777777" w:rsidR="006C34D9" w:rsidRDefault="00CB5041">
      <w:pPr>
        <w:pStyle w:val="BodyText"/>
        <w:ind w:left="659"/>
        <w:jc w:val="both"/>
      </w:pPr>
      <w:r>
        <w:t>Some</w:t>
      </w:r>
      <w:r>
        <w:rPr>
          <w:spacing w:val="-1"/>
        </w:rPr>
        <w:t xml:space="preserve"> </w:t>
      </w:r>
      <w:r>
        <w:t>pack</w:t>
      </w:r>
      <w:r>
        <w:rPr>
          <w:spacing w:val="-1"/>
        </w:rPr>
        <w:t xml:space="preserve"> </w:t>
      </w:r>
      <w:r>
        <w:t>sizes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marketed.</w:t>
      </w:r>
    </w:p>
    <w:p w14:paraId="0206C536" w14:textId="77777777" w:rsidR="006C34D9" w:rsidRDefault="00CB5041">
      <w:pPr>
        <w:pStyle w:val="Heading1"/>
        <w:numPr>
          <w:ilvl w:val="1"/>
          <w:numId w:val="1"/>
        </w:numPr>
        <w:tabs>
          <w:tab w:val="left" w:pos="1445"/>
          <w:tab w:val="left" w:pos="1446"/>
        </w:tabs>
        <w:spacing w:before="202"/>
        <w:ind w:hanging="787"/>
      </w:pPr>
      <w:bookmarkStart w:id="143" w:name="6.6_SPECIAL_PRECAUTIONS_FOR_DISPOSAL"/>
      <w:bookmarkEnd w:id="143"/>
      <w:r>
        <w:t>SPECIAL</w:t>
      </w:r>
      <w:r>
        <w:rPr>
          <w:spacing w:val="-6"/>
        </w:rPr>
        <w:t xml:space="preserve"> </w:t>
      </w:r>
      <w:r>
        <w:t>PRECAUTIONS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DISPOSAL</w:t>
      </w:r>
    </w:p>
    <w:p w14:paraId="58C85E31" w14:textId="77777777" w:rsidR="006C34D9" w:rsidRDefault="00CB5041">
      <w:pPr>
        <w:pStyle w:val="BodyText"/>
        <w:ind w:left="659" w:right="657"/>
        <w:jc w:val="both"/>
      </w:pPr>
      <w:r>
        <w:t xml:space="preserve">The release of medicines into the environment should be </w:t>
      </w:r>
      <w:proofErr w:type="spellStart"/>
      <w:r>
        <w:t>minimised</w:t>
      </w:r>
      <w:proofErr w:type="spellEnd"/>
      <w:r>
        <w:t>. Medicines should not be</w:t>
      </w:r>
      <w:r>
        <w:rPr>
          <w:spacing w:val="-57"/>
        </w:rPr>
        <w:t xml:space="preserve"> </w:t>
      </w:r>
      <w:r>
        <w:t>disposed of via wastewater and disposal through household waste should be avoided. Unused</w:t>
      </w:r>
      <w:r>
        <w:rPr>
          <w:spacing w:val="1"/>
        </w:rPr>
        <w:t xml:space="preserve"> </w:t>
      </w:r>
      <w:bookmarkStart w:id="144" w:name="Disposal_of_syringes/pens_/sharps"/>
      <w:bookmarkEnd w:id="144"/>
      <w:r>
        <w:t>or</w:t>
      </w:r>
      <w:r>
        <w:rPr>
          <w:spacing w:val="-1"/>
        </w:rPr>
        <w:t xml:space="preserve"> </w:t>
      </w:r>
      <w:r>
        <w:t>expired medicine should be</w:t>
      </w:r>
      <w:r>
        <w:rPr>
          <w:spacing w:val="-1"/>
        </w:rPr>
        <w:t xml:space="preserve"> </w:t>
      </w:r>
      <w:r>
        <w:t>returned to a pharmacy</w:t>
      </w:r>
      <w:r>
        <w:rPr>
          <w:spacing w:val="-1"/>
        </w:rPr>
        <w:t xml:space="preserve"> </w:t>
      </w:r>
      <w:r>
        <w:t>for disposal.</w:t>
      </w:r>
    </w:p>
    <w:p w14:paraId="19D252C6" w14:textId="77777777" w:rsidR="006C34D9" w:rsidRDefault="00CB5041">
      <w:pPr>
        <w:pStyle w:val="BodyText"/>
        <w:spacing w:before="199"/>
      </w:pPr>
      <w:r>
        <w:rPr>
          <w:u w:val="single"/>
        </w:rPr>
        <w:t>Disposal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syringes/pens</w:t>
      </w:r>
      <w:r>
        <w:rPr>
          <w:spacing w:val="-2"/>
          <w:u w:val="single"/>
        </w:rPr>
        <w:t xml:space="preserve"> </w:t>
      </w:r>
      <w:r>
        <w:rPr>
          <w:u w:val="single"/>
        </w:rPr>
        <w:t>/sharps</w:t>
      </w:r>
    </w:p>
    <w:p w14:paraId="34BE3FA9" w14:textId="77777777" w:rsidR="006C34D9" w:rsidRDefault="00CB5041">
      <w:pPr>
        <w:pStyle w:val="BodyText"/>
        <w:ind w:right="596"/>
      </w:pP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3"/>
        </w:rPr>
        <w:t xml:space="preserve"> </w:t>
      </w:r>
      <w:r>
        <w:t>points</w:t>
      </w:r>
      <w:r>
        <w:rPr>
          <w:spacing w:val="13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strictly</w:t>
      </w:r>
      <w:r>
        <w:rPr>
          <w:spacing w:val="12"/>
        </w:rPr>
        <w:t xml:space="preserve"> </w:t>
      </w:r>
      <w:r>
        <w:t>adhered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regarding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disposal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pre-</w:t>
      </w:r>
      <w:r>
        <w:rPr>
          <w:spacing w:val="-57"/>
        </w:rPr>
        <w:t xml:space="preserve"> </w:t>
      </w:r>
      <w:r>
        <w:t>filled</w:t>
      </w:r>
      <w:r>
        <w:rPr>
          <w:spacing w:val="-1"/>
        </w:rPr>
        <w:t xml:space="preserve"> </w:t>
      </w:r>
      <w:r>
        <w:t>syringe and pre-filled pen:</w:t>
      </w:r>
    </w:p>
    <w:p w14:paraId="019D060C" w14:textId="77777777" w:rsidR="006C34D9" w:rsidRDefault="00CB5041">
      <w:pPr>
        <w:pStyle w:val="ListParagraph"/>
        <w:numPr>
          <w:ilvl w:val="2"/>
          <w:numId w:val="1"/>
        </w:numPr>
        <w:tabs>
          <w:tab w:val="left" w:pos="1373"/>
          <w:tab w:val="left" w:pos="1374"/>
        </w:tabs>
        <w:spacing w:before="41"/>
        <w:rPr>
          <w:sz w:val="24"/>
        </w:rPr>
      </w:pPr>
      <w:r>
        <w:rPr>
          <w:sz w:val="24"/>
        </w:rPr>
        <w:t>Syringes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pens</w:t>
      </w:r>
      <w:r>
        <w:rPr>
          <w:spacing w:val="-1"/>
          <w:sz w:val="24"/>
        </w:rPr>
        <w:t xml:space="preserve"> </w:t>
      </w:r>
      <w:r>
        <w:rPr>
          <w:sz w:val="24"/>
        </w:rPr>
        <w:t>should never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reused.</w:t>
      </w:r>
    </w:p>
    <w:p w14:paraId="7FFDB10E" w14:textId="77777777" w:rsidR="006C34D9" w:rsidRDefault="00CB5041">
      <w:pPr>
        <w:pStyle w:val="ListParagraph"/>
        <w:numPr>
          <w:ilvl w:val="2"/>
          <w:numId w:val="1"/>
        </w:numPr>
        <w:tabs>
          <w:tab w:val="left" w:pos="1373"/>
          <w:tab w:val="left" w:pos="1374"/>
        </w:tabs>
        <w:spacing w:before="38" w:line="242" w:lineRule="auto"/>
        <w:ind w:left="1373" w:right="658"/>
        <w:rPr>
          <w:sz w:val="24"/>
        </w:rPr>
      </w:pPr>
      <w:r>
        <w:rPr>
          <w:sz w:val="24"/>
        </w:rPr>
        <w:t>Place</w:t>
      </w:r>
      <w:r>
        <w:rPr>
          <w:spacing w:val="30"/>
          <w:sz w:val="24"/>
        </w:rPr>
        <w:t xml:space="preserve"> </w:t>
      </w:r>
      <w:r>
        <w:rPr>
          <w:sz w:val="24"/>
        </w:rPr>
        <w:t>all</w:t>
      </w:r>
      <w:r>
        <w:rPr>
          <w:spacing w:val="30"/>
          <w:sz w:val="24"/>
        </w:rPr>
        <w:t xml:space="preserve"> </w:t>
      </w:r>
      <w:r>
        <w:rPr>
          <w:sz w:val="24"/>
        </w:rPr>
        <w:t>used</w:t>
      </w:r>
      <w:r>
        <w:rPr>
          <w:spacing w:val="30"/>
          <w:sz w:val="24"/>
        </w:rPr>
        <w:t xml:space="preserve"> </w:t>
      </w:r>
      <w:r>
        <w:rPr>
          <w:sz w:val="24"/>
        </w:rPr>
        <w:t>syringes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pens</w:t>
      </w:r>
      <w:r>
        <w:rPr>
          <w:spacing w:val="30"/>
          <w:sz w:val="24"/>
        </w:rPr>
        <w:t xml:space="preserve"> </w:t>
      </w:r>
      <w:r>
        <w:rPr>
          <w:sz w:val="24"/>
        </w:rPr>
        <w:t>into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sharps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container</w:t>
      </w:r>
      <w:r>
        <w:rPr>
          <w:spacing w:val="30"/>
          <w:sz w:val="24"/>
        </w:rPr>
        <w:t xml:space="preserve"> </w:t>
      </w:r>
      <w:r>
        <w:rPr>
          <w:sz w:val="24"/>
        </w:rPr>
        <w:t>(puncture-proof</w:t>
      </w:r>
      <w:r>
        <w:rPr>
          <w:spacing w:val="28"/>
          <w:sz w:val="24"/>
        </w:rPr>
        <w:t xml:space="preserve"> </w:t>
      </w:r>
      <w:r>
        <w:rPr>
          <w:sz w:val="24"/>
        </w:rPr>
        <w:t>disposable</w:t>
      </w:r>
      <w:r>
        <w:rPr>
          <w:spacing w:val="-57"/>
          <w:sz w:val="24"/>
        </w:rPr>
        <w:t xml:space="preserve"> </w:t>
      </w:r>
      <w:r>
        <w:rPr>
          <w:sz w:val="24"/>
        </w:rPr>
        <w:t>container).</w:t>
      </w:r>
    </w:p>
    <w:p w14:paraId="427E56DB" w14:textId="77777777" w:rsidR="006C34D9" w:rsidRDefault="00CB5041">
      <w:pPr>
        <w:pStyle w:val="ListParagraph"/>
        <w:numPr>
          <w:ilvl w:val="2"/>
          <w:numId w:val="1"/>
        </w:numPr>
        <w:tabs>
          <w:tab w:val="left" w:pos="1373"/>
          <w:tab w:val="left" w:pos="1374"/>
        </w:tabs>
        <w:spacing w:before="39"/>
        <w:rPr>
          <w:sz w:val="24"/>
        </w:rPr>
      </w:pP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container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children.</w:t>
      </w:r>
    </w:p>
    <w:p w14:paraId="03D6DCD0" w14:textId="77777777" w:rsidR="006C34D9" w:rsidRDefault="00CB5041">
      <w:pPr>
        <w:pStyle w:val="ListParagraph"/>
        <w:numPr>
          <w:ilvl w:val="2"/>
          <w:numId w:val="1"/>
        </w:numPr>
        <w:tabs>
          <w:tab w:val="left" w:pos="1373"/>
          <w:tab w:val="left" w:pos="1374"/>
        </w:tabs>
        <w:spacing w:before="39"/>
        <w:rPr>
          <w:sz w:val="24"/>
        </w:rPr>
      </w:pPr>
      <w:r>
        <w:rPr>
          <w:sz w:val="24"/>
        </w:rPr>
        <w:t>Placing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sharps</w:t>
      </w:r>
      <w:r>
        <w:rPr>
          <w:spacing w:val="-1"/>
          <w:sz w:val="24"/>
        </w:rPr>
        <w:t xml:space="preserve"> </w:t>
      </w:r>
      <w:r>
        <w:rPr>
          <w:sz w:val="24"/>
        </w:rPr>
        <w:t>containers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household</w:t>
      </w:r>
      <w:r>
        <w:rPr>
          <w:spacing w:val="-3"/>
          <w:sz w:val="24"/>
        </w:rPr>
        <w:t xml:space="preserve"> </w:t>
      </w:r>
      <w:r>
        <w:rPr>
          <w:sz w:val="24"/>
        </w:rPr>
        <w:t>waste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avoided.</w:t>
      </w:r>
    </w:p>
    <w:p w14:paraId="64E1D574" w14:textId="77777777" w:rsidR="006C34D9" w:rsidRDefault="00CB5041">
      <w:pPr>
        <w:pStyle w:val="ListParagraph"/>
        <w:numPr>
          <w:ilvl w:val="2"/>
          <w:numId w:val="1"/>
        </w:numPr>
        <w:tabs>
          <w:tab w:val="left" w:pos="1373"/>
          <w:tab w:val="left" w:pos="1374"/>
        </w:tabs>
        <w:spacing w:before="37" w:line="244" w:lineRule="auto"/>
        <w:ind w:left="1373" w:right="659"/>
        <w:rPr>
          <w:sz w:val="24"/>
        </w:rPr>
      </w:pPr>
      <w:r>
        <w:rPr>
          <w:sz w:val="24"/>
        </w:rPr>
        <w:t>Dispose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full</w:t>
      </w:r>
      <w:r>
        <w:rPr>
          <w:spacing w:val="11"/>
          <w:sz w:val="24"/>
        </w:rPr>
        <w:t xml:space="preserve"> </w:t>
      </w:r>
      <w:r>
        <w:rPr>
          <w:sz w:val="24"/>
        </w:rPr>
        <w:t>container</w:t>
      </w:r>
      <w:r>
        <w:rPr>
          <w:spacing w:val="11"/>
          <w:sz w:val="24"/>
        </w:rPr>
        <w:t xml:space="preserve"> </w:t>
      </w:r>
      <w:r>
        <w:rPr>
          <w:sz w:val="24"/>
        </w:rPr>
        <w:t>according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local</w:t>
      </w:r>
      <w:r>
        <w:rPr>
          <w:spacing w:val="1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11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instructed</w:t>
      </w:r>
      <w:r>
        <w:rPr>
          <w:spacing w:val="11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your</w:t>
      </w:r>
      <w:r>
        <w:rPr>
          <w:spacing w:val="-57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"/>
          <w:sz w:val="24"/>
        </w:rPr>
        <w:t xml:space="preserve"> </w:t>
      </w:r>
      <w:r>
        <w:rPr>
          <w:sz w:val="24"/>
        </w:rPr>
        <w:t>provider.</w:t>
      </w:r>
    </w:p>
    <w:p w14:paraId="46C69E54" w14:textId="77777777" w:rsidR="006C34D9" w:rsidRDefault="00CB5041">
      <w:pPr>
        <w:pStyle w:val="BodyText"/>
        <w:spacing w:before="33"/>
      </w:pPr>
      <w:r>
        <w:t>For</w:t>
      </w:r>
      <w:r>
        <w:rPr>
          <w:spacing w:val="11"/>
        </w:rPr>
        <w:t xml:space="preserve"> </w:t>
      </w:r>
      <w:r>
        <w:t>home</w:t>
      </w:r>
      <w:r>
        <w:rPr>
          <w:spacing w:val="12"/>
        </w:rPr>
        <w:t xml:space="preserve"> </w:t>
      </w:r>
      <w:r>
        <w:t>use,</w:t>
      </w:r>
      <w:r>
        <w:rPr>
          <w:spacing w:val="12"/>
        </w:rPr>
        <w:t xml:space="preserve"> </w:t>
      </w:r>
      <w:r>
        <w:t>patients</w:t>
      </w:r>
      <w:r>
        <w:rPr>
          <w:spacing w:val="11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procure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puncture</w:t>
      </w:r>
      <w:r>
        <w:rPr>
          <w:spacing w:val="12"/>
        </w:rPr>
        <w:t xml:space="preserve"> </w:t>
      </w:r>
      <w:r>
        <w:t>resistant</w:t>
      </w:r>
      <w:r>
        <w:rPr>
          <w:spacing w:val="12"/>
        </w:rPr>
        <w:t xml:space="preserve"> </w:t>
      </w:r>
      <w:r>
        <w:t>container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disposal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used</w:t>
      </w:r>
      <w:r>
        <w:rPr>
          <w:spacing w:val="-57"/>
        </w:rPr>
        <w:t xml:space="preserve"> </w:t>
      </w:r>
      <w:r>
        <w:t>syringes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pens.</w:t>
      </w:r>
    </w:p>
    <w:p w14:paraId="4CB4D887" w14:textId="77777777" w:rsidR="006C34D9" w:rsidRDefault="00CB5041">
      <w:pPr>
        <w:pStyle w:val="Heading2"/>
        <w:numPr>
          <w:ilvl w:val="1"/>
          <w:numId w:val="1"/>
        </w:numPr>
        <w:tabs>
          <w:tab w:val="left" w:pos="1445"/>
          <w:tab w:val="left" w:pos="1446"/>
        </w:tabs>
        <w:spacing w:before="203" w:line="412" w:lineRule="auto"/>
        <w:ind w:left="659" w:right="4865" w:firstLine="0"/>
      </w:pPr>
      <w:bookmarkStart w:id="145" w:name="6.7_PHYSICOCHEMICAL_PROPERTIES"/>
      <w:bookmarkStart w:id="146" w:name="Chemical_structure"/>
      <w:bookmarkEnd w:id="145"/>
      <w:bookmarkEnd w:id="146"/>
      <w:r>
        <w:t>PHYSICOCHEMICAL PROPERTIES</w:t>
      </w:r>
      <w:r>
        <w:rPr>
          <w:spacing w:val="-57"/>
        </w:rPr>
        <w:t xml:space="preserve"> </w:t>
      </w:r>
      <w:r>
        <w:t>Chemical</w:t>
      </w:r>
      <w:r>
        <w:rPr>
          <w:spacing w:val="-1"/>
        </w:rPr>
        <w:t xml:space="preserve"> </w:t>
      </w:r>
      <w:r>
        <w:t>structure</w:t>
      </w:r>
    </w:p>
    <w:p w14:paraId="50E38EFB" w14:textId="77777777" w:rsidR="006C34D9" w:rsidRDefault="00CB5041">
      <w:pPr>
        <w:pStyle w:val="BodyText"/>
        <w:spacing w:before="5"/>
        <w:ind w:left="0"/>
        <w:rPr>
          <w:b/>
          <w:sz w:val="8"/>
        </w:rPr>
      </w:pPr>
      <w:r>
        <w:pict w14:anchorId="3E7867ED">
          <v:group id="docshapegroup3" o:spid="_x0000_s2050" style="position:absolute;margin-left:72.8pt;margin-top:6.05pt;width:98.6pt;height:80.25pt;z-index:-251656192;mso-wrap-distance-left:0;mso-wrap-distance-right:0;mso-position-horizontal-relative:page" coordorigin="1456,121" coordsize="1972,1605">
            <v:line id="_x0000_s2063" style="position:absolute" from="2193,1308" to="2132,1182" strokeweight="2.25pt"/>
            <v:line id="_x0000_s2062" style="position:absolute" from="2242,1125" to="2490,1013" strokeweight="2.25pt"/>
            <v:line id="_x0000_s2061" style="position:absolute" from="2127,619" to="2179,522" strokeweight="2.25pt"/>
            <v:line id="_x0000_s2060" style="position:absolute" from="2225,712" to="2498,834" strokeweight="2.25pt"/>
            <v:line id="_x0000_s2059" style="position:absolute" from="2414,1045" to="2414,796" strokeweight="2.25pt"/>
            <v:line id="_x0000_s2058" style="position:absolute" from="2355,1076" to="2355,767" strokeweight="2.25pt"/>
            <v:shape id="docshape4" o:spid="_x0000_s2057" style="position:absolute;left:2446;top:765;width:974;height:305" coordorigin="2446,766" coordsize="974,305" o:spt="100" adj="0,,0" path="m2446,962r974,l3420,1070r-974,l2446,962xm2446,766r974,l3420,870r-974,l2446,766xe" filled="f">
              <v:stroke joinstyle="round"/>
              <v:formulas/>
              <v:path arrowok="t" o:connecttype="segments"/>
            </v:shape>
            <v:shape id="docshape5" o:spid="_x0000_s2056" style="position:absolute;left:1477;top:1071;width:812;height:462" coordorigin="1477,1072" coordsize="812,462" path="m1518,1534r-41,-83l2248,1072r41,82l1518,1534xe" filled="f">
              <v:path arrowok="t"/>
            </v:shape>
            <v:shape id="docshape6" o:spid="_x0000_s2055" style="position:absolute;left:1543;top:1239;width:813;height:464" coordorigin="1544,1240" coordsize="813,464" path="m1585,1703r-41,-84l2315,1240r41,84l1585,1703xe" filled="f">
              <v:path arrowok="t"/>
            </v:shape>
            <v:shape id="docshape7" o:spid="_x0000_s2054" style="position:absolute;left:1538;top:143;width:814;height:464" coordorigin="1538,144" coordsize="814,464" path="m1580,144r-42,84l2310,607r42,-83l1580,144xe" filled="f">
              <v:path arrowok="t"/>
            </v:shape>
            <v:shape id="docshape8" o:spid="_x0000_s2053" style="position:absolute;left:1463;top:292;width:813;height:465" coordorigin="1463,293" coordsize="813,465" path="m1505,293r-42,85l2234,757r42,-85l1505,293x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2052" type="#_x0000_t75" style="position:absolute;left:1494;top:121;width:216;height:313">
              <v:imagedata r:id="rId15" o:title=""/>
            </v:shape>
            <v:shape id="docshape10" o:spid="_x0000_s2051" type="#_x0000_t75" style="position:absolute;left:1501;top:1402;width:219;height:324">
              <v:imagedata r:id="rId16" o:title=""/>
            </v:shape>
            <w10:wrap type="topAndBottom" anchorx="page"/>
          </v:group>
        </w:pict>
      </w:r>
    </w:p>
    <w:p w14:paraId="44F10827" w14:textId="77777777" w:rsidR="006C34D9" w:rsidRDefault="006C34D9">
      <w:pPr>
        <w:pStyle w:val="BodyText"/>
        <w:spacing w:before="5"/>
        <w:ind w:left="0"/>
        <w:rPr>
          <w:b/>
        </w:rPr>
      </w:pPr>
    </w:p>
    <w:p w14:paraId="6DD29941" w14:textId="77777777" w:rsidR="006C34D9" w:rsidRDefault="00CB5041">
      <w:pPr>
        <w:pStyle w:val="BodyText"/>
        <w:ind w:left="659" w:right="656"/>
        <w:jc w:val="both"/>
      </w:pPr>
      <w:r>
        <w:t xml:space="preserve">Actemra is a recombinant </w:t>
      </w:r>
      <w:proofErr w:type="spellStart"/>
      <w:r>
        <w:t>humanised</w:t>
      </w:r>
      <w:proofErr w:type="spellEnd"/>
      <w:r>
        <w:t xml:space="preserve"> monoclonal antibody of the immunoglobulin (Ig) IgG1</w:t>
      </w:r>
      <w:r>
        <w:rPr>
          <w:spacing w:val="1"/>
        </w:rPr>
        <w:t xml:space="preserve"> </w:t>
      </w:r>
      <w:r>
        <w:t>subclass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binds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interleukin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(IL-6)</w:t>
      </w:r>
      <w:r>
        <w:rPr>
          <w:spacing w:val="1"/>
        </w:rPr>
        <w:t xml:space="preserve"> </w:t>
      </w:r>
      <w:r>
        <w:t>receptors.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composed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heterodimers, each of which consists of a heavy and a light polypeptide chain. The light chain</w:t>
      </w:r>
      <w:r>
        <w:rPr>
          <w:spacing w:val="-57"/>
        </w:rPr>
        <w:t xml:space="preserve"> </w:t>
      </w:r>
      <w:r>
        <w:t>contains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214</w:t>
      </w:r>
      <w:r>
        <w:rPr>
          <w:spacing w:val="-7"/>
        </w:rPr>
        <w:t xml:space="preserve"> </w:t>
      </w:r>
      <w:r>
        <w:t>amino</w:t>
      </w:r>
      <w:r>
        <w:rPr>
          <w:spacing w:val="-7"/>
        </w:rPr>
        <w:t xml:space="preserve"> </w:t>
      </w:r>
      <w:r>
        <w:t>acids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heavy</w:t>
      </w:r>
      <w:r>
        <w:rPr>
          <w:spacing w:val="-7"/>
        </w:rPr>
        <w:t xml:space="preserve"> </w:t>
      </w:r>
      <w:r>
        <w:t>chain</w:t>
      </w:r>
      <w:r>
        <w:rPr>
          <w:spacing w:val="-9"/>
        </w:rPr>
        <w:t xml:space="preserve"> </w:t>
      </w:r>
      <w:r>
        <w:t>448</w:t>
      </w:r>
      <w:r>
        <w:rPr>
          <w:spacing w:val="-7"/>
        </w:rPr>
        <w:t xml:space="preserve"> </w:t>
      </w:r>
      <w:r>
        <w:t>amino</w:t>
      </w:r>
      <w:r>
        <w:rPr>
          <w:spacing w:val="-7"/>
        </w:rPr>
        <w:t xml:space="preserve"> </w:t>
      </w:r>
      <w:r>
        <w:t>acids.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polypeptide</w:t>
      </w:r>
      <w:r>
        <w:rPr>
          <w:spacing w:val="-8"/>
        </w:rPr>
        <w:t xml:space="preserve"> </w:t>
      </w:r>
      <w:r>
        <w:t>chains</w:t>
      </w:r>
      <w:r>
        <w:rPr>
          <w:spacing w:val="-58"/>
        </w:rPr>
        <w:t xml:space="preserve"> </w:t>
      </w:r>
      <w:r>
        <w:t>are linked intra- and inter-molecularly by disulfide bonds. Actemra has a molecular weight of</w:t>
      </w:r>
      <w:r>
        <w:rPr>
          <w:spacing w:val="-57"/>
        </w:rPr>
        <w:t xml:space="preserve"> </w:t>
      </w:r>
      <w:r>
        <w:t>approximately 148,000 Daltons. Actemra binds to both soluble and membrane-bound IL-6</w:t>
      </w:r>
      <w:r>
        <w:rPr>
          <w:spacing w:val="1"/>
        </w:rPr>
        <w:t xml:space="preserve"> </w:t>
      </w:r>
      <w:bookmarkStart w:id="147" w:name="CAS_number"/>
      <w:bookmarkEnd w:id="147"/>
      <w:r>
        <w:t>receptors</w:t>
      </w:r>
      <w:r>
        <w:rPr>
          <w:spacing w:val="-2"/>
        </w:rPr>
        <w:t xml:space="preserve"> </w:t>
      </w:r>
      <w:r>
        <w:t>(sIL-6R</w:t>
      </w:r>
      <w:r>
        <w:rPr>
          <w:spacing w:val="-1"/>
        </w:rPr>
        <w:t xml:space="preserve"> </w:t>
      </w:r>
      <w:r>
        <w:t>and mIL-6R).</w:t>
      </w:r>
    </w:p>
    <w:p w14:paraId="434E51B1" w14:textId="77777777" w:rsidR="006C34D9" w:rsidRDefault="00CB5041">
      <w:pPr>
        <w:pStyle w:val="Heading2"/>
        <w:spacing w:before="202"/>
        <w:ind w:left="659"/>
        <w:jc w:val="left"/>
      </w:pPr>
      <w:r>
        <w:t>CAS</w:t>
      </w:r>
      <w:r>
        <w:rPr>
          <w:spacing w:val="-3"/>
        </w:rPr>
        <w:t xml:space="preserve"> </w:t>
      </w:r>
      <w:r>
        <w:t>number</w:t>
      </w:r>
    </w:p>
    <w:p w14:paraId="2EA0CF8A" w14:textId="77777777" w:rsidR="006C34D9" w:rsidRDefault="006C34D9">
      <w:pPr>
        <w:sectPr w:rsidR="006C34D9">
          <w:pgSz w:w="11910" w:h="16840"/>
          <w:pgMar w:top="1360" w:right="780" w:bottom="780" w:left="780" w:header="0" w:footer="592" w:gutter="0"/>
          <w:cols w:space="720"/>
        </w:sectPr>
      </w:pPr>
    </w:p>
    <w:p w14:paraId="6A46AB9C" w14:textId="77777777" w:rsidR="006C34D9" w:rsidRDefault="00CB5041">
      <w:pPr>
        <w:pStyle w:val="BodyText"/>
        <w:spacing w:before="79"/>
      </w:pPr>
      <w:r>
        <w:lastRenderedPageBreak/>
        <w:t>375823-41-9</w:t>
      </w:r>
    </w:p>
    <w:p w14:paraId="34326EA4" w14:textId="77777777" w:rsidR="006C34D9" w:rsidRDefault="006C34D9">
      <w:pPr>
        <w:pStyle w:val="BodyText"/>
        <w:spacing w:before="1"/>
        <w:ind w:left="0"/>
        <w:rPr>
          <w:sz w:val="21"/>
        </w:rPr>
      </w:pPr>
    </w:p>
    <w:p w14:paraId="0DCB63CC" w14:textId="77777777" w:rsidR="006C34D9" w:rsidRDefault="00CB5041">
      <w:pPr>
        <w:pStyle w:val="Heading1"/>
        <w:numPr>
          <w:ilvl w:val="0"/>
          <w:numId w:val="1"/>
        </w:numPr>
        <w:tabs>
          <w:tab w:val="left" w:pos="1079"/>
          <w:tab w:val="left" w:pos="1080"/>
        </w:tabs>
        <w:spacing w:line="240" w:lineRule="auto"/>
        <w:ind w:left="1080" w:hanging="421"/>
      </w:pPr>
      <w:bookmarkStart w:id="148" w:name="7.__MEDICINE_SCHEDULE_(POISONS_STANDARD)"/>
      <w:bookmarkEnd w:id="148"/>
      <w:r>
        <w:t>MEDICINE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(POISONS</w:t>
      </w:r>
      <w:r>
        <w:rPr>
          <w:spacing w:val="-6"/>
        </w:rPr>
        <w:t xml:space="preserve"> </w:t>
      </w:r>
      <w:r>
        <w:t>STANDARD)</w:t>
      </w:r>
    </w:p>
    <w:p w14:paraId="4EC030E5" w14:textId="77777777" w:rsidR="006C34D9" w:rsidRDefault="006C34D9">
      <w:pPr>
        <w:pStyle w:val="BodyText"/>
        <w:spacing w:before="8"/>
        <w:ind w:left="0"/>
        <w:rPr>
          <w:b/>
          <w:sz w:val="20"/>
        </w:rPr>
      </w:pPr>
    </w:p>
    <w:p w14:paraId="3E20AC57" w14:textId="77777777" w:rsidR="006C34D9" w:rsidRDefault="00CB5041">
      <w:pPr>
        <w:pStyle w:val="BodyText"/>
      </w:pPr>
      <w:r>
        <w:t>Prescription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(S4)</w:t>
      </w:r>
    </w:p>
    <w:p w14:paraId="068055B5" w14:textId="77777777" w:rsidR="006C34D9" w:rsidRDefault="006C34D9">
      <w:pPr>
        <w:pStyle w:val="BodyText"/>
        <w:spacing w:before="1"/>
        <w:ind w:left="0"/>
        <w:rPr>
          <w:sz w:val="21"/>
        </w:rPr>
      </w:pPr>
    </w:p>
    <w:p w14:paraId="0464BAE7" w14:textId="77777777" w:rsidR="006C34D9" w:rsidRDefault="00CB5041">
      <w:pPr>
        <w:pStyle w:val="Heading1"/>
        <w:numPr>
          <w:ilvl w:val="0"/>
          <w:numId w:val="1"/>
        </w:numPr>
        <w:tabs>
          <w:tab w:val="left" w:pos="1020"/>
        </w:tabs>
        <w:spacing w:line="240" w:lineRule="auto"/>
      </w:pPr>
      <w:bookmarkStart w:id="149" w:name="8._SPONSOR"/>
      <w:bookmarkEnd w:id="149"/>
      <w:r>
        <w:t>SPONSOR</w:t>
      </w:r>
    </w:p>
    <w:p w14:paraId="2762E199" w14:textId="77777777" w:rsidR="006C34D9" w:rsidRDefault="006C34D9">
      <w:pPr>
        <w:pStyle w:val="BodyText"/>
        <w:spacing w:before="7"/>
        <w:ind w:left="0"/>
        <w:rPr>
          <w:b/>
          <w:sz w:val="20"/>
        </w:rPr>
      </w:pPr>
    </w:p>
    <w:p w14:paraId="17756E78" w14:textId="77777777" w:rsidR="006C34D9" w:rsidRDefault="00CB5041">
      <w:pPr>
        <w:pStyle w:val="BodyText"/>
        <w:ind w:right="6956"/>
      </w:pPr>
      <w:r>
        <w:t>Roche Products Pty Limited</w:t>
      </w:r>
      <w:r>
        <w:rPr>
          <w:spacing w:val="-57"/>
        </w:rPr>
        <w:t xml:space="preserve"> </w:t>
      </w:r>
      <w:r>
        <w:t>ABN</w:t>
      </w:r>
      <w:r>
        <w:rPr>
          <w:spacing w:val="-2"/>
        </w:rPr>
        <w:t xml:space="preserve"> </w:t>
      </w:r>
      <w:r>
        <w:t>70 000</w:t>
      </w:r>
      <w:r>
        <w:rPr>
          <w:spacing w:val="1"/>
        </w:rPr>
        <w:t xml:space="preserve"> </w:t>
      </w:r>
      <w:r>
        <w:t>132 865</w:t>
      </w:r>
    </w:p>
    <w:p w14:paraId="0F1BBACD" w14:textId="77777777" w:rsidR="006C34D9" w:rsidRDefault="00CB5041">
      <w:pPr>
        <w:pStyle w:val="BodyText"/>
      </w:pPr>
      <w:r>
        <w:t>Level</w:t>
      </w:r>
      <w:r>
        <w:rPr>
          <w:spacing w:val="-1"/>
        </w:rPr>
        <w:t xml:space="preserve"> </w:t>
      </w:r>
      <w:r>
        <w:t>8, 30</w:t>
      </w:r>
      <w:r>
        <w:rPr>
          <w:spacing w:val="-3"/>
        </w:rPr>
        <w:t xml:space="preserve"> </w:t>
      </w:r>
      <w:r>
        <w:t>– 34</w:t>
      </w:r>
      <w:r>
        <w:rPr>
          <w:spacing w:val="-1"/>
        </w:rPr>
        <w:t xml:space="preserve"> </w:t>
      </w:r>
      <w:r>
        <w:t>Hickson Road</w:t>
      </w:r>
    </w:p>
    <w:p w14:paraId="35DA0FB5" w14:textId="77777777" w:rsidR="006C34D9" w:rsidRDefault="00CB5041">
      <w:pPr>
        <w:pStyle w:val="BodyText"/>
        <w:ind w:right="7816"/>
      </w:pPr>
      <w:r>
        <w:t>Sydney NSW 2000</w:t>
      </w:r>
      <w:r>
        <w:rPr>
          <w:spacing w:val="-57"/>
        </w:rPr>
        <w:t xml:space="preserve"> </w:t>
      </w:r>
      <w:r>
        <w:t>AUSTRALIA</w:t>
      </w:r>
    </w:p>
    <w:p w14:paraId="0999664D" w14:textId="77777777" w:rsidR="006C34D9" w:rsidRDefault="006C34D9">
      <w:pPr>
        <w:pStyle w:val="BodyText"/>
        <w:ind w:left="0"/>
      </w:pPr>
    </w:p>
    <w:p w14:paraId="5CF65FC1" w14:textId="77777777" w:rsidR="006C34D9" w:rsidRDefault="00CB5041">
      <w:pPr>
        <w:pStyle w:val="BodyText"/>
        <w:spacing w:before="1"/>
      </w:pPr>
      <w:r>
        <w:t>Medical</w:t>
      </w:r>
      <w:r>
        <w:rPr>
          <w:spacing w:val="-1"/>
        </w:rPr>
        <w:t xml:space="preserve"> </w:t>
      </w:r>
      <w:r>
        <w:t>enquiries:</w:t>
      </w:r>
      <w:r>
        <w:rPr>
          <w:spacing w:val="-1"/>
        </w:rPr>
        <w:t xml:space="preserve"> </w:t>
      </w:r>
      <w:r>
        <w:t>1800</w:t>
      </w:r>
      <w:r>
        <w:rPr>
          <w:spacing w:val="-3"/>
        </w:rPr>
        <w:t xml:space="preserve"> </w:t>
      </w:r>
      <w:r>
        <w:t>233</w:t>
      </w:r>
      <w:r>
        <w:rPr>
          <w:spacing w:val="-1"/>
        </w:rPr>
        <w:t xml:space="preserve"> </w:t>
      </w:r>
      <w:r>
        <w:t>950</w:t>
      </w:r>
    </w:p>
    <w:p w14:paraId="72C44966" w14:textId="77777777" w:rsidR="006C34D9" w:rsidRDefault="006C34D9">
      <w:pPr>
        <w:pStyle w:val="BodyText"/>
        <w:spacing w:before="2"/>
        <w:ind w:left="0"/>
      </w:pPr>
    </w:p>
    <w:p w14:paraId="6F40C989" w14:textId="77777777" w:rsidR="006C34D9" w:rsidRDefault="00CB5041">
      <w:pPr>
        <w:pStyle w:val="Heading1"/>
        <w:numPr>
          <w:ilvl w:val="0"/>
          <w:numId w:val="1"/>
        </w:numPr>
        <w:tabs>
          <w:tab w:val="left" w:pos="1020"/>
        </w:tabs>
      </w:pPr>
      <w:bookmarkStart w:id="150" w:name="9._DATE_OF_FIRST_APPROVAL"/>
      <w:bookmarkEnd w:id="150"/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APPROVAL</w:t>
      </w:r>
    </w:p>
    <w:p w14:paraId="238073CC" w14:textId="77777777" w:rsidR="006C34D9" w:rsidRDefault="00CB5041">
      <w:pPr>
        <w:pStyle w:val="BodyText"/>
        <w:spacing w:line="275" w:lineRule="exact"/>
      </w:pPr>
      <w:bookmarkStart w:id="151" w:name="10._DATE_OF_REVISION_OF_THE_TEXT"/>
      <w:bookmarkEnd w:id="151"/>
      <w:r>
        <w:t>21</w:t>
      </w:r>
      <w:r>
        <w:rPr>
          <w:spacing w:val="-1"/>
        </w:rPr>
        <w:t xml:space="preserve"> </w:t>
      </w:r>
      <w:r>
        <w:t>May 2009</w:t>
      </w:r>
    </w:p>
    <w:p w14:paraId="11E729A9" w14:textId="77777777" w:rsidR="006C34D9" w:rsidRDefault="006C34D9">
      <w:pPr>
        <w:pStyle w:val="BodyText"/>
        <w:ind w:left="0"/>
        <w:rPr>
          <w:sz w:val="26"/>
        </w:rPr>
      </w:pPr>
    </w:p>
    <w:p w14:paraId="6C35F5FC" w14:textId="77777777" w:rsidR="006C34D9" w:rsidRDefault="00CB5041">
      <w:pPr>
        <w:pStyle w:val="Heading1"/>
        <w:numPr>
          <w:ilvl w:val="0"/>
          <w:numId w:val="1"/>
        </w:numPr>
        <w:tabs>
          <w:tab w:val="left" w:pos="1020"/>
        </w:tabs>
        <w:spacing w:before="183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TEXT</w:t>
      </w:r>
    </w:p>
    <w:p w14:paraId="6D2AAA39" w14:textId="77777777" w:rsidR="006C34D9" w:rsidRDefault="00CB5041">
      <w:pPr>
        <w:pStyle w:val="BodyText"/>
        <w:spacing w:line="275" w:lineRule="exact"/>
      </w:pPr>
      <w:r>
        <w:t>XXXX</w:t>
      </w:r>
    </w:p>
    <w:p w14:paraId="18D13948" w14:textId="77777777" w:rsidR="006C34D9" w:rsidRDefault="00CB5041">
      <w:pPr>
        <w:spacing w:before="202"/>
        <w:ind w:left="660"/>
        <w:rPr>
          <w:b/>
          <w:sz w:val="24"/>
        </w:rPr>
      </w:pPr>
      <w:bookmarkStart w:id="152" w:name="Summary_table_of_changes"/>
      <w:bookmarkEnd w:id="152"/>
      <w:r>
        <w:rPr>
          <w:b/>
          <w:sz w:val="24"/>
        </w:rPr>
        <w:t>Summary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changes</w:t>
      </w:r>
    </w:p>
    <w:p w14:paraId="2D8F3A47" w14:textId="77777777" w:rsidR="006C34D9" w:rsidRDefault="006C34D9">
      <w:pPr>
        <w:pStyle w:val="BodyText"/>
        <w:ind w:left="0"/>
        <w:rPr>
          <w:b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7291"/>
      </w:tblGrid>
      <w:tr w:rsidR="006C34D9" w14:paraId="3D75BD72" w14:textId="77777777">
        <w:trPr>
          <w:trHeight w:val="275"/>
        </w:trPr>
        <w:tc>
          <w:tcPr>
            <w:tcW w:w="1951" w:type="dxa"/>
          </w:tcPr>
          <w:p w14:paraId="6ABB7554" w14:textId="77777777" w:rsidR="006C34D9" w:rsidRDefault="00CB504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Changed</w:t>
            </w:r>
          </w:p>
        </w:tc>
        <w:tc>
          <w:tcPr>
            <w:tcW w:w="7291" w:type="dxa"/>
          </w:tcPr>
          <w:p w14:paraId="349118EB" w14:textId="77777777" w:rsidR="006C34D9" w:rsidRDefault="00CB504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Summary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</w:tr>
      <w:tr w:rsidR="006C34D9" w14:paraId="728E38D9" w14:textId="77777777">
        <w:trPr>
          <w:trHeight w:val="552"/>
        </w:trPr>
        <w:tc>
          <w:tcPr>
            <w:tcW w:w="1951" w:type="dxa"/>
          </w:tcPr>
          <w:p w14:paraId="68F1A297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4.1,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4.8,</w:t>
            </w:r>
          </w:p>
          <w:p w14:paraId="18F77571" w14:textId="77777777" w:rsidR="006C34D9" w:rsidRDefault="00CB504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5.1, 5.2</w:t>
            </w:r>
          </w:p>
        </w:tc>
        <w:tc>
          <w:tcPr>
            <w:tcW w:w="7291" w:type="dxa"/>
          </w:tcPr>
          <w:p w14:paraId="686129D1" w14:textId="77777777" w:rsidR="006C34D9" w:rsidRDefault="00CB50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Addition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</w:tbl>
    <w:p w14:paraId="5527DBAF" w14:textId="77777777" w:rsidR="00CB5041" w:rsidRDefault="00CB5041"/>
    <w:sectPr w:rsidR="00CB5041">
      <w:pgSz w:w="11910" w:h="16840"/>
      <w:pgMar w:top="1340" w:right="780" w:bottom="780" w:left="780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258D6" w14:textId="77777777" w:rsidR="00CB5041" w:rsidRDefault="00CB5041">
      <w:r>
        <w:separator/>
      </w:r>
    </w:p>
  </w:endnote>
  <w:endnote w:type="continuationSeparator" w:id="0">
    <w:p w14:paraId="6ECA1336" w14:textId="77777777" w:rsidR="00CB5041" w:rsidRDefault="00CB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B050A" w14:textId="77777777" w:rsidR="00CB5041" w:rsidRDefault="00CB5041">
    <w:pPr>
      <w:pStyle w:val="BodyText"/>
      <w:spacing w:line="14" w:lineRule="auto"/>
      <w:ind w:left="0"/>
      <w:rPr>
        <w:sz w:val="20"/>
      </w:rPr>
    </w:pPr>
    <w:r>
      <w:pict w14:anchorId="750674B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71pt;margin-top:801.35pt;width:78.95pt;height:13.1pt;z-index:-18361344;mso-position-horizontal-relative:page;mso-position-vertical-relative:page" filled="f" stroked="f">
          <v:textbox inset="0,0,0,0">
            <w:txbxContent>
              <w:p w14:paraId="4729D20F" w14:textId="77777777" w:rsidR="00CB5041" w:rsidRDefault="00CB5041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Actemra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210802_d</w:t>
                </w:r>
              </w:p>
            </w:txbxContent>
          </v:textbox>
          <w10:wrap anchorx="page" anchory="page"/>
        </v:shape>
      </w:pict>
    </w:r>
    <w:r>
      <w:pict w14:anchorId="13B94F74">
        <v:shape id="docshape2" o:spid="_x0000_s1025" type="#_x0000_t202" style="position:absolute;margin-left:510.3pt;margin-top:801.35pt;width:17.1pt;height:13.1pt;z-index:-18360832;mso-position-horizontal-relative:page;mso-position-vertical-relative:page" filled="f" stroked="f">
          <v:textbox inset="0,0,0,0">
            <w:txbxContent>
              <w:p w14:paraId="1949D528" w14:textId="77777777" w:rsidR="00CB5041" w:rsidRDefault="00CB5041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7CB09" w14:textId="77777777" w:rsidR="00CB5041" w:rsidRDefault="00CB5041">
      <w:r>
        <w:separator/>
      </w:r>
    </w:p>
  </w:footnote>
  <w:footnote w:type="continuationSeparator" w:id="0">
    <w:p w14:paraId="67BE163F" w14:textId="77777777" w:rsidR="00CB5041" w:rsidRDefault="00CB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C6404" w14:textId="187F91AF" w:rsidR="00CB5041" w:rsidRDefault="00CB5041" w:rsidP="00CB5041">
    <w:pPr>
      <w:pStyle w:val="Header"/>
      <w:spacing w:after="6"/>
    </w:pPr>
  </w:p>
  <w:tbl>
    <w:tblPr>
      <w:tblStyle w:val="TableGrid"/>
      <w:tblW w:w="0" w:type="auto"/>
      <w:jc w:val="center"/>
      <w:shd w:val="clear" w:color="auto" w:fill="E4F2E0"/>
      <w:tblLook w:val="04A0" w:firstRow="1" w:lastRow="0" w:firstColumn="1" w:lastColumn="0" w:noHBand="0" w:noVBand="1"/>
    </w:tblPr>
    <w:tblGrid>
      <w:gridCol w:w="9039"/>
    </w:tblGrid>
    <w:tr w:rsidR="00CB5041" w:rsidRPr="000B2145" w14:paraId="2CD15F3A" w14:textId="77777777" w:rsidTr="00CB5041">
      <w:trPr>
        <w:trHeight w:val="1012"/>
        <w:jc w:val="center"/>
      </w:trPr>
      <w:tc>
        <w:tcPr>
          <w:tcW w:w="9039" w:type="dxa"/>
          <w:shd w:val="clear" w:color="auto" w:fill="E4F2E0"/>
        </w:tcPr>
        <w:p w14:paraId="34FF8A74" w14:textId="77777777" w:rsidR="00CB5041" w:rsidRPr="00A1547E" w:rsidRDefault="00CB5041" w:rsidP="00CB5041">
          <w:pPr>
            <w:pStyle w:val="Footer"/>
            <w:rPr>
              <w:b/>
              <w:sz w:val="18"/>
              <w:szCs w:val="18"/>
            </w:rPr>
          </w:pPr>
          <w:bookmarkStart w:id="7" w:name="_Hlk80611440"/>
          <w:r w:rsidRPr="000E4791">
            <w:rPr>
              <w:b/>
              <w:sz w:val="18"/>
              <w:szCs w:val="18"/>
            </w:rPr>
            <w:t>Attachment 1</w:t>
          </w:r>
          <w:r>
            <w:t xml:space="preserve"> </w:t>
          </w:r>
          <w:proofErr w:type="spellStart"/>
          <w:r w:rsidRPr="00F406F1">
            <w:rPr>
              <w:b/>
              <w:sz w:val="18"/>
              <w:szCs w:val="18"/>
            </w:rPr>
            <w:t>AusPAR</w:t>
          </w:r>
          <w:proofErr w:type="spellEnd"/>
          <w:r w:rsidRPr="00F406F1">
            <w:rPr>
              <w:b/>
              <w:sz w:val="18"/>
              <w:szCs w:val="18"/>
            </w:rPr>
            <w:t xml:space="preserve"> - </w:t>
          </w:r>
          <w:r w:rsidRPr="00A1547E">
            <w:rPr>
              <w:b/>
              <w:sz w:val="18"/>
              <w:szCs w:val="18"/>
            </w:rPr>
            <w:t>Actemra – Tocilizumab - Roche Products Pty Ltd - PM-2021-04601-1-2</w:t>
          </w:r>
        </w:p>
        <w:p w14:paraId="4A6F59B5" w14:textId="77777777" w:rsidR="00CB5041" w:rsidRPr="000E4791" w:rsidRDefault="00CB5041" w:rsidP="00CB5041">
          <w:pPr>
            <w:pStyle w:val="Footer"/>
            <w:rPr>
              <w:b/>
              <w:sz w:val="18"/>
              <w:szCs w:val="18"/>
            </w:rPr>
          </w:pPr>
          <w:r w:rsidRPr="00A1547E">
            <w:rPr>
              <w:b/>
              <w:sz w:val="18"/>
              <w:szCs w:val="18"/>
            </w:rPr>
            <w:t>Final – 5 January 2022</w:t>
          </w:r>
          <w:r w:rsidRPr="000E4791">
            <w:rPr>
              <w:b/>
            </w:rPr>
            <w:t>.</w:t>
          </w:r>
          <w:r w:rsidRPr="000E4791">
            <w:rPr>
              <w:b/>
              <w:sz w:val="18"/>
              <w:szCs w:val="18"/>
            </w:rPr>
            <w:t xml:space="preserve"> This is the Product Information that was approved with the submission described in this </w:t>
          </w:r>
          <w:proofErr w:type="spellStart"/>
          <w:r w:rsidRPr="000E4791">
            <w:rPr>
              <w:b/>
              <w:sz w:val="18"/>
              <w:szCs w:val="18"/>
            </w:rPr>
            <w:t>AusPAR</w:t>
          </w:r>
          <w:proofErr w:type="spellEnd"/>
          <w:r w:rsidRPr="000E4791">
            <w:rPr>
              <w:b/>
              <w:sz w:val="18"/>
              <w:szCs w:val="18"/>
            </w:rPr>
            <w:t>. It may have been superseded. For the most recent PI, please refer to the TGA website at &lt;</w:t>
          </w:r>
          <w:hyperlink r:id="rId1" w:history="1">
            <w:r w:rsidRPr="000E4791">
              <w:rPr>
                <w:rStyle w:val="Hyperlink"/>
                <w:b/>
                <w:sz w:val="18"/>
                <w:szCs w:val="18"/>
              </w:rPr>
              <w:t>https://www.tga.gov.au/product-information-pi</w:t>
            </w:r>
          </w:hyperlink>
          <w:r w:rsidRPr="000E4791">
            <w:rPr>
              <w:b/>
              <w:sz w:val="18"/>
              <w:szCs w:val="18"/>
              <w:u w:val="single"/>
            </w:rPr>
            <w:t>&gt;</w:t>
          </w:r>
        </w:p>
      </w:tc>
    </w:tr>
    <w:bookmarkEnd w:id="7"/>
  </w:tbl>
  <w:p w14:paraId="7104939A" w14:textId="77777777" w:rsidR="00CB5041" w:rsidRDefault="00CB5041" w:rsidP="00CB504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F753C"/>
    <w:multiLevelType w:val="hybridMultilevel"/>
    <w:tmpl w:val="BE0EC03E"/>
    <w:lvl w:ilvl="0" w:tplc="9CE0AB00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CE82108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2" w:tplc="BAD63DE2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3" w:tplc="93E8B158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4" w:tplc="06ECF4CE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5" w:tplc="2ABE36E2"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6" w:tplc="CCA6AD96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D43697FE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8EBEAABE">
      <w:numFmt w:val="bullet"/>
      <w:lvlText w:val="•"/>
      <w:lvlJc w:val="left"/>
      <w:pPr>
        <w:ind w:left="84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817AD3"/>
    <w:multiLevelType w:val="hybridMultilevel"/>
    <w:tmpl w:val="69F0AFA0"/>
    <w:lvl w:ilvl="0" w:tplc="17882C12">
      <w:numFmt w:val="bullet"/>
      <w:lvlText w:val="*"/>
      <w:lvlJc w:val="left"/>
      <w:pPr>
        <w:ind w:left="81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61646A6">
      <w:numFmt w:val="bullet"/>
      <w:lvlText w:val="•"/>
      <w:lvlJc w:val="left"/>
      <w:pPr>
        <w:ind w:left="1754" w:hanging="150"/>
      </w:pPr>
      <w:rPr>
        <w:rFonts w:hint="default"/>
        <w:lang w:val="en-US" w:eastAsia="en-US" w:bidi="ar-SA"/>
      </w:rPr>
    </w:lvl>
    <w:lvl w:ilvl="2" w:tplc="D3AAD87A">
      <w:numFmt w:val="bullet"/>
      <w:lvlText w:val="•"/>
      <w:lvlJc w:val="left"/>
      <w:pPr>
        <w:ind w:left="2709" w:hanging="150"/>
      </w:pPr>
      <w:rPr>
        <w:rFonts w:hint="default"/>
        <w:lang w:val="en-US" w:eastAsia="en-US" w:bidi="ar-SA"/>
      </w:rPr>
    </w:lvl>
    <w:lvl w:ilvl="3" w:tplc="412E09BA">
      <w:numFmt w:val="bullet"/>
      <w:lvlText w:val="•"/>
      <w:lvlJc w:val="left"/>
      <w:pPr>
        <w:ind w:left="3663" w:hanging="150"/>
      </w:pPr>
      <w:rPr>
        <w:rFonts w:hint="default"/>
        <w:lang w:val="en-US" w:eastAsia="en-US" w:bidi="ar-SA"/>
      </w:rPr>
    </w:lvl>
    <w:lvl w:ilvl="4" w:tplc="A52C3BD2">
      <w:numFmt w:val="bullet"/>
      <w:lvlText w:val="•"/>
      <w:lvlJc w:val="left"/>
      <w:pPr>
        <w:ind w:left="4618" w:hanging="150"/>
      </w:pPr>
      <w:rPr>
        <w:rFonts w:hint="default"/>
        <w:lang w:val="en-US" w:eastAsia="en-US" w:bidi="ar-SA"/>
      </w:rPr>
    </w:lvl>
    <w:lvl w:ilvl="5" w:tplc="710C5B62">
      <w:numFmt w:val="bullet"/>
      <w:lvlText w:val="•"/>
      <w:lvlJc w:val="left"/>
      <w:pPr>
        <w:ind w:left="5573" w:hanging="150"/>
      </w:pPr>
      <w:rPr>
        <w:rFonts w:hint="default"/>
        <w:lang w:val="en-US" w:eastAsia="en-US" w:bidi="ar-SA"/>
      </w:rPr>
    </w:lvl>
    <w:lvl w:ilvl="6" w:tplc="46F224A4">
      <w:numFmt w:val="bullet"/>
      <w:lvlText w:val="•"/>
      <w:lvlJc w:val="left"/>
      <w:pPr>
        <w:ind w:left="6527" w:hanging="150"/>
      </w:pPr>
      <w:rPr>
        <w:rFonts w:hint="default"/>
        <w:lang w:val="en-US" w:eastAsia="en-US" w:bidi="ar-SA"/>
      </w:rPr>
    </w:lvl>
    <w:lvl w:ilvl="7" w:tplc="09823B9E">
      <w:numFmt w:val="bullet"/>
      <w:lvlText w:val="•"/>
      <w:lvlJc w:val="left"/>
      <w:pPr>
        <w:ind w:left="7482" w:hanging="150"/>
      </w:pPr>
      <w:rPr>
        <w:rFonts w:hint="default"/>
        <w:lang w:val="en-US" w:eastAsia="en-US" w:bidi="ar-SA"/>
      </w:rPr>
    </w:lvl>
    <w:lvl w:ilvl="8" w:tplc="935A6A76">
      <w:numFmt w:val="bullet"/>
      <w:lvlText w:val="•"/>
      <w:lvlJc w:val="left"/>
      <w:pPr>
        <w:ind w:left="8437" w:hanging="150"/>
      </w:pPr>
      <w:rPr>
        <w:rFonts w:hint="default"/>
        <w:lang w:val="en-US" w:eastAsia="en-US" w:bidi="ar-SA"/>
      </w:rPr>
    </w:lvl>
  </w:abstractNum>
  <w:abstractNum w:abstractNumId="2" w15:restartNumberingAfterBreak="0">
    <w:nsid w:val="2E2B5E9B"/>
    <w:multiLevelType w:val="multilevel"/>
    <w:tmpl w:val="A6B84D00"/>
    <w:lvl w:ilvl="0">
      <w:start w:val="4"/>
      <w:numFmt w:val="decimal"/>
      <w:lvlText w:val="%1"/>
      <w:lvlJc w:val="left"/>
      <w:pPr>
        <w:ind w:left="660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6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8D559E"/>
    <w:multiLevelType w:val="multilevel"/>
    <w:tmpl w:val="539607F6"/>
    <w:lvl w:ilvl="0">
      <w:start w:val="6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6" w:hanging="7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37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53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6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9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3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6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9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4DCD73EC"/>
    <w:multiLevelType w:val="multilevel"/>
    <w:tmpl w:val="D820E754"/>
    <w:lvl w:ilvl="0">
      <w:start w:val="5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6" w:hanging="7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29" w:hanging="7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9" w:hanging="7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8" w:hanging="7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8" w:hanging="7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7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7" w:hanging="7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7" w:hanging="786"/>
      </w:pPr>
      <w:rPr>
        <w:rFonts w:hint="default"/>
        <w:lang w:val="en-US" w:eastAsia="en-US" w:bidi="ar-SA"/>
      </w:rPr>
    </w:lvl>
  </w:abstractNum>
  <w:abstractNum w:abstractNumId="5" w15:restartNumberingAfterBreak="0">
    <w:nsid w:val="5921171B"/>
    <w:multiLevelType w:val="hybridMultilevel"/>
    <w:tmpl w:val="3DAC6B9C"/>
    <w:lvl w:ilvl="0" w:tplc="9A8C57DC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7818DA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2" w:tplc="BCDCE4A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3" w:tplc="B9685452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4" w:tplc="64E058F0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40182A08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 w:tplc="D044741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7" w:tplc="8B142082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7B481DE0">
      <w:numFmt w:val="bullet"/>
      <w:lvlText w:val="•"/>
      <w:lvlJc w:val="left"/>
      <w:pPr>
        <w:ind w:left="85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39C2D6F"/>
    <w:multiLevelType w:val="multilevel"/>
    <w:tmpl w:val="384283CC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7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56" w:hanging="7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92" w:hanging="7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8" w:hanging="7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5" w:hanging="7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1" w:hanging="7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7" w:hanging="7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3" w:hanging="786"/>
      </w:pPr>
      <w:rPr>
        <w:rFonts w:hint="default"/>
        <w:lang w:val="en-US" w:eastAsia="en-US" w:bidi="ar-SA"/>
      </w:rPr>
    </w:lvl>
  </w:abstractNum>
  <w:abstractNum w:abstractNumId="7" w15:restartNumberingAfterBreak="0">
    <w:nsid w:val="684161B8"/>
    <w:multiLevelType w:val="multilevel"/>
    <w:tmpl w:val="AA0E5410"/>
    <w:lvl w:ilvl="0">
      <w:start w:val="4"/>
      <w:numFmt w:val="decimal"/>
      <w:lvlText w:val="%1"/>
      <w:lvlJc w:val="left"/>
      <w:pPr>
        <w:ind w:left="1380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3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7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6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3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6B253419"/>
    <w:multiLevelType w:val="multilevel"/>
    <w:tmpl w:val="7BD658A8"/>
    <w:lvl w:ilvl="0">
      <w:start w:val="4"/>
      <w:numFmt w:val="decimal"/>
      <w:lvlText w:val="%1"/>
      <w:lvlJc w:val="left"/>
      <w:pPr>
        <w:ind w:left="1446" w:hanging="786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446" w:hanging="7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21" w:hanging="7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1" w:hanging="7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2" w:hanging="7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3" w:hanging="7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3" w:hanging="7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4" w:hanging="7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5" w:hanging="786"/>
      </w:pPr>
      <w:rPr>
        <w:rFonts w:hint="default"/>
        <w:lang w:val="en-US" w:eastAsia="en-US" w:bidi="ar-SA"/>
      </w:rPr>
    </w:lvl>
  </w:abstractNum>
  <w:abstractNum w:abstractNumId="9" w15:restartNumberingAfterBreak="0">
    <w:nsid w:val="6E630F5C"/>
    <w:multiLevelType w:val="hybridMultilevel"/>
    <w:tmpl w:val="CCB27108"/>
    <w:lvl w:ilvl="0" w:tplc="BF0CE6E4">
      <w:start w:val="1"/>
      <w:numFmt w:val="decimal"/>
      <w:lvlText w:val="%1."/>
      <w:lvlJc w:val="left"/>
      <w:pPr>
        <w:ind w:left="96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B4835A4">
      <w:numFmt w:val="bullet"/>
      <w:lvlText w:val="•"/>
      <w:lvlJc w:val="left"/>
      <w:pPr>
        <w:ind w:left="1898" w:hanging="303"/>
      </w:pPr>
      <w:rPr>
        <w:rFonts w:hint="default"/>
        <w:lang w:val="en-US" w:eastAsia="en-US" w:bidi="ar-SA"/>
      </w:rPr>
    </w:lvl>
    <w:lvl w:ilvl="2" w:tplc="57944FA0">
      <w:numFmt w:val="bullet"/>
      <w:lvlText w:val="•"/>
      <w:lvlJc w:val="left"/>
      <w:pPr>
        <w:ind w:left="2837" w:hanging="303"/>
      </w:pPr>
      <w:rPr>
        <w:rFonts w:hint="default"/>
        <w:lang w:val="en-US" w:eastAsia="en-US" w:bidi="ar-SA"/>
      </w:rPr>
    </w:lvl>
    <w:lvl w:ilvl="3" w:tplc="2C0C2D58">
      <w:numFmt w:val="bullet"/>
      <w:lvlText w:val="•"/>
      <w:lvlJc w:val="left"/>
      <w:pPr>
        <w:ind w:left="3775" w:hanging="303"/>
      </w:pPr>
      <w:rPr>
        <w:rFonts w:hint="default"/>
        <w:lang w:val="en-US" w:eastAsia="en-US" w:bidi="ar-SA"/>
      </w:rPr>
    </w:lvl>
    <w:lvl w:ilvl="4" w:tplc="E01E6EDE">
      <w:numFmt w:val="bullet"/>
      <w:lvlText w:val="•"/>
      <w:lvlJc w:val="left"/>
      <w:pPr>
        <w:ind w:left="4714" w:hanging="303"/>
      </w:pPr>
      <w:rPr>
        <w:rFonts w:hint="default"/>
        <w:lang w:val="en-US" w:eastAsia="en-US" w:bidi="ar-SA"/>
      </w:rPr>
    </w:lvl>
    <w:lvl w:ilvl="5" w:tplc="D11A5ABE">
      <w:numFmt w:val="bullet"/>
      <w:lvlText w:val="•"/>
      <w:lvlJc w:val="left"/>
      <w:pPr>
        <w:ind w:left="5653" w:hanging="303"/>
      </w:pPr>
      <w:rPr>
        <w:rFonts w:hint="default"/>
        <w:lang w:val="en-US" w:eastAsia="en-US" w:bidi="ar-SA"/>
      </w:rPr>
    </w:lvl>
    <w:lvl w:ilvl="6" w:tplc="C5E44082">
      <w:numFmt w:val="bullet"/>
      <w:lvlText w:val="•"/>
      <w:lvlJc w:val="left"/>
      <w:pPr>
        <w:ind w:left="6591" w:hanging="303"/>
      </w:pPr>
      <w:rPr>
        <w:rFonts w:hint="default"/>
        <w:lang w:val="en-US" w:eastAsia="en-US" w:bidi="ar-SA"/>
      </w:rPr>
    </w:lvl>
    <w:lvl w:ilvl="7" w:tplc="3ACAB5B6">
      <w:numFmt w:val="bullet"/>
      <w:lvlText w:val="•"/>
      <w:lvlJc w:val="left"/>
      <w:pPr>
        <w:ind w:left="7530" w:hanging="303"/>
      </w:pPr>
      <w:rPr>
        <w:rFonts w:hint="default"/>
        <w:lang w:val="en-US" w:eastAsia="en-US" w:bidi="ar-SA"/>
      </w:rPr>
    </w:lvl>
    <w:lvl w:ilvl="8" w:tplc="84182238">
      <w:numFmt w:val="bullet"/>
      <w:lvlText w:val="•"/>
      <w:lvlJc w:val="left"/>
      <w:pPr>
        <w:ind w:left="8469" w:hanging="303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34D9"/>
    <w:rsid w:val="006C34D9"/>
    <w:rsid w:val="00CB5041"/>
    <w:rsid w:val="00E6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48349323"/>
  <w15:docId w15:val="{3C4F7BBC-7F2A-40A4-BC55-ECFECD69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1020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6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2" w:lineRule="exact"/>
      <w:ind w:left="2431" w:right="243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B50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0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CB50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B504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B5041"/>
    <w:rPr>
      <w:color w:val="0000FF"/>
      <w:u w:val="single"/>
    </w:rPr>
  </w:style>
  <w:style w:type="table" w:styleId="TableGrid">
    <w:name w:val="Table Grid"/>
    <w:basedOn w:val="TableNormal"/>
    <w:uiPriority w:val="59"/>
    <w:rsid w:val="00CB5041"/>
    <w:pPr>
      <w:widowControl/>
      <w:autoSpaceDE/>
      <w:autoSpaceDN/>
    </w:pPr>
    <w:rPr>
      <w:rFonts w:ascii="Times New Roman" w:hAnsi="Times New Roman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ga.gov.au/reporting-problems" TargetMode="External"/><Relationship Id="rId12" Type="http://schemas.openxmlformats.org/officeDocument/2006/relationships/hyperlink" Target="http://www.tga.gov.au/reporting-problem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ga.gov.au/reporting-problem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63</Pages>
  <Words>25921</Words>
  <Characters>149052</Characters>
  <Application>Microsoft Office Word</Application>
  <DocSecurity>0</DocSecurity>
  <Lines>3312</Lines>
  <Paragraphs>1803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Information: Actemra (tocilizumab)</vt:lpstr>
    </vt:vector>
  </TitlesOfParts>
  <Company>Roche Products Pty Ltd</Company>
  <LinksUpToDate>false</LinksUpToDate>
  <CharactersWithSpaces>173170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Information: Actemra (tocilizumab)</dc:title>
  <dc:subject>prescription medicine regulation</dc:subject>
  <dc:creator>R. Stone</dc:creator>
  <cp:lastModifiedBy>KOLARIK-OREILLY, Kristy</cp:lastModifiedBy>
  <cp:revision>2</cp:revision>
  <dcterms:created xsi:type="dcterms:W3CDTF">2022-01-06T04:10:00Z</dcterms:created>
  <dcterms:modified xsi:type="dcterms:W3CDTF">2022-01-06T04:28:00Z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2022-01-06T00:00:00Z</vt:filetime>
  </property>
</Properties>
</file>