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14:paraId="229FE47F" w14:textId="77777777" w:rsidTr="00BF1190">
        <w:trPr>
          <w:trHeight w:val="1863"/>
        </w:trPr>
        <w:tc>
          <w:tcPr>
            <w:tcW w:w="3652" w:type="dxa"/>
            <w:tcBorders>
              <w:top w:val="nil"/>
              <w:left w:val="nil"/>
              <w:bottom w:val="nil"/>
              <w:right w:val="nil"/>
            </w:tcBorders>
          </w:tcPr>
          <w:p w14:paraId="626A49D9" w14:textId="3488A101" w:rsidR="008E7846" w:rsidRPr="00096AA7" w:rsidRDefault="003B055A" w:rsidP="008A0313">
            <w:pPr>
              <w:rPr>
                <w:rFonts w:ascii="Arial" w:hAnsi="Arial" w:cs="Arial"/>
                <w:b/>
                <w:color w:val="002C47"/>
                <w:sz w:val="36"/>
                <w:szCs w:val="36"/>
              </w:rPr>
            </w:pPr>
            <w:r>
              <w:rPr>
                <w:rFonts w:ascii="Arial" w:hAnsi="Arial" w:cs="Arial"/>
                <w:b/>
                <w:color w:val="002C47"/>
                <w:sz w:val="36"/>
                <w:szCs w:val="36"/>
              </w:rPr>
              <w:t>August</w:t>
            </w:r>
            <w:r w:rsidR="00F81E42">
              <w:rPr>
                <w:rFonts w:ascii="Arial" w:hAnsi="Arial" w:cs="Arial"/>
                <w:b/>
                <w:color w:val="002C47"/>
                <w:sz w:val="36"/>
                <w:szCs w:val="36"/>
              </w:rPr>
              <w:t xml:space="preserve"> 2020</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14:paraId="06CED7B9" w14:textId="77777777" w:rsidTr="0032583B">
        <w:trPr>
          <w:trHeight w:val="868"/>
        </w:trPr>
        <w:tc>
          <w:tcPr>
            <w:tcW w:w="9079" w:type="dxa"/>
          </w:tcPr>
          <w:p w14:paraId="6B0DADBB" w14:textId="622B8DFB" w:rsidR="0032583B" w:rsidRPr="00A964D1" w:rsidRDefault="0032583B" w:rsidP="008205F5">
            <w:pPr>
              <w:pStyle w:val="Title"/>
              <w:framePr w:hSpace="0" w:wrap="auto" w:vAnchor="margin" w:yAlign="inline"/>
            </w:pPr>
            <w:r w:rsidRPr="00A964D1">
              <w:t xml:space="preserve">Australian Public Assessment Report for </w:t>
            </w:r>
            <w:r w:rsidR="00F81E42">
              <w:t>Tocilizumab (rch)</w:t>
            </w:r>
          </w:p>
        </w:tc>
      </w:tr>
      <w:tr w:rsidR="0032583B" w:rsidRPr="00B64760" w14:paraId="6DE0A32D" w14:textId="77777777" w:rsidTr="0032583B">
        <w:tc>
          <w:tcPr>
            <w:tcW w:w="9079" w:type="dxa"/>
          </w:tcPr>
          <w:p w14:paraId="48368031" w14:textId="6B544573" w:rsidR="0032583B" w:rsidRPr="008E7846" w:rsidRDefault="0032583B" w:rsidP="008205F5">
            <w:pPr>
              <w:pStyle w:val="Subtitle"/>
              <w:framePr w:hSpace="0" w:wrap="auto" w:vAnchor="margin" w:yAlign="inline"/>
            </w:pPr>
            <w:r w:rsidRPr="008E7846">
              <w:t xml:space="preserve">Proprietary Product Name: </w:t>
            </w:r>
            <w:r w:rsidR="00F81E42">
              <w:t>A</w:t>
            </w:r>
            <w:r w:rsidR="00F47D6E">
              <w:t>ctemra</w:t>
            </w:r>
          </w:p>
        </w:tc>
      </w:tr>
      <w:tr w:rsidR="0032583B" w:rsidRPr="00B64760" w14:paraId="18AC45D2" w14:textId="77777777" w:rsidTr="0032583B">
        <w:trPr>
          <w:trHeight w:val="486"/>
        </w:trPr>
        <w:tc>
          <w:tcPr>
            <w:tcW w:w="9079" w:type="dxa"/>
          </w:tcPr>
          <w:p w14:paraId="5DE0EB35" w14:textId="1AF93681" w:rsidR="0032583B" w:rsidRPr="008E7846" w:rsidRDefault="0032583B" w:rsidP="008205F5">
            <w:pPr>
              <w:pStyle w:val="Subtitle"/>
              <w:framePr w:hSpace="0" w:wrap="auto" w:vAnchor="margin" w:yAlign="inline"/>
            </w:pPr>
            <w:r w:rsidRPr="008E7846">
              <w:t xml:space="preserve">Sponsor: </w:t>
            </w:r>
            <w:r w:rsidR="00F81E42">
              <w:t>Roche Products Pty Ltd</w:t>
            </w:r>
          </w:p>
        </w:tc>
      </w:tr>
    </w:tbl>
    <w:p w14:paraId="23FF3C8B" w14:textId="77777777" w:rsidR="008E7846" w:rsidRPr="0085156D" w:rsidRDefault="008E7846" w:rsidP="0085156D">
      <w:r w:rsidRPr="0085156D">
        <w:br w:type="page"/>
      </w:r>
    </w:p>
    <w:p w14:paraId="11C25D44" w14:textId="77777777" w:rsidR="008E7846" w:rsidRPr="001F6CBA" w:rsidRDefault="008E7846" w:rsidP="008E7846">
      <w:pPr>
        <w:pStyle w:val="NonTOCHeading2"/>
      </w:pPr>
      <w:r w:rsidRPr="001F6CBA">
        <w:lastRenderedPageBreak/>
        <w:t>About the Therapeutic Goods Administration (TGA)</w:t>
      </w:r>
    </w:p>
    <w:p w14:paraId="6880B917" w14:textId="77777777"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14:paraId="2D499AD2" w14:textId="77777777"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14:paraId="7BC5409A" w14:textId="77777777"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14:paraId="594C5DBD" w14:textId="77777777"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14:paraId="61B4F6FF" w14:textId="285F56BB" w:rsidR="00441C3F" w:rsidRDefault="008E7846" w:rsidP="00441C3F">
      <w:pPr>
        <w:pStyle w:val="ListBullet"/>
        <w:numPr>
          <w:ilvl w:val="0"/>
          <w:numId w:val="3"/>
        </w:numPr>
        <w:ind w:left="357" w:hanging="357"/>
      </w:pPr>
      <w:r>
        <w:t xml:space="preserve">To report a problem with a medicine or medical device, please see the information on </w:t>
      </w:r>
      <w:r w:rsidR="00441C3F">
        <w:t>the TGA website &lt;</w:t>
      </w:r>
      <w:hyperlink r:id="rId8" w:history="1">
        <w:r w:rsidR="00441C3F">
          <w:rPr>
            <w:rStyle w:val="Hyperlink"/>
          </w:rPr>
          <w:t>https://www.tga.gov.au</w:t>
        </w:r>
      </w:hyperlink>
      <w:r w:rsidR="00441C3F">
        <w:t>&gt;.</w:t>
      </w:r>
    </w:p>
    <w:p w14:paraId="76747E95" w14:textId="77777777" w:rsidR="008E7846" w:rsidRDefault="008E7846" w:rsidP="00875A6B">
      <w:pPr>
        <w:pStyle w:val="NonTOCHeading2"/>
      </w:pPr>
      <w:r>
        <w:t>About AusPARs</w:t>
      </w:r>
    </w:p>
    <w:p w14:paraId="6E29142F" w14:textId="77777777" w:rsidR="008E7846" w:rsidRDefault="008E7846" w:rsidP="008E7846">
      <w:pPr>
        <w:pStyle w:val="ListBullet"/>
        <w:numPr>
          <w:ilvl w:val="0"/>
          <w:numId w:val="3"/>
        </w:numPr>
        <w:ind w:left="357" w:hanging="357"/>
      </w:pPr>
      <w:r>
        <w:t>An Australian Public Assessment Re</w:t>
      </w:r>
      <w:r w:rsidR="00133A1B">
        <w:t>port</w:t>
      </w:r>
      <w:r>
        <w:t xml:space="preserve"> (AusPAR) provides information about the evaluation of a prescription medicine and the considerations that led the TGA to approve or not approve a pr</w:t>
      </w:r>
      <w:r w:rsidR="00441C3F">
        <w:t>escription medicine submission.</w:t>
      </w:r>
    </w:p>
    <w:p w14:paraId="38F84B3B" w14:textId="77777777" w:rsidR="008E7846" w:rsidRDefault="008E7846" w:rsidP="008E7846">
      <w:pPr>
        <w:pStyle w:val="ListBullet"/>
        <w:numPr>
          <w:ilvl w:val="0"/>
          <w:numId w:val="3"/>
        </w:numPr>
        <w:ind w:left="357" w:hanging="357"/>
      </w:pPr>
      <w:r>
        <w:t>AusPARs are prepared and published by the TGA.</w:t>
      </w:r>
    </w:p>
    <w:p w14:paraId="286AEF86" w14:textId="77777777" w:rsidR="008E7846" w:rsidRDefault="008E7846" w:rsidP="008E7846">
      <w:pPr>
        <w:pStyle w:val="ListBullet"/>
        <w:numPr>
          <w:ilvl w:val="0"/>
          <w:numId w:val="3"/>
        </w:numPr>
        <w:ind w:left="357" w:hanging="357"/>
      </w:pPr>
      <w:r>
        <w:t>An AusPAR is prepared for submissions that relate to new chemical entities, generic medicines, major variations and extensions of indications.</w:t>
      </w:r>
    </w:p>
    <w:p w14:paraId="2973C066" w14:textId="77777777" w:rsidR="008E7846" w:rsidRDefault="008E7846" w:rsidP="008E7846">
      <w:pPr>
        <w:pStyle w:val="ListBullet"/>
        <w:numPr>
          <w:ilvl w:val="0"/>
          <w:numId w:val="3"/>
        </w:numPr>
        <w:ind w:left="357" w:hanging="357"/>
      </w:pPr>
      <w:r>
        <w:t>An AusPAR is a static document</w:t>
      </w:r>
      <w:r w:rsidR="00133A1B">
        <w:t>;</w:t>
      </w:r>
      <w:r>
        <w:t xml:space="preserve"> it provide</w:t>
      </w:r>
      <w:r w:rsidR="00133A1B">
        <w:t>s</w:t>
      </w:r>
      <w:r>
        <w:t xml:space="preserve"> information that relates to a submission at a particular point in time.</w:t>
      </w:r>
    </w:p>
    <w:p w14:paraId="58A8BEED" w14:textId="77777777" w:rsidR="00B452CE" w:rsidRDefault="008E7846" w:rsidP="00FF5755">
      <w:pPr>
        <w:pStyle w:val="ListBullet"/>
        <w:numPr>
          <w:ilvl w:val="0"/>
          <w:numId w:val="3"/>
        </w:numPr>
        <w:ind w:left="357" w:hanging="357"/>
      </w:pPr>
      <w:r>
        <w:t>A new AusPAR will be developed to reflect changes to indications and/or major variations to a prescription medicine subject to evaluation by the TGA.</w:t>
      </w:r>
    </w:p>
    <w:p w14:paraId="5CB17AF0" w14:textId="77777777" w:rsidR="00924482" w:rsidRPr="00DF1D7F" w:rsidRDefault="00924482" w:rsidP="00F54B65">
      <w:pPr>
        <w:pStyle w:val="LegalSubheading"/>
        <w:spacing w:before="3120"/>
      </w:pPr>
      <w:r w:rsidRPr="00DF1D7F">
        <w:t>Copyright</w:t>
      </w:r>
    </w:p>
    <w:p w14:paraId="1FC63829" w14:textId="6C8F0F02" w:rsidR="00924482" w:rsidRDefault="00924482" w:rsidP="00924482">
      <w:pPr>
        <w:pStyle w:val="LegalCopy"/>
      </w:pPr>
      <w:r w:rsidRPr="00191B3B">
        <w:rPr>
          <w:rFonts w:cs="Arial"/>
          <w:lang w:val="en-GB"/>
        </w:rPr>
        <w:t>© Comm</w:t>
      </w:r>
      <w:r>
        <w:rPr>
          <w:rFonts w:cs="Arial"/>
          <w:lang w:val="en-GB"/>
        </w:rPr>
        <w:t>onwealth of Australia 20</w:t>
      </w:r>
      <w:r w:rsidR="00424284">
        <w:rPr>
          <w:rFonts w:cs="Arial"/>
          <w:lang w:val="en-GB"/>
        </w:rPr>
        <w:t>20</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9" w:history="1">
        <w:r w:rsidRPr="00191B3B">
          <w:rPr>
            <w:rStyle w:val="Hyperlink"/>
            <w:rFonts w:cs="Arial"/>
            <w:lang w:val="en-GB"/>
          </w:rPr>
          <w:t>tga.copyright@tga.gov.au</w:t>
        </w:r>
      </w:hyperlink>
      <w:r w:rsidRPr="00191B3B">
        <w:rPr>
          <w:rFonts w:cs="Arial"/>
        </w:rPr>
        <w:t>&gt;.</w:t>
      </w:r>
    </w:p>
    <w:p w14:paraId="126530BF" w14:textId="77777777" w:rsidR="00924482" w:rsidRDefault="00924482" w:rsidP="00924482">
      <w:pPr>
        <w:pStyle w:val="LegalCopy"/>
        <w:sectPr w:rsidR="00924482" w:rsidSect="003D1E62">
          <w:headerReference w:type="default" r:id="rId10"/>
          <w:footerReference w:type="default" r:id="rId11"/>
          <w:headerReference w:type="first" r:id="rId12"/>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4F0BDD89" w14:textId="77777777" w:rsidR="0089635C" w:rsidRPr="0089635C" w:rsidRDefault="0089635C" w:rsidP="0010788A">
          <w:pPr>
            <w:pStyle w:val="Contents"/>
          </w:pPr>
          <w:r w:rsidRPr="0010788A">
            <w:t>Contents</w:t>
          </w:r>
        </w:p>
        <w:bookmarkStart w:id="2" w:name="_GoBack"/>
        <w:bookmarkEnd w:id="2"/>
        <w:p w14:paraId="32AF3230" w14:textId="658B18B4" w:rsidR="0059626C" w:rsidRDefault="00960520">
          <w:pPr>
            <w:pStyle w:val="TOC2"/>
            <w:rPr>
              <w:rFonts w:asciiTheme="minorHAnsi" w:eastAsiaTheme="minorEastAsia" w:hAnsiTheme="minorHAnsi" w:cstheme="minorBidi"/>
              <w:b w:val="0"/>
              <w:noProof/>
              <w:sz w:val="22"/>
              <w:lang w:eastAsia="en-AU"/>
            </w:rPr>
          </w:pPr>
          <w:r>
            <w:fldChar w:fldCharType="begin"/>
          </w:r>
          <w:r>
            <w:instrText xml:space="preserve"> TOC \o "3-3" \h \z \t "Heading 1,1,Heading 2,2" </w:instrText>
          </w:r>
          <w:r>
            <w:fldChar w:fldCharType="separate"/>
          </w:r>
          <w:hyperlink w:anchor="_Toc49950616" w:history="1">
            <w:r w:rsidR="0059626C" w:rsidRPr="007F377F">
              <w:rPr>
                <w:rStyle w:val="Hyperlink"/>
                <w:noProof/>
              </w:rPr>
              <w:t>Common abbreviations</w:t>
            </w:r>
            <w:r w:rsidR="0059626C">
              <w:rPr>
                <w:noProof/>
                <w:webHidden/>
              </w:rPr>
              <w:tab/>
            </w:r>
            <w:r w:rsidR="0059626C">
              <w:rPr>
                <w:noProof/>
                <w:webHidden/>
              </w:rPr>
              <w:fldChar w:fldCharType="begin"/>
            </w:r>
            <w:r w:rsidR="0059626C">
              <w:rPr>
                <w:noProof/>
                <w:webHidden/>
              </w:rPr>
              <w:instrText xml:space="preserve"> PAGEREF _Toc49950616 \h </w:instrText>
            </w:r>
            <w:r w:rsidR="0059626C">
              <w:rPr>
                <w:noProof/>
                <w:webHidden/>
              </w:rPr>
            </w:r>
            <w:r w:rsidR="0059626C">
              <w:rPr>
                <w:noProof/>
                <w:webHidden/>
              </w:rPr>
              <w:fldChar w:fldCharType="separate"/>
            </w:r>
            <w:r w:rsidR="0059626C">
              <w:rPr>
                <w:noProof/>
                <w:webHidden/>
              </w:rPr>
              <w:t>4</w:t>
            </w:r>
            <w:r w:rsidR="0059626C">
              <w:rPr>
                <w:noProof/>
                <w:webHidden/>
              </w:rPr>
              <w:fldChar w:fldCharType="end"/>
            </w:r>
          </w:hyperlink>
        </w:p>
        <w:p w14:paraId="0625398D" w14:textId="576C1912" w:rsidR="0059626C" w:rsidRDefault="0059626C">
          <w:pPr>
            <w:pStyle w:val="TOC2"/>
            <w:rPr>
              <w:rFonts w:asciiTheme="minorHAnsi" w:eastAsiaTheme="minorEastAsia" w:hAnsiTheme="minorHAnsi" w:cstheme="minorBidi"/>
              <w:b w:val="0"/>
              <w:noProof/>
              <w:sz w:val="22"/>
              <w:lang w:eastAsia="en-AU"/>
            </w:rPr>
          </w:pPr>
          <w:hyperlink w:anchor="_Toc49950617" w:history="1">
            <w:r w:rsidRPr="007F377F">
              <w:rPr>
                <w:rStyle w:val="Hyperlink"/>
                <w:noProof/>
              </w:rPr>
              <w:t>I. Introduction to product submission</w:t>
            </w:r>
            <w:r>
              <w:rPr>
                <w:noProof/>
                <w:webHidden/>
              </w:rPr>
              <w:tab/>
            </w:r>
            <w:r>
              <w:rPr>
                <w:noProof/>
                <w:webHidden/>
              </w:rPr>
              <w:fldChar w:fldCharType="begin"/>
            </w:r>
            <w:r>
              <w:rPr>
                <w:noProof/>
                <w:webHidden/>
              </w:rPr>
              <w:instrText xml:space="preserve"> PAGEREF _Toc49950617 \h </w:instrText>
            </w:r>
            <w:r>
              <w:rPr>
                <w:noProof/>
                <w:webHidden/>
              </w:rPr>
            </w:r>
            <w:r>
              <w:rPr>
                <w:noProof/>
                <w:webHidden/>
              </w:rPr>
              <w:fldChar w:fldCharType="separate"/>
            </w:r>
            <w:r>
              <w:rPr>
                <w:noProof/>
                <w:webHidden/>
              </w:rPr>
              <w:t>7</w:t>
            </w:r>
            <w:r>
              <w:rPr>
                <w:noProof/>
                <w:webHidden/>
              </w:rPr>
              <w:fldChar w:fldCharType="end"/>
            </w:r>
          </w:hyperlink>
        </w:p>
        <w:p w14:paraId="5D1D8F17" w14:textId="0C9F2ABA" w:rsidR="0059626C" w:rsidRDefault="0059626C">
          <w:pPr>
            <w:pStyle w:val="TOC3"/>
            <w:rPr>
              <w:rFonts w:asciiTheme="minorHAnsi" w:eastAsiaTheme="minorEastAsia" w:hAnsiTheme="minorHAnsi" w:cstheme="minorBidi"/>
              <w:noProof/>
              <w:lang w:eastAsia="en-AU"/>
            </w:rPr>
          </w:pPr>
          <w:hyperlink w:anchor="_Toc49950618" w:history="1">
            <w:r w:rsidRPr="007F377F">
              <w:rPr>
                <w:rStyle w:val="Hyperlink"/>
                <w:noProof/>
                <w:lang w:eastAsia="en-AU"/>
              </w:rPr>
              <w:t>Submission details</w:t>
            </w:r>
            <w:r>
              <w:rPr>
                <w:noProof/>
                <w:webHidden/>
              </w:rPr>
              <w:tab/>
            </w:r>
            <w:r>
              <w:rPr>
                <w:noProof/>
                <w:webHidden/>
              </w:rPr>
              <w:fldChar w:fldCharType="begin"/>
            </w:r>
            <w:r>
              <w:rPr>
                <w:noProof/>
                <w:webHidden/>
              </w:rPr>
              <w:instrText xml:space="preserve"> PAGEREF _Toc49950618 \h </w:instrText>
            </w:r>
            <w:r>
              <w:rPr>
                <w:noProof/>
                <w:webHidden/>
              </w:rPr>
            </w:r>
            <w:r>
              <w:rPr>
                <w:noProof/>
                <w:webHidden/>
              </w:rPr>
              <w:fldChar w:fldCharType="separate"/>
            </w:r>
            <w:r>
              <w:rPr>
                <w:noProof/>
                <w:webHidden/>
              </w:rPr>
              <w:t>7</w:t>
            </w:r>
            <w:r>
              <w:rPr>
                <w:noProof/>
                <w:webHidden/>
              </w:rPr>
              <w:fldChar w:fldCharType="end"/>
            </w:r>
          </w:hyperlink>
        </w:p>
        <w:p w14:paraId="52076063" w14:textId="1B2E2AEA" w:rsidR="0059626C" w:rsidRDefault="0059626C">
          <w:pPr>
            <w:pStyle w:val="TOC3"/>
            <w:rPr>
              <w:rFonts w:asciiTheme="minorHAnsi" w:eastAsiaTheme="minorEastAsia" w:hAnsiTheme="minorHAnsi" w:cstheme="minorBidi"/>
              <w:noProof/>
              <w:lang w:eastAsia="en-AU"/>
            </w:rPr>
          </w:pPr>
          <w:hyperlink w:anchor="_Toc49950619" w:history="1">
            <w:r w:rsidRPr="007F377F">
              <w:rPr>
                <w:rStyle w:val="Hyperlink"/>
                <w:noProof/>
              </w:rPr>
              <w:t>Product background</w:t>
            </w:r>
            <w:r>
              <w:rPr>
                <w:noProof/>
                <w:webHidden/>
              </w:rPr>
              <w:tab/>
            </w:r>
            <w:r>
              <w:rPr>
                <w:noProof/>
                <w:webHidden/>
              </w:rPr>
              <w:fldChar w:fldCharType="begin"/>
            </w:r>
            <w:r>
              <w:rPr>
                <w:noProof/>
                <w:webHidden/>
              </w:rPr>
              <w:instrText xml:space="preserve"> PAGEREF _Toc49950619 \h </w:instrText>
            </w:r>
            <w:r>
              <w:rPr>
                <w:noProof/>
                <w:webHidden/>
              </w:rPr>
            </w:r>
            <w:r>
              <w:rPr>
                <w:noProof/>
                <w:webHidden/>
              </w:rPr>
              <w:fldChar w:fldCharType="separate"/>
            </w:r>
            <w:r>
              <w:rPr>
                <w:noProof/>
                <w:webHidden/>
              </w:rPr>
              <w:t>8</w:t>
            </w:r>
            <w:r>
              <w:rPr>
                <w:noProof/>
                <w:webHidden/>
              </w:rPr>
              <w:fldChar w:fldCharType="end"/>
            </w:r>
          </w:hyperlink>
        </w:p>
        <w:p w14:paraId="0009998C" w14:textId="7B92590A" w:rsidR="0059626C" w:rsidRDefault="0059626C">
          <w:pPr>
            <w:pStyle w:val="TOC3"/>
            <w:rPr>
              <w:rFonts w:asciiTheme="minorHAnsi" w:eastAsiaTheme="minorEastAsia" w:hAnsiTheme="minorHAnsi" w:cstheme="minorBidi"/>
              <w:noProof/>
              <w:lang w:eastAsia="en-AU"/>
            </w:rPr>
          </w:pPr>
          <w:hyperlink w:anchor="_Toc49950620" w:history="1">
            <w:r w:rsidRPr="007F377F">
              <w:rPr>
                <w:rStyle w:val="Hyperlink"/>
                <w:noProof/>
              </w:rPr>
              <w:t>Regulatory status</w:t>
            </w:r>
            <w:r>
              <w:rPr>
                <w:noProof/>
                <w:webHidden/>
              </w:rPr>
              <w:tab/>
            </w:r>
            <w:r>
              <w:rPr>
                <w:noProof/>
                <w:webHidden/>
              </w:rPr>
              <w:fldChar w:fldCharType="begin"/>
            </w:r>
            <w:r>
              <w:rPr>
                <w:noProof/>
                <w:webHidden/>
              </w:rPr>
              <w:instrText xml:space="preserve"> PAGEREF _Toc49950620 \h </w:instrText>
            </w:r>
            <w:r>
              <w:rPr>
                <w:noProof/>
                <w:webHidden/>
              </w:rPr>
            </w:r>
            <w:r>
              <w:rPr>
                <w:noProof/>
                <w:webHidden/>
              </w:rPr>
              <w:fldChar w:fldCharType="separate"/>
            </w:r>
            <w:r>
              <w:rPr>
                <w:noProof/>
                <w:webHidden/>
              </w:rPr>
              <w:t>9</w:t>
            </w:r>
            <w:r>
              <w:rPr>
                <w:noProof/>
                <w:webHidden/>
              </w:rPr>
              <w:fldChar w:fldCharType="end"/>
            </w:r>
          </w:hyperlink>
        </w:p>
        <w:p w14:paraId="0B5452B3" w14:textId="4DFCBCEB" w:rsidR="0059626C" w:rsidRDefault="0059626C">
          <w:pPr>
            <w:pStyle w:val="TOC3"/>
            <w:rPr>
              <w:rFonts w:asciiTheme="minorHAnsi" w:eastAsiaTheme="minorEastAsia" w:hAnsiTheme="minorHAnsi" w:cstheme="minorBidi"/>
              <w:noProof/>
              <w:lang w:eastAsia="en-AU"/>
            </w:rPr>
          </w:pPr>
          <w:hyperlink w:anchor="_Toc49950621" w:history="1">
            <w:r w:rsidRPr="007F377F">
              <w:rPr>
                <w:rStyle w:val="Hyperlink"/>
                <w:noProof/>
              </w:rPr>
              <w:t>Product Information</w:t>
            </w:r>
            <w:r>
              <w:rPr>
                <w:noProof/>
                <w:webHidden/>
              </w:rPr>
              <w:tab/>
            </w:r>
            <w:r>
              <w:rPr>
                <w:noProof/>
                <w:webHidden/>
              </w:rPr>
              <w:fldChar w:fldCharType="begin"/>
            </w:r>
            <w:r>
              <w:rPr>
                <w:noProof/>
                <w:webHidden/>
              </w:rPr>
              <w:instrText xml:space="preserve"> PAGEREF _Toc49950621 \h </w:instrText>
            </w:r>
            <w:r>
              <w:rPr>
                <w:noProof/>
                <w:webHidden/>
              </w:rPr>
            </w:r>
            <w:r>
              <w:rPr>
                <w:noProof/>
                <w:webHidden/>
              </w:rPr>
              <w:fldChar w:fldCharType="separate"/>
            </w:r>
            <w:r>
              <w:rPr>
                <w:noProof/>
                <w:webHidden/>
              </w:rPr>
              <w:t>10</w:t>
            </w:r>
            <w:r>
              <w:rPr>
                <w:noProof/>
                <w:webHidden/>
              </w:rPr>
              <w:fldChar w:fldCharType="end"/>
            </w:r>
          </w:hyperlink>
        </w:p>
        <w:p w14:paraId="3CF55167" w14:textId="6C335225" w:rsidR="0059626C" w:rsidRDefault="0059626C">
          <w:pPr>
            <w:pStyle w:val="TOC2"/>
            <w:rPr>
              <w:rFonts w:asciiTheme="minorHAnsi" w:eastAsiaTheme="minorEastAsia" w:hAnsiTheme="minorHAnsi" w:cstheme="minorBidi"/>
              <w:b w:val="0"/>
              <w:noProof/>
              <w:sz w:val="22"/>
              <w:lang w:eastAsia="en-AU"/>
            </w:rPr>
          </w:pPr>
          <w:hyperlink w:anchor="_Toc49950622" w:history="1">
            <w:r w:rsidRPr="007F377F">
              <w:rPr>
                <w:rStyle w:val="Hyperlink"/>
                <w:noProof/>
              </w:rPr>
              <w:t>II. Registration timeline</w:t>
            </w:r>
            <w:r>
              <w:rPr>
                <w:noProof/>
                <w:webHidden/>
              </w:rPr>
              <w:tab/>
            </w:r>
            <w:r>
              <w:rPr>
                <w:noProof/>
                <w:webHidden/>
              </w:rPr>
              <w:fldChar w:fldCharType="begin"/>
            </w:r>
            <w:r>
              <w:rPr>
                <w:noProof/>
                <w:webHidden/>
              </w:rPr>
              <w:instrText xml:space="preserve"> PAGEREF _Toc49950622 \h </w:instrText>
            </w:r>
            <w:r>
              <w:rPr>
                <w:noProof/>
                <w:webHidden/>
              </w:rPr>
            </w:r>
            <w:r>
              <w:rPr>
                <w:noProof/>
                <w:webHidden/>
              </w:rPr>
              <w:fldChar w:fldCharType="separate"/>
            </w:r>
            <w:r>
              <w:rPr>
                <w:noProof/>
                <w:webHidden/>
              </w:rPr>
              <w:t>10</w:t>
            </w:r>
            <w:r>
              <w:rPr>
                <w:noProof/>
                <w:webHidden/>
              </w:rPr>
              <w:fldChar w:fldCharType="end"/>
            </w:r>
          </w:hyperlink>
        </w:p>
        <w:p w14:paraId="2A40C2A4" w14:textId="642A6F8D" w:rsidR="0059626C" w:rsidRDefault="0059626C">
          <w:pPr>
            <w:pStyle w:val="TOC2"/>
            <w:rPr>
              <w:rFonts w:asciiTheme="minorHAnsi" w:eastAsiaTheme="minorEastAsia" w:hAnsiTheme="minorHAnsi" w:cstheme="minorBidi"/>
              <w:b w:val="0"/>
              <w:noProof/>
              <w:sz w:val="22"/>
              <w:lang w:eastAsia="en-AU"/>
            </w:rPr>
          </w:pPr>
          <w:hyperlink w:anchor="_Toc49950623" w:history="1">
            <w:r w:rsidRPr="007F377F">
              <w:rPr>
                <w:rStyle w:val="Hyperlink"/>
                <w:noProof/>
              </w:rPr>
              <w:t>III. Submission overview and risk/benefit assessment</w:t>
            </w:r>
            <w:r>
              <w:rPr>
                <w:noProof/>
                <w:webHidden/>
              </w:rPr>
              <w:tab/>
            </w:r>
            <w:r>
              <w:rPr>
                <w:noProof/>
                <w:webHidden/>
              </w:rPr>
              <w:fldChar w:fldCharType="begin"/>
            </w:r>
            <w:r>
              <w:rPr>
                <w:noProof/>
                <w:webHidden/>
              </w:rPr>
              <w:instrText xml:space="preserve"> PAGEREF _Toc49950623 \h </w:instrText>
            </w:r>
            <w:r>
              <w:rPr>
                <w:noProof/>
                <w:webHidden/>
              </w:rPr>
            </w:r>
            <w:r>
              <w:rPr>
                <w:noProof/>
                <w:webHidden/>
              </w:rPr>
              <w:fldChar w:fldCharType="separate"/>
            </w:r>
            <w:r>
              <w:rPr>
                <w:noProof/>
                <w:webHidden/>
              </w:rPr>
              <w:t>11</w:t>
            </w:r>
            <w:r>
              <w:rPr>
                <w:noProof/>
                <w:webHidden/>
              </w:rPr>
              <w:fldChar w:fldCharType="end"/>
            </w:r>
          </w:hyperlink>
        </w:p>
        <w:p w14:paraId="1177D643" w14:textId="57877DFF" w:rsidR="0059626C" w:rsidRDefault="0059626C">
          <w:pPr>
            <w:pStyle w:val="TOC3"/>
            <w:rPr>
              <w:rFonts w:asciiTheme="minorHAnsi" w:eastAsiaTheme="minorEastAsia" w:hAnsiTheme="minorHAnsi" w:cstheme="minorBidi"/>
              <w:noProof/>
              <w:lang w:eastAsia="en-AU"/>
            </w:rPr>
          </w:pPr>
          <w:hyperlink w:anchor="_Toc49950624" w:history="1">
            <w:r w:rsidRPr="007F377F">
              <w:rPr>
                <w:rStyle w:val="Hyperlink"/>
                <w:noProof/>
              </w:rPr>
              <w:t>Quality</w:t>
            </w:r>
            <w:r>
              <w:rPr>
                <w:noProof/>
                <w:webHidden/>
              </w:rPr>
              <w:tab/>
            </w:r>
            <w:r>
              <w:rPr>
                <w:noProof/>
                <w:webHidden/>
              </w:rPr>
              <w:fldChar w:fldCharType="begin"/>
            </w:r>
            <w:r>
              <w:rPr>
                <w:noProof/>
                <w:webHidden/>
              </w:rPr>
              <w:instrText xml:space="preserve"> PAGEREF _Toc49950624 \h </w:instrText>
            </w:r>
            <w:r>
              <w:rPr>
                <w:noProof/>
                <w:webHidden/>
              </w:rPr>
            </w:r>
            <w:r>
              <w:rPr>
                <w:noProof/>
                <w:webHidden/>
              </w:rPr>
              <w:fldChar w:fldCharType="separate"/>
            </w:r>
            <w:r>
              <w:rPr>
                <w:noProof/>
                <w:webHidden/>
              </w:rPr>
              <w:t>11</w:t>
            </w:r>
            <w:r>
              <w:rPr>
                <w:noProof/>
                <w:webHidden/>
              </w:rPr>
              <w:fldChar w:fldCharType="end"/>
            </w:r>
          </w:hyperlink>
        </w:p>
        <w:p w14:paraId="3D638329" w14:textId="2F03177C" w:rsidR="0059626C" w:rsidRDefault="0059626C">
          <w:pPr>
            <w:pStyle w:val="TOC3"/>
            <w:rPr>
              <w:rFonts w:asciiTheme="minorHAnsi" w:eastAsiaTheme="minorEastAsia" w:hAnsiTheme="minorHAnsi" w:cstheme="minorBidi"/>
              <w:noProof/>
              <w:lang w:eastAsia="en-AU"/>
            </w:rPr>
          </w:pPr>
          <w:hyperlink w:anchor="_Toc49950625" w:history="1">
            <w:r w:rsidRPr="007F377F">
              <w:rPr>
                <w:rStyle w:val="Hyperlink"/>
                <w:noProof/>
              </w:rPr>
              <w:t>Nonclinical</w:t>
            </w:r>
            <w:r>
              <w:rPr>
                <w:noProof/>
                <w:webHidden/>
              </w:rPr>
              <w:tab/>
            </w:r>
            <w:r>
              <w:rPr>
                <w:noProof/>
                <w:webHidden/>
              </w:rPr>
              <w:fldChar w:fldCharType="begin"/>
            </w:r>
            <w:r>
              <w:rPr>
                <w:noProof/>
                <w:webHidden/>
              </w:rPr>
              <w:instrText xml:space="preserve"> PAGEREF _Toc49950625 \h </w:instrText>
            </w:r>
            <w:r>
              <w:rPr>
                <w:noProof/>
                <w:webHidden/>
              </w:rPr>
            </w:r>
            <w:r>
              <w:rPr>
                <w:noProof/>
                <w:webHidden/>
              </w:rPr>
              <w:fldChar w:fldCharType="separate"/>
            </w:r>
            <w:r>
              <w:rPr>
                <w:noProof/>
                <w:webHidden/>
              </w:rPr>
              <w:t>11</w:t>
            </w:r>
            <w:r>
              <w:rPr>
                <w:noProof/>
                <w:webHidden/>
              </w:rPr>
              <w:fldChar w:fldCharType="end"/>
            </w:r>
          </w:hyperlink>
        </w:p>
        <w:p w14:paraId="2DAB85ED" w14:textId="70C6BD93" w:rsidR="0059626C" w:rsidRDefault="0059626C">
          <w:pPr>
            <w:pStyle w:val="TOC3"/>
            <w:rPr>
              <w:rFonts w:asciiTheme="minorHAnsi" w:eastAsiaTheme="minorEastAsia" w:hAnsiTheme="minorHAnsi" w:cstheme="minorBidi"/>
              <w:noProof/>
              <w:lang w:eastAsia="en-AU"/>
            </w:rPr>
          </w:pPr>
          <w:hyperlink w:anchor="_Toc49950626" w:history="1">
            <w:r w:rsidRPr="007F377F">
              <w:rPr>
                <w:rStyle w:val="Hyperlink"/>
                <w:noProof/>
              </w:rPr>
              <w:t>Clinical</w:t>
            </w:r>
            <w:r>
              <w:rPr>
                <w:noProof/>
                <w:webHidden/>
              </w:rPr>
              <w:tab/>
            </w:r>
            <w:r>
              <w:rPr>
                <w:noProof/>
                <w:webHidden/>
              </w:rPr>
              <w:fldChar w:fldCharType="begin"/>
            </w:r>
            <w:r>
              <w:rPr>
                <w:noProof/>
                <w:webHidden/>
              </w:rPr>
              <w:instrText xml:space="preserve"> PAGEREF _Toc49950626 \h </w:instrText>
            </w:r>
            <w:r>
              <w:rPr>
                <w:noProof/>
                <w:webHidden/>
              </w:rPr>
            </w:r>
            <w:r>
              <w:rPr>
                <w:noProof/>
                <w:webHidden/>
              </w:rPr>
              <w:fldChar w:fldCharType="separate"/>
            </w:r>
            <w:r>
              <w:rPr>
                <w:noProof/>
                <w:webHidden/>
              </w:rPr>
              <w:t>11</w:t>
            </w:r>
            <w:r>
              <w:rPr>
                <w:noProof/>
                <w:webHidden/>
              </w:rPr>
              <w:fldChar w:fldCharType="end"/>
            </w:r>
          </w:hyperlink>
        </w:p>
        <w:p w14:paraId="283D9A42" w14:textId="36FA8441" w:rsidR="0059626C" w:rsidRDefault="0059626C">
          <w:pPr>
            <w:pStyle w:val="TOC3"/>
            <w:rPr>
              <w:rFonts w:asciiTheme="minorHAnsi" w:eastAsiaTheme="minorEastAsia" w:hAnsiTheme="minorHAnsi" w:cstheme="minorBidi"/>
              <w:noProof/>
              <w:lang w:eastAsia="en-AU"/>
            </w:rPr>
          </w:pPr>
          <w:hyperlink w:anchor="_Toc49950627" w:history="1">
            <w:r w:rsidRPr="007F377F">
              <w:rPr>
                <w:rStyle w:val="Hyperlink"/>
                <w:noProof/>
                <w:lang w:eastAsia="en-AU"/>
              </w:rPr>
              <w:t>Risk management plan</w:t>
            </w:r>
            <w:r>
              <w:rPr>
                <w:noProof/>
                <w:webHidden/>
              </w:rPr>
              <w:tab/>
            </w:r>
            <w:r>
              <w:rPr>
                <w:noProof/>
                <w:webHidden/>
              </w:rPr>
              <w:fldChar w:fldCharType="begin"/>
            </w:r>
            <w:r>
              <w:rPr>
                <w:noProof/>
                <w:webHidden/>
              </w:rPr>
              <w:instrText xml:space="preserve"> PAGEREF _Toc49950627 \h </w:instrText>
            </w:r>
            <w:r>
              <w:rPr>
                <w:noProof/>
                <w:webHidden/>
              </w:rPr>
            </w:r>
            <w:r>
              <w:rPr>
                <w:noProof/>
                <w:webHidden/>
              </w:rPr>
              <w:fldChar w:fldCharType="separate"/>
            </w:r>
            <w:r>
              <w:rPr>
                <w:noProof/>
                <w:webHidden/>
              </w:rPr>
              <w:t>22</w:t>
            </w:r>
            <w:r>
              <w:rPr>
                <w:noProof/>
                <w:webHidden/>
              </w:rPr>
              <w:fldChar w:fldCharType="end"/>
            </w:r>
          </w:hyperlink>
        </w:p>
        <w:p w14:paraId="5E53A28D" w14:textId="57CB4951" w:rsidR="0059626C" w:rsidRDefault="0059626C">
          <w:pPr>
            <w:pStyle w:val="TOC3"/>
            <w:rPr>
              <w:rFonts w:asciiTheme="minorHAnsi" w:eastAsiaTheme="minorEastAsia" w:hAnsiTheme="minorHAnsi" w:cstheme="minorBidi"/>
              <w:noProof/>
              <w:lang w:eastAsia="en-AU"/>
            </w:rPr>
          </w:pPr>
          <w:hyperlink w:anchor="_Toc49950628" w:history="1">
            <w:r w:rsidRPr="007F377F">
              <w:rPr>
                <w:rStyle w:val="Hyperlink"/>
                <w:noProof/>
              </w:rPr>
              <w:t>Risk-benefit analysis</w:t>
            </w:r>
            <w:r>
              <w:rPr>
                <w:noProof/>
                <w:webHidden/>
              </w:rPr>
              <w:tab/>
            </w:r>
            <w:r>
              <w:rPr>
                <w:noProof/>
                <w:webHidden/>
              </w:rPr>
              <w:fldChar w:fldCharType="begin"/>
            </w:r>
            <w:r>
              <w:rPr>
                <w:noProof/>
                <w:webHidden/>
              </w:rPr>
              <w:instrText xml:space="preserve"> PAGEREF _Toc49950628 \h </w:instrText>
            </w:r>
            <w:r>
              <w:rPr>
                <w:noProof/>
                <w:webHidden/>
              </w:rPr>
            </w:r>
            <w:r>
              <w:rPr>
                <w:noProof/>
                <w:webHidden/>
              </w:rPr>
              <w:fldChar w:fldCharType="separate"/>
            </w:r>
            <w:r>
              <w:rPr>
                <w:noProof/>
                <w:webHidden/>
              </w:rPr>
              <w:t>24</w:t>
            </w:r>
            <w:r>
              <w:rPr>
                <w:noProof/>
                <w:webHidden/>
              </w:rPr>
              <w:fldChar w:fldCharType="end"/>
            </w:r>
          </w:hyperlink>
        </w:p>
        <w:p w14:paraId="498FED7D" w14:textId="6F1BA37C" w:rsidR="0059626C" w:rsidRDefault="0059626C">
          <w:pPr>
            <w:pStyle w:val="TOC3"/>
            <w:rPr>
              <w:rFonts w:asciiTheme="minorHAnsi" w:eastAsiaTheme="minorEastAsia" w:hAnsiTheme="minorHAnsi" w:cstheme="minorBidi"/>
              <w:noProof/>
              <w:lang w:eastAsia="en-AU"/>
            </w:rPr>
          </w:pPr>
          <w:hyperlink w:anchor="_Toc49950629" w:history="1">
            <w:r w:rsidRPr="007F377F">
              <w:rPr>
                <w:rStyle w:val="Hyperlink"/>
                <w:noProof/>
              </w:rPr>
              <w:t>Outcome</w:t>
            </w:r>
            <w:r>
              <w:rPr>
                <w:noProof/>
                <w:webHidden/>
              </w:rPr>
              <w:tab/>
            </w:r>
            <w:r>
              <w:rPr>
                <w:noProof/>
                <w:webHidden/>
              </w:rPr>
              <w:fldChar w:fldCharType="begin"/>
            </w:r>
            <w:r>
              <w:rPr>
                <w:noProof/>
                <w:webHidden/>
              </w:rPr>
              <w:instrText xml:space="preserve"> PAGEREF _Toc49950629 \h </w:instrText>
            </w:r>
            <w:r>
              <w:rPr>
                <w:noProof/>
                <w:webHidden/>
              </w:rPr>
            </w:r>
            <w:r>
              <w:rPr>
                <w:noProof/>
                <w:webHidden/>
              </w:rPr>
              <w:fldChar w:fldCharType="separate"/>
            </w:r>
            <w:r>
              <w:rPr>
                <w:noProof/>
                <w:webHidden/>
              </w:rPr>
              <w:t>28</w:t>
            </w:r>
            <w:r>
              <w:rPr>
                <w:noProof/>
                <w:webHidden/>
              </w:rPr>
              <w:fldChar w:fldCharType="end"/>
            </w:r>
          </w:hyperlink>
        </w:p>
        <w:p w14:paraId="3196AE53" w14:textId="2309E145" w:rsidR="0059626C" w:rsidRDefault="0059626C">
          <w:pPr>
            <w:pStyle w:val="TOC2"/>
            <w:rPr>
              <w:rFonts w:asciiTheme="minorHAnsi" w:eastAsiaTheme="minorEastAsia" w:hAnsiTheme="minorHAnsi" w:cstheme="minorBidi"/>
              <w:b w:val="0"/>
              <w:noProof/>
              <w:sz w:val="22"/>
              <w:lang w:eastAsia="en-AU"/>
            </w:rPr>
          </w:pPr>
          <w:hyperlink w:anchor="_Toc49950630" w:history="1">
            <w:r w:rsidRPr="007F377F">
              <w:rPr>
                <w:rStyle w:val="Hyperlink"/>
                <w:noProof/>
              </w:rPr>
              <w:t>Attachment 1. Product Information</w:t>
            </w:r>
            <w:r>
              <w:rPr>
                <w:noProof/>
                <w:webHidden/>
              </w:rPr>
              <w:tab/>
            </w:r>
            <w:r>
              <w:rPr>
                <w:noProof/>
                <w:webHidden/>
              </w:rPr>
              <w:fldChar w:fldCharType="begin"/>
            </w:r>
            <w:r>
              <w:rPr>
                <w:noProof/>
                <w:webHidden/>
              </w:rPr>
              <w:instrText xml:space="preserve"> PAGEREF _Toc49950630 \h </w:instrText>
            </w:r>
            <w:r>
              <w:rPr>
                <w:noProof/>
                <w:webHidden/>
              </w:rPr>
            </w:r>
            <w:r>
              <w:rPr>
                <w:noProof/>
                <w:webHidden/>
              </w:rPr>
              <w:fldChar w:fldCharType="separate"/>
            </w:r>
            <w:r>
              <w:rPr>
                <w:noProof/>
                <w:webHidden/>
              </w:rPr>
              <w:t>29</w:t>
            </w:r>
            <w:r>
              <w:rPr>
                <w:noProof/>
                <w:webHidden/>
              </w:rPr>
              <w:fldChar w:fldCharType="end"/>
            </w:r>
          </w:hyperlink>
        </w:p>
        <w:p w14:paraId="6EA192B6" w14:textId="130E9D24" w:rsidR="003A7F6C" w:rsidRPr="00B811C6" w:rsidRDefault="00960520" w:rsidP="00B811C6">
          <w:pPr>
            <w:pStyle w:val="TOC2"/>
          </w:pPr>
          <w:r>
            <w:fldChar w:fldCharType="end"/>
          </w:r>
        </w:p>
      </w:sdtContent>
    </w:sdt>
    <w:bookmarkStart w:id="3" w:name="_Toc314842482" w:displacedByCustomXml="prev"/>
    <w:p w14:paraId="3CEE2F74" w14:textId="66D6F3D7" w:rsidR="00C52E24" w:rsidRPr="00C52E24" w:rsidRDefault="00441C3F" w:rsidP="007038CF">
      <w:pPr>
        <w:pStyle w:val="Heading2"/>
        <w:pageBreakBefore/>
      </w:pPr>
      <w:bookmarkStart w:id="4" w:name="_Toc351716269"/>
      <w:bookmarkStart w:id="5" w:name="_Toc351718881"/>
      <w:bookmarkStart w:id="6" w:name="_Toc355338616"/>
      <w:bookmarkStart w:id="7" w:name="_Toc356306144"/>
      <w:bookmarkStart w:id="8" w:name="_Toc49950616"/>
      <w:r>
        <w:lastRenderedPageBreak/>
        <w:t>Common</w:t>
      </w:r>
      <w:r w:rsidR="00FD119B" w:rsidRPr="00FD119B">
        <w:t xml:space="preserve"> abbreviations</w:t>
      </w:r>
      <w:bookmarkEnd w:id="4"/>
      <w:bookmarkEnd w:id="5"/>
      <w:bookmarkEnd w:id="6"/>
      <w:bookmarkEnd w:id="7"/>
      <w:bookmarkEnd w:id="8"/>
    </w:p>
    <w:tbl>
      <w:tblPr>
        <w:tblStyle w:val="TableTGAblue"/>
        <w:tblW w:w="0" w:type="auto"/>
        <w:tblLook w:val="04A0" w:firstRow="1" w:lastRow="0" w:firstColumn="1" w:lastColumn="0" w:noHBand="0" w:noVBand="1"/>
      </w:tblPr>
      <w:tblGrid>
        <w:gridCol w:w="1890"/>
        <w:gridCol w:w="6594"/>
      </w:tblGrid>
      <w:tr w:rsidR="003929E2" w14:paraId="38557AE9" w14:textId="77777777" w:rsidTr="00733014">
        <w:trPr>
          <w:cnfStyle w:val="100000000000" w:firstRow="1" w:lastRow="0" w:firstColumn="0" w:lastColumn="0" w:oddVBand="0" w:evenVBand="0" w:oddHBand="0" w:evenHBand="0" w:firstRowFirstColumn="0" w:firstRowLastColumn="0" w:lastRowFirstColumn="0" w:lastRowLastColumn="0"/>
        </w:trPr>
        <w:tc>
          <w:tcPr>
            <w:tcW w:w="1890" w:type="dxa"/>
          </w:tcPr>
          <w:p w14:paraId="189F440B" w14:textId="77777777" w:rsidR="003929E2" w:rsidRDefault="003929E2" w:rsidP="003929E2">
            <w:r>
              <w:t>Abbreviation</w:t>
            </w:r>
          </w:p>
        </w:tc>
        <w:tc>
          <w:tcPr>
            <w:tcW w:w="6830" w:type="dxa"/>
          </w:tcPr>
          <w:p w14:paraId="310217BD" w14:textId="77777777" w:rsidR="003929E2" w:rsidRDefault="003929E2" w:rsidP="003929E2">
            <w:r>
              <w:t>Meaning</w:t>
            </w:r>
          </w:p>
        </w:tc>
      </w:tr>
      <w:tr w:rsidR="00DF1117" w:rsidRPr="00CC08FF" w14:paraId="2A977C81" w14:textId="77777777" w:rsidTr="004B48D3">
        <w:tc>
          <w:tcPr>
            <w:tcW w:w="1890" w:type="dxa"/>
          </w:tcPr>
          <w:p w14:paraId="656645A5" w14:textId="58E108FF" w:rsidR="00DF1117" w:rsidRDefault="00DF1117" w:rsidP="003929E2">
            <w:r>
              <w:t>ACM</w:t>
            </w:r>
          </w:p>
        </w:tc>
        <w:tc>
          <w:tcPr>
            <w:tcW w:w="6830" w:type="dxa"/>
          </w:tcPr>
          <w:p w14:paraId="1F8ACAEC" w14:textId="5F1E3A23" w:rsidR="00DF1117" w:rsidRDefault="00DF1117" w:rsidP="003929E2">
            <w:r>
              <w:t>Advisory Committee on Medicines</w:t>
            </w:r>
          </w:p>
        </w:tc>
      </w:tr>
      <w:tr w:rsidR="003929E2" w:rsidRPr="00CC08FF" w14:paraId="4A2729CC" w14:textId="77777777" w:rsidTr="00733014">
        <w:tc>
          <w:tcPr>
            <w:tcW w:w="1890" w:type="dxa"/>
          </w:tcPr>
          <w:p w14:paraId="5E1F1834" w14:textId="6F7D868B" w:rsidR="003929E2" w:rsidRDefault="003929E2" w:rsidP="003929E2">
            <w:r>
              <w:t>AE</w:t>
            </w:r>
          </w:p>
        </w:tc>
        <w:tc>
          <w:tcPr>
            <w:tcW w:w="6830" w:type="dxa"/>
          </w:tcPr>
          <w:p w14:paraId="69F07E38" w14:textId="6E566D49" w:rsidR="003929E2" w:rsidRPr="00CC08FF" w:rsidRDefault="003929E2" w:rsidP="003929E2">
            <w:r>
              <w:t>Adverse event</w:t>
            </w:r>
          </w:p>
        </w:tc>
      </w:tr>
      <w:tr w:rsidR="00DF1117" w:rsidRPr="00CC08FF" w14:paraId="40ACBDBA" w14:textId="77777777" w:rsidTr="004B48D3">
        <w:tc>
          <w:tcPr>
            <w:tcW w:w="1890" w:type="dxa"/>
          </w:tcPr>
          <w:p w14:paraId="63EA5292" w14:textId="56C24A93" w:rsidR="00DF1117" w:rsidRDefault="00CA64D4" w:rsidP="003929E2">
            <w:r>
              <w:t>ALT</w:t>
            </w:r>
          </w:p>
        </w:tc>
        <w:tc>
          <w:tcPr>
            <w:tcW w:w="6830" w:type="dxa"/>
          </w:tcPr>
          <w:p w14:paraId="2F6E973D" w14:textId="5CCB9A5B" w:rsidR="00DF1117" w:rsidRDefault="00CA64D4" w:rsidP="003929E2">
            <w:r>
              <w:t>Alanine aminotransferase</w:t>
            </w:r>
          </w:p>
        </w:tc>
      </w:tr>
      <w:tr w:rsidR="00DF1117" w:rsidRPr="00CC08FF" w14:paraId="7F59316D" w14:textId="77777777" w:rsidTr="004B48D3">
        <w:tc>
          <w:tcPr>
            <w:tcW w:w="1890" w:type="dxa"/>
          </w:tcPr>
          <w:p w14:paraId="385011B9" w14:textId="4360C87F" w:rsidR="00DF1117" w:rsidRDefault="00DF1117" w:rsidP="003929E2">
            <w:r>
              <w:t>ASA</w:t>
            </w:r>
          </w:p>
        </w:tc>
        <w:tc>
          <w:tcPr>
            <w:tcW w:w="6830" w:type="dxa"/>
          </w:tcPr>
          <w:p w14:paraId="72C4B4CE" w14:textId="17453BF7" w:rsidR="00DF1117" w:rsidRDefault="00DF1117" w:rsidP="003929E2">
            <w:r>
              <w:t xml:space="preserve">Australian specific </w:t>
            </w:r>
            <w:r w:rsidR="00FA49F7">
              <w:t>A</w:t>
            </w:r>
            <w:r>
              <w:t>nnex</w:t>
            </w:r>
          </w:p>
        </w:tc>
      </w:tr>
      <w:tr w:rsidR="003929E2" w14:paraId="26EF3E48" w14:textId="77777777" w:rsidTr="00733014">
        <w:tc>
          <w:tcPr>
            <w:tcW w:w="1890" w:type="dxa"/>
          </w:tcPr>
          <w:p w14:paraId="48AB1DA9" w14:textId="77777777" w:rsidR="003929E2" w:rsidRDefault="003929E2" w:rsidP="003929E2">
            <w:r>
              <w:t>AUC</w:t>
            </w:r>
          </w:p>
        </w:tc>
        <w:tc>
          <w:tcPr>
            <w:tcW w:w="6830" w:type="dxa"/>
          </w:tcPr>
          <w:p w14:paraId="679DAC7E" w14:textId="43249D57" w:rsidR="003929E2" w:rsidRDefault="00CD3E40" w:rsidP="003929E2">
            <w:r>
              <w:t>A</w:t>
            </w:r>
            <w:r w:rsidR="003929E2" w:rsidRPr="00CC08FF">
              <w:t>rea under the concentration</w:t>
            </w:r>
            <w:r w:rsidR="00410622">
              <w:t xml:space="preserve"> </w:t>
            </w:r>
            <w:r w:rsidR="003929E2" w:rsidRPr="00CC08FF">
              <w:t>time curve</w:t>
            </w:r>
          </w:p>
        </w:tc>
      </w:tr>
      <w:tr w:rsidR="00ED6E9E" w14:paraId="1D309DB7" w14:textId="77777777" w:rsidTr="004B48D3">
        <w:tc>
          <w:tcPr>
            <w:tcW w:w="1890" w:type="dxa"/>
          </w:tcPr>
          <w:p w14:paraId="7870573C" w14:textId="2B96ED3D" w:rsidR="00ED6E9E" w:rsidRDefault="00ED6E9E" w:rsidP="003929E2">
            <w:r w:rsidRPr="00872258">
              <w:rPr>
                <w:lang w:eastAsia="ja-JP"/>
              </w:rPr>
              <w:t>AUC</w:t>
            </w:r>
            <w:r w:rsidRPr="00872258">
              <w:rPr>
                <w:vertAlign w:val="subscript"/>
                <w:lang w:eastAsia="ja-JP"/>
              </w:rPr>
              <w:t>2weeks,ss</w:t>
            </w:r>
          </w:p>
        </w:tc>
        <w:tc>
          <w:tcPr>
            <w:tcW w:w="6830" w:type="dxa"/>
          </w:tcPr>
          <w:p w14:paraId="08CF8BBE" w14:textId="56D5DC0E" w:rsidR="00ED6E9E" w:rsidRDefault="00E72CB7" w:rsidP="00ED6E9E">
            <w:r>
              <w:rPr>
                <w:lang w:eastAsia="ja-JP"/>
              </w:rPr>
              <w:t>A</w:t>
            </w:r>
            <w:r w:rsidR="00ED6E9E">
              <w:rPr>
                <w:lang w:eastAsia="ja-JP"/>
              </w:rPr>
              <w:t>rea under the concentration time curve at</w:t>
            </w:r>
            <w:r>
              <w:rPr>
                <w:lang w:eastAsia="ja-JP"/>
              </w:rPr>
              <w:t xml:space="preserve"> steady state </w:t>
            </w:r>
            <w:r w:rsidR="003B055A">
              <w:rPr>
                <w:lang w:eastAsia="ja-JP"/>
              </w:rPr>
              <w:t>at</w:t>
            </w:r>
            <w:r w:rsidR="00ED6E9E">
              <w:rPr>
                <w:lang w:eastAsia="ja-JP"/>
              </w:rPr>
              <w:t xml:space="preserve"> 2 weeks</w:t>
            </w:r>
          </w:p>
        </w:tc>
      </w:tr>
      <w:tr w:rsidR="003929E2" w:rsidRPr="00E756A9" w14:paraId="543ADBB6" w14:textId="77777777" w:rsidTr="00733014">
        <w:tc>
          <w:tcPr>
            <w:tcW w:w="1890" w:type="dxa"/>
          </w:tcPr>
          <w:p w14:paraId="43352832" w14:textId="77777777" w:rsidR="003929E2" w:rsidRPr="00E756A9" w:rsidRDefault="003929E2" w:rsidP="003929E2">
            <w:r>
              <w:t>BMI</w:t>
            </w:r>
          </w:p>
        </w:tc>
        <w:tc>
          <w:tcPr>
            <w:tcW w:w="6830" w:type="dxa"/>
          </w:tcPr>
          <w:p w14:paraId="6953F069" w14:textId="6EB4F7FB" w:rsidR="003929E2" w:rsidRPr="00E756A9" w:rsidRDefault="00CD3E40" w:rsidP="003929E2">
            <w:r>
              <w:t>B</w:t>
            </w:r>
            <w:r w:rsidR="003929E2" w:rsidRPr="00AC5795">
              <w:t>ody mass index (kg/m</w:t>
            </w:r>
            <w:r w:rsidR="003929E2" w:rsidRPr="00AC5795">
              <w:rPr>
                <w:vertAlign w:val="superscript"/>
              </w:rPr>
              <w:t>2</w:t>
            </w:r>
            <w:r w:rsidR="003929E2" w:rsidRPr="00AC5795">
              <w:t>)</w:t>
            </w:r>
          </w:p>
        </w:tc>
      </w:tr>
      <w:tr w:rsidR="003929E2" w14:paraId="2126D467" w14:textId="77777777" w:rsidTr="00733014">
        <w:tc>
          <w:tcPr>
            <w:tcW w:w="1890" w:type="dxa"/>
          </w:tcPr>
          <w:p w14:paraId="710BC0B6" w14:textId="77777777" w:rsidR="003929E2" w:rsidRDefault="003929E2" w:rsidP="003929E2">
            <w:r w:rsidRPr="00E756A9">
              <w:t>BSA</w:t>
            </w:r>
          </w:p>
        </w:tc>
        <w:tc>
          <w:tcPr>
            <w:tcW w:w="6830" w:type="dxa"/>
          </w:tcPr>
          <w:p w14:paraId="6AED0006" w14:textId="2F9A4F2C" w:rsidR="003929E2" w:rsidRDefault="00CD3E40" w:rsidP="003929E2">
            <w:r>
              <w:t>B</w:t>
            </w:r>
            <w:r w:rsidR="003929E2" w:rsidRPr="00E756A9">
              <w:t>ody surface area (m</w:t>
            </w:r>
            <w:r w:rsidR="003929E2" w:rsidRPr="00E756A9">
              <w:rPr>
                <w:vertAlign w:val="superscript"/>
              </w:rPr>
              <w:t>2</w:t>
            </w:r>
            <w:r w:rsidR="003929E2" w:rsidRPr="00E756A9">
              <w:t>)</w:t>
            </w:r>
          </w:p>
        </w:tc>
      </w:tr>
      <w:tr w:rsidR="003929E2" w:rsidRPr="00CC08FF" w14:paraId="316D84BE" w14:textId="77777777" w:rsidTr="00733014">
        <w:tc>
          <w:tcPr>
            <w:tcW w:w="1890" w:type="dxa"/>
          </w:tcPr>
          <w:p w14:paraId="69AF2E62" w14:textId="77777777" w:rsidR="003929E2" w:rsidRDefault="003929E2" w:rsidP="003929E2">
            <w:r>
              <w:t>BW</w:t>
            </w:r>
          </w:p>
        </w:tc>
        <w:tc>
          <w:tcPr>
            <w:tcW w:w="6830" w:type="dxa"/>
          </w:tcPr>
          <w:p w14:paraId="009363EF" w14:textId="77777777" w:rsidR="003929E2" w:rsidRPr="00CC08FF" w:rsidRDefault="003929E2" w:rsidP="003929E2">
            <w:r>
              <w:t>Body weight</w:t>
            </w:r>
          </w:p>
        </w:tc>
      </w:tr>
      <w:tr w:rsidR="004F52B3" w:rsidRPr="00CC08FF" w14:paraId="11E76485" w14:textId="77777777" w:rsidTr="004B48D3">
        <w:tc>
          <w:tcPr>
            <w:tcW w:w="1890" w:type="dxa"/>
          </w:tcPr>
          <w:p w14:paraId="65135682" w14:textId="3448F306" w:rsidR="004F52B3" w:rsidRPr="00DB4BBA" w:rsidRDefault="004F52B3" w:rsidP="003929E2">
            <w:r>
              <w:t>CAR</w:t>
            </w:r>
          </w:p>
        </w:tc>
        <w:tc>
          <w:tcPr>
            <w:tcW w:w="6830" w:type="dxa"/>
          </w:tcPr>
          <w:p w14:paraId="31EAA5CD" w14:textId="50A76865" w:rsidR="004F52B3" w:rsidRPr="00DB4BBA" w:rsidRDefault="004F52B3" w:rsidP="003929E2">
            <w:r>
              <w:t>Chimeric antigen receptor</w:t>
            </w:r>
          </w:p>
        </w:tc>
      </w:tr>
      <w:tr w:rsidR="003929E2" w:rsidRPr="00CC08FF" w14:paraId="336481D7" w14:textId="77777777" w:rsidTr="00733014">
        <w:tc>
          <w:tcPr>
            <w:tcW w:w="1890" w:type="dxa"/>
          </w:tcPr>
          <w:p w14:paraId="518A3A5A" w14:textId="77777777" w:rsidR="003929E2" w:rsidRDefault="003929E2" w:rsidP="003929E2">
            <w:r w:rsidRPr="00DB4BBA">
              <w:t>CHAQ</w:t>
            </w:r>
            <w:r>
              <w:t>-DI</w:t>
            </w:r>
          </w:p>
        </w:tc>
        <w:tc>
          <w:tcPr>
            <w:tcW w:w="6830" w:type="dxa"/>
          </w:tcPr>
          <w:p w14:paraId="3EED5F0E" w14:textId="3E28C756" w:rsidR="003929E2" w:rsidRPr="00CC08FF" w:rsidRDefault="004502FE" w:rsidP="003929E2">
            <w:r w:rsidRPr="00DB4BBA">
              <w:t>Childhood H</w:t>
            </w:r>
            <w:r>
              <w:t>ealth Assessment Questionnaire-Disability Index</w:t>
            </w:r>
          </w:p>
        </w:tc>
      </w:tr>
      <w:tr w:rsidR="003929E2" w:rsidRPr="00CC08FF" w14:paraId="2E018178" w14:textId="77777777" w:rsidTr="00733014">
        <w:tc>
          <w:tcPr>
            <w:tcW w:w="1890" w:type="dxa"/>
          </w:tcPr>
          <w:p w14:paraId="31D5E235" w14:textId="77777777" w:rsidR="003929E2" w:rsidRDefault="003929E2" w:rsidP="003929E2">
            <w:r>
              <w:t>CI</w:t>
            </w:r>
          </w:p>
        </w:tc>
        <w:tc>
          <w:tcPr>
            <w:tcW w:w="6830" w:type="dxa"/>
          </w:tcPr>
          <w:p w14:paraId="7553E192" w14:textId="77777777" w:rsidR="003929E2" w:rsidRPr="00CC08FF" w:rsidRDefault="003929E2" w:rsidP="003929E2">
            <w:r>
              <w:t>Confidence interval</w:t>
            </w:r>
          </w:p>
        </w:tc>
      </w:tr>
      <w:tr w:rsidR="003929E2" w14:paraId="50BDDED7" w14:textId="77777777" w:rsidTr="00733014">
        <w:tc>
          <w:tcPr>
            <w:tcW w:w="1890" w:type="dxa"/>
          </w:tcPr>
          <w:p w14:paraId="0AD0B3EF" w14:textId="77777777" w:rsidR="003929E2" w:rsidRDefault="003929E2" w:rsidP="003929E2">
            <w:r>
              <w:t>C</w:t>
            </w:r>
            <w:r w:rsidRPr="00962527">
              <w:rPr>
                <w:vertAlign w:val="subscript"/>
              </w:rPr>
              <w:t>max</w:t>
            </w:r>
          </w:p>
        </w:tc>
        <w:tc>
          <w:tcPr>
            <w:tcW w:w="6830" w:type="dxa"/>
          </w:tcPr>
          <w:p w14:paraId="03939B6A" w14:textId="4DDC0F8B" w:rsidR="003929E2" w:rsidRDefault="00CD3E40" w:rsidP="003929E2">
            <w:r>
              <w:t>M</w:t>
            </w:r>
            <w:r w:rsidR="003929E2" w:rsidRPr="00CC08FF">
              <w:t>aximum plasma concentration</w:t>
            </w:r>
          </w:p>
        </w:tc>
      </w:tr>
      <w:tr w:rsidR="00ED6E9E" w14:paraId="71E55E97" w14:textId="77777777" w:rsidTr="004B48D3">
        <w:tc>
          <w:tcPr>
            <w:tcW w:w="1890" w:type="dxa"/>
          </w:tcPr>
          <w:p w14:paraId="39E9FA6A" w14:textId="430B0993" w:rsidR="00ED6E9E" w:rsidRDefault="00ED6E9E" w:rsidP="003929E2">
            <w:r>
              <w:rPr>
                <w:lang w:eastAsia="ja-JP"/>
              </w:rPr>
              <w:t>C</w:t>
            </w:r>
            <w:r w:rsidRPr="00A352A1">
              <w:rPr>
                <w:vertAlign w:val="subscript"/>
                <w:lang w:eastAsia="ja-JP"/>
              </w:rPr>
              <w:t>max,ss</w:t>
            </w:r>
          </w:p>
        </w:tc>
        <w:tc>
          <w:tcPr>
            <w:tcW w:w="6830" w:type="dxa"/>
          </w:tcPr>
          <w:p w14:paraId="60387B77" w14:textId="68FC49D9" w:rsidR="00ED6E9E" w:rsidRDefault="004502FE" w:rsidP="00ED6E9E">
            <w:r>
              <w:rPr>
                <w:lang w:eastAsia="ja-JP"/>
              </w:rPr>
              <w:t>Maximum</w:t>
            </w:r>
            <w:r w:rsidR="00ED6E9E">
              <w:rPr>
                <w:lang w:eastAsia="ja-JP"/>
              </w:rPr>
              <w:t xml:space="preserve"> plasma concentration</w:t>
            </w:r>
            <w:r>
              <w:rPr>
                <w:lang w:eastAsia="ja-JP"/>
              </w:rPr>
              <w:t xml:space="preserve"> at steady state</w:t>
            </w:r>
          </w:p>
        </w:tc>
      </w:tr>
      <w:tr w:rsidR="003929E2" w14:paraId="4209E3E5" w14:textId="77777777" w:rsidTr="00733014">
        <w:tc>
          <w:tcPr>
            <w:tcW w:w="1890" w:type="dxa"/>
          </w:tcPr>
          <w:p w14:paraId="1F1AB3D3" w14:textId="77777777" w:rsidR="003929E2" w:rsidRDefault="003929E2" w:rsidP="003929E2">
            <w:r>
              <w:t>C</w:t>
            </w:r>
            <w:r w:rsidRPr="00962527">
              <w:rPr>
                <w:vertAlign w:val="subscript"/>
              </w:rPr>
              <w:t>min</w:t>
            </w:r>
          </w:p>
        </w:tc>
        <w:tc>
          <w:tcPr>
            <w:tcW w:w="6830" w:type="dxa"/>
          </w:tcPr>
          <w:p w14:paraId="5E7177B3" w14:textId="0E4D290E" w:rsidR="003929E2" w:rsidRDefault="00CD3E40" w:rsidP="003929E2">
            <w:r>
              <w:t>M</w:t>
            </w:r>
            <w:r w:rsidR="003929E2" w:rsidRPr="00CC08FF">
              <w:t>inimum plasma concentration</w:t>
            </w:r>
          </w:p>
        </w:tc>
      </w:tr>
      <w:tr w:rsidR="00ED6E9E" w14:paraId="3DBE31DB" w14:textId="77777777" w:rsidTr="004B48D3">
        <w:tc>
          <w:tcPr>
            <w:tcW w:w="1890" w:type="dxa"/>
          </w:tcPr>
          <w:p w14:paraId="17AEBBC0" w14:textId="6D3A9E5D" w:rsidR="00ED6E9E" w:rsidRDefault="00ED6E9E" w:rsidP="003929E2">
            <w:r w:rsidRPr="00872258">
              <w:rPr>
                <w:lang w:eastAsia="ja-JP"/>
              </w:rPr>
              <w:t>C</w:t>
            </w:r>
            <w:r w:rsidRPr="00A352A1">
              <w:rPr>
                <w:vertAlign w:val="subscript"/>
                <w:lang w:eastAsia="ja-JP"/>
              </w:rPr>
              <w:t>min,ss</w:t>
            </w:r>
          </w:p>
        </w:tc>
        <w:tc>
          <w:tcPr>
            <w:tcW w:w="6830" w:type="dxa"/>
          </w:tcPr>
          <w:p w14:paraId="2565641B" w14:textId="465ABEA6" w:rsidR="00ED6E9E" w:rsidRDefault="004502FE" w:rsidP="00ED6E9E">
            <w:r>
              <w:rPr>
                <w:lang w:eastAsia="ja-JP"/>
              </w:rPr>
              <w:t>M</w:t>
            </w:r>
            <w:r w:rsidR="00ED6E9E">
              <w:rPr>
                <w:lang w:eastAsia="ja-JP"/>
              </w:rPr>
              <w:t>inimum plasma concentration</w:t>
            </w:r>
            <w:r>
              <w:rPr>
                <w:lang w:eastAsia="ja-JP"/>
              </w:rPr>
              <w:t xml:space="preserve"> at steady state</w:t>
            </w:r>
          </w:p>
        </w:tc>
      </w:tr>
      <w:tr w:rsidR="00720F3E" w14:paraId="13CB5D24" w14:textId="77777777" w:rsidTr="004B48D3">
        <w:tc>
          <w:tcPr>
            <w:tcW w:w="1890" w:type="dxa"/>
          </w:tcPr>
          <w:p w14:paraId="52BA7A73" w14:textId="368280B7" w:rsidR="00720F3E" w:rsidRDefault="00720F3E" w:rsidP="003929E2">
            <w:r>
              <w:t>CORE</w:t>
            </w:r>
          </w:p>
        </w:tc>
        <w:tc>
          <w:tcPr>
            <w:tcW w:w="6830" w:type="dxa"/>
          </w:tcPr>
          <w:p w14:paraId="56F86F1C" w14:textId="3E8ADB04" w:rsidR="00720F3E" w:rsidRDefault="00720F3E" w:rsidP="003929E2">
            <w:r>
              <w:rPr>
                <w:lang w:eastAsia="ja-JP"/>
              </w:rPr>
              <w:t>Core part of the clinical study</w:t>
            </w:r>
          </w:p>
        </w:tc>
      </w:tr>
      <w:tr w:rsidR="003929E2" w14:paraId="32B19831" w14:textId="77777777" w:rsidTr="00733014">
        <w:tc>
          <w:tcPr>
            <w:tcW w:w="1890" w:type="dxa"/>
          </w:tcPr>
          <w:p w14:paraId="1078A82E" w14:textId="77777777" w:rsidR="003929E2" w:rsidRDefault="003929E2" w:rsidP="003929E2">
            <w:r>
              <w:t>CRP</w:t>
            </w:r>
          </w:p>
        </w:tc>
        <w:tc>
          <w:tcPr>
            <w:tcW w:w="6830" w:type="dxa"/>
          </w:tcPr>
          <w:p w14:paraId="7FD893F8" w14:textId="77777777" w:rsidR="003929E2" w:rsidRDefault="003929E2" w:rsidP="003929E2">
            <w:r w:rsidRPr="00CC08FF">
              <w:t>C-reactive protein</w:t>
            </w:r>
          </w:p>
        </w:tc>
      </w:tr>
      <w:tr w:rsidR="004F52B3" w14:paraId="2964140E" w14:textId="77777777" w:rsidTr="004B48D3">
        <w:tc>
          <w:tcPr>
            <w:tcW w:w="1890" w:type="dxa"/>
          </w:tcPr>
          <w:p w14:paraId="33E859FB" w14:textId="6AAA6FD8" w:rsidR="004F52B3" w:rsidRDefault="004F52B3" w:rsidP="003929E2">
            <w:r>
              <w:t>CRS</w:t>
            </w:r>
          </w:p>
        </w:tc>
        <w:tc>
          <w:tcPr>
            <w:tcW w:w="6830" w:type="dxa"/>
          </w:tcPr>
          <w:p w14:paraId="73D0B95D" w14:textId="0C99281C" w:rsidR="004F52B3" w:rsidRPr="00CC08FF" w:rsidRDefault="004F52B3" w:rsidP="003929E2">
            <w:r>
              <w:t>Cytokine release syndrome</w:t>
            </w:r>
          </w:p>
        </w:tc>
      </w:tr>
      <w:tr w:rsidR="005A236B" w:rsidDel="004B48D3" w14:paraId="0E81BF3B" w14:textId="77777777" w:rsidTr="004B48D3">
        <w:tc>
          <w:tcPr>
            <w:tcW w:w="1890" w:type="dxa"/>
          </w:tcPr>
          <w:p w14:paraId="3E411C27" w14:textId="0B93FC9E" w:rsidR="005A236B" w:rsidDel="004B48D3" w:rsidRDefault="005A236B" w:rsidP="003929E2">
            <w:r>
              <w:t>CSR</w:t>
            </w:r>
          </w:p>
        </w:tc>
        <w:tc>
          <w:tcPr>
            <w:tcW w:w="6830" w:type="dxa"/>
          </w:tcPr>
          <w:p w14:paraId="62E1E101" w14:textId="7E845AC3" w:rsidR="005A236B" w:rsidDel="00CD3E40" w:rsidRDefault="005A236B" w:rsidP="003929E2">
            <w:r>
              <w:t>Clinical study report</w:t>
            </w:r>
          </w:p>
        </w:tc>
      </w:tr>
      <w:tr w:rsidR="00CA64D4" w:rsidRPr="00DB4BBA" w14:paraId="1A4CA2AF" w14:textId="77777777" w:rsidTr="004B48D3">
        <w:tc>
          <w:tcPr>
            <w:tcW w:w="1890" w:type="dxa"/>
          </w:tcPr>
          <w:p w14:paraId="3C2A96BA" w14:textId="5B391AE5" w:rsidR="00CA64D4" w:rsidRDefault="00CA64D4" w:rsidP="003929E2">
            <w:r>
              <w:t>DLP</w:t>
            </w:r>
          </w:p>
        </w:tc>
        <w:tc>
          <w:tcPr>
            <w:tcW w:w="6830" w:type="dxa"/>
          </w:tcPr>
          <w:p w14:paraId="48E5286C" w14:textId="72277D86" w:rsidR="00CA64D4" w:rsidRDefault="00CA64D4" w:rsidP="003929E2">
            <w:r>
              <w:t>Data lock point</w:t>
            </w:r>
          </w:p>
        </w:tc>
      </w:tr>
      <w:tr w:rsidR="003929E2" w:rsidRPr="00DB4BBA" w14:paraId="758F49C8" w14:textId="77777777" w:rsidTr="00733014">
        <w:tc>
          <w:tcPr>
            <w:tcW w:w="1890" w:type="dxa"/>
          </w:tcPr>
          <w:p w14:paraId="495B37E5" w14:textId="472A7BAC" w:rsidR="003929E2" w:rsidRDefault="003929E2" w:rsidP="003929E2">
            <w:r>
              <w:t>DMARD</w:t>
            </w:r>
            <w:r w:rsidR="004502FE">
              <w:t>(</w:t>
            </w:r>
            <w:r>
              <w:t>s</w:t>
            </w:r>
            <w:r w:rsidR="004502FE">
              <w:t>)</w:t>
            </w:r>
          </w:p>
        </w:tc>
        <w:tc>
          <w:tcPr>
            <w:tcW w:w="6830" w:type="dxa"/>
          </w:tcPr>
          <w:p w14:paraId="4B7C2B20" w14:textId="007FC77C" w:rsidR="003929E2" w:rsidRPr="00DB4BBA" w:rsidRDefault="00CD3E40" w:rsidP="003929E2">
            <w:r>
              <w:t>D</w:t>
            </w:r>
            <w:r w:rsidR="003929E2" w:rsidRPr="00ED5650">
              <w:t>isease-modifying anti-rheumatic drug</w:t>
            </w:r>
            <w:r w:rsidR="004502FE">
              <w:t>(s)</w:t>
            </w:r>
          </w:p>
        </w:tc>
      </w:tr>
      <w:tr w:rsidR="00DF1117" w14:paraId="4AB43D3D" w14:textId="77777777" w:rsidTr="004B48D3">
        <w:tc>
          <w:tcPr>
            <w:tcW w:w="1890" w:type="dxa"/>
          </w:tcPr>
          <w:p w14:paraId="11DDFACA" w14:textId="5AB7B632" w:rsidR="00DF1117" w:rsidRDefault="00DF1117" w:rsidP="003929E2">
            <w:r>
              <w:t>EMA</w:t>
            </w:r>
          </w:p>
        </w:tc>
        <w:tc>
          <w:tcPr>
            <w:tcW w:w="6830" w:type="dxa"/>
          </w:tcPr>
          <w:p w14:paraId="0BEAD32E" w14:textId="49E75865" w:rsidR="00DF1117" w:rsidRDefault="00DF1117" w:rsidP="003929E2">
            <w:r>
              <w:t>European Medicines Agency</w:t>
            </w:r>
            <w:r w:rsidR="004502FE">
              <w:t xml:space="preserve"> (European Union)</w:t>
            </w:r>
          </w:p>
        </w:tc>
      </w:tr>
      <w:tr w:rsidR="003929E2" w14:paraId="7BB8A830" w14:textId="77777777" w:rsidTr="00733014">
        <w:tc>
          <w:tcPr>
            <w:tcW w:w="1890" w:type="dxa"/>
          </w:tcPr>
          <w:p w14:paraId="150E71B9" w14:textId="77777777" w:rsidR="003929E2" w:rsidRDefault="003929E2" w:rsidP="003929E2">
            <w:r>
              <w:t>ESR</w:t>
            </w:r>
          </w:p>
        </w:tc>
        <w:tc>
          <w:tcPr>
            <w:tcW w:w="6830" w:type="dxa"/>
          </w:tcPr>
          <w:p w14:paraId="662D879E" w14:textId="6D7ED222" w:rsidR="003929E2" w:rsidRDefault="00CD3E40" w:rsidP="003929E2">
            <w:r>
              <w:t>E</w:t>
            </w:r>
            <w:r w:rsidR="003929E2" w:rsidRPr="00DB4BBA">
              <w:t>rythrocyte sedimentation rate</w:t>
            </w:r>
          </w:p>
        </w:tc>
      </w:tr>
      <w:tr w:rsidR="00FA49F7" w14:paraId="71498CDB" w14:textId="77777777" w:rsidTr="004B48D3">
        <w:tc>
          <w:tcPr>
            <w:tcW w:w="1890" w:type="dxa"/>
          </w:tcPr>
          <w:p w14:paraId="15B67CAB" w14:textId="2D8E13CF" w:rsidR="00FA49F7" w:rsidRDefault="00FA49F7" w:rsidP="003929E2">
            <w:r>
              <w:lastRenderedPageBreak/>
              <w:t>EU</w:t>
            </w:r>
          </w:p>
        </w:tc>
        <w:tc>
          <w:tcPr>
            <w:tcW w:w="6830" w:type="dxa"/>
          </w:tcPr>
          <w:p w14:paraId="14D95975" w14:textId="3ADB9C6E" w:rsidR="00FA49F7" w:rsidRDefault="00FA49F7" w:rsidP="003929E2">
            <w:r>
              <w:t>European Union</w:t>
            </w:r>
          </w:p>
        </w:tc>
      </w:tr>
      <w:tr w:rsidR="00FA49F7" w14:paraId="15AAB64C" w14:textId="77777777" w:rsidTr="004B48D3">
        <w:tc>
          <w:tcPr>
            <w:tcW w:w="1890" w:type="dxa"/>
          </w:tcPr>
          <w:p w14:paraId="359A9FAD" w14:textId="6478E854" w:rsidR="00FA49F7" w:rsidRDefault="00FA49F7" w:rsidP="003929E2">
            <w:r w:rsidRPr="00B75281">
              <w:rPr>
                <w:szCs w:val="22"/>
              </w:rPr>
              <w:t>EU-RMP</w:t>
            </w:r>
          </w:p>
        </w:tc>
        <w:tc>
          <w:tcPr>
            <w:tcW w:w="6830" w:type="dxa"/>
          </w:tcPr>
          <w:p w14:paraId="07EC7755" w14:textId="1E1133D0" w:rsidR="00FA49F7" w:rsidRDefault="00FA49F7" w:rsidP="00FA49F7">
            <w:r>
              <w:rPr>
                <w:szCs w:val="22"/>
              </w:rPr>
              <w:t>European Union-risk management plan</w:t>
            </w:r>
          </w:p>
        </w:tc>
      </w:tr>
      <w:tr w:rsidR="00DF1117" w14:paraId="7690E1DB" w14:textId="77777777" w:rsidTr="004B48D3">
        <w:tc>
          <w:tcPr>
            <w:tcW w:w="1890" w:type="dxa"/>
          </w:tcPr>
          <w:p w14:paraId="1B9FA585" w14:textId="0864B75D" w:rsidR="00DF1117" w:rsidRDefault="00DF1117" w:rsidP="003929E2">
            <w:r>
              <w:t>FDA</w:t>
            </w:r>
          </w:p>
        </w:tc>
        <w:tc>
          <w:tcPr>
            <w:tcW w:w="6830" w:type="dxa"/>
          </w:tcPr>
          <w:p w14:paraId="569D9603" w14:textId="0477B945" w:rsidR="00DF1117" w:rsidRDefault="00DF1117" w:rsidP="003929E2">
            <w:r>
              <w:t>Food and Drug Administration</w:t>
            </w:r>
            <w:r w:rsidR="004502FE">
              <w:t xml:space="preserve"> (United States of America)</w:t>
            </w:r>
          </w:p>
        </w:tc>
      </w:tr>
      <w:tr w:rsidR="004B48D3" w:rsidRPr="009205BD" w14:paraId="7526CCB7" w14:textId="77777777" w:rsidTr="004B48D3">
        <w:tc>
          <w:tcPr>
            <w:tcW w:w="1890" w:type="dxa"/>
          </w:tcPr>
          <w:p w14:paraId="1E391573" w14:textId="07FA38BF" w:rsidR="004B48D3" w:rsidRDefault="004B48D3" w:rsidP="003929E2">
            <w:r>
              <w:t>GCA</w:t>
            </w:r>
          </w:p>
        </w:tc>
        <w:tc>
          <w:tcPr>
            <w:tcW w:w="6830" w:type="dxa"/>
          </w:tcPr>
          <w:p w14:paraId="0EF8AD8E" w14:textId="6222B84B" w:rsidR="004B48D3" w:rsidRDefault="004B48D3" w:rsidP="003929E2">
            <w:pPr>
              <w:rPr>
                <w:bCs/>
              </w:rPr>
            </w:pPr>
            <w:r>
              <w:rPr>
                <w:bCs/>
              </w:rPr>
              <w:t>Giant cell arteritis</w:t>
            </w:r>
          </w:p>
        </w:tc>
      </w:tr>
      <w:tr w:rsidR="004F52B3" w:rsidRPr="009205BD" w14:paraId="77E60AAD" w14:textId="77777777" w:rsidTr="004B48D3">
        <w:tc>
          <w:tcPr>
            <w:tcW w:w="1890" w:type="dxa"/>
          </w:tcPr>
          <w:p w14:paraId="102AA2CD" w14:textId="4DF88A3A" w:rsidR="004F52B3" w:rsidRDefault="00DF1117" w:rsidP="003929E2">
            <w:r>
              <w:t>GVP</w:t>
            </w:r>
          </w:p>
        </w:tc>
        <w:tc>
          <w:tcPr>
            <w:tcW w:w="6830" w:type="dxa"/>
          </w:tcPr>
          <w:p w14:paraId="4EB459CE" w14:textId="1103A591" w:rsidR="004F52B3" w:rsidRDefault="00DF1117" w:rsidP="003929E2">
            <w:pPr>
              <w:rPr>
                <w:bCs/>
              </w:rPr>
            </w:pPr>
            <w:r>
              <w:rPr>
                <w:bCs/>
              </w:rPr>
              <w:t xml:space="preserve">Good </w:t>
            </w:r>
            <w:r w:rsidR="005829B6">
              <w:rPr>
                <w:bCs/>
              </w:rPr>
              <w:t>P</w:t>
            </w:r>
            <w:r>
              <w:rPr>
                <w:bCs/>
              </w:rPr>
              <w:t xml:space="preserve">harmacovigilance </w:t>
            </w:r>
            <w:r w:rsidR="005829B6">
              <w:rPr>
                <w:bCs/>
              </w:rPr>
              <w:t>P</w:t>
            </w:r>
            <w:r>
              <w:rPr>
                <w:bCs/>
              </w:rPr>
              <w:t>ractice</w:t>
            </w:r>
            <w:r w:rsidR="004502FE">
              <w:rPr>
                <w:bCs/>
              </w:rPr>
              <w:t>(</w:t>
            </w:r>
            <w:r>
              <w:rPr>
                <w:bCs/>
              </w:rPr>
              <w:t>s</w:t>
            </w:r>
            <w:r w:rsidR="004502FE">
              <w:rPr>
                <w:bCs/>
              </w:rPr>
              <w:t>)</w:t>
            </w:r>
          </w:p>
        </w:tc>
      </w:tr>
      <w:tr w:rsidR="00102645" w:rsidRPr="009205BD" w14:paraId="3EDD69AD" w14:textId="77777777" w:rsidTr="004B48D3">
        <w:tc>
          <w:tcPr>
            <w:tcW w:w="1890" w:type="dxa"/>
          </w:tcPr>
          <w:p w14:paraId="7D9D7FBC" w14:textId="78A5BDF8" w:rsidR="00102645" w:rsidRDefault="00102645" w:rsidP="003929E2">
            <w:r w:rsidRPr="00B9750A">
              <w:t>HCP</w:t>
            </w:r>
          </w:p>
        </w:tc>
        <w:tc>
          <w:tcPr>
            <w:tcW w:w="6830" w:type="dxa"/>
          </w:tcPr>
          <w:p w14:paraId="1E3A550C" w14:textId="3861BFC2" w:rsidR="00102645" w:rsidRDefault="00102645" w:rsidP="00102645">
            <w:pPr>
              <w:rPr>
                <w:bCs/>
              </w:rPr>
            </w:pPr>
            <w:r>
              <w:t>Healthcare professional</w:t>
            </w:r>
          </w:p>
        </w:tc>
      </w:tr>
      <w:tr w:rsidR="00CA4D3D" w:rsidRPr="009205BD" w14:paraId="5519EB1D" w14:textId="77777777" w:rsidTr="004B48D3">
        <w:tc>
          <w:tcPr>
            <w:tcW w:w="1890" w:type="dxa"/>
          </w:tcPr>
          <w:p w14:paraId="0F13636F" w14:textId="085FDCD6" w:rsidR="00CA4D3D" w:rsidRPr="00B9750A" w:rsidRDefault="00CA4D3D" w:rsidP="003929E2">
            <w:r>
              <w:t>IgG1</w:t>
            </w:r>
          </w:p>
        </w:tc>
        <w:tc>
          <w:tcPr>
            <w:tcW w:w="6830" w:type="dxa"/>
          </w:tcPr>
          <w:p w14:paraId="75DA5C75" w14:textId="0D392680" w:rsidR="00CA4D3D" w:rsidRDefault="00CA4D3D" w:rsidP="00102645">
            <w:r>
              <w:t>Immunoglobulin G1</w:t>
            </w:r>
          </w:p>
        </w:tc>
      </w:tr>
      <w:tr w:rsidR="004B48D3" w:rsidRPr="009205BD" w14:paraId="503B9A2B" w14:textId="77777777" w:rsidTr="004B48D3">
        <w:tc>
          <w:tcPr>
            <w:tcW w:w="1890" w:type="dxa"/>
          </w:tcPr>
          <w:p w14:paraId="716A3714" w14:textId="37EEAA05" w:rsidR="004B48D3" w:rsidRDefault="004B48D3" w:rsidP="003929E2">
            <w:r>
              <w:t>IL</w:t>
            </w:r>
          </w:p>
        </w:tc>
        <w:tc>
          <w:tcPr>
            <w:tcW w:w="6830" w:type="dxa"/>
          </w:tcPr>
          <w:p w14:paraId="12CFFD78" w14:textId="155AB897" w:rsidR="004B48D3" w:rsidRPr="009205BD" w:rsidRDefault="004B48D3" w:rsidP="003929E2">
            <w:pPr>
              <w:rPr>
                <w:bCs/>
              </w:rPr>
            </w:pPr>
            <w:r>
              <w:rPr>
                <w:bCs/>
              </w:rPr>
              <w:t>Interleukin</w:t>
            </w:r>
          </w:p>
        </w:tc>
      </w:tr>
      <w:tr w:rsidR="00FB3BF6" w:rsidRPr="009205BD" w14:paraId="607B96FE" w14:textId="77777777" w:rsidTr="004B48D3">
        <w:tc>
          <w:tcPr>
            <w:tcW w:w="1890" w:type="dxa"/>
          </w:tcPr>
          <w:p w14:paraId="55B60748" w14:textId="22014204" w:rsidR="00FB3BF6" w:rsidRDefault="00FB3BF6" w:rsidP="003929E2">
            <w:r>
              <w:t>IL-1</w:t>
            </w:r>
          </w:p>
        </w:tc>
        <w:tc>
          <w:tcPr>
            <w:tcW w:w="6830" w:type="dxa"/>
          </w:tcPr>
          <w:p w14:paraId="434245C6" w14:textId="7801F78A" w:rsidR="00FB3BF6" w:rsidRDefault="00FB3BF6" w:rsidP="003929E2">
            <w:pPr>
              <w:rPr>
                <w:bCs/>
              </w:rPr>
            </w:pPr>
            <w:r>
              <w:rPr>
                <w:bCs/>
              </w:rPr>
              <w:t>Interleukin-1</w:t>
            </w:r>
          </w:p>
        </w:tc>
      </w:tr>
      <w:tr w:rsidR="003929E2" w:rsidRPr="009205BD" w14:paraId="1DA96A26" w14:textId="77777777" w:rsidTr="00733014">
        <w:tc>
          <w:tcPr>
            <w:tcW w:w="1890" w:type="dxa"/>
          </w:tcPr>
          <w:p w14:paraId="761939F0" w14:textId="77777777" w:rsidR="003929E2" w:rsidRDefault="003929E2" w:rsidP="003929E2">
            <w:r>
              <w:t>IL-6</w:t>
            </w:r>
          </w:p>
        </w:tc>
        <w:tc>
          <w:tcPr>
            <w:tcW w:w="6830" w:type="dxa"/>
          </w:tcPr>
          <w:p w14:paraId="40D099CF" w14:textId="50AFD5C3" w:rsidR="003929E2" w:rsidRPr="009205BD" w:rsidRDefault="00FB3BF6" w:rsidP="003929E2">
            <w:r>
              <w:rPr>
                <w:bCs/>
              </w:rPr>
              <w:t>I</w:t>
            </w:r>
            <w:r w:rsidR="003929E2" w:rsidRPr="009205BD">
              <w:rPr>
                <w:bCs/>
              </w:rPr>
              <w:t>nterleukin-6</w:t>
            </w:r>
          </w:p>
        </w:tc>
      </w:tr>
      <w:tr w:rsidR="003929E2" w:rsidRPr="009205BD" w14:paraId="3608F508" w14:textId="77777777" w:rsidTr="00733014">
        <w:tc>
          <w:tcPr>
            <w:tcW w:w="1890" w:type="dxa"/>
          </w:tcPr>
          <w:p w14:paraId="075A0661" w14:textId="77777777" w:rsidR="003929E2" w:rsidRDefault="003929E2" w:rsidP="003929E2">
            <w:r w:rsidRPr="008D7E9E">
              <w:rPr>
                <w:bCs/>
              </w:rPr>
              <w:t>IL-6R</w:t>
            </w:r>
          </w:p>
        </w:tc>
        <w:tc>
          <w:tcPr>
            <w:tcW w:w="6830" w:type="dxa"/>
          </w:tcPr>
          <w:p w14:paraId="23B37129" w14:textId="662CC6FD" w:rsidR="003929E2" w:rsidRPr="009205BD" w:rsidRDefault="00CD3E40" w:rsidP="003929E2">
            <w:pPr>
              <w:rPr>
                <w:bCs/>
              </w:rPr>
            </w:pPr>
            <w:r>
              <w:rPr>
                <w:bCs/>
              </w:rPr>
              <w:t>I</w:t>
            </w:r>
            <w:r w:rsidR="003929E2" w:rsidRPr="008D7E9E">
              <w:rPr>
                <w:bCs/>
              </w:rPr>
              <w:t>nterleukin-6 receptor</w:t>
            </w:r>
          </w:p>
        </w:tc>
      </w:tr>
      <w:tr w:rsidR="003929E2" w14:paraId="075A7EE2" w14:textId="77777777" w:rsidTr="00733014">
        <w:tc>
          <w:tcPr>
            <w:tcW w:w="1890" w:type="dxa"/>
          </w:tcPr>
          <w:p w14:paraId="7E909E5F" w14:textId="77777777" w:rsidR="003929E2" w:rsidRDefault="003929E2" w:rsidP="003929E2">
            <w:r>
              <w:t>ISR</w:t>
            </w:r>
          </w:p>
        </w:tc>
        <w:tc>
          <w:tcPr>
            <w:tcW w:w="6830" w:type="dxa"/>
          </w:tcPr>
          <w:p w14:paraId="0D18B167" w14:textId="77777777" w:rsidR="003929E2" w:rsidRDefault="003929E2" w:rsidP="003929E2">
            <w:r>
              <w:t>Injection site reaction</w:t>
            </w:r>
          </w:p>
        </w:tc>
      </w:tr>
      <w:tr w:rsidR="003929E2" w14:paraId="2BB9FBA1" w14:textId="77777777" w:rsidTr="00733014">
        <w:tc>
          <w:tcPr>
            <w:tcW w:w="1890" w:type="dxa"/>
          </w:tcPr>
          <w:p w14:paraId="35C25C00" w14:textId="77777777" w:rsidR="003929E2" w:rsidRDefault="003929E2" w:rsidP="003929E2">
            <w:r>
              <w:t>IV</w:t>
            </w:r>
          </w:p>
        </w:tc>
        <w:tc>
          <w:tcPr>
            <w:tcW w:w="6830" w:type="dxa"/>
          </w:tcPr>
          <w:p w14:paraId="7C5032CE" w14:textId="0FA1008D" w:rsidR="003929E2" w:rsidRDefault="00CD3E40" w:rsidP="003929E2">
            <w:r>
              <w:t>I</w:t>
            </w:r>
            <w:r w:rsidR="003929E2">
              <w:t>ntravenous</w:t>
            </w:r>
            <w:r w:rsidR="00CB6649">
              <w:t>/intravenously</w:t>
            </w:r>
          </w:p>
        </w:tc>
      </w:tr>
      <w:tr w:rsidR="003929E2" w14:paraId="24C12481" w14:textId="77777777" w:rsidTr="00733014">
        <w:tc>
          <w:tcPr>
            <w:tcW w:w="1890" w:type="dxa"/>
          </w:tcPr>
          <w:p w14:paraId="18F70D75" w14:textId="77777777" w:rsidR="003929E2" w:rsidRPr="00CB58B6" w:rsidRDefault="003929E2" w:rsidP="003929E2">
            <w:r w:rsidRPr="00CB58B6">
              <w:t>JADAS-71</w:t>
            </w:r>
          </w:p>
        </w:tc>
        <w:tc>
          <w:tcPr>
            <w:tcW w:w="6830" w:type="dxa"/>
          </w:tcPr>
          <w:p w14:paraId="58CBFD4C" w14:textId="06E546BE" w:rsidR="003929E2" w:rsidRDefault="003929E2" w:rsidP="004502FE">
            <w:r w:rsidRPr="00CB58B6">
              <w:t xml:space="preserve">Juvenile </w:t>
            </w:r>
            <w:r w:rsidR="004502FE" w:rsidRPr="00CB58B6">
              <w:t>Arthritis Disease Activity Score</w:t>
            </w:r>
            <w:r w:rsidR="004502FE">
              <w:t xml:space="preserve"> (71 joints)</w:t>
            </w:r>
          </w:p>
        </w:tc>
      </w:tr>
      <w:tr w:rsidR="004B48D3" w:rsidRPr="003F7261" w14:paraId="3C5ABC9A" w14:textId="77777777" w:rsidTr="004B48D3">
        <w:tc>
          <w:tcPr>
            <w:tcW w:w="1890" w:type="dxa"/>
          </w:tcPr>
          <w:p w14:paraId="187AA19D" w14:textId="5B12A3BD" w:rsidR="004B48D3" w:rsidRDefault="004B48D3" w:rsidP="003929E2">
            <w:r>
              <w:t>JIA</w:t>
            </w:r>
          </w:p>
        </w:tc>
        <w:tc>
          <w:tcPr>
            <w:tcW w:w="6830" w:type="dxa"/>
          </w:tcPr>
          <w:p w14:paraId="3396D449" w14:textId="640A8D8D" w:rsidR="004B48D3" w:rsidRDefault="004B48D3" w:rsidP="003929E2">
            <w:r>
              <w:t>Juvenile idiopathic arthritis</w:t>
            </w:r>
          </w:p>
        </w:tc>
      </w:tr>
      <w:tr w:rsidR="004F52B3" w:rsidRPr="003F7261" w14:paraId="02BCBDD7" w14:textId="77777777" w:rsidTr="004B48D3">
        <w:tc>
          <w:tcPr>
            <w:tcW w:w="1890" w:type="dxa"/>
          </w:tcPr>
          <w:p w14:paraId="02FB8513" w14:textId="3CD2D8B0" w:rsidR="004F52B3" w:rsidRDefault="004F52B3" w:rsidP="003929E2">
            <w:r>
              <w:t>LTE</w:t>
            </w:r>
          </w:p>
        </w:tc>
        <w:tc>
          <w:tcPr>
            <w:tcW w:w="6830" w:type="dxa"/>
          </w:tcPr>
          <w:p w14:paraId="062CE0E7" w14:textId="7D622440" w:rsidR="004F52B3" w:rsidRDefault="004F52B3" w:rsidP="003929E2">
            <w:r>
              <w:t>Long term extension</w:t>
            </w:r>
          </w:p>
        </w:tc>
      </w:tr>
      <w:tr w:rsidR="004B48D3" w:rsidRPr="003F7261" w14:paraId="405C3F9F" w14:textId="77777777" w:rsidTr="004B48D3">
        <w:tc>
          <w:tcPr>
            <w:tcW w:w="1890" w:type="dxa"/>
          </w:tcPr>
          <w:p w14:paraId="7CC2A880" w14:textId="535A5AF0" w:rsidR="004B48D3" w:rsidRDefault="004B48D3" w:rsidP="003929E2">
            <w:r>
              <w:t>mIL-6R</w:t>
            </w:r>
          </w:p>
        </w:tc>
        <w:tc>
          <w:tcPr>
            <w:tcW w:w="6830" w:type="dxa"/>
          </w:tcPr>
          <w:p w14:paraId="52C73C2C" w14:textId="79D048A7" w:rsidR="004B48D3" w:rsidRDefault="004B48D3" w:rsidP="003929E2">
            <w:r>
              <w:t>Membrane bound interleukin 6 receptor</w:t>
            </w:r>
          </w:p>
        </w:tc>
      </w:tr>
      <w:tr w:rsidR="003929E2" w:rsidRPr="003F7261" w14:paraId="4F90B576" w14:textId="77777777" w:rsidTr="00733014">
        <w:tc>
          <w:tcPr>
            <w:tcW w:w="1890" w:type="dxa"/>
          </w:tcPr>
          <w:p w14:paraId="7C0717FD" w14:textId="77777777" w:rsidR="003929E2" w:rsidRPr="00CC08FF" w:rsidRDefault="003929E2" w:rsidP="003929E2">
            <w:r>
              <w:t>MTX</w:t>
            </w:r>
          </w:p>
        </w:tc>
        <w:tc>
          <w:tcPr>
            <w:tcW w:w="6830" w:type="dxa"/>
          </w:tcPr>
          <w:p w14:paraId="373035E7" w14:textId="09BEE373" w:rsidR="003929E2" w:rsidRPr="003F7261" w:rsidRDefault="00CD3E40" w:rsidP="003929E2">
            <w:r>
              <w:t>M</w:t>
            </w:r>
            <w:r w:rsidR="003929E2">
              <w:t>ethotrexate</w:t>
            </w:r>
          </w:p>
        </w:tc>
      </w:tr>
      <w:tr w:rsidR="003929E2" w:rsidRPr="00362A72" w14:paraId="43209E8B" w14:textId="77777777" w:rsidTr="00733014">
        <w:tc>
          <w:tcPr>
            <w:tcW w:w="1890" w:type="dxa"/>
          </w:tcPr>
          <w:p w14:paraId="7D8E41D6" w14:textId="28D96A97" w:rsidR="003929E2" w:rsidRDefault="003929E2" w:rsidP="003929E2">
            <w:r w:rsidRPr="00CC08FF">
              <w:t>NSAID</w:t>
            </w:r>
            <w:r w:rsidR="004502FE">
              <w:t>(</w:t>
            </w:r>
            <w:r w:rsidRPr="00CC08FF">
              <w:t>s</w:t>
            </w:r>
            <w:r w:rsidR="004502FE">
              <w:t>)</w:t>
            </w:r>
          </w:p>
        </w:tc>
        <w:tc>
          <w:tcPr>
            <w:tcW w:w="6830" w:type="dxa"/>
          </w:tcPr>
          <w:p w14:paraId="5580A401" w14:textId="17AE1128" w:rsidR="003929E2" w:rsidRPr="00B9353F" w:rsidRDefault="003929E2" w:rsidP="003929E2">
            <w:pPr>
              <w:rPr>
                <w:lang w:val="it-IT"/>
              </w:rPr>
            </w:pPr>
            <w:r w:rsidRPr="00B9353F">
              <w:rPr>
                <w:lang w:val="it-IT"/>
              </w:rPr>
              <w:t>Non-</w:t>
            </w:r>
            <w:r w:rsidR="00424284" w:rsidRPr="00B9353F">
              <w:rPr>
                <w:lang w:val="it-IT"/>
              </w:rPr>
              <w:t>s</w:t>
            </w:r>
            <w:r w:rsidRPr="00B9353F">
              <w:rPr>
                <w:lang w:val="it-IT"/>
              </w:rPr>
              <w:t xml:space="preserve">teroidal </w:t>
            </w:r>
            <w:r w:rsidR="00424284" w:rsidRPr="00B9353F">
              <w:rPr>
                <w:lang w:val="it-IT"/>
              </w:rPr>
              <w:t>a</w:t>
            </w:r>
            <w:r w:rsidRPr="00B9353F">
              <w:rPr>
                <w:lang w:val="it-IT"/>
              </w:rPr>
              <w:t>nti-</w:t>
            </w:r>
            <w:r w:rsidR="00424284" w:rsidRPr="00B9353F">
              <w:rPr>
                <w:lang w:val="it-IT"/>
              </w:rPr>
              <w:t>i</w:t>
            </w:r>
            <w:r w:rsidRPr="00B9353F">
              <w:rPr>
                <w:lang w:val="it-IT"/>
              </w:rPr>
              <w:t xml:space="preserve">nflammatory </w:t>
            </w:r>
            <w:r w:rsidR="00424284" w:rsidRPr="00B9353F">
              <w:rPr>
                <w:lang w:val="it-IT"/>
              </w:rPr>
              <w:t>d</w:t>
            </w:r>
            <w:r w:rsidRPr="00B9353F">
              <w:rPr>
                <w:lang w:val="it-IT"/>
              </w:rPr>
              <w:t>rug</w:t>
            </w:r>
            <w:r w:rsidR="004502FE">
              <w:rPr>
                <w:lang w:val="it-IT"/>
              </w:rPr>
              <w:t>(</w:t>
            </w:r>
            <w:r w:rsidRPr="00B9353F">
              <w:rPr>
                <w:lang w:val="it-IT"/>
              </w:rPr>
              <w:t>s</w:t>
            </w:r>
            <w:r w:rsidR="004502FE">
              <w:rPr>
                <w:lang w:val="it-IT"/>
              </w:rPr>
              <w:t>)</w:t>
            </w:r>
          </w:p>
        </w:tc>
      </w:tr>
      <w:tr w:rsidR="004F52B3" w:rsidRPr="003F7261" w14:paraId="4083DFC5" w14:textId="77777777" w:rsidTr="004B48D3">
        <w:tc>
          <w:tcPr>
            <w:tcW w:w="1890" w:type="dxa"/>
          </w:tcPr>
          <w:p w14:paraId="72187C0A" w14:textId="01AEB1C7" w:rsidR="004F52B3" w:rsidRPr="00CC08FF" w:rsidRDefault="004F52B3" w:rsidP="003929E2">
            <w:r>
              <w:t>OLE</w:t>
            </w:r>
          </w:p>
        </w:tc>
        <w:tc>
          <w:tcPr>
            <w:tcW w:w="6830" w:type="dxa"/>
          </w:tcPr>
          <w:p w14:paraId="305B7AD4" w14:textId="6AE8545E" w:rsidR="004F52B3" w:rsidRPr="003F7261" w:rsidRDefault="004F52B3" w:rsidP="003929E2">
            <w:r>
              <w:t>Open label extension</w:t>
            </w:r>
          </w:p>
        </w:tc>
      </w:tr>
      <w:tr w:rsidR="003929E2" w14:paraId="7AA23682" w14:textId="77777777" w:rsidTr="00733014">
        <w:tc>
          <w:tcPr>
            <w:tcW w:w="1890" w:type="dxa"/>
          </w:tcPr>
          <w:p w14:paraId="1CC25213" w14:textId="77777777" w:rsidR="003929E2" w:rsidRDefault="003929E2" w:rsidP="003929E2">
            <w:r>
              <w:t>PD</w:t>
            </w:r>
          </w:p>
        </w:tc>
        <w:tc>
          <w:tcPr>
            <w:tcW w:w="6830" w:type="dxa"/>
          </w:tcPr>
          <w:p w14:paraId="65D36A4F" w14:textId="004C3547" w:rsidR="003929E2" w:rsidRDefault="00CD3E40" w:rsidP="003929E2">
            <w:r>
              <w:t>P</w:t>
            </w:r>
            <w:r w:rsidR="003929E2">
              <w:t>harmacodynamic</w:t>
            </w:r>
            <w:r w:rsidR="003F5C66">
              <w:t>(s)</w:t>
            </w:r>
          </w:p>
        </w:tc>
      </w:tr>
      <w:tr w:rsidR="004F52B3" w14:paraId="7CE56924" w14:textId="77777777" w:rsidTr="004B48D3">
        <w:tc>
          <w:tcPr>
            <w:tcW w:w="1890" w:type="dxa"/>
          </w:tcPr>
          <w:p w14:paraId="16346EB0" w14:textId="39891167" w:rsidR="004F52B3" w:rsidRDefault="004F52B3" w:rsidP="003929E2">
            <w:r>
              <w:t>PI</w:t>
            </w:r>
          </w:p>
        </w:tc>
        <w:tc>
          <w:tcPr>
            <w:tcW w:w="6830" w:type="dxa"/>
          </w:tcPr>
          <w:p w14:paraId="748712B4" w14:textId="06A491D4" w:rsidR="004F52B3" w:rsidRDefault="004F52B3" w:rsidP="003929E2">
            <w:r>
              <w:t xml:space="preserve">Product </w:t>
            </w:r>
            <w:r w:rsidR="00424284">
              <w:t>I</w:t>
            </w:r>
            <w:r>
              <w:t>nformation</w:t>
            </w:r>
          </w:p>
        </w:tc>
      </w:tr>
      <w:tr w:rsidR="003929E2" w14:paraId="6251F42D" w14:textId="77777777" w:rsidTr="00733014">
        <w:tc>
          <w:tcPr>
            <w:tcW w:w="1890" w:type="dxa"/>
          </w:tcPr>
          <w:p w14:paraId="287BF88F" w14:textId="77777777" w:rsidR="003929E2" w:rsidRDefault="003929E2" w:rsidP="003929E2">
            <w:r w:rsidRPr="008D7E9E">
              <w:rPr>
                <w:u w:val="single"/>
              </w:rPr>
              <w:t>pJIA</w:t>
            </w:r>
          </w:p>
        </w:tc>
        <w:tc>
          <w:tcPr>
            <w:tcW w:w="6830" w:type="dxa"/>
          </w:tcPr>
          <w:p w14:paraId="36FB50A7" w14:textId="727B2BDC" w:rsidR="003929E2" w:rsidRDefault="00CD3E40" w:rsidP="003929E2">
            <w:r>
              <w:t>P</w:t>
            </w:r>
            <w:r w:rsidR="003929E2" w:rsidRPr="008D7E9E">
              <w:t>olyarticular juvenile idiopathic arthritis</w:t>
            </w:r>
          </w:p>
        </w:tc>
      </w:tr>
      <w:tr w:rsidR="003929E2" w14:paraId="3A6DD83A" w14:textId="77777777" w:rsidTr="00733014">
        <w:tc>
          <w:tcPr>
            <w:tcW w:w="1890" w:type="dxa"/>
          </w:tcPr>
          <w:p w14:paraId="7D11568F" w14:textId="77777777" w:rsidR="003929E2" w:rsidRDefault="003929E2" w:rsidP="003929E2">
            <w:r>
              <w:t>PK</w:t>
            </w:r>
          </w:p>
        </w:tc>
        <w:tc>
          <w:tcPr>
            <w:tcW w:w="6830" w:type="dxa"/>
          </w:tcPr>
          <w:p w14:paraId="1D32A197" w14:textId="7A4E87D2" w:rsidR="003929E2" w:rsidRDefault="00CD3E40" w:rsidP="003929E2">
            <w:r>
              <w:t>P</w:t>
            </w:r>
            <w:r w:rsidR="003929E2">
              <w:t>harmacokinetic</w:t>
            </w:r>
            <w:r w:rsidR="003F5C66">
              <w:t>(s)</w:t>
            </w:r>
          </w:p>
        </w:tc>
      </w:tr>
      <w:tr w:rsidR="003929E2" w:rsidRPr="00F15CB4" w14:paraId="7A588CE9" w14:textId="77777777" w:rsidTr="00733014">
        <w:tc>
          <w:tcPr>
            <w:tcW w:w="1890" w:type="dxa"/>
          </w:tcPr>
          <w:p w14:paraId="230CEFA8" w14:textId="77777777" w:rsidR="003929E2" w:rsidRPr="00F15CB4" w:rsidRDefault="003929E2" w:rsidP="003929E2">
            <w:r>
              <w:t>PK/PD</w:t>
            </w:r>
          </w:p>
        </w:tc>
        <w:tc>
          <w:tcPr>
            <w:tcW w:w="6830" w:type="dxa"/>
          </w:tcPr>
          <w:p w14:paraId="4252B78E" w14:textId="2658B50E" w:rsidR="003929E2" w:rsidRPr="00F15CB4" w:rsidRDefault="003929E2" w:rsidP="003929E2">
            <w:r w:rsidRPr="00DA335D">
              <w:t>Pharmacokinetic</w:t>
            </w:r>
            <w:r w:rsidR="004502FE">
              <w:rPr>
                <w:color w:val="auto"/>
                <w:szCs w:val="22"/>
                <w:lang w:eastAsia="en-US"/>
              </w:rPr>
              <w:t>(s)/</w:t>
            </w:r>
            <w:r w:rsidR="004502FE">
              <w:t>pharmacodynamics(s)</w:t>
            </w:r>
          </w:p>
        </w:tc>
      </w:tr>
      <w:tr w:rsidR="004F52B3" w:rsidRPr="00F15CB4" w14:paraId="1E068B05" w14:textId="77777777" w:rsidTr="004B48D3">
        <w:tc>
          <w:tcPr>
            <w:tcW w:w="1890" w:type="dxa"/>
          </w:tcPr>
          <w:p w14:paraId="5449E4C5" w14:textId="64E95892" w:rsidR="004F52B3" w:rsidRDefault="004F52B3" w:rsidP="003929E2">
            <w:r>
              <w:t>popPK</w:t>
            </w:r>
          </w:p>
        </w:tc>
        <w:tc>
          <w:tcPr>
            <w:tcW w:w="6830" w:type="dxa"/>
          </w:tcPr>
          <w:p w14:paraId="31DA47F0" w14:textId="1C4853E9" w:rsidR="004F52B3" w:rsidRPr="00DA335D" w:rsidRDefault="004F52B3" w:rsidP="003929E2">
            <w:r>
              <w:t>Population pharmacokinetic</w:t>
            </w:r>
            <w:r w:rsidR="00410622">
              <w:t>(s)</w:t>
            </w:r>
          </w:p>
        </w:tc>
      </w:tr>
      <w:tr w:rsidR="004F52B3" w:rsidRPr="00F15CB4" w14:paraId="55C9C8D6" w14:textId="77777777" w:rsidTr="004B48D3">
        <w:tc>
          <w:tcPr>
            <w:tcW w:w="1890" w:type="dxa"/>
          </w:tcPr>
          <w:p w14:paraId="17011716" w14:textId="62D1FF26" w:rsidR="004F52B3" w:rsidRDefault="004F52B3" w:rsidP="003929E2">
            <w:r>
              <w:lastRenderedPageBreak/>
              <w:t>PSUR</w:t>
            </w:r>
            <w:r w:rsidR="004502FE">
              <w:t>(s)</w:t>
            </w:r>
          </w:p>
        </w:tc>
        <w:tc>
          <w:tcPr>
            <w:tcW w:w="6830" w:type="dxa"/>
          </w:tcPr>
          <w:p w14:paraId="1FDF54ED" w14:textId="52886D45" w:rsidR="004F52B3" w:rsidRDefault="004F52B3" w:rsidP="003929E2">
            <w:r>
              <w:t>Periodic safety update report</w:t>
            </w:r>
            <w:r w:rsidR="004502FE">
              <w:t>(s)</w:t>
            </w:r>
          </w:p>
        </w:tc>
      </w:tr>
      <w:tr w:rsidR="003929E2" w14:paraId="1B9A2A12" w14:textId="77777777" w:rsidTr="00733014">
        <w:tc>
          <w:tcPr>
            <w:tcW w:w="1890" w:type="dxa"/>
          </w:tcPr>
          <w:p w14:paraId="37F42358" w14:textId="77777777" w:rsidR="003929E2" w:rsidRPr="00B33DF2" w:rsidRDefault="003929E2" w:rsidP="003929E2">
            <w:r w:rsidRPr="00F15CB4">
              <w:t>PY</w:t>
            </w:r>
          </w:p>
        </w:tc>
        <w:tc>
          <w:tcPr>
            <w:tcW w:w="6830" w:type="dxa"/>
          </w:tcPr>
          <w:p w14:paraId="2BFCC83A" w14:textId="77777777" w:rsidR="003929E2" w:rsidRDefault="003929E2" w:rsidP="003929E2">
            <w:r w:rsidRPr="00F15CB4">
              <w:t>Patient</w:t>
            </w:r>
            <w:r>
              <w:t xml:space="preserve"> (or person)</w:t>
            </w:r>
            <w:r w:rsidRPr="00F15CB4">
              <w:t xml:space="preserve"> years</w:t>
            </w:r>
          </w:p>
        </w:tc>
      </w:tr>
      <w:tr w:rsidR="003929E2" w14:paraId="34D44A3A" w14:textId="77777777" w:rsidTr="00733014">
        <w:tc>
          <w:tcPr>
            <w:tcW w:w="1890" w:type="dxa"/>
          </w:tcPr>
          <w:p w14:paraId="044CB595" w14:textId="77777777" w:rsidR="003929E2" w:rsidRPr="005D3189" w:rsidRDefault="003929E2" w:rsidP="003929E2">
            <w:r w:rsidRPr="00B33DF2">
              <w:t>Q10D</w:t>
            </w:r>
          </w:p>
        </w:tc>
        <w:tc>
          <w:tcPr>
            <w:tcW w:w="6830" w:type="dxa"/>
          </w:tcPr>
          <w:p w14:paraId="0DDEBBB8" w14:textId="77777777" w:rsidR="003929E2" w:rsidRDefault="003929E2" w:rsidP="003929E2">
            <w:r>
              <w:t xml:space="preserve">Once </w:t>
            </w:r>
            <w:r w:rsidRPr="00B33DF2">
              <w:t>every 10 days</w:t>
            </w:r>
          </w:p>
        </w:tc>
      </w:tr>
      <w:tr w:rsidR="003929E2" w:rsidRPr="005D3189" w14:paraId="0ABBBEC7" w14:textId="77777777" w:rsidTr="00733014">
        <w:tc>
          <w:tcPr>
            <w:tcW w:w="1890" w:type="dxa"/>
          </w:tcPr>
          <w:p w14:paraId="4F305861" w14:textId="77777777" w:rsidR="003929E2" w:rsidRPr="005D3189" w:rsidRDefault="003929E2" w:rsidP="003929E2">
            <w:r w:rsidRPr="005D3189">
              <w:t>Q2W</w:t>
            </w:r>
          </w:p>
        </w:tc>
        <w:tc>
          <w:tcPr>
            <w:tcW w:w="6830" w:type="dxa"/>
          </w:tcPr>
          <w:p w14:paraId="0CBB5BC1" w14:textId="77777777" w:rsidR="003929E2" w:rsidRPr="005D3189" w:rsidRDefault="003929E2" w:rsidP="003929E2">
            <w:r>
              <w:t>Once every 2 weeks</w:t>
            </w:r>
          </w:p>
        </w:tc>
      </w:tr>
      <w:tr w:rsidR="003929E2" w:rsidRPr="005D3189" w14:paraId="6F164858" w14:textId="77777777" w:rsidTr="00733014">
        <w:tc>
          <w:tcPr>
            <w:tcW w:w="1890" w:type="dxa"/>
          </w:tcPr>
          <w:p w14:paraId="5F928C97" w14:textId="77777777" w:rsidR="003929E2" w:rsidRPr="005D3189" w:rsidRDefault="003929E2" w:rsidP="003929E2">
            <w:r>
              <w:t>Q</w:t>
            </w:r>
            <w:r w:rsidRPr="005D3189">
              <w:t>W</w:t>
            </w:r>
          </w:p>
        </w:tc>
        <w:tc>
          <w:tcPr>
            <w:tcW w:w="6830" w:type="dxa"/>
          </w:tcPr>
          <w:p w14:paraId="142874D2" w14:textId="77777777" w:rsidR="003929E2" w:rsidRPr="005D3189" w:rsidRDefault="003929E2" w:rsidP="003929E2">
            <w:r>
              <w:t>Once weekly</w:t>
            </w:r>
          </w:p>
        </w:tc>
      </w:tr>
      <w:tr w:rsidR="00CD3E40" w:rsidRPr="005D3189" w14:paraId="2F3239E9" w14:textId="77777777" w:rsidTr="00733014">
        <w:tc>
          <w:tcPr>
            <w:tcW w:w="1890" w:type="dxa"/>
          </w:tcPr>
          <w:p w14:paraId="06B4DE83" w14:textId="52F66743" w:rsidR="00CD3E40" w:rsidRDefault="00CD3E40" w:rsidP="003929E2">
            <w:r>
              <w:t>RA</w:t>
            </w:r>
          </w:p>
        </w:tc>
        <w:tc>
          <w:tcPr>
            <w:tcW w:w="6830" w:type="dxa"/>
          </w:tcPr>
          <w:p w14:paraId="63C8F37F" w14:textId="774C0E25" w:rsidR="00CD3E40" w:rsidRDefault="00CD3E40" w:rsidP="003929E2">
            <w:r>
              <w:t>Rheumatoid arthritis</w:t>
            </w:r>
          </w:p>
        </w:tc>
      </w:tr>
      <w:tr w:rsidR="00DF1117" w:rsidRPr="005D3189" w14:paraId="514D306E" w14:textId="77777777" w:rsidTr="004B48D3">
        <w:tc>
          <w:tcPr>
            <w:tcW w:w="1890" w:type="dxa"/>
          </w:tcPr>
          <w:p w14:paraId="7F8D5023" w14:textId="130BC514" w:rsidR="00DF1117" w:rsidRDefault="00DF1117" w:rsidP="003929E2">
            <w:r>
              <w:t>RMP</w:t>
            </w:r>
          </w:p>
        </w:tc>
        <w:tc>
          <w:tcPr>
            <w:tcW w:w="6830" w:type="dxa"/>
          </w:tcPr>
          <w:p w14:paraId="6B485762" w14:textId="6EDDCF7A" w:rsidR="00DF1117" w:rsidRDefault="00DF1117" w:rsidP="003929E2">
            <w:r>
              <w:t>Risk management plan</w:t>
            </w:r>
          </w:p>
        </w:tc>
      </w:tr>
      <w:tr w:rsidR="003929E2" w14:paraId="17F9C63A" w14:textId="77777777" w:rsidTr="00733014">
        <w:tc>
          <w:tcPr>
            <w:tcW w:w="1890" w:type="dxa"/>
          </w:tcPr>
          <w:p w14:paraId="44E250AE" w14:textId="2C1F439B" w:rsidR="003929E2" w:rsidRDefault="002A34D9" w:rsidP="003929E2">
            <w:r>
              <w:t>SAE</w:t>
            </w:r>
          </w:p>
        </w:tc>
        <w:tc>
          <w:tcPr>
            <w:tcW w:w="6830" w:type="dxa"/>
          </w:tcPr>
          <w:p w14:paraId="393DEEAA" w14:textId="1A4952CE" w:rsidR="003929E2" w:rsidRDefault="003929E2" w:rsidP="003929E2">
            <w:r>
              <w:t>Serious</w:t>
            </w:r>
            <w:r w:rsidR="002A34D9">
              <w:t xml:space="preserve"> adverse event</w:t>
            </w:r>
          </w:p>
        </w:tc>
      </w:tr>
      <w:tr w:rsidR="003929E2" w14:paraId="343E9A77" w14:textId="77777777" w:rsidTr="00733014">
        <w:tc>
          <w:tcPr>
            <w:tcW w:w="1890" w:type="dxa"/>
          </w:tcPr>
          <w:p w14:paraId="64366A12" w14:textId="77777777" w:rsidR="003929E2" w:rsidRDefault="003929E2" w:rsidP="003929E2">
            <w:r>
              <w:t>SC</w:t>
            </w:r>
          </w:p>
        </w:tc>
        <w:tc>
          <w:tcPr>
            <w:tcW w:w="6830" w:type="dxa"/>
          </w:tcPr>
          <w:p w14:paraId="16902DED" w14:textId="5EC43A43" w:rsidR="003929E2" w:rsidRDefault="00CD3E40" w:rsidP="003929E2">
            <w:r>
              <w:t>S</w:t>
            </w:r>
            <w:r w:rsidR="003929E2">
              <w:t>ubcutaneous</w:t>
            </w:r>
            <w:r w:rsidR="00CB6649">
              <w:t>/subcutaneously</w:t>
            </w:r>
          </w:p>
        </w:tc>
      </w:tr>
      <w:tr w:rsidR="00C0042D" w14:paraId="4A425CB3" w14:textId="77777777" w:rsidTr="004B48D3">
        <w:tc>
          <w:tcPr>
            <w:tcW w:w="1890" w:type="dxa"/>
          </w:tcPr>
          <w:p w14:paraId="107942A8" w14:textId="0A096E52" w:rsidR="00C0042D" w:rsidRDefault="00C0042D" w:rsidP="003929E2">
            <w:r>
              <w:t>SD</w:t>
            </w:r>
          </w:p>
        </w:tc>
        <w:tc>
          <w:tcPr>
            <w:tcW w:w="6830" w:type="dxa"/>
          </w:tcPr>
          <w:p w14:paraId="16FEDBC9" w14:textId="49047810" w:rsidR="00C0042D" w:rsidRDefault="00C0042D" w:rsidP="003929E2">
            <w:r>
              <w:t>Standard deviation</w:t>
            </w:r>
          </w:p>
        </w:tc>
      </w:tr>
      <w:tr w:rsidR="004F52B3" w14:paraId="4D54D3B9" w14:textId="77777777" w:rsidTr="004B48D3">
        <w:tc>
          <w:tcPr>
            <w:tcW w:w="1890" w:type="dxa"/>
          </w:tcPr>
          <w:p w14:paraId="0318EA9F" w14:textId="358E2662" w:rsidR="004F52B3" w:rsidRDefault="004F52B3" w:rsidP="003929E2">
            <w:r>
              <w:t>SDS</w:t>
            </w:r>
          </w:p>
        </w:tc>
        <w:tc>
          <w:tcPr>
            <w:tcW w:w="6830" w:type="dxa"/>
          </w:tcPr>
          <w:p w14:paraId="6DED8D5B" w14:textId="28CC3ECA" w:rsidR="004F52B3" w:rsidRDefault="004F52B3" w:rsidP="003929E2">
            <w:r>
              <w:t>Standard deviation score</w:t>
            </w:r>
          </w:p>
        </w:tc>
      </w:tr>
      <w:tr w:rsidR="003929E2" w:rsidRPr="009205BD" w14:paraId="7CDB413C" w14:textId="77777777" w:rsidTr="00733014">
        <w:tc>
          <w:tcPr>
            <w:tcW w:w="1890" w:type="dxa"/>
          </w:tcPr>
          <w:p w14:paraId="60B89800" w14:textId="77777777" w:rsidR="003929E2" w:rsidRDefault="003929E2" w:rsidP="003929E2">
            <w:r>
              <w:t>sIL-6R</w:t>
            </w:r>
          </w:p>
        </w:tc>
        <w:tc>
          <w:tcPr>
            <w:tcW w:w="6830" w:type="dxa"/>
          </w:tcPr>
          <w:p w14:paraId="24AC30DC" w14:textId="05FAA506" w:rsidR="003929E2" w:rsidRPr="009205BD" w:rsidRDefault="003929E2" w:rsidP="003929E2">
            <w:r w:rsidRPr="009205BD">
              <w:rPr>
                <w:bCs/>
              </w:rPr>
              <w:t xml:space="preserve">Soluble </w:t>
            </w:r>
            <w:r w:rsidR="00424284">
              <w:rPr>
                <w:bCs/>
              </w:rPr>
              <w:t>i</w:t>
            </w:r>
            <w:r w:rsidRPr="009205BD">
              <w:rPr>
                <w:bCs/>
              </w:rPr>
              <w:t xml:space="preserve">nterleukin-6 </w:t>
            </w:r>
            <w:r w:rsidR="00424284">
              <w:rPr>
                <w:bCs/>
              </w:rPr>
              <w:t>r</w:t>
            </w:r>
            <w:r w:rsidRPr="009205BD">
              <w:rPr>
                <w:bCs/>
              </w:rPr>
              <w:t>eceptor</w:t>
            </w:r>
          </w:p>
        </w:tc>
      </w:tr>
      <w:tr w:rsidR="003929E2" w14:paraId="527B8ADD" w14:textId="77777777" w:rsidTr="00733014">
        <w:tc>
          <w:tcPr>
            <w:tcW w:w="1890" w:type="dxa"/>
          </w:tcPr>
          <w:p w14:paraId="0262886C" w14:textId="77777777" w:rsidR="003929E2" w:rsidRDefault="003929E2" w:rsidP="003929E2">
            <w:r>
              <w:t>sJIA</w:t>
            </w:r>
          </w:p>
        </w:tc>
        <w:tc>
          <w:tcPr>
            <w:tcW w:w="6830" w:type="dxa"/>
          </w:tcPr>
          <w:p w14:paraId="191840D3" w14:textId="7B999524" w:rsidR="003929E2" w:rsidRDefault="00CD3E40" w:rsidP="003929E2">
            <w:r>
              <w:t>S</w:t>
            </w:r>
            <w:r w:rsidR="003929E2" w:rsidRPr="003F7261">
              <w:t>ystemic juvenile idiopathic arthritis</w:t>
            </w:r>
          </w:p>
        </w:tc>
      </w:tr>
      <w:tr w:rsidR="00102645" w14:paraId="77BB8D62" w14:textId="77777777" w:rsidTr="004B48D3">
        <w:tc>
          <w:tcPr>
            <w:tcW w:w="1890" w:type="dxa"/>
          </w:tcPr>
          <w:p w14:paraId="2B847C33" w14:textId="7CC24D0D" w:rsidR="00102645" w:rsidRDefault="00102645" w:rsidP="003929E2">
            <w:r>
              <w:t>SmPC</w:t>
            </w:r>
          </w:p>
        </w:tc>
        <w:tc>
          <w:tcPr>
            <w:tcW w:w="6830" w:type="dxa"/>
          </w:tcPr>
          <w:p w14:paraId="149D75C4" w14:textId="71E842D5" w:rsidR="00102645" w:rsidRDefault="00102645" w:rsidP="00102645">
            <w:r>
              <w:t xml:space="preserve">Summary of </w:t>
            </w:r>
            <w:r w:rsidR="00CB6649">
              <w:t>P</w:t>
            </w:r>
            <w:r>
              <w:t xml:space="preserve">roduct </w:t>
            </w:r>
            <w:r w:rsidR="00CB6649">
              <w:t>C</w:t>
            </w:r>
            <w:r>
              <w:t>haracteristics</w:t>
            </w:r>
            <w:r w:rsidR="00CB6649">
              <w:t xml:space="preserve"> (European Union)</w:t>
            </w:r>
          </w:p>
        </w:tc>
      </w:tr>
      <w:tr w:rsidR="003929E2" w14:paraId="342337FA" w14:textId="77777777" w:rsidTr="00733014">
        <w:tc>
          <w:tcPr>
            <w:tcW w:w="1890" w:type="dxa"/>
          </w:tcPr>
          <w:p w14:paraId="30E3ACE2" w14:textId="469A5B9F" w:rsidR="003929E2" w:rsidRDefault="00F71A93" w:rsidP="003929E2">
            <w:r>
              <w:t>TCZ</w:t>
            </w:r>
          </w:p>
        </w:tc>
        <w:tc>
          <w:tcPr>
            <w:tcW w:w="6830" w:type="dxa"/>
          </w:tcPr>
          <w:p w14:paraId="296C2063" w14:textId="2AB9CD03" w:rsidR="003929E2" w:rsidRDefault="00CD3E40" w:rsidP="003929E2">
            <w:r>
              <w:t>T</w:t>
            </w:r>
            <w:r w:rsidR="003929E2">
              <w:t>ocilizumab</w:t>
            </w:r>
          </w:p>
        </w:tc>
      </w:tr>
      <w:tr w:rsidR="00CA64D4" w14:paraId="4F05F8C2" w14:textId="77777777" w:rsidTr="004B48D3">
        <w:tc>
          <w:tcPr>
            <w:tcW w:w="1890" w:type="dxa"/>
          </w:tcPr>
          <w:p w14:paraId="696EA53E" w14:textId="3E776F68" w:rsidR="00CA64D4" w:rsidRDefault="00CA64D4" w:rsidP="003929E2">
            <w:r>
              <w:t>URTI</w:t>
            </w:r>
          </w:p>
        </w:tc>
        <w:tc>
          <w:tcPr>
            <w:tcW w:w="6830" w:type="dxa"/>
          </w:tcPr>
          <w:p w14:paraId="54C61AFB" w14:textId="5C092E22" w:rsidR="00CA64D4" w:rsidRDefault="00CA64D4" w:rsidP="003929E2">
            <w:r>
              <w:t>Upper respiratory tract infection</w:t>
            </w:r>
          </w:p>
        </w:tc>
      </w:tr>
      <w:tr w:rsidR="00547322" w:rsidDel="004B48D3" w14:paraId="70E87A3B" w14:textId="77777777" w:rsidTr="004B48D3">
        <w:tc>
          <w:tcPr>
            <w:tcW w:w="1890" w:type="dxa"/>
          </w:tcPr>
          <w:p w14:paraId="6BB1F674" w14:textId="59C78703" w:rsidR="00547322" w:rsidDel="004B48D3" w:rsidRDefault="00547322" w:rsidP="003929E2">
            <w:r>
              <w:t>VAS</w:t>
            </w:r>
          </w:p>
        </w:tc>
        <w:tc>
          <w:tcPr>
            <w:tcW w:w="6830" w:type="dxa"/>
          </w:tcPr>
          <w:p w14:paraId="2548B22F" w14:textId="0FA59850" w:rsidR="00547322" w:rsidDel="004B48D3" w:rsidRDefault="00547322" w:rsidP="003929E2">
            <w:r>
              <w:t xml:space="preserve">Visual </w:t>
            </w:r>
            <w:r w:rsidR="00CB6649">
              <w:t>A</w:t>
            </w:r>
            <w:r>
              <w:t xml:space="preserve">nalogue </w:t>
            </w:r>
            <w:r w:rsidR="00CB6649">
              <w:t>S</w:t>
            </w:r>
            <w:r>
              <w:t>cale</w:t>
            </w:r>
          </w:p>
        </w:tc>
      </w:tr>
    </w:tbl>
    <w:p w14:paraId="2DAAC236" w14:textId="77777777" w:rsidR="008E7846" w:rsidRDefault="00F53C07" w:rsidP="007038CF">
      <w:pPr>
        <w:pStyle w:val="Heading2"/>
        <w:pageBreakBefore/>
      </w:pPr>
      <w:bookmarkStart w:id="9" w:name="_Toc49950617"/>
      <w:r>
        <w:lastRenderedPageBreak/>
        <w:t>I.</w:t>
      </w:r>
      <w:r w:rsidR="008E7846">
        <w:t xml:space="preserve"> Introduction to product submission</w:t>
      </w:r>
      <w:bookmarkEnd w:id="0"/>
      <w:bookmarkEnd w:id="3"/>
      <w:bookmarkEnd w:id="9"/>
    </w:p>
    <w:p w14:paraId="0AE95608" w14:textId="77777777" w:rsidR="008E7846" w:rsidRDefault="008E7846" w:rsidP="008E7846">
      <w:pPr>
        <w:pStyle w:val="Heading3"/>
        <w:rPr>
          <w:lang w:eastAsia="en-AU"/>
        </w:rPr>
      </w:pPr>
      <w:bookmarkStart w:id="10" w:name="_Toc247691502"/>
      <w:bookmarkStart w:id="11" w:name="_Toc314842483"/>
      <w:bookmarkStart w:id="12" w:name="_Toc49950618"/>
      <w:r>
        <w:rPr>
          <w:lang w:eastAsia="en-AU"/>
        </w:rPr>
        <w:t>Submission details</w:t>
      </w:r>
      <w:bookmarkEnd w:id="10"/>
      <w:bookmarkEnd w:id="11"/>
      <w:bookmarkEnd w:id="12"/>
    </w:p>
    <w:tbl>
      <w:tblPr>
        <w:tblW w:w="9214" w:type="dxa"/>
        <w:tblInd w:w="108" w:type="dxa"/>
        <w:tblLook w:val="01E0" w:firstRow="1" w:lastRow="1" w:firstColumn="1" w:lastColumn="1" w:noHBand="0" w:noVBand="0"/>
      </w:tblPr>
      <w:tblGrid>
        <w:gridCol w:w="2907"/>
        <w:gridCol w:w="6307"/>
      </w:tblGrid>
      <w:tr w:rsidR="008E7846" w:rsidRPr="003D1E62" w14:paraId="46DD22E5" w14:textId="77777777" w:rsidTr="003735BC">
        <w:tc>
          <w:tcPr>
            <w:tcW w:w="2907" w:type="dxa"/>
          </w:tcPr>
          <w:p w14:paraId="34961E2A" w14:textId="77777777" w:rsidR="008E7846" w:rsidRPr="003D1E62" w:rsidRDefault="001B5C90" w:rsidP="001B5C90">
            <w:pPr>
              <w:rPr>
                <w:i/>
              </w:rPr>
            </w:pPr>
            <w:r>
              <w:rPr>
                <w:i/>
              </w:rPr>
              <w:t>Type of s</w:t>
            </w:r>
            <w:r w:rsidR="008E7846" w:rsidRPr="003D1E62">
              <w:rPr>
                <w:i/>
              </w:rPr>
              <w:t>ubmission</w:t>
            </w:r>
            <w:r>
              <w:rPr>
                <w:i/>
              </w:rPr>
              <w:t>:</w:t>
            </w:r>
          </w:p>
        </w:tc>
        <w:tc>
          <w:tcPr>
            <w:tcW w:w="6307" w:type="dxa"/>
          </w:tcPr>
          <w:p w14:paraId="7E100001" w14:textId="77777777" w:rsidR="008E7846" w:rsidRPr="003D1E62" w:rsidRDefault="003929E2" w:rsidP="001B5C90">
            <w:r>
              <w:t>Extension of Indications</w:t>
            </w:r>
          </w:p>
        </w:tc>
      </w:tr>
      <w:tr w:rsidR="003929E2" w:rsidRPr="00487162" w14:paraId="4F14BE47" w14:textId="77777777" w:rsidTr="003929E2">
        <w:tc>
          <w:tcPr>
            <w:tcW w:w="2907" w:type="dxa"/>
          </w:tcPr>
          <w:p w14:paraId="2C9080D6" w14:textId="34FAB54C" w:rsidR="003929E2" w:rsidRPr="00487162" w:rsidRDefault="003929E2" w:rsidP="003929E2">
            <w:pPr>
              <w:rPr>
                <w:i/>
              </w:rPr>
            </w:pPr>
            <w:r>
              <w:rPr>
                <w:i/>
              </w:rPr>
              <w:t>Active ingredient:</w:t>
            </w:r>
          </w:p>
        </w:tc>
        <w:tc>
          <w:tcPr>
            <w:tcW w:w="6307" w:type="dxa"/>
          </w:tcPr>
          <w:p w14:paraId="3EAB5CD2" w14:textId="77777777" w:rsidR="003929E2" w:rsidRPr="00487162" w:rsidRDefault="003929E2" w:rsidP="003929E2">
            <w:r>
              <w:t>Tocilizumab</w:t>
            </w:r>
            <w:r w:rsidR="00F81E42">
              <w:t xml:space="preserve"> (rch)</w:t>
            </w:r>
          </w:p>
        </w:tc>
      </w:tr>
      <w:tr w:rsidR="003929E2" w:rsidRPr="00487162" w14:paraId="5DEA5AA6" w14:textId="77777777" w:rsidTr="003929E2">
        <w:tc>
          <w:tcPr>
            <w:tcW w:w="2907" w:type="dxa"/>
          </w:tcPr>
          <w:p w14:paraId="69D48966" w14:textId="1109E9D9" w:rsidR="003929E2" w:rsidRPr="00487162" w:rsidRDefault="003929E2" w:rsidP="003929E2">
            <w:pPr>
              <w:rPr>
                <w:i/>
              </w:rPr>
            </w:pPr>
            <w:r w:rsidRPr="00487162">
              <w:rPr>
                <w:i/>
              </w:rPr>
              <w:t>Product</w:t>
            </w:r>
            <w:r>
              <w:rPr>
                <w:i/>
              </w:rPr>
              <w:t xml:space="preserve"> name:</w:t>
            </w:r>
          </w:p>
        </w:tc>
        <w:tc>
          <w:tcPr>
            <w:tcW w:w="6307" w:type="dxa"/>
          </w:tcPr>
          <w:p w14:paraId="19A80591" w14:textId="77777777" w:rsidR="003929E2" w:rsidRPr="00487162" w:rsidRDefault="003929E2" w:rsidP="003929E2">
            <w:r>
              <w:t>Actemra</w:t>
            </w:r>
          </w:p>
        </w:tc>
      </w:tr>
      <w:tr w:rsidR="008E7846" w:rsidRPr="003D1E62" w14:paraId="48A2E9C7" w14:textId="77777777" w:rsidTr="003735BC">
        <w:tc>
          <w:tcPr>
            <w:tcW w:w="2907" w:type="dxa"/>
          </w:tcPr>
          <w:p w14:paraId="02A47D62" w14:textId="77777777" w:rsidR="008E7846" w:rsidRPr="003D1E62" w:rsidRDefault="008E7846" w:rsidP="003D1E62">
            <w:r w:rsidRPr="003D1E62">
              <w:rPr>
                <w:i/>
              </w:rPr>
              <w:t>Decision</w:t>
            </w:r>
            <w:r w:rsidRPr="003D1E62">
              <w:t>:</w:t>
            </w:r>
          </w:p>
        </w:tc>
        <w:tc>
          <w:tcPr>
            <w:tcW w:w="6307" w:type="dxa"/>
          </w:tcPr>
          <w:p w14:paraId="7B6ABB5D" w14:textId="77777777" w:rsidR="008E7846" w:rsidRPr="003D1E62" w:rsidRDefault="008E7846" w:rsidP="003929E2">
            <w:r w:rsidRPr="003D1E62">
              <w:t>Approved</w:t>
            </w:r>
          </w:p>
        </w:tc>
      </w:tr>
      <w:tr w:rsidR="008E7846" w:rsidRPr="003D1E62" w14:paraId="3F76582D" w14:textId="77777777" w:rsidTr="003735BC">
        <w:tc>
          <w:tcPr>
            <w:tcW w:w="2907" w:type="dxa"/>
          </w:tcPr>
          <w:p w14:paraId="2CEF65F7" w14:textId="77777777" w:rsidR="008E7846" w:rsidRPr="003D1E62" w:rsidRDefault="008E7846" w:rsidP="001B5C90">
            <w:pPr>
              <w:rPr>
                <w:i/>
              </w:rPr>
            </w:pPr>
            <w:r w:rsidRPr="003D1E62">
              <w:rPr>
                <w:i/>
              </w:rPr>
              <w:t xml:space="preserve">Date of </w:t>
            </w:r>
            <w:r w:rsidR="001B5C90">
              <w:rPr>
                <w:i/>
              </w:rPr>
              <w:t>d</w:t>
            </w:r>
            <w:r w:rsidRPr="003D1E62">
              <w:rPr>
                <w:i/>
              </w:rPr>
              <w:t>ecision:</w:t>
            </w:r>
          </w:p>
        </w:tc>
        <w:tc>
          <w:tcPr>
            <w:tcW w:w="6307" w:type="dxa"/>
          </w:tcPr>
          <w:p w14:paraId="77277311" w14:textId="77777777" w:rsidR="008E7846" w:rsidRPr="003D1E62" w:rsidRDefault="0064447D" w:rsidP="001B5C90">
            <w:r>
              <w:t>18 March 2020</w:t>
            </w:r>
          </w:p>
        </w:tc>
      </w:tr>
      <w:tr w:rsidR="00ED2922" w:rsidRPr="003D1E62" w14:paraId="0AEE1B5E" w14:textId="77777777" w:rsidTr="003735BC">
        <w:tc>
          <w:tcPr>
            <w:tcW w:w="2907" w:type="dxa"/>
          </w:tcPr>
          <w:p w14:paraId="3A2179B5" w14:textId="77777777" w:rsidR="00ED2922" w:rsidRPr="00441C3F" w:rsidRDefault="00ED2922" w:rsidP="001B5C90">
            <w:pPr>
              <w:rPr>
                <w:i/>
              </w:rPr>
            </w:pPr>
            <w:r w:rsidRPr="00441C3F">
              <w:rPr>
                <w:i/>
              </w:rPr>
              <w:t>Date of entry onto ARTG</w:t>
            </w:r>
            <w:r w:rsidR="00500337">
              <w:rPr>
                <w:i/>
              </w:rPr>
              <w:t>:</w:t>
            </w:r>
          </w:p>
        </w:tc>
        <w:tc>
          <w:tcPr>
            <w:tcW w:w="6307" w:type="dxa"/>
          </w:tcPr>
          <w:p w14:paraId="3146F9E9" w14:textId="77777777" w:rsidR="00ED2922" w:rsidRPr="00441C3F" w:rsidRDefault="0064447D" w:rsidP="00D153D8">
            <w:pPr>
              <w:rPr>
                <w:i/>
              </w:rPr>
            </w:pPr>
            <w:r>
              <w:t>24 March 2020</w:t>
            </w:r>
          </w:p>
        </w:tc>
      </w:tr>
      <w:tr w:rsidR="00500337" w:rsidRPr="003D1E62" w14:paraId="2D1B4996" w14:textId="77777777" w:rsidTr="003735BC">
        <w:tc>
          <w:tcPr>
            <w:tcW w:w="2907" w:type="dxa"/>
          </w:tcPr>
          <w:p w14:paraId="6B9C8FB5" w14:textId="38B17C3C" w:rsidR="00500337" w:rsidRPr="00441C3F" w:rsidRDefault="00500337" w:rsidP="001B5C90">
            <w:pPr>
              <w:rPr>
                <w:i/>
              </w:rPr>
            </w:pPr>
            <w:r>
              <w:rPr>
                <w:i/>
              </w:rPr>
              <w:t>ARTG numbers:</w:t>
            </w:r>
          </w:p>
        </w:tc>
        <w:tc>
          <w:tcPr>
            <w:tcW w:w="6307" w:type="dxa"/>
          </w:tcPr>
          <w:p w14:paraId="7041F32F" w14:textId="7D2894D9" w:rsidR="00500337" w:rsidRPr="00441C3F" w:rsidRDefault="004F77CF" w:rsidP="00EC463D">
            <w:r>
              <w:t xml:space="preserve">149402, 149403, 149404, 234034, </w:t>
            </w:r>
            <w:r w:rsidR="0064447D">
              <w:t>296808</w:t>
            </w:r>
          </w:p>
        </w:tc>
      </w:tr>
      <w:tr w:rsidR="003735BC" w:rsidRPr="003D1E62" w14:paraId="2434615C" w14:textId="77777777" w:rsidTr="003735BC">
        <w:tc>
          <w:tcPr>
            <w:tcW w:w="2907" w:type="dxa"/>
          </w:tcPr>
          <w:p w14:paraId="0AE2CE8C" w14:textId="77777777" w:rsidR="003735BC" w:rsidRDefault="00FA5069" w:rsidP="001B5C90">
            <w:pPr>
              <w:rPr>
                <w:i/>
              </w:rPr>
            </w:pPr>
            <w:r>
              <w:rPr>
                <w:rFonts w:ascii="Wingdings 3" w:hAnsi="Wingdings 3"/>
                <w:sz w:val="34"/>
                <w:szCs w:val="34"/>
                <w:lang w:eastAsia="en-AU"/>
              </w:rPr>
              <w:t></w:t>
            </w:r>
            <w:r w:rsidR="003735BC" w:rsidRPr="003735BC">
              <w:rPr>
                <w:i/>
              </w:rPr>
              <w:t>Black Triangle Scheme</w:t>
            </w:r>
          </w:p>
        </w:tc>
        <w:tc>
          <w:tcPr>
            <w:tcW w:w="6307" w:type="dxa"/>
          </w:tcPr>
          <w:p w14:paraId="3A1A762D" w14:textId="77777777" w:rsidR="003735BC" w:rsidRPr="00487162" w:rsidRDefault="0064447D" w:rsidP="003735BC">
            <w:r>
              <w:t>No</w:t>
            </w:r>
          </w:p>
        </w:tc>
      </w:tr>
    </w:tbl>
    <w:p w14:paraId="0887C511" w14:textId="77777777" w:rsidR="008E7846" w:rsidRDefault="008E7846" w:rsidP="008E7846"/>
    <w:tbl>
      <w:tblPr>
        <w:tblW w:w="9214" w:type="dxa"/>
        <w:tblInd w:w="108" w:type="dxa"/>
        <w:tblLook w:val="01E0" w:firstRow="1" w:lastRow="1" w:firstColumn="1" w:lastColumn="1" w:noHBand="0" w:noVBand="0"/>
      </w:tblPr>
      <w:tblGrid>
        <w:gridCol w:w="2907"/>
        <w:gridCol w:w="6307"/>
      </w:tblGrid>
      <w:tr w:rsidR="008E7846" w:rsidRPr="00487162" w14:paraId="5360E7FE" w14:textId="77777777" w:rsidTr="00BF1190">
        <w:tc>
          <w:tcPr>
            <w:tcW w:w="2907" w:type="dxa"/>
          </w:tcPr>
          <w:p w14:paraId="5B9FCAF5" w14:textId="77777777"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14:paraId="1C39F22C" w14:textId="77777777" w:rsidR="008E7846" w:rsidRDefault="0064447D" w:rsidP="00E45619">
            <w:r>
              <w:t>Roche Products Pty Limited</w:t>
            </w:r>
          </w:p>
          <w:p w14:paraId="760C3B4D" w14:textId="77777777" w:rsidR="0064447D" w:rsidRDefault="0064447D" w:rsidP="00E45619">
            <w:r>
              <w:t>Level 8, 30-34 Hickson Road</w:t>
            </w:r>
          </w:p>
          <w:p w14:paraId="4E4BF773" w14:textId="77777777" w:rsidR="0064447D" w:rsidRPr="00487162" w:rsidRDefault="0064447D" w:rsidP="00E45619">
            <w:r>
              <w:t>Sydney NSW 2000</w:t>
            </w:r>
          </w:p>
        </w:tc>
      </w:tr>
      <w:tr w:rsidR="008E7846" w:rsidRPr="00487162" w14:paraId="79487DF2" w14:textId="77777777" w:rsidTr="00BF1190">
        <w:tc>
          <w:tcPr>
            <w:tcW w:w="2907" w:type="dxa"/>
          </w:tcPr>
          <w:p w14:paraId="47B0E6B8" w14:textId="3FF5F51C" w:rsidR="008E7846" w:rsidRPr="00487162" w:rsidRDefault="001B5C90" w:rsidP="00E45619">
            <w:pPr>
              <w:rPr>
                <w:i/>
              </w:rPr>
            </w:pPr>
            <w:r>
              <w:rPr>
                <w:i/>
              </w:rPr>
              <w:t>Dose forms:</w:t>
            </w:r>
          </w:p>
        </w:tc>
        <w:tc>
          <w:tcPr>
            <w:tcW w:w="6307" w:type="dxa"/>
          </w:tcPr>
          <w:p w14:paraId="11FF17DF" w14:textId="532C5A40" w:rsidR="00587352" w:rsidRDefault="00587352" w:rsidP="00E45619">
            <w:r>
              <w:t>Injection, concentrated</w:t>
            </w:r>
            <w:r w:rsidR="00155912">
              <w:t xml:space="preserve"> solution</w:t>
            </w:r>
          </w:p>
          <w:p w14:paraId="68900CD0" w14:textId="65F20D8F" w:rsidR="008E7846" w:rsidRPr="00487162" w:rsidRDefault="000926CD" w:rsidP="00E45619">
            <w:r>
              <w:t>Injection, solution</w:t>
            </w:r>
          </w:p>
        </w:tc>
      </w:tr>
      <w:tr w:rsidR="008E7846" w:rsidRPr="00487162" w14:paraId="452AD7D0" w14:textId="77777777" w:rsidTr="00BF1190">
        <w:tc>
          <w:tcPr>
            <w:tcW w:w="2907" w:type="dxa"/>
          </w:tcPr>
          <w:p w14:paraId="6D14ACD0" w14:textId="57F0C7FC" w:rsidR="008E7846" w:rsidRPr="00487162" w:rsidRDefault="008E7846" w:rsidP="00E45619">
            <w:pPr>
              <w:rPr>
                <w:i/>
              </w:rPr>
            </w:pPr>
            <w:r w:rsidRPr="00487162">
              <w:rPr>
                <w:i/>
              </w:rPr>
              <w:t>Strengths:</w:t>
            </w:r>
          </w:p>
        </w:tc>
        <w:tc>
          <w:tcPr>
            <w:tcW w:w="6307" w:type="dxa"/>
          </w:tcPr>
          <w:p w14:paraId="25E27141" w14:textId="122918C7" w:rsidR="00587352" w:rsidRPr="00B9353F" w:rsidRDefault="00587352" w:rsidP="00E45619">
            <w:pPr>
              <w:rPr>
                <w:lang w:val="de-DE"/>
              </w:rPr>
            </w:pPr>
            <w:r w:rsidRPr="00B9353F">
              <w:rPr>
                <w:lang w:val="de-DE"/>
              </w:rPr>
              <w:t>400</w:t>
            </w:r>
            <w:r w:rsidR="00CD3E40" w:rsidRPr="00B9353F">
              <w:rPr>
                <w:lang w:val="de-DE"/>
              </w:rPr>
              <w:t xml:space="preserve"> </w:t>
            </w:r>
            <w:r w:rsidRPr="00B9353F">
              <w:rPr>
                <w:lang w:val="de-DE"/>
              </w:rPr>
              <w:t>mg/20</w:t>
            </w:r>
            <w:r w:rsidR="00CD3E40" w:rsidRPr="00B9353F">
              <w:rPr>
                <w:lang w:val="de-DE"/>
              </w:rPr>
              <w:t xml:space="preserve"> </w:t>
            </w:r>
            <w:r w:rsidRPr="00B9353F">
              <w:rPr>
                <w:lang w:val="de-DE"/>
              </w:rPr>
              <w:t>mL</w:t>
            </w:r>
          </w:p>
          <w:p w14:paraId="09F34C37" w14:textId="1BC4E158" w:rsidR="00ED5043" w:rsidRPr="00B9353F" w:rsidRDefault="00ED5043" w:rsidP="00E45619">
            <w:pPr>
              <w:rPr>
                <w:lang w:val="de-DE"/>
              </w:rPr>
            </w:pPr>
            <w:r w:rsidRPr="00B9353F">
              <w:rPr>
                <w:lang w:val="de-DE"/>
              </w:rPr>
              <w:t>80</w:t>
            </w:r>
            <w:r w:rsidR="00CD3E40" w:rsidRPr="00B9353F">
              <w:rPr>
                <w:lang w:val="de-DE"/>
              </w:rPr>
              <w:t xml:space="preserve"> </w:t>
            </w:r>
            <w:r w:rsidRPr="00B9353F">
              <w:rPr>
                <w:lang w:val="de-DE"/>
              </w:rPr>
              <w:t>mg/4</w:t>
            </w:r>
            <w:r w:rsidR="00CD3E40" w:rsidRPr="00B9353F">
              <w:rPr>
                <w:lang w:val="de-DE"/>
              </w:rPr>
              <w:t xml:space="preserve"> </w:t>
            </w:r>
            <w:r w:rsidRPr="00B9353F">
              <w:rPr>
                <w:lang w:val="de-DE"/>
              </w:rPr>
              <w:t>mL</w:t>
            </w:r>
          </w:p>
          <w:p w14:paraId="3DDDB1C8" w14:textId="54B47730" w:rsidR="00391520" w:rsidRPr="00B9353F" w:rsidRDefault="00391520" w:rsidP="00E45619">
            <w:pPr>
              <w:rPr>
                <w:lang w:val="de-DE"/>
              </w:rPr>
            </w:pPr>
            <w:r w:rsidRPr="00B9353F">
              <w:rPr>
                <w:lang w:val="de-DE"/>
              </w:rPr>
              <w:t>200</w:t>
            </w:r>
            <w:r w:rsidR="00CD3E40" w:rsidRPr="00B9353F">
              <w:rPr>
                <w:lang w:val="de-DE"/>
              </w:rPr>
              <w:t xml:space="preserve"> </w:t>
            </w:r>
            <w:r w:rsidRPr="00B9353F">
              <w:rPr>
                <w:lang w:val="de-DE"/>
              </w:rPr>
              <w:t>mg/10</w:t>
            </w:r>
            <w:r w:rsidR="00CD3E40" w:rsidRPr="00B9353F">
              <w:rPr>
                <w:lang w:val="de-DE"/>
              </w:rPr>
              <w:t xml:space="preserve"> </w:t>
            </w:r>
            <w:r w:rsidRPr="00B9353F">
              <w:rPr>
                <w:lang w:val="de-DE"/>
              </w:rPr>
              <w:t>mL</w:t>
            </w:r>
          </w:p>
          <w:p w14:paraId="4D36AA29" w14:textId="663B540A" w:rsidR="008E7846" w:rsidRPr="00487162" w:rsidRDefault="000926CD">
            <w:r>
              <w:t>162</w:t>
            </w:r>
            <w:r w:rsidR="00CD3E40">
              <w:t xml:space="preserve"> </w:t>
            </w:r>
            <w:r>
              <w:t>mg/0.9</w:t>
            </w:r>
            <w:r w:rsidR="00CD3E40">
              <w:t xml:space="preserve"> </w:t>
            </w:r>
            <w:r>
              <w:t>mL</w:t>
            </w:r>
          </w:p>
        </w:tc>
      </w:tr>
      <w:tr w:rsidR="008E7846" w:rsidRPr="00487162" w14:paraId="395A5DBA" w14:textId="77777777" w:rsidTr="00BF1190">
        <w:tc>
          <w:tcPr>
            <w:tcW w:w="2907" w:type="dxa"/>
          </w:tcPr>
          <w:p w14:paraId="17A61624" w14:textId="4A283417" w:rsidR="008E7846" w:rsidRPr="00487162" w:rsidRDefault="008E7846" w:rsidP="00E45619">
            <w:pPr>
              <w:rPr>
                <w:i/>
              </w:rPr>
            </w:pPr>
            <w:r w:rsidRPr="00487162">
              <w:rPr>
                <w:i/>
              </w:rPr>
              <w:t>Containers:</w:t>
            </w:r>
          </w:p>
        </w:tc>
        <w:tc>
          <w:tcPr>
            <w:tcW w:w="6307" w:type="dxa"/>
          </w:tcPr>
          <w:p w14:paraId="1C6ACFDF" w14:textId="1DDC4A75" w:rsidR="00733014" w:rsidRDefault="00587352" w:rsidP="00E45619">
            <w:r>
              <w:t>Vial</w:t>
            </w:r>
          </w:p>
          <w:p w14:paraId="4E153A28" w14:textId="77777777" w:rsidR="00733014" w:rsidRDefault="00733014" w:rsidP="00E45619">
            <w:r>
              <w:t>P</w:t>
            </w:r>
            <w:r w:rsidR="000200B0">
              <w:t>re-filled s</w:t>
            </w:r>
            <w:r w:rsidR="00391520">
              <w:t>yringe</w:t>
            </w:r>
          </w:p>
          <w:p w14:paraId="59AC12CE" w14:textId="6C8600C0" w:rsidR="008E7846" w:rsidRPr="00487162" w:rsidRDefault="00733014" w:rsidP="00E45619">
            <w:r>
              <w:t>P</w:t>
            </w:r>
            <w:r w:rsidR="000200B0">
              <w:t>re-filled pen</w:t>
            </w:r>
          </w:p>
        </w:tc>
      </w:tr>
      <w:tr w:rsidR="008E7846" w:rsidRPr="00487162" w14:paraId="303BCA2E" w14:textId="77777777" w:rsidTr="00BF1190">
        <w:tc>
          <w:tcPr>
            <w:tcW w:w="2907" w:type="dxa"/>
          </w:tcPr>
          <w:p w14:paraId="5ACA69D5" w14:textId="0FDAD8BA" w:rsidR="008E7846" w:rsidRPr="00487162" w:rsidRDefault="008E7846" w:rsidP="00E45619">
            <w:pPr>
              <w:rPr>
                <w:i/>
              </w:rPr>
            </w:pPr>
            <w:r w:rsidRPr="00487162">
              <w:rPr>
                <w:i/>
              </w:rPr>
              <w:t>Pack sizes:</w:t>
            </w:r>
          </w:p>
        </w:tc>
        <w:tc>
          <w:tcPr>
            <w:tcW w:w="6307" w:type="dxa"/>
          </w:tcPr>
          <w:p w14:paraId="01BF6622" w14:textId="5C45845C" w:rsidR="00587352" w:rsidRDefault="00587352" w:rsidP="00E45619">
            <w:r>
              <w:t>4 vials, 1 vial</w:t>
            </w:r>
          </w:p>
          <w:p w14:paraId="4849776B" w14:textId="77777777" w:rsidR="008E7846" w:rsidRDefault="000926CD" w:rsidP="00E45619">
            <w:r>
              <w:t>4 syringes, 1 syringe</w:t>
            </w:r>
          </w:p>
          <w:p w14:paraId="224AF23D" w14:textId="5CA0295D" w:rsidR="00324F6C" w:rsidRPr="00487162" w:rsidRDefault="00324F6C" w:rsidP="00E45619">
            <w:r>
              <w:t>4 pens, 1 pen</w:t>
            </w:r>
          </w:p>
        </w:tc>
      </w:tr>
      <w:tr w:rsidR="008E7846" w:rsidRPr="00487162" w14:paraId="25EEF464" w14:textId="77777777" w:rsidTr="00BF1190">
        <w:tc>
          <w:tcPr>
            <w:tcW w:w="2907" w:type="dxa"/>
          </w:tcPr>
          <w:p w14:paraId="00C80D26" w14:textId="77777777"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14:paraId="15AD1465" w14:textId="77777777" w:rsidR="008E7846" w:rsidRPr="00733014" w:rsidRDefault="000926CD" w:rsidP="00E45619">
            <w:pPr>
              <w:rPr>
                <w:i/>
              </w:rPr>
            </w:pPr>
            <w:r w:rsidRPr="00733014">
              <w:rPr>
                <w:i/>
              </w:rPr>
              <w:t>Subcutaneous formulation</w:t>
            </w:r>
          </w:p>
          <w:p w14:paraId="2BF412E7" w14:textId="77777777" w:rsidR="000926CD" w:rsidRPr="00733014" w:rsidRDefault="000926CD" w:rsidP="00E45619">
            <w:pPr>
              <w:rPr>
                <w:i/>
              </w:rPr>
            </w:pPr>
            <w:r w:rsidRPr="00733014">
              <w:rPr>
                <w:i/>
              </w:rPr>
              <w:t>Actemra is indicated for the treatment of active systemic juvenile idiopathic arthritis in patients 1 year of age and older.</w:t>
            </w:r>
          </w:p>
          <w:p w14:paraId="4D85ED57" w14:textId="77777777" w:rsidR="000926CD" w:rsidRPr="00487162" w:rsidRDefault="000926CD" w:rsidP="00E45619">
            <w:pPr>
              <w:rPr>
                <w:rFonts w:eastAsia="MS Mincho"/>
                <w:lang w:eastAsia="ja-JP"/>
              </w:rPr>
            </w:pPr>
            <w:r w:rsidRPr="00733014">
              <w:rPr>
                <w:i/>
              </w:rPr>
              <w:t>Actemra IV and SC can be given alone or in combination with methotrexate (MTX)</w:t>
            </w:r>
          </w:p>
        </w:tc>
      </w:tr>
      <w:tr w:rsidR="008E7846" w:rsidRPr="00487162" w14:paraId="59585715" w14:textId="77777777" w:rsidTr="00BF1190">
        <w:tc>
          <w:tcPr>
            <w:tcW w:w="2907" w:type="dxa"/>
          </w:tcPr>
          <w:p w14:paraId="5B2270F3" w14:textId="3AE5F280" w:rsidR="008E7846" w:rsidRPr="00487162" w:rsidRDefault="00BD2603" w:rsidP="00E45619">
            <w:pPr>
              <w:rPr>
                <w:i/>
              </w:rPr>
            </w:pPr>
            <w:r>
              <w:rPr>
                <w:i/>
              </w:rPr>
              <w:lastRenderedPageBreak/>
              <w:t>Route</w:t>
            </w:r>
            <w:r w:rsidR="008E7846" w:rsidRPr="00487162">
              <w:rPr>
                <w:i/>
              </w:rPr>
              <w:t xml:space="preserve"> of administration:</w:t>
            </w:r>
          </w:p>
        </w:tc>
        <w:tc>
          <w:tcPr>
            <w:tcW w:w="6307" w:type="dxa"/>
          </w:tcPr>
          <w:p w14:paraId="53540533" w14:textId="77777777" w:rsidR="008E7846" w:rsidRPr="00487162" w:rsidRDefault="000926CD" w:rsidP="00E45619">
            <w:r>
              <w:t>Subcutaneous</w:t>
            </w:r>
          </w:p>
        </w:tc>
      </w:tr>
      <w:tr w:rsidR="008E7846" w:rsidRPr="00487162" w14:paraId="5EFB4532" w14:textId="77777777" w:rsidTr="00BF1190">
        <w:tc>
          <w:tcPr>
            <w:tcW w:w="2907" w:type="dxa"/>
          </w:tcPr>
          <w:p w14:paraId="2D11AD80" w14:textId="77777777" w:rsidR="008E7846" w:rsidRPr="00487162" w:rsidRDefault="008E7846" w:rsidP="00E45619">
            <w:pPr>
              <w:rPr>
                <w:i/>
              </w:rPr>
            </w:pPr>
            <w:r w:rsidRPr="00487162">
              <w:rPr>
                <w:i/>
              </w:rPr>
              <w:t>Dosage:</w:t>
            </w:r>
          </w:p>
        </w:tc>
        <w:tc>
          <w:tcPr>
            <w:tcW w:w="6307" w:type="dxa"/>
          </w:tcPr>
          <w:p w14:paraId="1A39DE6B" w14:textId="50B77EC3" w:rsidR="00E60DD3" w:rsidRPr="00F809BE" w:rsidRDefault="00E60DD3" w:rsidP="00A85F8F">
            <w:pPr>
              <w:rPr>
                <w:i/>
              </w:rPr>
            </w:pPr>
            <w:r w:rsidRPr="00F809BE">
              <w:rPr>
                <w:i/>
              </w:rPr>
              <w:t>Subcutaneous dosing regimen</w:t>
            </w:r>
          </w:p>
          <w:p w14:paraId="39167D52" w14:textId="71944012" w:rsidR="00A85F8F" w:rsidRDefault="00A85F8F" w:rsidP="00A85F8F">
            <w:r>
              <w:t xml:space="preserve">The recommended dose of </w:t>
            </w:r>
            <w:r w:rsidR="00CB6649">
              <w:t xml:space="preserve">subcutaneous (SC) </w:t>
            </w:r>
            <w:r>
              <w:t xml:space="preserve"> Actemra for patients with </w:t>
            </w:r>
            <w:r w:rsidR="00CB6649">
              <w:t>systemic juvenile idiopathic arthritis (</w:t>
            </w:r>
            <w:r>
              <w:t>sJIA</w:t>
            </w:r>
            <w:r w:rsidR="00CB6649">
              <w:t>)</w:t>
            </w:r>
            <w:r>
              <w:t xml:space="preserve"> is:</w:t>
            </w:r>
          </w:p>
          <w:p w14:paraId="2ED29373" w14:textId="77777777" w:rsidR="00A85F8F" w:rsidRDefault="00A85F8F" w:rsidP="00F809BE">
            <w:pPr>
              <w:pStyle w:val="ListBullet"/>
            </w:pPr>
            <w:r>
              <w:t>162 mg once every two weeks for patients below 30 kg,</w:t>
            </w:r>
          </w:p>
          <w:p w14:paraId="5F6F6264" w14:textId="77777777" w:rsidR="00A85F8F" w:rsidRDefault="00A85F8F" w:rsidP="00F809BE">
            <w:pPr>
              <w:pStyle w:val="ListBullet"/>
            </w:pPr>
            <w:r>
              <w:t>162 mg once every week for patients ≥ 30 kg</w:t>
            </w:r>
          </w:p>
          <w:p w14:paraId="4F1E7855" w14:textId="77777777" w:rsidR="008E7846" w:rsidRPr="00487162" w:rsidRDefault="001B1062" w:rsidP="001B1062">
            <w:r>
              <w:t>Further dosage information is available in the Product Information</w:t>
            </w:r>
            <w:r w:rsidR="00A85F8F">
              <w:t>.</w:t>
            </w:r>
          </w:p>
        </w:tc>
      </w:tr>
    </w:tbl>
    <w:p w14:paraId="689A73B7" w14:textId="77777777" w:rsidR="008E7846" w:rsidRDefault="008E7846" w:rsidP="000802D3">
      <w:pPr>
        <w:pStyle w:val="Heading3"/>
      </w:pPr>
      <w:bookmarkStart w:id="13" w:name="_Toc247691503"/>
      <w:bookmarkStart w:id="14" w:name="_Toc314842484"/>
      <w:bookmarkStart w:id="15" w:name="_Toc49950619"/>
      <w:r>
        <w:t>Product background</w:t>
      </w:r>
      <w:bookmarkEnd w:id="13"/>
      <w:bookmarkEnd w:id="14"/>
      <w:bookmarkEnd w:id="15"/>
    </w:p>
    <w:p w14:paraId="363BA676" w14:textId="6FD0C432" w:rsidR="008A0313" w:rsidRDefault="00940A89" w:rsidP="000802D3">
      <w:r w:rsidRPr="00940A89">
        <w:t xml:space="preserve">This AusPAR describes the application by </w:t>
      </w:r>
      <w:r w:rsidR="00D854FA">
        <w:t>Roche Products Pty Limited (</w:t>
      </w:r>
      <w:r w:rsidRPr="00940A89">
        <w:t>the sponsor</w:t>
      </w:r>
      <w:r w:rsidR="00D854FA">
        <w:t>)</w:t>
      </w:r>
      <w:r w:rsidRPr="00940A89">
        <w:t xml:space="preserve"> to</w:t>
      </w:r>
      <w:r w:rsidR="00D854FA">
        <w:t xml:space="preserve"> extend the indications</w:t>
      </w:r>
      <w:r w:rsidR="00BC4C47">
        <w:t xml:space="preserve"> for Actemra </w:t>
      </w:r>
      <w:r w:rsidR="00FD2F93">
        <w:t>(tocilizumab rch), 400 mg/20 mL, 80 mg/4 mL, 200</w:t>
      </w:r>
      <w:r w:rsidR="00424284">
        <w:t> </w:t>
      </w:r>
      <w:r w:rsidR="00FD2F93">
        <w:t>mg/10 mL</w:t>
      </w:r>
      <w:r w:rsidR="00F809BE">
        <w:t xml:space="preserve"> </w:t>
      </w:r>
      <w:r w:rsidR="00FD2F93">
        <w:t xml:space="preserve">concentrated solution for injection vial and 162 mg/0.9 mL solution for injection pre-filled pen and pre-filled syringe, </w:t>
      </w:r>
      <w:r w:rsidR="008A0313" w:rsidRPr="008A0313">
        <w:t xml:space="preserve">to include dosing via the subcutaneous (SC) route of administration; and to lower the age limit for </w:t>
      </w:r>
      <w:r w:rsidR="00CB6649">
        <w:t>systemic juvenile idiopathic arthritis (</w:t>
      </w:r>
      <w:r w:rsidR="008A0313" w:rsidRPr="008A0313">
        <w:t>sJIA</w:t>
      </w:r>
      <w:r w:rsidR="00CB6649">
        <w:t>)</w:t>
      </w:r>
      <w:r w:rsidR="008A0313" w:rsidRPr="008A0313">
        <w:t xml:space="preserve"> treatment from </w:t>
      </w:r>
      <w:r w:rsidR="00CB6649">
        <w:t xml:space="preserve">patients aged </w:t>
      </w:r>
      <w:r w:rsidR="008A0313" w:rsidRPr="008A0313">
        <w:t xml:space="preserve">2 years old to </w:t>
      </w:r>
      <w:r w:rsidR="00CB6649">
        <w:t xml:space="preserve">patients aged </w:t>
      </w:r>
      <w:r w:rsidR="008A0313" w:rsidRPr="008A0313">
        <w:t>1 year old (S</w:t>
      </w:r>
      <w:r w:rsidR="008A0313">
        <w:t>C formulation only)</w:t>
      </w:r>
      <w:r w:rsidR="00480B0E">
        <w:t>. T</w:t>
      </w:r>
      <w:r w:rsidR="008A0313">
        <w:t>he full indications for sJIA would</w:t>
      </w:r>
      <w:r w:rsidR="00480B0E">
        <w:t xml:space="preserve"> therefore</w:t>
      </w:r>
      <w:r w:rsidR="008A0313">
        <w:t xml:space="preserve"> read:</w:t>
      </w:r>
    </w:p>
    <w:p w14:paraId="5926F102" w14:textId="6BAAFC37" w:rsidR="00C07BBE" w:rsidRPr="00C07BBE" w:rsidRDefault="00C07BBE" w:rsidP="00C07BBE">
      <w:pPr>
        <w:ind w:left="720"/>
        <w:rPr>
          <w:b/>
          <w:i/>
        </w:rPr>
      </w:pPr>
      <w:r>
        <w:rPr>
          <w:b/>
          <w:i/>
        </w:rPr>
        <w:t>S</w:t>
      </w:r>
      <w:r w:rsidRPr="00C07BBE">
        <w:rPr>
          <w:b/>
          <w:i/>
        </w:rPr>
        <w:t>ystematic juvenile idiopathic arthritis (IV and SC formulations)</w:t>
      </w:r>
    </w:p>
    <w:p w14:paraId="45F8C89F" w14:textId="77777777" w:rsidR="00C07BBE" w:rsidRPr="00C07BBE" w:rsidRDefault="00C07BBE" w:rsidP="00C07BBE">
      <w:pPr>
        <w:ind w:left="720"/>
        <w:rPr>
          <w:i/>
        </w:rPr>
      </w:pPr>
      <w:r w:rsidRPr="00C07BBE">
        <w:rPr>
          <w:i/>
        </w:rPr>
        <w:t>Intravenous formulation</w:t>
      </w:r>
    </w:p>
    <w:p w14:paraId="74354F01" w14:textId="77777777" w:rsidR="00C07BBE" w:rsidRPr="00C07BBE" w:rsidRDefault="00C07BBE" w:rsidP="00C07BBE">
      <w:pPr>
        <w:ind w:left="720"/>
        <w:rPr>
          <w:i/>
        </w:rPr>
      </w:pPr>
      <w:r w:rsidRPr="00C07BBE">
        <w:rPr>
          <w:i/>
        </w:rPr>
        <w:t>Actemra is indicated for the treatment of active systemic juvenile idiopathic arthritis in patients 2 years of age and older.</w:t>
      </w:r>
    </w:p>
    <w:p w14:paraId="3C24D200" w14:textId="77777777" w:rsidR="00C07BBE" w:rsidRPr="00C07BBE" w:rsidRDefault="00C07BBE" w:rsidP="00C07BBE">
      <w:pPr>
        <w:ind w:left="720"/>
        <w:rPr>
          <w:i/>
        </w:rPr>
      </w:pPr>
      <w:r w:rsidRPr="00C07BBE">
        <w:rPr>
          <w:i/>
        </w:rPr>
        <w:t>Subcutaneous formulation</w:t>
      </w:r>
    </w:p>
    <w:p w14:paraId="6B990E8F" w14:textId="77777777" w:rsidR="00C07BBE" w:rsidRPr="00C07BBE" w:rsidRDefault="00C07BBE" w:rsidP="00C07BBE">
      <w:pPr>
        <w:ind w:left="720"/>
        <w:rPr>
          <w:i/>
        </w:rPr>
      </w:pPr>
      <w:r w:rsidRPr="00C07BBE">
        <w:rPr>
          <w:i/>
        </w:rPr>
        <w:t>Actemra is indicated for the treatment of active systemic juvenile idiopathic arthritis in patients 1 year of age and older.</w:t>
      </w:r>
    </w:p>
    <w:p w14:paraId="19307B08" w14:textId="7B06E0E2" w:rsidR="00C07BBE" w:rsidRPr="00733014" w:rsidRDefault="00C07BBE" w:rsidP="00733014">
      <w:pPr>
        <w:ind w:left="720"/>
        <w:rPr>
          <w:i/>
        </w:rPr>
      </w:pPr>
      <w:r w:rsidRPr="00C07BBE">
        <w:rPr>
          <w:i/>
        </w:rPr>
        <w:t>Actemra IV and SC can be given alone or in combination with methotrexate (MTX)</w:t>
      </w:r>
    </w:p>
    <w:p w14:paraId="0E218D6F" w14:textId="64C051B8" w:rsidR="00946D98" w:rsidRDefault="00946D98" w:rsidP="00946D98">
      <w:r>
        <w:t>Tocilizumab</w:t>
      </w:r>
      <w:r w:rsidRPr="00EA6719">
        <w:t xml:space="preserve"> is a recombinant humanised monoclonal antib</w:t>
      </w:r>
      <w:r w:rsidR="00CA4D3D">
        <w:t>ody of</w:t>
      </w:r>
      <w:r>
        <w:t xml:space="preserve"> immunoglobulin </w:t>
      </w:r>
      <w:r w:rsidR="00CA4D3D">
        <w:t>G1 (</w:t>
      </w:r>
      <w:r>
        <w:t>IgG1</w:t>
      </w:r>
      <w:r w:rsidR="00CA4D3D">
        <w:t>)</w:t>
      </w:r>
      <w:r>
        <w:t xml:space="preserve">. </w:t>
      </w:r>
      <w:r w:rsidR="00424284">
        <w:t>Tocilizumab</w:t>
      </w:r>
      <w:r w:rsidRPr="00EA6719">
        <w:t xml:space="preserve"> binds specifically to</w:t>
      </w:r>
      <w:r w:rsidR="006A2E46">
        <w:t xml:space="preserve"> the cytokine</w:t>
      </w:r>
      <w:r w:rsidRPr="00EA6719">
        <w:t xml:space="preserve"> </w:t>
      </w:r>
      <w:r w:rsidR="006A2E46">
        <w:t xml:space="preserve">interleukin-6 (IL-6) via the interleukin-6 receptor (IL-6R); binding to </w:t>
      </w:r>
      <w:r w:rsidRPr="00EA6719">
        <w:t>both soluble</w:t>
      </w:r>
      <w:r w:rsidR="006A2E46">
        <w:t xml:space="preserve"> interleukin-6 receptors (sIL-6R)</w:t>
      </w:r>
      <w:r w:rsidRPr="00EA6719">
        <w:t xml:space="preserve"> and membrane-bound </w:t>
      </w:r>
      <w:r>
        <w:t>interleukin</w:t>
      </w:r>
      <w:r w:rsidR="00FB3BF6">
        <w:noBreakHyphen/>
      </w:r>
      <w:r>
        <w:t>6</w:t>
      </w:r>
      <w:r w:rsidR="006A2E46">
        <w:t xml:space="preserve"> receptors (mIL-6R)</w:t>
      </w:r>
      <w:r>
        <w:t xml:space="preserve"> </w:t>
      </w:r>
      <w:r w:rsidRPr="00EA6719">
        <w:t xml:space="preserve">and has been shown to inhibit </w:t>
      </w:r>
      <w:r w:rsidR="006A2E46">
        <w:t xml:space="preserve">both sIL-6R and mIL-6R </w:t>
      </w:r>
      <w:r w:rsidRPr="00EA6719">
        <w:t>mediated signal</w:t>
      </w:r>
      <w:r>
        <w:t xml:space="preserve">ling. </w:t>
      </w:r>
      <w:r w:rsidRPr="00EA6719">
        <w:t>IL-6 has been implicated in the pathogenesis of inflammatory diseases,</w:t>
      </w:r>
      <w:r>
        <w:t xml:space="preserve"> including arthritis</w:t>
      </w:r>
      <w:r w:rsidRPr="00EA6719">
        <w:t>.</w:t>
      </w:r>
      <w:r>
        <w:t xml:space="preserve"> </w:t>
      </w:r>
      <w:r w:rsidRPr="00EA6719">
        <w:t xml:space="preserve">In clinical studies with </w:t>
      </w:r>
      <w:r w:rsidR="00424284">
        <w:t>tocilizumab</w:t>
      </w:r>
      <w:r w:rsidRPr="00EA6719">
        <w:t>, rapid decre</w:t>
      </w:r>
      <w:r>
        <w:t>ases in C-reactive protein (CRP)</w:t>
      </w:r>
      <w:r w:rsidR="007C3CC4">
        <w:t>;</w:t>
      </w:r>
      <w:r w:rsidR="007C3CC4">
        <w:rPr>
          <w:rStyle w:val="FootnoteReference"/>
        </w:rPr>
        <w:footnoteReference w:id="1"/>
      </w:r>
      <w:r w:rsidRPr="00EA6719">
        <w:t xml:space="preserve"> eryt</w:t>
      </w:r>
      <w:r>
        <w:t>hrocyte sedimentation rate (ESR)</w:t>
      </w:r>
      <w:r w:rsidR="003A3117">
        <w:t>;</w:t>
      </w:r>
      <w:r w:rsidR="003A3117">
        <w:rPr>
          <w:rStyle w:val="FootnoteReference"/>
        </w:rPr>
        <w:footnoteReference w:id="2"/>
      </w:r>
      <w:r w:rsidRPr="00EA6719">
        <w:t xml:space="preserve"> and serum amyloid A</w:t>
      </w:r>
      <w:r w:rsidR="00A616CB">
        <w:t>;</w:t>
      </w:r>
      <w:r w:rsidR="00A616CB">
        <w:rPr>
          <w:rStyle w:val="FootnoteReference"/>
        </w:rPr>
        <w:footnoteReference w:id="3"/>
      </w:r>
      <w:r w:rsidRPr="00EA6719">
        <w:t xml:space="preserve"> were observed.</w:t>
      </w:r>
    </w:p>
    <w:p w14:paraId="3CA2E93C" w14:textId="40EA8878" w:rsidR="00946D98" w:rsidRPr="00F809BE" w:rsidRDefault="00946D98" w:rsidP="000802D3">
      <w:pPr>
        <w:pStyle w:val="Heading4"/>
      </w:pPr>
      <w:r w:rsidRPr="00F809BE">
        <w:lastRenderedPageBreak/>
        <w:t xml:space="preserve">Condition </w:t>
      </w:r>
      <w:r w:rsidR="004120BA">
        <w:t>b</w:t>
      </w:r>
      <w:r w:rsidRPr="00F809BE">
        <w:t xml:space="preserve">eing </w:t>
      </w:r>
      <w:r w:rsidR="004120BA">
        <w:t>t</w:t>
      </w:r>
      <w:r w:rsidRPr="00F809BE">
        <w:t>reated</w:t>
      </w:r>
    </w:p>
    <w:p w14:paraId="0E660A30" w14:textId="78725357" w:rsidR="00F81E42" w:rsidRDefault="00F81E42" w:rsidP="00F81E42">
      <w:r>
        <w:t xml:space="preserve">sJIA is a subset of </w:t>
      </w:r>
      <w:r w:rsidR="004120BA">
        <w:t>j</w:t>
      </w:r>
      <w:r>
        <w:t xml:space="preserve">uvenile </w:t>
      </w:r>
      <w:r w:rsidR="004120BA">
        <w:t>i</w:t>
      </w:r>
      <w:r>
        <w:t xml:space="preserve">diopathic </w:t>
      </w:r>
      <w:r w:rsidR="004120BA">
        <w:t>a</w:t>
      </w:r>
      <w:r>
        <w:t>rthritis (JIA) and accounts for 10</w:t>
      </w:r>
      <w:r w:rsidR="004120BA">
        <w:t xml:space="preserve"> to </w:t>
      </w:r>
      <w:r>
        <w:t>20% of all JIA cases. The most common manifestations of sJIA at disease onset are fever, arthritis, rash and lymphadenopathy. Other associated manifestations of sJIA include hepatosplenomegaly, splenomegaly, pericarditis and other forms of serositis and pulmonary manifestations such as pleural effusion, interstitial lung disease</w:t>
      </w:r>
      <w:r w:rsidR="00F809BE">
        <w:t>,</w:t>
      </w:r>
      <w:r>
        <w:t xml:space="preserve"> alveolar proteinosis and pulmonary hypertension. Macrophage activation syndrome is a severe, life-threatening complication of sJIA. Treatment options include </w:t>
      </w:r>
      <w:r w:rsidR="00720F3E">
        <w:rPr>
          <w:lang w:eastAsia="ja-JP"/>
        </w:rPr>
        <w:t>non-steroidal anti-inflammatory drugs</w:t>
      </w:r>
      <w:r w:rsidR="00720F3E">
        <w:t xml:space="preserve"> (</w:t>
      </w:r>
      <w:r>
        <w:t>NSAIDs</w:t>
      </w:r>
      <w:r w:rsidR="00720F3E">
        <w:t>)</w:t>
      </w:r>
      <w:r>
        <w:t>, glucocorticoids, methotrexate and biologic agents that inhibit interleukin</w:t>
      </w:r>
      <w:r w:rsidR="006454BC">
        <w:t>-1</w:t>
      </w:r>
      <w:r>
        <w:t xml:space="preserve"> (IL</w:t>
      </w:r>
      <w:r w:rsidR="002F304A">
        <w:t>-</w:t>
      </w:r>
      <w:r>
        <w:t>1</w:t>
      </w:r>
      <w:r w:rsidR="006454BC">
        <w:t>)</w:t>
      </w:r>
      <w:r>
        <w:t xml:space="preserve"> or IL-6.</w:t>
      </w:r>
    </w:p>
    <w:p w14:paraId="2BD7F516" w14:textId="77777777" w:rsidR="008E7846" w:rsidRPr="003F31A2" w:rsidRDefault="00386150" w:rsidP="008E7846">
      <w:pPr>
        <w:pStyle w:val="Heading3"/>
      </w:pPr>
      <w:bookmarkStart w:id="16" w:name="_Toc314842485"/>
      <w:bookmarkStart w:id="17" w:name="_Toc247691504"/>
      <w:bookmarkStart w:id="18" w:name="_Toc49950620"/>
      <w:r>
        <w:t>Regulatory s</w:t>
      </w:r>
      <w:r w:rsidR="008E7846">
        <w:t>tatus</w:t>
      </w:r>
      <w:bookmarkEnd w:id="16"/>
      <w:bookmarkEnd w:id="17"/>
      <w:bookmarkEnd w:id="18"/>
    </w:p>
    <w:p w14:paraId="16E204BE" w14:textId="09EDD582" w:rsidR="007A07F9" w:rsidRDefault="008772D3" w:rsidP="007A07F9">
      <w:pPr>
        <w:rPr>
          <w:lang w:eastAsia="ja-JP"/>
        </w:rPr>
      </w:pPr>
      <w:bookmarkStart w:id="19" w:name="_Toc247691505"/>
      <w:bookmarkStart w:id="20" w:name="_Toc314842486"/>
      <w:r>
        <w:t>T</w:t>
      </w:r>
      <w:r w:rsidR="00424284">
        <w:t>ocilizumab</w:t>
      </w:r>
      <w:r w:rsidR="007A07F9">
        <w:t xml:space="preserve"> is available in </w:t>
      </w:r>
      <w:r>
        <w:t>i</w:t>
      </w:r>
      <w:r w:rsidR="007A07F9">
        <w:t xml:space="preserve">ntravenous (IV) and SC forms. </w:t>
      </w:r>
      <w:r>
        <w:rPr>
          <w:lang w:eastAsia="ja-JP"/>
        </w:rPr>
        <w:t>T</w:t>
      </w:r>
      <w:r w:rsidR="00424284">
        <w:rPr>
          <w:lang w:eastAsia="ja-JP"/>
        </w:rPr>
        <w:t>ocilizumab</w:t>
      </w:r>
      <w:r w:rsidR="007A07F9">
        <w:rPr>
          <w:lang w:eastAsia="ja-JP"/>
        </w:rPr>
        <w:t xml:space="preserve"> for IV infusion was first entered onto the </w:t>
      </w:r>
      <w:r w:rsidR="006454BC">
        <w:rPr>
          <w:lang w:eastAsia="ja-JP"/>
        </w:rPr>
        <w:t>Australian Register of Therapeutic Goods (</w:t>
      </w:r>
      <w:r w:rsidR="007A07F9">
        <w:rPr>
          <w:lang w:eastAsia="ja-JP"/>
        </w:rPr>
        <w:t>ARTG</w:t>
      </w:r>
      <w:r w:rsidR="006454BC">
        <w:rPr>
          <w:lang w:eastAsia="ja-JP"/>
        </w:rPr>
        <w:t>)</w:t>
      </w:r>
      <w:r w:rsidR="007A07F9">
        <w:rPr>
          <w:lang w:eastAsia="ja-JP"/>
        </w:rPr>
        <w:t xml:space="preserve"> in Australia in 2009 for the </w:t>
      </w:r>
      <w:r w:rsidR="00CD3E40">
        <w:rPr>
          <w:lang w:eastAsia="ja-JP"/>
        </w:rPr>
        <w:t>rheumatoid arthritis (</w:t>
      </w:r>
      <w:r w:rsidR="007A07F9">
        <w:rPr>
          <w:lang w:eastAsia="ja-JP"/>
        </w:rPr>
        <w:t>RA</w:t>
      </w:r>
      <w:r w:rsidR="00CD3E40">
        <w:rPr>
          <w:lang w:eastAsia="ja-JP"/>
        </w:rPr>
        <w:t>)</w:t>
      </w:r>
      <w:r w:rsidR="007A07F9">
        <w:rPr>
          <w:lang w:eastAsia="ja-JP"/>
        </w:rPr>
        <w:t xml:space="preserve"> indication. In 2010</w:t>
      </w:r>
      <w:r>
        <w:rPr>
          <w:lang w:eastAsia="ja-JP"/>
        </w:rPr>
        <w:t>,</w:t>
      </w:r>
      <w:r w:rsidR="007A07F9">
        <w:rPr>
          <w:lang w:eastAsia="ja-JP"/>
        </w:rPr>
        <w:t xml:space="preserve"> the indication was extended to include inhibition of the progression of joint damage, as measured by X-ray, when given in combination with </w:t>
      </w:r>
      <w:r>
        <w:rPr>
          <w:lang w:eastAsia="ja-JP"/>
        </w:rPr>
        <w:t>methotrexate</w:t>
      </w:r>
      <w:r w:rsidR="007A07F9">
        <w:rPr>
          <w:lang w:eastAsia="ja-JP"/>
        </w:rPr>
        <w:t>. In 2011</w:t>
      </w:r>
      <w:r>
        <w:rPr>
          <w:lang w:eastAsia="ja-JP"/>
        </w:rPr>
        <w:t>,</w:t>
      </w:r>
      <w:r w:rsidR="007A07F9">
        <w:rPr>
          <w:lang w:eastAsia="ja-JP"/>
        </w:rPr>
        <w:t xml:space="preserve"> the indication was extended to include sJIA in patients aged ≥ 2 years and in October 2013 for patients with polyarticular JIA (pJIA) in patients aged ≥ 2 years. In 2014, the RA indications were extended to include combination use with </w:t>
      </w:r>
      <w:r w:rsidR="00274D7F">
        <w:rPr>
          <w:lang w:eastAsia="ja-JP"/>
        </w:rPr>
        <w:t xml:space="preserve">methotrexate </w:t>
      </w:r>
      <w:r w:rsidR="007A07F9">
        <w:rPr>
          <w:lang w:eastAsia="ja-JP"/>
        </w:rPr>
        <w:t xml:space="preserve">in patients not previously treated with </w:t>
      </w:r>
      <w:r>
        <w:rPr>
          <w:lang w:eastAsia="ja-JP"/>
        </w:rPr>
        <w:t>methotrexate</w:t>
      </w:r>
      <w:r w:rsidR="007A07F9">
        <w:rPr>
          <w:lang w:eastAsia="ja-JP"/>
        </w:rPr>
        <w:t>.</w:t>
      </w:r>
    </w:p>
    <w:p w14:paraId="77DCA5E4" w14:textId="0C505715" w:rsidR="007A07F9" w:rsidRDefault="007A07F9" w:rsidP="007A07F9">
      <w:pPr>
        <w:rPr>
          <w:lang w:eastAsia="ja-JP"/>
        </w:rPr>
      </w:pPr>
      <w:r>
        <w:rPr>
          <w:lang w:eastAsia="ja-JP"/>
        </w:rPr>
        <w:t>In January 2016, a 162</w:t>
      </w:r>
      <w:r w:rsidR="008772D3">
        <w:rPr>
          <w:lang w:eastAsia="ja-JP"/>
        </w:rPr>
        <w:t xml:space="preserve"> </w:t>
      </w:r>
      <w:r>
        <w:rPr>
          <w:lang w:eastAsia="ja-JP"/>
        </w:rPr>
        <w:t>mg weekly SC dosage regimen was approved for the RA indications, including approval for home-based use. In 2017</w:t>
      </w:r>
      <w:r w:rsidR="008772D3">
        <w:rPr>
          <w:lang w:eastAsia="ja-JP"/>
        </w:rPr>
        <w:t>,</w:t>
      </w:r>
      <w:r>
        <w:rPr>
          <w:lang w:eastAsia="ja-JP"/>
        </w:rPr>
        <w:t xml:space="preserve"> the indications were further extended to include giant cell arteritis (GCA), for SC use only. In November 2018, a new route of administration (SC) was approved for patients aged ≥ 2 years with pJIA.</w:t>
      </w:r>
    </w:p>
    <w:p w14:paraId="66D516DC" w14:textId="37430537" w:rsidR="007A07F9" w:rsidRDefault="007A07F9" w:rsidP="007A07F9">
      <w:pPr>
        <w:rPr>
          <w:lang w:eastAsia="ja-JP"/>
        </w:rPr>
      </w:pPr>
      <w:r>
        <w:rPr>
          <w:lang w:eastAsia="ja-JP"/>
        </w:rPr>
        <w:t xml:space="preserve">In March 2019, </w:t>
      </w:r>
      <w:r w:rsidRPr="00441705">
        <w:rPr>
          <w:lang w:eastAsia="ja-JP"/>
        </w:rPr>
        <w:t xml:space="preserve">the indications were further extended to include </w:t>
      </w:r>
      <w:r w:rsidRPr="00610FED">
        <w:rPr>
          <w:lang w:eastAsia="ja-JP"/>
        </w:rPr>
        <w:t>the treatment of chimeric antigen receptor (CAR) T cell-induced severe or life-threatening</w:t>
      </w:r>
      <w:r>
        <w:rPr>
          <w:lang w:eastAsia="ja-JP"/>
        </w:rPr>
        <w:t xml:space="preserve"> </w:t>
      </w:r>
      <w:r w:rsidRPr="00610FED">
        <w:rPr>
          <w:lang w:eastAsia="ja-JP"/>
        </w:rPr>
        <w:t xml:space="preserve">cytokine release syndrome </w:t>
      </w:r>
      <w:r w:rsidRPr="00441705">
        <w:rPr>
          <w:lang w:eastAsia="ja-JP"/>
        </w:rPr>
        <w:t>(</w:t>
      </w:r>
      <w:r>
        <w:rPr>
          <w:lang w:eastAsia="ja-JP"/>
        </w:rPr>
        <w:t>CRS</w:t>
      </w:r>
      <w:r w:rsidRPr="00441705">
        <w:rPr>
          <w:lang w:eastAsia="ja-JP"/>
        </w:rPr>
        <w:t>)</w:t>
      </w:r>
      <w:r w:rsidRPr="00610FED">
        <w:t xml:space="preserve"> </w:t>
      </w:r>
      <w:r>
        <w:t xml:space="preserve">in </w:t>
      </w:r>
      <w:r w:rsidRPr="00610FED">
        <w:rPr>
          <w:lang w:eastAsia="ja-JP"/>
        </w:rPr>
        <w:t>adults and paediatric pa</w:t>
      </w:r>
      <w:r>
        <w:rPr>
          <w:lang w:eastAsia="ja-JP"/>
        </w:rPr>
        <w:t>tients 2 years of age and older</w:t>
      </w:r>
      <w:r w:rsidRPr="00441705">
        <w:rPr>
          <w:lang w:eastAsia="ja-JP"/>
        </w:rPr>
        <w:t xml:space="preserve">, for </w:t>
      </w:r>
      <w:r>
        <w:rPr>
          <w:lang w:eastAsia="ja-JP"/>
        </w:rPr>
        <w:t>IV</w:t>
      </w:r>
      <w:r w:rsidRPr="00441705">
        <w:rPr>
          <w:lang w:eastAsia="ja-JP"/>
        </w:rPr>
        <w:t xml:space="preserve"> use only.</w:t>
      </w:r>
    </w:p>
    <w:p w14:paraId="4DE1E22A" w14:textId="77777777" w:rsidR="00AF1E3F" w:rsidRDefault="00720FB1" w:rsidP="007A07F9">
      <w:pPr>
        <w:rPr>
          <w:lang w:eastAsia="ja-JP"/>
        </w:rPr>
      </w:pPr>
      <w:r>
        <w:rPr>
          <w:lang w:eastAsia="ja-JP"/>
        </w:rPr>
        <w:t>The full indications at the time the submission was under consideration were:</w:t>
      </w:r>
    </w:p>
    <w:p w14:paraId="083A0D25" w14:textId="3C05CDA3" w:rsidR="005461A4" w:rsidRPr="0090789A" w:rsidRDefault="005461A4" w:rsidP="005461A4">
      <w:pPr>
        <w:ind w:left="720"/>
        <w:rPr>
          <w:b/>
          <w:i/>
        </w:rPr>
      </w:pPr>
      <w:r w:rsidRPr="0090789A">
        <w:rPr>
          <w:b/>
          <w:i/>
        </w:rPr>
        <w:t>Rheumatoid arthritis (IV and SC formulations)</w:t>
      </w:r>
    </w:p>
    <w:p w14:paraId="3616FFDC" w14:textId="77777777" w:rsidR="005461A4" w:rsidRPr="00916AF1" w:rsidRDefault="005461A4" w:rsidP="005461A4">
      <w:pPr>
        <w:ind w:left="720"/>
        <w:rPr>
          <w:i/>
        </w:rPr>
      </w:pPr>
      <w:r w:rsidRPr="00916AF1">
        <w:rPr>
          <w:i/>
        </w:rPr>
        <w:t>Actemra is indicated for the treatment of moderate to severe active rheumatoid arthritis (RA) in adult patients in combination with methotrexate (MTX) or other non-biological disease-modifying anti-rheumatic drugs (DMARDs) in case of either an inadequate response or intolerance to previous therapy with one or more DMARDs;</w:t>
      </w:r>
    </w:p>
    <w:p w14:paraId="2B627656" w14:textId="77777777" w:rsidR="005461A4" w:rsidRPr="00916AF1" w:rsidRDefault="005461A4" w:rsidP="005461A4">
      <w:pPr>
        <w:ind w:left="720"/>
        <w:rPr>
          <w:i/>
        </w:rPr>
      </w:pPr>
      <w:r w:rsidRPr="00916AF1">
        <w:rPr>
          <w:i/>
        </w:rPr>
        <w:t>Actemra is indicated for the treatment of moderate to severe active rheumatoid arthritis in adult patients with poor prognostic factors in combination with MTX in those not previously treated with MTX;</w:t>
      </w:r>
    </w:p>
    <w:p w14:paraId="7B628BCB" w14:textId="77777777" w:rsidR="005461A4" w:rsidRPr="00916AF1" w:rsidRDefault="005461A4" w:rsidP="005461A4">
      <w:pPr>
        <w:ind w:left="720"/>
        <w:rPr>
          <w:i/>
        </w:rPr>
      </w:pPr>
      <w:r w:rsidRPr="00916AF1">
        <w:rPr>
          <w:i/>
        </w:rPr>
        <w:t>In the two groups of patients above, Actemra can be given as monotherapy in case of intolerance to MTX or where continued treatment with MTX is inappropriate;</w:t>
      </w:r>
    </w:p>
    <w:p w14:paraId="0E99E0B0" w14:textId="77777777" w:rsidR="005461A4" w:rsidRPr="00916AF1" w:rsidRDefault="005461A4" w:rsidP="005461A4">
      <w:pPr>
        <w:ind w:left="720"/>
        <w:rPr>
          <w:i/>
        </w:rPr>
      </w:pPr>
      <w:r w:rsidRPr="00916AF1">
        <w:rPr>
          <w:i/>
        </w:rPr>
        <w:t>Actemra has been shown to inhibit the progression of joint damage in adults, as measured by X-ray, when given in combination with methotrexate;</w:t>
      </w:r>
    </w:p>
    <w:p w14:paraId="404D6FD1" w14:textId="77777777" w:rsidR="005461A4" w:rsidRPr="0090789A" w:rsidRDefault="005461A4" w:rsidP="005461A4">
      <w:pPr>
        <w:ind w:left="720"/>
        <w:rPr>
          <w:b/>
          <w:i/>
        </w:rPr>
      </w:pPr>
      <w:r w:rsidRPr="0090789A">
        <w:rPr>
          <w:b/>
          <w:i/>
        </w:rPr>
        <w:t>Giant cell arteritis (SC formulation only)</w:t>
      </w:r>
    </w:p>
    <w:p w14:paraId="75C78162" w14:textId="43C21560" w:rsidR="005461A4" w:rsidRPr="0090789A" w:rsidRDefault="005461A4" w:rsidP="005461A4">
      <w:pPr>
        <w:ind w:left="720"/>
        <w:rPr>
          <w:i/>
        </w:rPr>
      </w:pPr>
      <w:r w:rsidRPr="0090789A">
        <w:rPr>
          <w:i/>
        </w:rPr>
        <w:t xml:space="preserve">Actemra is indicated for the treatment of </w:t>
      </w:r>
      <w:r w:rsidR="005D2231" w:rsidRPr="0090789A">
        <w:rPr>
          <w:i/>
        </w:rPr>
        <w:t xml:space="preserve">giant cell arteritis </w:t>
      </w:r>
      <w:r w:rsidRPr="0090789A">
        <w:rPr>
          <w:i/>
        </w:rPr>
        <w:t>(GCA) in adult patients;</w:t>
      </w:r>
    </w:p>
    <w:p w14:paraId="01BB925A" w14:textId="77777777" w:rsidR="005461A4" w:rsidRPr="0090789A" w:rsidRDefault="005461A4" w:rsidP="005461A4">
      <w:pPr>
        <w:ind w:left="720"/>
        <w:rPr>
          <w:b/>
          <w:i/>
        </w:rPr>
      </w:pPr>
      <w:r w:rsidRPr="0090789A">
        <w:rPr>
          <w:b/>
          <w:i/>
        </w:rPr>
        <w:t>Polyarticular juvenile idiopathic arthritis (IV and SC formulations)</w:t>
      </w:r>
    </w:p>
    <w:p w14:paraId="13EA4304" w14:textId="77777777" w:rsidR="005461A4" w:rsidRPr="00916AF1" w:rsidRDefault="005461A4" w:rsidP="005461A4">
      <w:pPr>
        <w:ind w:left="720"/>
        <w:rPr>
          <w:i/>
        </w:rPr>
      </w:pPr>
      <w:r w:rsidRPr="0090789A">
        <w:rPr>
          <w:i/>
        </w:rPr>
        <w:t xml:space="preserve">Actemra is indicated for the treatment of moderate to severe active polyarticular juvenile idiopathic arthritis in patients 2 years of age and older who have had an </w:t>
      </w:r>
      <w:r w:rsidRPr="0090789A">
        <w:rPr>
          <w:i/>
        </w:rPr>
        <w:lastRenderedPageBreak/>
        <w:t>inadequate response to or intolerance to methotrexate (MTX). Actemra can be given alone or in combination with MTX.</w:t>
      </w:r>
    </w:p>
    <w:p w14:paraId="341BE347" w14:textId="7CF2F8F8" w:rsidR="005461A4" w:rsidRPr="0090789A" w:rsidRDefault="005461A4" w:rsidP="005461A4">
      <w:pPr>
        <w:ind w:left="720"/>
        <w:rPr>
          <w:b/>
          <w:i/>
        </w:rPr>
      </w:pPr>
      <w:r w:rsidRPr="0090789A">
        <w:rPr>
          <w:b/>
          <w:i/>
        </w:rPr>
        <w:t xml:space="preserve">Systematic juvenile idiopathic arthritis (IV </w:t>
      </w:r>
      <w:r w:rsidR="00274D7F">
        <w:rPr>
          <w:b/>
          <w:i/>
        </w:rPr>
        <w:t>formulation only</w:t>
      </w:r>
      <w:r w:rsidRPr="0090789A">
        <w:rPr>
          <w:b/>
          <w:i/>
        </w:rPr>
        <w:t>)</w:t>
      </w:r>
    </w:p>
    <w:p w14:paraId="28286E9C" w14:textId="1F20A179" w:rsidR="005461A4" w:rsidRDefault="005461A4" w:rsidP="00733014">
      <w:pPr>
        <w:ind w:left="720"/>
        <w:rPr>
          <w:i/>
        </w:rPr>
      </w:pPr>
      <w:r w:rsidRPr="0090789A">
        <w:rPr>
          <w:i/>
        </w:rPr>
        <w:t>Actemra is indicated for the treatment of active systemic juvenile idiopathic arthritis in pat</w:t>
      </w:r>
      <w:r w:rsidR="00274D7F">
        <w:rPr>
          <w:i/>
        </w:rPr>
        <w:t xml:space="preserve">ients 2 years of age and older. </w:t>
      </w:r>
      <w:r w:rsidRPr="0090789A">
        <w:rPr>
          <w:i/>
        </w:rPr>
        <w:t>Actemra can be given alone or in combination with methotrexate (MTX)</w:t>
      </w:r>
      <w:r w:rsidR="00274D7F">
        <w:rPr>
          <w:i/>
        </w:rPr>
        <w:t>.</w:t>
      </w:r>
    </w:p>
    <w:p w14:paraId="1CE6A573" w14:textId="2FB68382" w:rsidR="00AD7350" w:rsidRPr="00AD7350" w:rsidRDefault="00AD7350" w:rsidP="00AD7350">
      <w:pPr>
        <w:ind w:left="720"/>
        <w:rPr>
          <w:b/>
          <w:i/>
        </w:rPr>
      </w:pPr>
      <w:r w:rsidRPr="00AD7350">
        <w:rPr>
          <w:b/>
          <w:i/>
        </w:rPr>
        <w:t>Cytokine release syndrome (CRS) (IV formulation only)</w:t>
      </w:r>
    </w:p>
    <w:p w14:paraId="41DF7068" w14:textId="2E8F62E2" w:rsidR="00AD7350" w:rsidRPr="00733014" w:rsidRDefault="00AD7350" w:rsidP="00AD7350">
      <w:pPr>
        <w:ind w:left="720"/>
        <w:rPr>
          <w:i/>
        </w:rPr>
      </w:pPr>
      <w:r w:rsidRPr="00AD7350">
        <w:rPr>
          <w:i/>
        </w:rPr>
        <w:t>Actemra is indicated for the treatment of chimeric antige</w:t>
      </w:r>
      <w:r>
        <w:rPr>
          <w:i/>
        </w:rPr>
        <w:t xml:space="preserve">n receptor (CAR) T cell-induced </w:t>
      </w:r>
      <w:r w:rsidRPr="00AD7350">
        <w:rPr>
          <w:i/>
        </w:rPr>
        <w:t>severe or life-threatening cytokine release syndrome</w:t>
      </w:r>
      <w:r>
        <w:rPr>
          <w:i/>
        </w:rPr>
        <w:t xml:space="preserve"> (CRS) in adults and paediatric </w:t>
      </w:r>
      <w:r w:rsidRPr="00AD7350">
        <w:rPr>
          <w:i/>
        </w:rPr>
        <w:t>patients 2 years of age and older.</w:t>
      </w:r>
    </w:p>
    <w:p w14:paraId="17DAD9A7" w14:textId="5D553BE2" w:rsidR="009667AD" w:rsidRDefault="00940A89" w:rsidP="009667AD">
      <w:pPr>
        <w:rPr>
          <w:lang w:val="en-US"/>
        </w:rPr>
      </w:pPr>
      <w:r w:rsidRPr="00940A89">
        <w:t>At the time the TGA considered this application, similar application</w:t>
      </w:r>
      <w:r w:rsidR="009667AD">
        <w:t>s</w:t>
      </w:r>
      <w:r w:rsidRPr="00940A89">
        <w:t xml:space="preserve"> had been approved </w:t>
      </w:r>
      <w:r w:rsidR="009667AD">
        <w:t xml:space="preserve">in the </w:t>
      </w:r>
      <w:r w:rsidR="008772D3">
        <w:t>European Union (</w:t>
      </w:r>
      <w:r w:rsidR="009667AD">
        <w:t>EU</w:t>
      </w:r>
      <w:r w:rsidR="008772D3">
        <w:t>)</w:t>
      </w:r>
      <w:r w:rsidR="009667AD">
        <w:t xml:space="preserve">, </w:t>
      </w:r>
      <w:r w:rsidR="008772D3">
        <w:t>United States (</w:t>
      </w:r>
      <w:r w:rsidR="009667AD">
        <w:t>US</w:t>
      </w:r>
      <w:r w:rsidR="008772D3">
        <w:t>)</w:t>
      </w:r>
      <w:r w:rsidR="009667AD">
        <w:t xml:space="preserve">, and Canada. </w:t>
      </w:r>
      <w:r w:rsidR="009667AD">
        <w:rPr>
          <w:lang w:val="en-US"/>
        </w:rPr>
        <w:t xml:space="preserve">The extension of indication for SC </w:t>
      </w:r>
      <w:r w:rsidR="00424284">
        <w:rPr>
          <w:lang w:val="en-US"/>
        </w:rPr>
        <w:t>tocilizumab</w:t>
      </w:r>
      <w:r w:rsidR="009667AD">
        <w:rPr>
          <w:lang w:val="en-US"/>
        </w:rPr>
        <w:t xml:space="preserve"> (pre-filled syringe) to include the treatment of active sJIA in patients 1 year of age and older, weighing at least 10 kg was approved in the EU on 29 October 2018. The </w:t>
      </w:r>
      <w:r w:rsidR="008772D3">
        <w:rPr>
          <w:lang w:val="en-US"/>
        </w:rPr>
        <w:t>Food and Drug Administration (</w:t>
      </w:r>
      <w:r w:rsidR="009667AD">
        <w:rPr>
          <w:lang w:val="en-US"/>
        </w:rPr>
        <w:t>FDA</w:t>
      </w:r>
      <w:r w:rsidR="008772D3">
        <w:rPr>
          <w:lang w:val="en-US"/>
        </w:rPr>
        <w:t>)</w:t>
      </w:r>
      <w:r w:rsidR="009667AD">
        <w:rPr>
          <w:lang w:val="en-US"/>
        </w:rPr>
        <w:t xml:space="preserve"> approved SC tocilizumab for use in sJIA patients on 13 September 2018 but did not lower the age limit from 2 years to 1 year of age. </w:t>
      </w:r>
      <w:r w:rsidR="00985EE2">
        <w:rPr>
          <w:lang w:val="en-US"/>
        </w:rPr>
        <w:t>On 21 March 2019</w:t>
      </w:r>
      <w:r w:rsidR="008772D3">
        <w:rPr>
          <w:lang w:val="en-US"/>
        </w:rPr>
        <w:t>,</w:t>
      </w:r>
      <w:r w:rsidR="00985EE2">
        <w:rPr>
          <w:lang w:val="en-US"/>
        </w:rPr>
        <w:t xml:space="preserve"> </w:t>
      </w:r>
      <w:r w:rsidR="009667AD">
        <w:rPr>
          <w:lang w:val="en-US"/>
        </w:rPr>
        <w:t>Health Canada approved the following indication for both the IV and SC formulations of tocilizumab:</w:t>
      </w:r>
    </w:p>
    <w:p w14:paraId="41DCAC71" w14:textId="29E73F4B" w:rsidR="009667AD" w:rsidRPr="00733014" w:rsidRDefault="009667AD" w:rsidP="00733014">
      <w:pPr>
        <w:ind w:left="720"/>
        <w:rPr>
          <w:i/>
          <w:lang w:val="en-US"/>
        </w:rPr>
      </w:pPr>
      <w:r w:rsidRPr="00733014">
        <w:rPr>
          <w:i/>
        </w:rPr>
        <w:t>A</w:t>
      </w:r>
      <w:r w:rsidR="00E33152" w:rsidRPr="00733014">
        <w:rPr>
          <w:i/>
        </w:rPr>
        <w:t>ctemra</w:t>
      </w:r>
      <w:r w:rsidRPr="00733014">
        <w:rPr>
          <w:i/>
        </w:rPr>
        <w:t xml:space="preserve"> is indicated for the treatment of active systemic juvenile idiopathic arthritis in patients 2 years of age and older, who have responded inadequately to previous therapy with one or more non-steroidal anti-inflammatory drugs and systemic corticosteroids.</w:t>
      </w:r>
    </w:p>
    <w:p w14:paraId="49D03D8C" w14:textId="559B1803" w:rsidR="008E7846" w:rsidRDefault="008E7846" w:rsidP="00940A89">
      <w:pPr>
        <w:pStyle w:val="Heading3"/>
      </w:pPr>
      <w:bookmarkStart w:id="21" w:name="_Toc49950621"/>
      <w:r>
        <w:t>Product Information</w:t>
      </w:r>
      <w:bookmarkEnd w:id="19"/>
      <w:bookmarkEnd w:id="20"/>
      <w:bookmarkEnd w:id="21"/>
    </w:p>
    <w:p w14:paraId="54D5FD2C" w14:textId="5EE1347D" w:rsidR="00940A89" w:rsidRDefault="006136D7" w:rsidP="00F71A93">
      <w:bookmarkStart w:id="22" w:name="_Toc247691506"/>
      <w:bookmarkStart w:id="23" w:name="_Toc314842487"/>
      <w:r w:rsidRPr="00940A89">
        <w:t xml:space="preserve">The Product Information (PI) </w:t>
      </w:r>
      <w:r>
        <w:t xml:space="preserve">approved with the submission which is described in </w:t>
      </w:r>
      <w:r w:rsidRPr="00940A89">
        <w:t xml:space="preserve">this AusPAR can be found as Attachment 1. For the most recent </w:t>
      </w:r>
      <w:r>
        <w:t>PI,</w:t>
      </w:r>
      <w:r w:rsidRPr="00940A89">
        <w:t xml:space="preserve"> ple</w:t>
      </w:r>
      <w:r>
        <w:t>ase refer to the TGA website</w:t>
      </w:r>
      <w:r w:rsidRPr="00441C3F">
        <w:t xml:space="preserve"> at </w:t>
      </w:r>
      <w:r w:rsidR="00441C3F" w:rsidRPr="00441C3F">
        <w:t>&lt;</w:t>
      </w:r>
      <w:hyperlink r:id="rId13" w:history="1">
        <w:r w:rsidR="00441C3F" w:rsidRPr="00441C3F">
          <w:rPr>
            <w:rStyle w:val="Hyperlink"/>
          </w:rPr>
          <w:t>https://www.tga.gov.au/product-information-pi</w:t>
        </w:r>
      </w:hyperlink>
      <w:r w:rsidR="00441C3F">
        <w:t>&gt;</w:t>
      </w:r>
      <w:r w:rsidR="00940A89" w:rsidRPr="00940A89">
        <w:t>.</w:t>
      </w:r>
    </w:p>
    <w:p w14:paraId="305E6E9B" w14:textId="2773F332" w:rsidR="00500337" w:rsidRDefault="00500337" w:rsidP="00500337">
      <w:pPr>
        <w:pStyle w:val="Heading2"/>
      </w:pPr>
      <w:bookmarkStart w:id="24" w:name="_Toc504480011"/>
      <w:bookmarkStart w:id="25" w:name="_Toc49950622"/>
      <w:r>
        <w:t>II. Registration timeline</w:t>
      </w:r>
      <w:bookmarkEnd w:id="24"/>
      <w:bookmarkEnd w:id="25"/>
    </w:p>
    <w:p w14:paraId="31C6002F" w14:textId="3F632E7F" w:rsidR="00500337" w:rsidRDefault="0005292A" w:rsidP="00500337">
      <w:r>
        <w:fldChar w:fldCharType="begin"/>
      </w:r>
      <w:r>
        <w:instrText xml:space="preserve"> REF _Ref43123496 \h </w:instrText>
      </w:r>
      <w:r>
        <w:fldChar w:fldCharType="separate"/>
      </w:r>
      <w:r w:rsidR="002E7174">
        <w:t xml:space="preserve">Table </w:t>
      </w:r>
      <w:r w:rsidR="002E7174">
        <w:rPr>
          <w:noProof/>
        </w:rPr>
        <w:t>1</w:t>
      </w:r>
      <w:r>
        <w:fldChar w:fldCharType="end"/>
      </w:r>
      <w:r>
        <w:t xml:space="preserve"> </w:t>
      </w:r>
      <w:r w:rsidR="00500337">
        <w:t>captures the key steps and dates for this application and which are detailed and discussed in this AusPAR.</w:t>
      </w:r>
    </w:p>
    <w:p w14:paraId="1401D6AE" w14:textId="6990C0ED" w:rsidR="006A58A8" w:rsidRPr="006A58A8" w:rsidRDefault="0005292A" w:rsidP="0005292A">
      <w:pPr>
        <w:pStyle w:val="TableTitle"/>
      </w:pPr>
      <w:bookmarkStart w:id="26" w:name="_Ref43123496"/>
      <w:r>
        <w:t xml:space="preserve">Table </w:t>
      </w:r>
      <w:fldSimple w:instr=" SEQ Table \* ARABIC ">
        <w:r w:rsidR="002E7174">
          <w:rPr>
            <w:noProof/>
          </w:rPr>
          <w:t>1</w:t>
        </w:r>
      </w:fldSimple>
      <w:bookmarkEnd w:id="26"/>
      <w:r>
        <w:t>:</w:t>
      </w:r>
      <w:r w:rsidR="006A58A8" w:rsidRPr="006A58A8">
        <w:t xml:space="preserve"> Timeline for Submission PM-201</w:t>
      </w:r>
      <w:r w:rsidR="00831567">
        <w:t>8</w:t>
      </w:r>
      <w:r w:rsidR="006A58A8" w:rsidRPr="006A58A8">
        <w:t>-</w:t>
      </w:r>
      <w:r w:rsidR="00831567">
        <w:t>05341</w:t>
      </w:r>
      <w:r w:rsidR="006A58A8" w:rsidRPr="006A58A8">
        <w:t>-1-</w:t>
      </w:r>
      <w:r w:rsidR="00831567">
        <w:t>3</w:t>
      </w:r>
    </w:p>
    <w:tbl>
      <w:tblPr>
        <w:tblStyle w:val="TableTGAblue"/>
        <w:tblW w:w="0" w:type="auto"/>
        <w:tblLook w:val="04A0" w:firstRow="1" w:lastRow="0" w:firstColumn="1" w:lastColumn="0" w:noHBand="0" w:noVBand="1"/>
        <w:tblCaption w:val="Table 1: Timeline for Submission PM-2018-05341-1-3"/>
      </w:tblPr>
      <w:tblGrid>
        <w:gridCol w:w="4249"/>
        <w:gridCol w:w="4235"/>
      </w:tblGrid>
      <w:tr w:rsidR="00500337" w14:paraId="6747FDA5" w14:textId="77777777" w:rsidTr="00500337">
        <w:trPr>
          <w:cnfStyle w:val="100000000000" w:firstRow="1" w:lastRow="0" w:firstColumn="0" w:lastColumn="0" w:oddVBand="0" w:evenVBand="0" w:oddHBand="0" w:evenHBand="0" w:firstRowFirstColumn="0" w:firstRowLastColumn="0" w:lastRowFirstColumn="0" w:lastRowLastColumn="0"/>
          <w:cantSplit/>
        </w:trPr>
        <w:tc>
          <w:tcPr>
            <w:tcW w:w="4360" w:type="dxa"/>
          </w:tcPr>
          <w:p w14:paraId="25958F41" w14:textId="77777777" w:rsidR="00500337" w:rsidRDefault="00500337" w:rsidP="00500337">
            <w:pPr>
              <w:ind w:left="0" w:right="0"/>
            </w:pPr>
            <w:r>
              <w:t>Description</w:t>
            </w:r>
          </w:p>
        </w:tc>
        <w:tc>
          <w:tcPr>
            <w:tcW w:w="4360" w:type="dxa"/>
          </w:tcPr>
          <w:p w14:paraId="75A5735F" w14:textId="77777777" w:rsidR="00500337" w:rsidRDefault="00500337" w:rsidP="00500337">
            <w:pPr>
              <w:ind w:left="0" w:right="0"/>
            </w:pPr>
            <w:r>
              <w:t>Date</w:t>
            </w:r>
          </w:p>
        </w:tc>
      </w:tr>
      <w:tr w:rsidR="00500337" w14:paraId="12B8B989" w14:textId="77777777" w:rsidTr="00500337">
        <w:tc>
          <w:tcPr>
            <w:tcW w:w="4360" w:type="dxa"/>
          </w:tcPr>
          <w:p w14:paraId="4FDA7FC7" w14:textId="77777777" w:rsidR="00500337" w:rsidRDefault="00500337" w:rsidP="00500337">
            <w:pPr>
              <w:ind w:left="0" w:right="0"/>
            </w:pPr>
            <w:r>
              <w:t>Submission dossier accepted and first round evaluation commenced</w:t>
            </w:r>
          </w:p>
        </w:tc>
        <w:tc>
          <w:tcPr>
            <w:tcW w:w="4360" w:type="dxa"/>
          </w:tcPr>
          <w:p w14:paraId="0C64D129" w14:textId="7B94EEB5" w:rsidR="00500337" w:rsidRDefault="00831567" w:rsidP="00A8015A">
            <w:pPr>
              <w:ind w:left="0" w:right="0"/>
            </w:pPr>
            <w:r>
              <w:t>22</w:t>
            </w:r>
            <w:r w:rsidR="00A8015A">
              <w:t xml:space="preserve"> February </w:t>
            </w:r>
            <w:r>
              <w:t>2019</w:t>
            </w:r>
          </w:p>
        </w:tc>
      </w:tr>
      <w:tr w:rsidR="00500337" w14:paraId="262ECE6C" w14:textId="77777777" w:rsidTr="00500337">
        <w:tc>
          <w:tcPr>
            <w:tcW w:w="4360" w:type="dxa"/>
          </w:tcPr>
          <w:p w14:paraId="53B2739E" w14:textId="77777777" w:rsidR="00500337" w:rsidRDefault="00500337" w:rsidP="00500337">
            <w:pPr>
              <w:ind w:left="0" w:right="0"/>
            </w:pPr>
            <w:r>
              <w:t>First round evaluation completed</w:t>
            </w:r>
          </w:p>
        </w:tc>
        <w:tc>
          <w:tcPr>
            <w:tcW w:w="4360" w:type="dxa"/>
          </w:tcPr>
          <w:p w14:paraId="000A4CBE" w14:textId="1B9697FB" w:rsidR="00500337" w:rsidRDefault="00831567" w:rsidP="00A8015A">
            <w:pPr>
              <w:ind w:left="0" w:right="0"/>
            </w:pPr>
            <w:r>
              <w:t>1</w:t>
            </w:r>
            <w:r w:rsidR="00A8015A">
              <w:t xml:space="preserve"> July </w:t>
            </w:r>
            <w:r>
              <w:t>2019</w:t>
            </w:r>
          </w:p>
        </w:tc>
      </w:tr>
      <w:tr w:rsidR="00500337" w14:paraId="69D30EBB" w14:textId="77777777" w:rsidTr="00500337">
        <w:tc>
          <w:tcPr>
            <w:tcW w:w="4360" w:type="dxa"/>
          </w:tcPr>
          <w:p w14:paraId="6CB1BDF4" w14:textId="77777777" w:rsidR="00500337" w:rsidRDefault="00500337" w:rsidP="00500337">
            <w:pPr>
              <w:ind w:left="0" w:right="0"/>
            </w:pPr>
            <w:r>
              <w:t>Sponsor provides responses on questions raised in first round evaluation</w:t>
            </w:r>
          </w:p>
        </w:tc>
        <w:tc>
          <w:tcPr>
            <w:tcW w:w="4360" w:type="dxa"/>
          </w:tcPr>
          <w:p w14:paraId="79D1345F" w14:textId="7B514655" w:rsidR="00500337" w:rsidRDefault="00831567" w:rsidP="00A8015A">
            <w:pPr>
              <w:ind w:left="0" w:right="0"/>
            </w:pPr>
            <w:r>
              <w:t>30</w:t>
            </w:r>
            <w:r w:rsidR="00A8015A">
              <w:t xml:space="preserve"> July </w:t>
            </w:r>
            <w:r>
              <w:t>2019</w:t>
            </w:r>
          </w:p>
        </w:tc>
      </w:tr>
      <w:tr w:rsidR="00500337" w14:paraId="3A6C1067" w14:textId="77777777" w:rsidTr="00500337">
        <w:tc>
          <w:tcPr>
            <w:tcW w:w="4360" w:type="dxa"/>
          </w:tcPr>
          <w:p w14:paraId="60E8FD44" w14:textId="77777777" w:rsidR="00500337" w:rsidRDefault="00500337" w:rsidP="00500337">
            <w:pPr>
              <w:ind w:left="0" w:right="0"/>
            </w:pPr>
            <w:r>
              <w:t>Second round evaluation completed</w:t>
            </w:r>
          </w:p>
        </w:tc>
        <w:tc>
          <w:tcPr>
            <w:tcW w:w="4360" w:type="dxa"/>
          </w:tcPr>
          <w:p w14:paraId="6548F1AB" w14:textId="78041606" w:rsidR="00500337" w:rsidRDefault="00831567" w:rsidP="00A8015A">
            <w:pPr>
              <w:ind w:left="0" w:right="0"/>
            </w:pPr>
            <w:r>
              <w:t>13</w:t>
            </w:r>
            <w:r w:rsidR="00A8015A">
              <w:t xml:space="preserve"> September </w:t>
            </w:r>
            <w:r>
              <w:t>2019</w:t>
            </w:r>
          </w:p>
        </w:tc>
      </w:tr>
      <w:tr w:rsidR="00500337" w14:paraId="440B07F4" w14:textId="77777777" w:rsidTr="00500337">
        <w:tc>
          <w:tcPr>
            <w:tcW w:w="4360" w:type="dxa"/>
          </w:tcPr>
          <w:p w14:paraId="5EBE0CBE" w14:textId="77777777" w:rsidR="00500337" w:rsidRDefault="00500337" w:rsidP="00500337">
            <w:pPr>
              <w:ind w:left="0" w:right="0"/>
            </w:pPr>
            <w:r>
              <w:lastRenderedPageBreak/>
              <w:t>Delegate’s Overall benefit-risk assessment and request for Advisory Committee advice</w:t>
            </w:r>
          </w:p>
        </w:tc>
        <w:tc>
          <w:tcPr>
            <w:tcW w:w="4360" w:type="dxa"/>
          </w:tcPr>
          <w:p w14:paraId="3BFBC03F" w14:textId="4FCDDACA" w:rsidR="00500337" w:rsidRDefault="001D4A35" w:rsidP="00A8015A">
            <w:pPr>
              <w:ind w:left="0" w:right="0"/>
            </w:pPr>
            <w:r>
              <w:t>19</w:t>
            </w:r>
            <w:r w:rsidR="00A8015A">
              <w:t xml:space="preserve"> December </w:t>
            </w:r>
            <w:r>
              <w:t>2019</w:t>
            </w:r>
          </w:p>
        </w:tc>
      </w:tr>
      <w:tr w:rsidR="00500337" w14:paraId="600C29BB" w14:textId="77777777" w:rsidTr="00500337">
        <w:tc>
          <w:tcPr>
            <w:tcW w:w="4360" w:type="dxa"/>
          </w:tcPr>
          <w:p w14:paraId="763CF806" w14:textId="77777777" w:rsidR="00500337" w:rsidRDefault="00500337" w:rsidP="00500337">
            <w:pPr>
              <w:ind w:left="0" w:right="0"/>
            </w:pPr>
            <w:r>
              <w:t>Sponsor’s pre-Advisory Committee response</w:t>
            </w:r>
          </w:p>
        </w:tc>
        <w:tc>
          <w:tcPr>
            <w:tcW w:w="4360" w:type="dxa"/>
          </w:tcPr>
          <w:p w14:paraId="1C03FCF6" w14:textId="274F65E7" w:rsidR="00500337" w:rsidRDefault="005D340A" w:rsidP="00A8015A">
            <w:pPr>
              <w:ind w:left="0" w:right="0"/>
            </w:pPr>
            <w:r>
              <w:t>21</w:t>
            </w:r>
            <w:r w:rsidR="00A8015A">
              <w:t xml:space="preserve"> January </w:t>
            </w:r>
            <w:r>
              <w:t>2019</w:t>
            </w:r>
          </w:p>
        </w:tc>
      </w:tr>
      <w:tr w:rsidR="00500337" w14:paraId="4A406EB2" w14:textId="77777777" w:rsidTr="00500337">
        <w:tc>
          <w:tcPr>
            <w:tcW w:w="4360" w:type="dxa"/>
          </w:tcPr>
          <w:p w14:paraId="4DA9C5E5" w14:textId="77777777" w:rsidR="00500337" w:rsidRDefault="00500337" w:rsidP="00500337">
            <w:pPr>
              <w:ind w:left="0" w:right="0"/>
            </w:pPr>
            <w:r>
              <w:t>Advisory Committee meeting</w:t>
            </w:r>
          </w:p>
        </w:tc>
        <w:tc>
          <w:tcPr>
            <w:tcW w:w="4360" w:type="dxa"/>
          </w:tcPr>
          <w:p w14:paraId="0519CFAA" w14:textId="2C0525B0" w:rsidR="00500337" w:rsidRDefault="00831567" w:rsidP="00A8015A">
            <w:pPr>
              <w:ind w:left="0" w:right="0"/>
            </w:pPr>
            <w:r>
              <w:t>7</w:t>
            </w:r>
            <w:r w:rsidR="00A8015A">
              <w:t xml:space="preserve"> February </w:t>
            </w:r>
            <w:r>
              <w:t>2020</w:t>
            </w:r>
          </w:p>
        </w:tc>
      </w:tr>
      <w:tr w:rsidR="00500337" w14:paraId="329A73E8" w14:textId="77777777" w:rsidTr="00500337">
        <w:tc>
          <w:tcPr>
            <w:tcW w:w="4360" w:type="dxa"/>
          </w:tcPr>
          <w:p w14:paraId="24E37683" w14:textId="77777777" w:rsidR="00500337" w:rsidRDefault="00500337" w:rsidP="00500337">
            <w:pPr>
              <w:ind w:left="0" w:right="0"/>
            </w:pPr>
            <w:r>
              <w:t>Registration decision (Outcome)</w:t>
            </w:r>
          </w:p>
        </w:tc>
        <w:tc>
          <w:tcPr>
            <w:tcW w:w="4360" w:type="dxa"/>
          </w:tcPr>
          <w:p w14:paraId="45463CE2" w14:textId="5C839173" w:rsidR="00500337" w:rsidRDefault="00831567" w:rsidP="00A8015A">
            <w:pPr>
              <w:ind w:left="0" w:right="0"/>
            </w:pPr>
            <w:r>
              <w:t>18</w:t>
            </w:r>
            <w:r w:rsidR="00A8015A">
              <w:t xml:space="preserve"> March </w:t>
            </w:r>
            <w:r>
              <w:t>2020</w:t>
            </w:r>
          </w:p>
        </w:tc>
      </w:tr>
      <w:tr w:rsidR="00500337" w14:paraId="541E0BEA" w14:textId="77777777" w:rsidTr="00500337">
        <w:tc>
          <w:tcPr>
            <w:tcW w:w="4360" w:type="dxa"/>
          </w:tcPr>
          <w:p w14:paraId="6A5D61E5" w14:textId="77777777" w:rsidR="00500337" w:rsidRDefault="00500337" w:rsidP="00500337">
            <w:pPr>
              <w:ind w:left="0" w:right="0"/>
            </w:pPr>
            <w:r>
              <w:t>Completion of administrative activities and registration on ARTG</w:t>
            </w:r>
          </w:p>
        </w:tc>
        <w:tc>
          <w:tcPr>
            <w:tcW w:w="4360" w:type="dxa"/>
          </w:tcPr>
          <w:p w14:paraId="1B818D7F" w14:textId="3E6FD1AD" w:rsidR="00500337" w:rsidRDefault="00831567" w:rsidP="00A8015A">
            <w:pPr>
              <w:ind w:left="0" w:right="0"/>
            </w:pPr>
            <w:r>
              <w:t>24</w:t>
            </w:r>
            <w:r w:rsidR="00A8015A">
              <w:t xml:space="preserve"> March </w:t>
            </w:r>
            <w:r>
              <w:t>2020</w:t>
            </w:r>
          </w:p>
        </w:tc>
      </w:tr>
      <w:tr w:rsidR="00500337" w14:paraId="5CFA19BA" w14:textId="77777777" w:rsidTr="00500337">
        <w:tc>
          <w:tcPr>
            <w:tcW w:w="4360" w:type="dxa"/>
          </w:tcPr>
          <w:p w14:paraId="1FBBF47D" w14:textId="77777777" w:rsidR="00500337" w:rsidRDefault="00500337" w:rsidP="00500337">
            <w:pPr>
              <w:ind w:left="0" w:right="0"/>
            </w:pPr>
            <w:r>
              <w:t>Number of working days from submission dossier acceptance to registration decision*</w:t>
            </w:r>
          </w:p>
        </w:tc>
        <w:tc>
          <w:tcPr>
            <w:tcW w:w="4360" w:type="dxa"/>
          </w:tcPr>
          <w:p w14:paraId="089F2925" w14:textId="77777777" w:rsidR="00500337" w:rsidRDefault="00831567" w:rsidP="00500337">
            <w:pPr>
              <w:ind w:left="0" w:right="0"/>
            </w:pPr>
            <w:r>
              <w:t>242</w:t>
            </w:r>
          </w:p>
        </w:tc>
      </w:tr>
    </w:tbl>
    <w:p w14:paraId="01B9D1A3" w14:textId="77777777" w:rsidR="00500337" w:rsidRDefault="00500337" w:rsidP="00500337">
      <w:pPr>
        <w:pStyle w:val="TableDescription"/>
      </w:pPr>
      <w:r>
        <w:t>*</w:t>
      </w:r>
      <w:r w:rsidR="00BF3774" w:rsidRPr="00BF3774">
        <w:t xml:space="preserve">Statutory </w:t>
      </w:r>
      <w:r>
        <w:t>timeframe for standard applications is 2</w:t>
      </w:r>
      <w:r w:rsidR="00BF3774">
        <w:t>55</w:t>
      </w:r>
      <w:r>
        <w:t xml:space="preserve"> working days</w:t>
      </w:r>
    </w:p>
    <w:p w14:paraId="50ABFE41" w14:textId="77777777" w:rsidR="008E7846" w:rsidRPr="00792A32" w:rsidRDefault="00456765" w:rsidP="008E7846">
      <w:pPr>
        <w:pStyle w:val="Heading2"/>
      </w:pPr>
      <w:bookmarkStart w:id="27" w:name="_Toc196046504"/>
      <w:bookmarkStart w:id="28" w:name="_Toc247691527"/>
      <w:bookmarkStart w:id="29" w:name="_Toc314842510"/>
      <w:bookmarkStart w:id="30" w:name="_Toc163441390"/>
      <w:bookmarkStart w:id="31" w:name="_Toc49950623"/>
      <w:bookmarkEnd w:id="22"/>
      <w:bookmarkEnd w:id="23"/>
      <w:bookmarkEnd w:id="1"/>
      <w:r>
        <w:t>I</w:t>
      </w:r>
      <w:r w:rsidR="00DA64CB">
        <w:t>I</w:t>
      </w:r>
      <w:r w:rsidR="008E7846">
        <w:t xml:space="preserve">I. </w:t>
      </w:r>
      <w:r w:rsidR="00CD2D2E">
        <w:t>Submission overview</w:t>
      </w:r>
      <w:r w:rsidR="008E7846" w:rsidRPr="00792A32">
        <w:t xml:space="preserve"> and </w:t>
      </w:r>
      <w:r w:rsidR="008E7846">
        <w:t>r</w:t>
      </w:r>
      <w:r w:rsidR="008E7846" w:rsidRPr="00792A32">
        <w:t>isk/</w:t>
      </w:r>
      <w:r w:rsidR="008E7846">
        <w:t>b</w:t>
      </w:r>
      <w:r w:rsidR="008E7846" w:rsidRPr="00792A32">
        <w:t xml:space="preserve">enefit </w:t>
      </w:r>
      <w:r w:rsidR="008E7846">
        <w:t>a</w:t>
      </w:r>
      <w:r w:rsidR="008E7846" w:rsidRPr="00792A32">
        <w:t>ssessment</w:t>
      </w:r>
      <w:bookmarkEnd w:id="27"/>
      <w:bookmarkEnd w:id="28"/>
      <w:bookmarkEnd w:id="29"/>
      <w:bookmarkEnd w:id="31"/>
    </w:p>
    <w:p w14:paraId="7145EB9D" w14:textId="62CBBF13" w:rsidR="008E7846" w:rsidRDefault="008E7846" w:rsidP="008E7846">
      <w:bookmarkStart w:id="32" w:name="_Toc247691528"/>
      <w:r>
        <w:t xml:space="preserve">The submission was summarised in the following </w:t>
      </w:r>
      <w:r w:rsidRPr="00EF5C48">
        <w:t xml:space="preserve">Delegate’s </w:t>
      </w:r>
      <w:r>
        <w:t>overview</w:t>
      </w:r>
      <w:r w:rsidRPr="00EF5C48">
        <w:t xml:space="preserve"> and recommendation</w:t>
      </w:r>
      <w:r>
        <w:t>s</w:t>
      </w:r>
      <w:r w:rsidR="0005292A">
        <w:t>.</w:t>
      </w:r>
    </w:p>
    <w:p w14:paraId="226CDB60" w14:textId="77777777" w:rsidR="008E7846" w:rsidRDefault="008E7846" w:rsidP="008E7846">
      <w:pPr>
        <w:pStyle w:val="Heading3"/>
      </w:pPr>
      <w:bookmarkStart w:id="33" w:name="_Toc314842511"/>
      <w:bookmarkStart w:id="34" w:name="_Toc49950624"/>
      <w:r>
        <w:t>Quality</w:t>
      </w:r>
      <w:bookmarkEnd w:id="32"/>
      <w:bookmarkEnd w:id="33"/>
      <w:bookmarkEnd w:id="34"/>
    </w:p>
    <w:p w14:paraId="4528B6BC" w14:textId="77777777" w:rsidR="00E45619" w:rsidRDefault="008E7846" w:rsidP="003A7F6C">
      <w:r>
        <w:t>There was no requirement for a quality evaluation in a submission of this type.</w:t>
      </w:r>
    </w:p>
    <w:p w14:paraId="45F7215D" w14:textId="77777777" w:rsidR="008E7846" w:rsidRDefault="008E7846" w:rsidP="008E7846">
      <w:pPr>
        <w:pStyle w:val="Heading3"/>
      </w:pPr>
      <w:bookmarkStart w:id="35" w:name="_Toc314842512"/>
      <w:bookmarkStart w:id="36" w:name="_Toc49950625"/>
      <w:r>
        <w:t>Nonclinical</w:t>
      </w:r>
      <w:bookmarkEnd w:id="35"/>
      <w:bookmarkEnd w:id="36"/>
    </w:p>
    <w:p w14:paraId="34C7C92C" w14:textId="77777777" w:rsidR="008E7846" w:rsidRDefault="008E7846" w:rsidP="008E7846">
      <w:r>
        <w:t>There was no requirement for a nonclinical evaluation in a submission of this type.</w:t>
      </w:r>
    </w:p>
    <w:p w14:paraId="6F7D7566" w14:textId="77777777" w:rsidR="008E7846" w:rsidRDefault="008E7846" w:rsidP="008E7846">
      <w:pPr>
        <w:pStyle w:val="Heading3"/>
      </w:pPr>
      <w:bookmarkStart w:id="37" w:name="_Toc247691530"/>
      <w:bookmarkStart w:id="38" w:name="_Toc314842513"/>
      <w:bookmarkStart w:id="39" w:name="_Toc49950626"/>
      <w:r>
        <w:t>Clinical</w:t>
      </w:r>
      <w:bookmarkEnd w:id="37"/>
      <w:bookmarkEnd w:id="38"/>
      <w:bookmarkEnd w:id="39"/>
    </w:p>
    <w:p w14:paraId="3B0DB0C8" w14:textId="50C6D141" w:rsidR="00F47D6E" w:rsidRPr="00F47D6E" w:rsidRDefault="00F47D6E" w:rsidP="00F47D6E">
      <w:pPr>
        <w:rPr>
          <w:lang w:eastAsia="ja-JP"/>
        </w:rPr>
      </w:pPr>
      <w:bookmarkStart w:id="40" w:name="_Toc314842514"/>
      <w:r w:rsidRPr="00F47D6E">
        <w:rPr>
          <w:lang w:eastAsia="ja-JP"/>
        </w:rPr>
        <w:t xml:space="preserve">The clinical dossier contained the following clinical study reports </w:t>
      </w:r>
      <w:r w:rsidR="005A236B">
        <w:rPr>
          <w:lang w:eastAsia="ja-JP"/>
        </w:rPr>
        <w:t xml:space="preserve">(CSRs) </w:t>
      </w:r>
      <w:r w:rsidRPr="00F47D6E">
        <w:rPr>
          <w:lang w:eastAsia="ja-JP"/>
        </w:rPr>
        <w:t>relevant to this application:</w:t>
      </w:r>
    </w:p>
    <w:p w14:paraId="1743C3B2" w14:textId="37E8DCDC" w:rsidR="00F47D6E" w:rsidRPr="00F47D6E" w:rsidRDefault="00F47D6E" w:rsidP="00F47D6E">
      <w:pPr>
        <w:numPr>
          <w:ilvl w:val="0"/>
          <w:numId w:val="3"/>
        </w:numPr>
        <w:rPr>
          <w:bCs/>
          <w:lang w:eastAsia="ja-JP"/>
        </w:rPr>
      </w:pPr>
      <w:r w:rsidRPr="00F47D6E">
        <w:rPr>
          <w:bCs/>
          <w:lang w:eastAsia="ja-JP"/>
        </w:rPr>
        <w:t xml:space="preserve">Population </w:t>
      </w:r>
      <w:r w:rsidR="00FD3C85" w:rsidRPr="00F47D6E">
        <w:rPr>
          <w:bCs/>
          <w:lang w:eastAsia="ja-JP"/>
        </w:rPr>
        <w:t xml:space="preserve">pharmacokinetic </w:t>
      </w:r>
      <w:r w:rsidR="00FD3C85">
        <w:rPr>
          <w:bCs/>
          <w:lang w:eastAsia="ja-JP"/>
        </w:rPr>
        <w:t xml:space="preserve">(popPK) </w:t>
      </w:r>
      <w:r w:rsidR="00FD3C85" w:rsidRPr="00F47D6E">
        <w:rPr>
          <w:bCs/>
          <w:lang w:eastAsia="ja-JP"/>
        </w:rPr>
        <w:t>and pharmacokinetic-pharmacodynamic</w:t>
      </w:r>
      <w:r w:rsidR="00FD3C85">
        <w:rPr>
          <w:bCs/>
          <w:lang w:eastAsia="ja-JP"/>
        </w:rPr>
        <w:t xml:space="preserve"> (PK/PD)</w:t>
      </w:r>
      <w:r w:rsidR="00FD3C85" w:rsidRPr="00F47D6E">
        <w:rPr>
          <w:bCs/>
          <w:lang w:eastAsia="ja-JP"/>
        </w:rPr>
        <w:t xml:space="preserve"> analyses report </w:t>
      </w:r>
      <w:r w:rsidRPr="00F47D6E">
        <w:rPr>
          <w:bCs/>
          <w:lang w:eastAsia="ja-JP"/>
        </w:rPr>
        <w:t xml:space="preserve">- </w:t>
      </w:r>
      <w:r w:rsidR="00FD3C85">
        <w:rPr>
          <w:bCs/>
          <w:lang w:eastAsia="ja-JP"/>
        </w:rPr>
        <w:t>popPK</w:t>
      </w:r>
      <w:r w:rsidRPr="00F47D6E">
        <w:rPr>
          <w:bCs/>
          <w:lang w:eastAsia="ja-JP"/>
        </w:rPr>
        <w:t xml:space="preserve"> </w:t>
      </w:r>
      <w:r w:rsidR="00FD3C85" w:rsidRPr="00F47D6E">
        <w:rPr>
          <w:bCs/>
          <w:lang w:eastAsia="ja-JP"/>
        </w:rPr>
        <w:t>analysis of tocilizumab o</w:t>
      </w:r>
      <w:r w:rsidRPr="00F47D6E">
        <w:rPr>
          <w:bCs/>
          <w:lang w:eastAsia="ja-JP"/>
        </w:rPr>
        <w:t xml:space="preserve">f Studies WA19977 and WA28117 and </w:t>
      </w:r>
      <w:r w:rsidR="00FD3C85" w:rsidRPr="00F47D6E">
        <w:rPr>
          <w:bCs/>
          <w:lang w:eastAsia="ja-JP"/>
        </w:rPr>
        <w:t>graphical exposure-efficacy and -safety analyses of</w:t>
      </w:r>
      <w:r w:rsidRPr="00F47D6E">
        <w:rPr>
          <w:bCs/>
          <w:lang w:eastAsia="ja-JP"/>
        </w:rPr>
        <w:t xml:space="preserve"> Study WA28117 in </w:t>
      </w:r>
      <w:r w:rsidR="00FD3C85" w:rsidRPr="00F47D6E">
        <w:rPr>
          <w:bCs/>
          <w:lang w:eastAsia="ja-JP"/>
        </w:rPr>
        <w:t>patients with polyarticular juvenile idiopathic arthritis</w:t>
      </w:r>
      <w:r w:rsidR="00FD3C85">
        <w:rPr>
          <w:bCs/>
          <w:lang w:eastAsia="ja-JP"/>
        </w:rPr>
        <w:t>,</w:t>
      </w:r>
      <w:r w:rsidR="00FD3C85" w:rsidRPr="00F47D6E">
        <w:rPr>
          <w:bCs/>
          <w:lang w:eastAsia="ja-JP"/>
        </w:rPr>
        <w:t xml:space="preserve"> final version 14 June 2017</w:t>
      </w:r>
      <w:r w:rsidRPr="00F47D6E">
        <w:rPr>
          <w:bCs/>
          <w:lang w:eastAsia="ja-JP"/>
        </w:rPr>
        <w:t xml:space="preserve">. </w:t>
      </w:r>
      <w:r w:rsidRPr="00F47D6E">
        <w:rPr>
          <w:bCs/>
          <w:iCs/>
          <w:lang w:eastAsia="ja-JP"/>
        </w:rPr>
        <w:t>Report 1074871</w:t>
      </w:r>
      <w:r w:rsidR="002233B8">
        <w:rPr>
          <w:bCs/>
          <w:iCs/>
          <w:lang w:eastAsia="ja-JP"/>
        </w:rPr>
        <w:t>;</w:t>
      </w:r>
    </w:p>
    <w:p w14:paraId="1DB751BE" w14:textId="3A3E48B9" w:rsidR="00F47D6E" w:rsidRPr="00F47D6E" w:rsidRDefault="00FD3C85" w:rsidP="00F47D6E">
      <w:pPr>
        <w:numPr>
          <w:ilvl w:val="0"/>
          <w:numId w:val="3"/>
        </w:numPr>
        <w:rPr>
          <w:bCs/>
          <w:lang w:eastAsia="ja-JP"/>
        </w:rPr>
      </w:pPr>
      <w:r>
        <w:rPr>
          <w:bCs/>
          <w:lang w:eastAsia="ja-JP"/>
        </w:rPr>
        <w:t>PopPK</w:t>
      </w:r>
      <w:r w:rsidR="00F47D6E" w:rsidRPr="00F47D6E">
        <w:rPr>
          <w:bCs/>
          <w:lang w:eastAsia="ja-JP"/>
        </w:rPr>
        <w:t xml:space="preserve"> and PK/PD </w:t>
      </w:r>
      <w:r w:rsidRPr="00F47D6E">
        <w:rPr>
          <w:bCs/>
          <w:lang w:eastAsia="ja-JP"/>
        </w:rPr>
        <w:t>report - population pharmacokinetic analysis and exposure-efficacy and safety analyses of tocilizumab fo</w:t>
      </w:r>
      <w:r w:rsidR="00F47D6E" w:rsidRPr="00F47D6E">
        <w:rPr>
          <w:bCs/>
          <w:lang w:eastAsia="ja-JP"/>
        </w:rPr>
        <w:t xml:space="preserve">r Study WA19977 in </w:t>
      </w:r>
      <w:r w:rsidR="005A236B" w:rsidRPr="00F47D6E">
        <w:rPr>
          <w:bCs/>
          <w:lang w:eastAsia="ja-JP"/>
        </w:rPr>
        <w:t xml:space="preserve">paediatric patients with polyarticular juvenile idiopathic arthritis. </w:t>
      </w:r>
      <w:r w:rsidR="00F47D6E" w:rsidRPr="00F47D6E">
        <w:rPr>
          <w:bCs/>
          <w:iCs/>
          <w:lang w:eastAsia="ja-JP"/>
        </w:rPr>
        <w:t>Report 1049415</w:t>
      </w:r>
      <w:r w:rsidR="002233B8">
        <w:rPr>
          <w:bCs/>
          <w:iCs/>
          <w:lang w:eastAsia="ja-JP"/>
        </w:rPr>
        <w:t>;</w:t>
      </w:r>
    </w:p>
    <w:p w14:paraId="1CC7A3D7" w14:textId="787CCA55" w:rsidR="00F47D6E" w:rsidRPr="00F47D6E" w:rsidRDefault="005A236B" w:rsidP="00F47D6E">
      <w:pPr>
        <w:numPr>
          <w:ilvl w:val="0"/>
          <w:numId w:val="3"/>
        </w:numPr>
        <w:rPr>
          <w:lang w:eastAsia="ja-JP"/>
        </w:rPr>
      </w:pPr>
      <w:r>
        <w:rPr>
          <w:bCs/>
          <w:lang w:eastAsia="ja-JP"/>
        </w:rPr>
        <w:t>PopPK</w:t>
      </w:r>
      <w:r w:rsidR="00F47D6E" w:rsidRPr="00F47D6E">
        <w:rPr>
          <w:bCs/>
          <w:lang w:eastAsia="ja-JP"/>
        </w:rPr>
        <w:t xml:space="preserve"> and </w:t>
      </w:r>
      <w:r>
        <w:rPr>
          <w:bCs/>
          <w:lang w:eastAsia="ja-JP"/>
        </w:rPr>
        <w:t>PK/PD</w:t>
      </w:r>
      <w:r w:rsidR="00F47D6E" w:rsidRPr="00F47D6E">
        <w:rPr>
          <w:bCs/>
          <w:lang w:eastAsia="ja-JP"/>
        </w:rPr>
        <w:t xml:space="preserve"> </w:t>
      </w:r>
      <w:r w:rsidRPr="00F47D6E">
        <w:rPr>
          <w:bCs/>
          <w:lang w:eastAsia="ja-JP"/>
        </w:rPr>
        <w:t xml:space="preserve">analyses report </w:t>
      </w:r>
      <w:r w:rsidR="00F47D6E" w:rsidRPr="00F47D6E">
        <w:rPr>
          <w:bCs/>
          <w:lang w:eastAsia="ja-JP"/>
        </w:rPr>
        <w:t xml:space="preserve">- </w:t>
      </w:r>
      <w:r>
        <w:rPr>
          <w:bCs/>
          <w:lang w:eastAsia="ja-JP"/>
        </w:rPr>
        <w:t>popPK</w:t>
      </w:r>
      <w:r w:rsidR="00F47D6E" w:rsidRPr="00F47D6E">
        <w:rPr>
          <w:bCs/>
          <w:lang w:eastAsia="ja-JP"/>
        </w:rPr>
        <w:t xml:space="preserve"> </w:t>
      </w:r>
      <w:r w:rsidRPr="00F47D6E">
        <w:rPr>
          <w:bCs/>
          <w:lang w:eastAsia="ja-JP"/>
        </w:rPr>
        <w:t xml:space="preserve">analysis of tocilizumab </w:t>
      </w:r>
      <w:r w:rsidR="00F47D6E" w:rsidRPr="00F47D6E">
        <w:rPr>
          <w:bCs/>
          <w:lang w:eastAsia="ja-JP"/>
        </w:rPr>
        <w:t>SC and IV (</w:t>
      </w:r>
      <w:r w:rsidR="00720F3E">
        <w:rPr>
          <w:bCs/>
          <w:lang w:eastAsia="ja-JP"/>
        </w:rPr>
        <w:t xml:space="preserve">Studies </w:t>
      </w:r>
      <w:r w:rsidR="00F47D6E" w:rsidRPr="00F47D6E">
        <w:rPr>
          <w:bCs/>
          <w:lang w:eastAsia="ja-JP"/>
        </w:rPr>
        <w:t xml:space="preserve">WA28118 and WA18221) and </w:t>
      </w:r>
      <w:r w:rsidRPr="00F47D6E">
        <w:rPr>
          <w:bCs/>
          <w:lang w:eastAsia="ja-JP"/>
        </w:rPr>
        <w:t xml:space="preserve">graphical exposure-safety and exposure-efficacy </w:t>
      </w:r>
      <w:r w:rsidRPr="00F47D6E">
        <w:rPr>
          <w:bCs/>
          <w:lang w:eastAsia="ja-JP"/>
        </w:rPr>
        <w:lastRenderedPageBreak/>
        <w:t>analysis of tocilizumab</w:t>
      </w:r>
      <w:r w:rsidR="00F47D6E" w:rsidRPr="00F47D6E">
        <w:rPr>
          <w:bCs/>
          <w:lang w:eastAsia="ja-JP"/>
        </w:rPr>
        <w:t xml:space="preserve"> SC (</w:t>
      </w:r>
      <w:r>
        <w:rPr>
          <w:bCs/>
          <w:lang w:eastAsia="ja-JP"/>
        </w:rPr>
        <w:t xml:space="preserve">Study </w:t>
      </w:r>
      <w:r w:rsidR="00F47D6E" w:rsidRPr="00F47D6E">
        <w:rPr>
          <w:bCs/>
          <w:lang w:eastAsia="ja-JP"/>
        </w:rPr>
        <w:t xml:space="preserve">WA28118) in </w:t>
      </w:r>
      <w:r w:rsidRPr="00F47D6E">
        <w:rPr>
          <w:bCs/>
          <w:lang w:eastAsia="ja-JP"/>
        </w:rPr>
        <w:t xml:space="preserve">patients with systemic juvenile idiopathic arthritis final version </w:t>
      </w:r>
      <w:r>
        <w:rPr>
          <w:bCs/>
          <w:lang w:eastAsia="ja-JP"/>
        </w:rPr>
        <w:t xml:space="preserve">27 </w:t>
      </w:r>
      <w:r w:rsidR="00BD2603">
        <w:rPr>
          <w:bCs/>
          <w:lang w:eastAsia="ja-JP"/>
        </w:rPr>
        <w:t xml:space="preserve">February </w:t>
      </w:r>
      <w:r w:rsidR="00F47D6E" w:rsidRPr="00F47D6E">
        <w:rPr>
          <w:bCs/>
          <w:lang w:eastAsia="ja-JP"/>
        </w:rPr>
        <w:t xml:space="preserve">2018. </w:t>
      </w:r>
      <w:r w:rsidR="00F47D6E" w:rsidRPr="00F47D6E">
        <w:rPr>
          <w:bCs/>
          <w:iCs/>
          <w:lang w:eastAsia="ja-JP"/>
        </w:rPr>
        <w:t>Report 1084039</w:t>
      </w:r>
      <w:r w:rsidR="002233B8">
        <w:rPr>
          <w:bCs/>
          <w:iCs/>
          <w:lang w:eastAsia="ja-JP"/>
        </w:rPr>
        <w:t>;</w:t>
      </w:r>
    </w:p>
    <w:p w14:paraId="31E54353" w14:textId="1033670E" w:rsidR="00F47D6E" w:rsidRPr="00F47D6E" w:rsidRDefault="003F5C66" w:rsidP="00F47D6E">
      <w:pPr>
        <w:numPr>
          <w:ilvl w:val="0"/>
          <w:numId w:val="3"/>
        </w:numPr>
        <w:rPr>
          <w:lang w:eastAsia="ja-JP"/>
        </w:rPr>
      </w:pPr>
      <w:r>
        <w:rPr>
          <w:lang w:eastAsia="ja-JP"/>
        </w:rPr>
        <w:t>CSR</w:t>
      </w:r>
      <w:r w:rsidR="005A236B" w:rsidRPr="00F47D6E">
        <w:rPr>
          <w:lang w:eastAsia="ja-JP"/>
        </w:rPr>
        <w:t xml:space="preserve"> </w:t>
      </w:r>
      <w:r w:rsidR="00F47D6E" w:rsidRPr="00F47D6E">
        <w:rPr>
          <w:lang w:eastAsia="ja-JP"/>
        </w:rPr>
        <w:t xml:space="preserve">– </w:t>
      </w:r>
      <w:r w:rsidR="00720F3E">
        <w:rPr>
          <w:lang w:eastAsia="ja-JP"/>
        </w:rPr>
        <w:t xml:space="preserve">Study </w:t>
      </w:r>
      <w:r w:rsidR="00F47D6E" w:rsidRPr="00F47D6E">
        <w:rPr>
          <w:lang w:eastAsia="ja-JP"/>
        </w:rPr>
        <w:t xml:space="preserve">WA28118 </w:t>
      </w:r>
      <w:r w:rsidR="002233B8">
        <w:rPr>
          <w:lang w:eastAsia="ja-JP"/>
        </w:rPr>
        <w:t>–</w:t>
      </w:r>
      <w:r w:rsidR="00F47D6E" w:rsidRPr="00F47D6E">
        <w:rPr>
          <w:lang w:eastAsia="ja-JP"/>
        </w:rPr>
        <w:t xml:space="preserve"> sJIA</w:t>
      </w:r>
      <w:r w:rsidR="002233B8">
        <w:rPr>
          <w:lang w:eastAsia="ja-JP"/>
        </w:rPr>
        <w:t>;</w:t>
      </w:r>
    </w:p>
    <w:p w14:paraId="4354A749" w14:textId="00833CED" w:rsidR="00F47D6E" w:rsidRPr="00F47D6E" w:rsidRDefault="003F5C66" w:rsidP="00F47D6E">
      <w:pPr>
        <w:numPr>
          <w:ilvl w:val="0"/>
          <w:numId w:val="3"/>
        </w:numPr>
        <w:rPr>
          <w:lang w:eastAsia="ja-JP"/>
        </w:rPr>
      </w:pPr>
      <w:r>
        <w:rPr>
          <w:lang w:eastAsia="ja-JP"/>
        </w:rPr>
        <w:t>CSR</w:t>
      </w:r>
      <w:r w:rsidR="005A236B" w:rsidRPr="00F47D6E">
        <w:rPr>
          <w:lang w:eastAsia="ja-JP"/>
        </w:rPr>
        <w:t xml:space="preserve"> </w:t>
      </w:r>
      <w:r w:rsidR="00F47D6E" w:rsidRPr="00F47D6E">
        <w:rPr>
          <w:lang w:eastAsia="ja-JP"/>
        </w:rPr>
        <w:t xml:space="preserve">– </w:t>
      </w:r>
      <w:r w:rsidR="00720F3E">
        <w:rPr>
          <w:lang w:eastAsia="ja-JP"/>
        </w:rPr>
        <w:t xml:space="preserve">Study </w:t>
      </w:r>
      <w:r w:rsidR="00F47D6E" w:rsidRPr="00F47D6E">
        <w:rPr>
          <w:lang w:eastAsia="ja-JP"/>
        </w:rPr>
        <w:t xml:space="preserve">WA28117 </w:t>
      </w:r>
      <w:r w:rsidR="002233B8">
        <w:rPr>
          <w:lang w:eastAsia="ja-JP"/>
        </w:rPr>
        <w:t>–</w:t>
      </w:r>
      <w:r w:rsidR="00F47D6E" w:rsidRPr="00F47D6E">
        <w:rPr>
          <w:lang w:eastAsia="ja-JP"/>
        </w:rPr>
        <w:t xml:space="preserve"> pJIA</w:t>
      </w:r>
      <w:r w:rsidR="002233B8">
        <w:rPr>
          <w:lang w:eastAsia="ja-JP"/>
        </w:rPr>
        <w:t>;</w:t>
      </w:r>
    </w:p>
    <w:p w14:paraId="21A27716" w14:textId="768265AC" w:rsidR="00F47D6E" w:rsidRPr="00F47D6E" w:rsidRDefault="003F5C66" w:rsidP="00F47D6E">
      <w:pPr>
        <w:numPr>
          <w:ilvl w:val="0"/>
          <w:numId w:val="3"/>
        </w:numPr>
        <w:rPr>
          <w:lang w:eastAsia="ja-JP"/>
        </w:rPr>
      </w:pPr>
      <w:r>
        <w:rPr>
          <w:lang w:eastAsia="ja-JP"/>
        </w:rPr>
        <w:t>CSR</w:t>
      </w:r>
      <w:r w:rsidR="00F47D6E" w:rsidRPr="00F47D6E">
        <w:rPr>
          <w:lang w:eastAsia="ja-JP"/>
        </w:rPr>
        <w:t xml:space="preserve"> </w:t>
      </w:r>
      <w:r>
        <w:rPr>
          <w:lang w:eastAsia="ja-JP"/>
        </w:rPr>
        <w:t xml:space="preserve">– Study </w:t>
      </w:r>
      <w:r w:rsidR="00F47D6E" w:rsidRPr="00F47D6E">
        <w:rPr>
          <w:lang w:eastAsia="ja-JP"/>
        </w:rPr>
        <w:t>NA25220 (</w:t>
      </w:r>
      <w:r w:rsidR="0005292A">
        <w:rPr>
          <w:lang w:eastAsia="ja-JP"/>
        </w:rPr>
        <w:t>core part (</w:t>
      </w:r>
      <w:r w:rsidR="00F47D6E" w:rsidRPr="00F47D6E">
        <w:rPr>
          <w:lang w:eastAsia="ja-JP"/>
        </w:rPr>
        <w:t>CORE</w:t>
      </w:r>
      <w:r w:rsidR="0005292A">
        <w:rPr>
          <w:lang w:eastAsia="ja-JP"/>
        </w:rPr>
        <w:t>)</w:t>
      </w:r>
      <w:r w:rsidR="00F47D6E" w:rsidRPr="00F47D6E">
        <w:rPr>
          <w:lang w:eastAsia="ja-JP"/>
        </w:rPr>
        <w:t xml:space="preserve">): </w:t>
      </w:r>
      <w:r w:rsidR="005A236B" w:rsidRPr="00F47D6E">
        <w:rPr>
          <w:lang w:eastAsia="ja-JP"/>
        </w:rPr>
        <w:t>tocilizumab</w:t>
      </w:r>
      <w:r w:rsidR="00F47D6E" w:rsidRPr="00F47D6E">
        <w:rPr>
          <w:lang w:eastAsia="ja-JP"/>
        </w:rPr>
        <w:t xml:space="preserve"> SC versus </w:t>
      </w:r>
      <w:r w:rsidR="005A236B" w:rsidRPr="00F47D6E">
        <w:rPr>
          <w:lang w:eastAsia="ja-JP"/>
        </w:rPr>
        <w:t xml:space="preserve">placebo </w:t>
      </w:r>
      <w:r w:rsidR="00F47D6E" w:rsidRPr="00F47D6E">
        <w:rPr>
          <w:lang w:eastAsia="ja-JP"/>
        </w:rPr>
        <w:t xml:space="preserve">SC </w:t>
      </w:r>
      <w:r w:rsidR="005A236B" w:rsidRPr="00F47D6E">
        <w:rPr>
          <w:lang w:eastAsia="ja-JP"/>
        </w:rPr>
        <w:t>rheumatoid arthritis</w:t>
      </w:r>
      <w:r w:rsidR="00F47D6E" w:rsidRPr="00F47D6E">
        <w:rPr>
          <w:lang w:eastAsia="ja-JP"/>
        </w:rPr>
        <w:t>. Primary analysis at Week 24</w:t>
      </w:r>
      <w:r w:rsidR="002233B8">
        <w:rPr>
          <w:lang w:eastAsia="ja-JP"/>
        </w:rPr>
        <w:t>;</w:t>
      </w:r>
    </w:p>
    <w:p w14:paraId="70BF391E" w14:textId="6E037CC2" w:rsidR="00F47D6E" w:rsidRPr="00F47D6E" w:rsidRDefault="003F5C66" w:rsidP="00F47D6E">
      <w:pPr>
        <w:numPr>
          <w:ilvl w:val="0"/>
          <w:numId w:val="3"/>
        </w:numPr>
        <w:rPr>
          <w:lang w:eastAsia="ja-JP"/>
        </w:rPr>
      </w:pPr>
      <w:r>
        <w:rPr>
          <w:lang w:eastAsia="ja-JP"/>
        </w:rPr>
        <w:t>CSR</w:t>
      </w:r>
      <w:r w:rsidR="00F47D6E" w:rsidRPr="00F47D6E">
        <w:rPr>
          <w:lang w:eastAsia="ja-JP"/>
        </w:rPr>
        <w:t xml:space="preserve"> </w:t>
      </w:r>
      <w:r>
        <w:rPr>
          <w:lang w:eastAsia="ja-JP"/>
        </w:rPr>
        <w:t xml:space="preserve">– Study </w:t>
      </w:r>
      <w:r w:rsidR="00F47D6E" w:rsidRPr="00F47D6E">
        <w:rPr>
          <w:lang w:eastAsia="ja-JP"/>
        </w:rPr>
        <w:t>NA25220 (</w:t>
      </w:r>
      <w:r w:rsidR="0005292A">
        <w:rPr>
          <w:lang w:eastAsia="ja-JP"/>
        </w:rPr>
        <w:t>long term extension (</w:t>
      </w:r>
      <w:r w:rsidR="00F47D6E" w:rsidRPr="00F47D6E">
        <w:rPr>
          <w:lang w:eastAsia="ja-JP"/>
        </w:rPr>
        <w:t>LTE</w:t>
      </w:r>
      <w:r w:rsidR="0005292A">
        <w:rPr>
          <w:lang w:eastAsia="ja-JP"/>
        </w:rPr>
        <w:t>)</w:t>
      </w:r>
      <w:r w:rsidR="00F47D6E" w:rsidRPr="00F47D6E">
        <w:rPr>
          <w:lang w:eastAsia="ja-JP"/>
        </w:rPr>
        <w:t>) tocilizumab SC versus placebo rheumatoid arthritis</w:t>
      </w:r>
      <w:r w:rsidR="00FD3C85">
        <w:rPr>
          <w:lang w:eastAsia="ja-JP"/>
        </w:rPr>
        <w:t>.</w:t>
      </w:r>
      <w:r w:rsidR="00F47D6E" w:rsidRPr="00F47D6E">
        <w:rPr>
          <w:lang w:eastAsia="ja-JP"/>
        </w:rPr>
        <w:t xml:space="preserve"> Final results of the open-label extension (OLE)</w:t>
      </w:r>
      <w:r w:rsidR="002233B8">
        <w:rPr>
          <w:lang w:eastAsia="ja-JP"/>
        </w:rPr>
        <w:t>;</w:t>
      </w:r>
    </w:p>
    <w:p w14:paraId="72FF2197" w14:textId="2D8C602B" w:rsidR="00F47D6E" w:rsidRPr="00F47D6E" w:rsidRDefault="003F5C66" w:rsidP="00F47D6E">
      <w:pPr>
        <w:numPr>
          <w:ilvl w:val="0"/>
          <w:numId w:val="3"/>
        </w:numPr>
        <w:rPr>
          <w:lang w:eastAsia="ja-JP"/>
        </w:rPr>
      </w:pPr>
      <w:r>
        <w:rPr>
          <w:lang w:eastAsia="ja-JP"/>
        </w:rPr>
        <w:t>CSR</w:t>
      </w:r>
      <w:r w:rsidR="00F47D6E" w:rsidRPr="00F47D6E">
        <w:rPr>
          <w:lang w:eastAsia="ja-JP"/>
        </w:rPr>
        <w:t xml:space="preserve"> </w:t>
      </w:r>
      <w:r>
        <w:rPr>
          <w:lang w:eastAsia="ja-JP"/>
        </w:rPr>
        <w:t xml:space="preserve">- Study </w:t>
      </w:r>
      <w:r w:rsidR="00F47D6E" w:rsidRPr="00F47D6E">
        <w:rPr>
          <w:lang w:eastAsia="ja-JP"/>
        </w:rPr>
        <w:t xml:space="preserve">WA22762 (CORE): </w:t>
      </w:r>
      <w:r w:rsidRPr="00F47D6E">
        <w:rPr>
          <w:lang w:eastAsia="ja-JP"/>
        </w:rPr>
        <w:t>tocilizumab</w:t>
      </w:r>
      <w:r w:rsidR="00F47D6E" w:rsidRPr="00F47D6E">
        <w:rPr>
          <w:lang w:eastAsia="ja-JP"/>
        </w:rPr>
        <w:t xml:space="preserve"> SC versus </w:t>
      </w:r>
      <w:r w:rsidRPr="00F47D6E">
        <w:rPr>
          <w:lang w:eastAsia="ja-JP"/>
        </w:rPr>
        <w:t>tocilizumab</w:t>
      </w:r>
      <w:r w:rsidR="00F47D6E" w:rsidRPr="00F47D6E">
        <w:rPr>
          <w:lang w:eastAsia="ja-JP"/>
        </w:rPr>
        <w:t xml:space="preserve"> IV, in </w:t>
      </w:r>
      <w:r w:rsidRPr="00F47D6E">
        <w:rPr>
          <w:lang w:eastAsia="ja-JP"/>
        </w:rPr>
        <w:t>active rheumatoid arthritis</w:t>
      </w:r>
      <w:r w:rsidR="002233B8">
        <w:rPr>
          <w:lang w:eastAsia="ja-JP"/>
        </w:rPr>
        <w:t>;</w:t>
      </w:r>
    </w:p>
    <w:p w14:paraId="40B89B10" w14:textId="7D52234A" w:rsidR="00F47D6E" w:rsidRPr="00F47D6E" w:rsidRDefault="00F47D6E" w:rsidP="00F47D6E">
      <w:pPr>
        <w:numPr>
          <w:ilvl w:val="0"/>
          <w:numId w:val="3"/>
        </w:numPr>
        <w:rPr>
          <w:lang w:eastAsia="ja-JP"/>
        </w:rPr>
      </w:pPr>
      <w:r w:rsidRPr="00F47D6E">
        <w:rPr>
          <w:lang w:eastAsia="ja-JP"/>
        </w:rPr>
        <w:t xml:space="preserve">Final </w:t>
      </w:r>
      <w:r w:rsidR="003F5C66">
        <w:rPr>
          <w:lang w:eastAsia="ja-JP"/>
        </w:rPr>
        <w:t>CSR - Study</w:t>
      </w:r>
      <w:r w:rsidRPr="00F47D6E">
        <w:rPr>
          <w:lang w:eastAsia="ja-JP"/>
        </w:rPr>
        <w:t xml:space="preserve"> WA22762</w:t>
      </w:r>
      <w:r w:rsidR="003F5C66">
        <w:rPr>
          <w:lang w:eastAsia="ja-JP"/>
        </w:rPr>
        <w:t>:</w:t>
      </w:r>
      <w:r w:rsidRPr="00F47D6E">
        <w:rPr>
          <w:lang w:eastAsia="ja-JP"/>
        </w:rPr>
        <w:t xml:space="preserve"> </w:t>
      </w:r>
      <w:r w:rsidR="003F5C66" w:rsidRPr="00F47D6E">
        <w:rPr>
          <w:lang w:eastAsia="ja-JP"/>
        </w:rPr>
        <w:t>tocilizumab</w:t>
      </w:r>
      <w:r w:rsidRPr="00F47D6E">
        <w:rPr>
          <w:lang w:eastAsia="ja-JP"/>
        </w:rPr>
        <w:t xml:space="preserve"> IV </w:t>
      </w:r>
      <w:r w:rsidR="003F5C66" w:rsidRPr="00F47D6E">
        <w:rPr>
          <w:lang w:eastAsia="ja-JP"/>
        </w:rPr>
        <w:t>rheumatoid arthritis</w:t>
      </w:r>
      <w:r w:rsidR="002233B8">
        <w:rPr>
          <w:lang w:eastAsia="ja-JP"/>
        </w:rPr>
        <w:t>;</w:t>
      </w:r>
    </w:p>
    <w:p w14:paraId="05217C5F" w14:textId="2C7DB484" w:rsidR="00F47D6E" w:rsidRPr="00F47D6E" w:rsidRDefault="003F5C66" w:rsidP="00F47D6E">
      <w:pPr>
        <w:numPr>
          <w:ilvl w:val="0"/>
          <w:numId w:val="3"/>
        </w:numPr>
        <w:rPr>
          <w:lang w:eastAsia="ja-JP"/>
        </w:rPr>
      </w:pPr>
      <w:r>
        <w:rPr>
          <w:lang w:eastAsia="ja-JP"/>
        </w:rPr>
        <w:t>CSR</w:t>
      </w:r>
      <w:r w:rsidR="00F47D6E" w:rsidRPr="00F47D6E">
        <w:rPr>
          <w:lang w:eastAsia="ja-JP"/>
        </w:rPr>
        <w:t xml:space="preserve"> – </w:t>
      </w:r>
      <w:r>
        <w:rPr>
          <w:lang w:eastAsia="ja-JP"/>
        </w:rPr>
        <w:t xml:space="preserve">Study </w:t>
      </w:r>
      <w:r w:rsidR="00F47D6E" w:rsidRPr="00F47D6E">
        <w:rPr>
          <w:lang w:eastAsia="ja-JP"/>
        </w:rPr>
        <w:t>WA18221 sJIA</w:t>
      </w:r>
      <w:r w:rsidR="002233B8">
        <w:rPr>
          <w:lang w:eastAsia="ja-JP"/>
        </w:rPr>
        <w:t>;</w:t>
      </w:r>
    </w:p>
    <w:p w14:paraId="70AD0DE5" w14:textId="6D82FEAC" w:rsidR="00F47D6E" w:rsidRPr="00F47D6E" w:rsidRDefault="0005292A" w:rsidP="00F47D6E">
      <w:pPr>
        <w:numPr>
          <w:ilvl w:val="0"/>
          <w:numId w:val="3"/>
        </w:numPr>
        <w:rPr>
          <w:lang w:eastAsia="ja-JP"/>
        </w:rPr>
      </w:pPr>
      <w:r>
        <w:rPr>
          <w:lang w:eastAsia="ja-JP"/>
        </w:rPr>
        <w:t>Nine</w:t>
      </w:r>
      <w:r w:rsidR="00F47D6E" w:rsidRPr="00F47D6E">
        <w:rPr>
          <w:lang w:eastAsia="ja-JP"/>
        </w:rPr>
        <w:t xml:space="preserve"> literature references</w:t>
      </w:r>
      <w:r w:rsidR="002233B8">
        <w:rPr>
          <w:lang w:eastAsia="ja-JP"/>
        </w:rPr>
        <w:t>.</w:t>
      </w:r>
    </w:p>
    <w:p w14:paraId="39FAEBAC" w14:textId="77777777" w:rsidR="00F47D6E" w:rsidRPr="00F47D6E" w:rsidRDefault="00F47D6E" w:rsidP="00733014">
      <w:pPr>
        <w:pStyle w:val="Heading4"/>
      </w:pPr>
      <w:r w:rsidRPr="00F47D6E">
        <w:t>Pharmacology</w:t>
      </w:r>
    </w:p>
    <w:p w14:paraId="6A300B76" w14:textId="5570FAB4" w:rsidR="00F47D6E" w:rsidRPr="00F47D6E" w:rsidRDefault="00F47D6E" w:rsidP="00733014">
      <w:pPr>
        <w:pStyle w:val="Heading5"/>
      </w:pPr>
      <w:r w:rsidRPr="00F47D6E">
        <w:t>Pharmacokinetics</w:t>
      </w:r>
    </w:p>
    <w:p w14:paraId="50348FDF" w14:textId="77777777" w:rsidR="00F47D6E" w:rsidRPr="00F47D6E" w:rsidRDefault="00F47D6E" w:rsidP="00733014">
      <w:pPr>
        <w:pStyle w:val="Heading6"/>
        <w:rPr>
          <w:lang w:eastAsia="ja-JP"/>
        </w:rPr>
      </w:pPr>
      <w:r w:rsidRPr="00F47D6E">
        <w:rPr>
          <w:lang w:eastAsia="ja-JP"/>
        </w:rPr>
        <w:t>Study WA28118</w:t>
      </w:r>
    </w:p>
    <w:p w14:paraId="0B804E55" w14:textId="0527AF7F" w:rsidR="00F47D6E" w:rsidRPr="00F47D6E" w:rsidRDefault="00F47D6E" w:rsidP="00F47D6E">
      <w:pPr>
        <w:rPr>
          <w:lang w:eastAsia="ja-JP"/>
        </w:rPr>
      </w:pPr>
      <w:r w:rsidRPr="00F47D6E">
        <w:rPr>
          <w:lang w:eastAsia="ja-JP"/>
        </w:rPr>
        <w:t xml:space="preserve">Study WA28118 was a </w:t>
      </w:r>
      <w:r w:rsidR="00E33152">
        <w:rPr>
          <w:lang w:eastAsia="ja-JP"/>
        </w:rPr>
        <w:t>P</w:t>
      </w:r>
      <w:r w:rsidRPr="00F47D6E">
        <w:rPr>
          <w:lang w:eastAsia="ja-JP"/>
        </w:rPr>
        <w:t>hase Ib, 52</w:t>
      </w:r>
      <w:r w:rsidR="00720F3E">
        <w:rPr>
          <w:lang w:eastAsia="ja-JP"/>
        </w:rPr>
        <w:t xml:space="preserve"> </w:t>
      </w:r>
      <w:r w:rsidRPr="00F47D6E">
        <w:rPr>
          <w:lang w:eastAsia="ja-JP"/>
        </w:rPr>
        <w:t xml:space="preserve">week, open-label, multicentre study to investigate the </w:t>
      </w:r>
      <w:r w:rsidR="00E33152">
        <w:rPr>
          <w:lang w:eastAsia="ja-JP"/>
        </w:rPr>
        <w:t>pharmacokinetic</w:t>
      </w:r>
      <w:r w:rsidR="00720F3E">
        <w:rPr>
          <w:lang w:eastAsia="ja-JP"/>
        </w:rPr>
        <w:t>s</w:t>
      </w:r>
      <w:r w:rsidR="00E33152">
        <w:rPr>
          <w:lang w:eastAsia="ja-JP"/>
        </w:rPr>
        <w:t xml:space="preserve"> (</w:t>
      </w:r>
      <w:r w:rsidRPr="00F47D6E">
        <w:rPr>
          <w:lang w:eastAsia="ja-JP"/>
        </w:rPr>
        <w:t>PK</w:t>
      </w:r>
      <w:r w:rsidR="00E33152">
        <w:rPr>
          <w:lang w:eastAsia="ja-JP"/>
        </w:rPr>
        <w:t>)</w:t>
      </w:r>
      <w:r w:rsidRPr="00F47D6E">
        <w:rPr>
          <w:lang w:eastAsia="ja-JP"/>
        </w:rPr>
        <w:t>,</w:t>
      </w:r>
      <w:r w:rsidR="00E33152">
        <w:rPr>
          <w:lang w:eastAsia="ja-JP"/>
        </w:rPr>
        <w:t xml:space="preserve"> pharmacodynamic</w:t>
      </w:r>
      <w:r w:rsidR="00720F3E">
        <w:rPr>
          <w:lang w:eastAsia="ja-JP"/>
        </w:rPr>
        <w:t>s</w:t>
      </w:r>
      <w:r w:rsidRPr="00F47D6E">
        <w:rPr>
          <w:lang w:eastAsia="ja-JP"/>
        </w:rPr>
        <w:t xml:space="preserve"> </w:t>
      </w:r>
      <w:r w:rsidR="00E33152">
        <w:rPr>
          <w:lang w:eastAsia="ja-JP"/>
        </w:rPr>
        <w:t>(</w:t>
      </w:r>
      <w:r w:rsidRPr="00F47D6E">
        <w:rPr>
          <w:lang w:eastAsia="ja-JP"/>
        </w:rPr>
        <w:t>PD</w:t>
      </w:r>
      <w:r w:rsidR="00E33152">
        <w:rPr>
          <w:lang w:eastAsia="ja-JP"/>
        </w:rPr>
        <w:t>)</w:t>
      </w:r>
      <w:r w:rsidRPr="00F47D6E">
        <w:rPr>
          <w:lang w:eastAsia="ja-JP"/>
        </w:rPr>
        <w:t xml:space="preserve"> and safety of </w:t>
      </w:r>
      <w:r w:rsidR="00424284">
        <w:rPr>
          <w:lang w:eastAsia="ja-JP"/>
        </w:rPr>
        <w:t>tocilizumab</w:t>
      </w:r>
      <w:r w:rsidRPr="00F47D6E">
        <w:rPr>
          <w:lang w:eastAsia="ja-JP"/>
        </w:rPr>
        <w:t xml:space="preserve"> following SC administration to sJIA patients. The study aimed to determine the appropriate SC dosing regimen across the range of body weights (BW)</w:t>
      </w:r>
      <w:r w:rsidRPr="00F47D6E">
        <w:rPr>
          <w:rFonts w:ascii="Arial" w:eastAsiaTheme="minorHAnsi" w:hAnsi="Arial" w:cs="Arial"/>
        </w:rPr>
        <w:t xml:space="preserve"> </w:t>
      </w:r>
      <w:r w:rsidRPr="00F47D6E">
        <w:rPr>
          <w:lang w:eastAsia="ja-JP"/>
        </w:rPr>
        <w:t xml:space="preserve">in patients with sJIA aged 1 to 17 years in comparison to the exposure obtained in Study WA18221, which demonstrated the efficacy and safety of IV </w:t>
      </w:r>
      <w:r w:rsidR="00424284">
        <w:rPr>
          <w:lang w:eastAsia="ja-JP"/>
        </w:rPr>
        <w:t>tocilizumab</w:t>
      </w:r>
      <w:r w:rsidRPr="00F47D6E">
        <w:rPr>
          <w:lang w:eastAsia="ja-JP"/>
        </w:rPr>
        <w:t xml:space="preserve"> in patients with sJIA. Patients with sJIA and a history of inadequate response to NSAIDs and corticosteroids were included in the study. Patients were excluded if they had previously discontinued IV </w:t>
      </w:r>
      <w:r w:rsidR="00424284">
        <w:rPr>
          <w:lang w:eastAsia="ja-JP"/>
        </w:rPr>
        <w:t>tocilizumab</w:t>
      </w:r>
      <w:r w:rsidRPr="00F47D6E">
        <w:rPr>
          <w:lang w:eastAsia="ja-JP"/>
        </w:rPr>
        <w:t xml:space="preserve"> therapy due to inadequate response or safety events, had poorly controlled disease despite IV </w:t>
      </w:r>
      <w:r w:rsidR="00424284">
        <w:rPr>
          <w:lang w:eastAsia="ja-JP"/>
        </w:rPr>
        <w:t>tocilizumab</w:t>
      </w:r>
      <w:r w:rsidRPr="00F47D6E">
        <w:rPr>
          <w:lang w:eastAsia="ja-JP"/>
        </w:rPr>
        <w:t xml:space="preserve"> therapy or if their disease was well controlled by other treatments. Patients were either naïve to </w:t>
      </w:r>
      <w:r w:rsidR="00424284">
        <w:rPr>
          <w:lang w:eastAsia="ja-JP"/>
        </w:rPr>
        <w:t>tocilizumab</w:t>
      </w:r>
      <w:r w:rsidRPr="00F47D6E">
        <w:rPr>
          <w:lang w:eastAsia="ja-JP"/>
        </w:rPr>
        <w:t xml:space="preserve"> therapy or switched from </w:t>
      </w:r>
      <w:r w:rsidR="00424284">
        <w:rPr>
          <w:lang w:eastAsia="ja-JP"/>
        </w:rPr>
        <w:t>tocilizumab</w:t>
      </w:r>
      <w:r w:rsidRPr="00F47D6E">
        <w:rPr>
          <w:lang w:eastAsia="ja-JP"/>
        </w:rPr>
        <w:t xml:space="preserve"> IV to </w:t>
      </w:r>
      <w:r w:rsidR="00424284">
        <w:rPr>
          <w:lang w:eastAsia="ja-JP"/>
        </w:rPr>
        <w:t>tocilizumab</w:t>
      </w:r>
      <w:r w:rsidRPr="00F47D6E">
        <w:rPr>
          <w:lang w:eastAsia="ja-JP"/>
        </w:rPr>
        <w:t xml:space="preserve"> SC at </w:t>
      </w:r>
      <w:r w:rsidR="00B01BB8">
        <w:rPr>
          <w:lang w:eastAsia="ja-JP"/>
        </w:rPr>
        <w:t>B</w:t>
      </w:r>
      <w:r w:rsidRPr="00F47D6E">
        <w:rPr>
          <w:lang w:eastAsia="ja-JP"/>
        </w:rPr>
        <w:t>aseline.</w:t>
      </w:r>
    </w:p>
    <w:p w14:paraId="5449D112" w14:textId="77777777" w:rsidR="00F47D6E" w:rsidRPr="00F47D6E" w:rsidRDefault="00F47D6E" w:rsidP="00F47D6E">
      <w:pPr>
        <w:rPr>
          <w:lang w:eastAsia="ja-JP"/>
        </w:rPr>
      </w:pPr>
      <w:r w:rsidRPr="00F47D6E">
        <w:rPr>
          <w:lang w:eastAsia="ja-JP"/>
        </w:rPr>
        <w:t>Dosing was based on body weight:</w:t>
      </w:r>
    </w:p>
    <w:p w14:paraId="2EE6703D" w14:textId="5E845355" w:rsidR="00F47D6E" w:rsidRPr="00F47D6E" w:rsidRDefault="00F47D6E" w:rsidP="00733014">
      <w:pPr>
        <w:pStyle w:val="ListBullet"/>
        <w:rPr>
          <w:lang w:eastAsia="ja-JP"/>
        </w:rPr>
      </w:pPr>
      <w:r w:rsidRPr="00F47D6E">
        <w:rPr>
          <w:lang w:eastAsia="ja-JP"/>
        </w:rPr>
        <w:t xml:space="preserve">Patients weighing &lt; 30 kg enrolled prior to interim analysis: </w:t>
      </w:r>
      <w:r w:rsidR="00424284">
        <w:rPr>
          <w:lang w:eastAsia="ja-JP"/>
        </w:rPr>
        <w:t>tocilizumab</w:t>
      </w:r>
      <w:r w:rsidRPr="00F47D6E">
        <w:rPr>
          <w:lang w:eastAsia="ja-JP"/>
        </w:rPr>
        <w:t xml:space="preserve"> SC once every 10 days (Q10D)</w:t>
      </w:r>
      <w:r w:rsidR="00720F3E">
        <w:rPr>
          <w:lang w:eastAsia="ja-JP"/>
        </w:rPr>
        <w:t>;</w:t>
      </w:r>
    </w:p>
    <w:p w14:paraId="596C9FB0" w14:textId="157DC690" w:rsidR="00F47D6E" w:rsidRPr="00F47D6E" w:rsidRDefault="00F47D6E" w:rsidP="00733014">
      <w:pPr>
        <w:pStyle w:val="ListBullet"/>
        <w:rPr>
          <w:lang w:eastAsia="ja-JP"/>
        </w:rPr>
      </w:pPr>
      <w:r w:rsidRPr="00F47D6E">
        <w:rPr>
          <w:lang w:eastAsia="ja-JP"/>
        </w:rPr>
        <w:t xml:space="preserve">Patients weighing &lt; 30 kg enrolled after interim analysis: </w:t>
      </w:r>
      <w:r w:rsidR="00424284">
        <w:rPr>
          <w:lang w:eastAsia="ja-JP"/>
        </w:rPr>
        <w:t>tocilizumab</w:t>
      </w:r>
      <w:r w:rsidRPr="00F47D6E">
        <w:rPr>
          <w:lang w:eastAsia="ja-JP"/>
        </w:rPr>
        <w:t xml:space="preserve"> SC once every 2 weeks (Q2W)</w:t>
      </w:r>
      <w:r w:rsidR="00720F3E">
        <w:rPr>
          <w:lang w:eastAsia="ja-JP"/>
        </w:rPr>
        <w:t>;</w:t>
      </w:r>
    </w:p>
    <w:p w14:paraId="37370060" w14:textId="15373E42" w:rsidR="00F47D6E" w:rsidRPr="00F47D6E" w:rsidRDefault="00F47D6E" w:rsidP="00733014">
      <w:pPr>
        <w:pStyle w:val="ListBullet"/>
        <w:rPr>
          <w:lang w:eastAsia="ja-JP"/>
        </w:rPr>
      </w:pPr>
      <w:r w:rsidRPr="00F47D6E">
        <w:rPr>
          <w:lang w:eastAsia="ja-JP"/>
        </w:rPr>
        <w:t xml:space="preserve">Patients weighing ≥ 30 kg: </w:t>
      </w:r>
      <w:r w:rsidR="00424284">
        <w:rPr>
          <w:lang w:eastAsia="ja-JP"/>
        </w:rPr>
        <w:t>tocilizumab</w:t>
      </w:r>
      <w:r w:rsidRPr="00F47D6E">
        <w:rPr>
          <w:lang w:eastAsia="ja-JP"/>
        </w:rPr>
        <w:t xml:space="preserve"> SC once weekly (QW)</w:t>
      </w:r>
      <w:r w:rsidR="00720F3E">
        <w:rPr>
          <w:lang w:eastAsia="ja-JP"/>
        </w:rPr>
        <w:t>.</w:t>
      </w:r>
    </w:p>
    <w:p w14:paraId="541629C2" w14:textId="01AEA820" w:rsidR="00F47D6E" w:rsidRPr="00F47D6E" w:rsidRDefault="00F47D6E" w:rsidP="00F47D6E">
      <w:pPr>
        <w:spacing w:after="0" w:line="240" w:lineRule="auto"/>
        <w:rPr>
          <w:lang w:eastAsia="ja-JP"/>
        </w:rPr>
      </w:pPr>
      <w:r w:rsidRPr="00F47D6E">
        <w:rPr>
          <w:lang w:eastAsia="ja-JP"/>
        </w:rPr>
        <w:t xml:space="preserve">The dosing interval of </w:t>
      </w:r>
      <w:r w:rsidR="00424284">
        <w:rPr>
          <w:lang w:eastAsia="ja-JP"/>
        </w:rPr>
        <w:t>tocilizumab</w:t>
      </w:r>
      <w:r w:rsidRPr="00F47D6E">
        <w:rPr>
          <w:lang w:eastAsia="ja-JP"/>
        </w:rPr>
        <w:t xml:space="preserve"> could be adjusted according to changes in BW after Week 14. The first four SC injections were administered under supervision of the investigator in a setting where medications and resuscitation facilities were available.</w:t>
      </w:r>
    </w:p>
    <w:p w14:paraId="714CCADE" w14:textId="1C958708" w:rsidR="00F47D6E" w:rsidRPr="00F47D6E" w:rsidRDefault="00F47D6E" w:rsidP="00F47D6E">
      <w:pPr>
        <w:rPr>
          <w:lang w:eastAsia="ja-JP"/>
        </w:rPr>
      </w:pPr>
      <w:r w:rsidRPr="00F47D6E">
        <w:rPr>
          <w:lang w:eastAsia="ja-JP"/>
        </w:rPr>
        <w:t xml:space="preserve">An interim analysis of the first 28 patients who completed Week 14 showed a higher than anticipated steady-state </w:t>
      </w:r>
      <w:r w:rsidR="00C93E13">
        <w:t>minimum plasma concentration</w:t>
      </w:r>
      <w:r w:rsidR="00C93E13" w:rsidRPr="00F47D6E">
        <w:rPr>
          <w:lang w:eastAsia="ja-JP"/>
        </w:rPr>
        <w:t xml:space="preserve"> </w:t>
      </w:r>
      <w:r w:rsidR="00C93E13">
        <w:rPr>
          <w:lang w:eastAsia="ja-JP"/>
        </w:rPr>
        <w:t>(</w:t>
      </w:r>
      <w:r w:rsidRPr="00F47D6E">
        <w:rPr>
          <w:lang w:eastAsia="ja-JP"/>
        </w:rPr>
        <w:t>C</w:t>
      </w:r>
      <w:r w:rsidRPr="00F47D6E">
        <w:rPr>
          <w:vertAlign w:val="subscript"/>
          <w:lang w:eastAsia="ja-JP"/>
        </w:rPr>
        <w:t>min</w:t>
      </w:r>
      <w:r w:rsidR="00BD2603">
        <w:rPr>
          <w:vertAlign w:val="subscript"/>
          <w:lang w:eastAsia="ja-JP"/>
        </w:rPr>
        <w:t>,ss</w:t>
      </w:r>
      <w:r w:rsidR="00C93E13">
        <w:rPr>
          <w:lang w:eastAsia="ja-JP"/>
        </w:rPr>
        <w:t>)</w:t>
      </w:r>
      <w:r w:rsidRPr="00F47D6E">
        <w:rPr>
          <w:lang w:eastAsia="ja-JP"/>
        </w:rPr>
        <w:t xml:space="preserve"> following the Q10D dosing regimen, especially for lighter patients, due to a higher bioavailability of </w:t>
      </w:r>
      <w:r w:rsidR="00424284">
        <w:rPr>
          <w:lang w:eastAsia="ja-JP"/>
        </w:rPr>
        <w:t>tocilizumab</w:t>
      </w:r>
      <w:r w:rsidRPr="00F47D6E">
        <w:rPr>
          <w:lang w:eastAsia="ja-JP"/>
        </w:rPr>
        <w:t xml:space="preserve"> SC observed in sJIA patients (93.9%) compared with adult RA patients (79.0%). The dosing regimen for patients &lt;</w:t>
      </w:r>
      <w:r w:rsidR="00112A96">
        <w:rPr>
          <w:lang w:eastAsia="ja-JP"/>
        </w:rPr>
        <w:t xml:space="preserve"> </w:t>
      </w:r>
      <w:r w:rsidRPr="00F47D6E">
        <w:rPr>
          <w:lang w:eastAsia="ja-JP"/>
        </w:rPr>
        <w:t>30 kg was changed to Q2W.</w:t>
      </w:r>
    </w:p>
    <w:p w14:paraId="2A0FAD39" w14:textId="39E5A5DE" w:rsidR="00F47D6E" w:rsidRPr="00F47D6E" w:rsidRDefault="00F47D6E" w:rsidP="00F47D6E">
      <w:pPr>
        <w:rPr>
          <w:lang w:eastAsia="ja-JP"/>
        </w:rPr>
      </w:pPr>
      <w:r w:rsidRPr="00F47D6E">
        <w:rPr>
          <w:lang w:eastAsia="ja-JP"/>
        </w:rPr>
        <w:t xml:space="preserve">A total of 57 patients were screened and 51 were enrolled (25 in the &lt; 30 kg group and 26 in the ≥ 30 kg group). Prior </w:t>
      </w:r>
      <w:r w:rsidR="00424284">
        <w:rPr>
          <w:lang w:eastAsia="ja-JP"/>
        </w:rPr>
        <w:t>tocilizumab</w:t>
      </w:r>
      <w:r w:rsidRPr="00F47D6E">
        <w:rPr>
          <w:lang w:eastAsia="ja-JP"/>
        </w:rPr>
        <w:t xml:space="preserve"> treatment was reported for 40% of the &lt; 30 kg </w:t>
      </w:r>
      <w:r w:rsidRPr="00F47D6E">
        <w:rPr>
          <w:lang w:eastAsia="ja-JP"/>
        </w:rPr>
        <w:lastRenderedPageBreak/>
        <w:t>patients and 57.7% of the ≥ 30 kg patients. Seven patients withdrew (13.7%), 4</w:t>
      </w:r>
      <w:r w:rsidR="00C93E13">
        <w:rPr>
          <w:lang w:eastAsia="ja-JP"/>
        </w:rPr>
        <w:t xml:space="preserve"> out of </w:t>
      </w:r>
      <w:r w:rsidRPr="00F47D6E">
        <w:rPr>
          <w:lang w:eastAsia="ja-JP"/>
        </w:rPr>
        <w:t>7 because of decreased efficacy, 2 deaths (both in &lt; 30 kg patient group), and one due to persistently low neutrophil counts.</w:t>
      </w:r>
    </w:p>
    <w:p w14:paraId="36751FE0" w14:textId="151DE5F2" w:rsidR="00F47D6E" w:rsidRPr="00F47D6E" w:rsidRDefault="00F47D6E" w:rsidP="00F47D6E">
      <w:pPr>
        <w:rPr>
          <w:lang w:eastAsia="ja-JP"/>
        </w:rPr>
      </w:pPr>
      <w:r w:rsidRPr="00F47D6E">
        <w:rPr>
          <w:lang w:eastAsia="ja-JP"/>
        </w:rPr>
        <w:t xml:space="preserve">The majority of the patients were female (56.9%), white (80.4%) and of non-Hispanic or Latino ethnicity (76.5%). The &lt; 30 kg BW group were younger (median age 5 years </w:t>
      </w:r>
      <w:r w:rsidR="0005292A">
        <w:rPr>
          <w:lang w:eastAsia="ja-JP"/>
        </w:rPr>
        <w:t>versus</w:t>
      </w:r>
      <w:r w:rsidRPr="00F47D6E">
        <w:rPr>
          <w:lang w:eastAsia="ja-JP"/>
        </w:rPr>
        <w:t xml:space="preserve">14 years), shorter (median height 104.5 cm </w:t>
      </w:r>
      <w:r w:rsidR="00C93E13">
        <w:rPr>
          <w:lang w:eastAsia="ja-JP"/>
        </w:rPr>
        <w:t>versus</w:t>
      </w:r>
      <w:r w:rsidRPr="00F47D6E">
        <w:rPr>
          <w:lang w:eastAsia="ja-JP"/>
        </w:rPr>
        <w:t xml:space="preserve">154.8 cm), and lighter (median weight 19.6 kg </w:t>
      </w:r>
      <w:r w:rsidR="00C93E13" w:rsidRPr="00733014">
        <w:rPr>
          <w:lang w:eastAsia="ja-JP"/>
        </w:rPr>
        <w:t>versus</w:t>
      </w:r>
      <w:r w:rsidRPr="00C93E13">
        <w:rPr>
          <w:lang w:eastAsia="ja-JP"/>
        </w:rPr>
        <w:t xml:space="preserve"> </w:t>
      </w:r>
      <w:r w:rsidRPr="00F47D6E">
        <w:rPr>
          <w:lang w:eastAsia="ja-JP"/>
        </w:rPr>
        <w:t xml:space="preserve">51.7 kg), than the ≥ 30 kg BW dosing group. Three patients were under the age of 2 years at </w:t>
      </w:r>
      <w:r w:rsidR="00B01BB8">
        <w:rPr>
          <w:lang w:eastAsia="ja-JP"/>
        </w:rPr>
        <w:t>B</w:t>
      </w:r>
      <w:r w:rsidR="00B01BB8" w:rsidRPr="00F47D6E">
        <w:rPr>
          <w:lang w:eastAsia="ja-JP"/>
        </w:rPr>
        <w:t>aseline</w:t>
      </w:r>
      <w:r w:rsidRPr="00F47D6E">
        <w:rPr>
          <w:lang w:eastAsia="ja-JP"/>
        </w:rPr>
        <w:t>.</w:t>
      </w:r>
    </w:p>
    <w:p w14:paraId="4654A8BF" w14:textId="1F281C00" w:rsidR="00F47D6E" w:rsidRPr="00F47D6E" w:rsidRDefault="00F47D6E" w:rsidP="00F47D6E">
      <w:pPr>
        <w:rPr>
          <w:lang w:eastAsia="ja-JP"/>
        </w:rPr>
      </w:pPr>
      <w:r w:rsidRPr="00F47D6E">
        <w:rPr>
          <w:lang w:eastAsia="ja-JP"/>
        </w:rPr>
        <w:t xml:space="preserve">At </w:t>
      </w:r>
      <w:r w:rsidR="00B01BB8">
        <w:rPr>
          <w:lang w:eastAsia="ja-JP"/>
        </w:rPr>
        <w:t>B</w:t>
      </w:r>
      <w:r w:rsidR="00B01BB8" w:rsidRPr="00F47D6E">
        <w:rPr>
          <w:lang w:eastAsia="ja-JP"/>
        </w:rPr>
        <w:t>aseline</w:t>
      </w:r>
      <w:r w:rsidRPr="00F47D6E">
        <w:rPr>
          <w:lang w:eastAsia="ja-JP"/>
        </w:rPr>
        <w:t>, background oral corticosteroids were taken by 80% of the &lt;</w:t>
      </w:r>
      <w:r w:rsidR="00C93E13">
        <w:rPr>
          <w:lang w:eastAsia="ja-JP"/>
        </w:rPr>
        <w:t xml:space="preserve"> </w:t>
      </w:r>
      <w:r w:rsidRPr="00F47D6E">
        <w:rPr>
          <w:lang w:eastAsia="ja-JP"/>
        </w:rPr>
        <w:t xml:space="preserve">30 kg group and 46.2% of the ≥ 30 kg group. Previous use of non-biologic </w:t>
      </w:r>
      <w:r w:rsidR="00BD2603">
        <w:t>d</w:t>
      </w:r>
      <w:r w:rsidR="00BD2603" w:rsidRPr="00ED5650">
        <w:t>isease-modifying anti-rheumatic drug</w:t>
      </w:r>
      <w:r w:rsidR="00BD2603">
        <w:t>s</w:t>
      </w:r>
      <w:r w:rsidR="00BD2603" w:rsidRPr="00F47D6E">
        <w:rPr>
          <w:lang w:eastAsia="ja-JP"/>
        </w:rPr>
        <w:t xml:space="preserve"> </w:t>
      </w:r>
      <w:r w:rsidR="00BD2603">
        <w:rPr>
          <w:lang w:eastAsia="ja-JP"/>
        </w:rPr>
        <w:t>(</w:t>
      </w:r>
      <w:r w:rsidRPr="00F47D6E">
        <w:rPr>
          <w:lang w:eastAsia="ja-JP"/>
        </w:rPr>
        <w:t>DMARDS</w:t>
      </w:r>
      <w:r w:rsidR="00BD2603">
        <w:rPr>
          <w:lang w:eastAsia="ja-JP"/>
        </w:rPr>
        <w:t>)</w:t>
      </w:r>
      <w:r w:rsidRPr="00F47D6E">
        <w:rPr>
          <w:lang w:eastAsia="ja-JP"/>
        </w:rPr>
        <w:t xml:space="preserve"> was 56% and 92.3%; biologic DMARD was 56.0% and 88.5%, and background </w:t>
      </w:r>
      <w:r w:rsidR="00C93E13">
        <w:rPr>
          <w:lang w:eastAsia="ja-JP"/>
        </w:rPr>
        <w:t xml:space="preserve">methotrexate </w:t>
      </w:r>
      <w:r w:rsidRPr="00F47D6E">
        <w:rPr>
          <w:lang w:eastAsia="ja-JP"/>
        </w:rPr>
        <w:t>use was 52.0% and 53.8% of the &lt;</w:t>
      </w:r>
      <w:r w:rsidR="00C93E13">
        <w:rPr>
          <w:lang w:eastAsia="ja-JP"/>
        </w:rPr>
        <w:t xml:space="preserve"> </w:t>
      </w:r>
      <w:r w:rsidRPr="00F47D6E">
        <w:rPr>
          <w:lang w:eastAsia="ja-JP"/>
        </w:rPr>
        <w:t>30 kg and ≥ 30 kg groups, respectively.</w:t>
      </w:r>
    </w:p>
    <w:p w14:paraId="38DA6F18" w14:textId="5C4FD2D1" w:rsidR="00F47D6E" w:rsidRPr="00F47D6E" w:rsidRDefault="00F47D6E" w:rsidP="00F47D6E">
      <w:pPr>
        <w:rPr>
          <w:lang w:eastAsia="ja-JP"/>
        </w:rPr>
      </w:pPr>
      <w:r w:rsidRPr="00F47D6E">
        <w:rPr>
          <w:lang w:eastAsia="ja-JP"/>
        </w:rPr>
        <w:t xml:space="preserve">A total of 832 PK samples were collected from 51 patients. The observed median </w:t>
      </w:r>
      <w:r w:rsidR="00BD2603">
        <w:t>minimum plasma concentration</w:t>
      </w:r>
      <w:r w:rsidR="00BD2603" w:rsidRPr="00F47D6E">
        <w:rPr>
          <w:lang w:eastAsia="ja-JP"/>
        </w:rPr>
        <w:t xml:space="preserve"> </w:t>
      </w:r>
      <w:r w:rsidR="00BD2603">
        <w:rPr>
          <w:lang w:eastAsia="ja-JP"/>
        </w:rPr>
        <w:t>(</w:t>
      </w:r>
      <w:r w:rsidRPr="00F47D6E">
        <w:rPr>
          <w:lang w:eastAsia="ja-JP"/>
        </w:rPr>
        <w:t>C</w:t>
      </w:r>
      <w:r w:rsidRPr="00F47D6E">
        <w:rPr>
          <w:vertAlign w:val="subscript"/>
          <w:lang w:eastAsia="ja-JP"/>
        </w:rPr>
        <w:t>min</w:t>
      </w:r>
      <w:r w:rsidR="00BD2603">
        <w:rPr>
          <w:lang w:eastAsia="ja-JP"/>
        </w:rPr>
        <w:t>)</w:t>
      </w:r>
      <w:r w:rsidRPr="00F47D6E">
        <w:rPr>
          <w:lang w:eastAsia="ja-JP"/>
        </w:rPr>
        <w:t xml:space="preserve"> for </w:t>
      </w:r>
      <w:r w:rsidR="00424284">
        <w:rPr>
          <w:lang w:eastAsia="ja-JP"/>
        </w:rPr>
        <w:t>tocilizumab</w:t>
      </w:r>
      <w:r w:rsidRPr="00F47D6E">
        <w:rPr>
          <w:lang w:eastAsia="ja-JP"/>
        </w:rPr>
        <w:t xml:space="preserve"> naïve and prior </w:t>
      </w:r>
      <w:r w:rsidR="00424284">
        <w:rPr>
          <w:lang w:eastAsia="ja-JP"/>
        </w:rPr>
        <w:t>tocilizumab</w:t>
      </w:r>
      <w:r w:rsidRPr="00F47D6E">
        <w:rPr>
          <w:lang w:eastAsia="ja-JP"/>
        </w:rPr>
        <w:t xml:space="preserve"> patients by dosing regimen is described below in </w:t>
      </w:r>
      <w:r w:rsidRPr="00F47D6E">
        <w:rPr>
          <w:lang w:eastAsia="ja-JP"/>
        </w:rPr>
        <w:fldChar w:fldCharType="begin"/>
      </w:r>
      <w:r w:rsidRPr="00F47D6E">
        <w:rPr>
          <w:lang w:eastAsia="ja-JP"/>
        </w:rPr>
        <w:instrText xml:space="preserve"> REF _Ref23626375 \h  \* MERGEFORMAT </w:instrText>
      </w:r>
      <w:r w:rsidRPr="00F47D6E">
        <w:rPr>
          <w:lang w:eastAsia="ja-JP"/>
        </w:rPr>
      </w:r>
      <w:r w:rsidRPr="00F47D6E">
        <w:rPr>
          <w:lang w:eastAsia="ja-JP"/>
        </w:rPr>
        <w:fldChar w:fldCharType="separate"/>
      </w:r>
      <w:r w:rsidR="002E7174" w:rsidRPr="00F47D6E">
        <w:rPr>
          <w:lang w:eastAsia="ja-JP"/>
        </w:rPr>
        <w:t xml:space="preserve">Table </w:t>
      </w:r>
      <w:r w:rsidR="002E7174">
        <w:rPr>
          <w:lang w:eastAsia="ja-JP"/>
        </w:rPr>
        <w:t>2</w:t>
      </w:r>
      <w:r w:rsidRPr="00F47D6E">
        <w:rPr>
          <w:lang w:eastAsia="ja-JP"/>
        </w:rPr>
        <w:fldChar w:fldCharType="end"/>
      </w:r>
      <w:r w:rsidRPr="00F47D6E">
        <w:rPr>
          <w:lang w:eastAsia="ja-JP"/>
        </w:rPr>
        <w:t>. A higher C</w:t>
      </w:r>
      <w:r w:rsidRPr="00F47D6E">
        <w:rPr>
          <w:vertAlign w:val="subscript"/>
          <w:lang w:eastAsia="ja-JP"/>
        </w:rPr>
        <w:t>min</w:t>
      </w:r>
      <w:r w:rsidR="00BD2603">
        <w:rPr>
          <w:lang w:eastAsia="ja-JP"/>
        </w:rPr>
        <w:t xml:space="preserve"> was observed for the &lt; 30 </w:t>
      </w:r>
      <w:r w:rsidRPr="00F47D6E">
        <w:rPr>
          <w:lang w:eastAsia="ja-JP"/>
        </w:rPr>
        <w:t xml:space="preserve">kg BW Q10D dosing regimen compared to both the &lt;30 kg BW Q2W and the ≥ 30 kg BW QW dosing regimens. The results of model-computer PK parameters are discussed </w:t>
      </w:r>
      <w:r w:rsidR="00E355CE">
        <w:rPr>
          <w:lang w:eastAsia="ja-JP"/>
        </w:rPr>
        <w:t>under ‘Population pharmacokinetic data’, below.</w:t>
      </w:r>
    </w:p>
    <w:p w14:paraId="2EE4BF0A" w14:textId="7567D071" w:rsidR="00F47D6E" w:rsidRPr="00F47D6E" w:rsidRDefault="00F47D6E" w:rsidP="00733014">
      <w:pPr>
        <w:pStyle w:val="TableTitle"/>
        <w:keepLines/>
        <w:rPr>
          <w:lang w:eastAsia="ja-JP"/>
        </w:rPr>
      </w:pPr>
      <w:bookmarkStart w:id="41" w:name="_Ref23626375"/>
      <w:r w:rsidRPr="00F47D6E">
        <w:t xml:space="preserve">Table </w:t>
      </w:r>
      <w:fldSimple w:instr=" SEQ Table \* ARABIC ">
        <w:r w:rsidR="002E7174">
          <w:rPr>
            <w:noProof/>
          </w:rPr>
          <w:t>2</w:t>
        </w:r>
      </w:fldSimple>
      <w:bookmarkEnd w:id="41"/>
      <w:r w:rsidR="00C93E13">
        <w:rPr>
          <w:noProof/>
        </w:rPr>
        <w:t>:</w:t>
      </w:r>
      <w:r w:rsidRPr="00F47D6E">
        <w:t xml:space="preserve"> </w:t>
      </w:r>
      <w:r w:rsidR="00E355CE">
        <w:t xml:space="preserve">Study WA28118 </w:t>
      </w:r>
      <w:r w:rsidRPr="00F47D6E">
        <w:t xml:space="preserve">Minimum </w:t>
      </w:r>
      <w:r w:rsidR="00424284">
        <w:t>tocilizumab</w:t>
      </w:r>
      <w:r w:rsidRPr="00F47D6E">
        <w:t xml:space="preserve"> </w:t>
      </w:r>
      <w:r w:rsidR="0005292A">
        <w:t>s</w:t>
      </w:r>
      <w:r w:rsidRPr="00F47D6E">
        <w:t xml:space="preserve">erum </w:t>
      </w:r>
      <w:r w:rsidR="0005292A">
        <w:t>c</w:t>
      </w:r>
      <w:r w:rsidRPr="00F47D6E">
        <w:t xml:space="preserve">oncentrations by </w:t>
      </w:r>
      <w:r w:rsidR="0005292A">
        <w:t>v</w:t>
      </w:r>
      <w:r w:rsidRPr="00F47D6E">
        <w:t>isit</w:t>
      </w:r>
      <w:r w:rsidR="0005292A">
        <w:t>,</w:t>
      </w:r>
      <w:r w:rsidRPr="00F47D6E">
        <w:t xml:space="preserve"> by </w:t>
      </w:r>
      <w:r w:rsidR="00424284">
        <w:t>tocilizumab</w:t>
      </w:r>
      <w:r w:rsidRPr="00F47D6E">
        <w:t xml:space="preserve"> </w:t>
      </w:r>
      <w:r w:rsidR="0005292A">
        <w:t>s</w:t>
      </w:r>
      <w:r w:rsidRPr="00F47D6E">
        <w:t>tatus and body weight</w:t>
      </w:r>
    </w:p>
    <w:p w14:paraId="1881BBE0" w14:textId="1D5FBC94" w:rsidR="00F47D6E" w:rsidRDefault="00F47D6E" w:rsidP="000802D3">
      <w:r w:rsidRPr="00F47D6E">
        <w:rPr>
          <w:noProof/>
          <w:lang w:eastAsia="en-AU"/>
        </w:rPr>
        <w:drawing>
          <wp:inline distT="0" distB="0" distL="0" distR="0" wp14:anchorId="7AD3B1D6" wp14:editId="0A7742B3">
            <wp:extent cx="5383987" cy="2193321"/>
            <wp:effectExtent l="0" t="0" r="7620" b="0"/>
            <wp:docPr id="10" name="Picture 10" descr="Minimum tocilizumab serum concentrations by visit, by tocilizumab status and body we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398741" cy="2199332"/>
                    </a:xfrm>
                    <a:prstGeom prst="rect">
                      <a:avLst/>
                    </a:prstGeom>
                  </pic:spPr>
                </pic:pic>
              </a:graphicData>
            </a:graphic>
          </wp:inline>
        </w:drawing>
      </w:r>
    </w:p>
    <w:p w14:paraId="7CD242BE" w14:textId="7C25179E" w:rsidR="00C93E13" w:rsidRPr="00F47D6E" w:rsidRDefault="00C93E13" w:rsidP="000802D3">
      <w:pPr>
        <w:pStyle w:val="TableDescription"/>
      </w:pPr>
      <w:r>
        <w:t>TCZ = tocilizumab</w:t>
      </w:r>
    </w:p>
    <w:p w14:paraId="441140AA" w14:textId="5363258C" w:rsidR="00F47D6E" w:rsidRPr="00F47D6E" w:rsidRDefault="00733014" w:rsidP="00733014">
      <w:pPr>
        <w:pStyle w:val="Heading5"/>
      </w:pPr>
      <w:r>
        <w:t>Population pharmacokinetic</w:t>
      </w:r>
      <w:r w:rsidR="00F47D6E" w:rsidRPr="00F47D6E">
        <w:t xml:space="preserve"> data</w:t>
      </w:r>
    </w:p>
    <w:p w14:paraId="64EA8DC0" w14:textId="14B57CDF" w:rsidR="00F47D6E" w:rsidRPr="00F47D6E" w:rsidRDefault="00F47D6E" w:rsidP="00F47D6E">
      <w:pPr>
        <w:rPr>
          <w:lang w:eastAsia="ja-JP"/>
        </w:rPr>
      </w:pPr>
      <w:r w:rsidRPr="00F47D6E">
        <w:rPr>
          <w:lang w:eastAsia="ja-JP"/>
        </w:rPr>
        <w:t xml:space="preserve">The aim of the popPK analysis was to describe the PK properties of </w:t>
      </w:r>
      <w:r w:rsidR="00424284">
        <w:rPr>
          <w:lang w:eastAsia="ja-JP"/>
        </w:rPr>
        <w:t>tocilizumab</w:t>
      </w:r>
      <w:r w:rsidRPr="00F47D6E">
        <w:rPr>
          <w:lang w:eastAsia="ja-JP"/>
        </w:rPr>
        <w:t xml:space="preserve"> following multiple IV and SC dosing in patients with sJIA, to identify covariates that influence </w:t>
      </w:r>
      <w:r w:rsidR="00424284">
        <w:rPr>
          <w:lang w:eastAsia="ja-JP"/>
        </w:rPr>
        <w:t>tocilizumab</w:t>
      </w:r>
      <w:r w:rsidRPr="00F47D6E">
        <w:rPr>
          <w:lang w:eastAsia="ja-JP"/>
        </w:rPr>
        <w:t xml:space="preserve"> PK in these patients, and to compare </w:t>
      </w:r>
      <w:r w:rsidR="00424284">
        <w:rPr>
          <w:lang w:eastAsia="ja-JP"/>
        </w:rPr>
        <w:t>tocilizumab</w:t>
      </w:r>
      <w:r w:rsidRPr="00F47D6E">
        <w:rPr>
          <w:lang w:eastAsia="ja-JP"/>
        </w:rPr>
        <w:t xml:space="preserve"> exposure following IV (Q2W, </w:t>
      </w:r>
      <w:r w:rsidR="002537E9" w:rsidRPr="002537E9">
        <w:rPr>
          <w:lang w:eastAsia="ja-JP"/>
        </w:rPr>
        <w:t>12</w:t>
      </w:r>
      <w:r w:rsidRPr="002537E9">
        <w:rPr>
          <w:lang w:eastAsia="ja-JP"/>
        </w:rPr>
        <w:t xml:space="preserve"> mg/kg for BW &lt; 30 kg and </w:t>
      </w:r>
      <w:r w:rsidR="002537E9" w:rsidRPr="002537E9">
        <w:rPr>
          <w:lang w:eastAsia="ja-JP"/>
        </w:rPr>
        <w:t>8</w:t>
      </w:r>
      <w:r w:rsidRPr="002537E9">
        <w:rPr>
          <w:lang w:eastAsia="ja-JP"/>
        </w:rPr>
        <w:t xml:space="preserve"> mg/kg for BW </w:t>
      </w:r>
      <w:r w:rsidR="002537E9" w:rsidRPr="002537E9">
        <w:rPr>
          <w:lang w:eastAsia="ja-JP"/>
        </w:rPr>
        <w:t>≥</w:t>
      </w:r>
      <w:r w:rsidRPr="002537E9">
        <w:rPr>
          <w:lang w:eastAsia="ja-JP"/>
        </w:rPr>
        <w:t xml:space="preserve"> 30 kg</w:t>
      </w:r>
      <w:r w:rsidRPr="00F47D6E">
        <w:rPr>
          <w:lang w:eastAsia="ja-JP"/>
        </w:rPr>
        <w:t>) and SC (162 mg, Q2W for BW &lt; 30</w:t>
      </w:r>
      <w:r w:rsidR="003A496A">
        <w:rPr>
          <w:lang w:eastAsia="ja-JP"/>
        </w:rPr>
        <w:t> </w:t>
      </w:r>
      <w:r w:rsidRPr="00F47D6E">
        <w:rPr>
          <w:lang w:eastAsia="ja-JP"/>
        </w:rPr>
        <w:t xml:space="preserve">kg and QW for BW &gt; 30 kg) dosing. The study used data from sJIA </w:t>
      </w:r>
      <w:r w:rsidR="00C93E13">
        <w:rPr>
          <w:lang w:eastAsia="ja-JP"/>
        </w:rPr>
        <w:t>S</w:t>
      </w:r>
      <w:r w:rsidRPr="00F47D6E">
        <w:rPr>
          <w:lang w:eastAsia="ja-JP"/>
        </w:rPr>
        <w:t>tudies WA18221 and WA28118 in addition to the data used in the prior analysis.</w:t>
      </w:r>
      <w:r w:rsidRPr="00F47D6E">
        <w:t xml:space="preserve"> Study WA18221 was a 2</w:t>
      </w:r>
      <w:r w:rsidR="003A496A">
        <w:t> </w:t>
      </w:r>
      <w:r w:rsidRPr="00F47D6E">
        <w:t xml:space="preserve">year Phase III study of IV </w:t>
      </w:r>
      <w:r w:rsidR="00424284">
        <w:t>tocilizumab</w:t>
      </w:r>
      <w:r w:rsidRPr="00F47D6E">
        <w:t xml:space="preserve"> in patients with sJIA.</w:t>
      </w:r>
    </w:p>
    <w:p w14:paraId="154CF058" w14:textId="5DBCE4A4" w:rsidR="00F47D6E" w:rsidRPr="00F47D6E" w:rsidRDefault="00F47D6E" w:rsidP="00F47D6E">
      <w:pPr>
        <w:rPr>
          <w:lang w:eastAsia="ja-JP"/>
        </w:rPr>
      </w:pPr>
      <w:r w:rsidRPr="00F47D6E">
        <w:rPr>
          <w:lang w:eastAsia="ja-JP"/>
        </w:rPr>
        <w:t xml:space="preserve">The analysis dataset included 878 PK samples from 89 patients in </w:t>
      </w:r>
      <w:r w:rsidR="004F2EC6">
        <w:rPr>
          <w:lang w:eastAsia="ja-JP"/>
        </w:rPr>
        <w:t xml:space="preserve">Study </w:t>
      </w:r>
      <w:r w:rsidRPr="00F47D6E">
        <w:rPr>
          <w:lang w:eastAsia="ja-JP"/>
        </w:rPr>
        <w:t xml:space="preserve">WA18221 and 832 PK samples from 51 patients of Study WA28118 (25 patients with BW &lt; 30 kg and 26 patients with BW ≥ 30 kg). There were only 3 patients &lt; 2 years of age at </w:t>
      </w:r>
      <w:r w:rsidR="00B01BB8">
        <w:rPr>
          <w:lang w:eastAsia="ja-JP"/>
        </w:rPr>
        <w:t>B</w:t>
      </w:r>
      <w:r w:rsidRPr="00F47D6E">
        <w:rPr>
          <w:lang w:eastAsia="ja-JP"/>
        </w:rPr>
        <w:t xml:space="preserve">aseline (aged 17, 19 and 22 months) in </w:t>
      </w:r>
      <w:r w:rsidR="00C93E13">
        <w:rPr>
          <w:lang w:eastAsia="ja-JP"/>
        </w:rPr>
        <w:t>S</w:t>
      </w:r>
      <w:r w:rsidRPr="00F47D6E">
        <w:rPr>
          <w:lang w:eastAsia="ja-JP"/>
        </w:rPr>
        <w:t>tudy WA28118.</w:t>
      </w:r>
    </w:p>
    <w:p w14:paraId="43AD2188" w14:textId="4FBEB30C" w:rsidR="00F47D6E" w:rsidRPr="00F47D6E" w:rsidRDefault="00F47D6E" w:rsidP="00F47D6E">
      <w:r w:rsidRPr="00F47D6E">
        <w:t xml:space="preserve">The </w:t>
      </w:r>
      <w:r w:rsidR="00424284">
        <w:t>tocilizumab</w:t>
      </w:r>
      <w:r w:rsidRPr="00F47D6E">
        <w:t xml:space="preserve"> serum concentration-time course was described by a two</w:t>
      </w:r>
      <w:r w:rsidR="003A496A">
        <w:noBreakHyphen/>
      </w:r>
      <w:r w:rsidRPr="00F47D6E">
        <w:t xml:space="preserve">compartment PK model with first-order absorption (following SC administration) and parallel linear and </w:t>
      </w:r>
      <w:r w:rsidRPr="00F47D6E">
        <w:lastRenderedPageBreak/>
        <w:t xml:space="preserve">Michaelis-Menten elimination. The most significant covariates contributing to the variability in the PK parameters in sJIA patients were body size measures. </w:t>
      </w:r>
      <w:r w:rsidR="003A496A">
        <w:t>T</w:t>
      </w:r>
      <w:r w:rsidR="00424284">
        <w:t>ocilizumab</w:t>
      </w:r>
      <w:r w:rsidRPr="00F47D6E">
        <w:t xml:space="preserve"> PK parameters (clearance, inter-compartmental clearance, central and peripheral volumes, and maximum target-mediated elimination rate) increased with increasing body surface area (BSA), while SC absorption parameters (absolute bioavailability and absorption rate constant) decreased with increasing body mass index (BMI). Serum creatinine (which increased with age and correlated with body size parameters) also influenced maximum target-mediated elimination rate.</w:t>
      </w:r>
    </w:p>
    <w:p w14:paraId="63EC35C5" w14:textId="77777777" w:rsidR="00F47D6E" w:rsidRPr="00F47D6E" w:rsidRDefault="00F47D6E" w:rsidP="00F47D6E">
      <w:r w:rsidRPr="00F47D6E">
        <w:t>Absolute bioavailability was estimated to be 94.8% and the absorption half-life was estimated to be approximately 2 days following SC administration for a typical sJIA patient with BMI of 18 kg/m</w:t>
      </w:r>
      <w:r w:rsidRPr="00733014">
        <w:rPr>
          <w:vertAlign w:val="superscript"/>
        </w:rPr>
        <w:t>2</w:t>
      </w:r>
      <w:r w:rsidRPr="00F47D6E">
        <w:t>.</w:t>
      </w:r>
    </w:p>
    <w:p w14:paraId="77D7BED3" w14:textId="18C436C2" w:rsidR="00F47D6E" w:rsidRPr="00F47D6E" w:rsidRDefault="00F47D6E" w:rsidP="00F47D6E">
      <w:pPr>
        <w:rPr>
          <w:lang w:eastAsia="ja-JP"/>
        </w:rPr>
      </w:pPr>
      <w:r w:rsidRPr="00872258">
        <w:rPr>
          <w:lang w:eastAsia="ja-JP"/>
        </w:rPr>
        <w:t xml:space="preserve">Model computed median and range </w:t>
      </w:r>
      <w:r w:rsidR="00E355CE">
        <w:rPr>
          <w:lang w:eastAsia="ja-JP"/>
        </w:rPr>
        <w:t xml:space="preserve">for </w:t>
      </w:r>
      <w:r w:rsidR="004F2EC6" w:rsidRPr="00872258">
        <w:rPr>
          <w:lang w:eastAsia="ja-JP"/>
        </w:rPr>
        <w:t>C</w:t>
      </w:r>
      <w:r w:rsidR="004F2EC6" w:rsidRPr="00733014">
        <w:rPr>
          <w:vertAlign w:val="subscript"/>
          <w:lang w:eastAsia="ja-JP"/>
        </w:rPr>
        <w:t>min,ss</w:t>
      </w:r>
      <w:r w:rsidR="0037157D">
        <w:rPr>
          <w:lang w:eastAsia="ja-JP"/>
        </w:rPr>
        <w:t xml:space="preserve"> </w:t>
      </w:r>
      <w:r w:rsidRPr="00872258">
        <w:rPr>
          <w:lang w:eastAsia="ja-JP"/>
        </w:rPr>
        <w:t xml:space="preserve">and </w:t>
      </w:r>
      <w:r w:rsidR="00E355CE">
        <w:rPr>
          <w:lang w:eastAsia="ja-JP"/>
        </w:rPr>
        <w:t xml:space="preserve">the </w:t>
      </w:r>
      <w:r w:rsidR="00872258">
        <w:rPr>
          <w:lang w:eastAsia="ja-JP"/>
        </w:rPr>
        <w:t xml:space="preserve"> area under the concentration time curve at</w:t>
      </w:r>
      <w:r w:rsidR="00E355CE">
        <w:rPr>
          <w:lang w:eastAsia="ja-JP"/>
        </w:rPr>
        <w:t xml:space="preserve"> steady state at</w:t>
      </w:r>
      <w:r w:rsidR="00872258">
        <w:rPr>
          <w:lang w:eastAsia="ja-JP"/>
        </w:rPr>
        <w:t xml:space="preserve"> 2 weeks (</w:t>
      </w:r>
      <w:r w:rsidRPr="00872258">
        <w:rPr>
          <w:lang w:eastAsia="ja-JP"/>
        </w:rPr>
        <w:t>AUC</w:t>
      </w:r>
      <w:r w:rsidRPr="00872258">
        <w:rPr>
          <w:vertAlign w:val="subscript"/>
          <w:lang w:eastAsia="ja-JP"/>
        </w:rPr>
        <w:t>2weeks</w:t>
      </w:r>
      <w:r w:rsidR="004F2EC6" w:rsidRPr="00872258">
        <w:rPr>
          <w:vertAlign w:val="subscript"/>
          <w:lang w:eastAsia="ja-JP"/>
        </w:rPr>
        <w:t>,ss</w:t>
      </w:r>
      <w:r w:rsidR="00872258">
        <w:rPr>
          <w:lang w:eastAsia="ja-JP"/>
        </w:rPr>
        <w:t>)</w:t>
      </w:r>
      <w:r w:rsidRPr="00872258">
        <w:rPr>
          <w:lang w:eastAsia="ja-JP"/>
        </w:rPr>
        <w:t xml:space="preserve"> were similar following the </w:t>
      </w:r>
      <w:r w:rsidR="00424284" w:rsidRPr="00872258">
        <w:rPr>
          <w:lang w:eastAsia="ja-JP"/>
        </w:rPr>
        <w:t>tocilizumab</w:t>
      </w:r>
      <w:r w:rsidRPr="00872258">
        <w:rPr>
          <w:lang w:eastAsia="ja-JP"/>
        </w:rPr>
        <w:t xml:space="preserve"> SC 162 mg Q2W (BW &lt; 30 kg) and QW (BW ≥ 30 kg) regimens, while the median steady-state C</w:t>
      </w:r>
      <w:r w:rsidRPr="00872258">
        <w:rPr>
          <w:vertAlign w:val="subscript"/>
          <w:lang w:eastAsia="ja-JP"/>
        </w:rPr>
        <w:t>max</w:t>
      </w:r>
      <w:r w:rsidRPr="00872258">
        <w:rPr>
          <w:lang w:eastAsia="ja-JP"/>
        </w:rPr>
        <w:t xml:space="preserve"> </w:t>
      </w:r>
      <w:r w:rsidR="00872258">
        <w:rPr>
          <w:lang w:eastAsia="ja-JP"/>
        </w:rPr>
        <w:t>(C</w:t>
      </w:r>
      <w:r w:rsidR="00872258" w:rsidRPr="00733014">
        <w:rPr>
          <w:vertAlign w:val="subscript"/>
          <w:lang w:eastAsia="ja-JP"/>
        </w:rPr>
        <w:t>max,ss</w:t>
      </w:r>
      <w:r w:rsidR="00872258">
        <w:rPr>
          <w:lang w:eastAsia="ja-JP"/>
        </w:rPr>
        <w:t xml:space="preserve">) </w:t>
      </w:r>
      <w:r w:rsidRPr="00872258">
        <w:rPr>
          <w:lang w:eastAsia="ja-JP"/>
        </w:rPr>
        <w:t>was higher for patients in the &lt; 30 kg BW group compared with the ≥ 30 kg BW group (</w:t>
      </w:r>
      <w:r w:rsidRPr="00872258">
        <w:rPr>
          <w:lang w:eastAsia="ja-JP"/>
        </w:rPr>
        <w:fldChar w:fldCharType="begin"/>
      </w:r>
      <w:r w:rsidRPr="00872258">
        <w:rPr>
          <w:lang w:eastAsia="ja-JP"/>
        </w:rPr>
        <w:instrText xml:space="preserve"> REF _Ref11504320 \h </w:instrText>
      </w:r>
      <w:r w:rsidR="00565ECC" w:rsidRPr="00872258">
        <w:rPr>
          <w:lang w:eastAsia="ja-JP"/>
        </w:rPr>
        <w:instrText xml:space="preserve"> \* MERGEFORMAT </w:instrText>
      </w:r>
      <w:r w:rsidRPr="00872258">
        <w:rPr>
          <w:lang w:eastAsia="ja-JP"/>
        </w:rPr>
      </w:r>
      <w:r w:rsidRPr="00872258">
        <w:rPr>
          <w:lang w:eastAsia="ja-JP"/>
        </w:rPr>
        <w:fldChar w:fldCharType="separate"/>
      </w:r>
      <w:r w:rsidR="002E7174" w:rsidRPr="002E7174">
        <w:rPr>
          <w:noProof/>
          <w:sz w:val="19"/>
          <w:szCs w:val="18"/>
        </w:rPr>
        <w:t>Table</w:t>
      </w:r>
      <w:r w:rsidR="002E7174" w:rsidRPr="00F47D6E">
        <w:rPr>
          <w:lang w:eastAsia="ja-JP"/>
        </w:rPr>
        <w:t xml:space="preserve"> </w:t>
      </w:r>
      <w:r w:rsidR="002E7174">
        <w:rPr>
          <w:lang w:eastAsia="ja-JP"/>
        </w:rPr>
        <w:t>3</w:t>
      </w:r>
      <w:r w:rsidRPr="00872258">
        <w:rPr>
          <w:lang w:eastAsia="ja-JP"/>
        </w:rPr>
        <w:fldChar w:fldCharType="end"/>
      </w:r>
      <w:r w:rsidRPr="00872258">
        <w:rPr>
          <w:lang w:eastAsia="ja-JP"/>
        </w:rPr>
        <w:t>, below). More than 95% (n</w:t>
      </w:r>
      <w:r w:rsidR="004F2EC6" w:rsidRPr="00872258">
        <w:rPr>
          <w:lang w:eastAsia="ja-JP"/>
        </w:rPr>
        <w:t xml:space="preserve"> </w:t>
      </w:r>
      <w:r w:rsidRPr="00872258">
        <w:rPr>
          <w:lang w:eastAsia="ja-JP"/>
        </w:rPr>
        <w:t>=</w:t>
      </w:r>
      <w:r w:rsidR="004F2EC6" w:rsidRPr="00872258">
        <w:rPr>
          <w:lang w:eastAsia="ja-JP"/>
        </w:rPr>
        <w:t xml:space="preserve"> </w:t>
      </w:r>
      <w:r w:rsidRPr="00872258">
        <w:rPr>
          <w:lang w:eastAsia="ja-JP"/>
        </w:rPr>
        <w:t xml:space="preserve">49) of sJIA patients treated with </w:t>
      </w:r>
      <w:r w:rsidR="00424284" w:rsidRPr="00872258">
        <w:rPr>
          <w:lang w:eastAsia="ja-JP"/>
        </w:rPr>
        <w:t>tocilizumab</w:t>
      </w:r>
      <w:r w:rsidR="0037157D">
        <w:rPr>
          <w:lang w:eastAsia="ja-JP"/>
        </w:rPr>
        <w:t xml:space="preserve"> SC 162 </w:t>
      </w:r>
      <w:r w:rsidRPr="00872258">
        <w:rPr>
          <w:lang w:eastAsia="ja-JP"/>
        </w:rPr>
        <w:t>mg Q2W (BW &lt; 30 kg) and QW (BW ≥ 30 kg) had a model-computed C</w:t>
      </w:r>
      <w:r w:rsidRPr="00872258">
        <w:rPr>
          <w:vertAlign w:val="subscript"/>
          <w:lang w:eastAsia="ja-JP"/>
        </w:rPr>
        <w:t>min</w:t>
      </w:r>
      <w:r w:rsidR="00ED6E9E">
        <w:rPr>
          <w:vertAlign w:val="subscript"/>
          <w:lang w:eastAsia="ja-JP"/>
        </w:rPr>
        <w:t>,ss</w:t>
      </w:r>
      <w:r w:rsidRPr="00872258">
        <w:rPr>
          <w:lang w:eastAsia="ja-JP"/>
        </w:rPr>
        <w:t xml:space="preserve"> at least as high as that achieved with </w:t>
      </w:r>
      <w:r w:rsidR="00424284" w:rsidRPr="00872258">
        <w:rPr>
          <w:lang w:eastAsia="ja-JP"/>
        </w:rPr>
        <w:t>tocilizumab</w:t>
      </w:r>
      <w:r w:rsidRPr="00872258">
        <w:rPr>
          <w:lang w:eastAsia="ja-JP"/>
        </w:rPr>
        <w:t xml:space="preserve"> IV.</w:t>
      </w:r>
    </w:p>
    <w:p w14:paraId="2AC092F3" w14:textId="0A606BAE" w:rsidR="00F47D6E" w:rsidRPr="00F47D6E" w:rsidRDefault="00F47D6E" w:rsidP="00F47D6E">
      <w:pPr>
        <w:rPr>
          <w:lang w:eastAsia="ja-JP"/>
        </w:rPr>
      </w:pPr>
      <w:r w:rsidRPr="00F47D6E">
        <w:rPr>
          <w:lang w:eastAsia="ja-JP"/>
        </w:rPr>
        <w:t xml:space="preserve">The majority of sJIA patients receiving </w:t>
      </w:r>
      <w:r w:rsidR="00424284">
        <w:rPr>
          <w:lang w:eastAsia="ja-JP"/>
        </w:rPr>
        <w:t>tocilizumab</w:t>
      </w:r>
      <w:r w:rsidRPr="00F47D6E">
        <w:rPr>
          <w:lang w:eastAsia="ja-JP"/>
        </w:rPr>
        <w:t xml:space="preserve"> SC in both BW groups had a similar or higher C</w:t>
      </w:r>
      <w:r w:rsidRPr="00F47D6E">
        <w:rPr>
          <w:vertAlign w:val="subscript"/>
          <w:lang w:eastAsia="ja-JP"/>
        </w:rPr>
        <w:t>min</w:t>
      </w:r>
      <w:r w:rsidRPr="00F47D6E">
        <w:rPr>
          <w:lang w:eastAsia="ja-JP"/>
        </w:rPr>
        <w:t>, a lower median but similar range of steady-state AUC, but a much lower median and range of C</w:t>
      </w:r>
      <w:r w:rsidRPr="00F47D6E">
        <w:rPr>
          <w:vertAlign w:val="subscript"/>
          <w:lang w:eastAsia="ja-JP"/>
        </w:rPr>
        <w:t>max</w:t>
      </w:r>
      <w:r w:rsidRPr="00F47D6E">
        <w:rPr>
          <w:lang w:eastAsia="ja-JP"/>
        </w:rPr>
        <w:t xml:space="preserve"> than those achieved with </w:t>
      </w:r>
      <w:r w:rsidR="00424284">
        <w:rPr>
          <w:lang w:eastAsia="ja-JP"/>
        </w:rPr>
        <w:t>tocilizumab</w:t>
      </w:r>
      <w:r w:rsidRPr="00F47D6E">
        <w:rPr>
          <w:lang w:eastAsia="ja-JP"/>
        </w:rPr>
        <w:t xml:space="preserve"> IV.</w:t>
      </w:r>
    </w:p>
    <w:p w14:paraId="38D23624" w14:textId="250AC387" w:rsidR="00F47D6E" w:rsidRPr="00F47D6E" w:rsidRDefault="00F47D6E" w:rsidP="00733014">
      <w:pPr>
        <w:pStyle w:val="TableTitle"/>
      </w:pPr>
      <w:bookmarkStart w:id="42" w:name="_Ref11504320"/>
      <w:bookmarkStart w:id="43" w:name="_Toc17120036"/>
      <w:r w:rsidRPr="00F47D6E">
        <w:t xml:space="preserve">Table </w:t>
      </w:r>
      <w:fldSimple w:instr=" SEQ Table \* ARABIC ">
        <w:r w:rsidR="002E7174">
          <w:rPr>
            <w:noProof/>
          </w:rPr>
          <w:t>3</w:t>
        </w:r>
      </w:fldSimple>
      <w:bookmarkEnd w:id="42"/>
      <w:r w:rsidRPr="00F47D6E">
        <w:t xml:space="preserve">: Model </w:t>
      </w:r>
      <w:r w:rsidR="00910701">
        <w:t>c</w:t>
      </w:r>
      <w:r w:rsidRPr="00F47D6E">
        <w:t xml:space="preserve">omputed </w:t>
      </w:r>
      <w:r w:rsidR="00910701">
        <w:t>s</w:t>
      </w:r>
      <w:r w:rsidRPr="00F47D6E">
        <w:t>teady-</w:t>
      </w:r>
      <w:r w:rsidR="00910701">
        <w:t>s</w:t>
      </w:r>
      <w:r w:rsidRPr="00F47D6E">
        <w:t xml:space="preserve">tate </w:t>
      </w:r>
      <w:r w:rsidR="00910701">
        <w:t>pharmacokinetic</w:t>
      </w:r>
      <w:r w:rsidRPr="00F47D6E">
        <w:t xml:space="preserve"> </w:t>
      </w:r>
      <w:r w:rsidR="00910701">
        <w:t>p</w:t>
      </w:r>
      <w:r w:rsidRPr="00F47D6E">
        <w:t xml:space="preserve">arameters by </w:t>
      </w:r>
      <w:r w:rsidR="00910701">
        <w:t>r</w:t>
      </w:r>
      <w:r w:rsidRPr="00F47D6E">
        <w:t xml:space="preserve">egimen and </w:t>
      </w:r>
      <w:r w:rsidR="00910701">
        <w:t>body weight</w:t>
      </w:r>
      <w:r w:rsidRPr="00F47D6E">
        <w:t xml:space="preserve"> </w:t>
      </w:r>
      <w:r w:rsidR="00910701">
        <w:t>g</w:t>
      </w:r>
      <w:r w:rsidRPr="00F47D6E">
        <w:t>roup (</w:t>
      </w:r>
      <w:r w:rsidR="00910701">
        <w:t>m</w:t>
      </w:r>
      <w:r w:rsidRPr="00F47D6E">
        <w:t>edian [</w:t>
      </w:r>
      <w:r w:rsidR="00910701">
        <w:t>r</w:t>
      </w:r>
      <w:r w:rsidRPr="00F47D6E">
        <w:t>ange])</w:t>
      </w:r>
      <w:bookmarkEnd w:id="43"/>
    </w:p>
    <w:p w14:paraId="7373CFF4" w14:textId="77777777" w:rsidR="00F47D6E" w:rsidRPr="00F47D6E" w:rsidRDefault="00F47D6E" w:rsidP="000802D3">
      <w:pPr>
        <w:rPr>
          <w:lang w:eastAsia="ja-JP"/>
        </w:rPr>
      </w:pPr>
      <w:r w:rsidRPr="00F47D6E">
        <w:rPr>
          <w:noProof/>
          <w:lang w:eastAsia="en-AU"/>
        </w:rPr>
        <w:drawing>
          <wp:inline distT="0" distB="0" distL="0" distR="0" wp14:anchorId="73134601" wp14:editId="791BE47E">
            <wp:extent cx="5067300" cy="2571750"/>
            <wp:effectExtent l="0" t="0" r="0" b="0"/>
            <wp:docPr id="9" name="Picture 9" descr="Model computed steady-state pharmacokinetic parameters by regimen and body weight group (median [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067300" cy="2571750"/>
                    </a:xfrm>
                    <a:prstGeom prst="rect">
                      <a:avLst/>
                    </a:prstGeom>
                  </pic:spPr>
                </pic:pic>
              </a:graphicData>
            </a:graphic>
          </wp:inline>
        </w:drawing>
      </w:r>
    </w:p>
    <w:p w14:paraId="3CFDAB6B" w14:textId="4CCBCAAD" w:rsidR="00F47D6E" w:rsidRPr="00F47D6E" w:rsidRDefault="00F47D6E" w:rsidP="000802D3">
      <w:pPr>
        <w:pStyle w:val="TableDescription"/>
        <w:rPr>
          <w:lang w:eastAsia="ja-JP"/>
        </w:rPr>
      </w:pPr>
      <w:r w:rsidRPr="00F47D6E">
        <w:rPr>
          <w:lang w:eastAsia="ja-JP"/>
        </w:rPr>
        <w:t xml:space="preserve">The number of </w:t>
      </w:r>
      <w:r w:rsidR="00424284">
        <w:rPr>
          <w:lang w:eastAsia="ja-JP"/>
        </w:rPr>
        <w:t>tocilizumab</w:t>
      </w:r>
      <w:r w:rsidRPr="00F47D6E">
        <w:rPr>
          <w:lang w:eastAsia="ja-JP"/>
        </w:rPr>
        <w:t xml:space="preserve"> IV sJIA patients includes all patients randomi</w:t>
      </w:r>
      <w:r w:rsidR="004F2EC6">
        <w:rPr>
          <w:lang w:eastAsia="ja-JP"/>
        </w:rPr>
        <w:t>s</w:t>
      </w:r>
      <w:r w:rsidRPr="00F47D6E">
        <w:rPr>
          <w:lang w:eastAsia="ja-JP"/>
        </w:rPr>
        <w:t xml:space="preserve">ed to </w:t>
      </w:r>
      <w:r w:rsidR="00424284">
        <w:rPr>
          <w:lang w:eastAsia="ja-JP"/>
        </w:rPr>
        <w:t>tocilizumab</w:t>
      </w:r>
      <w:r w:rsidR="0037157D">
        <w:rPr>
          <w:lang w:eastAsia="ja-JP"/>
        </w:rPr>
        <w:t xml:space="preserve"> in Part I of Study </w:t>
      </w:r>
      <w:r w:rsidRPr="00F47D6E">
        <w:rPr>
          <w:lang w:eastAsia="ja-JP"/>
        </w:rPr>
        <w:t xml:space="preserve">WA18221, as well as any patient who escaped from placebo to </w:t>
      </w:r>
      <w:r w:rsidR="00424284">
        <w:rPr>
          <w:lang w:eastAsia="ja-JP"/>
        </w:rPr>
        <w:t>tocilizumab</w:t>
      </w:r>
      <w:r w:rsidRPr="00F47D6E">
        <w:rPr>
          <w:lang w:eastAsia="ja-JP"/>
        </w:rPr>
        <w:t xml:space="preserve"> in Part I and had a PK sample available.</w:t>
      </w:r>
    </w:p>
    <w:p w14:paraId="6AA5F160" w14:textId="4A31A492" w:rsidR="00F47D6E" w:rsidRPr="00F47D6E" w:rsidRDefault="00F47D6E" w:rsidP="00F47D6E">
      <w:pPr>
        <w:rPr>
          <w:lang w:eastAsia="ja-JP"/>
        </w:rPr>
      </w:pPr>
      <w:r w:rsidRPr="00F47D6E">
        <w:rPr>
          <w:lang w:eastAsia="ja-JP"/>
        </w:rPr>
        <w:t xml:space="preserve">The graphical analysis of exposure-safety relationships in sJIA patients from </w:t>
      </w:r>
      <w:r w:rsidR="00910701">
        <w:rPr>
          <w:lang w:eastAsia="ja-JP"/>
        </w:rPr>
        <w:t>S</w:t>
      </w:r>
      <w:r w:rsidRPr="00F47D6E">
        <w:rPr>
          <w:lang w:eastAsia="ja-JP"/>
        </w:rPr>
        <w:t>tudy</w:t>
      </w:r>
      <w:r w:rsidR="00910701">
        <w:rPr>
          <w:lang w:eastAsia="ja-JP"/>
        </w:rPr>
        <w:t> </w:t>
      </w:r>
      <w:r w:rsidRPr="00F47D6E">
        <w:rPr>
          <w:lang w:eastAsia="ja-JP"/>
        </w:rPr>
        <w:t xml:space="preserve">WA28118 showed that observed trough concentrations and predicted steady state values were similar in subjects with and without events. Probabilities for </w:t>
      </w:r>
      <w:r w:rsidR="007A2170">
        <w:rPr>
          <w:lang w:eastAsia="ja-JP"/>
        </w:rPr>
        <w:t>adverse events (</w:t>
      </w:r>
      <w:r w:rsidRPr="00F47D6E">
        <w:rPr>
          <w:lang w:eastAsia="ja-JP"/>
        </w:rPr>
        <w:t>AE</w:t>
      </w:r>
      <w:r w:rsidR="007A2170">
        <w:rPr>
          <w:lang w:eastAsia="ja-JP"/>
        </w:rPr>
        <w:t>)</w:t>
      </w:r>
      <w:r w:rsidRPr="00F47D6E">
        <w:rPr>
          <w:lang w:eastAsia="ja-JP"/>
        </w:rPr>
        <w:t xml:space="preserve"> were not significantly correlated with </w:t>
      </w:r>
      <w:r w:rsidR="00424284">
        <w:rPr>
          <w:lang w:eastAsia="ja-JP"/>
        </w:rPr>
        <w:t>tocilizumab</w:t>
      </w:r>
      <w:r w:rsidRPr="00F47D6E">
        <w:rPr>
          <w:lang w:eastAsia="ja-JP"/>
        </w:rPr>
        <w:t xml:space="preserve"> exposure for all classes of events analysed.</w:t>
      </w:r>
    </w:p>
    <w:p w14:paraId="7B29D0FB" w14:textId="3FB16C24" w:rsidR="00F47D6E" w:rsidRPr="00F47D6E" w:rsidRDefault="00F47D6E" w:rsidP="00F47D6E">
      <w:pPr>
        <w:rPr>
          <w:lang w:eastAsia="ja-JP"/>
        </w:rPr>
      </w:pPr>
      <w:r w:rsidRPr="00F47D6E">
        <w:rPr>
          <w:lang w:eastAsia="ja-JP"/>
        </w:rPr>
        <w:t xml:space="preserve">The graphical analysis of the main PD and efficacy parameters in sJIA patients from </w:t>
      </w:r>
      <w:r w:rsidR="00910701">
        <w:rPr>
          <w:lang w:eastAsia="ja-JP"/>
        </w:rPr>
        <w:t>S</w:t>
      </w:r>
      <w:r w:rsidRPr="00F47D6E">
        <w:rPr>
          <w:lang w:eastAsia="ja-JP"/>
        </w:rPr>
        <w:t>tudy</w:t>
      </w:r>
      <w:r w:rsidR="00910701">
        <w:rPr>
          <w:lang w:eastAsia="ja-JP"/>
        </w:rPr>
        <w:t> </w:t>
      </w:r>
      <w:r w:rsidRPr="00F47D6E">
        <w:rPr>
          <w:lang w:eastAsia="ja-JP"/>
        </w:rPr>
        <w:t>WA28118 showed that similar levels of efficacy (</w:t>
      </w:r>
      <w:r w:rsidR="00910701" w:rsidRPr="00910701">
        <w:rPr>
          <w:lang w:eastAsia="ja-JP"/>
        </w:rPr>
        <w:t xml:space="preserve">juvenile arthritis disease activity </w:t>
      </w:r>
      <w:r w:rsidR="00910701" w:rsidRPr="00910701">
        <w:rPr>
          <w:lang w:eastAsia="ja-JP"/>
        </w:rPr>
        <w:lastRenderedPageBreak/>
        <w:t xml:space="preserve">score </w:t>
      </w:r>
      <w:r w:rsidR="00ED6E9E">
        <w:rPr>
          <w:lang w:eastAsia="ja-JP"/>
        </w:rPr>
        <w:t>complete joint count</w:t>
      </w:r>
      <w:r w:rsidR="00910701" w:rsidRPr="00910701">
        <w:rPr>
          <w:lang w:eastAsia="ja-JP"/>
        </w:rPr>
        <w:t xml:space="preserve"> </w:t>
      </w:r>
      <w:r w:rsidR="00910701">
        <w:rPr>
          <w:lang w:eastAsia="ja-JP"/>
        </w:rPr>
        <w:t>(</w:t>
      </w:r>
      <w:r w:rsidRPr="00F47D6E">
        <w:rPr>
          <w:lang w:eastAsia="ja-JP"/>
        </w:rPr>
        <w:t>JADAS-71</w:t>
      </w:r>
      <w:r w:rsidR="00910701">
        <w:rPr>
          <w:lang w:eastAsia="ja-JP"/>
        </w:rPr>
        <w:t>)</w:t>
      </w:r>
      <w:r w:rsidR="00165A3F">
        <w:rPr>
          <w:rStyle w:val="FootnoteReference"/>
          <w:lang w:eastAsia="ja-JP"/>
        </w:rPr>
        <w:footnoteReference w:id="4"/>
      </w:r>
      <w:r w:rsidRPr="00F47D6E">
        <w:rPr>
          <w:lang w:eastAsia="ja-JP"/>
        </w:rPr>
        <w:t xml:space="preserve"> and </w:t>
      </w:r>
      <w:r w:rsidR="00FF420A">
        <w:rPr>
          <w:lang w:eastAsia="ja-JP"/>
        </w:rPr>
        <w:t>c</w:t>
      </w:r>
      <w:r w:rsidR="00FF420A" w:rsidRPr="00FF420A">
        <w:rPr>
          <w:lang w:eastAsia="ja-JP"/>
        </w:rPr>
        <w:t>hildhood health assessment questionnaire-disability index</w:t>
      </w:r>
      <w:r w:rsidR="00FF420A">
        <w:rPr>
          <w:lang w:eastAsia="ja-JP"/>
        </w:rPr>
        <w:t xml:space="preserve"> (</w:t>
      </w:r>
      <w:r w:rsidRPr="00F47D6E">
        <w:rPr>
          <w:lang w:eastAsia="ja-JP"/>
        </w:rPr>
        <w:t>CHAQ-DI</w:t>
      </w:r>
      <w:r w:rsidR="00FF420A">
        <w:rPr>
          <w:lang w:eastAsia="ja-JP"/>
        </w:rPr>
        <w:t>)</w:t>
      </w:r>
      <w:r w:rsidRPr="00F47D6E">
        <w:rPr>
          <w:lang w:eastAsia="ja-JP"/>
        </w:rPr>
        <w:t>)</w:t>
      </w:r>
      <w:r w:rsidR="00165A3F">
        <w:rPr>
          <w:rStyle w:val="FootnoteReference"/>
          <w:lang w:eastAsia="ja-JP"/>
        </w:rPr>
        <w:footnoteReference w:id="5"/>
      </w:r>
      <w:r w:rsidRPr="00F47D6E">
        <w:rPr>
          <w:lang w:eastAsia="ja-JP"/>
        </w:rPr>
        <w:t xml:space="preserve"> were observed across the range of exposures achieved following </w:t>
      </w:r>
      <w:r w:rsidR="00424284">
        <w:rPr>
          <w:lang w:eastAsia="ja-JP"/>
        </w:rPr>
        <w:t>tocilizumab</w:t>
      </w:r>
      <w:r w:rsidRPr="00F47D6E">
        <w:rPr>
          <w:lang w:eastAsia="ja-JP"/>
        </w:rPr>
        <w:t xml:space="preserve"> SC administration, and the variability in </w:t>
      </w:r>
      <w:r w:rsidR="00424284">
        <w:rPr>
          <w:lang w:eastAsia="ja-JP"/>
        </w:rPr>
        <w:t>tocilizumab</w:t>
      </w:r>
      <w:r w:rsidRPr="00F47D6E">
        <w:rPr>
          <w:lang w:eastAsia="ja-JP"/>
        </w:rPr>
        <w:t xml:space="preserve"> exposure was not associated with the variability in efficacy.</w:t>
      </w:r>
    </w:p>
    <w:p w14:paraId="0E43169C" w14:textId="77777777" w:rsidR="00F47D6E" w:rsidRPr="00F47D6E" w:rsidRDefault="00F47D6E" w:rsidP="00733014">
      <w:pPr>
        <w:pStyle w:val="Heading6"/>
        <w:rPr>
          <w:lang w:eastAsia="ja-JP"/>
        </w:rPr>
      </w:pPr>
      <w:bookmarkStart w:id="44" w:name="_Ref10448010"/>
      <w:r w:rsidRPr="00F47D6E">
        <w:rPr>
          <w:lang w:eastAsia="ja-JP"/>
        </w:rPr>
        <w:t>Study NP25737</w:t>
      </w:r>
      <w:bookmarkEnd w:id="44"/>
    </w:p>
    <w:p w14:paraId="3EC72807" w14:textId="2A994C2E" w:rsidR="00F47D6E" w:rsidRPr="00F47D6E" w:rsidRDefault="00F47D6E" w:rsidP="00F47D6E">
      <w:pPr>
        <w:rPr>
          <w:b/>
          <w:u w:val="single"/>
          <w:lang w:eastAsia="ja-JP"/>
        </w:rPr>
      </w:pPr>
      <w:r w:rsidRPr="00F47D6E">
        <w:rPr>
          <w:lang w:eastAsia="ja-JP"/>
        </w:rPr>
        <w:t xml:space="preserve">This Phase I study of </w:t>
      </w:r>
      <w:r w:rsidR="00424284">
        <w:rPr>
          <w:lang w:eastAsia="ja-JP"/>
        </w:rPr>
        <w:t>tocilizumab</w:t>
      </w:r>
      <w:r w:rsidRPr="00F47D6E">
        <w:rPr>
          <w:lang w:eastAsia="ja-JP"/>
        </w:rPr>
        <w:t xml:space="preserve"> IV in 11 patients with sJI</w:t>
      </w:r>
      <w:r w:rsidR="0037157D">
        <w:rPr>
          <w:lang w:eastAsia="ja-JP"/>
        </w:rPr>
        <w:t>A aged &lt; 2 years old weighing &lt; </w:t>
      </w:r>
      <w:r w:rsidRPr="00F47D6E">
        <w:rPr>
          <w:lang w:eastAsia="ja-JP"/>
        </w:rPr>
        <w:t xml:space="preserve">30 kg was evaluated in a previous submission. The study was included due to the limited number of sJIA patients aged &lt; 2 years contributing PK data in </w:t>
      </w:r>
      <w:r w:rsidR="00FF420A">
        <w:rPr>
          <w:lang w:eastAsia="ja-JP"/>
        </w:rPr>
        <w:t>S</w:t>
      </w:r>
      <w:r w:rsidRPr="00F47D6E">
        <w:rPr>
          <w:lang w:eastAsia="ja-JP"/>
        </w:rPr>
        <w:t>tudy</w:t>
      </w:r>
      <w:r w:rsidR="00FF420A">
        <w:rPr>
          <w:lang w:eastAsia="ja-JP"/>
        </w:rPr>
        <w:t> </w:t>
      </w:r>
      <w:r w:rsidRPr="00F47D6E">
        <w:rPr>
          <w:lang w:eastAsia="ja-JP"/>
        </w:rPr>
        <w:t xml:space="preserve">WA28118. The sponsor supplemented the SC database with model-predicted data from the </w:t>
      </w:r>
      <w:r w:rsidR="00424284">
        <w:rPr>
          <w:lang w:eastAsia="ja-JP"/>
        </w:rPr>
        <w:t>tocilizumab</w:t>
      </w:r>
      <w:r w:rsidRPr="00F47D6E">
        <w:rPr>
          <w:lang w:eastAsia="ja-JP"/>
        </w:rPr>
        <w:t xml:space="preserve"> IV </w:t>
      </w:r>
      <w:r w:rsidR="00FF420A">
        <w:rPr>
          <w:lang w:eastAsia="ja-JP"/>
        </w:rPr>
        <w:t>S</w:t>
      </w:r>
      <w:r w:rsidRPr="00F47D6E">
        <w:rPr>
          <w:lang w:eastAsia="ja-JP"/>
        </w:rPr>
        <w:t>tudy NP25737 and performed additional simulations</w:t>
      </w:r>
      <w:r w:rsidRPr="00F47D6E">
        <w:rPr>
          <w:rFonts w:ascii="Arial" w:eastAsiaTheme="minorHAnsi" w:hAnsi="Arial" w:cs="Arial"/>
        </w:rPr>
        <w:t xml:space="preserve"> </w:t>
      </w:r>
      <w:r w:rsidRPr="00F47D6E">
        <w:rPr>
          <w:lang w:eastAsia="ja-JP"/>
        </w:rPr>
        <w:t xml:space="preserve">to predict the exposures these patients would have achieved had they received the </w:t>
      </w:r>
      <w:r w:rsidR="00424284">
        <w:rPr>
          <w:lang w:eastAsia="ja-JP"/>
        </w:rPr>
        <w:t>tocilizumab</w:t>
      </w:r>
      <w:r w:rsidRPr="00F47D6E">
        <w:rPr>
          <w:lang w:eastAsia="ja-JP"/>
        </w:rPr>
        <w:t xml:space="preserve"> SC regimen.</w:t>
      </w:r>
    </w:p>
    <w:p w14:paraId="795767B6" w14:textId="73D4E1ED" w:rsidR="00F47D6E" w:rsidRPr="00F47D6E" w:rsidRDefault="00F47D6E" w:rsidP="00F47D6E">
      <w:pPr>
        <w:rPr>
          <w:lang w:eastAsia="ja-JP"/>
        </w:rPr>
      </w:pPr>
      <w:r w:rsidRPr="00F47D6E">
        <w:rPr>
          <w:lang w:eastAsia="ja-JP"/>
        </w:rPr>
        <w:t>In the PopPK model</w:t>
      </w:r>
      <w:r w:rsidRPr="00F47D6E">
        <w:rPr>
          <w:rFonts w:ascii="Arial" w:eastAsiaTheme="minorHAnsi" w:hAnsi="Arial" w:cs="Arial"/>
          <w:sz w:val="21"/>
          <w:szCs w:val="21"/>
        </w:rPr>
        <w:t xml:space="preserve"> </w:t>
      </w:r>
      <w:r w:rsidRPr="00F47D6E">
        <w:rPr>
          <w:lang w:eastAsia="ja-JP"/>
        </w:rPr>
        <w:t xml:space="preserve">of </w:t>
      </w:r>
      <w:r w:rsidR="00424284">
        <w:rPr>
          <w:lang w:eastAsia="ja-JP"/>
        </w:rPr>
        <w:t>tocilizumab</w:t>
      </w:r>
      <w:r w:rsidRPr="00F47D6E">
        <w:rPr>
          <w:lang w:eastAsia="ja-JP"/>
        </w:rPr>
        <w:t xml:space="preserve"> following IV administration of 8 mg/kg and 12</w:t>
      </w:r>
      <w:r w:rsidR="00FF420A">
        <w:rPr>
          <w:lang w:eastAsia="ja-JP"/>
        </w:rPr>
        <w:t> </w:t>
      </w:r>
      <w:r w:rsidRPr="00F47D6E">
        <w:rPr>
          <w:lang w:eastAsia="ja-JP"/>
        </w:rPr>
        <w:t>mg/kg and SC administ</w:t>
      </w:r>
      <w:r w:rsidR="0037157D">
        <w:rPr>
          <w:lang w:eastAsia="ja-JP"/>
        </w:rPr>
        <w:t xml:space="preserve">ration of 162 mg, the range of </w:t>
      </w:r>
      <w:r w:rsidRPr="00F47D6E">
        <w:rPr>
          <w:lang w:eastAsia="ja-JP"/>
        </w:rPr>
        <w:t>C</w:t>
      </w:r>
      <w:r w:rsidRPr="00F47D6E">
        <w:rPr>
          <w:vertAlign w:val="subscript"/>
          <w:lang w:eastAsia="ja-JP"/>
        </w:rPr>
        <w:t>min</w:t>
      </w:r>
      <w:r w:rsidR="00FF420A">
        <w:rPr>
          <w:vertAlign w:val="subscript"/>
          <w:lang w:eastAsia="ja-JP"/>
        </w:rPr>
        <w:t>,ss</w:t>
      </w:r>
      <w:r w:rsidRPr="00F47D6E">
        <w:rPr>
          <w:lang w:eastAsia="ja-JP"/>
        </w:rPr>
        <w:t xml:space="preserve"> achieved with the </w:t>
      </w:r>
      <w:r w:rsidR="00424284">
        <w:rPr>
          <w:lang w:eastAsia="ja-JP"/>
        </w:rPr>
        <w:t>tocilizumab</w:t>
      </w:r>
      <w:r w:rsidRPr="00F47D6E">
        <w:rPr>
          <w:lang w:eastAsia="ja-JP"/>
        </w:rPr>
        <w:t xml:space="preserve"> SC regimens is comparable to that achieved with the approved </w:t>
      </w:r>
      <w:r w:rsidR="00424284">
        <w:rPr>
          <w:lang w:eastAsia="ja-JP"/>
        </w:rPr>
        <w:t>tocilizumab</w:t>
      </w:r>
      <w:r w:rsidRPr="00F47D6E">
        <w:rPr>
          <w:lang w:eastAsia="ja-JP"/>
        </w:rPr>
        <w:t xml:space="preserve"> IV regimens, across the spectrum of BWs seen in the sJIA patient population. However, because </w:t>
      </w:r>
      <w:r w:rsidR="00424284">
        <w:rPr>
          <w:lang w:eastAsia="ja-JP"/>
        </w:rPr>
        <w:t>tocilizumab</w:t>
      </w:r>
      <w:r w:rsidRPr="00F47D6E">
        <w:rPr>
          <w:lang w:eastAsia="ja-JP"/>
        </w:rPr>
        <w:t xml:space="preserve"> SC is administered as a fixed dose (162 mg/0.9 mL SC injection), exposure is inversely correlated with BW, with patients at the lower end of each body weight category experiencing higher </w:t>
      </w:r>
      <w:r w:rsidR="00424284">
        <w:rPr>
          <w:lang w:eastAsia="ja-JP"/>
        </w:rPr>
        <w:t>tocilizumab</w:t>
      </w:r>
      <w:r w:rsidRPr="00F47D6E">
        <w:rPr>
          <w:lang w:eastAsia="ja-JP"/>
        </w:rPr>
        <w:t xml:space="preserve"> concentrations compared to children at the higher end of the BW category. Therefore, for infants aged 1</w:t>
      </w:r>
      <w:r w:rsidR="00FF420A">
        <w:rPr>
          <w:lang w:eastAsia="ja-JP"/>
        </w:rPr>
        <w:t xml:space="preserve"> to </w:t>
      </w:r>
      <w:r w:rsidRPr="00F47D6E">
        <w:rPr>
          <w:lang w:eastAsia="ja-JP"/>
        </w:rPr>
        <w:t xml:space="preserve">2 years, there is the potential for higher exposure and safety issues with the </w:t>
      </w:r>
      <w:r w:rsidR="00424284">
        <w:rPr>
          <w:lang w:eastAsia="ja-JP"/>
        </w:rPr>
        <w:t>tocilizumab</w:t>
      </w:r>
      <w:r w:rsidRPr="00F47D6E">
        <w:rPr>
          <w:lang w:eastAsia="ja-JP"/>
        </w:rPr>
        <w:t xml:space="preserve"> SC route of administration.</w:t>
      </w:r>
    </w:p>
    <w:p w14:paraId="2932A2C9" w14:textId="77777777" w:rsidR="00F47D6E" w:rsidRPr="00733014" w:rsidRDefault="00F47D6E" w:rsidP="00733014">
      <w:pPr>
        <w:pStyle w:val="Heading6"/>
        <w:rPr>
          <w:lang w:eastAsia="ja-JP"/>
        </w:rPr>
      </w:pPr>
      <w:r w:rsidRPr="00733014">
        <w:rPr>
          <w:lang w:eastAsia="ja-JP"/>
        </w:rPr>
        <w:t>Study WA28118</w:t>
      </w:r>
    </w:p>
    <w:p w14:paraId="169BC1A1" w14:textId="09305B43" w:rsidR="00F47D6E" w:rsidRPr="00F47D6E" w:rsidRDefault="00733014" w:rsidP="00F47D6E">
      <w:pPr>
        <w:rPr>
          <w:lang w:eastAsia="ja-JP"/>
        </w:rPr>
      </w:pPr>
      <w:r>
        <w:rPr>
          <w:lang w:eastAsia="ja-JP"/>
        </w:rPr>
        <w:t>The simulated</w:t>
      </w:r>
      <w:r w:rsidR="00F47D6E" w:rsidRPr="00F47D6E">
        <w:rPr>
          <w:lang w:eastAsia="ja-JP"/>
        </w:rPr>
        <w:t xml:space="preserve"> C</w:t>
      </w:r>
      <w:r w:rsidR="00F47D6E" w:rsidRPr="00F47D6E">
        <w:rPr>
          <w:vertAlign w:val="subscript"/>
          <w:lang w:eastAsia="ja-JP"/>
        </w:rPr>
        <w:t>min</w:t>
      </w:r>
      <w:r w:rsidR="00FF420A">
        <w:rPr>
          <w:vertAlign w:val="subscript"/>
          <w:lang w:eastAsia="ja-JP"/>
        </w:rPr>
        <w:t>,ss</w:t>
      </w:r>
      <w:r w:rsidR="00F47D6E" w:rsidRPr="00F47D6E">
        <w:rPr>
          <w:lang w:eastAsia="ja-JP"/>
        </w:rPr>
        <w:t xml:space="preserve"> for the sJIA patients in Study WA28118 are shown in </w:t>
      </w:r>
      <w:r w:rsidR="00F47D6E" w:rsidRPr="00F47D6E">
        <w:rPr>
          <w:lang w:eastAsia="ja-JP"/>
        </w:rPr>
        <w:fldChar w:fldCharType="begin"/>
      </w:r>
      <w:r w:rsidR="00F47D6E" w:rsidRPr="00F47D6E">
        <w:rPr>
          <w:lang w:eastAsia="ja-JP"/>
        </w:rPr>
        <w:instrText xml:space="preserve"> REF _Ref10457281 \h </w:instrText>
      </w:r>
      <w:r w:rsidR="00F47D6E" w:rsidRPr="00F47D6E">
        <w:rPr>
          <w:lang w:eastAsia="ja-JP"/>
        </w:rPr>
      </w:r>
      <w:r w:rsidR="00F47D6E" w:rsidRPr="00F47D6E">
        <w:rPr>
          <w:lang w:eastAsia="ja-JP"/>
        </w:rPr>
        <w:fldChar w:fldCharType="separate"/>
      </w:r>
      <w:r w:rsidR="002E7174" w:rsidRPr="00F47D6E">
        <w:t xml:space="preserve">Figure </w:t>
      </w:r>
      <w:r w:rsidR="002E7174">
        <w:rPr>
          <w:noProof/>
        </w:rPr>
        <w:t>1</w:t>
      </w:r>
      <w:r w:rsidR="00F47D6E" w:rsidRPr="00F47D6E">
        <w:rPr>
          <w:lang w:eastAsia="ja-JP"/>
        </w:rPr>
        <w:fldChar w:fldCharType="end"/>
      </w:r>
      <w:r w:rsidR="00F47D6E" w:rsidRPr="00F47D6E">
        <w:rPr>
          <w:lang w:eastAsia="ja-JP"/>
        </w:rPr>
        <w:t>. The</w:t>
      </w:r>
      <w:r w:rsidR="00F81697">
        <w:rPr>
          <w:lang w:eastAsia="ja-JP"/>
        </w:rPr>
        <w:t> </w:t>
      </w:r>
      <w:r w:rsidR="00F47D6E" w:rsidRPr="00F47D6E">
        <w:rPr>
          <w:lang w:eastAsia="ja-JP"/>
        </w:rPr>
        <w:t>3</w:t>
      </w:r>
      <w:r w:rsidR="00F81697">
        <w:rPr>
          <w:lang w:eastAsia="ja-JP"/>
        </w:rPr>
        <w:t> </w:t>
      </w:r>
      <w:r w:rsidR="00F47D6E" w:rsidRPr="00F47D6E">
        <w:rPr>
          <w:lang w:eastAsia="ja-JP"/>
        </w:rPr>
        <w:t>patients aged &lt; 2 years (shown as red dots) had C</w:t>
      </w:r>
      <w:r w:rsidR="00F47D6E" w:rsidRPr="00F47D6E">
        <w:rPr>
          <w:vertAlign w:val="subscript"/>
          <w:lang w:eastAsia="ja-JP"/>
        </w:rPr>
        <w:t>min</w:t>
      </w:r>
      <w:r w:rsidR="0037157D">
        <w:rPr>
          <w:vertAlign w:val="subscript"/>
          <w:lang w:eastAsia="ja-JP"/>
        </w:rPr>
        <w:t>,ss</w:t>
      </w:r>
      <w:r w:rsidR="00F47D6E" w:rsidRPr="00F47D6E">
        <w:rPr>
          <w:lang w:eastAsia="ja-JP"/>
        </w:rPr>
        <w:t xml:space="preserve"> </w:t>
      </w:r>
      <w:r w:rsidR="0037157D">
        <w:rPr>
          <w:lang w:eastAsia="ja-JP"/>
        </w:rPr>
        <w:t xml:space="preserve">values </w:t>
      </w:r>
      <w:r w:rsidR="00F47D6E" w:rsidRPr="00F47D6E">
        <w:rPr>
          <w:lang w:eastAsia="ja-JP"/>
        </w:rPr>
        <w:t>that w</w:t>
      </w:r>
      <w:r w:rsidR="0037157D">
        <w:rPr>
          <w:lang w:eastAsia="ja-JP"/>
        </w:rPr>
        <w:t>ere at the higher end for the &lt; </w:t>
      </w:r>
      <w:r w:rsidR="00F47D6E" w:rsidRPr="00F47D6E">
        <w:rPr>
          <w:lang w:eastAsia="ja-JP"/>
        </w:rPr>
        <w:t>30 kg BW category, but were within the range of C</w:t>
      </w:r>
      <w:r w:rsidR="00F47D6E" w:rsidRPr="00F47D6E">
        <w:rPr>
          <w:vertAlign w:val="subscript"/>
          <w:lang w:eastAsia="ja-JP"/>
        </w:rPr>
        <w:t>min</w:t>
      </w:r>
      <w:r w:rsidR="00FF420A">
        <w:rPr>
          <w:vertAlign w:val="subscript"/>
          <w:lang w:eastAsia="ja-JP"/>
        </w:rPr>
        <w:t>,ss</w:t>
      </w:r>
      <w:r w:rsidR="00F47D6E" w:rsidRPr="00F47D6E">
        <w:rPr>
          <w:lang w:eastAsia="ja-JP"/>
        </w:rPr>
        <w:t xml:space="preserve"> achieved in patients in the ≥ 30 kg group. Even the highest C</w:t>
      </w:r>
      <w:r w:rsidR="00F47D6E" w:rsidRPr="00F47D6E">
        <w:rPr>
          <w:vertAlign w:val="subscript"/>
          <w:lang w:eastAsia="ja-JP"/>
        </w:rPr>
        <w:t>min</w:t>
      </w:r>
      <w:r w:rsidR="00FF420A">
        <w:rPr>
          <w:vertAlign w:val="subscript"/>
          <w:lang w:eastAsia="ja-JP"/>
        </w:rPr>
        <w:t>,ss</w:t>
      </w:r>
      <w:r w:rsidR="00F47D6E" w:rsidRPr="00F47D6E">
        <w:rPr>
          <w:lang w:eastAsia="ja-JP"/>
        </w:rPr>
        <w:t xml:space="preserve"> (in the lightest patient aged 25</w:t>
      </w:r>
      <w:r w:rsidR="00F81697">
        <w:rPr>
          <w:lang w:eastAsia="ja-JP"/>
        </w:rPr>
        <w:t> </w:t>
      </w:r>
      <w:r w:rsidR="00F47D6E" w:rsidRPr="00F47D6E">
        <w:rPr>
          <w:lang w:eastAsia="ja-JP"/>
        </w:rPr>
        <w:t>months with a weight of 9.2 kg) was within the range predicted for patients in the ≥ 30 kg group. Efficacy (</w:t>
      </w:r>
      <w:r w:rsidR="00F81697">
        <w:rPr>
          <w:lang w:eastAsia="ja-JP"/>
        </w:rPr>
        <w:t xml:space="preserve">via </w:t>
      </w:r>
      <w:r w:rsidR="00F47D6E" w:rsidRPr="00F47D6E">
        <w:rPr>
          <w:lang w:eastAsia="ja-JP"/>
        </w:rPr>
        <w:t>JADAS-71) was maintained or improved in these 4 lightest patients and the safety profile was comparable to that of patients aged ≥ 2 years.</w:t>
      </w:r>
    </w:p>
    <w:p w14:paraId="705FF156" w14:textId="107C4817" w:rsidR="00F47D6E" w:rsidRPr="00733014" w:rsidRDefault="00F47D6E" w:rsidP="00733014">
      <w:pPr>
        <w:pStyle w:val="FigureTitle"/>
      </w:pPr>
      <w:bookmarkStart w:id="45" w:name="_Ref10457281"/>
      <w:bookmarkStart w:id="46" w:name="_Toc17120062"/>
      <w:r w:rsidRPr="00F47D6E">
        <w:lastRenderedPageBreak/>
        <w:t xml:space="preserve">Figure </w:t>
      </w:r>
      <w:fldSimple w:instr=" SEQ Figure \* ARABIC ">
        <w:r w:rsidR="002E7174">
          <w:rPr>
            <w:noProof/>
          </w:rPr>
          <w:t>1</w:t>
        </w:r>
      </w:fldSimple>
      <w:bookmarkEnd w:id="45"/>
      <w:r w:rsidRPr="00F47D6E">
        <w:t xml:space="preserve">: </w:t>
      </w:r>
      <w:r w:rsidR="00F81697">
        <w:t xml:space="preserve">Study WA28118 </w:t>
      </w:r>
      <w:r w:rsidRPr="00FF420A">
        <w:t xml:space="preserve">Simulated </w:t>
      </w:r>
      <w:r w:rsidR="00FF420A" w:rsidRPr="00FF420A">
        <w:t>s</w:t>
      </w:r>
      <w:r w:rsidRPr="00FF420A">
        <w:t>teady-</w:t>
      </w:r>
      <w:r w:rsidR="00FF420A" w:rsidRPr="00FF420A">
        <w:t>s</w:t>
      </w:r>
      <w:r w:rsidRPr="00FF420A">
        <w:t xml:space="preserve">tate </w:t>
      </w:r>
      <w:r w:rsidR="00FF420A" w:rsidRPr="00FF420A">
        <w:t xml:space="preserve">minimum plasma concentration </w:t>
      </w:r>
      <w:r w:rsidRPr="00FF420A">
        <w:t xml:space="preserve">for </w:t>
      </w:r>
      <w:r w:rsidR="00424284" w:rsidRPr="00FF420A">
        <w:t>tocilizumab</w:t>
      </w:r>
      <w:r w:rsidRPr="00FF420A">
        <w:t xml:space="preserve"> </w:t>
      </w:r>
      <w:r w:rsidR="00FF420A">
        <w:t xml:space="preserve">subcutaneous once every 2 weeks </w:t>
      </w:r>
      <w:r w:rsidRPr="00FF420A">
        <w:t>(&lt;</w:t>
      </w:r>
      <w:r w:rsidRPr="00FF420A">
        <w:rPr>
          <w:rFonts w:hint="eastAsia"/>
        </w:rPr>
        <w:t xml:space="preserve"> </w:t>
      </w:r>
      <w:r w:rsidRPr="00FF420A">
        <w:t xml:space="preserve">30 kg) or </w:t>
      </w:r>
      <w:r w:rsidR="00FF420A">
        <w:t xml:space="preserve">subcutaneous once weekly </w:t>
      </w:r>
      <w:r w:rsidRPr="00FF420A">
        <w:t xml:space="preserve">(≥ 30 kg) in </w:t>
      </w:r>
      <w:r w:rsidR="00FF420A">
        <w:t>p</w:t>
      </w:r>
      <w:r w:rsidRPr="00FF420A">
        <w:t xml:space="preserve">atients with </w:t>
      </w:r>
      <w:bookmarkEnd w:id="46"/>
      <w:r w:rsidR="00F81697">
        <w:t>systemic juvenile idiopathic arthritis</w:t>
      </w:r>
    </w:p>
    <w:p w14:paraId="2BBA64C2" w14:textId="77777777" w:rsidR="00F47D6E" w:rsidRPr="00F47D6E" w:rsidRDefault="00F47D6E" w:rsidP="00F47D6E">
      <w:pPr>
        <w:keepNext/>
        <w:keepLines/>
        <w:spacing w:after="0"/>
        <w:rPr>
          <w:lang w:eastAsia="ja-JP"/>
        </w:rPr>
      </w:pPr>
      <w:r w:rsidRPr="00F47D6E">
        <w:rPr>
          <w:noProof/>
          <w:lang w:eastAsia="en-AU"/>
        </w:rPr>
        <w:drawing>
          <wp:inline distT="0" distB="0" distL="0" distR="0" wp14:anchorId="30018026" wp14:editId="737A897B">
            <wp:extent cx="3778250" cy="2901950"/>
            <wp:effectExtent l="0" t="0" r="0" b="0"/>
            <wp:docPr id="3" name="Picture 3" descr="Simulated steady-state minimum plasma concentration for tocilizumab subcutaneous once every 2 weeks (&lt; 30 kg) or subcutaneous once weekly (≥ 30 kg) in patients with sJIA (Study WA28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778250" cy="2901950"/>
                    </a:xfrm>
                    <a:prstGeom prst="rect">
                      <a:avLst/>
                    </a:prstGeom>
                  </pic:spPr>
                </pic:pic>
              </a:graphicData>
            </a:graphic>
          </wp:inline>
        </w:drawing>
      </w:r>
    </w:p>
    <w:p w14:paraId="47318A2C" w14:textId="44F0F0F1" w:rsidR="00DE29C2" w:rsidRDefault="00F47D6E" w:rsidP="0037157D">
      <w:pPr>
        <w:pStyle w:val="TableDescription"/>
        <w:rPr>
          <w:u w:val="single"/>
          <w:lang w:eastAsia="ja-JP"/>
        </w:rPr>
      </w:pPr>
      <w:r w:rsidRPr="00F47D6E">
        <w:rPr>
          <w:lang w:eastAsia="ja-JP"/>
        </w:rPr>
        <w:t>Each circle represents 1 patient. Red dots are p</w:t>
      </w:r>
      <w:r w:rsidR="002A34D9">
        <w:rPr>
          <w:lang w:eastAsia="ja-JP"/>
        </w:rPr>
        <w:t>atients &lt; 2 years old (n = 3). The b</w:t>
      </w:r>
      <w:r w:rsidRPr="00F47D6E">
        <w:rPr>
          <w:lang w:eastAsia="ja-JP"/>
        </w:rPr>
        <w:t>lue dot is the lightest patient in Study WA28118 (age 25 months, 9.2 kg).</w:t>
      </w:r>
    </w:p>
    <w:p w14:paraId="47687002" w14:textId="60A0A6E4" w:rsidR="00C71701" w:rsidRPr="0065475C" w:rsidRDefault="00C71701" w:rsidP="00733014">
      <w:pPr>
        <w:pStyle w:val="Heading6"/>
        <w:rPr>
          <w:lang w:eastAsia="ja-JP"/>
        </w:rPr>
      </w:pPr>
      <w:r w:rsidRPr="0065475C">
        <w:rPr>
          <w:lang w:eastAsia="ja-JP"/>
        </w:rPr>
        <w:t>Study NP25737</w:t>
      </w:r>
    </w:p>
    <w:p w14:paraId="4A660816" w14:textId="7ACFF768" w:rsidR="00F47D6E" w:rsidRPr="00F47D6E" w:rsidRDefault="00F47D6E" w:rsidP="00F47D6E">
      <w:pPr>
        <w:rPr>
          <w:lang w:eastAsia="ja-JP"/>
        </w:rPr>
      </w:pPr>
      <w:r w:rsidRPr="00F47D6E">
        <w:rPr>
          <w:lang w:eastAsia="ja-JP"/>
        </w:rPr>
        <w:t xml:space="preserve">Individual PK parameters (post-hoc) obtained for each patient in Study NP25737 were used to simulate the individual </w:t>
      </w:r>
      <w:r w:rsidR="00424284">
        <w:rPr>
          <w:lang w:eastAsia="ja-JP"/>
        </w:rPr>
        <w:t>tocilizumab</w:t>
      </w:r>
      <w:r w:rsidRPr="00F47D6E">
        <w:rPr>
          <w:lang w:eastAsia="ja-JP"/>
        </w:rPr>
        <w:t xml:space="preserve"> concentra</w:t>
      </w:r>
      <w:r w:rsidR="002A34D9">
        <w:rPr>
          <w:lang w:eastAsia="ja-JP"/>
        </w:rPr>
        <w:t>tion-time profiles for these 11 </w:t>
      </w:r>
      <w:r w:rsidRPr="00F47D6E">
        <w:rPr>
          <w:lang w:eastAsia="ja-JP"/>
        </w:rPr>
        <w:t xml:space="preserve">patients aged &lt; 2 years for the 162 mg </w:t>
      </w:r>
      <w:r w:rsidR="00424284">
        <w:rPr>
          <w:lang w:eastAsia="ja-JP"/>
        </w:rPr>
        <w:t>tocilizumab</w:t>
      </w:r>
      <w:r w:rsidRPr="00F47D6E">
        <w:rPr>
          <w:lang w:eastAsia="ja-JP"/>
        </w:rPr>
        <w:t xml:space="preserve"> SC Q2W regimen.</w:t>
      </w:r>
    </w:p>
    <w:p w14:paraId="47510C68" w14:textId="218573CD" w:rsidR="00F47D6E" w:rsidRPr="00F47D6E" w:rsidRDefault="00F47D6E" w:rsidP="00F47D6E">
      <w:pPr>
        <w:rPr>
          <w:lang w:eastAsia="ja-JP"/>
        </w:rPr>
      </w:pPr>
      <w:r w:rsidRPr="00F47D6E">
        <w:rPr>
          <w:lang w:eastAsia="ja-JP"/>
        </w:rPr>
        <w:t>The model-predicted C</w:t>
      </w:r>
      <w:r w:rsidRPr="00F47D6E">
        <w:rPr>
          <w:vertAlign w:val="subscript"/>
          <w:lang w:eastAsia="ja-JP"/>
        </w:rPr>
        <w:t>min</w:t>
      </w:r>
      <w:r w:rsidR="00FF420A">
        <w:rPr>
          <w:vertAlign w:val="subscript"/>
          <w:lang w:eastAsia="ja-JP"/>
        </w:rPr>
        <w:t>,ss</w:t>
      </w:r>
      <w:r w:rsidRPr="00F47D6E">
        <w:rPr>
          <w:lang w:eastAsia="ja-JP"/>
        </w:rPr>
        <w:t xml:space="preserve"> values for the </w:t>
      </w:r>
      <w:r w:rsidR="00424284">
        <w:rPr>
          <w:lang w:eastAsia="ja-JP"/>
        </w:rPr>
        <w:t>tocilizumab</w:t>
      </w:r>
      <w:r w:rsidRPr="00F47D6E">
        <w:rPr>
          <w:lang w:eastAsia="ja-JP"/>
        </w:rPr>
        <w:t xml:space="preserve"> SC </w:t>
      </w:r>
      <w:r w:rsidR="002A34D9">
        <w:rPr>
          <w:lang w:eastAsia="ja-JP"/>
        </w:rPr>
        <w:t>Q2W regimen for patients aged &lt; </w:t>
      </w:r>
      <w:r w:rsidRPr="00F47D6E">
        <w:rPr>
          <w:lang w:eastAsia="ja-JP"/>
        </w:rPr>
        <w:t>2 years from Study NP25737, and those for patients aged ≥ 1 year in Study WA28118 (</w:t>
      </w:r>
      <w:r w:rsidR="00424284">
        <w:rPr>
          <w:lang w:eastAsia="ja-JP"/>
        </w:rPr>
        <w:t>tocilizumab</w:t>
      </w:r>
      <w:r w:rsidRPr="00F47D6E">
        <w:rPr>
          <w:lang w:eastAsia="ja-JP"/>
        </w:rPr>
        <w:t xml:space="preserve"> SC Q2W and QW) are shown in </w:t>
      </w:r>
      <w:r w:rsidR="00027E93">
        <w:rPr>
          <w:lang w:eastAsia="ja-JP"/>
        </w:rPr>
        <w:fldChar w:fldCharType="begin"/>
      </w:r>
      <w:r w:rsidR="00027E93">
        <w:rPr>
          <w:lang w:eastAsia="ja-JP"/>
        </w:rPr>
        <w:instrText xml:space="preserve"> REF _Ref10466106 \h </w:instrText>
      </w:r>
      <w:r w:rsidR="00027E93">
        <w:rPr>
          <w:lang w:eastAsia="ja-JP"/>
        </w:rPr>
      </w:r>
      <w:r w:rsidR="00027E93">
        <w:rPr>
          <w:lang w:eastAsia="ja-JP"/>
        </w:rPr>
        <w:fldChar w:fldCharType="separate"/>
      </w:r>
      <w:r w:rsidR="002E7174" w:rsidRPr="00C0042D">
        <w:t xml:space="preserve">Figure </w:t>
      </w:r>
      <w:r w:rsidR="002E7174">
        <w:rPr>
          <w:noProof/>
        </w:rPr>
        <w:t>2</w:t>
      </w:r>
      <w:r w:rsidR="00027E93">
        <w:rPr>
          <w:lang w:eastAsia="ja-JP"/>
        </w:rPr>
        <w:fldChar w:fldCharType="end"/>
      </w:r>
      <w:r w:rsidRPr="00F47D6E">
        <w:rPr>
          <w:lang w:eastAsia="ja-JP"/>
        </w:rPr>
        <w:fldChar w:fldCharType="begin"/>
      </w:r>
      <w:r w:rsidRPr="00F47D6E">
        <w:rPr>
          <w:lang w:eastAsia="ja-JP"/>
        </w:rPr>
        <w:instrText xml:space="preserve"> REF _Ref10466106 \h </w:instrText>
      </w:r>
      <w:r w:rsidRPr="00F47D6E">
        <w:rPr>
          <w:lang w:eastAsia="ja-JP"/>
        </w:rPr>
      </w:r>
      <w:r w:rsidRPr="00F47D6E">
        <w:rPr>
          <w:lang w:eastAsia="ja-JP"/>
        </w:rPr>
        <w:fldChar w:fldCharType="separate"/>
      </w:r>
      <w:r w:rsidR="002E7174" w:rsidRPr="00C0042D">
        <w:t xml:space="preserve">Figure </w:t>
      </w:r>
      <w:r w:rsidR="002E7174">
        <w:rPr>
          <w:noProof/>
        </w:rPr>
        <w:t>2</w:t>
      </w:r>
      <w:r w:rsidRPr="00F47D6E">
        <w:rPr>
          <w:lang w:eastAsia="ja-JP"/>
        </w:rPr>
        <w:fldChar w:fldCharType="end"/>
      </w:r>
      <w:r w:rsidRPr="00F47D6E">
        <w:rPr>
          <w:lang w:eastAsia="ja-JP"/>
        </w:rPr>
        <w:t>. The majority of patients had C</w:t>
      </w:r>
      <w:r w:rsidRPr="00F47D6E">
        <w:rPr>
          <w:vertAlign w:val="subscript"/>
          <w:lang w:eastAsia="ja-JP"/>
        </w:rPr>
        <w:t>min</w:t>
      </w:r>
      <w:r w:rsidR="00027E93">
        <w:rPr>
          <w:vertAlign w:val="subscript"/>
          <w:lang w:eastAsia="ja-JP"/>
        </w:rPr>
        <w:t>,ss</w:t>
      </w:r>
      <w:r w:rsidRPr="00F47D6E">
        <w:rPr>
          <w:lang w:eastAsia="ja-JP"/>
        </w:rPr>
        <w:t xml:space="preserve"> values within the range seen in Study WA28118 for sJIA patients aged ≥ 1 year. However, 3 patients had higher </w:t>
      </w:r>
      <w:r w:rsidR="00424284">
        <w:rPr>
          <w:lang w:eastAsia="ja-JP"/>
        </w:rPr>
        <w:t>tocilizumab</w:t>
      </w:r>
      <w:r w:rsidRPr="00F47D6E">
        <w:rPr>
          <w:lang w:eastAsia="ja-JP"/>
        </w:rPr>
        <w:t xml:space="preserve"> exposures; one of these p</w:t>
      </w:r>
      <w:r w:rsidR="002A34D9">
        <w:rPr>
          <w:lang w:eastAsia="ja-JP"/>
        </w:rPr>
        <w:t>atients was aged &lt; 1 year (10.5 </w:t>
      </w:r>
      <w:r w:rsidRPr="00F47D6E">
        <w:rPr>
          <w:lang w:eastAsia="ja-JP"/>
        </w:rPr>
        <w:t>months, 6.8 kg), and two patients were aged between 1</w:t>
      </w:r>
      <w:r w:rsidR="00027E93">
        <w:rPr>
          <w:lang w:eastAsia="ja-JP"/>
        </w:rPr>
        <w:t xml:space="preserve"> to </w:t>
      </w:r>
      <w:r w:rsidRPr="00F47D6E">
        <w:rPr>
          <w:lang w:eastAsia="ja-JP"/>
        </w:rPr>
        <w:t>2 years (15 months, 1</w:t>
      </w:r>
      <w:r w:rsidR="002A34D9">
        <w:rPr>
          <w:lang w:eastAsia="ja-JP"/>
        </w:rPr>
        <w:t>0.0 </w:t>
      </w:r>
      <w:r w:rsidRPr="00F47D6E">
        <w:rPr>
          <w:lang w:eastAsia="ja-JP"/>
        </w:rPr>
        <w:t>kg; 10.5 mo</w:t>
      </w:r>
      <w:r w:rsidR="00733014">
        <w:rPr>
          <w:lang w:eastAsia="ja-JP"/>
        </w:rPr>
        <w:t>nths, 9.1 kg). The next highest</w:t>
      </w:r>
      <w:r w:rsidRPr="00F47D6E">
        <w:rPr>
          <w:lang w:eastAsia="ja-JP"/>
        </w:rPr>
        <w:t xml:space="preserve"> C</w:t>
      </w:r>
      <w:r w:rsidRPr="00F47D6E">
        <w:rPr>
          <w:vertAlign w:val="subscript"/>
          <w:lang w:eastAsia="ja-JP"/>
        </w:rPr>
        <w:t>min</w:t>
      </w:r>
      <w:r w:rsidR="00027E93">
        <w:rPr>
          <w:vertAlign w:val="subscript"/>
          <w:lang w:eastAsia="ja-JP"/>
        </w:rPr>
        <w:t>,ss</w:t>
      </w:r>
      <w:r w:rsidRPr="00F47D6E">
        <w:rPr>
          <w:lang w:eastAsia="ja-JP"/>
        </w:rPr>
        <w:t xml:space="preserve"> values were 174 and 157 µg/mL in patients aged 15.2 and 13.4 months and weighing 10.4 and 8.9</w:t>
      </w:r>
      <w:r w:rsidR="00027E93">
        <w:rPr>
          <w:lang w:eastAsia="ja-JP"/>
        </w:rPr>
        <w:t xml:space="preserve"> </w:t>
      </w:r>
      <w:r w:rsidRPr="00F47D6E">
        <w:rPr>
          <w:lang w:eastAsia="ja-JP"/>
        </w:rPr>
        <w:t>kg, respectively.</w:t>
      </w:r>
    </w:p>
    <w:p w14:paraId="0B55D883" w14:textId="56743523" w:rsidR="00F47D6E" w:rsidRPr="00733014" w:rsidRDefault="00F47D6E" w:rsidP="000802D3">
      <w:pPr>
        <w:pStyle w:val="FigureTitle"/>
        <w:keepLines/>
      </w:pPr>
      <w:bookmarkStart w:id="47" w:name="_Ref10466106"/>
      <w:bookmarkStart w:id="48" w:name="_Toc17120063"/>
      <w:r w:rsidRPr="00C0042D">
        <w:lastRenderedPageBreak/>
        <w:t xml:space="preserve">Figure </w:t>
      </w:r>
      <w:fldSimple w:instr=" SEQ Figure \* ARABIC ">
        <w:r w:rsidR="002E7174">
          <w:rPr>
            <w:noProof/>
          </w:rPr>
          <w:t>2</w:t>
        </w:r>
      </w:fldSimple>
      <w:bookmarkEnd w:id="47"/>
      <w:r w:rsidRPr="00C0042D">
        <w:t xml:space="preserve">: </w:t>
      </w:r>
      <w:r w:rsidR="00F81697">
        <w:t xml:space="preserve">Study NP25737/Study WA28118 </w:t>
      </w:r>
      <w:r w:rsidRPr="00C0042D">
        <w:t>Model-</w:t>
      </w:r>
      <w:r w:rsidR="00027E93" w:rsidRPr="00C0042D">
        <w:t>p</w:t>
      </w:r>
      <w:r w:rsidRPr="00C0042D">
        <w:t xml:space="preserve">redicted </w:t>
      </w:r>
      <w:r w:rsidR="00027E93" w:rsidRPr="00C0042D">
        <w:t>s</w:t>
      </w:r>
      <w:r w:rsidRPr="00C0042D">
        <w:t>teady-</w:t>
      </w:r>
      <w:r w:rsidR="00027E93" w:rsidRPr="00C0042D">
        <w:t>s</w:t>
      </w:r>
      <w:r w:rsidRPr="00C0042D">
        <w:t xml:space="preserve">tate </w:t>
      </w:r>
      <w:r w:rsidR="00027E93" w:rsidRPr="00C0042D">
        <w:t>minimum plasma concentration</w:t>
      </w:r>
      <w:r w:rsidRPr="00C0042D">
        <w:t xml:space="preserve"> for </w:t>
      </w:r>
      <w:r w:rsidR="00424284" w:rsidRPr="00987EC2">
        <w:t>tocilizumab</w:t>
      </w:r>
      <w:r w:rsidRPr="00987EC2">
        <w:t xml:space="preserve"> </w:t>
      </w:r>
      <w:r w:rsidR="00027E93" w:rsidRPr="00850948">
        <w:t>subcutaneous once every 2 weeks</w:t>
      </w:r>
      <w:r w:rsidRPr="00850948">
        <w:t xml:space="preserve"> (&lt;</w:t>
      </w:r>
      <w:r w:rsidRPr="00850948">
        <w:rPr>
          <w:rFonts w:hint="eastAsia"/>
        </w:rPr>
        <w:t xml:space="preserve"> </w:t>
      </w:r>
      <w:r w:rsidRPr="00850948">
        <w:t xml:space="preserve">30 kg) or </w:t>
      </w:r>
      <w:r w:rsidR="00027E93" w:rsidRPr="00850948">
        <w:t>subcutaneous once weekly</w:t>
      </w:r>
      <w:r w:rsidRPr="00FA49F7">
        <w:t xml:space="preserve"> (≥ 30 kg) in </w:t>
      </w:r>
      <w:r w:rsidR="00027E93" w:rsidRPr="00FA49F7">
        <w:t>p</w:t>
      </w:r>
      <w:r w:rsidRPr="00FA49F7">
        <w:t xml:space="preserve">atients with </w:t>
      </w:r>
      <w:r w:rsidR="00F81697">
        <w:t>systemic juvenile idiopathic arthritis</w:t>
      </w:r>
      <w:r w:rsidR="00F81697" w:rsidRPr="00FA49F7">
        <w:t xml:space="preserve"> </w:t>
      </w:r>
      <w:r w:rsidRPr="00FA49F7">
        <w:t xml:space="preserve">aged &lt; 2 </w:t>
      </w:r>
      <w:r w:rsidR="00027E93" w:rsidRPr="00FA49F7">
        <w:t>y</w:t>
      </w:r>
      <w:r w:rsidRPr="00102645">
        <w:t>ears (</w:t>
      </w:r>
      <w:r w:rsidR="00027E93" w:rsidRPr="00102645">
        <w:t xml:space="preserve">Study </w:t>
      </w:r>
      <w:r w:rsidRPr="00102645">
        <w:t>NP25737) and ≥</w:t>
      </w:r>
      <w:r w:rsidR="00027E93" w:rsidRPr="00102645">
        <w:t xml:space="preserve"> </w:t>
      </w:r>
      <w:r w:rsidRPr="000A3F82">
        <w:t xml:space="preserve">1 </w:t>
      </w:r>
      <w:r w:rsidR="00027E93" w:rsidRPr="000A3F82">
        <w:t>y</w:t>
      </w:r>
      <w:r w:rsidRPr="00AC4C09">
        <w:t>ear (</w:t>
      </w:r>
      <w:r w:rsidR="00027E93" w:rsidRPr="00916AF1">
        <w:t xml:space="preserve">Study </w:t>
      </w:r>
      <w:r w:rsidRPr="00916AF1">
        <w:t>WA28118)</w:t>
      </w:r>
      <w:bookmarkEnd w:id="48"/>
    </w:p>
    <w:p w14:paraId="3175F4E9" w14:textId="489BF9B8" w:rsidR="00F47D6E" w:rsidRPr="00F47D6E" w:rsidRDefault="00F47D6E" w:rsidP="00733014">
      <w:pPr>
        <w:keepNext/>
        <w:keepLines/>
        <w:spacing w:before="0"/>
        <w:rPr>
          <w:lang w:eastAsia="ja-JP"/>
        </w:rPr>
      </w:pPr>
      <w:r w:rsidRPr="00F47D6E">
        <w:rPr>
          <w:noProof/>
          <w:sz w:val="19"/>
          <w:szCs w:val="19"/>
          <w:lang w:eastAsia="en-AU"/>
        </w:rPr>
        <w:drawing>
          <wp:inline distT="0" distB="0" distL="0" distR="0" wp14:anchorId="7A7455AD" wp14:editId="131AEACB">
            <wp:extent cx="5376672" cy="2768182"/>
            <wp:effectExtent l="0" t="0" r="0" b="0"/>
            <wp:docPr id="2" name="Picture 2" descr="Model-predicted steady-state minimum plasma concentration for tocilizumab subcutaneous once every 2 weeks (&lt; 30 kg) or subcutaneous once weekly (≥ 30 kg) in patients with sJIA aged &lt; 2 years (Study NP25737) and ≥ 1 year (Study WA28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393237" cy="2776711"/>
                    </a:xfrm>
                    <a:prstGeom prst="rect">
                      <a:avLst/>
                    </a:prstGeom>
                  </pic:spPr>
                </pic:pic>
              </a:graphicData>
            </a:graphic>
          </wp:inline>
        </w:drawing>
      </w:r>
      <w:r w:rsidRPr="00F47D6E">
        <w:rPr>
          <w:lang w:eastAsia="ja-JP"/>
        </w:rPr>
        <w:t xml:space="preserve"> Each circle represents 1 patient. Blue dots are patients from Study NP25737 (n = 11). Red dots are the lightest patients from Study NP25737 (&lt; 1 year, 6.8 kg) and </w:t>
      </w:r>
      <w:r w:rsidR="00027E93">
        <w:rPr>
          <w:lang w:eastAsia="ja-JP"/>
        </w:rPr>
        <w:t xml:space="preserve">Study </w:t>
      </w:r>
      <w:r w:rsidRPr="00F47D6E">
        <w:rPr>
          <w:lang w:eastAsia="ja-JP"/>
        </w:rPr>
        <w:t>WA28118 (age 25 months, 9.2 kg).</w:t>
      </w:r>
    </w:p>
    <w:p w14:paraId="154150A9" w14:textId="37E40FDD" w:rsidR="00F47D6E" w:rsidRPr="00F47D6E" w:rsidRDefault="00F47D6E" w:rsidP="00F47D6E">
      <w:pPr>
        <w:rPr>
          <w:lang w:eastAsia="ja-JP"/>
        </w:rPr>
      </w:pPr>
      <w:r w:rsidRPr="00F47D6E">
        <w:rPr>
          <w:lang w:eastAsia="ja-JP"/>
        </w:rPr>
        <w:t>The steady-state PK parameters (C</w:t>
      </w:r>
      <w:r w:rsidRPr="00F47D6E">
        <w:rPr>
          <w:vertAlign w:val="subscript"/>
          <w:lang w:eastAsia="ja-JP"/>
        </w:rPr>
        <w:t>min</w:t>
      </w:r>
      <w:r w:rsidRPr="00F47D6E">
        <w:rPr>
          <w:lang w:eastAsia="ja-JP"/>
        </w:rPr>
        <w:t>, C</w:t>
      </w:r>
      <w:r w:rsidRPr="00F47D6E">
        <w:rPr>
          <w:vertAlign w:val="subscript"/>
          <w:lang w:eastAsia="ja-JP"/>
        </w:rPr>
        <w:t>max</w:t>
      </w:r>
      <w:r w:rsidRPr="00F47D6E">
        <w:rPr>
          <w:lang w:eastAsia="ja-JP"/>
        </w:rPr>
        <w:t xml:space="preserve">, AUC) for </w:t>
      </w:r>
      <w:r w:rsidR="00424284">
        <w:rPr>
          <w:lang w:eastAsia="ja-JP"/>
        </w:rPr>
        <w:t>tocilizumab</w:t>
      </w:r>
      <w:r w:rsidRPr="00F47D6E">
        <w:rPr>
          <w:lang w:eastAsia="ja-JP"/>
        </w:rPr>
        <w:t xml:space="preserve"> SC are compared to the </w:t>
      </w:r>
      <w:r w:rsidR="00424284">
        <w:rPr>
          <w:lang w:eastAsia="ja-JP"/>
        </w:rPr>
        <w:t>tocilizumab</w:t>
      </w:r>
      <w:r w:rsidRPr="00F47D6E">
        <w:rPr>
          <w:lang w:eastAsia="ja-JP"/>
        </w:rPr>
        <w:t xml:space="preserve"> IV regimen in Studies WA18221, </w:t>
      </w:r>
      <w:r w:rsidR="00C07BBE">
        <w:rPr>
          <w:lang w:eastAsia="ja-JP"/>
        </w:rPr>
        <w:t>WA</w:t>
      </w:r>
      <w:r w:rsidRPr="00F47D6E">
        <w:rPr>
          <w:lang w:eastAsia="ja-JP"/>
        </w:rPr>
        <w:t xml:space="preserve">28118 and NP25737 in </w:t>
      </w:r>
      <w:r w:rsidRPr="00F47D6E">
        <w:rPr>
          <w:lang w:eastAsia="ja-JP"/>
        </w:rPr>
        <w:fldChar w:fldCharType="begin"/>
      </w:r>
      <w:r w:rsidRPr="00F47D6E">
        <w:rPr>
          <w:lang w:eastAsia="ja-JP"/>
        </w:rPr>
        <w:instrText xml:space="preserve"> REF _Ref11504419 \h </w:instrText>
      </w:r>
      <w:r w:rsidRPr="00F47D6E">
        <w:rPr>
          <w:lang w:eastAsia="ja-JP"/>
        </w:rPr>
      </w:r>
      <w:r w:rsidRPr="00F47D6E">
        <w:rPr>
          <w:lang w:eastAsia="ja-JP"/>
        </w:rPr>
        <w:fldChar w:fldCharType="separate"/>
      </w:r>
      <w:r w:rsidR="002E7174" w:rsidRPr="00F47D6E">
        <w:t xml:space="preserve">Table </w:t>
      </w:r>
      <w:r w:rsidR="002E7174">
        <w:rPr>
          <w:noProof/>
        </w:rPr>
        <w:t>4</w:t>
      </w:r>
      <w:r w:rsidRPr="00F47D6E">
        <w:rPr>
          <w:lang w:eastAsia="ja-JP"/>
        </w:rPr>
        <w:fldChar w:fldCharType="end"/>
      </w:r>
      <w:r w:rsidRPr="00F47D6E">
        <w:rPr>
          <w:lang w:eastAsia="ja-JP"/>
        </w:rPr>
        <w:t>. The maximum steady-state C</w:t>
      </w:r>
      <w:r w:rsidRPr="00F47D6E">
        <w:rPr>
          <w:vertAlign w:val="subscript"/>
          <w:lang w:eastAsia="ja-JP"/>
        </w:rPr>
        <w:t>min</w:t>
      </w:r>
      <w:r w:rsidRPr="00F47D6E">
        <w:rPr>
          <w:lang w:eastAsia="ja-JP"/>
        </w:rPr>
        <w:t xml:space="preserve"> and AUC predicted for </w:t>
      </w:r>
      <w:r w:rsidR="00424284">
        <w:rPr>
          <w:lang w:eastAsia="ja-JP"/>
        </w:rPr>
        <w:t>tocilizumab</w:t>
      </w:r>
      <w:r w:rsidRPr="00F47D6E">
        <w:rPr>
          <w:lang w:eastAsia="ja-JP"/>
        </w:rPr>
        <w:t xml:space="preserve"> SC for the sJIA patients in Study NP25737 aged &lt; 2 years (C</w:t>
      </w:r>
      <w:r w:rsidRPr="00F47D6E">
        <w:rPr>
          <w:vertAlign w:val="subscript"/>
          <w:lang w:eastAsia="ja-JP"/>
        </w:rPr>
        <w:t>min</w:t>
      </w:r>
      <w:r w:rsidRPr="00F47D6E">
        <w:rPr>
          <w:lang w:eastAsia="ja-JP"/>
        </w:rPr>
        <w:t xml:space="preserve"> 253 µg/mL, AUC 3445 µg.day/mL) are higher than seen previously with </w:t>
      </w:r>
      <w:r w:rsidR="00424284">
        <w:rPr>
          <w:lang w:eastAsia="ja-JP"/>
        </w:rPr>
        <w:t>tocilizumab</w:t>
      </w:r>
      <w:r w:rsidRPr="00F47D6E">
        <w:rPr>
          <w:lang w:eastAsia="ja-JP"/>
        </w:rPr>
        <w:t xml:space="preserve"> SC (Study WA28118) or </w:t>
      </w:r>
      <w:r w:rsidR="00424284">
        <w:rPr>
          <w:lang w:eastAsia="ja-JP"/>
        </w:rPr>
        <w:t>tocilizumab</w:t>
      </w:r>
      <w:r w:rsidRPr="00F47D6E">
        <w:rPr>
          <w:lang w:eastAsia="ja-JP"/>
        </w:rPr>
        <w:t xml:space="preserve"> IV (Study WA18221), and are similar to the exposures in Study WA28118 in &lt; 30 kg patients using the SC Q10D regimen (prior to the interim analysis, and dose change to SC Q2W).</w:t>
      </w:r>
    </w:p>
    <w:p w14:paraId="05C017D9" w14:textId="5CD1AD96" w:rsidR="00F47D6E" w:rsidRPr="00F47D6E" w:rsidRDefault="00F47D6E" w:rsidP="00F47D6E">
      <w:pPr>
        <w:rPr>
          <w:lang w:eastAsia="ja-JP"/>
        </w:rPr>
      </w:pPr>
      <w:r w:rsidRPr="00F47D6E">
        <w:rPr>
          <w:lang w:eastAsia="ja-JP"/>
        </w:rPr>
        <w:t>The sponsor then investigated the PK data if a BW cut-off of 10</w:t>
      </w:r>
      <w:r w:rsidR="00DA5A43">
        <w:rPr>
          <w:lang w:eastAsia="ja-JP"/>
        </w:rPr>
        <w:t xml:space="preserve"> </w:t>
      </w:r>
      <w:r w:rsidRPr="00F47D6E">
        <w:rPr>
          <w:lang w:eastAsia="ja-JP"/>
        </w:rPr>
        <w:t>kg was implemented (</w:t>
      </w:r>
      <w:r w:rsidRPr="00F47D6E">
        <w:rPr>
          <w:lang w:eastAsia="ja-JP"/>
        </w:rPr>
        <w:fldChar w:fldCharType="begin"/>
      </w:r>
      <w:r w:rsidRPr="00F47D6E">
        <w:rPr>
          <w:lang w:eastAsia="ja-JP"/>
        </w:rPr>
        <w:instrText xml:space="preserve"> REF _Ref11499916 \h </w:instrText>
      </w:r>
      <w:r w:rsidRPr="00F47D6E">
        <w:rPr>
          <w:lang w:eastAsia="ja-JP"/>
        </w:rPr>
      </w:r>
      <w:r w:rsidRPr="00F47D6E">
        <w:rPr>
          <w:lang w:eastAsia="ja-JP"/>
        </w:rPr>
        <w:fldChar w:fldCharType="separate"/>
      </w:r>
      <w:r w:rsidR="002E7174" w:rsidRPr="00F47D6E">
        <w:t xml:space="preserve">Figure </w:t>
      </w:r>
      <w:r w:rsidR="002E7174">
        <w:rPr>
          <w:noProof/>
        </w:rPr>
        <w:t>3</w:t>
      </w:r>
      <w:r w:rsidRPr="00F47D6E">
        <w:rPr>
          <w:lang w:eastAsia="ja-JP"/>
        </w:rPr>
        <w:fldChar w:fldCharType="end"/>
      </w:r>
      <w:r w:rsidRPr="00F47D6E">
        <w:rPr>
          <w:lang w:eastAsia="ja-JP"/>
        </w:rPr>
        <w:t>). This analysis suggested that the steady-state C</w:t>
      </w:r>
      <w:r w:rsidRPr="00F47D6E">
        <w:rPr>
          <w:vertAlign w:val="subscript"/>
          <w:lang w:eastAsia="ja-JP"/>
        </w:rPr>
        <w:t>min</w:t>
      </w:r>
      <w:r w:rsidRPr="00F47D6E">
        <w:rPr>
          <w:lang w:eastAsia="ja-JP"/>
        </w:rPr>
        <w:t xml:space="preserve"> would be &lt; 150 μg/mL for the majority of patients, and &lt; 200 μg/mL for all patients, similar to the exposure levels observed in sJIA patients obtained with </w:t>
      </w:r>
      <w:r w:rsidR="00424284">
        <w:rPr>
          <w:lang w:eastAsia="ja-JP"/>
        </w:rPr>
        <w:t>tocilizumab</w:t>
      </w:r>
      <w:r w:rsidRPr="00F47D6E">
        <w:rPr>
          <w:lang w:eastAsia="ja-JP"/>
        </w:rPr>
        <w:t xml:space="preserve"> IV (Study WA18221) and </w:t>
      </w:r>
      <w:r w:rsidR="00424284">
        <w:rPr>
          <w:lang w:eastAsia="ja-JP"/>
        </w:rPr>
        <w:t>tocilizumab</w:t>
      </w:r>
      <w:r w:rsidRPr="00F47D6E">
        <w:rPr>
          <w:lang w:eastAsia="ja-JP"/>
        </w:rPr>
        <w:t xml:space="preserve"> SC (Study WA28118).</w:t>
      </w:r>
    </w:p>
    <w:p w14:paraId="355F9901" w14:textId="5F6BF6CE" w:rsidR="00F47D6E" w:rsidRPr="00F47D6E" w:rsidRDefault="00F47D6E" w:rsidP="000802D3">
      <w:pPr>
        <w:pStyle w:val="TableTitle"/>
        <w:keepLines/>
        <w:rPr>
          <w:lang w:eastAsia="ja-JP"/>
        </w:rPr>
      </w:pPr>
      <w:bookmarkStart w:id="49" w:name="_Ref11504419"/>
      <w:bookmarkStart w:id="50" w:name="_Toc17120037"/>
      <w:r w:rsidRPr="00F47D6E">
        <w:lastRenderedPageBreak/>
        <w:t xml:space="preserve">Table </w:t>
      </w:r>
      <w:fldSimple w:instr=" SEQ Table \* ARABIC ">
        <w:r w:rsidR="002E7174">
          <w:rPr>
            <w:noProof/>
          </w:rPr>
          <w:t>4</w:t>
        </w:r>
      </w:fldSimple>
      <w:bookmarkEnd w:id="49"/>
      <w:r w:rsidRPr="00F47D6E">
        <w:t xml:space="preserve">: Summary of </w:t>
      </w:r>
      <w:r w:rsidR="00C0042D" w:rsidRPr="00F47D6E">
        <w:t xml:space="preserve">model-predicted steady state exposure parameters for </w:t>
      </w:r>
      <w:r w:rsidRPr="00F47D6E">
        <w:t>s</w:t>
      </w:r>
      <w:r w:rsidR="00F81697">
        <w:t>ystematic juvenile idiopathic arthritis</w:t>
      </w:r>
      <w:r w:rsidRPr="00F47D6E">
        <w:t xml:space="preserve"> patients receiving </w:t>
      </w:r>
      <w:r w:rsidR="00424284">
        <w:t>tocilizumab</w:t>
      </w:r>
      <w:r w:rsidRPr="00F47D6E">
        <w:t xml:space="preserve"> </w:t>
      </w:r>
      <w:r w:rsidR="00C0042D">
        <w:t>subcutaneously</w:t>
      </w:r>
      <w:r w:rsidRPr="00F47D6E">
        <w:t xml:space="preserve"> (</w:t>
      </w:r>
      <w:r w:rsidR="00C0042D">
        <w:t xml:space="preserve">Studies </w:t>
      </w:r>
      <w:r w:rsidRPr="00F47D6E">
        <w:t xml:space="preserve">WA28118, NP25737) </w:t>
      </w:r>
      <w:r w:rsidR="00C93E13" w:rsidRPr="00733014">
        <w:t>versus</w:t>
      </w:r>
      <w:r w:rsidRPr="00C0042D">
        <w:t xml:space="preserve"> </w:t>
      </w:r>
      <w:r w:rsidR="00424284">
        <w:t>tocilizumab</w:t>
      </w:r>
      <w:r w:rsidRPr="00F47D6E">
        <w:t xml:space="preserve"> </w:t>
      </w:r>
      <w:r w:rsidR="00C0042D">
        <w:t>intravenously</w:t>
      </w:r>
      <w:r w:rsidRPr="00F47D6E">
        <w:t xml:space="preserve"> (</w:t>
      </w:r>
      <w:r w:rsidR="00C0042D">
        <w:t xml:space="preserve">Studies </w:t>
      </w:r>
      <w:r w:rsidRPr="00F47D6E">
        <w:t>WA18221, NP25737)</w:t>
      </w:r>
      <w:bookmarkEnd w:id="50"/>
    </w:p>
    <w:tbl>
      <w:tblPr>
        <w:tblStyle w:val="TableTGAblue"/>
        <w:tblW w:w="5000" w:type="pct"/>
        <w:tblLayout w:type="fixed"/>
        <w:tblLook w:val="04A0" w:firstRow="1" w:lastRow="0" w:firstColumn="1" w:lastColumn="0" w:noHBand="0" w:noVBand="1"/>
        <w:tblCaption w:val="Table 4: Summary of model-predicted steady state exposure parameters for sJIA patients receiving tocilizumab subcutaneously (Studies WA28118, NP25737) versus tocilizumab intravenously (Studies WA18221, NP25737)"/>
      </w:tblPr>
      <w:tblGrid>
        <w:gridCol w:w="1072"/>
        <w:gridCol w:w="965"/>
        <w:gridCol w:w="551"/>
        <w:gridCol w:w="1379"/>
        <w:gridCol w:w="1381"/>
        <w:gridCol w:w="1661"/>
        <w:gridCol w:w="1475"/>
      </w:tblGrid>
      <w:tr w:rsidR="00C0042D" w:rsidRPr="00027E93" w14:paraId="34DCA63A" w14:textId="77777777" w:rsidTr="00733014">
        <w:trPr>
          <w:cnfStyle w:val="100000000000" w:firstRow="1" w:lastRow="0" w:firstColumn="0" w:lastColumn="0" w:oddVBand="0" w:evenVBand="0" w:oddHBand="0" w:evenHBand="0" w:firstRowFirstColumn="0" w:firstRowLastColumn="0" w:lastRowFirstColumn="0" w:lastRowLastColumn="0"/>
          <w:trHeight w:val="610"/>
        </w:trPr>
        <w:tc>
          <w:tcPr>
            <w:tcW w:w="631" w:type="pct"/>
            <w:noWrap/>
            <w:hideMark/>
          </w:tcPr>
          <w:p w14:paraId="2F7D858B" w14:textId="520DB409" w:rsidR="00F47D6E" w:rsidRPr="00733014" w:rsidRDefault="00F47D6E" w:rsidP="00733014">
            <w:pPr>
              <w:keepLines/>
              <w:spacing w:before="0" w:after="0"/>
              <w:ind w:left="0" w:right="0"/>
              <w:rPr>
                <w:sz w:val="20"/>
                <w:szCs w:val="20"/>
                <w:lang w:eastAsia="ja-JP"/>
              </w:rPr>
            </w:pPr>
            <w:r w:rsidRPr="00733014">
              <w:rPr>
                <w:sz w:val="20"/>
                <w:szCs w:val="20"/>
                <w:lang w:eastAsia="ja-JP"/>
              </w:rPr>
              <w:t xml:space="preserve">Dosing </w:t>
            </w:r>
            <w:r w:rsidR="00027E93">
              <w:rPr>
                <w:sz w:val="20"/>
                <w:szCs w:val="20"/>
                <w:lang w:eastAsia="ja-JP"/>
              </w:rPr>
              <w:t>r</w:t>
            </w:r>
            <w:r w:rsidRPr="00733014">
              <w:rPr>
                <w:sz w:val="20"/>
                <w:szCs w:val="20"/>
                <w:lang w:eastAsia="ja-JP"/>
              </w:rPr>
              <w:t>egimen</w:t>
            </w:r>
          </w:p>
        </w:tc>
        <w:tc>
          <w:tcPr>
            <w:tcW w:w="569" w:type="pct"/>
            <w:noWrap/>
            <w:hideMark/>
          </w:tcPr>
          <w:p w14:paraId="7D78F897" w14:textId="72C09A1A" w:rsidR="00F47D6E" w:rsidRPr="00733014" w:rsidRDefault="00F47D6E" w:rsidP="00733014">
            <w:pPr>
              <w:keepLines/>
              <w:spacing w:before="0" w:after="0"/>
              <w:ind w:left="0" w:right="0"/>
              <w:jc w:val="center"/>
              <w:rPr>
                <w:sz w:val="20"/>
                <w:szCs w:val="20"/>
                <w:lang w:eastAsia="ja-JP"/>
              </w:rPr>
            </w:pPr>
            <w:r w:rsidRPr="00733014">
              <w:rPr>
                <w:sz w:val="20"/>
                <w:szCs w:val="20"/>
                <w:lang w:eastAsia="ja-JP"/>
              </w:rPr>
              <w:t xml:space="preserve">Weight </w:t>
            </w:r>
            <w:r w:rsidR="00027E93">
              <w:rPr>
                <w:sz w:val="20"/>
                <w:szCs w:val="20"/>
                <w:lang w:eastAsia="ja-JP"/>
              </w:rPr>
              <w:t>g</w:t>
            </w:r>
            <w:r w:rsidRPr="00733014">
              <w:rPr>
                <w:sz w:val="20"/>
                <w:szCs w:val="20"/>
                <w:lang w:eastAsia="ja-JP"/>
              </w:rPr>
              <w:t>roup</w:t>
            </w:r>
          </w:p>
        </w:tc>
        <w:tc>
          <w:tcPr>
            <w:tcW w:w="325" w:type="pct"/>
            <w:noWrap/>
            <w:hideMark/>
          </w:tcPr>
          <w:p w14:paraId="24E5A38E" w14:textId="77777777" w:rsidR="00F47D6E" w:rsidRPr="00733014" w:rsidRDefault="00F47D6E" w:rsidP="00733014">
            <w:pPr>
              <w:keepLines/>
              <w:spacing w:before="0" w:after="0"/>
              <w:ind w:left="0" w:right="0"/>
              <w:jc w:val="center"/>
              <w:rPr>
                <w:sz w:val="20"/>
                <w:szCs w:val="20"/>
                <w:lang w:eastAsia="ja-JP"/>
              </w:rPr>
            </w:pPr>
            <w:r w:rsidRPr="00733014">
              <w:rPr>
                <w:sz w:val="20"/>
                <w:szCs w:val="20"/>
                <w:lang w:eastAsia="ja-JP"/>
              </w:rPr>
              <w:t>n</w:t>
            </w:r>
          </w:p>
        </w:tc>
        <w:tc>
          <w:tcPr>
            <w:tcW w:w="813" w:type="pct"/>
            <w:hideMark/>
          </w:tcPr>
          <w:p w14:paraId="18C04B3E" w14:textId="77777777" w:rsidR="00F47D6E" w:rsidRPr="00733014" w:rsidRDefault="00F47D6E" w:rsidP="00733014">
            <w:pPr>
              <w:keepLines/>
              <w:spacing w:before="0" w:after="0"/>
              <w:ind w:left="0" w:right="0"/>
              <w:jc w:val="center"/>
              <w:rPr>
                <w:sz w:val="20"/>
                <w:szCs w:val="20"/>
                <w:lang w:eastAsia="ja-JP"/>
              </w:rPr>
            </w:pPr>
            <w:r w:rsidRPr="00733014">
              <w:rPr>
                <w:sz w:val="20"/>
                <w:szCs w:val="20"/>
                <w:lang w:eastAsia="ja-JP"/>
              </w:rPr>
              <w:t>Median BW (kg)</w:t>
            </w:r>
          </w:p>
          <w:p w14:paraId="24133608" w14:textId="77777777" w:rsidR="00F47D6E" w:rsidRPr="00733014" w:rsidRDefault="00F47D6E" w:rsidP="00733014">
            <w:pPr>
              <w:keepLines/>
              <w:spacing w:before="0" w:after="0"/>
              <w:ind w:left="0" w:right="0"/>
              <w:jc w:val="center"/>
              <w:rPr>
                <w:sz w:val="20"/>
                <w:szCs w:val="20"/>
                <w:lang w:eastAsia="ja-JP"/>
              </w:rPr>
            </w:pPr>
            <w:r w:rsidRPr="00733014">
              <w:rPr>
                <w:sz w:val="20"/>
                <w:szCs w:val="20"/>
                <w:lang w:eastAsia="ja-JP"/>
              </w:rPr>
              <w:t>(Min - Max)</w:t>
            </w:r>
          </w:p>
        </w:tc>
        <w:tc>
          <w:tcPr>
            <w:tcW w:w="814" w:type="pct"/>
            <w:hideMark/>
          </w:tcPr>
          <w:p w14:paraId="100CA6B4" w14:textId="23EBDF5C" w:rsidR="00F47D6E" w:rsidRPr="00733014" w:rsidRDefault="00F47D6E" w:rsidP="00733014">
            <w:pPr>
              <w:keepLines/>
              <w:spacing w:before="0" w:after="0"/>
              <w:ind w:left="0" w:right="0"/>
              <w:jc w:val="center"/>
              <w:rPr>
                <w:sz w:val="20"/>
                <w:szCs w:val="20"/>
                <w:lang w:eastAsia="ja-JP"/>
              </w:rPr>
            </w:pPr>
            <w:r w:rsidRPr="00733014">
              <w:rPr>
                <w:sz w:val="20"/>
                <w:szCs w:val="20"/>
                <w:lang w:eastAsia="ja-JP"/>
              </w:rPr>
              <w:t>C</w:t>
            </w:r>
            <w:r w:rsidRPr="00733014">
              <w:rPr>
                <w:sz w:val="20"/>
                <w:szCs w:val="20"/>
                <w:vertAlign w:val="subscript"/>
                <w:lang w:eastAsia="ja-JP"/>
              </w:rPr>
              <w:t>min</w:t>
            </w:r>
            <w:r w:rsidRPr="00733014">
              <w:rPr>
                <w:sz w:val="20"/>
                <w:szCs w:val="20"/>
                <w:lang w:eastAsia="ja-JP"/>
              </w:rPr>
              <w:t xml:space="preserve"> (</w:t>
            </w:r>
            <w:r w:rsidR="00F81697">
              <w:rPr>
                <w:sz w:val="20"/>
                <w:szCs w:val="20"/>
                <w:lang w:eastAsia="ja-JP"/>
              </w:rPr>
              <w:t>µ</w:t>
            </w:r>
            <w:r w:rsidRPr="00733014">
              <w:rPr>
                <w:sz w:val="20"/>
                <w:szCs w:val="20"/>
                <w:lang w:eastAsia="ja-JP"/>
              </w:rPr>
              <w:t>g/mL)</w:t>
            </w:r>
          </w:p>
          <w:p w14:paraId="5063FA0B" w14:textId="77777777" w:rsidR="00F47D6E" w:rsidRPr="00733014" w:rsidRDefault="00F47D6E" w:rsidP="00733014">
            <w:pPr>
              <w:keepLines/>
              <w:spacing w:before="0" w:after="0"/>
              <w:ind w:left="0" w:right="0"/>
              <w:jc w:val="center"/>
              <w:rPr>
                <w:sz w:val="20"/>
                <w:szCs w:val="20"/>
                <w:lang w:eastAsia="ja-JP"/>
              </w:rPr>
            </w:pPr>
            <w:r w:rsidRPr="00733014">
              <w:rPr>
                <w:sz w:val="20"/>
                <w:szCs w:val="20"/>
                <w:lang w:eastAsia="ja-JP"/>
              </w:rPr>
              <w:t>Mean ± SD</w:t>
            </w:r>
          </w:p>
          <w:p w14:paraId="267C49BF" w14:textId="77777777" w:rsidR="00F47D6E" w:rsidRPr="00733014" w:rsidRDefault="00F47D6E" w:rsidP="00733014">
            <w:pPr>
              <w:keepLines/>
              <w:spacing w:before="0" w:after="0"/>
              <w:ind w:left="0" w:right="0"/>
              <w:jc w:val="center"/>
              <w:rPr>
                <w:sz w:val="20"/>
                <w:szCs w:val="20"/>
                <w:lang w:eastAsia="ja-JP"/>
              </w:rPr>
            </w:pPr>
            <w:r w:rsidRPr="00733014">
              <w:rPr>
                <w:sz w:val="20"/>
                <w:szCs w:val="20"/>
                <w:lang w:eastAsia="ja-JP"/>
              </w:rPr>
              <w:t>Median (Min - Max)</w:t>
            </w:r>
          </w:p>
        </w:tc>
        <w:tc>
          <w:tcPr>
            <w:tcW w:w="979" w:type="pct"/>
            <w:hideMark/>
          </w:tcPr>
          <w:p w14:paraId="0925DE63" w14:textId="0247BA6D" w:rsidR="00F47D6E" w:rsidRPr="00733014" w:rsidRDefault="00F47D6E" w:rsidP="00733014">
            <w:pPr>
              <w:keepLines/>
              <w:spacing w:before="0" w:after="0"/>
              <w:ind w:left="0" w:right="0"/>
              <w:jc w:val="center"/>
              <w:rPr>
                <w:sz w:val="20"/>
                <w:szCs w:val="20"/>
                <w:lang w:eastAsia="ja-JP"/>
              </w:rPr>
            </w:pPr>
            <w:r w:rsidRPr="00733014">
              <w:rPr>
                <w:sz w:val="20"/>
                <w:szCs w:val="20"/>
                <w:lang w:eastAsia="ja-JP"/>
              </w:rPr>
              <w:t>C</w:t>
            </w:r>
            <w:r w:rsidRPr="00733014">
              <w:rPr>
                <w:sz w:val="20"/>
                <w:szCs w:val="20"/>
                <w:vertAlign w:val="subscript"/>
                <w:lang w:eastAsia="ja-JP"/>
              </w:rPr>
              <w:t>max</w:t>
            </w:r>
            <w:r w:rsidRPr="00733014">
              <w:rPr>
                <w:sz w:val="20"/>
                <w:szCs w:val="20"/>
                <w:lang w:eastAsia="ja-JP"/>
              </w:rPr>
              <w:t xml:space="preserve"> (</w:t>
            </w:r>
            <w:r w:rsidR="00F81697">
              <w:rPr>
                <w:sz w:val="20"/>
                <w:szCs w:val="20"/>
                <w:lang w:eastAsia="ja-JP"/>
              </w:rPr>
              <w:t>µ</w:t>
            </w:r>
            <w:r w:rsidRPr="00733014">
              <w:rPr>
                <w:sz w:val="20"/>
                <w:szCs w:val="20"/>
                <w:lang w:eastAsia="ja-JP"/>
              </w:rPr>
              <w:t>g/mL)</w:t>
            </w:r>
          </w:p>
          <w:p w14:paraId="0CD11FB6" w14:textId="77777777" w:rsidR="00F47D6E" w:rsidRPr="00733014" w:rsidRDefault="00F47D6E" w:rsidP="00733014">
            <w:pPr>
              <w:keepLines/>
              <w:spacing w:before="0" w:after="0"/>
              <w:ind w:left="0" w:right="0"/>
              <w:jc w:val="center"/>
              <w:rPr>
                <w:sz w:val="20"/>
                <w:szCs w:val="20"/>
                <w:lang w:eastAsia="ja-JP"/>
              </w:rPr>
            </w:pPr>
            <w:r w:rsidRPr="00733014">
              <w:rPr>
                <w:sz w:val="20"/>
                <w:szCs w:val="20"/>
                <w:lang w:eastAsia="ja-JP"/>
              </w:rPr>
              <w:t>Mean ± SD</w:t>
            </w:r>
          </w:p>
          <w:p w14:paraId="4DBA2EE1" w14:textId="77777777" w:rsidR="00F47D6E" w:rsidRPr="00733014" w:rsidRDefault="00F47D6E" w:rsidP="00733014">
            <w:pPr>
              <w:keepLines/>
              <w:spacing w:before="0" w:after="0"/>
              <w:ind w:left="0" w:right="0"/>
              <w:jc w:val="center"/>
              <w:rPr>
                <w:sz w:val="20"/>
                <w:szCs w:val="20"/>
                <w:lang w:eastAsia="ja-JP"/>
              </w:rPr>
            </w:pPr>
            <w:r w:rsidRPr="00733014">
              <w:rPr>
                <w:sz w:val="20"/>
                <w:szCs w:val="20"/>
                <w:lang w:eastAsia="ja-JP"/>
              </w:rPr>
              <w:t>Median (Min - Max)</w:t>
            </w:r>
          </w:p>
        </w:tc>
        <w:tc>
          <w:tcPr>
            <w:tcW w:w="870" w:type="pct"/>
            <w:hideMark/>
          </w:tcPr>
          <w:p w14:paraId="7AA55C8E" w14:textId="240163E1" w:rsidR="00F47D6E" w:rsidRPr="00733014" w:rsidRDefault="00F47D6E" w:rsidP="00733014">
            <w:pPr>
              <w:keepLines/>
              <w:spacing w:before="0" w:after="0"/>
              <w:ind w:left="0" w:right="0"/>
              <w:jc w:val="center"/>
              <w:rPr>
                <w:sz w:val="20"/>
                <w:szCs w:val="20"/>
                <w:lang w:eastAsia="ja-JP"/>
              </w:rPr>
            </w:pPr>
            <w:r w:rsidRPr="00733014">
              <w:rPr>
                <w:sz w:val="20"/>
                <w:szCs w:val="20"/>
                <w:lang w:eastAsia="ja-JP"/>
              </w:rPr>
              <w:t>AUC</w:t>
            </w:r>
            <w:r w:rsidRPr="00733014">
              <w:rPr>
                <w:sz w:val="20"/>
                <w:szCs w:val="20"/>
                <w:vertAlign w:val="subscript"/>
                <w:lang w:eastAsia="ja-JP"/>
              </w:rPr>
              <w:t>0-2weeks</w:t>
            </w:r>
            <w:r w:rsidRPr="00733014">
              <w:rPr>
                <w:sz w:val="20"/>
                <w:szCs w:val="20"/>
                <w:lang w:eastAsia="ja-JP"/>
              </w:rPr>
              <w:t xml:space="preserve"> (</w:t>
            </w:r>
            <w:r w:rsidR="00F81697">
              <w:rPr>
                <w:sz w:val="20"/>
                <w:szCs w:val="20"/>
                <w:lang w:eastAsia="ja-JP"/>
              </w:rPr>
              <w:t>µ</w:t>
            </w:r>
            <w:r w:rsidRPr="00733014">
              <w:rPr>
                <w:sz w:val="20"/>
                <w:szCs w:val="20"/>
                <w:lang w:eastAsia="ja-JP"/>
              </w:rPr>
              <w:t>g/mL</w:t>
            </w:r>
            <w:r w:rsidR="00C0042D">
              <w:rPr>
                <w:sz w:val="20"/>
                <w:szCs w:val="20"/>
                <w:lang w:eastAsia="ja-JP"/>
              </w:rPr>
              <w:t xml:space="preserve"> x </w:t>
            </w:r>
            <w:r w:rsidRPr="00733014">
              <w:rPr>
                <w:sz w:val="20"/>
                <w:szCs w:val="20"/>
                <w:lang w:eastAsia="ja-JP"/>
              </w:rPr>
              <w:t>day) Mean ± SD Median (Min - Max)</w:t>
            </w:r>
          </w:p>
        </w:tc>
      </w:tr>
      <w:tr w:rsidR="00F47D6E" w:rsidRPr="00027E93" w14:paraId="65CCBA01" w14:textId="77777777" w:rsidTr="000802D3">
        <w:trPr>
          <w:trHeight w:val="397"/>
        </w:trPr>
        <w:tc>
          <w:tcPr>
            <w:tcW w:w="5000" w:type="pct"/>
            <w:gridSpan w:val="7"/>
            <w:shd w:val="clear" w:color="auto" w:fill="C6D4E9"/>
            <w:noWrap/>
          </w:tcPr>
          <w:p w14:paraId="0FE1D59E" w14:textId="237F69A3" w:rsidR="00F47D6E" w:rsidRPr="00733014" w:rsidRDefault="00C0042D" w:rsidP="00733014">
            <w:pPr>
              <w:keepNext/>
              <w:keepLines/>
              <w:spacing w:before="0" w:after="0"/>
              <w:ind w:left="0" w:right="0"/>
              <w:rPr>
                <w:sz w:val="20"/>
                <w:szCs w:val="20"/>
                <w:lang w:eastAsia="ja-JP"/>
              </w:rPr>
            </w:pPr>
            <w:r w:rsidRPr="00C0042D">
              <w:rPr>
                <w:b/>
                <w:bCs/>
                <w:sz w:val="20"/>
                <w:szCs w:val="20"/>
                <w:lang w:eastAsia="ja-JP"/>
              </w:rPr>
              <w:t>T</w:t>
            </w:r>
            <w:r w:rsidR="00424284" w:rsidRPr="00733014">
              <w:rPr>
                <w:b/>
                <w:bCs/>
                <w:sz w:val="20"/>
                <w:szCs w:val="20"/>
                <w:lang w:eastAsia="ja-JP"/>
              </w:rPr>
              <w:t>ocilizumab</w:t>
            </w:r>
            <w:r w:rsidR="00F47D6E" w:rsidRPr="00733014">
              <w:rPr>
                <w:b/>
                <w:bCs/>
                <w:sz w:val="20"/>
                <w:szCs w:val="20"/>
                <w:lang w:eastAsia="ja-JP"/>
              </w:rPr>
              <w:t xml:space="preserve"> SC in sJIA</w:t>
            </w:r>
          </w:p>
        </w:tc>
      </w:tr>
      <w:tr w:rsidR="00C0042D" w:rsidRPr="00027E93" w14:paraId="615C52FC" w14:textId="77777777" w:rsidTr="00733014">
        <w:trPr>
          <w:trHeight w:val="550"/>
        </w:trPr>
        <w:tc>
          <w:tcPr>
            <w:tcW w:w="631" w:type="pct"/>
            <w:hideMark/>
          </w:tcPr>
          <w:p w14:paraId="7A08AD9F" w14:textId="598D6DEC" w:rsidR="00F47D6E" w:rsidRPr="00733014" w:rsidRDefault="00F47D6E" w:rsidP="00733014">
            <w:pPr>
              <w:keepNext/>
              <w:keepLines/>
              <w:spacing w:before="0" w:after="0"/>
              <w:ind w:left="0" w:right="0"/>
              <w:rPr>
                <w:sz w:val="20"/>
                <w:szCs w:val="20"/>
                <w:lang w:eastAsia="ja-JP"/>
              </w:rPr>
            </w:pPr>
            <w:r w:rsidRPr="00733014">
              <w:rPr>
                <w:sz w:val="20"/>
                <w:szCs w:val="20"/>
                <w:lang w:eastAsia="ja-JP"/>
              </w:rPr>
              <w:t>162 mg SC Q2W (</w:t>
            </w:r>
            <w:r w:rsidR="00C0042D">
              <w:rPr>
                <w:sz w:val="20"/>
                <w:szCs w:val="20"/>
                <w:lang w:eastAsia="ja-JP"/>
              </w:rPr>
              <w:t xml:space="preserve">Study </w:t>
            </w:r>
            <w:r w:rsidRPr="00733014">
              <w:rPr>
                <w:sz w:val="20"/>
                <w:szCs w:val="20"/>
                <w:lang w:eastAsia="ja-JP"/>
              </w:rPr>
              <w:t>NP25737)</w:t>
            </w:r>
          </w:p>
        </w:tc>
        <w:tc>
          <w:tcPr>
            <w:tcW w:w="569" w:type="pct"/>
            <w:noWrap/>
            <w:hideMark/>
          </w:tcPr>
          <w:p w14:paraId="39F9B73B" w14:textId="77777777" w:rsidR="00F47D6E" w:rsidRPr="00733014" w:rsidRDefault="00F47D6E" w:rsidP="00733014">
            <w:pPr>
              <w:keepNext/>
              <w:keepLines/>
              <w:spacing w:before="0" w:after="0"/>
              <w:ind w:left="0" w:right="0"/>
              <w:jc w:val="center"/>
              <w:rPr>
                <w:sz w:val="20"/>
                <w:szCs w:val="20"/>
                <w:lang w:eastAsia="ja-JP"/>
              </w:rPr>
            </w:pPr>
            <w:r w:rsidRPr="00733014">
              <w:rPr>
                <w:sz w:val="20"/>
                <w:szCs w:val="20"/>
                <w:lang w:eastAsia="ja-JP"/>
              </w:rPr>
              <w:t>&lt; 30 kg</w:t>
            </w:r>
          </w:p>
        </w:tc>
        <w:tc>
          <w:tcPr>
            <w:tcW w:w="325" w:type="pct"/>
            <w:noWrap/>
            <w:hideMark/>
          </w:tcPr>
          <w:p w14:paraId="3BF71FAF" w14:textId="77777777" w:rsidR="00F47D6E" w:rsidRPr="00733014" w:rsidRDefault="00F47D6E" w:rsidP="00733014">
            <w:pPr>
              <w:keepNext/>
              <w:keepLines/>
              <w:spacing w:before="0" w:after="0"/>
              <w:ind w:left="0" w:right="0"/>
              <w:jc w:val="center"/>
              <w:rPr>
                <w:sz w:val="20"/>
                <w:szCs w:val="20"/>
                <w:lang w:eastAsia="ja-JP"/>
              </w:rPr>
            </w:pPr>
            <w:r w:rsidRPr="00733014">
              <w:rPr>
                <w:sz w:val="20"/>
                <w:szCs w:val="20"/>
                <w:lang w:eastAsia="ja-JP"/>
              </w:rPr>
              <w:t>11</w:t>
            </w:r>
          </w:p>
        </w:tc>
        <w:tc>
          <w:tcPr>
            <w:tcW w:w="813" w:type="pct"/>
            <w:noWrap/>
            <w:hideMark/>
          </w:tcPr>
          <w:p w14:paraId="128760D5" w14:textId="77777777" w:rsidR="00F47D6E" w:rsidRPr="00733014" w:rsidRDefault="00F47D6E" w:rsidP="00733014">
            <w:pPr>
              <w:keepNext/>
              <w:keepLines/>
              <w:spacing w:before="0" w:after="0"/>
              <w:ind w:left="0" w:right="0"/>
              <w:jc w:val="center"/>
              <w:rPr>
                <w:sz w:val="20"/>
                <w:szCs w:val="20"/>
                <w:lang w:eastAsia="ja-JP"/>
              </w:rPr>
            </w:pPr>
            <w:r w:rsidRPr="00733014">
              <w:rPr>
                <w:sz w:val="20"/>
                <w:szCs w:val="20"/>
                <w:lang w:eastAsia="ja-JP"/>
              </w:rPr>
              <w:t>10.4</w:t>
            </w:r>
          </w:p>
          <w:p w14:paraId="6E9A8033" w14:textId="77777777" w:rsidR="00F47D6E" w:rsidRPr="00733014" w:rsidRDefault="00F47D6E" w:rsidP="00733014">
            <w:pPr>
              <w:keepNext/>
              <w:keepLines/>
              <w:spacing w:before="0" w:after="0"/>
              <w:ind w:left="0" w:right="0"/>
              <w:jc w:val="center"/>
              <w:rPr>
                <w:sz w:val="20"/>
                <w:szCs w:val="20"/>
                <w:lang w:eastAsia="ja-JP"/>
              </w:rPr>
            </w:pPr>
            <w:r w:rsidRPr="00733014">
              <w:rPr>
                <w:sz w:val="20"/>
                <w:szCs w:val="20"/>
                <w:lang w:eastAsia="ja-JP"/>
              </w:rPr>
              <w:t>(6.8 – 11.5)</w:t>
            </w:r>
          </w:p>
        </w:tc>
        <w:tc>
          <w:tcPr>
            <w:tcW w:w="814" w:type="pct"/>
            <w:noWrap/>
            <w:hideMark/>
          </w:tcPr>
          <w:p w14:paraId="383526E7" w14:textId="77777777" w:rsidR="00F47D6E" w:rsidRPr="00733014" w:rsidRDefault="00F47D6E" w:rsidP="00733014">
            <w:pPr>
              <w:keepNext/>
              <w:keepLines/>
              <w:spacing w:before="0" w:after="0"/>
              <w:ind w:left="0" w:right="0"/>
              <w:jc w:val="center"/>
              <w:rPr>
                <w:sz w:val="20"/>
                <w:szCs w:val="20"/>
                <w:lang w:eastAsia="ja-JP"/>
              </w:rPr>
            </w:pPr>
            <w:r w:rsidRPr="00733014">
              <w:rPr>
                <w:sz w:val="20"/>
                <w:szCs w:val="20"/>
                <w:lang w:eastAsia="ja-JP"/>
              </w:rPr>
              <w:t>137 ± 74.2</w:t>
            </w:r>
          </w:p>
          <w:p w14:paraId="6A2247DA" w14:textId="77777777" w:rsidR="00F47D6E" w:rsidRPr="00733014" w:rsidRDefault="00F47D6E" w:rsidP="00733014">
            <w:pPr>
              <w:keepNext/>
              <w:keepLines/>
              <w:spacing w:before="0" w:after="0"/>
              <w:ind w:left="0" w:right="0"/>
              <w:jc w:val="center"/>
              <w:rPr>
                <w:sz w:val="20"/>
                <w:szCs w:val="20"/>
                <w:lang w:eastAsia="ja-JP"/>
              </w:rPr>
            </w:pPr>
            <w:r w:rsidRPr="00733014">
              <w:rPr>
                <w:sz w:val="20"/>
                <w:szCs w:val="20"/>
                <w:lang w:eastAsia="ja-JP"/>
              </w:rPr>
              <w:t>119.9 (41.9 – 253.0)</w:t>
            </w:r>
          </w:p>
        </w:tc>
        <w:tc>
          <w:tcPr>
            <w:tcW w:w="979" w:type="pct"/>
            <w:noWrap/>
            <w:hideMark/>
          </w:tcPr>
          <w:p w14:paraId="402B7187" w14:textId="77777777" w:rsidR="00F47D6E" w:rsidRPr="00733014" w:rsidRDefault="00F47D6E" w:rsidP="00733014">
            <w:pPr>
              <w:keepNext/>
              <w:keepLines/>
              <w:spacing w:before="0" w:after="0"/>
              <w:ind w:left="0" w:right="0"/>
              <w:jc w:val="center"/>
              <w:rPr>
                <w:sz w:val="20"/>
                <w:szCs w:val="20"/>
                <w:lang w:eastAsia="ja-JP"/>
              </w:rPr>
            </w:pPr>
            <w:r w:rsidRPr="00733014">
              <w:rPr>
                <w:sz w:val="20"/>
                <w:szCs w:val="20"/>
                <w:lang w:eastAsia="ja-JP"/>
              </w:rPr>
              <w:t>221.3 ± 115.3</w:t>
            </w:r>
          </w:p>
          <w:p w14:paraId="5DAF2122" w14:textId="77777777" w:rsidR="00F47D6E" w:rsidRPr="00733014" w:rsidRDefault="00F47D6E" w:rsidP="00733014">
            <w:pPr>
              <w:keepNext/>
              <w:keepLines/>
              <w:spacing w:before="0" w:after="0"/>
              <w:ind w:left="0" w:right="0"/>
              <w:jc w:val="center"/>
              <w:rPr>
                <w:sz w:val="20"/>
                <w:szCs w:val="20"/>
                <w:lang w:eastAsia="ja-JP"/>
              </w:rPr>
            </w:pPr>
            <w:r w:rsidRPr="00733014">
              <w:rPr>
                <w:sz w:val="20"/>
                <w:szCs w:val="20"/>
                <w:lang w:eastAsia="ja-JP"/>
              </w:rPr>
              <w:t>195.2 (68.2 – 443.3)</w:t>
            </w:r>
          </w:p>
        </w:tc>
        <w:tc>
          <w:tcPr>
            <w:tcW w:w="870" w:type="pct"/>
            <w:noWrap/>
            <w:hideMark/>
          </w:tcPr>
          <w:p w14:paraId="2296EE12" w14:textId="77777777" w:rsidR="00F47D6E" w:rsidRPr="00733014" w:rsidRDefault="00F47D6E" w:rsidP="00733014">
            <w:pPr>
              <w:keepNext/>
              <w:keepLines/>
              <w:spacing w:before="0" w:after="0"/>
              <w:ind w:left="0" w:right="0"/>
              <w:jc w:val="center"/>
              <w:rPr>
                <w:sz w:val="20"/>
                <w:szCs w:val="20"/>
                <w:lang w:eastAsia="ja-JP"/>
              </w:rPr>
            </w:pPr>
            <w:r w:rsidRPr="00733014">
              <w:rPr>
                <w:sz w:val="20"/>
                <w:szCs w:val="20"/>
                <w:lang w:eastAsia="ja-JP"/>
              </w:rPr>
              <w:t>2418 ± 701</w:t>
            </w:r>
          </w:p>
          <w:p w14:paraId="1337DE6A" w14:textId="77777777" w:rsidR="00F47D6E" w:rsidRPr="00733014" w:rsidRDefault="00F47D6E" w:rsidP="00733014">
            <w:pPr>
              <w:keepNext/>
              <w:keepLines/>
              <w:spacing w:before="0" w:after="0"/>
              <w:ind w:left="0" w:right="0"/>
              <w:jc w:val="center"/>
              <w:rPr>
                <w:sz w:val="20"/>
                <w:szCs w:val="20"/>
                <w:lang w:eastAsia="ja-JP"/>
              </w:rPr>
            </w:pPr>
            <w:r w:rsidRPr="00733014">
              <w:rPr>
                <w:sz w:val="20"/>
                <w:szCs w:val="20"/>
                <w:lang w:eastAsia="ja-JP"/>
              </w:rPr>
              <w:t>2214 (1542 - 3445)</w:t>
            </w:r>
          </w:p>
        </w:tc>
      </w:tr>
      <w:tr w:rsidR="00C0042D" w:rsidRPr="00027E93" w14:paraId="6823AC8A" w14:textId="77777777" w:rsidTr="00733014">
        <w:trPr>
          <w:trHeight w:val="665"/>
        </w:trPr>
        <w:tc>
          <w:tcPr>
            <w:tcW w:w="631" w:type="pct"/>
            <w:hideMark/>
          </w:tcPr>
          <w:p w14:paraId="2DE87C84" w14:textId="77777777" w:rsidR="00F47D6E" w:rsidRPr="00733014" w:rsidRDefault="00F47D6E" w:rsidP="00733014">
            <w:pPr>
              <w:keepNext/>
              <w:keepLines/>
              <w:spacing w:before="0" w:after="0"/>
              <w:ind w:left="0" w:right="0"/>
              <w:rPr>
                <w:sz w:val="20"/>
                <w:szCs w:val="20"/>
                <w:lang w:eastAsia="ja-JP"/>
              </w:rPr>
            </w:pPr>
            <w:r w:rsidRPr="00733014">
              <w:rPr>
                <w:sz w:val="20"/>
                <w:szCs w:val="20"/>
                <w:lang w:eastAsia="ja-JP"/>
              </w:rPr>
              <w:t>162 mg SC Q2W</w:t>
            </w:r>
          </w:p>
        </w:tc>
        <w:tc>
          <w:tcPr>
            <w:tcW w:w="569" w:type="pct"/>
            <w:hideMark/>
          </w:tcPr>
          <w:p w14:paraId="4AFDAE2B" w14:textId="77777777" w:rsidR="00F47D6E" w:rsidRPr="00733014" w:rsidRDefault="00F47D6E" w:rsidP="00733014">
            <w:pPr>
              <w:keepNext/>
              <w:keepLines/>
              <w:spacing w:before="0" w:after="0"/>
              <w:ind w:left="0" w:right="0"/>
              <w:jc w:val="center"/>
              <w:rPr>
                <w:sz w:val="20"/>
                <w:szCs w:val="20"/>
                <w:lang w:eastAsia="ja-JP"/>
              </w:rPr>
            </w:pPr>
            <w:r w:rsidRPr="00733014">
              <w:rPr>
                <w:sz w:val="20"/>
                <w:szCs w:val="20"/>
                <w:lang w:eastAsia="ja-JP"/>
              </w:rPr>
              <w:t>&lt; 30 kg</w:t>
            </w:r>
          </w:p>
        </w:tc>
        <w:tc>
          <w:tcPr>
            <w:tcW w:w="325" w:type="pct"/>
            <w:noWrap/>
            <w:hideMark/>
          </w:tcPr>
          <w:p w14:paraId="010F75C7" w14:textId="77777777" w:rsidR="00F47D6E" w:rsidRPr="00733014" w:rsidRDefault="00F47D6E" w:rsidP="00733014">
            <w:pPr>
              <w:keepNext/>
              <w:keepLines/>
              <w:spacing w:before="0" w:after="0"/>
              <w:ind w:left="0" w:right="0"/>
              <w:jc w:val="center"/>
              <w:rPr>
                <w:sz w:val="20"/>
                <w:szCs w:val="20"/>
                <w:lang w:eastAsia="ja-JP"/>
              </w:rPr>
            </w:pPr>
            <w:r w:rsidRPr="00733014">
              <w:rPr>
                <w:sz w:val="20"/>
                <w:szCs w:val="20"/>
                <w:lang w:eastAsia="ja-JP"/>
              </w:rPr>
              <w:t>25</w:t>
            </w:r>
          </w:p>
        </w:tc>
        <w:tc>
          <w:tcPr>
            <w:tcW w:w="813" w:type="pct"/>
            <w:hideMark/>
          </w:tcPr>
          <w:p w14:paraId="4925F1B7" w14:textId="77777777" w:rsidR="00F47D6E" w:rsidRPr="00733014" w:rsidRDefault="00F47D6E" w:rsidP="00733014">
            <w:pPr>
              <w:keepNext/>
              <w:keepLines/>
              <w:spacing w:before="0" w:after="0"/>
              <w:ind w:left="0" w:right="0"/>
              <w:jc w:val="center"/>
              <w:rPr>
                <w:sz w:val="20"/>
                <w:szCs w:val="20"/>
                <w:lang w:eastAsia="ja-JP"/>
              </w:rPr>
            </w:pPr>
            <w:r w:rsidRPr="00733014">
              <w:rPr>
                <w:sz w:val="20"/>
                <w:szCs w:val="20"/>
                <w:lang w:eastAsia="ja-JP"/>
              </w:rPr>
              <w:t>19.6</w:t>
            </w:r>
          </w:p>
          <w:p w14:paraId="4FB6C994" w14:textId="36143D41" w:rsidR="00F47D6E" w:rsidRPr="00733014" w:rsidRDefault="00C0042D" w:rsidP="00733014">
            <w:pPr>
              <w:keepNext/>
              <w:keepLines/>
              <w:spacing w:before="0" w:after="0"/>
              <w:ind w:left="0" w:right="0"/>
              <w:jc w:val="center"/>
              <w:rPr>
                <w:sz w:val="20"/>
                <w:szCs w:val="20"/>
                <w:lang w:eastAsia="ja-JP"/>
              </w:rPr>
            </w:pPr>
            <w:r>
              <w:rPr>
                <w:sz w:val="20"/>
                <w:szCs w:val="20"/>
                <w:lang w:eastAsia="ja-JP"/>
              </w:rPr>
              <w:t>(</w:t>
            </w:r>
            <w:r w:rsidR="00F47D6E" w:rsidRPr="00733014">
              <w:rPr>
                <w:sz w:val="20"/>
                <w:szCs w:val="20"/>
                <w:lang w:eastAsia="ja-JP"/>
              </w:rPr>
              <w:t>9.2 - 27.2</w:t>
            </w:r>
            <w:r>
              <w:rPr>
                <w:sz w:val="20"/>
                <w:szCs w:val="20"/>
                <w:lang w:eastAsia="ja-JP"/>
              </w:rPr>
              <w:t>)</w:t>
            </w:r>
          </w:p>
        </w:tc>
        <w:tc>
          <w:tcPr>
            <w:tcW w:w="814" w:type="pct"/>
            <w:hideMark/>
          </w:tcPr>
          <w:p w14:paraId="32601EBD" w14:textId="77777777" w:rsidR="00F47D6E" w:rsidRPr="00733014" w:rsidRDefault="00F47D6E" w:rsidP="00733014">
            <w:pPr>
              <w:keepNext/>
              <w:keepLines/>
              <w:spacing w:before="0" w:after="0"/>
              <w:ind w:left="0" w:right="0"/>
              <w:jc w:val="center"/>
              <w:rPr>
                <w:sz w:val="20"/>
                <w:szCs w:val="20"/>
                <w:lang w:eastAsia="ja-JP"/>
              </w:rPr>
            </w:pPr>
            <w:r w:rsidRPr="00733014">
              <w:rPr>
                <w:sz w:val="20"/>
                <w:szCs w:val="20"/>
                <w:lang w:eastAsia="ja-JP"/>
              </w:rPr>
              <w:t>65.86 ± 31.31</w:t>
            </w:r>
          </w:p>
          <w:p w14:paraId="2C8808AF" w14:textId="77777777" w:rsidR="00F47D6E" w:rsidRPr="00733014" w:rsidRDefault="00F47D6E" w:rsidP="00733014">
            <w:pPr>
              <w:keepNext/>
              <w:keepLines/>
              <w:spacing w:before="0" w:after="0"/>
              <w:ind w:left="0" w:right="0"/>
              <w:jc w:val="center"/>
              <w:rPr>
                <w:sz w:val="20"/>
                <w:szCs w:val="20"/>
                <w:lang w:eastAsia="ja-JP"/>
              </w:rPr>
            </w:pPr>
            <w:r w:rsidRPr="00733014">
              <w:rPr>
                <w:sz w:val="20"/>
                <w:szCs w:val="20"/>
                <w:lang w:eastAsia="ja-JP"/>
              </w:rPr>
              <w:t>64.15 (16.61 - 135.86)</w:t>
            </w:r>
          </w:p>
        </w:tc>
        <w:tc>
          <w:tcPr>
            <w:tcW w:w="979" w:type="pct"/>
            <w:hideMark/>
          </w:tcPr>
          <w:p w14:paraId="79C1FB1C" w14:textId="77777777" w:rsidR="00F47D6E" w:rsidRPr="00733014" w:rsidRDefault="00F47D6E" w:rsidP="00733014">
            <w:pPr>
              <w:keepNext/>
              <w:keepLines/>
              <w:spacing w:before="0" w:after="0"/>
              <w:ind w:left="0" w:right="0"/>
              <w:jc w:val="center"/>
              <w:rPr>
                <w:sz w:val="20"/>
                <w:szCs w:val="20"/>
                <w:lang w:eastAsia="ja-JP"/>
              </w:rPr>
            </w:pPr>
            <w:r w:rsidRPr="00733014">
              <w:rPr>
                <w:sz w:val="20"/>
                <w:szCs w:val="20"/>
                <w:lang w:eastAsia="ja-JP"/>
              </w:rPr>
              <w:t>134.1 ± 58.64</w:t>
            </w:r>
          </w:p>
          <w:p w14:paraId="21CB63B3" w14:textId="77777777" w:rsidR="00F47D6E" w:rsidRPr="00733014" w:rsidRDefault="00F47D6E" w:rsidP="00733014">
            <w:pPr>
              <w:keepNext/>
              <w:keepLines/>
              <w:spacing w:before="0" w:after="0"/>
              <w:ind w:left="0" w:right="0"/>
              <w:jc w:val="center"/>
              <w:rPr>
                <w:sz w:val="20"/>
                <w:szCs w:val="20"/>
                <w:lang w:eastAsia="ja-JP"/>
              </w:rPr>
            </w:pPr>
            <w:r w:rsidRPr="00733014">
              <w:rPr>
                <w:sz w:val="20"/>
                <w:szCs w:val="20"/>
                <w:lang w:eastAsia="ja-JP"/>
              </w:rPr>
              <w:t>126.6 (51.67 - 265.84)</w:t>
            </w:r>
          </w:p>
        </w:tc>
        <w:tc>
          <w:tcPr>
            <w:tcW w:w="870" w:type="pct"/>
            <w:hideMark/>
          </w:tcPr>
          <w:p w14:paraId="12BC8DB1" w14:textId="77777777" w:rsidR="00F47D6E" w:rsidRPr="00733014" w:rsidRDefault="00F47D6E" w:rsidP="00733014">
            <w:pPr>
              <w:keepNext/>
              <w:keepLines/>
              <w:spacing w:before="0" w:after="0"/>
              <w:ind w:left="0" w:right="0"/>
              <w:jc w:val="center"/>
              <w:rPr>
                <w:sz w:val="20"/>
                <w:szCs w:val="20"/>
                <w:lang w:eastAsia="ja-JP"/>
              </w:rPr>
            </w:pPr>
            <w:r w:rsidRPr="00733014">
              <w:rPr>
                <w:sz w:val="20"/>
                <w:szCs w:val="20"/>
                <w:lang w:eastAsia="ja-JP"/>
              </w:rPr>
              <w:t>1414 ± 605</w:t>
            </w:r>
          </w:p>
          <w:p w14:paraId="66947399" w14:textId="77777777" w:rsidR="00F47D6E" w:rsidRPr="00733014" w:rsidRDefault="00F47D6E" w:rsidP="00733014">
            <w:pPr>
              <w:keepNext/>
              <w:keepLines/>
              <w:spacing w:before="0" w:after="0"/>
              <w:ind w:left="0" w:right="0"/>
              <w:jc w:val="center"/>
              <w:rPr>
                <w:sz w:val="20"/>
                <w:szCs w:val="20"/>
                <w:lang w:eastAsia="ja-JP"/>
              </w:rPr>
            </w:pPr>
            <w:r w:rsidRPr="00733014">
              <w:rPr>
                <w:sz w:val="20"/>
                <w:szCs w:val="20"/>
                <w:lang w:eastAsia="ja-JP"/>
              </w:rPr>
              <w:t>1298 (539 - 2792)</w:t>
            </w:r>
          </w:p>
        </w:tc>
      </w:tr>
      <w:tr w:rsidR="00C0042D" w:rsidRPr="00027E93" w14:paraId="451AA13E" w14:textId="77777777" w:rsidTr="00733014">
        <w:trPr>
          <w:trHeight w:val="520"/>
        </w:trPr>
        <w:tc>
          <w:tcPr>
            <w:tcW w:w="631" w:type="pct"/>
            <w:hideMark/>
          </w:tcPr>
          <w:p w14:paraId="3B9F22EB" w14:textId="77777777" w:rsidR="00F47D6E" w:rsidRPr="00733014" w:rsidRDefault="00F47D6E" w:rsidP="00733014">
            <w:pPr>
              <w:keepNext/>
              <w:keepLines/>
              <w:spacing w:before="0" w:after="0"/>
              <w:ind w:left="0" w:right="0"/>
              <w:rPr>
                <w:sz w:val="20"/>
                <w:szCs w:val="20"/>
                <w:lang w:eastAsia="ja-JP"/>
              </w:rPr>
            </w:pPr>
            <w:r w:rsidRPr="00733014">
              <w:rPr>
                <w:sz w:val="20"/>
                <w:szCs w:val="20"/>
                <w:lang w:eastAsia="ja-JP"/>
              </w:rPr>
              <w:t>162 mg SC QW</w:t>
            </w:r>
          </w:p>
        </w:tc>
        <w:tc>
          <w:tcPr>
            <w:tcW w:w="569" w:type="pct"/>
            <w:hideMark/>
          </w:tcPr>
          <w:p w14:paraId="630B63B7" w14:textId="77777777" w:rsidR="00F47D6E" w:rsidRPr="00733014" w:rsidRDefault="00F47D6E" w:rsidP="00733014">
            <w:pPr>
              <w:keepNext/>
              <w:keepLines/>
              <w:spacing w:before="0" w:after="0"/>
              <w:ind w:left="0" w:right="0"/>
              <w:jc w:val="center"/>
              <w:rPr>
                <w:sz w:val="20"/>
                <w:szCs w:val="20"/>
                <w:lang w:eastAsia="ja-JP"/>
              </w:rPr>
            </w:pPr>
            <w:r w:rsidRPr="00733014">
              <w:rPr>
                <w:sz w:val="20"/>
                <w:szCs w:val="20"/>
                <w:lang w:eastAsia="ja-JP"/>
              </w:rPr>
              <w:t>≥ 30 kg</w:t>
            </w:r>
          </w:p>
        </w:tc>
        <w:tc>
          <w:tcPr>
            <w:tcW w:w="325" w:type="pct"/>
            <w:noWrap/>
            <w:hideMark/>
          </w:tcPr>
          <w:p w14:paraId="46FD5539" w14:textId="77777777" w:rsidR="00F47D6E" w:rsidRPr="00733014" w:rsidRDefault="00F47D6E" w:rsidP="00733014">
            <w:pPr>
              <w:keepNext/>
              <w:keepLines/>
              <w:spacing w:before="0" w:after="0"/>
              <w:ind w:left="0" w:right="0"/>
              <w:jc w:val="center"/>
              <w:rPr>
                <w:sz w:val="20"/>
                <w:szCs w:val="20"/>
                <w:lang w:eastAsia="ja-JP"/>
              </w:rPr>
            </w:pPr>
            <w:r w:rsidRPr="00733014">
              <w:rPr>
                <w:sz w:val="20"/>
                <w:szCs w:val="20"/>
                <w:lang w:eastAsia="ja-JP"/>
              </w:rPr>
              <w:t>26</w:t>
            </w:r>
          </w:p>
        </w:tc>
        <w:tc>
          <w:tcPr>
            <w:tcW w:w="813" w:type="pct"/>
            <w:hideMark/>
          </w:tcPr>
          <w:p w14:paraId="7FBB3B34" w14:textId="77777777" w:rsidR="00F47D6E" w:rsidRPr="00733014" w:rsidRDefault="00F47D6E" w:rsidP="00733014">
            <w:pPr>
              <w:keepNext/>
              <w:keepLines/>
              <w:spacing w:before="0" w:after="0"/>
              <w:ind w:left="0" w:right="0"/>
              <w:jc w:val="center"/>
              <w:rPr>
                <w:sz w:val="20"/>
                <w:szCs w:val="20"/>
                <w:lang w:eastAsia="ja-JP"/>
              </w:rPr>
            </w:pPr>
            <w:r w:rsidRPr="00733014">
              <w:rPr>
                <w:sz w:val="20"/>
                <w:szCs w:val="20"/>
                <w:lang w:eastAsia="ja-JP"/>
              </w:rPr>
              <w:t>51.7</w:t>
            </w:r>
          </w:p>
          <w:p w14:paraId="4CDB2F61" w14:textId="7FF969E7" w:rsidR="00F47D6E" w:rsidRPr="00733014" w:rsidRDefault="00C0042D" w:rsidP="00733014">
            <w:pPr>
              <w:keepNext/>
              <w:keepLines/>
              <w:spacing w:before="0" w:after="0"/>
              <w:ind w:left="0" w:right="0"/>
              <w:jc w:val="center"/>
              <w:rPr>
                <w:sz w:val="20"/>
                <w:szCs w:val="20"/>
                <w:lang w:eastAsia="ja-JP"/>
              </w:rPr>
            </w:pPr>
            <w:r>
              <w:rPr>
                <w:sz w:val="20"/>
                <w:szCs w:val="20"/>
                <w:lang w:eastAsia="ja-JP"/>
              </w:rPr>
              <w:t>(</w:t>
            </w:r>
            <w:r w:rsidR="00F47D6E" w:rsidRPr="00733014">
              <w:rPr>
                <w:sz w:val="20"/>
                <w:szCs w:val="20"/>
                <w:lang w:eastAsia="ja-JP"/>
              </w:rPr>
              <w:t>30.0 - 73.2</w:t>
            </w:r>
            <w:r>
              <w:rPr>
                <w:sz w:val="20"/>
                <w:szCs w:val="20"/>
                <w:lang w:eastAsia="ja-JP"/>
              </w:rPr>
              <w:t>)</w:t>
            </w:r>
          </w:p>
        </w:tc>
        <w:tc>
          <w:tcPr>
            <w:tcW w:w="814" w:type="pct"/>
            <w:hideMark/>
          </w:tcPr>
          <w:p w14:paraId="0FB56EE3" w14:textId="77777777" w:rsidR="00F47D6E" w:rsidRPr="00733014" w:rsidRDefault="00F47D6E" w:rsidP="00733014">
            <w:pPr>
              <w:keepNext/>
              <w:keepLines/>
              <w:spacing w:before="0" w:after="0"/>
              <w:ind w:left="0" w:right="0"/>
              <w:jc w:val="center"/>
              <w:rPr>
                <w:sz w:val="20"/>
                <w:szCs w:val="20"/>
                <w:lang w:eastAsia="ja-JP"/>
              </w:rPr>
            </w:pPr>
            <w:r w:rsidRPr="00733014">
              <w:rPr>
                <w:sz w:val="20"/>
                <w:szCs w:val="20"/>
                <w:lang w:eastAsia="ja-JP"/>
              </w:rPr>
              <w:t>79.18 ± 35.57</w:t>
            </w:r>
          </w:p>
          <w:p w14:paraId="3E6BBB5A" w14:textId="77777777" w:rsidR="00F47D6E" w:rsidRPr="00733014" w:rsidRDefault="00F47D6E" w:rsidP="00733014">
            <w:pPr>
              <w:keepNext/>
              <w:keepLines/>
              <w:spacing w:before="0" w:after="0"/>
              <w:ind w:left="0" w:right="0"/>
              <w:jc w:val="center"/>
              <w:rPr>
                <w:sz w:val="20"/>
                <w:szCs w:val="20"/>
                <w:lang w:eastAsia="ja-JP"/>
              </w:rPr>
            </w:pPr>
            <w:r w:rsidRPr="00733014">
              <w:rPr>
                <w:sz w:val="20"/>
                <w:szCs w:val="20"/>
                <w:lang w:eastAsia="ja-JP"/>
              </w:rPr>
              <w:t>72.37 (19.52 - 157.81)</w:t>
            </w:r>
          </w:p>
        </w:tc>
        <w:tc>
          <w:tcPr>
            <w:tcW w:w="979" w:type="pct"/>
            <w:hideMark/>
          </w:tcPr>
          <w:p w14:paraId="45FF5113" w14:textId="77777777" w:rsidR="00F47D6E" w:rsidRPr="00733014" w:rsidRDefault="00F47D6E" w:rsidP="00733014">
            <w:pPr>
              <w:keepNext/>
              <w:keepLines/>
              <w:spacing w:before="0" w:after="0"/>
              <w:ind w:left="0" w:right="0"/>
              <w:jc w:val="center"/>
              <w:rPr>
                <w:sz w:val="20"/>
                <w:szCs w:val="20"/>
                <w:lang w:eastAsia="ja-JP"/>
              </w:rPr>
            </w:pPr>
            <w:r w:rsidRPr="00733014">
              <w:rPr>
                <w:sz w:val="20"/>
                <w:szCs w:val="20"/>
                <w:lang w:eastAsia="ja-JP"/>
              </w:rPr>
              <w:t>99.75 ± 46.19</w:t>
            </w:r>
          </w:p>
          <w:p w14:paraId="6ED61686" w14:textId="77777777" w:rsidR="00F47D6E" w:rsidRPr="00733014" w:rsidRDefault="00F47D6E" w:rsidP="00733014">
            <w:pPr>
              <w:keepNext/>
              <w:keepLines/>
              <w:spacing w:before="0" w:after="0"/>
              <w:ind w:left="0" w:right="0"/>
              <w:jc w:val="center"/>
              <w:rPr>
                <w:sz w:val="20"/>
                <w:szCs w:val="20"/>
                <w:lang w:eastAsia="ja-JP"/>
              </w:rPr>
            </w:pPr>
            <w:r w:rsidRPr="00733014">
              <w:rPr>
                <w:sz w:val="20"/>
                <w:szCs w:val="20"/>
                <w:lang w:eastAsia="ja-JP"/>
              </w:rPr>
              <w:t>89.8 (26.37 - 190.2)</w:t>
            </w:r>
          </w:p>
        </w:tc>
        <w:tc>
          <w:tcPr>
            <w:tcW w:w="870" w:type="pct"/>
            <w:hideMark/>
          </w:tcPr>
          <w:p w14:paraId="262AFD9B" w14:textId="77777777" w:rsidR="00F47D6E" w:rsidRPr="00733014" w:rsidRDefault="00F47D6E" w:rsidP="00733014">
            <w:pPr>
              <w:keepNext/>
              <w:keepLines/>
              <w:spacing w:before="0" w:after="0"/>
              <w:ind w:left="0" w:right="0"/>
              <w:jc w:val="center"/>
              <w:rPr>
                <w:sz w:val="20"/>
                <w:szCs w:val="20"/>
                <w:lang w:eastAsia="ja-JP"/>
              </w:rPr>
            </w:pPr>
            <w:r w:rsidRPr="00733014">
              <w:rPr>
                <w:sz w:val="20"/>
                <w:szCs w:val="20"/>
                <w:lang w:eastAsia="ja-JP"/>
              </w:rPr>
              <w:t>1278 ± 565</w:t>
            </w:r>
          </w:p>
          <w:p w14:paraId="5A4FDE93" w14:textId="77777777" w:rsidR="00F47D6E" w:rsidRPr="00733014" w:rsidRDefault="00F47D6E" w:rsidP="00733014">
            <w:pPr>
              <w:keepNext/>
              <w:keepLines/>
              <w:spacing w:before="0" w:after="0"/>
              <w:ind w:left="0" w:right="0"/>
              <w:jc w:val="center"/>
              <w:rPr>
                <w:sz w:val="20"/>
                <w:szCs w:val="20"/>
                <w:lang w:eastAsia="ja-JP"/>
              </w:rPr>
            </w:pPr>
            <w:r w:rsidRPr="00733014">
              <w:rPr>
                <w:sz w:val="20"/>
                <w:szCs w:val="20"/>
                <w:lang w:eastAsia="ja-JP"/>
              </w:rPr>
              <w:t>1154 (334 - 2370)</w:t>
            </w:r>
          </w:p>
        </w:tc>
      </w:tr>
      <w:tr w:rsidR="00F47D6E" w:rsidRPr="00027E93" w14:paraId="44350A9D" w14:textId="77777777" w:rsidTr="000802D3">
        <w:trPr>
          <w:trHeight w:val="397"/>
        </w:trPr>
        <w:tc>
          <w:tcPr>
            <w:tcW w:w="5000" w:type="pct"/>
            <w:gridSpan w:val="7"/>
            <w:shd w:val="clear" w:color="auto" w:fill="C6D4E9"/>
          </w:tcPr>
          <w:p w14:paraId="29A89A52" w14:textId="6A0456FF" w:rsidR="00F47D6E" w:rsidRPr="00733014" w:rsidRDefault="00C0042D" w:rsidP="00733014">
            <w:pPr>
              <w:keepNext/>
              <w:keepLines/>
              <w:spacing w:before="0" w:after="0"/>
              <w:ind w:left="0" w:right="0"/>
              <w:rPr>
                <w:sz w:val="20"/>
                <w:szCs w:val="20"/>
                <w:lang w:eastAsia="ja-JP"/>
              </w:rPr>
            </w:pPr>
            <w:r w:rsidRPr="00C0042D">
              <w:rPr>
                <w:b/>
                <w:bCs/>
                <w:sz w:val="20"/>
                <w:szCs w:val="20"/>
                <w:lang w:eastAsia="ja-JP"/>
              </w:rPr>
              <w:t>T</w:t>
            </w:r>
            <w:r w:rsidR="00424284" w:rsidRPr="00733014">
              <w:rPr>
                <w:b/>
                <w:bCs/>
                <w:sz w:val="20"/>
                <w:szCs w:val="20"/>
                <w:lang w:eastAsia="ja-JP"/>
              </w:rPr>
              <w:t>ocilizumab</w:t>
            </w:r>
            <w:r w:rsidR="00F47D6E" w:rsidRPr="00733014">
              <w:rPr>
                <w:b/>
                <w:bCs/>
                <w:sz w:val="20"/>
                <w:szCs w:val="20"/>
                <w:lang w:eastAsia="ja-JP"/>
              </w:rPr>
              <w:t xml:space="preserve"> IV in sJIA</w:t>
            </w:r>
          </w:p>
        </w:tc>
      </w:tr>
      <w:tr w:rsidR="00C0042D" w:rsidRPr="00027E93" w14:paraId="1BE294DF" w14:textId="77777777" w:rsidTr="00733014">
        <w:trPr>
          <w:trHeight w:val="520"/>
        </w:trPr>
        <w:tc>
          <w:tcPr>
            <w:tcW w:w="631" w:type="pct"/>
          </w:tcPr>
          <w:p w14:paraId="41E5062C" w14:textId="60EBCB0E" w:rsidR="00F47D6E" w:rsidRPr="00733014" w:rsidRDefault="00F47D6E" w:rsidP="00733014">
            <w:pPr>
              <w:keepNext/>
              <w:keepLines/>
              <w:spacing w:before="0" w:after="0"/>
              <w:ind w:left="0" w:right="0"/>
              <w:rPr>
                <w:sz w:val="20"/>
                <w:szCs w:val="20"/>
                <w:lang w:eastAsia="ja-JP"/>
              </w:rPr>
            </w:pPr>
            <w:r w:rsidRPr="00733014">
              <w:rPr>
                <w:sz w:val="20"/>
                <w:szCs w:val="20"/>
                <w:lang w:eastAsia="ja-JP"/>
              </w:rPr>
              <w:t>12 mg/kg IV Q2W (</w:t>
            </w:r>
            <w:r w:rsidR="00C0042D">
              <w:rPr>
                <w:sz w:val="20"/>
                <w:szCs w:val="20"/>
                <w:lang w:eastAsia="ja-JP"/>
              </w:rPr>
              <w:t xml:space="preserve">Study </w:t>
            </w:r>
            <w:r w:rsidRPr="00733014">
              <w:rPr>
                <w:sz w:val="20"/>
                <w:szCs w:val="20"/>
                <w:lang w:eastAsia="ja-JP"/>
              </w:rPr>
              <w:t>NP25737)</w:t>
            </w:r>
          </w:p>
        </w:tc>
        <w:tc>
          <w:tcPr>
            <w:tcW w:w="569" w:type="pct"/>
          </w:tcPr>
          <w:p w14:paraId="0A2A975C" w14:textId="77777777" w:rsidR="00F47D6E" w:rsidRPr="00733014" w:rsidRDefault="00F47D6E" w:rsidP="00733014">
            <w:pPr>
              <w:keepNext/>
              <w:keepLines/>
              <w:spacing w:before="0" w:after="0"/>
              <w:ind w:left="0" w:right="0"/>
              <w:jc w:val="center"/>
              <w:rPr>
                <w:sz w:val="20"/>
                <w:szCs w:val="20"/>
                <w:lang w:eastAsia="ja-JP"/>
              </w:rPr>
            </w:pPr>
            <w:r w:rsidRPr="00733014">
              <w:rPr>
                <w:sz w:val="20"/>
                <w:szCs w:val="20"/>
                <w:lang w:eastAsia="ja-JP"/>
              </w:rPr>
              <w:t>&lt; 30 kg</w:t>
            </w:r>
          </w:p>
        </w:tc>
        <w:tc>
          <w:tcPr>
            <w:tcW w:w="325" w:type="pct"/>
            <w:noWrap/>
          </w:tcPr>
          <w:p w14:paraId="1EFD61F1" w14:textId="77777777" w:rsidR="00F47D6E" w:rsidRPr="00733014" w:rsidRDefault="00F47D6E" w:rsidP="00733014">
            <w:pPr>
              <w:keepNext/>
              <w:keepLines/>
              <w:spacing w:before="0" w:after="0"/>
              <w:ind w:left="0" w:right="0"/>
              <w:jc w:val="center"/>
              <w:rPr>
                <w:sz w:val="20"/>
                <w:szCs w:val="20"/>
                <w:lang w:eastAsia="ja-JP"/>
              </w:rPr>
            </w:pPr>
            <w:r w:rsidRPr="00733014">
              <w:rPr>
                <w:sz w:val="20"/>
                <w:szCs w:val="20"/>
                <w:lang w:eastAsia="ja-JP"/>
              </w:rPr>
              <w:t>11</w:t>
            </w:r>
          </w:p>
        </w:tc>
        <w:tc>
          <w:tcPr>
            <w:tcW w:w="813" w:type="pct"/>
          </w:tcPr>
          <w:p w14:paraId="79A312E5" w14:textId="77777777" w:rsidR="00F47D6E" w:rsidRPr="00733014" w:rsidRDefault="00F47D6E" w:rsidP="00733014">
            <w:pPr>
              <w:keepNext/>
              <w:keepLines/>
              <w:spacing w:before="0" w:after="0"/>
              <w:ind w:left="0" w:right="0"/>
              <w:jc w:val="center"/>
              <w:rPr>
                <w:sz w:val="20"/>
                <w:szCs w:val="20"/>
                <w:lang w:eastAsia="ja-JP"/>
              </w:rPr>
            </w:pPr>
            <w:r w:rsidRPr="00733014">
              <w:rPr>
                <w:sz w:val="20"/>
                <w:szCs w:val="20"/>
                <w:lang w:eastAsia="ja-JP"/>
              </w:rPr>
              <w:t>10.4</w:t>
            </w:r>
          </w:p>
          <w:p w14:paraId="0018CBD0" w14:textId="77777777" w:rsidR="00F47D6E" w:rsidRPr="00733014" w:rsidRDefault="00F47D6E" w:rsidP="00733014">
            <w:pPr>
              <w:keepNext/>
              <w:keepLines/>
              <w:spacing w:before="0" w:after="0"/>
              <w:ind w:left="0" w:right="0"/>
              <w:jc w:val="center"/>
              <w:rPr>
                <w:sz w:val="20"/>
                <w:szCs w:val="20"/>
                <w:lang w:eastAsia="ja-JP"/>
              </w:rPr>
            </w:pPr>
            <w:r w:rsidRPr="00733014">
              <w:rPr>
                <w:sz w:val="20"/>
                <w:szCs w:val="20"/>
                <w:lang w:eastAsia="ja-JP"/>
              </w:rPr>
              <w:t>(6.8 – 11.5)</w:t>
            </w:r>
          </w:p>
        </w:tc>
        <w:tc>
          <w:tcPr>
            <w:tcW w:w="814" w:type="pct"/>
          </w:tcPr>
          <w:p w14:paraId="524F9E56" w14:textId="77777777" w:rsidR="00F47D6E" w:rsidRPr="00733014" w:rsidRDefault="00F47D6E" w:rsidP="00733014">
            <w:pPr>
              <w:keepNext/>
              <w:keepLines/>
              <w:spacing w:before="0" w:after="0"/>
              <w:ind w:left="0" w:right="0"/>
              <w:jc w:val="center"/>
              <w:rPr>
                <w:sz w:val="20"/>
                <w:szCs w:val="20"/>
                <w:lang w:eastAsia="ja-JP"/>
              </w:rPr>
            </w:pPr>
            <w:r w:rsidRPr="00733014">
              <w:rPr>
                <w:sz w:val="20"/>
                <w:szCs w:val="20"/>
                <w:lang w:eastAsia="ja-JP"/>
              </w:rPr>
              <w:t>59.8 ± 32.4</w:t>
            </w:r>
          </w:p>
          <w:p w14:paraId="537A36CA" w14:textId="77777777" w:rsidR="00F47D6E" w:rsidRPr="00733014" w:rsidRDefault="00F47D6E" w:rsidP="00733014">
            <w:pPr>
              <w:keepNext/>
              <w:keepLines/>
              <w:spacing w:before="0" w:after="0"/>
              <w:ind w:left="0" w:right="0"/>
              <w:jc w:val="center"/>
              <w:rPr>
                <w:sz w:val="20"/>
                <w:szCs w:val="20"/>
                <w:lang w:eastAsia="ja-JP"/>
              </w:rPr>
            </w:pPr>
            <w:r w:rsidRPr="00733014">
              <w:rPr>
                <w:sz w:val="20"/>
                <w:szCs w:val="20"/>
                <w:lang w:eastAsia="ja-JP"/>
              </w:rPr>
              <w:t>49.0 (25.6 – 114.7)</w:t>
            </w:r>
          </w:p>
        </w:tc>
        <w:tc>
          <w:tcPr>
            <w:tcW w:w="979" w:type="pct"/>
          </w:tcPr>
          <w:p w14:paraId="1294B9EE" w14:textId="77777777" w:rsidR="00F47D6E" w:rsidRPr="00733014" w:rsidRDefault="00F47D6E" w:rsidP="00733014">
            <w:pPr>
              <w:keepNext/>
              <w:keepLines/>
              <w:spacing w:before="0" w:after="0"/>
              <w:ind w:left="0" w:right="0"/>
              <w:jc w:val="center"/>
              <w:rPr>
                <w:sz w:val="20"/>
                <w:szCs w:val="20"/>
                <w:lang w:eastAsia="ja-JP"/>
              </w:rPr>
            </w:pPr>
            <w:r w:rsidRPr="00733014">
              <w:rPr>
                <w:sz w:val="20"/>
                <w:szCs w:val="20"/>
                <w:lang w:eastAsia="ja-JP"/>
              </w:rPr>
              <w:t>268.9 ± 94.9</w:t>
            </w:r>
          </w:p>
          <w:p w14:paraId="6EAD8B11" w14:textId="77777777" w:rsidR="00F47D6E" w:rsidRPr="00733014" w:rsidRDefault="00F47D6E" w:rsidP="00733014">
            <w:pPr>
              <w:keepNext/>
              <w:keepLines/>
              <w:spacing w:before="0" w:after="0"/>
              <w:ind w:left="0" w:right="0"/>
              <w:jc w:val="center"/>
              <w:rPr>
                <w:sz w:val="20"/>
                <w:szCs w:val="20"/>
                <w:lang w:eastAsia="ja-JP"/>
              </w:rPr>
            </w:pPr>
            <w:r w:rsidRPr="00733014">
              <w:rPr>
                <w:sz w:val="20"/>
                <w:szCs w:val="20"/>
                <w:lang w:eastAsia="ja-JP"/>
              </w:rPr>
              <w:t>282.4 (107.0 – 416.2)</w:t>
            </w:r>
          </w:p>
        </w:tc>
        <w:tc>
          <w:tcPr>
            <w:tcW w:w="870" w:type="pct"/>
          </w:tcPr>
          <w:p w14:paraId="12BD0071" w14:textId="77777777" w:rsidR="00F47D6E" w:rsidRPr="00733014" w:rsidRDefault="00F47D6E" w:rsidP="00733014">
            <w:pPr>
              <w:keepNext/>
              <w:keepLines/>
              <w:spacing w:before="0" w:after="0"/>
              <w:ind w:left="0" w:right="0"/>
              <w:jc w:val="center"/>
              <w:rPr>
                <w:sz w:val="20"/>
                <w:szCs w:val="20"/>
                <w:lang w:eastAsia="ja-JP"/>
              </w:rPr>
            </w:pPr>
            <w:r w:rsidRPr="00733014">
              <w:rPr>
                <w:sz w:val="20"/>
                <w:szCs w:val="20"/>
                <w:lang w:eastAsia="ja-JP"/>
              </w:rPr>
              <w:t>1526 ± 465</w:t>
            </w:r>
          </w:p>
          <w:p w14:paraId="77C6ACDD" w14:textId="77777777" w:rsidR="00F47D6E" w:rsidRPr="00733014" w:rsidRDefault="00F47D6E" w:rsidP="00733014">
            <w:pPr>
              <w:keepNext/>
              <w:keepLines/>
              <w:spacing w:before="0" w:after="0"/>
              <w:ind w:left="0" w:right="0"/>
              <w:jc w:val="center"/>
              <w:rPr>
                <w:sz w:val="20"/>
                <w:szCs w:val="20"/>
                <w:lang w:eastAsia="ja-JP"/>
              </w:rPr>
            </w:pPr>
            <w:r w:rsidRPr="00733014">
              <w:rPr>
                <w:sz w:val="20"/>
                <w:szCs w:val="20"/>
                <w:lang w:eastAsia="ja-JP"/>
              </w:rPr>
              <w:t>1359 (295 - 2240)</w:t>
            </w:r>
          </w:p>
        </w:tc>
      </w:tr>
      <w:tr w:rsidR="00C0042D" w:rsidRPr="00027E93" w14:paraId="62297ACF" w14:textId="77777777" w:rsidTr="00733014">
        <w:trPr>
          <w:trHeight w:val="520"/>
        </w:trPr>
        <w:tc>
          <w:tcPr>
            <w:tcW w:w="631" w:type="pct"/>
            <w:hideMark/>
          </w:tcPr>
          <w:p w14:paraId="5E75E8C8" w14:textId="77777777" w:rsidR="00F47D6E" w:rsidRPr="00733014" w:rsidRDefault="00F47D6E" w:rsidP="00733014">
            <w:pPr>
              <w:keepNext/>
              <w:keepLines/>
              <w:spacing w:before="0" w:after="0"/>
              <w:ind w:left="0" w:right="0"/>
              <w:rPr>
                <w:sz w:val="20"/>
                <w:szCs w:val="20"/>
                <w:lang w:eastAsia="ja-JP"/>
              </w:rPr>
            </w:pPr>
            <w:r w:rsidRPr="00733014">
              <w:rPr>
                <w:sz w:val="20"/>
                <w:szCs w:val="20"/>
                <w:lang w:eastAsia="ja-JP"/>
              </w:rPr>
              <w:t>12 mg/kg IV Q2W</w:t>
            </w:r>
          </w:p>
        </w:tc>
        <w:tc>
          <w:tcPr>
            <w:tcW w:w="569" w:type="pct"/>
            <w:hideMark/>
          </w:tcPr>
          <w:p w14:paraId="6C701C37" w14:textId="77777777" w:rsidR="00F47D6E" w:rsidRPr="00733014" w:rsidRDefault="00F47D6E" w:rsidP="00733014">
            <w:pPr>
              <w:keepNext/>
              <w:keepLines/>
              <w:spacing w:before="0" w:after="0"/>
              <w:ind w:left="0" w:right="0"/>
              <w:jc w:val="center"/>
              <w:rPr>
                <w:sz w:val="20"/>
                <w:szCs w:val="20"/>
                <w:lang w:eastAsia="ja-JP"/>
              </w:rPr>
            </w:pPr>
            <w:r w:rsidRPr="00733014">
              <w:rPr>
                <w:sz w:val="20"/>
                <w:szCs w:val="20"/>
                <w:lang w:eastAsia="ja-JP"/>
              </w:rPr>
              <w:t>&lt; 30 kg</w:t>
            </w:r>
          </w:p>
        </w:tc>
        <w:tc>
          <w:tcPr>
            <w:tcW w:w="325" w:type="pct"/>
            <w:noWrap/>
            <w:hideMark/>
          </w:tcPr>
          <w:p w14:paraId="23F768D6" w14:textId="77777777" w:rsidR="00F47D6E" w:rsidRPr="00733014" w:rsidRDefault="00F47D6E" w:rsidP="00733014">
            <w:pPr>
              <w:keepNext/>
              <w:keepLines/>
              <w:spacing w:before="0" w:after="0"/>
              <w:ind w:left="0" w:right="0"/>
              <w:jc w:val="center"/>
              <w:rPr>
                <w:sz w:val="20"/>
                <w:szCs w:val="20"/>
                <w:lang w:eastAsia="ja-JP"/>
              </w:rPr>
            </w:pPr>
            <w:r w:rsidRPr="00733014">
              <w:rPr>
                <w:sz w:val="20"/>
                <w:szCs w:val="20"/>
                <w:lang w:eastAsia="ja-JP"/>
              </w:rPr>
              <w:t>46</w:t>
            </w:r>
          </w:p>
        </w:tc>
        <w:tc>
          <w:tcPr>
            <w:tcW w:w="813" w:type="pct"/>
            <w:hideMark/>
          </w:tcPr>
          <w:p w14:paraId="657DA126" w14:textId="77777777" w:rsidR="00F47D6E" w:rsidRPr="00733014" w:rsidRDefault="00F47D6E" w:rsidP="00733014">
            <w:pPr>
              <w:keepNext/>
              <w:keepLines/>
              <w:spacing w:before="0" w:after="0"/>
              <w:ind w:left="0" w:right="0"/>
              <w:jc w:val="center"/>
              <w:rPr>
                <w:sz w:val="20"/>
                <w:szCs w:val="20"/>
                <w:lang w:eastAsia="ja-JP"/>
              </w:rPr>
            </w:pPr>
            <w:r w:rsidRPr="00733014">
              <w:rPr>
                <w:sz w:val="20"/>
                <w:szCs w:val="20"/>
                <w:lang w:eastAsia="ja-JP"/>
              </w:rPr>
              <w:t>18.9</w:t>
            </w:r>
          </w:p>
          <w:p w14:paraId="1F9C0C9E" w14:textId="4D93B8FC" w:rsidR="00F47D6E" w:rsidRPr="00733014" w:rsidRDefault="00C0042D" w:rsidP="00733014">
            <w:pPr>
              <w:keepNext/>
              <w:keepLines/>
              <w:spacing w:before="0" w:after="0"/>
              <w:ind w:left="0" w:right="0"/>
              <w:jc w:val="center"/>
              <w:rPr>
                <w:sz w:val="20"/>
                <w:szCs w:val="20"/>
                <w:lang w:eastAsia="ja-JP"/>
              </w:rPr>
            </w:pPr>
            <w:r>
              <w:rPr>
                <w:sz w:val="20"/>
                <w:szCs w:val="20"/>
                <w:lang w:eastAsia="ja-JP"/>
              </w:rPr>
              <w:t>(</w:t>
            </w:r>
            <w:r w:rsidR="00F47D6E" w:rsidRPr="00733014">
              <w:rPr>
                <w:sz w:val="20"/>
                <w:szCs w:val="20"/>
                <w:lang w:eastAsia="ja-JP"/>
              </w:rPr>
              <w:t>10.0 - 29.7</w:t>
            </w:r>
            <w:r>
              <w:rPr>
                <w:sz w:val="20"/>
                <w:szCs w:val="20"/>
                <w:lang w:eastAsia="ja-JP"/>
              </w:rPr>
              <w:t>)</w:t>
            </w:r>
          </w:p>
        </w:tc>
        <w:tc>
          <w:tcPr>
            <w:tcW w:w="814" w:type="pct"/>
            <w:hideMark/>
          </w:tcPr>
          <w:p w14:paraId="409CCCC2" w14:textId="77777777" w:rsidR="00F47D6E" w:rsidRPr="00733014" w:rsidRDefault="00F47D6E" w:rsidP="00733014">
            <w:pPr>
              <w:keepNext/>
              <w:keepLines/>
              <w:spacing w:before="0" w:after="0"/>
              <w:ind w:left="0" w:right="0"/>
              <w:jc w:val="center"/>
              <w:rPr>
                <w:sz w:val="20"/>
                <w:szCs w:val="20"/>
                <w:lang w:eastAsia="ja-JP"/>
              </w:rPr>
            </w:pPr>
            <w:r w:rsidRPr="00733014">
              <w:rPr>
                <w:sz w:val="20"/>
                <w:szCs w:val="20"/>
                <w:lang w:eastAsia="ja-JP"/>
              </w:rPr>
              <w:t>68.4 ± 29.97</w:t>
            </w:r>
          </w:p>
          <w:p w14:paraId="5A6813A1" w14:textId="77777777" w:rsidR="00F47D6E" w:rsidRPr="00733014" w:rsidRDefault="00F47D6E" w:rsidP="00733014">
            <w:pPr>
              <w:keepNext/>
              <w:keepLines/>
              <w:spacing w:before="0" w:after="0"/>
              <w:ind w:left="0" w:right="0"/>
              <w:jc w:val="center"/>
              <w:rPr>
                <w:sz w:val="20"/>
                <w:szCs w:val="20"/>
                <w:lang w:eastAsia="ja-JP"/>
              </w:rPr>
            </w:pPr>
            <w:r w:rsidRPr="00733014">
              <w:rPr>
                <w:sz w:val="20"/>
                <w:szCs w:val="20"/>
                <w:lang w:eastAsia="ja-JP"/>
              </w:rPr>
              <w:t>65.86 (18.99 - 135.48)</w:t>
            </w:r>
          </w:p>
        </w:tc>
        <w:tc>
          <w:tcPr>
            <w:tcW w:w="979" w:type="pct"/>
            <w:hideMark/>
          </w:tcPr>
          <w:p w14:paraId="65C5E991" w14:textId="77777777" w:rsidR="00F47D6E" w:rsidRPr="00733014" w:rsidRDefault="00F47D6E" w:rsidP="00733014">
            <w:pPr>
              <w:keepNext/>
              <w:keepLines/>
              <w:spacing w:before="0" w:after="0"/>
              <w:ind w:left="0" w:right="0"/>
              <w:jc w:val="center"/>
              <w:rPr>
                <w:sz w:val="20"/>
                <w:szCs w:val="20"/>
                <w:lang w:eastAsia="ja-JP"/>
              </w:rPr>
            </w:pPr>
            <w:r w:rsidRPr="00733014">
              <w:rPr>
                <w:sz w:val="20"/>
                <w:szCs w:val="20"/>
                <w:lang w:eastAsia="ja-JP"/>
              </w:rPr>
              <w:t>273.8 ± 63.8</w:t>
            </w:r>
          </w:p>
          <w:p w14:paraId="749E56F5" w14:textId="77777777" w:rsidR="00F47D6E" w:rsidRPr="00733014" w:rsidRDefault="00F47D6E" w:rsidP="00733014">
            <w:pPr>
              <w:keepNext/>
              <w:keepLines/>
              <w:spacing w:before="0" w:after="0"/>
              <w:ind w:left="0" w:right="0"/>
              <w:jc w:val="center"/>
              <w:rPr>
                <w:sz w:val="20"/>
                <w:szCs w:val="20"/>
                <w:lang w:eastAsia="ja-JP"/>
              </w:rPr>
            </w:pPr>
            <w:r w:rsidRPr="00733014">
              <w:rPr>
                <w:sz w:val="20"/>
                <w:szCs w:val="20"/>
                <w:lang w:eastAsia="ja-JP"/>
              </w:rPr>
              <w:t>274.4 (148.8 - 443.96)</w:t>
            </w:r>
          </w:p>
        </w:tc>
        <w:tc>
          <w:tcPr>
            <w:tcW w:w="870" w:type="pct"/>
            <w:hideMark/>
          </w:tcPr>
          <w:p w14:paraId="797AFBCC" w14:textId="77777777" w:rsidR="00F47D6E" w:rsidRPr="00733014" w:rsidRDefault="00F47D6E" w:rsidP="00733014">
            <w:pPr>
              <w:keepNext/>
              <w:keepLines/>
              <w:spacing w:before="0" w:after="0"/>
              <w:ind w:left="0" w:right="0"/>
              <w:jc w:val="center"/>
              <w:rPr>
                <w:sz w:val="20"/>
                <w:szCs w:val="20"/>
                <w:lang w:eastAsia="ja-JP"/>
              </w:rPr>
            </w:pPr>
            <w:r w:rsidRPr="00733014">
              <w:rPr>
                <w:sz w:val="20"/>
                <w:szCs w:val="20"/>
                <w:lang w:eastAsia="ja-JP"/>
              </w:rPr>
              <w:t>1721 ± 505</w:t>
            </w:r>
          </w:p>
          <w:p w14:paraId="7E1AB89E" w14:textId="77777777" w:rsidR="00F47D6E" w:rsidRPr="00733014" w:rsidRDefault="00F47D6E" w:rsidP="00733014">
            <w:pPr>
              <w:keepNext/>
              <w:keepLines/>
              <w:spacing w:before="0" w:after="0"/>
              <w:ind w:left="0" w:right="0"/>
              <w:jc w:val="center"/>
              <w:rPr>
                <w:sz w:val="20"/>
                <w:szCs w:val="20"/>
                <w:lang w:eastAsia="ja-JP"/>
              </w:rPr>
            </w:pPr>
            <w:r w:rsidRPr="00733014">
              <w:rPr>
                <w:sz w:val="20"/>
                <w:szCs w:val="20"/>
                <w:lang w:eastAsia="ja-JP"/>
              </w:rPr>
              <w:t>1734 (840 - 2712)</w:t>
            </w:r>
          </w:p>
        </w:tc>
      </w:tr>
      <w:tr w:rsidR="00C0042D" w:rsidRPr="00027E93" w14:paraId="0DE895D7" w14:textId="77777777" w:rsidTr="00733014">
        <w:trPr>
          <w:trHeight w:val="520"/>
        </w:trPr>
        <w:tc>
          <w:tcPr>
            <w:tcW w:w="631" w:type="pct"/>
            <w:hideMark/>
          </w:tcPr>
          <w:p w14:paraId="6C594950" w14:textId="77777777" w:rsidR="00F47D6E" w:rsidRPr="00733014" w:rsidRDefault="00F47D6E" w:rsidP="00733014">
            <w:pPr>
              <w:keepNext/>
              <w:keepLines/>
              <w:spacing w:before="0" w:after="0"/>
              <w:ind w:left="0" w:right="0"/>
              <w:rPr>
                <w:sz w:val="20"/>
                <w:szCs w:val="20"/>
                <w:lang w:eastAsia="ja-JP"/>
              </w:rPr>
            </w:pPr>
            <w:r w:rsidRPr="00733014">
              <w:rPr>
                <w:sz w:val="20"/>
                <w:szCs w:val="20"/>
                <w:lang w:eastAsia="ja-JP"/>
              </w:rPr>
              <w:t>8 mg/kg IV Q2W</w:t>
            </w:r>
          </w:p>
        </w:tc>
        <w:tc>
          <w:tcPr>
            <w:tcW w:w="569" w:type="pct"/>
            <w:hideMark/>
          </w:tcPr>
          <w:p w14:paraId="385E7467" w14:textId="77777777" w:rsidR="00F47D6E" w:rsidRPr="00733014" w:rsidRDefault="00F47D6E" w:rsidP="00733014">
            <w:pPr>
              <w:keepNext/>
              <w:keepLines/>
              <w:spacing w:before="0" w:after="0"/>
              <w:ind w:left="0" w:right="0"/>
              <w:jc w:val="center"/>
              <w:rPr>
                <w:sz w:val="20"/>
                <w:szCs w:val="20"/>
                <w:lang w:eastAsia="ja-JP"/>
              </w:rPr>
            </w:pPr>
            <w:r w:rsidRPr="00733014">
              <w:rPr>
                <w:sz w:val="20"/>
                <w:szCs w:val="20"/>
                <w:lang w:eastAsia="ja-JP"/>
              </w:rPr>
              <w:t>≥ 30 kg</w:t>
            </w:r>
          </w:p>
        </w:tc>
        <w:tc>
          <w:tcPr>
            <w:tcW w:w="325" w:type="pct"/>
            <w:noWrap/>
            <w:hideMark/>
          </w:tcPr>
          <w:p w14:paraId="1AA47474" w14:textId="77777777" w:rsidR="00F47D6E" w:rsidRPr="00733014" w:rsidRDefault="00F47D6E" w:rsidP="00733014">
            <w:pPr>
              <w:keepNext/>
              <w:keepLines/>
              <w:spacing w:before="0" w:after="0"/>
              <w:ind w:left="0" w:right="0"/>
              <w:jc w:val="center"/>
              <w:rPr>
                <w:sz w:val="20"/>
                <w:szCs w:val="20"/>
                <w:lang w:eastAsia="ja-JP"/>
              </w:rPr>
            </w:pPr>
            <w:r w:rsidRPr="00733014">
              <w:rPr>
                <w:sz w:val="20"/>
                <w:szCs w:val="20"/>
                <w:lang w:eastAsia="ja-JP"/>
              </w:rPr>
              <w:t>43</w:t>
            </w:r>
          </w:p>
        </w:tc>
        <w:tc>
          <w:tcPr>
            <w:tcW w:w="813" w:type="pct"/>
            <w:hideMark/>
          </w:tcPr>
          <w:p w14:paraId="3214423C" w14:textId="77777777" w:rsidR="00F47D6E" w:rsidRPr="00733014" w:rsidRDefault="00F47D6E" w:rsidP="00733014">
            <w:pPr>
              <w:keepNext/>
              <w:keepLines/>
              <w:spacing w:before="0" w:after="0"/>
              <w:ind w:left="0" w:right="0"/>
              <w:jc w:val="center"/>
              <w:rPr>
                <w:sz w:val="20"/>
                <w:szCs w:val="20"/>
                <w:lang w:eastAsia="ja-JP"/>
              </w:rPr>
            </w:pPr>
            <w:r w:rsidRPr="00733014">
              <w:rPr>
                <w:sz w:val="20"/>
                <w:szCs w:val="20"/>
                <w:lang w:eastAsia="ja-JP"/>
              </w:rPr>
              <w:t>42.3</w:t>
            </w:r>
          </w:p>
          <w:p w14:paraId="4E3DC532" w14:textId="110652C4" w:rsidR="00F47D6E" w:rsidRPr="00733014" w:rsidRDefault="00C0042D" w:rsidP="00733014">
            <w:pPr>
              <w:keepNext/>
              <w:keepLines/>
              <w:spacing w:before="0" w:after="0"/>
              <w:ind w:left="0" w:right="0"/>
              <w:jc w:val="center"/>
              <w:rPr>
                <w:sz w:val="20"/>
                <w:szCs w:val="20"/>
                <w:lang w:eastAsia="ja-JP"/>
              </w:rPr>
            </w:pPr>
            <w:r>
              <w:rPr>
                <w:sz w:val="20"/>
                <w:szCs w:val="20"/>
                <w:lang w:eastAsia="ja-JP"/>
              </w:rPr>
              <w:t>(</w:t>
            </w:r>
            <w:r w:rsidR="00F47D6E" w:rsidRPr="00733014">
              <w:rPr>
                <w:sz w:val="20"/>
                <w:szCs w:val="20"/>
                <w:lang w:eastAsia="ja-JP"/>
              </w:rPr>
              <w:t>30.6 - 112.7</w:t>
            </w:r>
            <w:r>
              <w:rPr>
                <w:sz w:val="20"/>
                <w:szCs w:val="20"/>
                <w:lang w:eastAsia="ja-JP"/>
              </w:rPr>
              <w:t>)</w:t>
            </w:r>
          </w:p>
        </w:tc>
        <w:tc>
          <w:tcPr>
            <w:tcW w:w="814" w:type="pct"/>
            <w:hideMark/>
          </w:tcPr>
          <w:p w14:paraId="32C3015B" w14:textId="77777777" w:rsidR="00F47D6E" w:rsidRPr="00733014" w:rsidRDefault="00F47D6E" w:rsidP="00733014">
            <w:pPr>
              <w:keepNext/>
              <w:keepLines/>
              <w:spacing w:before="0" w:after="0"/>
              <w:ind w:left="0" w:right="0"/>
              <w:jc w:val="center"/>
              <w:rPr>
                <w:sz w:val="20"/>
                <w:szCs w:val="20"/>
                <w:lang w:eastAsia="ja-JP"/>
              </w:rPr>
            </w:pPr>
            <w:r w:rsidRPr="00733014">
              <w:rPr>
                <w:sz w:val="20"/>
                <w:szCs w:val="20"/>
                <w:lang w:eastAsia="ja-JP"/>
              </w:rPr>
              <w:t>69.74 ± 29.1</w:t>
            </w:r>
          </w:p>
          <w:p w14:paraId="7E17D300" w14:textId="77777777" w:rsidR="00F47D6E" w:rsidRPr="00733014" w:rsidRDefault="00F47D6E" w:rsidP="00733014">
            <w:pPr>
              <w:keepNext/>
              <w:keepLines/>
              <w:spacing w:before="0" w:after="0"/>
              <w:ind w:left="0" w:right="0"/>
              <w:jc w:val="center"/>
              <w:rPr>
                <w:sz w:val="20"/>
                <w:szCs w:val="20"/>
                <w:lang w:eastAsia="ja-JP"/>
              </w:rPr>
            </w:pPr>
            <w:r w:rsidRPr="00733014">
              <w:rPr>
                <w:sz w:val="20"/>
                <w:szCs w:val="20"/>
                <w:lang w:eastAsia="ja-JP"/>
              </w:rPr>
              <w:t>70.73 (5.26 - 126.62)</w:t>
            </w:r>
          </w:p>
        </w:tc>
        <w:tc>
          <w:tcPr>
            <w:tcW w:w="979" w:type="pct"/>
            <w:hideMark/>
          </w:tcPr>
          <w:p w14:paraId="7306AA1F" w14:textId="77777777" w:rsidR="00F47D6E" w:rsidRPr="00733014" w:rsidRDefault="00F47D6E" w:rsidP="00733014">
            <w:pPr>
              <w:keepNext/>
              <w:keepLines/>
              <w:spacing w:before="0" w:after="0"/>
              <w:ind w:left="0" w:right="0"/>
              <w:jc w:val="center"/>
              <w:rPr>
                <w:sz w:val="20"/>
                <w:szCs w:val="20"/>
                <w:lang w:eastAsia="ja-JP"/>
              </w:rPr>
            </w:pPr>
            <w:r w:rsidRPr="00733014">
              <w:rPr>
                <w:sz w:val="20"/>
                <w:szCs w:val="20"/>
                <w:lang w:eastAsia="ja-JP"/>
              </w:rPr>
              <w:t>255.8 ± 60.77</w:t>
            </w:r>
          </w:p>
          <w:p w14:paraId="61B962AB" w14:textId="77777777" w:rsidR="00F47D6E" w:rsidRPr="00733014" w:rsidRDefault="00F47D6E" w:rsidP="00733014">
            <w:pPr>
              <w:keepNext/>
              <w:keepLines/>
              <w:spacing w:before="0" w:after="0"/>
              <w:ind w:left="0" w:right="0"/>
              <w:jc w:val="center"/>
              <w:rPr>
                <w:sz w:val="20"/>
                <w:szCs w:val="20"/>
                <w:lang w:eastAsia="ja-JP"/>
              </w:rPr>
            </w:pPr>
            <w:r w:rsidRPr="00733014">
              <w:rPr>
                <w:sz w:val="20"/>
                <w:szCs w:val="20"/>
                <w:lang w:eastAsia="ja-JP"/>
              </w:rPr>
              <w:t>253.0 (119.58 - 404.34)</w:t>
            </w:r>
          </w:p>
        </w:tc>
        <w:tc>
          <w:tcPr>
            <w:tcW w:w="870" w:type="pct"/>
            <w:hideMark/>
          </w:tcPr>
          <w:p w14:paraId="200B1A42" w14:textId="77777777" w:rsidR="00F47D6E" w:rsidRPr="00733014" w:rsidRDefault="00F47D6E" w:rsidP="00733014">
            <w:pPr>
              <w:keepNext/>
              <w:keepLines/>
              <w:spacing w:before="0" w:after="0"/>
              <w:ind w:left="0" w:right="0"/>
              <w:jc w:val="center"/>
              <w:rPr>
                <w:sz w:val="20"/>
                <w:szCs w:val="20"/>
                <w:lang w:eastAsia="ja-JP"/>
              </w:rPr>
            </w:pPr>
            <w:r w:rsidRPr="00733014">
              <w:rPr>
                <w:sz w:val="20"/>
                <w:szCs w:val="20"/>
                <w:lang w:eastAsia="ja-JP"/>
              </w:rPr>
              <w:t>1662 ± 504</w:t>
            </w:r>
          </w:p>
          <w:p w14:paraId="64FB0B2C" w14:textId="77777777" w:rsidR="00F47D6E" w:rsidRPr="00733014" w:rsidRDefault="00F47D6E" w:rsidP="00733014">
            <w:pPr>
              <w:keepNext/>
              <w:keepLines/>
              <w:spacing w:before="0" w:after="0"/>
              <w:ind w:left="0" w:right="0"/>
              <w:jc w:val="center"/>
              <w:rPr>
                <w:sz w:val="20"/>
                <w:szCs w:val="20"/>
                <w:lang w:eastAsia="ja-JP"/>
              </w:rPr>
            </w:pPr>
            <w:r w:rsidRPr="00733014">
              <w:rPr>
                <w:sz w:val="20"/>
                <w:szCs w:val="20"/>
                <w:lang w:eastAsia="ja-JP"/>
              </w:rPr>
              <w:t>1631 (526 -2779)</w:t>
            </w:r>
          </w:p>
        </w:tc>
      </w:tr>
    </w:tbl>
    <w:p w14:paraId="74EE3F87" w14:textId="303B7E97" w:rsidR="00F47D6E" w:rsidRPr="00F47D6E" w:rsidRDefault="00C0042D" w:rsidP="00733014">
      <w:pPr>
        <w:pStyle w:val="TableDescription"/>
        <w:rPr>
          <w:lang w:eastAsia="ja-JP"/>
        </w:rPr>
      </w:pPr>
      <w:r>
        <w:rPr>
          <w:lang w:eastAsia="ja-JP"/>
        </w:rPr>
        <w:t>SD = standard deviation.</w:t>
      </w:r>
    </w:p>
    <w:p w14:paraId="73080BE3" w14:textId="119D1401" w:rsidR="00F47D6E" w:rsidRPr="00F47D6E" w:rsidRDefault="00F47D6E" w:rsidP="002F304A">
      <w:pPr>
        <w:pStyle w:val="FigureTitle"/>
        <w:rPr>
          <w:lang w:eastAsia="ja-JP"/>
        </w:rPr>
      </w:pPr>
      <w:bookmarkStart w:id="51" w:name="_Ref11499916"/>
      <w:bookmarkStart w:id="52" w:name="_Toc17120064"/>
      <w:r w:rsidRPr="00F47D6E">
        <w:lastRenderedPageBreak/>
        <w:t xml:space="preserve">Figure </w:t>
      </w:r>
      <w:fldSimple w:instr=" SEQ Figure \* ARABIC ">
        <w:r w:rsidR="002E7174">
          <w:rPr>
            <w:noProof/>
          </w:rPr>
          <w:t>3</w:t>
        </w:r>
      </w:fldSimple>
      <w:bookmarkEnd w:id="51"/>
      <w:r w:rsidRPr="00F47D6E">
        <w:t xml:space="preserve">: </w:t>
      </w:r>
      <w:r w:rsidR="00F81697">
        <w:t xml:space="preserve">Study NP25737 </w:t>
      </w:r>
      <w:r w:rsidRPr="00F47D6E">
        <w:t>Model-</w:t>
      </w:r>
      <w:r w:rsidR="00DA5A43" w:rsidRPr="00F47D6E">
        <w:t xml:space="preserve">predicted steady-state </w:t>
      </w:r>
      <w:r w:rsidR="00DA5A43">
        <w:t>minimum plasma concentration</w:t>
      </w:r>
      <w:r w:rsidRPr="00F47D6E">
        <w:t xml:space="preserve"> for  </w:t>
      </w:r>
      <w:r w:rsidR="00DA5A43" w:rsidRPr="00F47D6E">
        <w:t xml:space="preserve">patients showing the proposed </w:t>
      </w:r>
      <w:r w:rsidRPr="00F47D6E">
        <w:t xml:space="preserve">10.0 kg </w:t>
      </w:r>
      <w:r w:rsidR="00DA5A43">
        <w:t>body weight</w:t>
      </w:r>
      <w:r w:rsidRPr="00F47D6E">
        <w:t xml:space="preserve"> </w:t>
      </w:r>
      <w:r w:rsidR="00DA5A43" w:rsidRPr="00F47D6E">
        <w:t xml:space="preserve">cut-off </w:t>
      </w:r>
      <w:r w:rsidRPr="00F47D6E">
        <w:t xml:space="preserve">for </w:t>
      </w:r>
      <w:r w:rsidR="00F81697">
        <w:t xml:space="preserve">systemic juvenile idiopathic arthritis </w:t>
      </w:r>
      <w:r w:rsidR="00DA5A43" w:rsidRPr="00F47D6E">
        <w:t>patients aged 1</w:t>
      </w:r>
      <w:r w:rsidR="00DA5A43">
        <w:t xml:space="preserve"> to </w:t>
      </w:r>
      <w:r w:rsidR="00DA5A43" w:rsidRPr="00F47D6E">
        <w:t>2</w:t>
      </w:r>
      <w:r w:rsidR="00F81697">
        <w:t> </w:t>
      </w:r>
      <w:r w:rsidR="00DA5A43" w:rsidRPr="00F47D6E">
        <w:t>years</w:t>
      </w:r>
      <w:bookmarkEnd w:id="52"/>
    </w:p>
    <w:p w14:paraId="16BCE865" w14:textId="77777777" w:rsidR="00F47D6E" w:rsidRPr="00F47D6E" w:rsidRDefault="00F47D6E" w:rsidP="002F304A">
      <w:pPr>
        <w:keepNext/>
        <w:keepLines/>
        <w:spacing w:after="0"/>
        <w:rPr>
          <w:lang w:eastAsia="ja-JP"/>
        </w:rPr>
      </w:pPr>
      <w:r w:rsidRPr="00F47D6E">
        <w:rPr>
          <w:noProof/>
          <w:lang w:eastAsia="en-AU"/>
        </w:rPr>
        <w:drawing>
          <wp:inline distT="0" distB="0" distL="0" distR="0" wp14:anchorId="31170A4E" wp14:editId="1047497B">
            <wp:extent cx="3990975" cy="2362200"/>
            <wp:effectExtent l="0" t="0" r="9525" b="0"/>
            <wp:docPr id="45" name="Picture 45" descr="Model-predicted steady-state minimum plasma concentration for Study NP25737 patients showing the proposed 10.0 kg body weight cut-off for sJIA patients aged 1 to 2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90975" cy="2362200"/>
                    </a:xfrm>
                    <a:prstGeom prst="rect">
                      <a:avLst/>
                    </a:prstGeom>
                    <a:noFill/>
                    <a:ln>
                      <a:noFill/>
                    </a:ln>
                  </pic:spPr>
                </pic:pic>
              </a:graphicData>
            </a:graphic>
          </wp:inline>
        </w:drawing>
      </w:r>
    </w:p>
    <w:p w14:paraId="7C639202" w14:textId="5813FE0B" w:rsidR="00F47D6E" w:rsidRPr="00AD7350" w:rsidRDefault="00F47D6E" w:rsidP="002F304A">
      <w:pPr>
        <w:pStyle w:val="TableDescription"/>
        <w:keepNext/>
        <w:rPr>
          <w:lang w:eastAsia="ja-JP"/>
        </w:rPr>
      </w:pPr>
      <w:r w:rsidRPr="00F47D6E">
        <w:rPr>
          <w:lang w:eastAsia="ja-JP"/>
        </w:rPr>
        <w:t>Circles indicate sJIA patients aged &lt; 2 years with predicted steady state C</w:t>
      </w:r>
      <w:r w:rsidRPr="00F47D6E">
        <w:rPr>
          <w:vertAlign w:val="subscript"/>
          <w:lang w:eastAsia="ja-JP"/>
        </w:rPr>
        <w:t>min</w:t>
      </w:r>
      <w:r w:rsidR="00AD7350">
        <w:rPr>
          <w:lang w:eastAsia="ja-JP"/>
        </w:rPr>
        <w:t xml:space="preserve"> &lt; 200 </w:t>
      </w:r>
      <w:r w:rsidR="00F81697">
        <w:rPr>
          <w:lang w:eastAsia="ja-JP"/>
        </w:rPr>
        <w:t>µ</w:t>
      </w:r>
      <w:r w:rsidR="00AD7350">
        <w:rPr>
          <w:lang w:eastAsia="ja-JP"/>
        </w:rPr>
        <w:t>g/mL.</w:t>
      </w:r>
    </w:p>
    <w:p w14:paraId="777A6EFC" w14:textId="617CEC71" w:rsidR="00C71701" w:rsidRPr="00F47D6E" w:rsidRDefault="00C71701" w:rsidP="00733014">
      <w:pPr>
        <w:pStyle w:val="Heading5"/>
      </w:pPr>
      <w:r w:rsidRPr="00F47D6E">
        <w:t>Pharmacodynamics</w:t>
      </w:r>
    </w:p>
    <w:p w14:paraId="41BDE1CF" w14:textId="77777777" w:rsidR="00C71701" w:rsidRPr="00F47D6E" w:rsidRDefault="00C71701" w:rsidP="00733014">
      <w:pPr>
        <w:pStyle w:val="Heading6"/>
      </w:pPr>
      <w:r w:rsidRPr="00F47D6E">
        <w:t>Study WA28118</w:t>
      </w:r>
    </w:p>
    <w:p w14:paraId="377DA3BD" w14:textId="5C3600F2" w:rsidR="00F47D6E" w:rsidRPr="00F47D6E" w:rsidRDefault="00F47D6E" w:rsidP="00F47D6E">
      <w:pPr>
        <w:rPr>
          <w:lang w:eastAsia="ja-JP"/>
        </w:rPr>
      </w:pPr>
      <w:r w:rsidRPr="00F47D6E">
        <w:rPr>
          <w:lang w:eastAsia="ja-JP"/>
        </w:rPr>
        <w:t>PD endpoints included IL-6, sIL-6R levels, CRP, ESR and incidence of anti-</w:t>
      </w:r>
      <w:r w:rsidR="00424284">
        <w:rPr>
          <w:lang w:eastAsia="ja-JP"/>
        </w:rPr>
        <w:t>tocilizumab</w:t>
      </w:r>
      <w:r w:rsidRPr="00F47D6E">
        <w:rPr>
          <w:lang w:eastAsia="ja-JP"/>
        </w:rPr>
        <w:t xml:space="preserve"> antibodies. Results were consistent with the known mechanism of action of </w:t>
      </w:r>
      <w:r w:rsidR="00424284">
        <w:rPr>
          <w:lang w:eastAsia="ja-JP"/>
        </w:rPr>
        <w:t>tocilizumab</w:t>
      </w:r>
      <w:r w:rsidRPr="00F47D6E">
        <w:rPr>
          <w:lang w:eastAsia="ja-JP"/>
        </w:rPr>
        <w:t xml:space="preserve">. Median IL-6 levels for </w:t>
      </w:r>
      <w:r w:rsidR="00424284">
        <w:rPr>
          <w:lang w:eastAsia="ja-JP"/>
        </w:rPr>
        <w:t>tocilizumab</w:t>
      </w:r>
      <w:r w:rsidRPr="00F47D6E">
        <w:rPr>
          <w:lang w:eastAsia="ja-JP"/>
        </w:rPr>
        <w:t xml:space="preserve"> naïve patients rose after the initial dose and fluctuated through </w:t>
      </w:r>
      <w:r w:rsidR="00DA5A43">
        <w:rPr>
          <w:lang w:eastAsia="ja-JP"/>
        </w:rPr>
        <w:t>W</w:t>
      </w:r>
      <w:r w:rsidRPr="00F47D6E">
        <w:rPr>
          <w:lang w:eastAsia="ja-JP"/>
        </w:rPr>
        <w:t xml:space="preserve">eek 12 before stabilising for both the 162 mg Q2W and 162 mg QW regimens. A similar trend was seen for prior </w:t>
      </w:r>
      <w:r w:rsidR="00424284">
        <w:rPr>
          <w:lang w:eastAsia="ja-JP"/>
        </w:rPr>
        <w:t>tocilizumab</w:t>
      </w:r>
      <w:r w:rsidRPr="00F47D6E">
        <w:rPr>
          <w:lang w:eastAsia="ja-JP"/>
        </w:rPr>
        <w:t xml:space="preserve"> patients receiving 162 mg Q2W but remained low in the 162 mg QW patients. The fluctuations were greatest for the 3 </w:t>
      </w:r>
      <w:r w:rsidR="00424284">
        <w:rPr>
          <w:lang w:eastAsia="ja-JP"/>
        </w:rPr>
        <w:t>tocilizumab</w:t>
      </w:r>
      <w:r w:rsidRPr="00F47D6E">
        <w:rPr>
          <w:lang w:eastAsia="ja-JP"/>
        </w:rPr>
        <w:t xml:space="preserve"> naïve patients who re</w:t>
      </w:r>
      <w:r w:rsidR="00AD7350">
        <w:rPr>
          <w:lang w:eastAsia="ja-JP"/>
        </w:rPr>
        <w:t>ceived the 162 mg Q10D regimen.</w:t>
      </w:r>
    </w:p>
    <w:p w14:paraId="69FF5EA0" w14:textId="072062D4" w:rsidR="00F47D6E" w:rsidRPr="00F47D6E" w:rsidRDefault="00F47D6E" w:rsidP="00F47D6E">
      <w:pPr>
        <w:rPr>
          <w:lang w:eastAsia="ja-JP"/>
        </w:rPr>
      </w:pPr>
      <w:r w:rsidRPr="00F47D6E">
        <w:rPr>
          <w:lang w:eastAsia="ja-JP"/>
        </w:rPr>
        <w:t xml:space="preserve">Median sIL-6R levels for </w:t>
      </w:r>
      <w:r w:rsidR="00424284">
        <w:rPr>
          <w:lang w:eastAsia="ja-JP"/>
        </w:rPr>
        <w:t>tocilizumab</w:t>
      </w:r>
      <w:r w:rsidRPr="00F47D6E">
        <w:rPr>
          <w:lang w:eastAsia="ja-JP"/>
        </w:rPr>
        <w:t xml:space="preserve"> naïve patients increased after the initial dose through </w:t>
      </w:r>
      <w:r w:rsidR="00DA5A43">
        <w:rPr>
          <w:lang w:eastAsia="ja-JP"/>
        </w:rPr>
        <w:t>W</w:t>
      </w:r>
      <w:r w:rsidRPr="00F47D6E">
        <w:rPr>
          <w:lang w:eastAsia="ja-JP"/>
        </w:rPr>
        <w:t xml:space="preserve">eek 12 and remained relatively stable for the 162 mg Q2W regimen with lower more variable levels for the 162 mg QW through </w:t>
      </w:r>
      <w:r w:rsidR="00DA5A43">
        <w:rPr>
          <w:lang w:eastAsia="ja-JP"/>
        </w:rPr>
        <w:t>W</w:t>
      </w:r>
      <w:r w:rsidRPr="00F47D6E">
        <w:rPr>
          <w:lang w:eastAsia="ja-JP"/>
        </w:rPr>
        <w:t xml:space="preserve">eek 52. For prior </w:t>
      </w:r>
      <w:r w:rsidR="00424284">
        <w:rPr>
          <w:lang w:eastAsia="ja-JP"/>
        </w:rPr>
        <w:t>tocilizumab</w:t>
      </w:r>
      <w:r w:rsidRPr="00F47D6E">
        <w:rPr>
          <w:lang w:eastAsia="ja-JP"/>
        </w:rPr>
        <w:t xml:space="preserve"> patients median sIL-6R levels remained relatively stable throughout the study. The largest variability was seen in for the 162 mg Q10D regimen.</w:t>
      </w:r>
    </w:p>
    <w:p w14:paraId="04DE1F95" w14:textId="34E3A62B" w:rsidR="00F47D6E" w:rsidRPr="00F47D6E" w:rsidRDefault="00F47D6E" w:rsidP="00F47D6E">
      <w:pPr>
        <w:rPr>
          <w:lang w:eastAsia="ja-JP"/>
        </w:rPr>
      </w:pPr>
      <w:r w:rsidRPr="00F47D6E">
        <w:rPr>
          <w:lang w:eastAsia="ja-JP"/>
        </w:rPr>
        <w:t xml:space="preserve">The observed reduction in CRP and ESR with </w:t>
      </w:r>
      <w:r w:rsidR="00424284">
        <w:rPr>
          <w:lang w:eastAsia="ja-JP"/>
        </w:rPr>
        <w:t>tocilizumab</w:t>
      </w:r>
      <w:r w:rsidRPr="00F47D6E">
        <w:rPr>
          <w:lang w:eastAsia="ja-JP"/>
        </w:rPr>
        <w:t xml:space="preserve"> SC were similar for both BW groups and are consistent with the PD effects reported in clinical studies of </w:t>
      </w:r>
      <w:r w:rsidR="00424284">
        <w:rPr>
          <w:lang w:eastAsia="ja-JP"/>
        </w:rPr>
        <w:t>tocilizumab</w:t>
      </w:r>
      <w:r w:rsidRPr="00F47D6E">
        <w:rPr>
          <w:lang w:eastAsia="ja-JP"/>
        </w:rPr>
        <w:t xml:space="preserve"> in RA.</w:t>
      </w:r>
    </w:p>
    <w:p w14:paraId="586E497B" w14:textId="77777777" w:rsidR="00F47D6E" w:rsidRPr="00DA5A43" w:rsidRDefault="00F47D6E" w:rsidP="00733014">
      <w:pPr>
        <w:pStyle w:val="Heading4"/>
      </w:pPr>
      <w:r w:rsidRPr="00DA5A43">
        <w:t>Efficacy</w:t>
      </w:r>
    </w:p>
    <w:p w14:paraId="1A05CFEC" w14:textId="77777777" w:rsidR="00F47D6E" w:rsidRPr="00DA5A43" w:rsidRDefault="00F47D6E" w:rsidP="00733014">
      <w:pPr>
        <w:pStyle w:val="Heading5"/>
      </w:pPr>
      <w:r w:rsidRPr="00DA5A43">
        <w:t>Study WA28118</w:t>
      </w:r>
    </w:p>
    <w:p w14:paraId="6C065B36" w14:textId="7AA0C421" w:rsidR="00F47D6E" w:rsidRPr="00F47D6E" w:rsidRDefault="00F47D6E" w:rsidP="00F47D6E">
      <w:pPr>
        <w:rPr>
          <w:lang w:eastAsia="ja-JP"/>
        </w:rPr>
      </w:pPr>
      <w:r w:rsidRPr="00F47D6E">
        <w:rPr>
          <w:lang w:eastAsia="ja-JP"/>
        </w:rPr>
        <w:t xml:space="preserve">The key efficacy outcomes in this study, JADAS-71, inactive disease, clinical remission, and CHAQ-DI, were exploratory only. The median and mean JADAS-71 scores generally improved (decreased) over the course of the study in </w:t>
      </w:r>
      <w:r w:rsidR="00424284">
        <w:rPr>
          <w:lang w:eastAsia="ja-JP"/>
        </w:rPr>
        <w:t>tocilizumab</w:t>
      </w:r>
      <w:r w:rsidRPr="00F47D6E">
        <w:rPr>
          <w:lang w:eastAsia="ja-JP"/>
        </w:rPr>
        <w:t xml:space="preserve"> naïve patients irrespective of </w:t>
      </w:r>
      <w:r w:rsidR="00DA5A43">
        <w:rPr>
          <w:lang w:eastAsia="ja-JP"/>
        </w:rPr>
        <w:t>BW</w:t>
      </w:r>
      <w:r w:rsidRPr="00F47D6E">
        <w:rPr>
          <w:rFonts w:eastAsiaTheme="minorHAnsi" w:cs="Arial"/>
        </w:rPr>
        <w:t xml:space="preserve"> (median decrease of -</w:t>
      </w:r>
      <w:r w:rsidRPr="00F47D6E">
        <w:rPr>
          <w:lang w:eastAsia="ja-JP"/>
        </w:rPr>
        <w:t>13.90 for patients weighing &lt;</w:t>
      </w:r>
      <w:r w:rsidR="00DA5A43">
        <w:rPr>
          <w:lang w:eastAsia="ja-JP"/>
        </w:rPr>
        <w:t xml:space="preserve"> </w:t>
      </w:r>
      <w:r w:rsidRPr="00F47D6E">
        <w:rPr>
          <w:lang w:eastAsia="ja-JP"/>
        </w:rPr>
        <w:t xml:space="preserve">30 kg and -12.40 for weighing ≥ 30 kg), and were maintained at low scores / further decreased in prior </w:t>
      </w:r>
      <w:r w:rsidR="00424284">
        <w:rPr>
          <w:lang w:eastAsia="ja-JP"/>
        </w:rPr>
        <w:t>tocilizumab</w:t>
      </w:r>
      <w:r w:rsidRPr="00F47D6E">
        <w:rPr>
          <w:lang w:eastAsia="ja-JP"/>
        </w:rPr>
        <w:t xml:space="preserve"> patients (median decrease of -0.70 for patients weighing &lt;</w:t>
      </w:r>
      <w:r w:rsidR="00DA5A43">
        <w:rPr>
          <w:lang w:eastAsia="ja-JP"/>
        </w:rPr>
        <w:t xml:space="preserve"> </w:t>
      </w:r>
      <w:r w:rsidRPr="00F47D6E">
        <w:rPr>
          <w:lang w:eastAsia="ja-JP"/>
        </w:rPr>
        <w:t>30 kg and -0.15 for weighing ≥ 30 kg).</w:t>
      </w:r>
    </w:p>
    <w:p w14:paraId="4AE61596" w14:textId="77777777" w:rsidR="00F47D6E" w:rsidRPr="00F47D6E" w:rsidRDefault="00F47D6E" w:rsidP="00F47D6E">
      <w:pPr>
        <w:rPr>
          <w:lang w:eastAsia="ja-JP"/>
        </w:rPr>
      </w:pPr>
      <w:r w:rsidRPr="00F47D6E">
        <w:rPr>
          <w:lang w:eastAsia="ja-JP"/>
        </w:rPr>
        <w:t>The proportion of patients with inactive disease generally increased during the course of the study in all patients. The proportion of patients who achieved clinical remission generally increased during the course of the study in all patients.</w:t>
      </w:r>
    </w:p>
    <w:p w14:paraId="77D6F5C7" w14:textId="67C38F83" w:rsidR="00F47D6E" w:rsidRPr="00F47D6E" w:rsidRDefault="00F47D6E" w:rsidP="00F47D6E">
      <w:pPr>
        <w:rPr>
          <w:lang w:eastAsia="ja-JP"/>
        </w:rPr>
      </w:pPr>
      <w:r w:rsidRPr="00F47D6E">
        <w:rPr>
          <w:lang w:eastAsia="ja-JP"/>
        </w:rPr>
        <w:lastRenderedPageBreak/>
        <w:t xml:space="preserve">In </w:t>
      </w:r>
      <w:r w:rsidR="00424284">
        <w:rPr>
          <w:lang w:eastAsia="ja-JP"/>
        </w:rPr>
        <w:t>tocilizumab</w:t>
      </w:r>
      <w:r w:rsidRPr="00F47D6E">
        <w:rPr>
          <w:lang w:eastAsia="ja-JP"/>
        </w:rPr>
        <w:t xml:space="preserve"> naïve patients, improvements in mean CHAQ-DI scores from </w:t>
      </w:r>
      <w:r w:rsidR="00B01BB8">
        <w:rPr>
          <w:lang w:eastAsia="ja-JP"/>
        </w:rPr>
        <w:t>B</w:t>
      </w:r>
      <w:r w:rsidRPr="00F47D6E">
        <w:rPr>
          <w:lang w:eastAsia="ja-JP"/>
        </w:rPr>
        <w:t xml:space="preserve">aseline to Week 52 were observed. In prior </w:t>
      </w:r>
      <w:r w:rsidR="00424284">
        <w:rPr>
          <w:lang w:eastAsia="ja-JP"/>
        </w:rPr>
        <w:t>tocilizumab</w:t>
      </w:r>
      <w:r w:rsidRPr="00F47D6E">
        <w:rPr>
          <w:lang w:eastAsia="ja-JP"/>
        </w:rPr>
        <w:t xml:space="preserve"> patients, improvements in mean CHAQ-DI scores in the ≥ 30 kg BW group, while for the &lt; 30 kg BW group, the mean CHAQ-DI scores fluctuated around the relatively low baseline value but also decreased by Week 52.</w:t>
      </w:r>
    </w:p>
    <w:p w14:paraId="0C9FCEC7" w14:textId="0E24AA47" w:rsidR="00F47D6E" w:rsidRPr="00F47D6E" w:rsidRDefault="00F47D6E" w:rsidP="00F47D6E">
      <w:pPr>
        <w:rPr>
          <w:lang w:eastAsia="ja-JP"/>
        </w:rPr>
      </w:pPr>
      <w:r w:rsidRPr="00F47D6E">
        <w:rPr>
          <w:lang w:eastAsia="ja-JP"/>
        </w:rPr>
        <w:t xml:space="preserve">At </w:t>
      </w:r>
      <w:r w:rsidR="00B01BB8">
        <w:rPr>
          <w:lang w:eastAsia="ja-JP"/>
        </w:rPr>
        <w:t>B</w:t>
      </w:r>
      <w:r w:rsidRPr="00F47D6E">
        <w:rPr>
          <w:lang w:eastAsia="ja-JP"/>
        </w:rPr>
        <w:t xml:space="preserve">aseline, the mean height standard deviation score (SDS) </w:t>
      </w:r>
      <w:r w:rsidR="00DA5A43">
        <w:rPr>
          <w:lang w:eastAsia="ja-JP"/>
        </w:rPr>
        <w:t xml:space="preserve">for the </w:t>
      </w:r>
      <w:r w:rsidR="00424284">
        <w:rPr>
          <w:lang w:eastAsia="ja-JP"/>
        </w:rPr>
        <w:t>tocilizumab</w:t>
      </w:r>
      <w:r w:rsidRPr="00F47D6E">
        <w:rPr>
          <w:lang w:eastAsia="ja-JP"/>
        </w:rPr>
        <w:t xml:space="preserve"> naïve patients in the &lt; 30 kg BW group was below the normal reference range with smaller differences in the other three subgroups. Improvement in mean height SDS was seen in </w:t>
      </w:r>
      <w:r w:rsidR="00424284">
        <w:rPr>
          <w:lang w:eastAsia="ja-JP"/>
        </w:rPr>
        <w:t>tocilizumab</w:t>
      </w:r>
      <w:r w:rsidRPr="00F47D6E">
        <w:rPr>
          <w:lang w:eastAsia="ja-JP"/>
        </w:rPr>
        <w:t xml:space="preserve"> naïve patients in the &lt; 30 kg BW group, while the other groups demonstrated either minor improvement or remained stable.</w:t>
      </w:r>
    </w:p>
    <w:p w14:paraId="69CC68F4" w14:textId="50994FFF" w:rsidR="00F47D6E" w:rsidRPr="00F47D6E" w:rsidRDefault="00F47D6E" w:rsidP="00F47D6E">
      <w:pPr>
        <w:rPr>
          <w:lang w:eastAsia="ja-JP"/>
        </w:rPr>
      </w:pPr>
      <w:r w:rsidRPr="00F47D6E">
        <w:rPr>
          <w:lang w:eastAsia="ja-JP"/>
        </w:rPr>
        <w:t xml:space="preserve">There were 3 patients aged 1 </w:t>
      </w:r>
      <w:r w:rsidR="00547322">
        <w:rPr>
          <w:lang w:eastAsia="ja-JP"/>
        </w:rPr>
        <w:t>to</w:t>
      </w:r>
      <w:r w:rsidRPr="00F47D6E">
        <w:rPr>
          <w:lang w:eastAsia="ja-JP"/>
        </w:rPr>
        <w:t xml:space="preserve"> 2 years at Baseline, and o</w:t>
      </w:r>
      <w:r w:rsidR="002A34D9">
        <w:rPr>
          <w:lang w:eastAsia="ja-JP"/>
        </w:rPr>
        <w:t>ne patient aged ≥ 2 years but &lt; </w:t>
      </w:r>
      <w:r w:rsidRPr="00F47D6E">
        <w:rPr>
          <w:lang w:eastAsia="ja-JP"/>
        </w:rPr>
        <w:t xml:space="preserve">10.0 kg. All 3 patients aged 1 </w:t>
      </w:r>
      <w:r w:rsidR="00547322">
        <w:rPr>
          <w:lang w:eastAsia="ja-JP"/>
        </w:rPr>
        <w:t>to</w:t>
      </w:r>
      <w:r w:rsidRPr="00F47D6E">
        <w:rPr>
          <w:lang w:eastAsia="ja-JP"/>
        </w:rPr>
        <w:t xml:space="preserve"> 2 years were </w:t>
      </w:r>
      <w:r w:rsidR="00F06436">
        <w:rPr>
          <w:lang w:eastAsia="ja-JP"/>
        </w:rPr>
        <w:t>p</w:t>
      </w:r>
      <w:r w:rsidRPr="00F47D6E">
        <w:rPr>
          <w:lang w:eastAsia="ja-JP"/>
        </w:rPr>
        <w:t xml:space="preserve">rior </w:t>
      </w:r>
      <w:r w:rsidR="00424284">
        <w:rPr>
          <w:lang w:eastAsia="ja-JP"/>
        </w:rPr>
        <w:t>tocilizumab</w:t>
      </w:r>
      <w:r w:rsidRPr="00F47D6E">
        <w:rPr>
          <w:lang w:eastAsia="ja-JP"/>
        </w:rPr>
        <w:t xml:space="preserve"> patients, and had been receiving </w:t>
      </w:r>
      <w:r w:rsidR="00424284">
        <w:rPr>
          <w:lang w:eastAsia="ja-JP"/>
        </w:rPr>
        <w:t>tocilizumab</w:t>
      </w:r>
      <w:r w:rsidRPr="00F47D6E">
        <w:rPr>
          <w:lang w:eastAsia="ja-JP"/>
        </w:rPr>
        <w:t xml:space="preserve"> IV for the treatment of sJIA (commercially available, off-label) and switched to </w:t>
      </w:r>
      <w:r w:rsidR="00424284">
        <w:rPr>
          <w:lang w:eastAsia="ja-JP"/>
        </w:rPr>
        <w:t>tocilizumab</w:t>
      </w:r>
      <w:r w:rsidRPr="00F47D6E">
        <w:rPr>
          <w:lang w:eastAsia="ja-JP"/>
        </w:rPr>
        <w:t xml:space="preserve"> SC at Baseline. They all entered the study with low JADAS-71 scores (0 to 1.0) and maintained or improved these scores through Week 52. The patient who was ≥ 2 years but &lt; 10.0 kg at Baseline was </w:t>
      </w:r>
      <w:r w:rsidR="00424284">
        <w:rPr>
          <w:lang w:eastAsia="ja-JP"/>
        </w:rPr>
        <w:t>tocilizumab</w:t>
      </w:r>
      <w:r w:rsidRPr="00F47D6E">
        <w:rPr>
          <w:lang w:eastAsia="ja-JP"/>
        </w:rPr>
        <w:t xml:space="preserve"> </w:t>
      </w:r>
      <w:r w:rsidR="00F06436">
        <w:rPr>
          <w:lang w:eastAsia="ja-JP"/>
        </w:rPr>
        <w:t>n</w:t>
      </w:r>
      <w:r w:rsidRPr="00F47D6E">
        <w:rPr>
          <w:lang w:eastAsia="ja-JP"/>
        </w:rPr>
        <w:t xml:space="preserve">aive, and entered the study with high disease activity (JADAS-71 of 12.0). This decreased rapidly on </w:t>
      </w:r>
      <w:r w:rsidR="00424284">
        <w:rPr>
          <w:lang w:eastAsia="ja-JP"/>
        </w:rPr>
        <w:t>tocilizumab</w:t>
      </w:r>
      <w:r w:rsidRPr="00F47D6E">
        <w:rPr>
          <w:lang w:eastAsia="ja-JP"/>
        </w:rPr>
        <w:t xml:space="preserve"> SC treatment to minimal disease activity (JADAS-71 &lt; 3.8) by Week 4, and inactive disease (JADAS-71 &lt; 1.0) from Week 8 to Week 52.</w:t>
      </w:r>
    </w:p>
    <w:p w14:paraId="61E34F7A" w14:textId="43311687" w:rsidR="00F47D6E" w:rsidRPr="00DA5A43" w:rsidRDefault="00F47D6E" w:rsidP="00733014">
      <w:pPr>
        <w:pStyle w:val="Heading5"/>
      </w:pPr>
      <w:r w:rsidRPr="00DA5A43">
        <w:t>Study WA29231 (</w:t>
      </w:r>
      <w:r w:rsidR="00547322">
        <w:t>l</w:t>
      </w:r>
      <w:r w:rsidRPr="00DA5A43">
        <w:t xml:space="preserve">ong-term </w:t>
      </w:r>
      <w:r w:rsidR="00547322">
        <w:t>e</w:t>
      </w:r>
      <w:r w:rsidRPr="00DA5A43">
        <w:t>xtension)</w:t>
      </w:r>
    </w:p>
    <w:p w14:paraId="686CD84E" w14:textId="5B69A1E7" w:rsidR="00F47D6E" w:rsidRPr="00F47D6E" w:rsidRDefault="00F47D6E" w:rsidP="00F47D6E">
      <w:pPr>
        <w:rPr>
          <w:lang w:eastAsia="ja-JP"/>
        </w:rPr>
      </w:pPr>
      <w:r w:rsidRPr="00F47D6E">
        <w:rPr>
          <w:lang w:eastAsia="ja-JP"/>
        </w:rPr>
        <w:t xml:space="preserve">Study WA29231 is an ongoing, open-label safety and efficacy study that enrolled patients from </w:t>
      </w:r>
      <w:r w:rsidR="00547322">
        <w:rPr>
          <w:lang w:eastAsia="ja-JP"/>
        </w:rPr>
        <w:t xml:space="preserve">Study </w:t>
      </w:r>
      <w:r w:rsidRPr="00F47D6E">
        <w:rPr>
          <w:lang w:eastAsia="ja-JP"/>
        </w:rPr>
        <w:t xml:space="preserve">WA28117 (pJIA) and </w:t>
      </w:r>
      <w:r w:rsidR="00547322">
        <w:rPr>
          <w:lang w:eastAsia="ja-JP"/>
        </w:rPr>
        <w:t>S</w:t>
      </w:r>
      <w:r w:rsidRPr="00F47D6E">
        <w:rPr>
          <w:lang w:eastAsia="ja-JP"/>
        </w:rPr>
        <w:t>tudy WA28118 in sJIA. No clinical study report has been provided for evaluation. Only data from patients with sJIA were summarised and presented.</w:t>
      </w:r>
    </w:p>
    <w:p w14:paraId="32B31223" w14:textId="041A32C4" w:rsidR="00F47D6E" w:rsidRPr="00F47D6E" w:rsidRDefault="00F47D6E" w:rsidP="00F47D6E">
      <w:pPr>
        <w:rPr>
          <w:lang w:eastAsia="ja-JP"/>
        </w:rPr>
      </w:pPr>
      <w:r w:rsidRPr="00F47D6E">
        <w:rPr>
          <w:lang w:eastAsia="ja-JP"/>
        </w:rPr>
        <w:t xml:space="preserve">Thirty-eight patients (19 each from the &lt; 30 kg and ≥ 30 kg BW groups) provided additional median treatment durations for </w:t>
      </w:r>
      <w:r w:rsidR="00424284">
        <w:rPr>
          <w:lang w:eastAsia="ja-JP"/>
        </w:rPr>
        <w:t>tocilizumab</w:t>
      </w:r>
      <w:r w:rsidRPr="00F47D6E">
        <w:rPr>
          <w:lang w:eastAsia="ja-JP"/>
        </w:rPr>
        <w:t xml:space="preserve"> SC of 0.31 years and 2.30 years, respectively. In general, the results seen at </w:t>
      </w:r>
      <w:r w:rsidR="00B01BB8">
        <w:rPr>
          <w:lang w:eastAsia="ja-JP"/>
        </w:rPr>
        <w:t>B</w:t>
      </w:r>
      <w:r w:rsidRPr="00F47D6E">
        <w:rPr>
          <w:lang w:eastAsia="ja-JP"/>
        </w:rPr>
        <w:t xml:space="preserve">aseline were maintained for the additional 16 or 128 </w:t>
      </w:r>
      <w:r w:rsidR="00547322">
        <w:rPr>
          <w:lang w:eastAsia="ja-JP"/>
        </w:rPr>
        <w:t>w</w:t>
      </w:r>
      <w:r w:rsidRPr="00F47D6E">
        <w:rPr>
          <w:lang w:eastAsia="ja-JP"/>
        </w:rPr>
        <w:t>eeks for the BW &lt; 30 kg and ≥ 30 kg groups, respectively.</w:t>
      </w:r>
    </w:p>
    <w:p w14:paraId="1ACB8E7A" w14:textId="77777777" w:rsidR="00F47D6E" w:rsidRPr="00DA5A43" w:rsidRDefault="00F47D6E" w:rsidP="00733014">
      <w:pPr>
        <w:pStyle w:val="Heading5"/>
        <w:rPr>
          <w:lang w:eastAsia="ja-JP"/>
        </w:rPr>
      </w:pPr>
      <w:r w:rsidRPr="00DA5A43">
        <w:rPr>
          <w:lang w:eastAsia="ja-JP"/>
        </w:rPr>
        <w:t>Analyses performed across trials</w:t>
      </w:r>
    </w:p>
    <w:p w14:paraId="0E2595EC" w14:textId="267282D9" w:rsidR="00F47D6E" w:rsidRPr="00F47D6E" w:rsidRDefault="00F47D6E" w:rsidP="00F47D6E">
      <w:pPr>
        <w:rPr>
          <w:lang w:eastAsia="ja-JP"/>
        </w:rPr>
      </w:pPr>
      <w:r w:rsidRPr="00F47D6E">
        <w:rPr>
          <w:lang w:eastAsia="ja-JP"/>
        </w:rPr>
        <w:t xml:space="preserve">Efficacy results from Study WA28118 were compared with the pivotal </w:t>
      </w:r>
      <w:r w:rsidR="00424284">
        <w:rPr>
          <w:lang w:eastAsia="ja-JP"/>
        </w:rPr>
        <w:t>tocilizumab</w:t>
      </w:r>
      <w:r w:rsidRPr="00F47D6E">
        <w:rPr>
          <w:lang w:eastAsia="ja-JP"/>
        </w:rPr>
        <w:t xml:space="preserve"> IV Study WA18221. Only </w:t>
      </w:r>
      <w:r w:rsidR="00424284">
        <w:rPr>
          <w:lang w:eastAsia="ja-JP"/>
        </w:rPr>
        <w:t>tocilizumab</w:t>
      </w:r>
      <w:r w:rsidRPr="00F47D6E">
        <w:rPr>
          <w:lang w:eastAsia="ja-JP"/>
        </w:rPr>
        <w:t xml:space="preserve"> naïve patients were used in the comparison. JADAS-71 was analysed </w:t>
      </w:r>
      <w:r w:rsidRPr="002F304A">
        <w:rPr>
          <w:i/>
          <w:lang w:eastAsia="ja-JP"/>
        </w:rPr>
        <w:t>post-hoc</w:t>
      </w:r>
      <w:r w:rsidRPr="00F47D6E">
        <w:rPr>
          <w:lang w:eastAsia="ja-JP"/>
        </w:rPr>
        <w:t xml:space="preserve"> for </w:t>
      </w:r>
      <w:r w:rsidR="00547322">
        <w:rPr>
          <w:lang w:eastAsia="ja-JP"/>
        </w:rPr>
        <w:t>S</w:t>
      </w:r>
      <w:r w:rsidRPr="00F47D6E">
        <w:rPr>
          <w:lang w:eastAsia="ja-JP"/>
        </w:rPr>
        <w:t xml:space="preserve">tudy WA18221. A reduction in median JADAS-71 was seen for all patients, with a similar pattern of initial and sustained response up to Week 52 in both the </w:t>
      </w:r>
      <w:r w:rsidR="00424284">
        <w:rPr>
          <w:lang w:eastAsia="ja-JP"/>
        </w:rPr>
        <w:t>tocilizumab</w:t>
      </w:r>
      <w:r w:rsidRPr="00F47D6E">
        <w:rPr>
          <w:lang w:eastAsia="ja-JP"/>
        </w:rPr>
        <w:t xml:space="preserve"> SC and </w:t>
      </w:r>
      <w:r w:rsidR="00424284">
        <w:rPr>
          <w:lang w:eastAsia="ja-JP"/>
        </w:rPr>
        <w:t>tocilizumab</w:t>
      </w:r>
      <w:r w:rsidRPr="00F47D6E">
        <w:rPr>
          <w:lang w:eastAsia="ja-JP"/>
        </w:rPr>
        <w:t xml:space="preserve"> IV groups. Baseline median JADAS-71 was lower in the </w:t>
      </w:r>
      <w:r w:rsidR="00424284">
        <w:rPr>
          <w:lang w:eastAsia="ja-JP"/>
        </w:rPr>
        <w:t>tocilizumab</w:t>
      </w:r>
      <w:r w:rsidRPr="00F47D6E">
        <w:rPr>
          <w:lang w:eastAsia="ja-JP"/>
        </w:rPr>
        <w:t xml:space="preserve"> SC patients compared with the </w:t>
      </w:r>
      <w:r w:rsidR="00424284">
        <w:rPr>
          <w:lang w:eastAsia="ja-JP"/>
        </w:rPr>
        <w:t>tocilizumab</w:t>
      </w:r>
      <w:r w:rsidRPr="00F47D6E">
        <w:rPr>
          <w:lang w:eastAsia="ja-JP"/>
        </w:rPr>
        <w:t xml:space="preserve"> IV patients in both BW groups (15.10 </w:t>
      </w:r>
      <w:r w:rsidR="00C93E13" w:rsidRPr="00733014">
        <w:rPr>
          <w:lang w:eastAsia="ja-JP"/>
        </w:rPr>
        <w:t>versus</w:t>
      </w:r>
      <w:r w:rsidRPr="00F47D6E">
        <w:rPr>
          <w:lang w:eastAsia="ja-JP"/>
        </w:rPr>
        <w:t xml:space="preserve"> 33.75 for BW &lt; 30kg, and 13.20 </w:t>
      </w:r>
      <w:r w:rsidR="00C93E13" w:rsidRPr="00733014">
        <w:rPr>
          <w:lang w:eastAsia="ja-JP"/>
        </w:rPr>
        <w:t>versus</w:t>
      </w:r>
      <w:r w:rsidRPr="00547322">
        <w:rPr>
          <w:lang w:eastAsia="ja-JP"/>
        </w:rPr>
        <w:t xml:space="preserve"> </w:t>
      </w:r>
      <w:r w:rsidRPr="00F47D6E">
        <w:rPr>
          <w:lang w:eastAsia="ja-JP"/>
        </w:rPr>
        <w:t xml:space="preserve">33.25 for BW ≥ 30 kg) and remained lower at Week 52 (0.30 </w:t>
      </w:r>
      <w:r w:rsidR="00C93E13" w:rsidRPr="00733014">
        <w:rPr>
          <w:lang w:eastAsia="ja-JP"/>
        </w:rPr>
        <w:t>versus</w:t>
      </w:r>
      <w:r w:rsidRPr="00547322">
        <w:rPr>
          <w:lang w:eastAsia="ja-JP"/>
        </w:rPr>
        <w:t xml:space="preserve"> </w:t>
      </w:r>
      <w:r w:rsidRPr="00F47D6E">
        <w:rPr>
          <w:lang w:eastAsia="ja-JP"/>
        </w:rPr>
        <w:t>1.60 for BW &lt; 30</w:t>
      </w:r>
      <w:r w:rsidR="00547322">
        <w:rPr>
          <w:lang w:eastAsia="ja-JP"/>
        </w:rPr>
        <w:t xml:space="preserve"> </w:t>
      </w:r>
      <w:r w:rsidRPr="00F47D6E">
        <w:rPr>
          <w:lang w:eastAsia="ja-JP"/>
        </w:rPr>
        <w:t xml:space="preserve">kg, and 0.20 </w:t>
      </w:r>
      <w:r w:rsidR="00C93E13" w:rsidRPr="00733014">
        <w:rPr>
          <w:lang w:eastAsia="ja-JP"/>
        </w:rPr>
        <w:t>versus</w:t>
      </w:r>
      <w:r w:rsidRPr="00F47D6E">
        <w:rPr>
          <w:lang w:eastAsia="ja-JP"/>
        </w:rPr>
        <w:t xml:space="preserve"> 3.20 for BW ≥ 30 kg). The scores at Week 52 were consistent with inactive disease threshold (&lt; 1.0) or minimal disease activity threshold (&lt; 3.8).</w:t>
      </w:r>
    </w:p>
    <w:p w14:paraId="52F529AB" w14:textId="31C9FF57" w:rsidR="00F47D6E" w:rsidRPr="00F47D6E" w:rsidRDefault="00F47D6E" w:rsidP="00F47D6E">
      <w:pPr>
        <w:rPr>
          <w:lang w:eastAsia="ja-JP"/>
        </w:rPr>
      </w:pPr>
      <w:r w:rsidRPr="00F47D6E">
        <w:rPr>
          <w:lang w:eastAsia="ja-JP"/>
        </w:rPr>
        <w:t xml:space="preserve">Mean pain </w:t>
      </w:r>
      <w:r w:rsidR="00F81697">
        <w:rPr>
          <w:lang w:eastAsia="ja-JP"/>
        </w:rPr>
        <w:t>V</w:t>
      </w:r>
      <w:r w:rsidR="00547322">
        <w:rPr>
          <w:lang w:eastAsia="ja-JP"/>
        </w:rPr>
        <w:t xml:space="preserve">isual </w:t>
      </w:r>
      <w:r w:rsidR="00F81697">
        <w:rPr>
          <w:lang w:eastAsia="ja-JP"/>
        </w:rPr>
        <w:t>A</w:t>
      </w:r>
      <w:r w:rsidR="00547322">
        <w:rPr>
          <w:lang w:eastAsia="ja-JP"/>
        </w:rPr>
        <w:t xml:space="preserve">nalogue </w:t>
      </w:r>
      <w:r w:rsidR="00F81697">
        <w:rPr>
          <w:lang w:eastAsia="ja-JP"/>
        </w:rPr>
        <w:t>S</w:t>
      </w:r>
      <w:r w:rsidR="00547322">
        <w:rPr>
          <w:lang w:eastAsia="ja-JP"/>
        </w:rPr>
        <w:t>cale (</w:t>
      </w:r>
      <w:r w:rsidRPr="00F47D6E">
        <w:rPr>
          <w:lang w:eastAsia="ja-JP"/>
        </w:rPr>
        <w:t>VAS</w:t>
      </w:r>
      <w:r w:rsidR="00547322">
        <w:rPr>
          <w:lang w:eastAsia="ja-JP"/>
        </w:rPr>
        <w:t>)</w:t>
      </w:r>
      <w:r w:rsidR="00F81697">
        <w:rPr>
          <w:lang w:eastAsia="ja-JP"/>
        </w:rPr>
        <w:t>;</w:t>
      </w:r>
      <w:r w:rsidR="0099050F">
        <w:rPr>
          <w:rStyle w:val="FootnoteReference"/>
          <w:lang w:eastAsia="ja-JP"/>
        </w:rPr>
        <w:footnoteReference w:id="6"/>
      </w:r>
      <w:r w:rsidRPr="00F47D6E">
        <w:rPr>
          <w:lang w:eastAsia="ja-JP"/>
        </w:rPr>
        <w:t xml:space="preserve"> results decreased in a similar pattern for both </w:t>
      </w:r>
      <w:r w:rsidR="00424284">
        <w:rPr>
          <w:lang w:eastAsia="ja-JP"/>
        </w:rPr>
        <w:t>tocilizumab</w:t>
      </w:r>
      <w:r w:rsidRPr="00F47D6E">
        <w:rPr>
          <w:lang w:eastAsia="ja-JP"/>
        </w:rPr>
        <w:t xml:space="preserve"> SC and </w:t>
      </w:r>
      <w:r w:rsidR="00424284">
        <w:rPr>
          <w:lang w:eastAsia="ja-JP"/>
        </w:rPr>
        <w:t>tocilizumab</w:t>
      </w:r>
      <w:r w:rsidRPr="00F47D6E">
        <w:rPr>
          <w:lang w:eastAsia="ja-JP"/>
        </w:rPr>
        <w:t xml:space="preserve"> IV patients, starting from a lower baseline value in the </w:t>
      </w:r>
      <w:r w:rsidR="00424284">
        <w:rPr>
          <w:lang w:eastAsia="ja-JP"/>
        </w:rPr>
        <w:t>tocilizumab</w:t>
      </w:r>
      <w:r w:rsidRPr="00F47D6E">
        <w:rPr>
          <w:lang w:eastAsia="ja-JP"/>
        </w:rPr>
        <w:t xml:space="preserve"> SC patients.</w:t>
      </w:r>
    </w:p>
    <w:p w14:paraId="224C6209" w14:textId="18041275" w:rsidR="00F47D6E" w:rsidRPr="00F47D6E" w:rsidRDefault="00F47D6E" w:rsidP="00F47D6E">
      <w:pPr>
        <w:rPr>
          <w:lang w:eastAsia="ja-JP"/>
        </w:rPr>
      </w:pPr>
      <w:r w:rsidRPr="00F47D6E">
        <w:rPr>
          <w:lang w:eastAsia="ja-JP"/>
        </w:rPr>
        <w:t xml:space="preserve">Mean CHAQ-DI scores showed progressive improvements from </w:t>
      </w:r>
      <w:r w:rsidR="00B01BB8">
        <w:rPr>
          <w:lang w:eastAsia="ja-JP"/>
        </w:rPr>
        <w:t>B</w:t>
      </w:r>
      <w:r w:rsidRPr="00F47D6E">
        <w:rPr>
          <w:lang w:eastAsia="ja-JP"/>
        </w:rPr>
        <w:t xml:space="preserve">aseline through Week 52 for both the </w:t>
      </w:r>
      <w:r w:rsidR="00424284">
        <w:rPr>
          <w:lang w:eastAsia="ja-JP"/>
        </w:rPr>
        <w:t>tocilizumab</w:t>
      </w:r>
      <w:r w:rsidRPr="00F47D6E">
        <w:rPr>
          <w:lang w:eastAsia="ja-JP"/>
        </w:rPr>
        <w:t xml:space="preserve"> SC and </w:t>
      </w:r>
      <w:r w:rsidR="00424284">
        <w:rPr>
          <w:lang w:eastAsia="ja-JP"/>
        </w:rPr>
        <w:t>tocilizumab</w:t>
      </w:r>
      <w:r w:rsidRPr="00F47D6E">
        <w:rPr>
          <w:lang w:eastAsia="ja-JP"/>
        </w:rPr>
        <w:t xml:space="preserve"> IV patients in both BW groups.</w:t>
      </w:r>
    </w:p>
    <w:p w14:paraId="6759AFBC" w14:textId="50CA0DB6" w:rsidR="00F47D6E" w:rsidRPr="00F47D6E" w:rsidRDefault="00F47D6E" w:rsidP="00F47D6E">
      <w:pPr>
        <w:rPr>
          <w:lang w:eastAsia="ja-JP"/>
        </w:rPr>
      </w:pPr>
      <w:r w:rsidRPr="00F47D6E">
        <w:rPr>
          <w:lang w:eastAsia="ja-JP"/>
        </w:rPr>
        <w:t xml:space="preserve">Mean height SDS values at </w:t>
      </w:r>
      <w:r w:rsidR="00B01BB8">
        <w:rPr>
          <w:lang w:eastAsia="ja-JP"/>
        </w:rPr>
        <w:t>B</w:t>
      </w:r>
      <w:r w:rsidRPr="00F47D6E">
        <w:rPr>
          <w:lang w:eastAsia="ja-JP"/>
        </w:rPr>
        <w:t xml:space="preserve">aseline in the </w:t>
      </w:r>
      <w:r w:rsidR="00424284">
        <w:rPr>
          <w:lang w:eastAsia="ja-JP"/>
        </w:rPr>
        <w:t>tocilizumab</w:t>
      </w:r>
      <w:r w:rsidRPr="00F47D6E">
        <w:rPr>
          <w:lang w:eastAsia="ja-JP"/>
        </w:rPr>
        <w:t xml:space="preserve"> naïve SC patients were closer to the reference value (0) than those in </w:t>
      </w:r>
      <w:r w:rsidR="00424284">
        <w:rPr>
          <w:lang w:eastAsia="ja-JP"/>
        </w:rPr>
        <w:t>tocilizumab</w:t>
      </w:r>
      <w:r w:rsidRPr="00F47D6E">
        <w:rPr>
          <w:lang w:eastAsia="ja-JP"/>
        </w:rPr>
        <w:t xml:space="preserve"> IV patients. Mean height SDS improved for </w:t>
      </w:r>
      <w:r w:rsidRPr="00F47D6E">
        <w:rPr>
          <w:lang w:eastAsia="ja-JP"/>
        </w:rPr>
        <w:lastRenderedPageBreak/>
        <w:t xml:space="preserve">the </w:t>
      </w:r>
      <w:r w:rsidR="00424284">
        <w:rPr>
          <w:lang w:eastAsia="ja-JP"/>
        </w:rPr>
        <w:t>tocilizumab</w:t>
      </w:r>
      <w:r w:rsidRPr="00F47D6E">
        <w:rPr>
          <w:lang w:eastAsia="ja-JP"/>
        </w:rPr>
        <w:t xml:space="preserve"> SC patients &lt; 30 kg and for </w:t>
      </w:r>
      <w:r w:rsidR="00424284">
        <w:rPr>
          <w:lang w:eastAsia="ja-JP"/>
        </w:rPr>
        <w:t>tocilizumab</w:t>
      </w:r>
      <w:r w:rsidRPr="00F47D6E">
        <w:rPr>
          <w:lang w:eastAsia="ja-JP"/>
        </w:rPr>
        <w:t xml:space="preserve"> </w:t>
      </w:r>
      <w:r w:rsidR="002A34D9">
        <w:rPr>
          <w:lang w:eastAsia="ja-JP"/>
        </w:rPr>
        <w:t xml:space="preserve">IV patients in both BW groups. </w:t>
      </w:r>
      <w:r w:rsidR="00424284">
        <w:rPr>
          <w:lang w:eastAsia="ja-JP"/>
        </w:rPr>
        <w:t>tocilizumab</w:t>
      </w:r>
      <w:r w:rsidRPr="00F47D6E">
        <w:rPr>
          <w:lang w:eastAsia="ja-JP"/>
        </w:rPr>
        <w:t xml:space="preserve"> SC patients ≥ 30 kg had relatively stable mean height SDS through Week 52.</w:t>
      </w:r>
    </w:p>
    <w:p w14:paraId="76B7AF89" w14:textId="77777777" w:rsidR="00F47D6E" w:rsidRPr="00DA5A43" w:rsidRDefault="00F47D6E" w:rsidP="00733014">
      <w:pPr>
        <w:pStyle w:val="Heading4"/>
      </w:pPr>
      <w:r w:rsidRPr="00DA5A43">
        <w:t>Safety</w:t>
      </w:r>
    </w:p>
    <w:p w14:paraId="7FD61EB7" w14:textId="77777777" w:rsidR="00F47D6E" w:rsidRPr="00F47D6E" w:rsidRDefault="00F47D6E" w:rsidP="00733014">
      <w:pPr>
        <w:pStyle w:val="Heading5"/>
      </w:pPr>
      <w:r w:rsidRPr="00F47D6E">
        <w:t>Study WA28118</w:t>
      </w:r>
    </w:p>
    <w:p w14:paraId="54654DBD" w14:textId="00F4339E" w:rsidR="00F47D6E" w:rsidRPr="00F47D6E" w:rsidRDefault="00F47D6E" w:rsidP="00F47D6E">
      <w:pPr>
        <w:rPr>
          <w:lang w:eastAsia="ja-JP"/>
        </w:rPr>
      </w:pPr>
      <w:r w:rsidRPr="00F47D6E">
        <w:rPr>
          <w:lang w:eastAsia="ja-JP"/>
        </w:rPr>
        <w:t xml:space="preserve">A total of 51 paediatric patients were exposed to </w:t>
      </w:r>
      <w:r w:rsidR="00424284">
        <w:rPr>
          <w:lang w:eastAsia="ja-JP"/>
        </w:rPr>
        <w:t>tocilizumab</w:t>
      </w:r>
      <w:r w:rsidRPr="00F47D6E">
        <w:rPr>
          <w:lang w:eastAsia="ja-JP"/>
        </w:rPr>
        <w:t xml:space="preserve"> SC dosing. The median treatment duration was 1.0 years. AEs were experienced by 98% (50</w:t>
      </w:r>
      <w:r w:rsidR="00547322">
        <w:rPr>
          <w:lang w:eastAsia="ja-JP"/>
        </w:rPr>
        <w:t xml:space="preserve"> out of </w:t>
      </w:r>
      <w:r w:rsidRPr="00F47D6E">
        <w:rPr>
          <w:lang w:eastAsia="ja-JP"/>
        </w:rPr>
        <w:t xml:space="preserve">51) patients (100.0% of the &lt; 30 kg group and 96.2% of the ≥ 30 kg group). There were some differences in </w:t>
      </w:r>
      <w:r w:rsidR="00547322">
        <w:rPr>
          <w:lang w:eastAsia="ja-JP"/>
        </w:rPr>
        <w:t>AE</w:t>
      </w:r>
      <w:r w:rsidRPr="00F47D6E">
        <w:rPr>
          <w:lang w:eastAsia="ja-JP"/>
        </w:rPr>
        <w:t xml:space="preserve"> profile by prior </w:t>
      </w:r>
      <w:r w:rsidR="00424284">
        <w:rPr>
          <w:lang w:eastAsia="ja-JP"/>
        </w:rPr>
        <w:t>tocilizumab</w:t>
      </w:r>
      <w:r w:rsidRPr="00F47D6E">
        <w:rPr>
          <w:lang w:eastAsia="ja-JP"/>
        </w:rPr>
        <w:t xml:space="preserve"> exposure and by BW group. A higher proportion of patients in the prior </w:t>
      </w:r>
      <w:r w:rsidR="00424284">
        <w:rPr>
          <w:lang w:eastAsia="ja-JP"/>
        </w:rPr>
        <w:t>tocilizumab</w:t>
      </w:r>
      <w:r w:rsidRPr="00F47D6E">
        <w:rPr>
          <w:lang w:eastAsia="ja-JP"/>
        </w:rPr>
        <w:t xml:space="preserve"> group reported </w:t>
      </w:r>
      <w:r w:rsidR="00547322">
        <w:rPr>
          <w:lang w:eastAsia="ja-JP"/>
        </w:rPr>
        <w:t>upper respiratory tract infections (</w:t>
      </w:r>
      <w:r w:rsidRPr="00F47D6E">
        <w:rPr>
          <w:lang w:eastAsia="ja-JP"/>
        </w:rPr>
        <w:t>URTI</w:t>
      </w:r>
      <w:r w:rsidR="00547322">
        <w:rPr>
          <w:lang w:eastAsia="ja-JP"/>
        </w:rPr>
        <w:t>)</w:t>
      </w:r>
      <w:r w:rsidRPr="00F47D6E">
        <w:rPr>
          <w:lang w:eastAsia="ja-JP"/>
        </w:rPr>
        <w:t xml:space="preserve"> (15.4% </w:t>
      </w:r>
      <w:r w:rsidR="00C93E13" w:rsidRPr="00733014">
        <w:rPr>
          <w:lang w:eastAsia="ja-JP"/>
        </w:rPr>
        <w:t>versus</w:t>
      </w:r>
      <w:r w:rsidRPr="00547322">
        <w:rPr>
          <w:lang w:eastAsia="ja-JP"/>
        </w:rPr>
        <w:t xml:space="preserve"> </w:t>
      </w:r>
      <w:r w:rsidRPr="00F47D6E">
        <w:rPr>
          <w:lang w:eastAsia="ja-JP"/>
        </w:rPr>
        <w:t xml:space="preserve">28.0%), sinusitis (0% </w:t>
      </w:r>
      <w:r w:rsidR="00C93E13" w:rsidRPr="00733014">
        <w:rPr>
          <w:lang w:eastAsia="ja-JP"/>
        </w:rPr>
        <w:t>versus</w:t>
      </w:r>
      <w:r w:rsidRPr="00F47D6E">
        <w:rPr>
          <w:lang w:eastAsia="ja-JP"/>
        </w:rPr>
        <w:t xml:space="preserve"> 12.0%), pyrexia (3.8% </w:t>
      </w:r>
      <w:r w:rsidR="00C93E13" w:rsidRPr="00733014">
        <w:rPr>
          <w:lang w:eastAsia="ja-JP"/>
        </w:rPr>
        <w:t>versus</w:t>
      </w:r>
      <w:r w:rsidRPr="00F47D6E">
        <w:rPr>
          <w:lang w:eastAsia="ja-JP"/>
        </w:rPr>
        <w:t xml:space="preserve"> 16.0%), injection site reaction, injection site swelling (both 0% </w:t>
      </w:r>
      <w:r w:rsidR="00C93E13" w:rsidRPr="00733014">
        <w:rPr>
          <w:lang w:eastAsia="ja-JP"/>
        </w:rPr>
        <w:t>versus</w:t>
      </w:r>
      <w:r w:rsidRPr="00547322">
        <w:rPr>
          <w:lang w:eastAsia="ja-JP"/>
        </w:rPr>
        <w:t xml:space="preserve"> </w:t>
      </w:r>
      <w:r w:rsidRPr="00F47D6E">
        <w:rPr>
          <w:lang w:eastAsia="ja-JP"/>
        </w:rPr>
        <w:t xml:space="preserve">12.0%), and constipation (0% </w:t>
      </w:r>
      <w:r w:rsidR="00C93E13" w:rsidRPr="00733014">
        <w:rPr>
          <w:lang w:eastAsia="ja-JP"/>
        </w:rPr>
        <w:t>versus</w:t>
      </w:r>
      <w:r w:rsidRPr="00547322">
        <w:rPr>
          <w:lang w:eastAsia="ja-JP"/>
        </w:rPr>
        <w:t xml:space="preserve"> </w:t>
      </w:r>
      <w:r w:rsidRPr="00F47D6E">
        <w:rPr>
          <w:lang w:eastAsia="ja-JP"/>
        </w:rPr>
        <w:t xml:space="preserve">12.0%). A higher proportion of patients in the </w:t>
      </w:r>
      <w:r w:rsidR="00424284">
        <w:rPr>
          <w:lang w:eastAsia="ja-JP"/>
        </w:rPr>
        <w:t>tocilizumab</w:t>
      </w:r>
      <w:r w:rsidRPr="00F47D6E">
        <w:rPr>
          <w:lang w:eastAsia="ja-JP"/>
        </w:rPr>
        <w:t xml:space="preserve"> naïve group reported cough (30.8% </w:t>
      </w:r>
      <w:r w:rsidR="00C93E13" w:rsidRPr="00733014">
        <w:rPr>
          <w:lang w:eastAsia="ja-JP"/>
        </w:rPr>
        <w:t>versus</w:t>
      </w:r>
      <w:r w:rsidRPr="00547322">
        <w:rPr>
          <w:lang w:eastAsia="ja-JP"/>
        </w:rPr>
        <w:t xml:space="preserve"> </w:t>
      </w:r>
      <w:r w:rsidRPr="00F47D6E">
        <w:rPr>
          <w:lang w:eastAsia="ja-JP"/>
        </w:rPr>
        <w:t xml:space="preserve">16.0%), rhinorrhoea (11.5% </w:t>
      </w:r>
      <w:r w:rsidR="00C93E13" w:rsidRPr="00733014">
        <w:rPr>
          <w:lang w:eastAsia="ja-JP"/>
        </w:rPr>
        <w:t>versus</w:t>
      </w:r>
      <w:r w:rsidRPr="00F47D6E">
        <w:rPr>
          <w:lang w:eastAsia="ja-JP"/>
        </w:rPr>
        <w:t xml:space="preserve"> 0%), and rash (26.9% </w:t>
      </w:r>
      <w:r w:rsidR="00C93E13" w:rsidRPr="00733014">
        <w:rPr>
          <w:lang w:eastAsia="ja-JP"/>
        </w:rPr>
        <w:t>versus</w:t>
      </w:r>
      <w:r w:rsidRPr="00F47D6E">
        <w:rPr>
          <w:lang w:eastAsia="ja-JP"/>
        </w:rPr>
        <w:t xml:space="preserve"> 4.0%).</w:t>
      </w:r>
    </w:p>
    <w:p w14:paraId="4D641DDB" w14:textId="6735F11A" w:rsidR="00F47D6E" w:rsidRPr="00F47D6E" w:rsidRDefault="00F47D6E" w:rsidP="00F47D6E">
      <w:pPr>
        <w:rPr>
          <w:lang w:eastAsia="ja-JP"/>
        </w:rPr>
      </w:pPr>
      <w:r w:rsidRPr="00F47D6E">
        <w:rPr>
          <w:lang w:eastAsia="ja-JP"/>
        </w:rPr>
        <w:t xml:space="preserve">A higher proportion of patients in the &lt; 30 kg BW group reported viral URTI (32.0% </w:t>
      </w:r>
      <w:r w:rsidR="00C93E13" w:rsidRPr="00733014">
        <w:rPr>
          <w:lang w:eastAsia="ja-JP"/>
        </w:rPr>
        <w:t>versus</w:t>
      </w:r>
      <w:r w:rsidRPr="00547322">
        <w:rPr>
          <w:lang w:eastAsia="ja-JP"/>
        </w:rPr>
        <w:t xml:space="preserve"> </w:t>
      </w:r>
      <w:r w:rsidRPr="00F47D6E">
        <w:rPr>
          <w:lang w:eastAsia="ja-JP"/>
        </w:rPr>
        <w:t xml:space="preserve">19.2%, &lt; 30 kg </w:t>
      </w:r>
      <w:r w:rsidR="00C93E13">
        <w:rPr>
          <w:lang w:eastAsia="ja-JP"/>
        </w:rPr>
        <w:t>versus</w:t>
      </w:r>
      <w:r w:rsidR="002A34D9">
        <w:rPr>
          <w:lang w:eastAsia="ja-JP"/>
        </w:rPr>
        <w:t xml:space="preserve"> ≥ 30 kg respectively), hand foot and </w:t>
      </w:r>
      <w:r w:rsidRPr="00F47D6E">
        <w:rPr>
          <w:lang w:eastAsia="ja-JP"/>
        </w:rPr>
        <w:t xml:space="preserve">mouth disease (16.0% </w:t>
      </w:r>
      <w:r w:rsidR="00C93E13" w:rsidRPr="00733014">
        <w:rPr>
          <w:lang w:eastAsia="ja-JP"/>
        </w:rPr>
        <w:t>versus</w:t>
      </w:r>
      <w:r w:rsidRPr="00547322">
        <w:rPr>
          <w:lang w:eastAsia="ja-JP"/>
        </w:rPr>
        <w:t xml:space="preserve"> </w:t>
      </w:r>
      <w:r w:rsidRPr="00F47D6E">
        <w:rPr>
          <w:lang w:eastAsia="ja-JP"/>
        </w:rPr>
        <w:t xml:space="preserve">0%), and viral gastroenteritis (12.0% </w:t>
      </w:r>
      <w:r w:rsidR="00C93E13" w:rsidRPr="00733014">
        <w:rPr>
          <w:lang w:eastAsia="ja-JP"/>
        </w:rPr>
        <w:t>versus</w:t>
      </w:r>
      <w:r w:rsidRPr="00547322">
        <w:rPr>
          <w:lang w:eastAsia="ja-JP"/>
        </w:rPr>
        <w:t xml:space="preserve"> </w:t>
      </w:r>
      <w:r w:rsidRPr="00F47D6E">
        <w:rPr>
          <w:lang w:eastAsia="ja-JP"/>
        </w:rPr>
        <w:t xml:space="preserve">0%) compared with the patients in the ≥ 30 kg BW group. A higher proportion of patients in the ≥ 30 kg BW group reported ear infection, pharyngitis, sinusitis, injection site reaction, injection site swelling, ligament sprain (all 0% </w:t>
      </w:r>
      <w:r w:rsidR="00C93E13" w:rsidRPr="00733014">
        <w:rPr>
          <w:lang w:eastAsia="ja-JP"/>
        </w:rPr>
        <w:t>versus</w:t>
      </w:r>
      <w:r w:rsidRPr="00547322">
        <w:rPr>
          <w:lang w:eastAsia="ja-JP"/>
        </w:rPr>
        <w:t xml:space="preserve"> </w:t>
      </w:r>
      <w:r w:rsidRPr="00F47D6E">
        <w:rPr>
          <w:lang w:eastAsia="ja-JP"/>
        </w:rPr>
        <w:t xml:space="preserve">11.5%, &lt; 30 kg </w:t>
      </w:r>
      <w:r w:rsidR="00C93E13">
        <w:rPr>
          <w:lang w:eastAsia="ja-JP"/>
        </w:rPr>
        <w:t>versus</w:t>
      </w:r>
      <w:r w:rsidRPr="00F47D6E">
        <w:rPr>
          <w:lang w:eastAsia="ja-JP"/>
        </w:rPr>
        <w:t xml:space="preserve"> ≥ 30 kg respectively), injection site erythema (4.0% </w:t>
      </w:r>
      <w:r w:rsidR="00C93E13" w:rsidRPr="00733014">
        <w:rPr>
          <w:lang w:eastAsia="ja-JP"/>
        </w:rPr>
        <w:t>versus</w:t>
      </w:r>
      <w:r w:rsidRPr="00547322">
        <w:rPr>
          <w:lang w:eastAsia="ja-JP"/>
        </w:rPr>
        <w:t xml:space="preserve"> </w:t>
      </w:r>
      <w:r w:rsidRPr="00F47D6E">
        <w:rPr>
          <w:lang w:eastAsia="ja-JP"/>
        </w:rPr>
        <w:t xml:space="preserve">34.6%), injection site pain (4.0% </w:t>
      </w:r>
      <w:r w:rsidR="00C93E13" w:rsidRPr="00733014">
        <w:rPr>
          <w:lang w:eastAsia="ja-JP"/>
        </w:rPr>
        <w:t>versus</w:t>
      </w:r>
      <w:r w:rsidRPr="00547322">
        <w:rPr>
          <w:lang w:eastAsia="ja-JP"/>
        </w:rPr>
        <w:t xml:space="preserve"> </w:t>
      </w:r>
      <w:r w:rsidRPr="00F47D6E">
        <w:rPr>
          <w:lang w:eastAsia="ja-JP"/>
        </w:rPr>
        <w:t xml:space="preserve">19.2%), injection site pruritus (0% </w:t>
      </w:r>
      <w:r w:rsidR="00C93E13" w:rsidRPr="00733014">
        <w:rPr>
          <w:lang w:eastAsia="ja-JP"/>
        </w:rPr>
        <w:t>versus</w:t>
      </w:r>
      <w:r w:rsidRPr="00547322">
        <w:rPr>
          <w:lang w:eastAsia="ja-JP"/>
        </w:rPr>
        <w:t xml:space="preserve"> </w:t>
      </w:r>
      <w:r w:rsidRPr="00F47D6E">
        <w:rPr>
          <w:lang w:eastAsia="ja-JP"/>
        </w:rPr>
        <w:t xml:space="preserve">23.1%), vomiting (12.0% </w:t>
      </w:r>
      <w:r w:rsidR="00C93E13" w:rsidRPr="00733014">
        <w:rPr>
          <w:lang w:eastAsia="ja-JP"/>
        </w:rPr>
        <w:t>versus</w:t>
      </w:r>
      <w:r w:rsidRPr="0099050F">
        <w:rPr>
          <w:lang w:eastAsia="ja-JP"/>
        </w:rPr>
        <w:t xml:space="preserve"> </w:t>
      </w:r>
      <w:r w:rsidRPr="00F47D6E">
        <w:rPr>
          <w:lang w:eastAsia="ja-JP"/>
        </w:rPr>
        <w:t xml:space="preserve">23.1%), neutropenia (20.0% </w:t>
      </w:r>
      <w:r w:rsidR="00C93E13" w:rsidRPr="002A34D9">
        <w:rPr>
          <w:lang w:eastAsia="ja-JP"/>
        </w:rPr>
        <w:t>versus</w:t>
      </w:r>
      <w:r w:rsidRPr="002A34D9">
        <w:rPr>
          <w:lang w:eastAsia="ja-JP"/>
        </w:rPr>
        <w:t xml:space="preserve"> </w:t>
      </w:r>
      <w:r w:rsidRPr="00F47D6E">
        <w:rPr>
          <w:lang w:eastAsia="ja-JP"/>
        </w:rPr>
        <w:t xml:space="preserve">30.8%), leukopenia (4.0% </w:t>
      </w:r>
      <w:r w:rsidR="00C93E13" w:rsidRPr="00733014">
        <w:rPr>
          <w:lang w:eastAsia="ja-JP"/>
        </w:rPr>
        <w:t>versus</w:t>
      </w:r>
      <w:r w:rsidRPr="00547322">
        <w:rPr>
          <w:lang w:eastAsia="ja-JP"/>
        </w:rPr>
        <w:t xml:space="preserve"> </w:t>
      </w:r>
      <w:r w:rsidRPr="00F47D6E">
        <w:rPr>
          <w:lang w:eastAsia="ja-JP"/>
        </w:rPr>
        <w:t xml:space="preserve">19.2%), and headache (0% </w:t>
      </w:r>
      <w:r w:rsidR="00C93E13" w:rsidRPr="00733014">
        <w:rPr>
          <w:lang w:eastAsia="ja-JP"/>
        </w:rPr>
        <w:t>versus</w:t>
      </w:r>
      <w:r w:rsidRPr="00547322">
        <w:rPr>
          <w:lang w:eastAsia="ja-JP"/>
        </w:rPr>
        <w:t xml:space="preserve"> </w:t>
      </w:r>
      <w:r w:rsidRPr="00F47D6E">
        <w:rPr>
          <w:lang w:eastAsia="ja-JP"/>
        </w:rPr>
        <w:t>23.1%) compared with the patients in the &lt; 30 kg BW group.</w:t>
      </w:r>
    </w:p>
    <w:p w14:paraId="14DA3E5E" w14:textId="4F2F207E" w:rsidR="00F47D6E" w:rsidRPr="00F47D6E" w:rsidRDefault="00F47D6E" w:rsidP="00F47D6E">
      <w:pPr>
        <w:rPr>
          <w:lang w:eastAsia="ja-JP"/>
        </w:rPr>
      </w:pPr>
      <w:r w:rsidRPr="00F47D6E">
        <w:rPr>
          <w:lang w:eastAsia="ja-JP"/>
        </w:rPr>
        <w:t xml:space="preserve">The majority of patients (72.5%) in the </w:t>
      </w:r>
      <w:r w:rsidR="002A34D9">
        <w:rPr>
          <w:lang w:eastAsia="ja-JP"/>
        </w:rPr>
        <w:t>‘</w:t>
      </w:r>
      <w:r w:rsidRPr="00F47D6E">
        <w:rPr>
          <w:lang w:eastAsia="ja-JP"/>
        </w:rPr>
        <w:t xml:space="preserve">All </w:t>
      </w:r>
      <w:r w:rsidR="00424284">
        <w:rPr>
          <w:lang w:eastAsia="ja-JP"/>
        </w:rPr>
        <w:t>tocilizumab</w:t>
      </w:r>
      <w:r w:rsidR="002A34D9">
        <w:rPr>
          <w:lang w:eastAsia="ja-JP"/>
        </w:rPr>
        <w:t>’</w:t>
      </w:r>
      <w:r w:rsidRPr="00F47D6E">
        <w:rPr>
          <w:lang w:eastAsia="ja-JP"/>
        </w:rPr>
        <w:t xml:space="preserve"> group experienced events of Grade 1 or 2 maximum intensity. Ten patients had Gra</w:t>
      </w:r>
      <w:r w:rsidR="002A34D9">
        <w:rPr>
          <w:lang w:eastAsia="ja-JP"/>
        </w:rPr>
        <w:t>de 3 or 4 severity events and 2 </w:t>
      </w:r>
      <w:r w:rsidRPr="00F47D6E">
        <w:rPr>
          <w:lang w:eastAsia="ja-JP"/>
        </w:rPr>
        <w:t>patients had Grade 5 events (sepsis and pulmonary haemorrhage).</w:t>
      </w:r>
    </w:p>
    <w:p w14:paraId="13974D87" w14:textId="7F41AC9D" w:rsidR="00F47D6E" w:rsidRPr="00F47D6E" w:rsidRDefault="00F47D6E" w:rsidP="00F47D6E">
      <w:pPr>
        <w:rPr>
          <w:lang w:eastAsia="ja-JP"/>
        </w:rPr>
      </w:pPr>
      <w:r w:rsidRPr="00F47D6E">
        <w:rPr>
          <w:lang w:eastAsia="ja-JP"/>
        </w:rPr>
        <w:t>There were 33 events of neutropaenia and 3 patients experienced 4 potential hypersensitivity reactions (hypersensitivity, platelet count decreased, pruritus, and pyrexia). There were no serious hypersensitivity events, and no hypersensitivity events leading to withdrawal. Injection site reactions (ISR) occurred in 21 patients overall (5</w:t>
      </w:r>
      <w:r w:rsidR="00F81697">
        <w:rPr>
          <w:lang w:eastAsia="ja-JP"/>
        </w:rPr>
        <w:t> </w:t>
      </w:r>
      <w:r w:rsidR="00850948">
        <w:rPr>
          <w:lang w:eastAsia="ja-JP"/>
        </w:rPr>
        <w:t>(</w:t>
      </w:r>
      <w:r w:rsidRPr="00F47D6E">
        <w:rPr>
          <w:lang w:eastAsia="ja-JP"/>
        </w:rPr>
        <w:t>20%</w:t>
      </w:r>
      <w:r w:rsidR="00850948">
        <w:rPr>
          <w:lang w:eastAsia="ja-JP"/>
        </w:rPr>
        <w:t>)</w:t>
      </w:r>
      <w:r w:rsidRPr="00F47D6E">
        <w:rPr>
          <w:lang w:eastAsia="ja-JP"/>
        </w:rPr>
        <w:t xml:space="preserve"> in </w:t>
      </w:r>
      <w:r w:rsidR="002A34D9">
        <w:rPr>
          <w:lang w:eastAsia="ja-JP"/>
        </w:rPr>
        <w:t xml:space="preserve">the </w:t>
      </w:r>
      <w:r w:rsidRPr="00F47D6E">
        <w:rPr>
          <w:lang w:eastAsia="ja-JP"/>
        </w:rPr>
        <w:t xml:space="preserve">BW &lt; 30 kg group, 16 </w:t>
      </w:r>
      <w:r w:rsidR="00850948">
        <w:rPr>
          <w:lang w:eastAsia="ja-JP"/>
        </w:rPr>
        <w:t>(</w:t>
      </w:r>
      <w:r w:rsidRPr="00F47D6E">
        <w:rPr>
          <w:lang w:eastAsia="ja-JP"/>
        </w:rPr>
        <w:t>61.5%</w:t>
      </w:r>
      <w:r w:rsidR="00850948">
        <w:rPr>
          <w:lang w:eastAsia="ja-JP"/>
        </w:rPr>
        <w:t>)</w:t>
      </w:r>
      <w:r w:rsidRPr="00F47D6E">
        <w:rPr>
          <w:lang w:eastAsia="ja-JP"/>
        </w:rPr>
        <w:t xml:space="preserve"> in </w:t>
      </w:r>
      <w:r w:rsidR="002A34D9">
        <w:rPr>
          <w:lang w:eastAsia="ja-JP"/>
        </w:rPr>
        <w:t xml:space="preserve">the </w:t>
      </w:r>
      <w:r w:rsidRPr="00F47D6E">
        <w:rPr>
          <w:lang w:eastAsia="ja-JP"/>
        </w:rPr>
        <w:t>BW ≥ 30 kg group) with 136 events. Four patients in the ≥ 30 kg BW group reported the majority (66%) of ISRs.</w:t>
      </w:r>
    </w:p>
    <w:p w14:paraId="2E86026B" w14:textId="65441F04" w:rsidR="00F47D6E" w:rsidRPr="00F47D6E" w:rsidRDefault="00F47D6E" w:rsidP="00F47D6E">
      <w:r w:rsidRPr="00F47D6E">
        <w:t>Two patients died during the study, both in the BW &lt; 30 kg group. One patient died from pulmonary haemorrhage on Day 15 and 1 died from sepsis on Day 262. Both AEs leading to death were considered related to study treatment.</w:t>
      </w:r>
    </w:p>
    <w:p w14:paraId="66179C8F" w14:textId="72708CA5" w:rsidR="00F47D6E" w:rsidRPr="00F47D6E" w:rsidRDefault="00F47D6E" w:rsidP="00F47D6E">
      <w:r w:rsidRPr="00F47D6E">
        <w:t xml:space="preserve">Seven patients (13.7%) experienced 9 </w:t>
      </w:r>
      <w:r w:rsidR="00A93541">
        <w:t>serious adverse events (</w:t>
      </w:r>
      <w:r w:rsidRPr="00F47D6E">
        <w:t>SAE</w:t>
      </w:r>
      <w:r w:rsidR="00A93541">
        <w:t>)</w:t>
      </w:r>
      <w:r w:rsidRPr="00F47D6E">
        <w:t xml:space="preserve"> during the study, 5 in the BW &lt; 30 kg group and 2 in the BW ≥ 30 kg group. Two patients (3.9%), one in each BW group, had a total of 4 AEs that led to withdrawal from study treatment. Thirteen patients had 28 events that led to dose interruption (7 patients </w:t>
      </w:r>
      <w:r w:rsidR="00850948">
        <w:t>(</w:t>
      </w:r>
      <w:r w:rsidRPr="00F47D6E">
        <w:t>18 events</w:t>
      </w:r>
      <w:r w:rsidR="00850948">
        <w:t>)</w:t>
      </w:r>
      <w:r w:rsidRPr="00F47D6E">
        <w:t xml:space="preserve"> in the &lt; 30 kg group and 6 patients </w:t>
      </w:r>
      <w:r w:rsidR="00850948">
        <w:t>(</w:t>
      </w:r>
      <w:r w:rsidRPr="00F47D6E">
        <w:t>10 events</w:t>
      </w:r>
      <w:r w:rsidR="00850948">
        <w:t>)</w:t>
      </w:r>
      <w:r w:rsidRPr="00F47D6E">
        <w:t xml:space="preserve"> in the ≥ 30 kg group). Neutropaenia was the most common reason for dose interruption.</w:t>
      </w:r>
    </w:p>
    <w:p w14:paraId="32DE040C" w14:textId="557B3B95" w:rsidR="00F47D6E" w:rsidRPr="00F47D6E" w:rsidRDefault="00F47D6E" w:rsidP="00F47D6E">
      <w:r w:rsidRPr="00F47D6E">
        <w:t xml:space="preserve">In patients &lt; 2 years old, 2 of the 3 patients experienced Grade 3 low neutrophil counts when still &lt; 2 years of age. Both events resolved following temporary interruption of </w:t>
      </w:r>
      <w:r w:rsidR="00424284">
        <w:t>tocilizumab</w:t>
      </w:r>
      <w:r w:rsidRPr="00F47D6E">
        <w:t xml:space="preserve">, and were not associated with any serious infections. Two patients experienced Grade 3 laboratory abnormalities (low neutrophil count, elevated </w:t>
      </w:r>
      <w:r w:rsidR="00850948">
        <w:t>a</w:t>
      </w:r>
      <w:r w:rsidR="00850948" w:rsidRPr="00850948">
        <w:t xml:space="preserve">lanine aminotransferase </w:t>
      </w:r>
      <w:r w:rsidR="00850948">
        <w:t>(</w:t>
      </w:r>
      <w:r w:rsidRPr="00F47D6E">
        <w:t>ALT</w:t>
      </w:r>
      <w:r w:rsidR="00850948">
        <w:t>)</w:t>
      </w:r>
      <w:r w:rsidRPr="00F47D6E">
        <w:t xml:space="preserve">) and one patient experienced an SAE (abscess soft tissue) after they had reached &gt; 2 years of age. Both laboratory abnormalities were managed with dose interruption, and had no clinical consequences. The SAE resolved without sequelae. The </w:t>
      </w:r>
      <w:r w:rsidRPr="00F47D6E">
        <w:lastRenderedPageBreak/>
        <w:t xml:space="preserve">patient aged &gt; 2 years with a BW &lt; 10 kg at </w:t>
      </w:r>
      <w:r w:rsidR="00B01BB8">
        <w:t>B</w:t>
      </w:r>
      <w:r w:rsidRPr="00F47D6E">
        <w:t>aseline experienced no serious or Grade 3 AEs or laboratory abnormalities during the study.</w:t>
      </w:r>
    </w:p>
    <w:p w14:paraId="0A4E21FF" w14:textId="77777777" w:rsidR="00F47D6E" w:rsidRPr="00F47D6E" w:rsidRDefault="00F47D6E" w:rsidP="00733014">
      <w:pPr>
        <w:pStyle w:val="Heading5"/>
      </w:pPr>
      <w:r w:rsidRPr="00F47D6E">
        <w:t>Analyses performed across trials</w:t>
      </w:r>
    </w:p>
    <w:p w14:paraId="727ADABF" w14:textId="069174CB" w:rsidR="00F47D6E" w:rsidRPr="00F47D6E" w:rsidRDefault="00F47D6E" w:rsidP="00F47D6E">
      <w:r w:rsidRPr="00F47D6E">
        <w:t xml:space="preserve">An analysis was performed across </w:t>
      </w:r>
      <w:r w:rsidR="00850948">
        <w:t>S</w:t>
      </w:r>
      <w:r w:rsidRPr="00F47D6E">
        <w:t>tudies WA28</w:t>
      </w:r>
      <w:r w:rsidR="002A34D9">
        <w:t>118, WA18221 and WA29231. Study </w:t>
      </w:r>
      <w:r w:rsidRPr="00F47D6E">
        <w:t xml:space="preserve">WA18221 is a LTE </w:t>
      </w:r>
      <w:r w:rsidR="002A34D9">
        <w:t>‘</w:t>
      </w:r>
      <w:r w:rsidRPr="00F47D6E">
        <w:t xml:space="preserve">All </w:t>
      </w:r>
      <w:r w:rsidR="00424284">
        <w:t>tocilizumab</w:t>
      </w:r>
      <w:r w:rsidR="002A34D9">
        <w:t>’</w:t>
      </w:r>
      <w:r w:rsidRPr="00F47D6E">
        <w:t xml:space="preserve"> IV safety population that includes safety data from 112 sJIA patients who received at least one dose of </w:t>
      </w:r>
      <w:r w:rsidR="00424284">
        <w:t>tocilizumab</w:t>
      </w:r>
      <w:r w:rsidRPr="00F47D6E">
        <w:t xml:space="preserve"> IV. Study WA29231 is an ongoing extension study including patients from </w:t>
      </w:r>
      <w:r w:rsidR="00850948">
        <w:t>S</w:t>
      </w:r>
      <w:r w:rsidRPr="00F47D6E">
        <w:t>tudy WA28118 and WA28117 (pJIA) and included 38 sJIA patients.</w:t>
      </w:r>
    </w:p>
    <w:p w14:paraId="6E26CA8B" w14:textId="1DFB9059" w:rsidR="00F47D6E" w:rsidRPr="00F47D6E" w:rsidRDefault="00F47D6E" w:rsidP="00F47D6E">
      <w:pPr>
        <w:rPr>
          <w:lang w:eastAsia="ja-JP"/>
        </w:rPr>
      </w:pPr>
      <w:r w:rsidRPr="00F47D6E">
        <w:rPr>
          <w:lang w:eastAsia="ja-JP"/>
        </w:rPr>
        <w:t xml:space="preserve">The overall proportion of AEs was comparable in </w:t>
      </w:r>
      <w:r w:rsidR="00850948">
        <w:rPr>
          <w:lang w:eastAsia="ja-JP"/>
        </w:rPr>
        <w:t xml:space="preserve">Study </w:t>
      </w:r>
      <w:r w:rsidRPr="00F47D6E">
        <w:rPr>
          <w:lang w:eastAsia="ja-JP"/>
        </w:rPr>
        <w:t xml:space="preserve">WA28118 (98.0%) and </w:t>
      </w:r>
      <w:r w:rsidR="002A34D9">
        <w:rPr>
          <w:lang w:eastAsia="ja-JP"/>
        </w:rPr>
        <w:t>Study </w:t>
      </w:r>
      <w:r w:rsidRPr="00F47D6E">
        <w:rPr>
          <w:lang w:eastAsia="ja-JP"/>
        </w:rPr>
        <w:t xml:space="preserve">WA18221 (98.2%), with a similar proportion of AEs seen in both BW groups. The proportion of AEs was lower in </w:t>
      </w:r>
      <w:r w:rsidR="00850948">
        <w:rPr>
          <w:lang w:eastAsia="ja-JP"/>
        </w:rPr>
        <w:t xml:space="preserve">Study </w:t>
      </w:r>
      <w:r w:rsidRPr="00F47D6E">
        <w:rPr>
          <w:lang w:eastAsia="ja-JP"/>
        </w:rPr>
        <w:t xml:space="preserve">WA29231 (73.0%). </w:t>
      </w:r>
      <w:r w:rsidR="002A34D9">
        <w:rPr>
          <w:lang w:eastAsia="ja-JP"/>
        </w:rPr>
        <w:t>The highest rate of AEs per 100 </w:t>
      </w:r>
      <w:r w:rsidR="00A93541">
        <w:rPr>
          <w:lang w:eastAsia="ja-JP"/>
        </w:rPr>
        <w:t>patient years (</w:t>
      </w:r>
      <w:r w:rsidRPr="00F47D6E">
        <w:rPr>
          <w:lang w:eastAsia="ja-JP"/>
        </w:rPr>
        <w:t>PY</w:t>
      </w:r>
      <w:r w:rsidR="00A93541">
        <w:rPr>
          <w:lang w:eastAsia="ja-JP"/>
        </w:rPr>
        <w:t>)</w:t>
      </w:r>
      <w:r w:rsidRPr="00F47D6E">
        <w:rPr>
          <w:lang w:eastAsia="ja-JP"/>
        </w:rPr>
        <w:t xml:space="preserve"> was observed in Study WA28118, which was largely driven by a higher rate of ISRs. Other commonly reported AEs included viral URTI, neutropaenia, and cough</w:t>
      </w:r>
      <w:r w:rsidR="002A34D9">
        <w:rPr>
          <w:lang w:eastAsia="ja-JP"/>
        </w:rPr>
        <w:t>,</w:t>
      </w:r>
      <w:r w:rsidRPr="00F47D6E">
        <w:rPr>
          <w:lang w:eastAsia="ja-JP"/>
        </w:rPr>
        <w:t xml:space="preserve"> which were all observed at a higher rate in the </w:t>
      </w:r>
      <w:r w:rsidR="00424284">
        <w:rPr>
          <w:lang w:eastAsia="ja-JP"/>
        </w:rPr>
        <w:t>tocilizumab</w:t>
      </w:r>
      <w:r w:rsidRPr="00F47D6E">
        <w:rPr>
          <w:lang w:eastAsia="ja-JP"/>
        </w:rPr>
        <w:t xml:space="preserve"> SC population compared with the </w:t>
      </w:r>
      <w:r w:rsidR="00424284">
        <w:rPr>
          <w:lang w:eastAsia="ja-JP"/>
        </w:rPr>
        <w:t>tocilizumab</w:t>
      </w:r>
      <w:r w:rsidRPr="00F47D6E">
        <w:rPr>
          <w:lang w:eastAsia="ja-JP"/>
        </w:rPr>
        <w:t xml:space="preserve"> IV population.</w:t>
      </w:r>
    </w:p>
    <w:p w14:paraId="61352BC2" w14:textId="280D1235" w:rsidR="00F47D6E" w:rsidRPr="00FA49F7" w:rsidRDefault="00F47D6E" w:rsidP="00F47D6E">
      <w:pPr>
        <w:rPr>
          <w:lang w:eastAsia="ja-JP"/>
        </w:rPr>
      </w:pPr>
      <w:r w:rsidRPr="00F47D6E">
        <w:rPr>
          <w:lang w:eastAsia="ja-JP"/>
        </w:rPr>
        <w:t xml:space="preserve">A numerically higher death rate was observed in the </w:t>
      </w:r>
      <w:r w:rsidR="00850948">
        <w:rPr>
          <w:lang w:eastAsia="ja-JP"/>
        </w:rPr>
        <w:t xml:space="preserve">Study </w:t>
      </w:r>
      <w:r w:rsidRPr="00F47D6E">
        <w:rPr>
          <w:lang w:eastAsia="ja-JP"/>
        </w:rPr>
        <w:t xml:space="preserve">WA28118 All </w:t>
      </w:r>
      <w:r w:rsidR="00424284">
        <w:rPr>
          <w:lang w:eastAsia="ja-JP"/>
        </w:rPr>
        <w:t>tocilizumab</w:t>
      </w:r>
      <w:r w:rsidRPr="00F47D6E">
        <w:rPr>
          <w:lang w:eastAsia="ja-JP"/>
        </w:rPr>
        <w:t xml:space="preserve"> SC safety population (4.3 </w:t>
      </w:r>
      <w:r w:rsidR="00850948">
        <w:rPr>
          <w:lang w:eastAsia="ja-JP"/>
        </w:rPr>
        <w:t>(</w:t>
      </w:r>
      <w:r w:rsidRPr="00F47D6E">
        <w:rPr>
          <w:lang w:eastAsia="ja-JP"/>
        </w:rPr>
        <w:t xml:space="preserve">95% </w:t>
      </w:r>
      <w:r w:rsidR="002A34D9">
        <w:rPr>
          <w:lang w:eastAsia="ja-JP"/>
        </w:rPr>
        <w:t>confidence interval (</w:t>
      </w:r>
      <w:r w:rsidRPr="00F47D6E">
        <w:rPr>
          <w:lang w:eastAsia="ja-JP"/>
        </w:rPr>
        <w:t>CI</w:t>
      </w:r>
      <w:r w:rsidR="002A34D9">
        <w:rPr>
          <w:lang w:eastAsia="ja-JP"/>
        </w:rPr>
        <w:t>)</w:t>
      </w:r>
      <w:r w:rsidRPr="00F47D6E">
        <w:rPr>
          <w:lang w:eastAsia="ja-JP"/>
        </w:rPr>
        <w:t>: 0.5, 15.5</w:t>
      </w:r>
      <w:r w:rsidR="00850948">
        <w:rPr>
          <w:lang w:eastAsia="ja-JP"/>
        </w:rPr>
        <w:t>)</w:t>
      </w:r>
      <w:r w:rsidRPr="00F47D6E">
        <w:rPr>
          <w:lang w:eastAsia="ja-JP"/>
        </w:rPr>
        <w:t xml:space="preserve"> deaths per 100 PY) compared with the </w:t>
      </w:r>
      <w:r w:rsidR="00850948">
        <w:rPr>
          <w:lang w:eastAsia="ja-JP"/>
        </w:rPr>
        <w:t xml:space="preserve">Study </w:t>
      </w:r>
      <w:r w:rsidRPr="00F47D6E">
        <w:rPr>
          <w:lang w:eastAsia="ja-JP"/>
        </w:rPr>
        <w:t xml:space="preserve">WA18221 LTE All </w:t>
      </w:r>
      <w:r w:rsidR="00424284">
        <w:rPr>
          <w:lang w:eastAsia="ja-JP"/>
        </w:rPr>
        <w:t>tocilizumab</w:t>
      </w:r>
      <w:r w:rsidRPr="00F47D6E">
        <w:rPr>
          <w:lang w:eastAsia="ja-JP"/>
        </w:rPr>
        <w:t xml:space="preserve"> IV safety population (0.8 </w:t>
      </w:r>
      <w:r w:rsidR="00850948">
        <w:rPr>
          <w:lang w:eastAsia="ja-JP"/>
        </w:rPr>
        <w:t>(</w:t>
      </w:r>
      <w:r w:rsidRPr="00F47D6E">
        <w:rPr>
          <w:lang w:eastAsia="ja-JP"/>
        </w:rPr>
        <w:t>95% CI: 0.0, 4.2</w:t>
      </w:r>
      <w:r w:rsidR="00850948">
        <w:rPr>
          <w:lang w:eastAsia="ja-JP"/>
        </w:rPr>
        <w:t>)</w:t>
      </w:r>
      <w:r w:rsidRPr="00F47D6E">
        <w:rPr>
          <w:lang w:eastAsia="ja-JP"/>
        </w:rPr>
        <w:t xml:space="preserve"> deaths per 100 PY). However, there were only a small number of events resulting in wide C</w:t>
      </w:r>
      <w:r w:rsidR="00850948">
        <w:rPr>
          <w:lang w:eastAsia="ja-JP"/>
        </w:rPr>
        <w:t>I</w:t>
      </w:r>
      <w:r w:rsidRPr="00F47D6E">
        <w:rPr>
          <w:lang w:eastAsia="ja-JP"/>
        </w:rPr>
        <w:t xml:space="preserve">s, and a large difference in cumulative </w:t>
      </w:r>
      <w:r w:rsidR="00A93541">
        <w:rPr>
          <w:lang w:eastAsia="ja-JP"/>
        </w:rPr>
        <w:t>PY</w:t>
      </w:r>
      <w:r w:rsidRPr="00F47D6E">
        <w:rPr>
          <w:lang w:eastAsia="ja-JP"/>
        </w:rPr>
        <w:t xml:space="preserve">s of </w:t>
      </w:r>
      <w:r w:rsidRPr="00FA49F7">
        <w:rPr>
          <w:lang w:eastAsia="ja-JP"/>
        </w:rPr>
        <w:t>exposure so it is difficult to interpret these results.</w:t>
      </w:r>
    </w:p>
    <w:p w14:paraId="4FDC95A8" w14:textId="2E0D7325" w:rsidR="00F47D6E" w:rsidRPr="00FA49F7" w:rsidRDefault="00F47D6E" w:rsidP="00F47D6E">
      <w:pPr>
        <w:rPr>
          <w:lang w:eastAsia="ja-JP"/>
        </w:rPr>
      </w:pPr>
      <w:r w:rsidRPr="00102645">
        <w:rPr>
          <w:lang w:eastAsia="ja-JP"/>
        </w:rPr>
        <w:t xml:space="preserve">ISRs were more common following </w:t>
      </w:r>
      <w:r w:rsidR="00424284" w:rsidRPr="000A3F82">
        <w:rPr>
          <w:lang w:eastAsia="ja-JP"/>
        </w:rPr>
        <w:t>tocilizumab</w:t>
      </w:r>
      <w:r w:rsidRPr="000A3F82">
        <w:rPr>
          <w:lang w:eastAsia="ja-JP"/>
        </w:rPr>
        <w:t xml:space="preserve"> SC in sJIA patients (291.0 per 100 PY) than in pJIA patients (113.0 per 100 PY) and adult RA patients (30.1 and 33.6 per 100 PY). The higher frequency of injections in sJIA compared with pJIA may account for some of the observed increase in ISR rate</w:t>
      </w:r>
      <w:r w:rsidRPr="00916AF1">
        <w:rPr>
          <w:lang w:eastAsia="ja-JP"/>
        </w:rPr>
        <w:t>, as i</w:t>
      </w:r>
      <w:r w:rsidRPr="00FA49F7">
        <w:rPr>
          <w:lang w:eastAsia="ja-JP"/>
        </w:rPr>
        <w:t xml:space="preserve">n both indications ISR rates were higher in the ≥ 30 kg groups. All the ISRs in the sJIA </w:t>
      </w:r>
      <w:r w:rsidR="00424284" w:rsidRPr="00FA49F7">
        <w:rPr>
          <w:lang w:eastAsia="ja-JP"/>
        </w:rPr>
        <w:t>tocilizumab</w:t>
      </w:r>
      <w:r w:rsidRPr="00FA49F7">
        <w:rPr>
          <w:lang w:eastAsia="ja-JP"/>
        </w:rPr>
        <w:t xml:space="preserve"> SC program were non-serious, the majority were Grade 1 events, and none required study withdrawal or dose interruption.</w:t>
      </w:r>
    </w:p>
    <w:p w14:paraId="5C662240" w14:textId="0A476B27" w:rsidR="00F47D6E" w:rsidRPr="00F47D6E" w:rsidRDefault="00F47D6E" w:rsidP="00F47D6E">
      <w:pPr>
        <w:rPr>
          <w:lang w:eastAsia="ja-JP"/>
        </w:rPr>
      </w:pPr>
      <w:r w:rsidRPr="00FA49F7">
        <w:rPr>
          <w:lang w:eastAsia="ja-JP"/>
        </w:rPr>
        <w:t xml:space="preserve">For other AEs of special interest, some rates were higher with </w:t>
      </w:r>
      <w:r w:rsidR="00424284" w:rsidRPr="00FA49F7">
        <w:rPr>
          <w:lang w:eastAsia="ja-JP"/>
        </w:rPr>
        <w:t>tocilizumab</w:t>
      </w:r>
      <w:r w:rsidRPr="00FA49F7">
        <w:rPr>
          <w:lang w:eastAsia="ja-JP"/>
        </w:rPr>
        <w:t xml:space="preserve"> SC than </w:t>
      </w:r>
      <w:r w:rsidR="00424284" w:rsidRPr="00FA49F7">
        <w:rPr>
          <w:lang w:eastAsia="ja-JP"/>
        </w:rPr>
        <w:t>tocilizumab</w:t>
      </w:r>
      <w:r w:rsidRPr="00FA49F7">
        <w:rPr>
          <w:lang w:eastAsia="ja-JP"/>
        </w:rPr>
        <w:t xml:space="preserve"> IV (</w:t>
      </w:r>
      <w:r w:rsidR="00FA49F7">
        <w:rPr>
          <w:lang w:eastAsia="ja-JP"/>
        </w:rPr>
        <w:t>for example,</w:t>
      </w:r>
      <w:r w:rsidRPr="00FA49F7">
        <w:rPr>
          <w:lang w:eastAsia="ja-JP"/>
        </w:rPr>
        <w:t xml:space="preserve"> neutropaenia, increased lipid parameters), some were lower (</w:t>
      </w:r>
      <w:r w:rsidR="00FA49F7">
        <w:rPr>
          <w:lang w:eastAsia="ja-JP"/>
        </w:rPr>
        <w:t>for example,</w:t>
      </w:r>
      <w:r w:rsidRPr="00FA49F7">
        <w:rPr>
          <w:lang w:eastAsia="ja-JP"/>
        </w:rPr>
        <w:t xml:space="preserve"> hypersensitivity), and others were generally comparable (</w:t>
      </w:r>
      <w:r w:rsidR="00FA49F7">
        <w:rPr>
          <w:lang w:eastAsia="ja-JP"/>
        </w:rPr>
        <w:t>for example,</w:t>
      </w:r>
      <w:r w:rsidRPr="00FA49F7">
        <w:rPr>
          <w:lang w:eastAsia="ja-JP"/>
        </w:rPr>
        <w:t xml:space="preserve"> infections and serious infections). Despite these differences, the overall safety profile of </w:t>
      </w:r>
      <w:r w:rsidR="00424284" w:rsidRPr="00FA49F7">
        <w:rPr>
          <w:lang w:eastAsia="ja-JP"/>
        </w:rPr>
        <w:t>tocilizumab</w:t>
      </w:r>
      <w:r w:rsidRPr="00FA49F7">
        <w:rPr>
          <w:lang w:eastAsia="ja-JP"/>
        </w:rPr>
        <w:t xml:space="preserve"> SC was comparable to that of </w:t>
      </w:r>
      <w:r w:rsidR="00424284" w:rsidRPr="00FA49F7">
        <w:rPr>
          <w:lang w:eastAsia="ja-JP"/>
        </w:rPr>
        <w:t>tocilizumab</w:t>
      </w:r>
      <w:r w:rsidRPr="00FA49F7">
        <w:rPr>
          <w:lang w:eastAsia="ja-JP"/>
        </w:rPr>
        <w:t xml:space="preserve"> IV in the sJIA population and no new or unexpected safety signals were observed.</w:t>
      </w:r>
    </w:p>
    <w:p w14:paraId="553CD162" w14:textId="70E67355" w:rsidR="00F47D6E" w:rsidRPr="00F47D6E" w:rsidRDefault="00F47D6E" w:rsidP="00F47D6E">
      <w:pPr>
        <w:rPr>
          <w:lang w:eastAsia="ja-JP"/>
        </w:rPr>
      </w:pPr>
      <w:r w:rsidRPr="00F47D6E">
        <w:rPr>
          <w:lang w:eastAsia="ja-JP"/>
        </w:rPr>
        <w:t xml:space="preserve">Safety in patients aged 1 </w:t>
      </w:r>
      <w:r w:rsidR="00FA49F7">
        <w:rPr>
          <w:lang w:eastAsia="ja-JP"/>
        </w:rPr>
        <w:t>to</w:t>
      </w:r>
      <w:r w:rsidRPr="00F47D6E">
        <w:rPr>
          <w:lang w:eastAsia="ja-JP"/>
        </w:rPr>
        <w:t xml:space="preserve"> 2 years or &lt; 10 kg in Study WA28118 appeared to be consistent with the older patients in the study, albeit based on a very small number of patients (n = 4).</w:t>
      </w:r>
    </w:p>
    <w:p w14:paraId="1939782B" w14:textId="77777777" w:rsidR="007B6132" w:rsidRDefault="007B6132" w:rsidP="00555280">
      <w:pPr>
        <w:pStyle w:val="Heading4"/>
      </w:pPr>
      <w:r w:rsidRPr="007B6132">
        <w:t>Clinical evaluator’s recommendation</w:t>
      </w:r>
    </w:p>
    <w:p w14:paraId="4CC3BBBF" w14:textId="77777777" w:rsidR="00456765" w:rsidRPr="00456765" w:rsidRDefault="00F47D6E" w:rsidP="00456765">
      <w:r>
        <w:t>The clinical evaluator has recommended approval for the proposed indication.</w:t>
      </w:r>
    </w:p>
    <w:p w14:paraId="0C067C16" w14:textId="53E37E9C" w:rsidR="008E7846" w:rsidRDefault="00386150" w:rsidP="007B6132">
      <w:pPr>
        <w:pStyle w:val="Heading3"/>
        <w:rPr>
          <w:lang w:eastAsia="en-AU"/>
        </w:rPr>
      </w:pPr>
      <w:bookmarkStart w:id="53" w:name="_Toc49950627"/>
      <w:r>
        <w:rPr>
          <w:lang w:eastAsia="en-AU"/>
        </w:rPr>
        <w:t>Risk m</w:t>
      </w:r>
      <w:r w:rsidR="008E7846">
        <w:rPr>
          <w:lang w:eastAsia="en-AU"/>
        </w:rPr>
        <w:t xml:space="preserve">anagement </w:t>
      </w:r>
      <w:r>
        <w:rPr>
          <w:lang w:eastAsia="en-AU"/>
        </w:rPr>
        <w:t>p</w:t>
      </w:r>
      <w:r w:rsidR="008E7846">
        <w:rPr>
          <w:lang w:eastAsia="en-AU"/>
        </w:rPr>
        <w:t>lan</w:t>
      </w:r>
      <w:bookmarkEnd w:id="40"/>
      <w:bookmarkEnd w:id="53"/>
    </w:p>
    <w:p w14:paraId="6FD30878" w14:textId="0482B9FE" w:rsidR="00BB65AC" w:rsidRDefault="00BB65AC" w:rsidP="002A34D9">
      <w:r w:rsidRPr="00B75281">
        <w:t xml:space="preserve">In support of the proposed </w:t>
      </w:r>
      <w:r>
        <w:t>SC</w:t>
      </w:r>
      <w:r w:rsidRPr="00B75281">
        <w:t xml:space="preserve"> route of administration for the </w:t>
      </w:r>
      <w:r>
        <w:t>s</w:t>
      </w:r>
      <w:r w:rsidRPr="00B75281">
        <w:t xml:space="preserve">JIA indication, the </w:t>
      </w:r>
      <w:r w:rsidR="00FA49F7">
        <w:t>s</w:t>
      </w:r>
      <w:r w:rsidRPr="00B75281">
        <w:t xml:space="preserve">ponsor has submitted </w:t>
      </w:r>
      <w:r w:rsidR="00FA49F7">
        <w:t>European Union-risk management plan (</w:t>
      </w:r>
      <w:r w:rsidRPr="00B75281">
        <w:t>EU-RMP</w:t>
      </w:r>
      <w:r w:rsidR="00FA49F7">
        <w:t>)</w:t>
      </w:r>
      <w:r w:rsidRPr="00B75281">
        <w:t xml:space="preserve"> version 2</w:t>
      </w:r>
      <w:r>
        <w:t>4</w:t>
      </w:r>
      <w:r w:rsidRPr="00B75281">
        <w:t xml:space="preserve">.1 (dated </w:t>
      </w:r>
      <w:r>
        <w:t>14</w:t>
      </w:r>
      <w:r w:rsidR="00F81697">
        <w:t> </w:t>
      </w:r>
      <w:r>
        <w:t>August 2018</w:t>
      </w:r>
      <w:r w:rsidRPr="00B75281">
        <w:t xml:space="preserve">; </w:t>
      </w:r>
      <w:r w:rsidR="00FA49F7">
        <w:t>data lock point (</w:t>
      </w:r>
      <w:r w:rsidRPr="00B75281">
        <w:t>DLP</w:t>
      </w:r>
      <w:r w:rsidR="00FA49F7">
        <w:t>)</w:t>
      </w:r>
      <w:r w:rsidRPr="00B75281">
        <w:t xml:space="preserve"> </w:t>
      </w:r>
      <w:r>
        <w:t>July 2018</w:t>
      </w:r>
      <w:r w:rsidRPr="00B75281">
        <w:t xml:space="preserve">) and </w:t>
      </w:r>
      <w:r w:rsidR="003B2734">
        <w:t xml:space="preserve">Australian specific </w:t>
      </w:r>
      <w:r w:rsidR="00FA49F7">
        <w:t>A</w:t>
      </w:r>
      <w:r w:rsidR="003B2734">
        <w:t>nnex (</w:t>
      </w:r>
      <w:r w:rsidRPr="00B75281">
        <w:t>ASA</w:t>
      </w:r>
      <w:r w:rsidR="003B2734">
        <w:t>)</w:t>
      </w:r>
      <w:r w:rsidRPr="00B75281">
        <w:t xml:space="preserve"> version </w:t>
      </w:r>
      <w:r>
        <w:t>10</w:t>
      </w:r>
      <w:r w:rsidRPr="00B75281">
        <w:t xml:space="preserve">.0 (dated </w:t>
      </w:r>
      <w:r>
        <w:t>November 2018)</w:t>
      </w:r>
      <w:r w:rsidRPr="00B75281">
        <w:t>.</w:t>
      </w:r>
      <w:r w:rsidR="00324F6C">
        <w:t xml:space="preserve"> </w:t>
      </w:r>
      <w:r w:rsidR="00324F6C" w:rsidRPr="001D3F7E">
        <w:t xml:space="preserve">Following </w:t>
      </w:r>
      <w:r w:rsidR="00324F6C">
        <w:t>the second round</w:t>
      </w:r>
      <w:r w:rsidR="00324F6C" w:rsidRPr="001D3F7E">
        <w:t xml:space="preserve"> evaluation the sponsor submitted updated EU-RMP version 25.3 (5 September 2019; DLP August 2019) and updated ASA version 11.0 (date</w:t>
      </w:r>
      <w:r w:rsidR="00F81697">
        <w:t>d</w:t>
      </w:r>
      <w:r w:rsidR="00324F6C" w:rsidRPr="001D3F7E">
        <w:t xml:space="preserve"> 22 October 2019).</w:t>
      </w:r>
    </w:p>
    <w:p w14:paraId="230E05A1" w14:textId="4870BCBF" w:rsidR="00AF1E3F" w:rsidRDefault="00AF1E3F" w:rsidP="00AF1E3F">
      <w:r>
        <w:lastRenderedPageBreak/>
        <w:t xml:space="preserve">The sponsor has proposed routine pharmacovigilance for all safety concerns and specific adverse event follow-up forms for all safety concerns except for immunogenicity. Additional pharmacovigilance studies conducted outside Australia have been proposed to investigate general safety profile, including effects in children and in pregnancy. These activities are consistent with the previously approved </w:t>
      </w:r>
      <w:r w:rsidR="00FA49F7">
        <w:t>risk management plan (</w:t>
      </w:r>
      <w:r>
        <w:t>RMP</w:t>
      </w:r>
      <w:r w:rsidR="00FA49F7">
        <w:t>)</w:t>
      </w:r>
      <w:r>
        <w:t>.</w:t>
      </w:r>
    </w:p>
    <w:p w14:paraId="399480C9" w14:textId="0B26B8D6" w:rsidR="00AF1E3F" w:rsidRPr="008223FF" w:rsidRDefault="00AF1E3F" w:rsidP="00FA49F7">
      <w:r>
        <w:t>The sponsor has committed to implementing a health care professional brochure, a dosing guide and a patient brochure to address the important identified risk of serious hypersensitivity reactions in Australia. The sponsor has committed to providing copies for review prior to approval.</w:t>
      </w:r>
    </w:p>
    <w:p w14:paraId="1E89D30F" w14:textId="5E14A3A7" w:rsidR="00FA49F7" w:rsidRPr="00733014" w:rsidRDefault="00BB65AC" w:rsidP="00FA49F7">
      <w:r w:rsidRPr="00FA49F7">
        <w:t xml:space="preserve">The summary of safety concerns and their associated risk monitoring and mitigation strategies are summarised in </w:t>
      </w:r>
      <w:r w:rsidR="00FA49F7">
        <w:rPr>
          <w:sz w:val="19"/>
          <w:szCs w:val="18"/>
        </w:rPr>
        <w:fldChar w:fldCharType="begin"/>
      </w:r>
      <w:r w:rsidR="00FA49F7">
        <w:instrText xml:space="preserve"> REF _Ref43222774 \h </w:instrText>
      </w:r>
      <w:r w:rsidR="00FA49F7">
        <w:rPr>
          <w:sz w:val="19"/>
          <w:szCs w:val="18"/>
        </w:rPr>
      </w:r>
      <w:r w:rsidR="00FA49F7">
        <w:rPr>
          <w:sz w:val="19"/>
          <w:szCs w:val="18"/>
        </w:rPr>
        <w:fldChar w:fldCharType="separate"/>
      </w:r>
      <w:r w:rsidR="002E7174">
        <w:t xml:space="preserve">Table </w:t>
      </w:r>
      <w:r w:rsidR="002E7174">
        <w:rPr>
          <w:noProof/>
        </w:rPr>
        <w:t>5</w:t>
      </w:r>
      <w:r w:rsidR="00FA49F7">
        <w:rPr>
          <w:sz w:val="19"/>
          <w:szCs w:val="18"/>
        </w:rPr>
        <w:fldChar w:fldCharType="end"/>
      </w:r>
      <w:r w:rsidRPr="00FA49F7">
        <w:t>.</w:t>
      </w:r>
      <w:r>
        <w:rPr>
          <w:rStyle w:val="FootnoteReference"/>
          <w:lang w:eastAsia="en-AU"/>
        </w:rPr>
        <w:footnoteReference w:id="7"/>
      </w:r>
    </w:p>
    <w:p w14:paraId="13A920B1" w14:textId="0520298C" w:rsidR="00BB65AC" w:rsidRPr="008223FF" w:rsidRDefault="00BB65AC" w:rsidP="00733014">
      <w:pPr>
        <w:pStyle w:val="TableTitle"/>
      </w:pPr>
      <w:bookmarkStart w:id="54" w:name="_Ref43222774"/>
      <w:r>
        <w:t xml:space="preserve">Table </w:t>
      </w:r>
      <w:fldSimple w:instr=" SEQ Table \* ARABIC ">
        <w:r w:rsidR="002E7174">
          <w:rPr>
            <w:noProof/>
          </w:rPr>
          <w:t>5</w:t>
        </w:r>
      </w:fldSimple>
      <w:bookmarkEnd w:id="54"/>
      <w:r w:rsidR="00FA49F7">
        <w:rPr>
          <w:noProof/>
        </w:rPr>
        <w:t>:</w:t>
      </w:r>
      <w:r>
        <w:t xml:space="preserve"> Summary of safety concerns</w:t>
      </w:r>
    </w:p>
    <w:tbl>
      <w:tblPr>
        <w:tblStyle w:val="TableTGAblue"/>
        <w:tblW w:w="5000" w:type="pct"/>
        <w:jc w:val="center"/>
        <w:tblLayout w:type="fixed"/>
        <w:tblLook w:val="04A0" w:firstRow="1" w:lastRow="0" w:firstColumn="1" w:lastColumn="0" w:noHBand="0" w:noVBand="1"/>
        <w:tblCaption w:val="Table 5: Summary of safety concerns"/>
      </w:tblPr>
      <w:tblGrid>
        <w:gridCol w:w="1356"/>
        <w:gridCol w:w="2462"/>
        <w:gridCol w:w="1133"/>
        <w:gridCol w:w="1276"/>
        <w:gridCol w:w="1054"/>
        <w:gridCol w:w="1203"/>
      </w:tblGrid>
      <w:tr w:rsidR="00324F6C" w:rsidRPr="00FA49F7" w14:paraId="7B6F8349" w14:textId="77777777" w:rsidTr="0035222B">
        <w:trPr>
          <w:cnfStyle w:val="100000000000" w:firstRow="1" w:lastRow="0" w:firstColumn="0" w:lastColumn="0" w:oddVBand="0" w:evenVBand="0" w:oddHBand="0" w:evenHBand="0" w:firstRowFirstColumn="0" w:firstRowLastColumn="0" w:lastRowFirstColumn="0" w:lastRowLastColumn="0"/>
          <w:trHeight w:val="124"/>
          <w:jc w:val="center"/>
        </w:trPr>
        <w:tc>
          <w:tcPr>
            <w:tcW w:w="2250" w:type="pct"/>
            <w:gridSpan w:val="2"/>
            <w:vMerge w:val="restart"/>
            <w:tcBorders>
              <w:right w:val="single" w:sz="4" w:space="0" w:color="auto"/>
            </w:tcBorders>
          </w:tcPr>
          <w:p w14:paraId="3AA71BE2" w14:textId="77777777" w:rsidR="00324F6C" w:rsidRPr="00733014" w:rsidRDefault="00324F6C" w:rsidP="00733014">
            <w:pPr>
              <w:pStyle w:val="Tabletext"/>
              <w:ind w:left="0" w:right="0"/>
              <w:jc w:val="both"/>
              <w:rPr>
                <w:b w:val="0"/>
                <w:sz w:val="20"/>
                <w:szCs w:val="20"/>
              </w:rPr>
            </w:pPr>
            <w:r w:rsidRPr="00733014">
              <w:rPr>
                <w:sz w:val="20"/>
                <w:szCs w:val="20"/>
              </w:rPr>
              <w:t>Summary of safety concerns</w:t>
            </w:r>
          </w:p>
        </w:tc>
        <w:tc>
          <w:tcPr>
            <w:tcW w:w="1420" w:type="pct"/>
            <w:gridSpan w:val="2"/>
            <w:tcBorders>
              <w:left w:val="single" w:sz="4" w:space="0" w:color="auto"/>
              <w:right w:val="single" w:sz="4" w:space="0" w:color="auto"/>
            </w:tcBorders>
          </w:tcPr>
          <w:p w14:paraId="37E56E24" w14:textId="77777777" w:rsidR="00324F6C" w:rsidRPr="00733014" w:rsidRDefault="00324F6C" w:rsidP="00733014">
            <w:pPr>
              <w:pStyle w:val="Tabletext"/>
              <w:ind w:left="0" w:right="0"/>
              <w:rPr>
                <w:b w:val="0"/>
                <w:sz w:val="20"/>
                <w:szCs w:val="20"/>
              </w:rPr>
            </w:pPr>
            <w:r w:rsidRPr="00733014">
              <w:rPr>
                <w:sz w:val="20"/>
                <w:szCs w:val="20"/>
              </w:rPr>
              <w:t>Pharmacovigilance</w:t>
            </w:r>
          </w:p>
        </w:tc>
        <w:tc>
          <w:tcPr>
            <w:tcW w:w="1330" w:type="pct"/>
            <w:gridSpan w:val="2"/>
            <w:tcBorders>
              <w:left w:val="single" w:sz="4" w:space="0" w:color="auto"/>
            </w:tcBorders>
          </w:tcPr>
          <w:p w14:paraId="77BF2807" w14:textId="44DF9DF4" w:rsidR="00324F6C" w:rsidRPr="00733014" w:rsidRDefault="00324F6C" w:rsidP="00733014">
            <w:pPr>
              <w:pStyle w:val="Tabletext"/>
              <w:ind w:left="0" w:right="0"/>
              <w:rPr>
                <w:b w:val="0"/>
                <w:sz w:val="20"/>
                <w:szCs w:val="20"/>
              </w:rPr>
            </w:pPr>
            <w:r w:rsidRPr="00733014">
              <w:rPr>
                <w:sz w:val="20"/>
                <w:szCs w:val="20"/>
              </w:rPr>
              <w:t xml:space="preserve">Risk </w:t>
            </w:r>
            <w:r w:rsidR="00FA49F7" w:rsidRPr="00733014">
              <w:rPr>
                <w:sz w:val="20"/>
                <w:szCs w:val="20"/>
              </w:rPr>
              <w:t>m</w:t>
            </w:r>
            <w:r w:rsidRPr="00733014">
              <w:rPr>
                <w:sz w:val="20"/>
                <w:szCs w:val="20"/>
              </w:rPr>
              <w:t>inimisation</w:t>
            </w:r>
          </w:p>
        </w:tc>
      </w:tr>
      <w:tr w:rsidR="00324F6C" w:rsidRPr="00FA49F7" w14:paraId="31F553F9" w14:textId="77777777" w:rsidTr="0035222B">
        <w:trPr>
          <w:trHeight w:val="142"/>
          <w:jc w:val="center"/>
        </w:trPr>
        <w:tc>
          <w:tcPr>
            <w:tcW w:w="2250" w:type="pct"/>
            <w:gridSpan w:val="2"/>
            <w:vMerge/>
            <w:tcBorders>
              <w:bottom w:val="single" w:sz="4" w:space="0" w:color="auto"/>
              <w:right w:val="single" w:sz="4" w:space="0" w:color="auto"/>
            </w:tcBorders>
          </w:tcPr>
          <w:p w14:paraId="000C7358" w14:textId="77777777" w:rsidR="00324F6C" w:rsidRPr="00440EDC" w:rsidRDefault="00324F6C" w:rsidP="00440EDC">
            <w:pPr>
              <w:pStyle w:val="Tabletext"/>
              <w:ind w:left="0" w:right="0"/>
              <w:rPr>
                <w:b/>
                <w:sz w:val="20"/>
                <w:szCs w:val="20"/>
              </w:rPr>
            </w:pPr>
          </w:p>
        </w:tc>
        <w:tc>
          <w:tcPr>
            <w:tcW w:w="668" w:type="pct"/>
            <w:tcBorders>
              <w:left w:val="single" w:sz="4" w:space="0" w:color="auto"/>
              <w:bottom w:val="single" w:sz="12" w:space="0" w:color="auto"/>
            </w:tcBorders>
            <w:shd w:val="clear" w:color="auto" w:fill="006DA7"/>
          </w:tcPr>
          <w:p w14:paraId="78B1B921" w14:textId="77777777" w:rsidR="00324F6C" w:rsidRPr="000802D3" w:rsidRDefault="00324F6C" w:rsidP="00440EDC">
            <w:pPr>
              <w:pStyle w:val="Tabletext"/>
              <w:ind w:left="0" w:right="0"/>
              <w:rPr>
                <w:b/>
                <w:color w:val="FFFFFF" w:themeColor="background1"/>
                <w:sz w:val="20"/>
                <w:szCs w:val="20"/>
              </w:rPr>
            </w:pPr>
            <w:r w:rsidRPr="000802D3">
              <w:rPr>
                <w:b/>
                <w:color w:val="FFFFFF" w:themeColor="background1"/>
                <w:sz w:val="20"/>
                <w:szCs w:val="20"/>
              </w:rPr>
              <w:t>Routine</w:t>
            </w:r>
          </w:p>
        </w:tc>
        <w:tc>
          <w:tcPr>
            <w:tcW w:w="751" w:type="pct"/>
            <w:tcBorders>
              <w:bottom w:val="single" w:sz="12" w:space="0" w:color="auto"/>
            </w:tcBorders>
            <w:shd w:val="clear" w:color="auto" w:fill="006DA7"/>
          </w:tcPr>
          <w:p w14:paraId="55180FBD" w14:textId="77777777" w:rsidR="00324F6C" w:rsidRPr="000802D3" w:rsidRDefault="00324F6C" w:rsidP="00440EDC">
            <w:pPr>
              <w:pStyle w:val="Tabletext"/>
              <w:ind w:left="0" w:right="0"/>
              <w:rPr>
                <w:b/>
                <w:color w:val="FFFFFF" w:themeColor="background1"/>
                <w:sz w:val="20"/>
                <w:szCs w:val="20"/>
              </w:rPr>
            </w:pPr>
            <w:r w:rsidRPr="000802D3">
              <w:rPr>
                <w:b/>
                <w:color w:val="FFFFFF" w:themeColor="background1"/>
                <w:sz w:val="20"/>
                <w:szCs w:val="20"/>
              </w:rPr>
              <w:t>Additional</w:t>
            </w:r>
          </w:p>
        </w:tc>
        <w:tc>
          <w:tcPr>
            <w:tcW w:w="621" w:type="pct"/>
            <w:tcBorders>
              <w:bottom w:val="single" w:sz="12" w:space="0" w:color="auto"/>
            </w:tcBorders>
            <w:shd w:val="clear" w:color="auto" w:fill="006DA7"/>
          </w:tcPr>
          <w:p w14:paraId="1720AABE" w14:textId="77777777" w:rsidR="00324F6C" w:rsidRPr="000802D3" w:rsidRDefault="00324F6C" w:rsidP="00440EDC">
            <w:pPr>
              <w:pStyle w:val="Tabletext"/>
              <w:ind w:left="0" w:right="0"/>
              <w:rPr>
                <w:b/>
                <w:color w:val="FFFFFF" w:themeColor="background1"/>
                <w:sz w:val="20"/>
                <w:szCs w:val="20"/>
              </w:rPr>
            </w:pPr>
            <w:r w:rsidRPr="000802D3">
              <w:rPr>
                <w:b/>
                <w:color w:val="FFFFFF" w:themeColor="background1"/>
                <w:sz w:val="20"/>
                <w:szCs w:val="20"/>
              </w:rPr>
              <w:t>Routine</w:t>
            </w:r>
          </w:p>
        </w:tc>
        <w:tc>
          <w:tcPr>
            <w:tcW w:w="709" w:type="pct"/>
            <w:tcBorders>
              <w:bottom w:val="single" w:sz="12" w:space="0" w:color="auto"/>
            </w:tcBorders>
            <w:shd w:val="clear" w:color="auto" w:fill="006DA7"/>
          </w:tcPr>
          <w:p w14:paraId="5B42EFC6" w14:textId="77777777" w:rsidR="00324F6C" w:rsidRPr="000802D3" w:rsidRDefault="00324F6C" w:rsidP="00440EDC">
            <w:pPr>
              <w:pStyle w:val="Tabletext"/>
              <w:ind w:left="0" w:right="0"/>
              <w:rPr>
                <w:b/>
                <w:color w:val="FFFFFF" w:themeColor="background1"/>
                <w:sz w:val="20"/>
                <w:szCs w:val="20"/>
              </w:rPr>
            </w:pPr>
            <w:r w:rsidRPr="000802D3">
              <w:rPr>
                <w:b/>
                <w:color w:val="FFFFFF" w:themeColor="background1"/>
                <w:sz w:val="20"/>
                <w:szCs w:val="20"/>
              </w:rPr>
              <w:t>Additional</w:t>
            </w:r>
          </w:p>
        </w:tc>
      </w:tr>
      <w:tr w:rsidR="00324F6C" w:rsidRPr="00FA49F7" w14:paraId="550FC53A" w14:textId="77777777" w:rsidTr="0035222B">
        <w:trPr>
          <w:trHeight w:val="130"/>
          <w:jc w:val="center"/>
        </w:trPr>
        <w:tc>
          <w:tcPr>
            <w:tcW w:w="799" w:type="pct"/>
            <w:vMerge w:val="restart"/>
            <w:tcBorders>
              <w:top w:val="single" w:sz="4" w:space="0" w:color="auto"/>
            </w:tcBorders>
          </w:tcPr>
          <w:p w14:paraId="2BA35784" w14:textId="77777777" w:rsidR="00324F6C" w:rsidRPr="00733014" w:rsidRDefault="00324F6C" w:rsidP="00733014">
            <w:pPr>
              <w:pStyle w:val="Tabletext"/>
              <w:ind w:left="0" w:right="0"/>
              <w:rPr>
                <w:b/>
                <w:sz w:val="20"/>
                <w:szCs w:val="20"/>
              </w:rPr>
            </w:pPr>
            <w:r w:rsidRPr="00733014">
              <w:rPr>
                <w:b/>
                <w:sz w:val="20"/>
                <w:szCs w:val="20"/>
              </w:rPr>
              <w:t>Important identified risks</w:t>
            </w:r>
          </w:p>
        </w:tc>
        <w:tc>
          <w:tcPr>
            <w:tcW w:w="1451" w:type="pct"/>
            <w:tcBorders>
              <w:top w:val="single" w:sz="12" w:space="0" w:color="auto"/>
            </w:tcBorders>
            <w:vAlign w:val="center"/>
          </w:tcPr>
          <w:p w14:paraId="3461378C" w14:textId="77777777" w:rsidR="00324F6C" w:rsidRPr="00733014" w:rsidRDefault="00324F6C" w:rsidP="00733014">
            <w:pPr>
              <w:ind w:left="0" w:right="0"/>
              <w:rPr>
                <w:sz w:val="20"/>
                <w:szCs w:val="20"/>
              </w:rPr>
            </w:pPr>
            <w:r w:rsidRPr="00733014">
              <w:rPr>
                <w:sz w:val="20"/>
                <w:szCs w:val="20"/>
              </w:rPr>
              <w:t>Serious infection</w:t>
            </w:r>
          </w:p>
        </w:tc>
        <w:tc>
          <w:tcPr>
            <w:tcW w:w="668" w:type="pct"/>
            <w:tcBorders>
              <w:top w:val="single" w:sz="12" w:space="0" w:color="auto"/>
            </w:tcBorders>
          </w:tcPr>
          <w:p w14:paraId="109CD279" w14:textId="77777777" w:rsidR="00324F6C" w:rsidRPr="00733014" w:rsidRDefault="00324F6C" w:rsidP="00733014">
            <w:pPr>
              <w:pStyle w:val="Tabletext"/>
              <w:ind w:left="0" w:right="0"/>
              <w:jc w:val="center"/>
              <w:rPr>
                <w:sz w:val="20"/>
                <w:szCs w:val="20"/>
              </w:rPr>
            </w:pPr>
            <w:r w:rsidRPr="00733014">
              <w:rPr>
                <w:sz w:val="20"/>
                <w:szCs w:val="20"/>
              </w:rPr>
              <w:sym w:font="Wingdings" w:char="F0FC"/>
            </w:r>
            <w:r w:rsidRPr="00733014">
              <w:rPr>
                <w:sz w:val="20"/>
                <w:szCs w:val="20"/>
              </w:rPr>
              <w:t>*</w:t>
            </w:r>
          </w:p>
        </w:tc>
        <w:tc>
          <w:tcPr>
            <w:tcW w:w="751" w:type="pct"/>
            <w:tcBorders>
              <w:top w:val="single" w:sz="12" w:space="0" w:color="auto"/>
            </w:tcBorders>
          </w:tcPr>
          <w:p w14:paraId="6B4332E9" w14:textId="77777777" w:rsidR="00324F6C" w:rsidRPr="00733014" w:rsidRDefault="00324F6C" w:rsidP="00733014">
            <w:pPr>
              <w:pStyle w:val="Tabletext"/>
              <w:ind w:left="0" w:right="0"/>
              <w:jc w:val="center"/>
              <w:rPr>
                <w:sz w:val="20"/>
                <w:szCs w:val="20"/>
              </w:rPr>
            </w:pPr>
            <w:r w:rsidRPr="00733014">
              <w:rPr>
                <w:sz w:val="20"/>
                <w:szCs w:val="20"/>
              </w:rPr>
              <w:sym w:font="Wingdings" w:char="F0FC"/>
            </w:r>
            <w:r w:rsidRPr="00733014">
              <w:rPr>
                <w:sz w:val="20"/>
                <w:szCs w:val="20"/>
              </w:rPr>
              <w:t>†</w:t>
            </w:r>
          </w:p>
        </w:tc>
        <w:tc>
          <w:tcPr>
            <w:tcW w:w="621" w:type="pct"/>
            <w:tcBorders>
              <w:top w:val="single" w:sz="12" w:space="0" w:color="auto"/>
            </w:tcBorders>
          </w:tcPr>
          <w:p w14:paraId="0C051560" w14:textId="77777777" w:rsidR="00324F6C" w:rsidRPr="00733014" w:rsidRDefault="00324F6C" w:rsidP="00733014">
            <w:pPr>
              <w:pStyle w:val="Tabletext"/>
              <w:ind w:left="0" w:right="0"/>
              <w:jc w:val="center"/>
              <w:rPr>
                <w:sz w:val="20"/>
                <w:szCs w:val="20"/>
              </w:rPr>
            </w:pPr>
            <w:r w:rsidRPr="00733014">
              <w:rPr>
                <w:sz w:val="20"/>
                <w:szCs w:val="20"/>
              </w:rPr>
              <w:sym w:font="Wingdings" w:char="F0FC"/>
            </w:r>
          </w:p>
        </w:tc>
        <w:tc>
          <w:tcPr>
            <w:tcW w:w="709" w:type="pct"/>
            <w:tcBorders>
              <w:top w:val="single" w:sz="12" w:space="0" w:color="auto"/>
            </w:tcBorders>
          </w:tcPr>
          <w:p w14:paraId="3A11B9C0" w14:textId="77777777" w:rsidR="00324F6C" w:rsidRPr="00733014" w:rsidRDefault="00324F6C" w:rsidP="00733014">
            <w:pPr>
              <w:pStyle w:val="Tabletext"/>
              <w:ind w:left="0" w:right="0"/>
              <w:jc w:val="center"/>
              <w:rPr>
                <w:sz w:val="20"/>
                <w:szCs w:val="20"/>
              </w:rPr>
            </w:pPr>
            <w:r w:rsidRPr="00733014">
              <w:rPr>
                <w:sz w:val="20"/>
                <w:szCs w:val="20"/>
              </w:rPr>
              <w:t>–</w:t>
            </w:r>
          </w:p>
        </w:tc>
      </w:tr>
      <w:tr w:rsidR="00324F6C" w:rsidRPr="00FA49F7" w14:paraId="15C9BD8F" w14:textId="77777777" w:rsidTr="0035222B">
        <w:trPr>
          <w:trHeight w:val="89"/>
          <w:jc w:val="center"/>
        </w:trPr>
        <w:tc>
          <w:tcPr>
            <w:tcW w:w="799" w:type="pct"/>
            <w:vMerge/>
          </w:tcPr>
          <w:p w14:paraId="590E310A" w14:textId="77777777" w:rsidR="00324F6C" w:rsidRPr="00733014" w:rsidRDefault="00324F6C" w:rsidP="00733014">
            <w:pPr>
              <w:pStyle w:val="Tabletext"/>
              <w:ind w:left="0" w:right="0"/>
              <w:rPr>
                <w:b/>
                <w:sz w:val="20"/>
                <w:szCs w:val="20"/>
              </w:rPr>
            </w:pPr>
          </w:p>
        </w:tc>
        <w:tc>
          <w:tcPr>
            <w:tcW w:w="1451" w:type="pct"/>
            <w:vAlign w:val="center"/>
          </w:tcPr>
          <w:p w14:paraId="107C26DA" w14:textId="77777777" w:rsidR="00324F6C" w:rsidRPr="00733014" w:rsidRDefault="00324F6C" w:rsidP="00733014">
            <w:pPr>
              <w:ind w:left="0" w:right="0"/>
              <w:rPr>
                <w:sz w:val="20"/>
                <w:szCs w:val="20"/>
              </w:rPr>
            </w:pPr>
            <w:r w:rsidRPr="00733014">
              <w:rPr>
                <w:sz w:val="20"/>
                <w:szCs w:val="20"/>
              </w:rPr>
              <w:t>Complications of diverticulitis</w:t>
            </w:r>
          </w:p>
        </w:tc>
        <w:tc>
          <w:tcPr>
            <w:tcW w:w="668" w:type="pct"/>
          </w:tcPr>
          <w:p w14:paraId="05EB20FC" w14:textId="77777777" w:rsidR="00324F6C" w:rsidRPr="00733014" w:rsidRDefault="00324F6C" w:rsidP="00733014">
            <w:pPr>
              <w:pStyle w:val="Tabletext"/>
              <w:ind w:left="0" w:right="0"/>
              <w:jc w:val="center"/>
              <w:rPr>
                <w:sz w:val="20"/>
                <w:szCs w:val="20"/>
              </w:rPr>
            </w:pPr>
            <w:r w:rsidRPr="00733014">
              <w:rPr>
                <w:sz w:val="20"/>
                <w:szCs w:val="20"/>
              </w:rPr>
              <w:sym w:font="Wingdings" w:char="F0FC"/>
            </w:r>
            <w:r w:rsidRPr="00733014">
              <w:rPr>
                <w:sz w:val="20"/>
                <w:szCs w:val="20"/>
              </w:rPr>
              <w:t>*</w:t>
            </w:r>
          </w:p>
        </w:tc>
        <w:tc>
          <w:tcPr>
            <w:tcW w:w="751" w:type="pct"/>
          </w:tcPr>
          <w:p w14:paraId="285D2855" w14:textId="77777777" w:rsidR="00324F6C" w:rsidRPr="00733014" w:rsidRDefault="00324F6C" w:rsidP="00733014">
            <w:pPr>
              <w:pStyle w:val="Tabletext"/>
              <w:ind w:left="0" w:right="0"/>
              <w:jc w:val="center"/>
              <w:rPr>
                <w:sz w:val="20"/>
                <w:szCs w:val="20"/>
              </w:rPr>
            </w:pPr>
            <w:r w:rsidRPr="00733014">
              <w:rPr>
                <w:sz w:val="20"/>
                <w:szCs w:val="20"/>
              </w:rPr>
              <w:sym w:font="Wingdings" w:char="F0FC"/>
            </w:r>
            <w:r w:rsidRPr="00733014">
              <w:rPr>
                <w:sz w:val="20"/>
                <w:szCs w:val="20"/>
              </w:rPr>
              <w:t>†</w:t>
            </w:r>
          </w:p>
        </w:tc>
        <w:tc>
          <w:tcPr>
            <w:tcW w:w="621" w:type="pct"/>
          </w:tcPr>
          <w:p w14:paraId="18E114FB" w14:textId="77777777" w:rsidR="00324F6C" w:rsidRPr="00733014" w:rsidRDefault="00324F6C" w:rsidP="00733014">
            <w:pPr>
              <w:pStyle w:val="Tabletext"/>
              <w:ind w:left="0" w:right="0"/>
              <w:jc w:val="center"/>
              <w:rPr>
                <w:sz w:val="20"/>
                <w:szCs w:val="20"/>
              </w:rPr>
            </w:pPr>
            <w:r w:rsidRPr="00733014">
              <w:rPr>
                <w:sz w:val="20"/>
                <w:szCs w:val="20"/>
              </w:rPr>
              <w:sym w:font="Wingdings" w:char="F0FC"/>
            </w:r>
          </w:p>
        </w:tc>
        <w:tc>
          <w:tcPr>
            <w:tcW w:w="709" w:type="pct"/>
          </w:tcPr>
          <w:p w14:paraId="0DEE9B55" w14:textId="77777777" w:rsidR="00324F6C" w:rsidRPr="00733014" w:rsidRDefault="00324F6C" w:rsidP="00733014">
            <w:pPr>
              <w:pStyle w:val="Tabletext"/>
              <w:ind w:left="0" w:right="0"/>
              <w:jc w:val="center"/>
              <w:rPr>
                <w:sz w:val="20"/>
                <w:szCs w:val="20"/>
              </w:rPr>
            </w:pPr>
            <w:r w:rsidRPr="00733014">
              <w:rPr>
                <w:sz w:val="20"/>
                <w:szCs w:val="20"/>
              </w:rPr>
              <w:t>–</w:t>
            </w:r>
          </w:p>
        </w:tc>
      </w:tr>
      <w:tr w:rsidR="00324F6C" w:rsidRPr="00FA49F7" w14:paraId="23329617" w14:textId="77777777" w:rsidTr="0035222B">
        <w:trPr>
          <w:trHeight w:val="89"/>
          <w:jc w:val="center"/>
        </w:trPr>
        <w:tc>
          <w:tcPr>
            <w:tcW w:w="799" w:type="pct"/>
            <w:vMerge/>
          </w:tcPr>
          <w:p w14:paraId="7779DAD5" w14:textId="77777777" w:rsidR="00324F6C" w:rsidRPr="00733014" w:rsidRDefault="00324F6C" w:rsidP="00733014">
            <w:pPr>
              <w:pStyle w:val="Tabletext"/>
              <w:ind w:left="0" w:right="0"/>
              <w:rPr>
                <w:b/>
                <w:sz w:val="20"/>
                <w:szCs w:val="20"/>
              </w:rPr>
            </w:pPr>
          </w:p>
        </w:tc>
        <w:tc>
          <w:tcPr>
            <w:tcW w:w="1451" w:type="pct"/>
            <w:vAlign w:val="center"/>
          </w:tcPr>
          <w:p w14:paraId="18CD0CF3" w14:textId="77777777" w:rsidR="00324F6C" w:rsidRPr="00733014" w:rsidRDefault="00324F6C" w:rsidP="00733014">
            <w:pPr>
              <w:ind w:left="0" w:right="0"/>
              <w:rPr>
                <w:sz w:val="20"/>
                <w:szCs w:val="20"/>
              </w:rPr>
            </w:pPr>
            <w:r w:rsidRPr="00733014">
              <w:rPr>
                <w:sz w:val="20"/>
                <w:szCs w:val="20"/>
              </w:rPr>
              <w:t>Serious hypersensitivity reactions</w:t>
            </w:r>
          </w:p>
        </w:tc>
        <w:tc>
          <w:tcPr>
            <w:tcW w:w="668" w:type="pct"/>
          </w:tcPr>
          <w:p w14:paraId="0D768B97" w14:textId="77777777" w:rsidR="00324F6C" w:rsidRPr="00733014" w:rsidRDefault="00324F6C" w:rsidP="00733014">
            <w:pPr>
              <w:pStyle w:val="Tabletext"/>
              <w:ind w:left="0" w:right="0"/>
              <w:jc w:val="center"/>
              <w:rPr>
                <w:sz w:val="20"/>
                <w:szCs w:val="20"/>
              </w:rPr>
            </w:pPr>
            <w:r w:rsidRPr="00733014">
              <w:rPr>
                <w:sz w:val="20"/>
                <w:szCs w:val="20"/>
              </w:rPr>
              <w:sym w:font="Wingdings" w:char="F0FC"/>
            </w:r>
            <w:r w:rsidRPr="00733014">
              <w:rPr>
                <w:sz w:val="20"/>
                <w:szCs w:val="20"/>
              </w:rPr>
              <w:t>*</w:t>
            </w:r>
          </w:p>
        </w:tc>
        <w:tc>
          <w:tcPr>
            <w:tcW w:w="751" w:type="pct"/>
          </w:tcPr>
          <w:p w14:paraId="17D5D402" w14:textId="77777777" w:rsidR="00324F6C" w:rsidRPr="00733014" w:rsidRDefault="00324F6C" w:rsidP="00733014">
            <w:pPr>
              <w:pStyle w:val="Tabletext"/>
              <w:ind w:left="0" w:right="0"/>
              <w:jc w:val="center"/>
              <w:rPr>
                <w:sz w:val="20"/>
                <w:szCs w:val="20"/>
              </w:rPr>
            </w:pPr>
            <w:r w:rsidRPr="00733014">
              <w:rPr>
                <w:sz w:val="20"/>
                <w:szCs w:val="20"/>
              </w:rPr>
              <w:sym w:font="Wingdings" w:char="F0FC"/>
            </w:r>
            <w:r w:rsidRPr="00733014">
              <w:rPr>
                <w:sz w:val="20"/>
                <w:szCs w:val="20"/>
              </w:rPr>
              <w:t>†</w:t>
            </w:r>
          </w:p>
        </w:tc>
        <w:tc>
          <w:tcPr>
            <w:tcW w:w="621" w:type="pct"/>
          </w:tcPr>
          <w:p w14:paraId="01331464" w14:textId="77777777" w:rsidR="00324F6C" w:rsidRPr="00733014" w:rsidRDefault="00324F6C" w:rsidP="00733014">
            <w:pPr>
              <w:pStyle w:val="Tabletext"/>
              <w:ind w:left="0" w:right="0"/>
              <w:jc w:val="center"/>
              <w:rPr>
                <w:sz w:val="20"/>
                <w:szCs w:val="20"/>
              </w:rPr>
            </w:pPr>
            <w:r w:rsidRPr="00733014">
              <w:rPr>
                <w:sz w:val="20"/>
                <w:szCs w:val="20"/>
              </w:rPr>
              <w:sym w:font="Wingdings" w:char="F0FC"/>
            </w:r>
          </w:p>
        </w:tc>
        <w:tc>
          <w:tcPr>
            <w:tcW w:w="709" w:type="pct"/>
          </w:tcPr>
          <w:p w14:paraId="1FA1F4A1" w14:textId="77777777" w:rsidR="00324F6C" w:rsidRPr="00733014" w:rsidRDefault="00324F6C" w:rsidP="00733014">
            <w:pPr>
              <w:pStyle w:val="Tabletext"/>
              <w:ind w:left="0" w:right="0"/>
              <w:jc w:val="center"/>
              <w:rPr>
                <w:sz w:val="20"/>
                <w:szCs w:val="20"/>
              </w:rPr>
            </w:pPr>
            <w:r w:rsidRPr="00733014">
              <w:rPr>
                <w:sz w:val="20"/>
                <w:szCs w:val="20"/>
              </w:rPr>
              <w:t>§</w:t>
            </w:r>
          </w:p>
        </w:tc>
      </w:tr>
      <w:tr w:rsidR="00324F6C" w:rsidRPr="00FA49F7" w14:paraId="097E2BE5" w14:textId="77777777" w:rsidTr="0035222B">
        <w:trPr>
          <w:trHeight w:val="89"/>
          <w:jc w:val="center"/>
        </w:trPr>
        <w:tc>
          <w:tcPr>
            <w:tcW w:w="799" w:type="pct"/>
            <w:vMerge/>
          </w:tcPr>
          <w:p w14:paraId="66B4A7EA" w14:textId="77777777" w:rsidR="00324F6C" w:rsidRPr="00733014" w:rsidRDefault="00324F6C" w:rsidP="00733014">
            <w:pPr>
              <w:pStyle w:val="Tabletext"/>
              <w:ind w:left="0" w:right="0"/>
              <w:rPr>
                <w:b/>
                <w:sz w:val="20"/>
                <w:szCs w:val="20"/>
              </w:rPr>
            </w:pPr>
          </w:p>
        </w:tc>
        <w:tc>
          <w:tcPr>
            <w:tcW w:w="1451" w:type="pct"/>
            <w:vAlign w:val="center"/>
          </w:tcPr>
          <w:p w14:paraId="3B9A9D01" w14:textId="77777777" w:rsidR="00324F6C" w:rsidRPr="00733014" w:rsidRDefault="00324F6C" w:rsidP="00733014">
            <w:pPr>
              <w:ind w:left="0" w:right="0"/>
              <w:rPr>
                <w:sz w:val="20"/>
                <w:szCs w:val="20"/>
              </w:rPr>
            </w:pPr>
            <w:r w:rsidRPr="00733014">
              <w:rPr>
                <w:sz w:val="20"/>
                <w:szCs w:val="20"/>
              </w:rPr>
              <w:t>Neutropenia</w:t>
            </w:r>
          </w:p>
        </w:tc>
        <w:tc>
          <w:tcPr>
            <w:tcW w:w="668" w:type="pct"/>
          </w:tcPr>
          <w:p w14:paraId="3585FB31" w14:textId="77777777" w:rsidR="00324F6C" w:rsidRPr="00733014" w:rsidRDefault="00324F6C" w:rsidP="00733014">
            <w:pPr>
              <w:pStyle w:val="Tabletext"/>
              <w:ind w:left="0" w:right="0"/>
              <w:jc w:val="center"/>
              <w:rPr>
                <w:sz w:val="20"/>
                <w:szCs w:val="20"/>
              </w:rPr>
            </w:pPr>
            <w:r w:rsidRPr="00733014">
              <w:rPr>
                <w:sz w:val="20"/>
                <w:szCs w:val="20"/>
              </w:rPr>
              <w:sym w:font="Wingdings" w:char="F0FC"/>
            </w:r>
            <w:r w:rsidRPr="00733014">
              <w:rPr>
                <w:sz w:val="20"/>
                <w:szCs w:val="20"/>
              </w:rPr>
              <w:t>*</w:t>
            </w:r>
          </w:p>
        </w:tc>
        <w:tc>
          <w:tcPr>
            <w:tcW w:w="751" w:type="pct"/>
          </w:tcPr>
          <w:p w14:paraId="700259BE" w14:textId="77777777" w:rsidR="00324F6C" w:rsidRPr="00733014" w:rsidRDefault="00324F6C" w:rsidP="00733014">
            <w:pPr>
              <w:pStyle w:val="Tabletext"/>
              <w:ind w:left="0" w:right="0"/>
              <w:jc w:val="center"/>
              <w:rPr>
                <w:sz w:val="20"/>
                <w:szCs w:val="20"/>
              </w:rPr>
            </w:pPr>
            <w:r w:rsidRPr="00733014">
              <w:rPr>
                <w:sz w:val="20"/>
                <w:szCs w:val="20"/>
              </w:rPr>
              <w:sym w:font="Wingdings" w:char="F0FC"/>
            </w:r>
            <w:r w:rsidRPr="00733014">
              <w:rPr>
                <w:sz w:val="20"/>
                <w:szCs w:val="20"/>
              </w:rPr>
              <w:t>†‡</w:t>
            </w:r>
          </w:p>
        </w:tc>
        <w:tc>
          <w:tcPr>
            <w:tcW w:w="621" w:type="pct"/>
          </w:tcPr>
          <w:p w14:paraId="2539D126" w14:textId="77777777" w:rsidR="00324F6C" w:rsidRPr="00733014" w:rsidRDefault="00324F6C" w:rsidP="00733014">
            <w:pPr>
              <w:pStyle w:val="Tabletext"/>
              <w:ind w:left="0" w:right="0"/>
              <w:jc w:val="center"/>
              <w:rPr>
                <w:sz w:val="20"/>
                <w:szCs w:val="20"/>
              </w:rPr>
            </w:pPr>
            <w:r w:rsidRPr="00733014">
              <w:rPr>
                <w:sz w:val="20"/>
                <w:szCs w:val="20"/>
              </w:rPr>
              <w:sym w:font="Wingdings" w:char="F0FC"/>
            </w:r>
          </w:p>
        </w:tc>
        <w:tc>
          <w:tcPr>
            <w:tcW w:w="709" w:type="pct"/>
          </w:tcPr>
          <w:p w14:paraId="361973D9" w14:textId="77777777" w:rsidR="00324F6C" w:rsidRPr="00733014" w:rsidRDefault="00324F6C" w:rsidP="00733014">
            <w:pPr>
              <w:pStyle w:val="Tabletext"/>
              <w:ind w:left="0" w:right="0"/>
              <w:jc w:val="center"/>
              <w:rPr>
                <w:sz w:val="20"/>
                <w:szCs w:val="20"/>
              </w:rPr>
            </w:pPr>
            <w:r w:rsidRPr="00733014">
              <w:rPr>
                <w:sz w:val="20"/>
                <w:szCs w:val="20"/>
              </w:rPr>
              <w:t>–</w:t>
            </w:r>
          </w:p>
        </w:tc>
      </w:tr>
      <w:tr w:rsidR="00324F6C" w:rsidRPr="00FA49F7" w14:paraId="47014901" w14:textId="77777777" w:rsidTr="0035222B">
        <w:trPr>
          <w:trHeight w:val="177"/>
          <w:jc w:val="center"/>
        </w:trPr>
        <w:tc>
          <w:tcPr>
            <w:tcW w:w="799" w:type="pct"/>
            <w:vMerge/>
          </w:tcPr>
          <w:p w14:paraId="48669E6C" w14:textId="77777777" w:rsidR="00324F6C" w:rsidRPr="00733014" w:rsidRDefault="00324F6C" w:rsidP="00733014">
            <w:pPr>
              <w:pStyle w:val="Tabletext"/>
              <w:ind w:left="0" w:right="0"/>
              <w:rPr>
                <w:b/>
                <w:sz w:val="20"/>
                <w:szCs w:val="20"/>
              </w:rPr>
            </w:pPr>
          </w:p>
        </w:tc>
        <w:tc>
          <w:tcPr>
            <w:tcW w:w="1451" w:type="pct"/>
            <w:vAlign w:val="center"/>
          </w:tcPr>
          <w:p w14:paraId="23D871D9" w14:textId="77777777" w:rsidR="00324F6C" w:rsidRPr="00733014" w:rsidRDefault="00324F6C" w:rsidP="00733014">
            <w:pPr>
              <w:ind w:left="0" w:right="0"/>
              <w:rPr>
                <w:sz w:val="20"/>
                <w:szCs w:val="20"/>
              </w:rPr>
            </w:pPr>
            <w:r w:rsidRPr="00733014">
              <w:rPr>
                <w:sz w:val="20"/>
                <w:szCs w:val="20"/>
              </w:rPr>
              <w:t>Hepatotoxicity</w:t>
            </w:r>
          </w:p>
        </w:tc>
        <w:tc>
          <w:tcPr>
            <w:tcW w:w="668" w:type="pct"/>
          </w:tcPr>
          <w:p w14:paraId="419458CA" w14:textId="77777777" w:rsidR="00324F6C" w:rsidRPr="00733014" w:rsidRDefault="00324F6C" w:rsidP="00733014">
            <w:pPr>
              <w:pStyle w:val="Tabletext"/>
              <w:ind w:left="0" w:right="0"/>
              <w:jc w:val="center"/>
              <w:rPr>
                <w:sz w:val="20"/>
                <w:szCs w:val="20"/>
              </w:rPr>
            </w:pPr>
            <w:r w:rsidRPr="00733014">
              <w:rPr>
                <w:sz w:val="20"/>
                <w:szCs w:val="20"/>
              </w:rPr>
              <w:sym w:font="Wingdings" w:char="F0FC"/>
            </w:r>
            <w:r w:rsidRPr="00733014">
              <w:rPr>
                <w:sz w:val="20"/>
                <w:szCs w:val="20"/>
              </w:rPr>
              <w:t>*</w:t>
            </w:r>
          </w:p>
        </w:tc>
        <w:tc>
          <w:tcPr>
            <w:tcW w:w="751" w:type="pct"/>
          </w:tcPr>
          <w:p w14:paraId="731F17BE" w14:textId="77777777" w:rsidR="00324F6C" w:rsidRPr="00733014" w:rsidRDefault="00324F6C" w:rsidP="00733014">
            <w:pPr>
              <w:pStyle w:val="Tabletext"/>
              <w:ind w:left="0" w:right="0"/>
              <w:jc w:val="center"/>
              <w:rPr>
                <w:sz w:val="20"/>
                <w:szCs w:val="20"/>
              </w:rPr>
            </w:pPr>
            <w:r w:rsidRPr="00733014">
              <w:rPr>
                <w:sz w:val="20"/>
                <w:szCs w:val="20"/>
              </w:rPr>
              <w:sym w:font="Wingdings" w:char="F0FC"/>
            </w:r>
            <w:r w:rsidRPr="00733014">
              <w:rPr>
                <w:sz w:val="20"/>
                <w:szCs w:val="20"/>
              </w:rPr>
              <w:t>†‡</w:t>
            </w:r>
          </w:p>
        </w:tc>
        <w:tc>
          <w:tcPr>
            <w:tcW w:w="621" w:type="pct"/>
          </w:tcPr>
          <w:p w14:paraId="0ADED67A" w14:textId="77777777" w:rsidR="00324F6C" w:rsidRPr="00733014" w:rsidRDefault="00324F6C" w:rsidP="00733014">
            <w:pPr>
              <w:pStyle w:val="Tabletext"/>
              <w:ind w:left="0" w:right="0"/>
              <w:jc w:val="center"/>
              <w:rPr>
                <w:sz w:val="20"/>
                <w:szCs w:val="20"/>
              </w:rPr>
            </w:pPr>
            <w:r w:rsidRPr="00733014">
              <w:rPr>
                <w:sz w:val="20"/>
                <w:szCs w:val="20"/>
              </w:rPr>
              <w:sym w:font="Wingdings" w:char="F0FC"/>
            </w:r>
          </w:p>
        </w:tc>
        <w:tc>
          <w:tcPr>
            <w:tcW w:w="709" w:type="pct"/>
          </w:tcPr>
          <w:p w14:paraId="21D6C2F1" w14:textId="77777777" w:rsidR="00324F6C" w:rsidRPr="00733014" w:rsidRDefault="00324F6C" w:rsidP="00733014">
            <w:pPr>
              <w:pStyle w:val="Tabletext"/>
              <w:ind w:left="0" w:right="0"/>
              <w:jc w:val="center"/>
              <w:rPr>
                <w:sz w:val="20"/>
                <w:szCs w:val="20"/>
              </w:rPr>
            </w:pPr>
            <w:r w:rsidRPr="00733014">
              <w:rPr>
                <w:sz w:val="20"/>
                <w:szCs w:val="20"/>
              </w:rPr>
              <w:t>§+</w:t>
            </w:r>
          </w:p>
        </w:tc>
      </w:tr>
      <w:tr w:rsidR="00324F6C" w:rsidRPr="00FA49F7" w14:paraId="4B0E20ED" w14:textId="77777777" w:rsidTr="0035222B">
        <w:trPr>
          <w:trHeight w:val="150"/>
          <w:jc w:val="center"/>
        </w:trPr>
        <w:tc>
          <w:tcPr>
            <w:tcW w:w="799" w:type="pct"/>
            <w:vMerge w:val="restart"/>
          </w:tcPr>
          <w:p w14:paraId="175A80B6" w14:textId="77777777" w:rsidR="00324F6C" w:rsidRPr="00440EDC" w:rsidRDefault="00324F6C" w:rsidP="00733014">
            <w:pPr>
              <w:pStyle w:val="Tabletext"/>
              <w:ind w:left="0" w:right="0"/>
              <w:rPr>
                <w:b/>
                <w:sz w:val="20"/>
                <w:szCs w:val="20"/>
              </w:rPr>
            </w:pPr>
            <w:r w:rsidRPr="00440EDC">
              <w:rPr>
                <w:b/>
                <w:sz w:val="20"/>
                <w:szCs w:val="20"/>
              </w:rPr>
              <w:t>Important potential risks</w:t>
            </w:r>
          </w:p>
        </w:tc>
        <w:tc>
          <w:tcPr>
            <w:tcW w:w="1451" w:type="pct"/>
            <w:vAlign w:val="center"/>
          </w:tcPr>
          <w:p w14:paraId="06087553" w14:textId="77777777" w:rsidR="00324F6C" w:rsidRPr="00733014" w:rsidRDefault="00324F6C" w:rsidP="00733014">
            <w:pPr>
              <w:ind w:left="0" w:right="0"/>
              <w:rPr>
                <w:sz w:val="20"/>
                <w:szCs w:val="20"/>
              </w:rPr>
            </w:pPr>
            <w:r w:rsidRPr="00733014">
              <w:rPr>
                <w:sz w:val="20"/>
                <w:szCs w:val="20"/>
              </w:rPr>
              <w:t>Thrombocytopenia and the potential risk of bleeding</w:t>
            </w:r>
          </w:p>
        </w:tc>
        <w:tc>
          <w:tcPr>
            <w:tcW w:w="668" w:type="pct"/>
          </w:tcPr>
          <w:p w14:paraId="0D89B544" w14:textId="77777777" w:rsidR="00324F6C" w:rsidRPr="00440EDC" w:rsidRDefault="00324F6C" w:rsidP="00733014">
            <w:pPr>
              <w:pStyle w:val="Tabletext"/>
              <w:ind w:left="0" w:right="0"/>
              <w:jc w:val="center"/>
              <w:rPr>
                <w:sz w:val="20"/>
                <w:szCs w:val="20"/>
              </w:rPr>
            </w:pPr>
            <w:r w:rsidRPr="00733014">
              <w:rPr>
                <w:sz w:val="20"/>
                <w:szCs w:val="20"/>
              </w:rPr>
              <w:sym w:font="Wingdings" w:char="F0FC"/>
            </w:r>
            <w:r w:rsidRPr="00733014">
              <w:rPr>
                <w:sz w:val="20"/>
                <w:szCs w:val="20"/>
              </w:rPr>
              <w:t>*</w:t>
            </w:r>
          </w:p>
        </w:tc>
        <w:tc>
          <w:tcPr>
            <w:tcW w:w="751" w:type="pct"/>
          </w:tcPr>
          <w:p w14:paraId="76FBA972" w14:textId="77777777" w:rsidR="00324F6C" w:rsidRPr="00440EDC" w:rsidRDefault="00324F6C" w:rsidP="00733014">
            <w:pPr>
              <w:pStyle w:val="Tabletext"/>
              <w:ind w:left="0" w:right="0"/>
              <w:jc w:val="center"/>
              <w:rPr>
                <w:sz w:val="20"/>
                <w:szCs w:val="20"/>
              </w:rPr>
            </w:pPr>
            <w:r w:rsidRPr="00733014">
              <w:rPr>
                <w:sz w:val="20"/>
                <w:szCs w:val="20"/>
              </w:rPr>
              <w:sym w:font="Wingdings" w:char="F0FC"/>
            </w:r>
            <w:r w:rsidRPr="00733014">
              <w:rPr>
                <w:sz w:val="20"/>
                <w:szCs w:val="20"/>
              </w:rPr>
              <w:t>†‡</w:t>
            </w:r>
          </w:p>
        </w:tc>
        <w:tc>
          <w:tcPr>
            <w:tcW w:w="621" w:type="pct"/>
          </w:tcPr>
          <w:p w14:paraId="2FA08003" w14:textId="77777777" w:rsidR="00324F6C" w:rsidRPr="00440EDC" w:rsidRDefault="00324F6C" w:rsidP="00733014">
            <w:pPr>
              <w:pStyle w:val="Tabletext"/>
              <w:ind w:left="0" w:right="0"/>
              <w:jc w:val="center"/>
              <w:rPr>
                <w:sz w:val="20"/>
                <w:szCs w:val="20"/>
              </w:rPr>
            </w:pPr>
            <w:r w:rsidRPr="00733014">
              <w:rPr>
                <w:sz w:val="20"/>
                <w:szCs w:val="20"/>
              </w:rPr>
              <w:sym w:font="Wingdings" w:char="F0FC"/>
            </w:r>
          </w:p>
        </w:tc>
        <w:tc>
          <w:tcPr>
            <w:tcW w:w="709" w:type="pct"/>
          </w:tcPr>
          <w:p w14:paraId="3B5BC7D6" w14:textId="77777777" w:rsidR="00324F6C" w:rsidRPr="00440EDC" w:rsidRDefault="00324F6C" w:rsidP="00733014">
            <w:pPr>
              <w:pStyle w:val="Tabletext"/>
              <w:ind w:left="0" w:right="0"/>
              <w:jc w:val="center"/>
              <w:rPr>
                <w:sz w:val="20"/>
                <w:szCs w:val="20"/>
              </w:rPr>
            </w:pPr>
            <w:r w:rsidRPr="00440EDC">
              <w:rPr>
                <w:sz w:val="20"/>
                <w:szCs w:val="20"/>
              </w:rPr>
              <w:t>–</w:t>
            </w:r>
          </w:p>
        </w:tc>
      </w:tr>
      <w:tr w:rsidR="00324F6C" w:rsidRPr="00FA49F7" w14:paraId="4FC06BDA" w14:textId="77777777" w:rsidTr="0035222B">
        <w:trPr>
          <w:trHeight w:val="115"/>
          <w:jc w:val="center"/>
        </w:trPr>
        <w:tc>
          <w:tcPr>
            <w:tcW w:w="799" w:type="pct"/>
            <w:vMerge/>
          </w:tcPr>
          <w:p w14:paraId="7812092C" w14:textId="77777777" w:rsidR="00324F6C" w:rsidRPr="00733014" w:rsidRDefault="00324F6C" w:rsidP="00733014">
            <w:pPr>
              <w:pStyle w:val="Tabletext"/>
              <w:ind w:left="0" w:right="0"/>
              <w:rPr>
                <w:b/>
                <w:sz w:val="20"/>
                <w:szCs w:val="20"/>
              </w:rPr>
            </w:pPr>
          </w:p>
        </w:tc>
        <w:tc>
          <w:tcPr>
            <w:tcW w:w="1451" w:type="pct"/>
            <w:vAlign w:val="center"/>
          </w:tcPr>
          <w:p w14:paraId="66F6DE75" w14:textId="77777777" w:rsidR="00324F6C" w:rsidRPr="00733014" w:rsidRDefault="00324F6C" w:rsidP="00733014">
            <w:pPr>
              <w:ind w:left="0" w:right="0"/>
              <w:rPr>
                <w:sz w:val="20"/>
                <w:szCs w:val="20"/>
              </w:rPr>
            </w:pPr>
            <w:r w:rsidRPr="00733014">
              <w:rPr>
                <w:sz w:val="20"/>
                <w:szCs w:val="20"/>
              </w:rPr>
              <w:t>Liver enzyme elevations and bilirubin elevations and the potential risk of hepatotoxicity</w:t>
            </w:r>
          </w:p>
        </w:tc>
        <w:tc>
          <w:tcPr>
            <w:tcW w:w="668" w:type="pct"/>
          </w:tcPr>
          <w:p w14:paraId="27C129EA" w14:textId="77777777" w:rsidR="00324F6C" w:rsidRPr="00733014" w:rsidRDefault="00324F6C" w:rsidP="00733014">
            <w:pPr>
              <w:pStyle w:val="Tabletext"/>
              <w:ind w:left="0" w:right="0"/>
              <w:jc w:val="center"/>
              <w:rPr>
                <w:sz w:val="20"/>
                <w:szCs w:val="20"/>
              </w:rPr>
            </w:pPr>
            <w:r w:rsidRPr="00733014">
              <w:rPr>
                <w:sz w:val="20"/>
                <w:szCs w:val="20"/>
              </w:rPr>
              <w:sym w:font="Wingdings" w:char="F0FC"/>
            </w:r>
            <w:r w:rsidRPr="00733014">
              <w:rPr>
                <w:sz w:val="20"/>
                <w:szCs w:val="20"/>
              </w:rPr>
              <w:t>*</w:t>
            </w:r>
          </w:p>
        </w:tc>
        <w:tc>
          <w:tcPr>
            <w:tcW w:w="751" w:type="pct"/>
          </w:tcPr>
          <w:p w14:paraId="3871AFB4" w14:textId="77777777" w:rsidR="00324F6C" w:rsidRPr="00733014" w:rsidRDefault="00324F6C" w:rsidP="00733014">
            <w:pPr>
              <w:pStyle w:val="Tabletext"/>
              <w:ind w:left="0" w:right="0"/>
              <w:jc w:val="center"/>
              <w:rPr>
                <w:sz w:val="20"/>
                <w:szCs w:val="20"/>
              </w:rPr>
            </w:pPr>
            <w:r w:rsidRPr="00733014">
              <w:rPr>
                <w:sz w:val="20"/>
                <w:szCs w:val="20"/>
              </w:rPr>
              <w:sym w:font="Wingdings" w:char="F0FC"/>
            </w:r>
            <w:r w:rsidRPr="00733014">
              <w:rPr>
                <w:sz w:val="20"/>
                <w:szCs w:val="20"/>
              </w:rPr>
              <w:t>†‡</w:t>
            </w:r>
          </w:p>
        </w:tc>
        <w:tc>
          <w:tcPr>
            <w:tcW w:w="621" w:type="pct"/>
          </w:tcPr>
          <w:p w14:paraId="7C6E60FB" w14:textId="77777777" w:rsidR="00324F6C" w:rsidRPr="00733014" w:rsidRDefault="00324F6C" w:rsidP="00733014">
            <w:pPr>
              <w:pStyle w:val="Tabletext"/>
              <w:ind w:left="0" w:right="0"/>
              <w:jc w:val="center"/>
              <w:rPr>
                <w:sz w:val="20"/>
                <w:szCs w:val="20"/>
              </w:rPr>
            </w:pPr>
            <w:r w:rsidRPr="00733014">
              <w:rPr>
                <w:sz w:val="20"/>
                <w:szCs w:val="20"/>
              </w:rPr>
              <w:sym w:font="Wingdings" w:char="F0FC"/>
            </w:r>
          </w:p>
        </w:tc>
        <w:tc>
          <w:tcPr>
            <w:tcW w:w="709" w:type="pct"/>
          </w:tcPr>
          <w:p w14:paraId="318B8029" w14:textId="77777777" w:rsidR="00324F6C" w:rsidRPr="00733014" w:rsidRDefault="00324F6C" w:rsidP="00733014">
            <w:pPr>
              <w:pStyle w:val="Tabletext"/>
              <w:ind w:left="0" w:right="0"/>
              <w:jc w:val="center"/>
              <w:rPr>
                <w:sz w:val="20"/>
                <w:szCs w:val="20"/>
              </w:rPr>
            </w:pPr>
            <w:r w:rsidRPr="00733014">
              <w:rPr>
                <w:sz w:val="20"/>
                <w:szCs w:val="20"/>
              </w:rPr>
              <w:t>–</w:t>
            </w:r>
          </w:p>
        </w:tc>
      </w:tr>
      <w:tr w:rsidR="00324F6C" w:rsidRPr="00FA49F7" w14:paraId="626E1DF2" w14:textId="77777777" w:rsidTr="0035222B">
        <w:trPr>
          <w:trHeight w:val="106"/>
          <w:jc w:val="center"/>
        </w:trPr>
        <w:tc>
          <w:tcPr>
            <w:tcW w:w="799" w:type="pct"/>
            <w:vMerge/>
          </w:tcPr>
          <w:p w14:paraId="23F66490" w14:textId="77777777" w:rsidR="00324F6C" w:rsidRPr="00733014" w:rsidRDefault="00324F6C" w:rsidP="00733014">
            <w:pPr>
              <w:pStyle w:val="Tabletext"/>
              <w:ind w:left="0" w:right="0"/>
              <w:rPr>
                <w:b/>
                <w:sz w:val="20"/>
                <w:szCs w:val="20"/>
              </w:rPr>
            </w:pPr>
          </w:p>
        </w:tc>
        <w:tc>
          <w:tcPr>
            <w:tcW w:w="1451" w:type="pct"/>
            <w:vAlign w:val="center"/>
          </w:tcPr>
          <w:p w14:paraId="3E7C9E09" w14:textId="77777777" w:rsidR="00324F6C" w:rsidRPr="00733014" w:rsidRDefault="00324F6C" w:rsidP="00733014">
            <w:pPr>
              <w:ind w:left="0" w:right="0"/>
              <w:rPr>
                <w:sz w:val="20"/>
                <w:szCs w:val="20"/>
              </w:rPr>
            </w:pPr>
            <w:r w:rsidRPr="00733014">
              <w:rPr>
                <w:sz w:val="20"/>
                <w:szCs w:val="20"/>
              </w:rPr>
              <w:t>Elevated lipid levels and the potential risk of cardiovascular and cerebrovascular events</w:t>
            </w:r>
          </w:p>
        </w:tc>
        <w:tc>
          <w:tcPr>
            <w:tcW w:w="668" w:type="pct"/>
          </w:tcPr>
          <w:p w14:paraId="4DC7A22D" w14:textId="77777777" w:rsidR="00324F6C" w:rsidRPr="00733014" w:rsidRDefault="00324F6C" w:rsidP="00733014">
            <w:pPr>
              <w:pStyle w:val="Tabletext"/>
              <w:ind w:left="0" w:right="0"/>
              <w:jc w:val="center"/>
              <w:rPr>
                <w:sz w:val="20"/>
                <w:szCs w:val="20"/>
              </w:rPr>
            </w:pPr>
            <w:r w:rsidRPr="00733014">
              <w:rPr>
                <w:sz w:val="20"/>
                <w:szCs w:val="20"/>
              </w:rPr>
              <w:sym w:font="Wingdings" w:char="F0FC"/>
            </w:r>
            <w:r w:rsidRPr="00733014">
              <w:rPr>
                <w:sz w:val="20"/>
                <w:szCs w:val="20"/>
              </w:rPr>
              <w:t>*</w:t>
            </w:r>
          </w:p>
        </w:tc>
        <w:tc>
          <w:tcPr>
            <w:tcW w:w="751" w:type="pct"/>
          </w:tcPr>
          <w:p w14:paraId="7EA56931" w14:textId="77777777" w:rsidR="00324F6C" w:rsidRPr="00733014" w:rsidRDefault="00324F6C" w:rsidP="00733014">
            <w:pPr>
              <w:pStyle w:val="Tabletext"/>
              <w:ind w:left="0" w:right="0"/>
              <w:jc w:val="center"/>
              <w:rPr>
                <w:sz w:val="20"/>
                <w:szCs w:val="20"/>
              </w:rPr>
            </w:pPr>
            <w:r w:rsidRPr="00733014">
              <w:rPr>
                <w:sz w:val="20"/>
                <w:szCs w:val="20"/>
              </w:rPr>
              <w:sym w:font="Wingdings" w:char="F0FC"/>
            </w:r>
            <w:r w:rsidRPr="00733014">
              <w:rPr>
                <w:sz w:val="20"/>
                <w:szCs w:val="20"/>
              </w:rPr>
              <w:t>†</w:t>
            </w:r>
          </w:p>
        </w:tc>
        <w:tc>
          <w:tcPr>
            <w:tcW w:w="621" w:type="pct"/>
          </w:tcPr>
          <w:p w14:paraId="2AC17CA1" w14:textId="77777777" w:rsidR="00324F6C" w:rsidRPr="00733014" w:rsidRDefault="00324F6C" w:rsidP="00733014">
            <w:pPr>
              <w:pStyle w:val="Tabletext"/>
              <w:ind w:left="0" w:right="0"/>
              <w:jc w:val="center"/>
              <w:rPr>
                <w:sz w:val="20"/>
                <w:szCs w:val="20"/>
              </w:rPr>
            </w:pPr>
            <w:r w:rsidRPr="00733014">
              <w:rPr>
                <w:sz w:val="20"/>
                <w:szCs w:val="20"/>
              </w:rPr>
              <w:sym w:font="Wingdings" w:char="F0FC"/>
            </w:r>
          </w:p>
        </w:tc>
        <w:tc>
          <w:tcPr>
            <w:tcW w:w="709" w:type="pct"/>
          </w:tcPr>
          <w:p w14:paraId="5BD701D5" w14:textId="77777777" w:rsidR="00324F6C" w:rsidRPr="00733014" w:rsidRDefault="00324F6C" w:rsidP="00733014">
            <w:pPr>
              <w:pStyle w:val="Tabletext"/>
              <w:ind w:left="0" w:right="0"/>
              <w:jc w:val="center"/>
              <w:rPr>
                <w:sz w:val="20"/>
                <w:szCs w:val="20"/>
              </w:rPr>
            </w:pPr>
            <w:r w:rsidRPr="00733014">
              <w:rPr>
                <w:sz w:val="20"/>
                <w:szCs w:val="20"/>
              </w:rPr>
              <w:t>–</w:t>
            </w:r>
          </w:p>
        </w:tc>
      </w:tr>
      <w:tr w:rsidR="00324F6C" w:rsidRPr="00FA49F7" w14:paraId="4A5CD354" w14:textId="77777777" w:rsidTr="0035222B">
        <w:trPr>
          <w:trHeight w:val="106"/>
          <w:jc w:val="center"/>
        </w:trPr>
        <w:tc>
          <w:tcPr>
            <w:tcW w:w="799" w:type="pct"/>
            <w:vMerge/>
          </w:tcPr>
          <w:p w14:paraId="357FB763" w14:textId="77777777" w:rsidR="00324F6C" w:rsidRPr="00733014" w:rsidRDefault="00324F6C" w:rsidP="00733014">
            <w:pPr>
              <w:pStyle w:val="Tabletext"/>
              <w:ind w:left="0" w:right="0"/>
              <w:rPr>
                <w:b/>
                <w:sz w:val="20"/>
                <w:szCs w:val="20"/>
              </w:rPr>
            </w:pPr>
          </w:p>
        </w:tc>
        <w:tc>
          <w:tcPr>
            <w:tcW w:w="1451" w:type="pct"/>
            <w:vAlign w:val="center"/>
          </w:tcPr>
          <w:p w14:paraId="7FAB2F12" w14:textId="77777777" w:rsidR="00324F6C" w:rsidRPr="00733014" w:rsidRDefault="00324F6C" w:rsidP="00733014">
            <w:pPr>
              <w:ind w:left="0" w:right="0"/>
              <w:rPr>
                <w:sz w:val="20"/>
                <w:szCs w:val="20"/>
              </w:rPr>
            </w:pPr>
            <w:r w:rsidRPr="00733014">
              <w:rPr>
                <w:sz w:val="20"/>
                <w:szCs w:val="20"/>
              </w:rPr>
              <w:t>Malignancies</w:t>
            </w:r>
          </w:p>
        </w:tc>
        <w:tc>
          <w:tcPr>
            <w:tcW w:w="668" w:type="pct"/>
          </w:tcPr>
          <w:p w14:paraId="6539CB22" w14:textId="77777777" w:rsidR="00324F6C" w:rsidRPr="00733014" w:rsidRDefault="00324F6C" w:rsidP="00733014">
            <w:pPr>
              <w:pStyle w:val="Tabletext"/>
              <w:ind w:left="0" w:right="0"/>
              <w:jc w:val="center"/>
              <w:rPr>
                <w:sz w:val="20"/>
                <w:szCs w:val="20"/>
              </w:rPr>
            </w:pPr>
            <w:r w:rsidRPr="00733014">
              <w:rPr>
                <w:sz w:val="20"/>
                <w:szCs w:val="20"/>
              </w:rPr>
              <w:sym w:font="Wingdings" w:char="F0FC"/>
            </w:r>
            <w:r w:rsidRPr="00733014">
              <w:rPr>
                <w:sz w:val="20"/>
                <w:szCs w:val="20"/>
              </w:rPr>
              <w:t>*</w:t>
            </w:r>
          </w:p>
        </w:tc>
        <w:tc>
          <w:tcPr>
            <w:tcW w:w="751" w:type="pct"/>
          </w:tcPr>
          <w:p w14:paraId="7532D275" w14:textId="77777777" w:rsidR="00324F6C" w:rsidRPr="00733014" w:rsidRDefault="00324F6C" w:rsidP="00733014">
            <w:pPr>
              <w:pStyle w:val="Tabletext"/>
              <w:ind w:left="0" w:right="0"/>
              <w:jc w:val="center"/>
              <w:rPr>
                <w:sz w:val="20"/>
                <w:szCs w:val="20"/>
              </w:rPr>
            </w:pPr>
            <w:r w:rsidRPr="00733014">
              <w:rPr>
                <w:sz w:val="20"/>
                <w:szCs w:val="20"/>
              </w:rPr>
              <w:sym w:font="Wingdings" w:char="F0FC"/>
            </w:r>
            <w:r w:rsidRPr="00733014">
              <w:rPr>
                <w:sz w:val="20"/>
                <w:szCs w:val="20"/>
              </w:rPr>
              <w:t>†</w:t>
            </w:r>
          </w:p>
        </w:tc>
        <w:tc>
          <w:tcPr>
            <w:tcW w:w="621" w:type="pct"/>
          </w:tcPr>
          <w:p w14:paraId="39C0BD0D" w14:textId="77777777" w:rsidR="00324F6C" w:rsidRPr="00733014" w:rsidRDefault="00324F6C" w:rsidP="00733014">
            <w:pPr>
              <w:pStyle w:val="Tabletext"/>
              <w:ind w:left="0" w:right="0"/>
              <w:jc w:val="center"/>
              <w:rPr>
                <w:sz w:val="20"/>
                <w:szCs w:val="20"/>
              </w:rPr>
            </w:pPr>
            <w:r w:rsidRPr="00733014">
              <w:rPr>
                <w:sz w:val="20"/>
                <w:szCs w:val="20"/>
              </w:rPr>
              <w:sym w:font="Wingdings" w:char="F0FC"/>
            </w:r>
          </w:p>
        </w:tc>
        <w:tc>
          <w:tcPr>
            <w:tcW w:w="709" w:type="pct"/>
          </w:tcPr>
          <w:p w14:paraId="322180F4" w14:textId="77777777" w:rsidR="00324F6C" w:rsidRPr="00733014" w:rsidRDefault="00324F6C" w:rsidP="00733014">
            <w:pPr>
              <w:pStyle w:val="Tabletext"/>
              <w:ind w:left="0" w:right="0"/>
              <w:jc w:val="center"/>
              <w:rPr>
                <w:sz w:val="20"/>
                <w:szCs w:val="20"/>
              </w:rPr>
            </w:pPr>
            <w:r w:rsidRPr="00733014">
              <w:rPr>
                <w:sz w:val="20"/>
                <w:szCs w:val="20"/>
              </w:rPr>
              <w:t>–</w:t>
            </w:r>
          </w:p>
        </w:tc>
      </w:tr>
      <w:tr w:rsidR="00324F6C" w:rsidRPr="00FA49F7" w14:paraId="530C790A" w14:textId="77777777" w:rsidTr="0035222B">
        <w:trPr>
          <w:trHeight w:val="106"/>
          <w:jc w:val="center"/>
        </w:trPr>
        <w:tc>
          <w:tcPr>
            <w:tcW w:w="799" w:type="pct"/>
            <w:vMerge/>
          </w:tcPr>
          <w:p w14:paraId="66240A51" w14:textId="77777777" w:rsidR="00324F6C" w:rsidRPr="00733014" w:rsidRDefault="00324F6C" w:rsidP="00733014">
            <w:pPr>
              <w:pStyle w:val="Tabletext"/>
              <w:ind w:left="0" w:right="0"/>
              <w:rPr>
                <w:b/>
                <w:sz w:val="20"/>
                <w:szCs w:val="20"/>
              </w:rPr>
            </w:pPr>
          </w:p>
        </w:tc>
        <w:tc>
          <w:tcPr>
            <w:tcW w:w="1451" w:type="pct"/>
            <w:vAlign w:val="center"/>
          </w:tcPr>
          <w:p w14:paraId="0FACA63D" w14:textId="77777777" w:rsidR="00324F6C" w:rsidRPr="00733014" w:rsidRDefault="00324F6C" w:rsidP="00733014">
            <w:pPr>
              <w:ind w:left="0" w:right="0"/>
              <w:rPr>
                <w:sz w:val="20"/>
                <w:szCs w:val="20"/>
              </w:rPr>
            </w:pPr>
            <w:r w:rsidRPr="00733014">
              <w:rPr>
                <w:sz w:val="20"/>
                <w:szCs w:val="20"/>
              </w:rPr>
              <w:t>Demyelinating disorders</w:t>
            </w:r>
          </w:p>
        </w:tc>
        <w:tc>
          <w:tcPr>
            <w:tcW w:w="668" w:type="pct"/>
          </w:tcPr>
          <w:p w14:paraId="6D721958" w14:textId="77777777" w:rsidR="00324F6C" w:rsidRPr="00733014" w:rsidRDefault="00324F6C" w:rsidP="00733014">
            <w:pPr>
              <w:pStyle w:val="Tabletext"/>
              <w:ind w:left="0" w:right="0"/>
              <w:jc w:val="center"/>
              <w:rPr>
                <w:sz w:val="20"/>
                <w:szCs w:val="20"/>
              </w:rPr>
            </w:pPr>
            <w:r w:rsidRPr="00733014">
              <w:rPr>
                <w:sz w:val="20"/>
                <w:szCs w:val="20"/>
              </w:rPr>
              <w:sym w:font="Wingdings" w:char="F0FC"/>
            </w:r>
            <w:r w:rsidRPr="00733014">
              <w:rPr>
                <w:sz w:val="20"/>
                <w:szCs w:val="20"/>
              </w:rPr>
              <w:t>*</w:t>
            </w:r>
          </w:p>
        </w:tc>
        <w:tc>
          <w:tcPr>
            <w:tcW w:w="751" w:type="pct"/>
          </w:tcPr>
          <w:p w14:paraId="4D434518" w14:textId="77777777" w:rsidR="00324F6C" w:rsidRPr="00733014" w:rsidRDefault="00324F6C" w:rsidP="00733014">
            <w:pPr>
              <w:pStyle w:val="Tabletext"/>
              <w:ind w:left="0" w:right="0"/>
              <w:jc w:val="center"/>
              <w:rPr>
                <w:sz w:val="20"/>
                <w:szCs w:val="20"/>
              </w:rPr>
            </w:pPr>
            <w:r w:rsidRPr="00733014">
              <w:rPr>
                <w:sz w:val="20"/>
                <w:szCs w:val="20"/>
              </w:rPr>
              <w:sym w:font="Wingdings" w:char="F0FC"/>
            </w:r>
            <w:r w:rsidRPr="00733014">
              <w:rPr>
                <w:sz w:val="20"/>
                <w:szCs w:val="20"/>
              </w:rPr>
              <w:t>†</w:t>
            </w:r>
          </w:p>
        </w:tc>
        <w:tc>
          <w:tcPr>
            <w:tcW w:w="621" w:type="pct"/>
          </w:tcPr>
          <w:p w14:paraId="28BE9AF0" w14:textId="77777777" w:rsidR="00324F6C" w:rsidRPr="00733014" w:rsidRDefault="00324F6C" w:rsidP="00733014">
            <w:pPr>
              <w:pStyle w:val="Tabletext"/>
              <w:ind w:left="0" w:right="0"/>
              <w:jc w:val="center"/>
              <w:rPr>
                <w:sz w:val="20"/>
                <w:szCs w:val="20"/>
              </w:rPr>
            </w:pPr>
            <w:r w:rsidRPr="00733014">
              <w:rPr>
                <w:sz w:val="20"/>
                <w:szCs w:val="20"/>
              </w:rPr>
              <w:sym w:font="Wingdings" w:char="F0FC"/>
            </w:r>
          </w:p>
        </w:tc>
        <w:tc>
          <w:tcPr>
            <w:tcW w:w="709" w:type="pct"/>
          </w:tcPr>
          <w:p w14:paraId="334AAE46" w14:textId="77777777" w:rsidR="00324F6C" w:rsidRPr="00733014" w:rsidRDefault="00324F6C" w:rsidP="00733014">
            <w:pPr>
              <w:pStyle w:val="Tabletext"/>
              <w:ind w:left="0" w:right="0"/>
              <w:jc w:val="center"/>
              <w:rPr>
                <w:sz w:val="20"/>
                <w:szCs w:val="20"/>
              </w:rPr>
            </w:pPr>
            <w:r w:rsidRPr="00733014">
              <w:rPr>
                <w:sz w:val="20"/>
                <w:szCs w:val="20"/>
              </w:rPr>
              <w:t>–</w:t>
            </w:r>
          </w:p>
        </w:tc>
      </w:tr>
      <w:tr w:rsidR="00324F6C" w:rsidRPr="00FA49F7" w14:paraId="7CCE17B7" w14:textId="77777777" w:rsidTr="0035222B">
        <w:trPr>
          <w:trHeight w:val="106"/>
          <w:jc w:val="center"/>
        </w:trPr>
        <w:tc>
          <w:tcPr>
            <w:tcW w:w="799" w:type="pct"/>
            <w:vMerge/>
          </w:tcPr>
          <w:p w14:paraId="208C44A9" w14:textId="77777777" w:rsidR="00324F6C" w:rsidRPr="00733014" w:rsidRDefault="00324F6C" w:rsidP="00733014">
            <w:pPr>
              <w:pStyle w:val="Tabletext"/>
              <w:ind w:left="0" w:right="0"/>
              <w:rPr>
                <w:b/>
                <w:sz w:val="20"/>
                <w:szCs w:val="20"/>
              </w:rPr>
            </w:pPr>
          </w:p>
        </w:tc>
        <w:tc>
          <w:tcPr>
            <w:tcW w:w="1451" w:type="pct"/>
            <w:vAlign w:val="center"/>
          </w:tcPr>
          <w:p w14:paraId="4032BA92" w14:textId="77777777" w:rsidR="00324F6C" w:rsidRPr="00FA49F7" w:rsidRDefault="00324F6C" w:rsidP="00733014">
            <w:pPr>
              <w:pStyle w:val="Summaryofsafetyconcerns"/>
              <w:keepNext/>
              <w:keepLines/>
              <w:ind w:left="0" w:right="0"/>
              <w:rPr>
                <w:b w:val="0"/>
                <w:szCs w:val="20"/>
              </w:rPr>
            </w:pPr>
            <w:r w:rsidRPr="00733014">
              <w:rPr>
                <w:b w:val="0"/>
                <w:szCs w:val="20"/>
              </w:rPr>
              <w:t>Immunogenicity</w:t>
            </w:r>
          </w:p>
        </w:tc>
        <w:tc>
          <w:tcPr>
            <w:tcW w:w="668" w:type="pct"/>
          </w:tcPr>
          <w:p w14:paraId="752C4F33" w14:textId="77777777" w:rsidR="00324F6C" w:rsidRPr="00733014" w:rsidRDefault="00324F6C" w:rsidP="00733014">
            <w:pPr>
              <w:pStyle w:val="Tabletext"/>
              <w:ind w:left="0" w:right="0"/>
              <w:jc w:val="center"/>
              <w:rPr>
                <w:sz w:val="20"/>
                <w:szCs w:val="20"/>
              </w:rPr>
            </w:pPr>
            <w:r w:rsidRPr="00733014">
              <w:rPr>
                <w:sz w:val="20"/>
                <w:szCs w:val="20"/>
              </w:rPr>
              <w:t>–</w:t>
            </w:r>
          </w:p>
        </w:tc>
        <w:tc>
          <w:tcPr>
            <w:tcW w:w="751" w:type="pct"/>
          </w:tcPr>
          <w:p w14:paraId="3FE74167" w14:textId="77777777" w:rsidR="00324F6C" w:rsidRPr="00733014" w:rsidRDefault="00324F6C" w:rsidP="00733014">
            <w:pPr>
              <w:pStyle w:val="Tabletext"/>
              <w:ind w:left="0" w:right="0"/>
              <w:jc w:val="center"/>
              <w:rPr>
                <w:sz w:val="20"/>
                <w:szCs w:val="20"/>
              </w:rPr>
            </w:pPr>
            <w:r w:rsidRPr="00733014">
              <w:rPr>
                <w:sz w:val="20"/>
                <w:szCs w:val="20"/>
              </w:rPr>
              <w:t>–</w:t>
            </w:r>
          </w:p>
        </w:tc>
        <w:tc>
          <w:tcPr>
            <w:tcW w:w="621" w:type="pct"/>
          </w:tcPr>
          <w:p w14:paraId="25C4D939" w14:textId="77777777" w:rsidR="00324F6C" w:rsidRPr="00733014" w:rsidRDefault="00324F6C" w:rsidP="00733014">
            <w:pPr>
              <w:pStyle w:val="Tabletext"/>
              <w:ind w:left="0" w:right="0"/>
              <w:jc w:val="center"/>
              <w:rPr>
                <w:sz w:val="20"/>
                <w:szCs w:val="20"/>
              </w:rPr>
            </w:pPr>
            <w:r w:rsidRPr="00733014">
              <w:rPr>
                <w:sz w:val="20"/>
                <w:szCs w:val="20"/>
              </w:rPr>
              <w:sym w:font="Wingdings" w:char="F0FC"/>
            </w:r>
          </w:p>
        </w:tc>
        <w:tc>
          <w:tcPr>
            <w:tcW w:w="709" w:type="pct"/>
          </w:tcPr>
          <w:p w14:paraId="0BCE1A28" w14:textId="77777777" w:rsidR="00324F6C" w:rsidRPr="00733014" w:rsidRDefault="00324F6C" w:rsidP="00733014">
            <w:pPr>
              <w:pStyle w:val="Tabletext"/>
              <w:ind w:left="0" w:right="0"/>
              <w:jc w:val="center"/>
              <w:rPr>
                <w:sz w:val="20"/>
                <w:szCs w:val="20"/>
              </w:rPr>
            </w:pPr>
            <w:r w:rsidRPr="00733014">
              <w:rPr>
                <w:sz w:val="20"/>
                <w:szCs w:val="20"/>
              </w:rPr>
              <w:t>–</w:t>
            </w:r>
          </w:p>
        </w:tc>
      </w:tr>
      <w:tr w:rsidR="00324F6C" w:rsidRPr="00FA49F7" w14:paraId="6FFDE7E2" w14:textId="77777777" w:rsidTr="0035222B">
        <w:trPr>
          <w:trHeight w:val="169"/>
          <w:jc w:val="center"/>
        </w:trPr>
        <w:tc>
          <w:tcPr>
            <w:tcW w:w="799" w:type="pct"/>
          </w:tcPr>
          <w:p w14:paraId="0970C79D" w14:textId="77777777" w:rsidR="00324F6C" w:rsidRPr="00733014" w:rsidRDefault="00324F6C" w:rsidP="00733014">
            <w:pPr>
              <w:pStyle w:val="Tabletext"/>
              <w:ind w:left="0" w:right="0"/>
              <w:rPr>
                <w:b/>
                <w:sz w:val="20"/>
                <w:szCs w:val="20"/>
              </w:rPr>
            </w:pPr>
            <w:r w:rsidRPr="00733014">
              <w:rPr>
                <w:b/>
                <w:sz w:val="20"/>
                <w:szCs w:val="20"/>
              </w:rPr>
              <w:t>Missing information</w:t>
            </w:r>
          </w:p>
        </w:tc>
        <w:tc>
          <w:tcPr>
            <w:tcW w:w="1451" w:type="pct"/>
            <w:vAlign w:val="center"/>
          </w:tcPr>
          <w:p w14:paraId="46A67686" w14:textId="77777777" w:rsidR="00324F6C" w:rsidRPr="00733014" w:rsidRDefault="00324F6C" w:rsidP="00733014">
            <w:pPr>
              <w:pStyle w:val="Summaryofsafetyconcerns"/>
              <w:keepNext/>
              <w:keepLines/>
              <w:ind w:left="0" w:right="0"/>
              <w:rPr>
                <w:rFonts w:cstheme="majorHAnsi"/>
                <w:b w:val="0"/>
                <w:szCs w:val="20"/>
              </w:rPr>
            </w:pPr>
            <w:r w:rsidRPr="00733014">
              <w:rPr>
                <w:rFonts w:cstheme="majorHAnsi"/>
                <w:b w:val="0"/>
                <w:szCs w:val="20"/>
              </w:rPr>
              <w:t>None</w:t>
            </w:r>
          </w:p>
        </w:tc>
        <w:tc>
          <w:tcPr>
            <w:tcW w:w="668" w:type="pct"/>
          </w:tcPr>
          <w:p w14:paraId="7B1DDE20" w14:textId="77777777" w:rsidR="00324F6C" w:rsidRPr="00733014" w:rsidRDefault="00324F6C" w:rsidP="00733014">
            <w:pPr>
              <w:pStyle w:val="Tabletext"/>
              <w:ind w:left="0" w:right="0"/>
              <w:jc w:val="center"/>
              <w:rPr>
                <w:sz w:val="20"/>
                <w:szCs w:val="20"/>
              </w:rPr>
            </w:pPr>
            <w:r w:rsidRPr="00733014">
              <w:rPr>
                <w:sz w:val="20"/>
                <w:szCs w:val="20"/>
              </w:rPr>
              <w:t>–</w:t>
            </w:r>
          </w:p>
        </w:tc>
        <w:tc>
          <w:tcPr>
            <w:tcW w:w="751" w:type="pct"/>
          </w:tcPr>
          <w:p w14:paraId="43DF5D99" w14:textId="77777777" w:rsidR="00324F6C" w:rsidRPr="00733014" w:rsidRDefault="00324F6C" w:rsidP="00733014">
            <w:pPr>
              <w:pStyle w:val="Tabletext"/>
              <w:ind w:left="0" w:right="0"/>
              <w:jc w:val="center"/>
              <w:rPr>
                <w:sz w:val="20"/>
                <w:szCs w:val="20"/>
              </w:rPr>
            </w:pPr>
            <w:r w:rsidRPr="00733014">
              <w:rPr>
                <w:sz w:val="20"/>
                <w:szCs w:val="20"/>
              </w:rPr>
              <w:t>–</w:t>
            </w:r>
          </w:p>
        </w:tc>
        <w:tc>
          <w:tcPr>
            <w:tcW w:w="621" w:type="pct"/>
          </w:tcPr>
          <w:p w14:paraId="6B1686AE" w14:textId="77777777" w:rsidR="00324F6C" w:rsidRPr="00733014" w:rsidRDefault="00324F6C" w:rsidP="00733014">
            <w:pPr>
              <w:pStyle w:val="Tabletext"/>
              <w:ind w:left="0" w:right="0"/>
              <w:jc w:val="center"/>
              <w:rPr>
                <w:sz w:val="20"/>
                <w:szCs w:val="20"/>
              </w:rPr>
            </w:pPr>
            <w:r w:rsidRPr="00733014">
              <w:rPr>
                <w:sz w:val="20"/>
                <w:szCs w:val="20"/>
              </w:rPr>
              <w:t>–</w:t>
            </w:r>
          </w:p>
        </w:tc>
        <w:tc>
          <w:tcPr>
            <w:tcW w:w="709" w:type="pct"/>
          </w:tcPr>
          <w:p w14:paraId="5A39A1B8" w14:textId="77777777" w:rsidR="00324F6C" w:rsidRPr="00733014" w:rsidRDefault="00324F6C" w:rsidP="00733014">
            <w:pPr>
              <w:pStyle w:val="Tabletext"/>
              <w:ind w:left="0" w:right="0"/>
              <w:jc w:val="center"/>
              <w:rPr>
                <w:sz w:val="20"/>
                <w:szCs w:val="20"/>
              </w:rPr>
            </w:pPr>
            <w:r w:rsidRPr="00733014">
              <w:rPr>
                <w:sz w:val="20"/>
                <w:szCs w:val="20"/>
              </w:rPr>
              <w:t>–</w:t>
            </w:r>
          </w:p>
        </w:tc>
      </w:tr>
    </w:tbl>
    <w:p w14:paraId="7244948E" w14:textId="21978887" w:rsidR="00324F6C" w:rsidRPr="00B9750A" w:rsidRDefault="00324F6C" w:rsidP="00733014">
      <w:pPr>
        <w:pStyle w:val="TableDescription"/>
      </w:pPr>
      <w:r w:rsidRPr="00B9750A">
        <w:t>* Specific adverse event follow-up form</w:t>
      </w:r>
      <w:r w:rsidR="00FA49F7">
        <w:t xml:space="preserve">. </w:t>
      </w:r>
      <w:r w:rsidRPr="00B9750A">
        <w:t>† EU registry studies</w:t>
      </w:r>
      <w:r w:rsidR="00FA49F7">
        <w:t xml:space="preserve">. </w:t>
      </w:r>
      <w:r w:rsidRPr="00B9750A">
        <w:t xml:space="preserve">‡ Paediatric </w:t>
      </w:r>
      <w:r w:rsidR="00FA49F7">
        <w:t>S</w:t>
      </w:r>
      <w:r w:rsidRPr="00B9750A">
        <w:t>tudy WA28029 (ARTHUR</w:t>
      </w:r>
      <w:r w:rsidR="00FA49F7">
        <w:t xml:space="preserve"> trial</w:t>
      </w:r>
      <w:r w:rsidRPr="00B9750A">
        <w:t>)</w:t>
      </w:r>
      <w:r w:rsidR="00FA49F7">
        <w:t xml:space="preserve">. </w:t>
      </w:r>
      <w:r w:rsidRPr="00B9750A">
        <w:t xml:space="preserve">§ </w:t>
      </w:r>
      <w:r w:rsidR="00102645">
        <w:t>Healthcare professional (</w:t>
      </w:r>
      <w:r w:rsidRPr="00B9750A">
        <w:t>HCP</w:t>
      </w:r>
      <w:r w:rsidR="00102645">
        <w:t>)</w:t>
      </w:r>
      <w:r w:rsidRPr="00B9750A">
        <w:t xml:space="preserve"> brochure, dosing guide and patient brochure.</w:t>
      </w:r>
      <w:r w:rsidR="00FA49F7">
        <w:t xml:space="preserve"> </w:t>
      </w:r>
      <w:r w:rsidRPr="001D3F7E">
        <w:t>+ HCP letter</w:t>
      </w:r>
      <w:r w:rsidR="00FA49F7">
        <w:t>.</w:t>
      </w:r>
    </w:p>
    <w:p w14:paraId="5F6A1107" w14:textId="77777777" w:rsidR="008E7846" w:rsidRDefault="00AA0ED0" w:rsidP="008E7846">
      <w:pPr>
        <w:pStyle w:val="Heading3"/>
      </w:pPr>
      <w:bookmarkStart w:id="55" w:name="_Toc247691531"/>
      <w:bookmarkStart w:id="56" w:name="_Toc314842515"/>
      <w:bookmarkStart w:id="57" w:name="_Toc196046505"/>
      <w:bookmarkStart w:id="58" w:name="_Toc196046949"/>
      <w:bookmarkStart w:id="59" w:name="_Toc49950628"/>
      <w:r>
        <w:t>Risk-benefit a</w:t>
      </w:r>
      <w:r w:rsidR="008E7846">
        <w:t>nalysis</w:t>
      </w:r>
      <w:bookmarkEnd w:id="55"/>
      <w:bookmarkEnd w:id="56"/>
      <w:bookmarkEnd w:id="59"/>
    </w:p>
    <w:p w14:paraId="031C2392" w14:textId="4D5D722B" w:rsidR="00D23139" w:rsidRDefault="00D23139" w:rsidP="00D23139">
      <w:pPr>
        <w:pStyle w:val="Heading4"/>
      </w:pPr>
      <w:r w:rsidRPr="00D23139">
        <w:t>Delegate’s considerations</w:t>
      </w:r>
    </w:p>
    <w:p w14:paraId="698D4C56" w14:textId="6EF23E59" w:rsidR="00BB65AC" w:rsidRDefault="00BB65AC" w:rsidP="00BB65AC">
      <w:r>
        <w:t xml:space="preserve">The </w:t>
      </w:r>
      <w:r w:rsidR="00102645">
        <w:t>s</w:t>
      </w:r>
      <w:r>
        <w:t xml:space="preserve">ponsor proposes to extend the use of Actemra in sJIA to include SC dosing and to decrease the lower age limit to 1 year of age for the SC formulation. A PK/PD bridging study was provided to support the extrapolation of efficacy and safety for the IV </w:t>
      </w:r>
      <w:r w:rsidR="00424284">
        <w:t>tocilizumab</w:t>
      </w:r>
      <w:r>
        <w:t xml:space="preserve"> dosing regimen to the SC </w:t>
      </w:r>
      <w:r w:rsidR="00424284">
        <w:t>tocilizumab</w:t>
      </w:r>
      <w:r>
        <w:t xml:space="preserve"> dosing regimen. The Delegate considers the extrapolation of efficacy and safety from the IV to the SC dosing regimen to be reasonable for patients aged 2 years and above, gi</w:t>
      </w:r>
      <w:r w:rsidR="002A34D9">
        <w:t xml:space="preserve">ven the comparable PK data for </w:t>
      </w:r>
      <w:r>
        <w:t>C</w:t>
      </w:r>
      <w:r w:rsidRPr="007D73D4">
        <w:rPr>
          <w:vertAlign w:val="subscript"/>
        </w:rPr>
        <w:t>min</w:t>
      </w:r>
      <w:r w:rsidR="00102645">
        <w:rPr>
          <w:vertAlign w:val="subscript"/>
        </w:rPr>
        <w:t>,ss</w:t>
      </w:r>
      <w:r>
        <w:t>.</w:t>
      </w:r>
    </w:p>
    <w:p w14:paraId="6CB67734" w14:textId="7BFAF401" w:rsidR="00BB65AC" w:rsidRDefault="00BB65AC" w:rsidP="00BB65AC">
      <w:r>
        <w:t xml:space="preserve">The </w:t>
      </w:r>
      <w:r w:rsidR="00B01BB8">
        <w:t>D</w:t>
      </w:r>
      <w:r>
        <w:t>elegate is concerned that there is limited observed data available to support extrapolation of efficacy and safety for patients in the 1</w:t>
      </w:r>
      <w:r w:rsidR="00102645">
        <w:t xml:space="preserve"> to </w:t>
      </w:r>
      <w:r>
        <w:t>2 year age group particularly given that</w:t>
      </w:r>
      <w:r w:rsidRPr="007D73D4">
        <w:t xml:space="preserve"> </w:t>
      </w:r>
      <w:r>
        <w:t xml:space="preserve">IV </w:t>
      </w:r>
      <w:r w:rsidR="00424284">
        <w:t>tocilizumab</w:t>
      </w:r>
      <w:r>
        <w:t xml:space="preserve"> is not approved for use in sJIA patients in this age group. Observed PK data for the age range 1 to 2 years of age was limited to 3 patients, aged 17, 19 and 22 months at </w:t>
      </w:r>
      <w:r w:rsidR="00B01BB8">
        <w:t>B</w:t>
      </w:r>
      <w:r>
        <w:t xml:space="preserve">aseline and only two out of the three patients received the proposed Q2W dosing regimen. In addition, two of the three patients had had previous exposure to IV </w:t>
      </w:r>
      <w:r w:rsidR="00424284">
        <w:t>tocilizumab</w:t>
      </w:r>
      <w:r>
        <w:t>.</w:t>
      </w:r>
    </w:p>
    <w:p w14:paraId="2F07EF51" w14:textId="75910D7C" w:rsidR="00BB65AC" w:rsidRDefault="00BB65AC" w:rsidP="00BB65AC">
      <w:r>
        <w:t xml:space="preserve">The observed data has been supplemented with model predicted data. </w:t>
      </w:r>
      <w:r>
        <w:rPr>
          <w:lang w:eastAsia="ja-JP"/>
        </w:rPr>
        <w:t xml:space="preserve">The simulations included 3 patients less than 2 years old, weighing 6.8 to 10.0 kg that had higher </w:t>
      </w:r>
      <w:r w:rsidR="00424284">
        <w:rPr>
          <w:lang w:eastAsia="ja-JP"/>
        </w:rPr>
        <w:t>tocilizumab</w:t>
      </w:r>
      <w:r>
        <w:rPr>
          <w:lang w:eastAsia="ja-JP"/>
        </w:rPr>
        <w:t xml:space="preserve"> exposures than previously seen with SC or IV dosing. </w:t>
      </w:r>
      <w:r>
        <w:t xml:space="preserve">The </w:t>
      </w:r>
      <w:r w:rsidR="00102645">
        <w:t>s</w:t>
      </w:r>
      <w:r>
        <w:t xml:space="preserve">ponsor has introduced a 10 kg body weight cut off in order to minimise the higher </w:t>
      </w:r>
      <w:r w:rsidR="00424284">
        <w:t>tocilizumab</w:t>
      </w:r>
      <w:r>
        <w:t xml:space="preserve"> exposures following SC administration. However, there are concerns that the model may underestimate </w:t>
      </w:r>
      <w:r w:rsidR="00424284">
        <w:rPr>
          <w:lang w:eastAsia="ja-JP"/>
        </w:rPr>
        <w:t>tocilizumab</w:t>
      </w:r>
      <w:r w:rsidRPr="005F222E">
        <w:rPr>
          <w:lang w:eastAsia="ja-JP"/>
        </w:rPr>
        <w:t xml:space="preserve"> SC concentrations and </w:t>
      </w:r>
      <w:r>
        <w:rPr>
          <w:lang w:eastAsia="ja-JP"/>
        </w:rPr>
        <w:t xml:space="preserve">it has been advised that </w:t>
      </w:r>
      <w:r w:rsidRPr="005F222E">
        <w:rPr>
          <w:lang w:eastAsia="ja-JP"/>
        </w:rPr>
        <w:t xml:space="preserve">the results be </w:t>
      </w:r>
      <w:r>
        <w:rPr>
          <w:lang w:eastAsia="ja-JP"/>
        </w:rPr>
        <w:t>interpreted</w:t>
      </w:r>
      <w:r w:rsidRPr="005F222E">
        <w:rPr>
          <w:lang w:eastAsia="ja-JP"/>
        </w:rPr>
        <w:t xml:space="preserve"> with caution</w:t>
      </w:r>
      <w:r>
        <w:t>.</w:t>
      </w:r>
    </w:p>
    <w:p w14:paraId="5E74BFC7" w14:textId="12FC250D" w:rsidR="00BB65AC" w:rsidRDefault="00BB65AC" w:rsidP="00BB65AC">
      <w:pPr>
        <w:rPr>
          <w:lang w:val="en-US"/>
        </w:rPr>
      </w:pPr>
      <w:r>
        <w:t xml:space="preserve">SC </w:t>
      </w:r>
      <w:r w:rsidR="00424284">
        <w:t>tocilizumab</w:t>
      </w:r>
      <w:r>
        <w:t xml:space="preserve"> has been approved in both the EU and US for sJIA but the regulators have taken different approaches to the issue of limited observed data for the 1</w:t>
      </w:r>
      <w:r w:rsidR="00102645">
        <w:t xml:space="preserve"> to </w:t>
      </w:r>
      <w:r>
        <w:t xml:space="preserve">2 year age group. The </w:t>
      </w:r>
      <w:r w:rsidR="00102645">
        <w:t>European Medicines Agency (</w:t>
      </w:r>
      <w:r>
        <w:t>EMA</w:t>
      </w:r>
      <w:r w:rsidR="00102645">
        <w:t>)</w:t>
      </w:r>
      <w:r>
        <w:t xml:space="preserve"> considered the PK exposures for the SC and IV regimens to be comparable for sJIA patients aged 1</w:t>
      </w:r>
      <w:r w:rsidR="00102645">
        <w:t xml:space="preserve"> to </w:t>
      </w:r>
      <w:r>
        <w:t xml:space="preserve">2 years who weigh &gt; 10.0 kg and considered the benefit risk balance to be favourable for this age group despite low patient numbers between 1 and 2 years of age. The dosing instructions in the </w:t>
      </w:r>
      <w:r w:rsidR="00F81697">
        <w:t>S</w:t>
      </w:r>
      <w:r w:rsidR="00102645">
        <w:t xml:space="preserve">ummary of </w:t>
      </w:r>
      <w:r w:rsidR="00F81697">
        <w:t>P</w:t>
      </w:r>
      <w:r w:rsidR="00102645">
        <w:t xml:space="preserve">roduct </w:t>
      </w:r>
      <w:r w:rsidR="00F81697">
        <w:t>C</w:t>
      </w:r>
      <w:r w:rsidR="00102645">
        <w:t>haracteristics (</w:t>
      </w:r>
      <w:r>
        <w:t>SmPC</w:t>
      </w:r>
      <w:r w:rsidR="00102645">
        <w:t>)</w:t>
      </w:r>
      <w:r w:rsidR="005A5049">
        <w:rPr>
          <w:rStyle w:val="FootnoteReference"/>
        </w:rPr>
        <w:footnoteReference w:id="8"/>
      </w:r>
      <w:r>
        <w:t xml:space="preserve"> limit the patient population to those </w:t>
      </w:r>
      <w:r>
        <w:rPr>
          <w:lang w:val="en-US"/>
        </w:rPr>
        <w:t>weighing at least 10 kg.</w:t>
      </w:r>
      <w:r w:rsidRPr="00CF7397">
        <w:rPr>
          <w:lang w:eastAsia="ja-JP"/>
        </w:rPr>
        <w:t xml:space="preserve"> </w:t>
      </w:r>
      <w:r>
        <w:rPr>
          <w:lang w:eastAsia="ja-JP"/>
        </w:rPr>
        <w:t xml:space="preserve">Efficacy endpoints in </w:t>
      </w:r>
      <w:r w:rsidR="00102645">
        <w:rPr>
          <w:lang w:eastAsia="ja-JP"/>
        </w:rPr>
        <w:t>S</w:t>
      </w:r>
      <w:r>
        <w:rPr>
          <w:lang w:eastAsia="ja-JP"/>
        </w:rPr>
        <w:t>tudy WA28118 were exploratory only, but JADAS-71 results in patients aged 1</w:t>
      </w:r>
      <w:r w:rsidR="00102645">
        <w:rPr>
          <w:lang w:eastAsia="ja-JP"/>
        </w:rPr>
        <w:t xml:space="preserve"> to </w:t>
      </w:r>
      <w:r>
        <w:rPr>
          <w:lang w:eastAsia="ja-JP"/>
        </w:rPr>
        <w:t>2 years or weighing &lt; 10 kg appeared to be consistent with that in older patients. Again, interpretation of the data is limited by the small number of patients in these categories (3 patients &lt; 2 years old and one patient over 2 years and &lt; 10 kg).</w:t>
      </w:r>
      <w:r>
        <w:t xml:space="preserve"> The </w:t>
      </w:r>
      <w:r>
        <w:lastRenderedPageBreak/>
        <w:t xml:space="preserve">FDA did not decrease the lower age limit to 1 year of age for the SC formulation, due to limited data from </w:t>
      </w:r>
      <w:r w:rsidR="00102645">
        <w:t>S</w:t>
      </w:r>
      <w:r>
        <w:t xml:space="preserve">tudy WA28118 for this age group and as a favourable benefit risk balance was not established previously for the IV Actemra dosing regimen in this patient population. </w:t>
      </w:r>
      <w:r>
        <w:rPr>
          <w:lang w:val="en-US"/>
        </w:rPr>
        <w:t>The changes proposed in the Australian submission align with those approved in the EU.</w:t>
      </w:r>
    </w:p>
    <w:p w14:paraId="3FEE2ED4" w14:textId="7905ADCF" w:rsidR="00BB65AC" w:rsidRPr="00F44BF9" w:rsidRDefault="00BB65AC" w:rsidP="00BB65AC">
      <w:pPr>
        <w:rPr>
          <w:lang w:eastAsia="ja-JP"/>
        </w:rPr>
      </w:pPr>
      <w:r w:rsidRPr="00390B4A">
        <w:rPr>
          <w:lang w:eastAsia="ja-JP"/>
        </w:rPr>
        <w:t xml:space="preserve">The Delegate also has concerns regarding the extrapolation of safety to the </w:t>
      </w:r>
      <w:r w:rsidRPr="00390B4A">
        <w:t>1</w:t>
      </w:r>
      <w:r w:rsidR="00102645">
        <w:t xml:space="preserve"> to </w:t>
      </w:r>
      <w:r w:rsidRPr="00390B4A">
        <w:t>2 year age group.</w:t>
      </w:r>
      <w:r w:rsidRPr="00390B4A">
        <w:rPr>
          <w:lang w:eastAsia="ja-JP"/>
        </w:rPr>
        <w:t xml:space="preserve"> </w:t>
      </w:r>
      <w:r>
        <w:rPr>
          <w:lang w:eastAsia="ja-JP"/>
        </w:rPr>
        <w:t>Whilst Study 28118 found that safety in this patient group and those &lt; 10 kg appeared to be consistent with the older patients in the study, again this assessment was based on only a small number of patients (n = 4).</w:t>
      </w:r>
    </w:p>
    <w:p w14:paraId="2F874652" w14:textId="77777777" w:rsidR="00BB65AC" w:rsidRDefault="00BB65AC" w:rsidP="00BB65AC">
      <w:pPr>
        <w:pStyle w:val="Heading4"/>
      </w:pPr>
      <w:r w:rsidRPr="005529C3">
        <w:t>Proposed indication</w:t>
      </w:r>
    </w:p>
    <w:p w14:paraId="73A18051" w14:textId="4A4C540A" w:rsidR="00BB65AC" w:rsidRPr="00B6086E" w:rsidRDefault="00BB65AC" w:rsidP="00BB65AC">
      <w:r>
        <w:t xml:space="preserve">The IV formulation of tocilizumab is currently approved in Australia for use in sJIA patients aged 2 years and older. The </w:t>
      </w:r>
      <w:r w:rsidR="00102645">
        <w:t>s</w:t>
      </w:r>
      <w:r>
        <w:t xml:space="preserve">ponsor has proposed changes to the sJIA indication for tocilizumab to include SC dosing and to decrease the lower age limit for the SC formulation to 1 year of age. As outlined above the EU and the US have both approved SC </w:t>
      </w:r>
      <w:r w:rsidR="00424284">
        <w:t>tocilizumab</w:t>
      </w:r>
      <w:r>
        <w:t xml:space="preserve"> for use in sJIA patients but the regulators had divergent opinions on decreasing the lower age limit for the SC formulation. Subject to the advice of </w:t>
      </w:r>
      <w:r w:rsidR="00102645">
        <w:t>the Advisory Committee on Medicines (</w:t>
      </w:r>
      <w:r>
        <w:t>ACM</w:t>
      </w:r>
      <w:r w:rsidR="00102645">
        <w:t>)</w:t>
      </w:r>
      <w:r>
        <w:t>, the Delegate is of the view that there is a favourable risk-benefit balance for the proposed SC route of administration in sJIA for patients aged ≥</w:t>
      </w:r>
      <w:r w:rsidR="00F81697">
        <w:t> </w:t>
      </w:r>
      <w:r>
        <w:t>2</w:t>
      </w:r>
      <w:r w:rsidR="00F81697">
        <w:t> </w:t>
      </w:r>
      <w:r>
        <w:t>years. The Delegate has concerns regarding the safety and efficacy of SC tocilizumab in the 1</w:t>
      </w:r>
      <w:r w:rsidR="00102645">
        <w:t xml:space="preserve"> to </w:t>
      </w:r>
      <w:r>
        <w:t xml:space="preserve">2 year old age group and is therefore seeking the advice of </w:t>
      </w:r>
      <w:r w:rsidR="00B13C32">
        <w:t xml:space="preserve">the </w:t>
      </w:r>
      <w:r>
        <w:t>ACM.</w:t>
      </w:r>
    </w:p>
    <w:p w14:paraId="15C49D0A" w14:textId="77777777" w:rsidR="00BB65AC" w:rsidRDefault="00BB65AC" w:rsidP="00BB65AC">
      <w:pPr>
        <w:pStyle w:val="Heading4"/>
      </w:pPr>
      <w:r>
        <w:t>Deficiencies of the data</w:t>
      </w:r>
    </w:p>
    <w:p w14:paraId="32C9349E" w14:textId="7E4C789E" w:rsidR="00BB65AC" w:rsidRDefault="00BB65AC" w:rsidP="00BB65AC">
      <w:r>
        <w:t>As outlined above, limited observed data is available for the SC dosing regimens particularly for patients between 1</w:t>
      </w:r>
      <w:r w:rsidR="00102645">
        <w:t xml:space="preserve"> to </w:t>
      </w:r>
      <w:r>
        <w:t>2 years of age (n</w:t>
      </w:r>
      <w:r w:rsidR="00102645">
        <w:t xml:space="preserve"> </w:t>
      </w:r>
      <w:r>
        <w:t>=</w:t>
      </w:r>
      <w:r w:rsidR="00102645">
        <w:t xml:space="preserve"> </w:t>
      </w:r>
      <w:r>
        <w:t>3).</w:t>
      </w:r>
    </w:p>
    <w:p w14:paraId="0B9841F7" w14:textId="7282C747" w:rsidR="00E128DB" w:rsidRDefault="00E128DB" w:rsidP="00F809BE">
      <w:pPr>
        <w:pStyle w:val="Heading4"/>
      </w:pPr>
      <w:r>
        <w:t>Conditions of registration</w:t>
      </w:r>
    </w:p>
    <w:p w14:paraId="06CDEE73" w14:textId="56BC3351" w:rsidR="00E128DB" w:rsidRDefault="00E128DB" w:rsidP="00E128DB">
      <w:r>
        <w:t xml:space="preserve">The RMP evaluator has proposed the following conditions of registration </w:t>
      </w:r>
      <w:r w:rsidRPr="00AF5BD4">
        <w:t>and the sponsor agreed to implement a health care professional brochure, a dosing guide and a patient brochure to address the risk of serious hypersensitivity reactions.</w:t>
      </w:r>
    </w:p>
    <w:p w14:paraId="25416781" w14:textId="5A9A8EC5" w:rsidR="00E128DB" w:rsidRDefault="00E128DB" w:rsidP="00733014">
      <w:pPr>
        <w:ind w:left="720"/>
      </w:pPr>
      <w:r w:rsidRPr="00707B20">
        <w:t xml:space="preserve">The </w:t>
      </w:r>
      <w:r w:rsidR="00102645">
        <w:t>Actemra</w:t>
      </w:r>
      <w:r w:rsidR="00102645" w:rsidRPr="00707B20">
        <w:t xml:space="preserve"> </w:t>
      </w:r>
      <w:r w:rsidRPr="00707B20">
        <w:t xml:space="preserve">EU-RMP (version 24.1, dated 14 August 2018, </w:t>
      </w:r>
      <w:r w:rsidR="000A3F82">
        <w:t>DLP</w:t>
      </w:r>
      <w:r w:rsidRPr="00707B20">
        <w:t xml:space="preserve"> July 2018), with </w:t>
      </w:r>
      <w:r w:rsidR="00DF1117">
        <w:t xml:space="preserve">ASA </w:t>
      </w:r>
      <w:r w:rsidRPr="00707B20">
        <w:t>(version 10.0, dated November 2018), included with submission PM-2018-05341-1-3, and any subsequent revisions, as agreed with the TGA will be implemented in Australia.</w:t>
      </w:r>
    </w:p>
    <w:p w14:paraId="592C7C67" w14:textId="77777777" w:rsidR="00E128DB" w:rsidRDefault="00E128DB" w:rsidP="00733014">
      <w:pPr>
        <w:ind w:left="720"/>
      </w:pPr>
      <w:r>
        <w:t>An obligatory component of risk management plans is routine pharmacovigilance. Routine pharmacovigilance includes the submission of periodic safety update reports (PSURs).</w:t>
      </w:r>
    </w:p>
    <w:p w14:paraId="1AAD72A2" w14:textId="77777777" w:rsidR="00E128DB" w:rsidRDefault="00E128DB" w:rsidP="00733014">
      <w:pPr>
        <w:ind w:left="720"/>
      </w:pPr>
      <w:r>
        <w:t xml:space="preserve">Reports are to be provided in line with the current published list of EU reference dates and frequency of submission of PSURs until the period covered by such reports is not less than three years from the date of this approval letter. </w:t>
      </w:r>
    </w:p>
    <w:p w14:paraId="0B1363F5" w14:textId="2913DD87" w:rsidR="00E128DB" w:rsidRPr="00B05DC1" w:rsidRDefault="00E128DB" w:rsidP="00733014">
      <w:pPr>
        <w:ind w:left="720"/>
      </w:pPr>
      <w:r>
        <w:t xml:space="preserve">The reports are to at least meet the requirements for PSURs as described in the European Medicines Agency’s Guideline on </w:t>
      </w:r>
      <w:r w:rsidR="000A3F82">
        <w:t xml:space="preserve">Good Pharmacovigilance Practices </w:t>
      </w:r>
      <w:r>
        <w:t>(GVP) Module VII-periodic safety update report (Rev 1), Part VII.B Structures and processes. Note that submission of a PSUR does not constitute an application to vary the registration.</w:t>
      </w:r>
    </w:p>
    <w:p w14:paraId="6BF45CC6" w14:textId="6486A584" w:rsidR="00D23139" w:rsidRDefault="00D23139" w:rsidP="00D23139">
      <w:pPr>
        <w:pStyle w:val="Heading4"/>
      </w:pPr>
      <w:r w:rsidRPr="00D23139">
        <w:lastRenderedPageBreak/>
        <w:t>Proposed action</w:t>
      </w:r>
    </w:p>
    <w:p w14:paraId="1C88B077" w14:textId="618FDE8F" w:rsidR="000A3F82" w:rsidRPr="000A3F82" w:rsidRDefault="000A3F82" w:rsidP="00733014">
      <w:r>
        <w:t>The Delegate ha</w:t>
      </w:r>
      <w:r w:rsidR="00F81697">
        <w:t>d</w:t>
      </w:r>
      <w:r w:rsidRPr="000A3F82">
        <w:t xml:space="preserve"> no reason to say, at t</w:t>
      </w:r>
      <w:r w:rsidR="00F81697">
        <w:t>he</w:t>
      </w:r>
      <w:r w:rsidRPr="000A3F82">
        <w:t xml:space="preserve"> time, that the application for tocilizumab (Actemra) should not be approved for registration for SC adm</w:t>
      </w:r>
      <w:r>
        <w:t>inistration for sJIA. However, they</w:t>
      </w:r>
      <w:r w:rsidRPr="000A3F82">
        <w:t xml:space="preserve"> have concerns regarding the safety and effi</w:t>
      </w:r>
      <w:r w:rsidR="005A45E9">
        <w:t>cacy of SC tocilizumab in the 1 </w:t>
      </w:r>
      <w:r>
        <w:t xml:space="preserve">to </w:t>
      </w:r>
      <w:r w:rsidRPr="000A3F82">
        <w:t>2 year old age group</w:t>
      </w:r>
      <w:r w:rsidR="005A45E9">
        <w:t>,</w:t>
      </w:r>
      <w:r w:rsidRPr="000A3F82">
        <w:t xml:space="preserve"> and </w:t>
      </w:r>
      <w:r w:rsidR="003C4F41">
        <w:t>is</w:t>
      </w:r>
      <w:r w:rsidRPr="000A3F82">
        <w:t xml:space="preserve"> therefore seeking the advice of ACM.</w:t>
      </w:r>
    </w:p>
    <w:p w14:paraId="5C800AC3" w14:textId="17FC97F1" w:rsidR="008C1DBD" w:rsidRDefault="006D5047" w:rsidP="008E7846">
      <w:pPr>
        <w:pStyle w:val="Heading4"/>
      </w:pPr>
      <w:r>
        <w:t>R</w:t>
      </w:r>
      <w:r w:rsidR="008C1DBD">
        <w:t>equest for Advisory Committee on Medicines advice</w:t>
      </w:r>
      <w:r w:rsidR="002C3A40">
        <w:t xml:space="preserve"> (February 2019 meeting)</w:t>
      </w:r>
    </w:p>
    <w:p w14:paraId="3729B128" w14:textId="77777777" w:rsidR="002C3A40" w:rsidRPr="002C3A40" w:rsidRDefault="002C3A40" w:rsidP="00733014">
      <w:pPr>
        <w:pStyle w:val="Numberbullet0"/>
        <w:rPr>
          <w:lang w:eastAsia="en-AU"/>
        </w:rPr>
      </w:pPr>
      <w:r w:rsidRPr="002C3A40">
        <w:rPr>
          <w:lang w:eastAsia="en-AU"/>
        </w:rPr>
        <w:t>Please comment on the evidence provided in support of the extrapolation of the efficacy of tocilizumab IV dosing to SC dosing for the sJIA indication.</w:t>
      </w:r>
    </w:p>
    <w:p w14:paraId="557E2EF6" w14:textId="780057F4" w:rsidR="002C3A40" w:rsidRPr="002C3A40" w:rsidRDefault="002C3A40" w:rsidP="00733014">
      <w:pPr>
        <w:pStyle w:val="Numberbullet0"/>
        <w:rPr>
          <w:lang w:eastAsia="en-AU"/>
        </w:rPr>
      </w:pPr>
      <w:r w:rsidRPr="002C3A40">
        <w:rPr>
          <w:lang w:eastAsia="en-AU"/>
        </w:rPr>
        <w:t>Please comment on the evidence provided in support of lowering the lower age limit to 1 year of age for the SC route of administration for tozilizumab.</w:t>
      </w:r>
    </w:p>
    <w:p w14:paraId="64DC6EA1" w14:textId="40CE1718" w:rsidR="002C3A40" w:rsidRDefault="002C3A40" w:rsidP="00733014">
      <w:pPr>
        <w:pStyle w:val="Numberbullet0"/>
        <w:rPr>
          <w:lang w:eastAsia="en-AU"/>
        </w:rPr>
      </w:pPr>
      <w:r w:rsidRPr="002C3A40">
        <w:rPr>
          <w:lang w:eastAsia="en-AU"/>
        </w:rPr>
        <w:t>Please comment on the evidence provided in support of the safety of SC tocilizumab. Does the committee have any concerns regarding the safety profile in patients aged 1</w:t>
      </w:r>
      <w:r w:rsidR="005A45E9">
        <w:rPr>
          <w:lang w:eastAsia="en-AU"/>
        </w:rPr>
        <w:t> </w:t>
      </w:r>
      <w:r w:rsidR="000A3F82">
        <w:rPr>
          <w:lang w:eastAsia="en-AU"/>
        </w:rPr>
        <w:t xml:space="preserve">to </w:t>
      </w:r>
      <w:r w:rsidRPr="002C3A40">
        <w:rPr>
          <w:lang w:eastAsia="en-AU"/>
        </w:rPr>
        <w:t>2 years old?</w:t>
      </w:r>
    </w:p>
    <w:p w14:paraId="778CF977" w14:textId="44CAA709" w:rsidR="002C3A40" w:rsidRPr="002C3A40" w:rsidRDefault="002C3A40" w:rsidP="00733014">
      <w:pPr>
        <w:pStyle w:val="Numberbullet0"/>
        <w:rPr>
          <w:lang w:eastAsia="en-AU"/>
        </w:rPr>
      </w:pPr>
      <w:r w:rsidRPr="002C3A40">
        <w:rPr>
          <w:lang w:eastAsia="en-AU"/>
        </w:rPr>
        <w:t>What are the committee</w:t>
      </w:r>
      <w:r w:rsidR="008F3C1F">
        <w:rPr>
          <w:lang w:eastAsia="en-AU"/>
        </w:rPr>
        <w:t>’</w:t>
      </w:r>
      <w:r w:rsidRPr="002C3A40">
        <w:rPr>
          <w:lang w:eastAsia="en-AU"/>
        </w:rPr>
        <w:t>s views on imposing a minimum weight restriction of 10 kg for patients receiving SC tocilizumab?</w:t>
      </w:r>
    </w:p>
    <w:p w14:paraId="764B4868" w14:textId="449145BD" w:rsidR="008E7846" w:rsidRDefault="008E7846" w:rsidP="008E7846">
      <w:pPr>
        <w:pStyle w:val="Heading4"/>
      </w:pPr>
      <w:r>
        <w:t xml:space="preserve">Advisory Committee </w:t>
      </w:r>
      <w:r w:rsidR="000A3F82">
        <w:t>c</w:t>
      </w:r>
      <w:r>
        <w:t>onsiderations</w:t>
      </w:r>
      <w:r w:rsidR="00456765">
        <w:rPr>
          <w:rStyle w:val="FootnoteReference"/>
        </w:rPr>
        <w:footnoteReference w:id="9"/>
      </w:r>
    </w:p>
    <w:p w14:paraId="4125B97D" w14:textId="724E062C" w:rsidR="002C3A40" w:rsidRDefault="002C3A40" w:rsidP="002C3A40">
      <w:pPr>
        <w:rPr>
          <w:bCs/>
        </w:rPr>
      </w:pPr>
      <w:r w:rsidRPr="00456765">
        <w:rPr>
          <w:bCs/>
        </w:rPr>
        <w:t xml:space="preserve">The </w:t>
      </w:r>
      <w:r w:rsidR="00F81697">
        <w:rPr>
          <w:bCs/>
        </w:rPr>
        <w:t>Advisory Committee on Medicines (</w:t>
      </w:r>
      <w:r w:rsidRPr="00456765">
        <w:rPr>
          <w:bCs/>
        </w:rPr>
        <w:t>ACM</w:t>
      </w:r>
      <w:r w:rsidR="00F81697">
        <w:rPr>
          <w:bCs/>
        </w:rPr>
        <w:t>)</w:t>
      </w:r>
      <w:r w:rsidRPr="00456765">
        <w:rPr>
          <w:bCs/>
        </w:rPr>
        <w:t>, having considered the evaluations and the Delegate’s overview, as well as the sponsor’s response to these documents, advised the following:</w:t>
      </w:r>
    </w:p>
    <w:p w14:paraId="5F49C60D" w14:textId="3DE6DA94" w:rsidR="002C3A40" w:rsidRDefault="00B24B4F" w:rsidP="002C3A40">
      <w:r w:rsidRPr="00B24B4F">
        <w:t>The ACM considered this product to have an overall positive benefit-risk profile</w:t>
      </w:r>
      <w:r w:rsidR="00E128DB">
        <w:t xml:space="preserve"> for the indication:</w:t>
      </w:r>
    </w:p>
    <w:p w14:paraId="3658439D" w14:textId="343EF42C" w:rsidR="00E128DB" w:rsidRPr="00733014" w:rsidRDefault="00E128DB" w:rsidP="00733014">
      <w:pPr>
        <w:ind w:left="720"/>
        <w:rPr>
          <w:i/>
        </w:rPr>
      </w:pPr>
      <w:r w:rsidRPr="00733014">
        <w:rPr>
          <w:i/>
        </w:rPr>
        <w:t>Systemic Juvenile Idiopathic Arthritis (IV and SC formulation)</w:t>
      </w:r>
    </w:p>
    <w:p w14:paraId="7326A2D1" w14:textId="756ACF20" w:rsidR="00E128DB" w:rsidRPr="00733014" w:rsidRDefault="00E128DB" w:rsidP="00733014">
      <w:pPr>
        <w:ind w:left="720"/>
        <w:rPr>
          <w:i/>
        </w:rPr>
      </w:pPr>
      <w:r w:rsidRPr="00733014">
        <w:rPr>
          <w:i/>
        </w:rPr>
        <w:t>Intravenous formulation</w:t>
      </w:r>
    </w:p>
    <w:p w14:paraId="2C412264" w14:textId="0AA7D205" w:rsidR="00E128DB" w:rsidRPr="00733014" w:rsidRDefault="00E128DB" w:rsidP="00733014">
      <w:pPr>
        <w:ind w:left="720"/>
        <w:rPr>
          <w:i/>
        </w:rPr>
      </w:pPr>
      <w:r w:rsidRPr="00733014">
        <w:rPr>
          <w:i/>
        </w:rPr>
        <w:t>Actemra is indicated for the treatment of active systemic juvenile idiopathic arthritis in patients 2 years of age and older.</w:t>
      </w:r>
    </w:p>
    <w:p w14:paraId="59D1108C" w14:textId="193EBA0F" w:rsidR="00E128DB" w:rsidRPr="00733014" w:rsidRDefault="00E128DB" w:rsidP="00733014">
      <w:pPr>
        <w:ind w:left="720"/>
        <w:rPr>
          <w:i/>
        </w:rPr>
      </w:pPr>
      <w:r w:rsidRPr="00733014">
        <w:rPr>
          <w:i/>
        </w:rPr>
        <w:t>Subcutaneous formulation</w:t>
      </w:r>
    </w:p>
    <w:p w14:paraId="4474A9DE" w14:textId="42B6C05B" w:rsidR="00E128DB" w:rsidRPr="00733014" w:rsidRDefault="00E128DB" w:rsidP="00733014">
      <w:pPr>
        <w:ind w:left="720"/>
        <w:rPr>
          <w:i/>
        </w:rPr>
      </w:pPr>
      <w:r w:rsidRPr="00733014">
        <w:rPr>
          <w:i/>
        </w:rPr>
        <w:t>Actemra is indicated for the treatment of active systemic juvenile idiopathic arthritis in patients 1 year of age and older.</w:t>
      </w:r>
    </w:p>
    <w:p w14:paraId="5C5C4837" w14:textId="7BBF8743" w:rsidR="00E128DB" w:rsidRPr="00733014" w:rsidRDefault="00E128DB" w:rsidP="00733014">
      <w:pPr>
        <w:ind w:left="720"/>
        <w:rPr>
          <w:i/>
        </w:rPr>
      </w:pPr>
      <w:r w:rsidRPr="00733014">
        <w:rPr>
          <w:i/>
        </w:rPr>
        <w:t>Actemra IV and SC can be given alone or in combination with methotrexate (MTX).</w:t>
      </w:r>
    </w:p>
    <w:p w14:paraId="4D2FC124" w14:textId="434FD150" w:rsidR="00E128DB" w:rsidRPr="00733014" w:rsidRDefault="00E128DB" w:rsidP="0035222B">
      <w:pPr>
        <w:pStyle w:val="Heading5"/>
        <w:rPr>
          <w:i w:val="0"/>
        </w:rPr>
      </w:pPr>
      <w:r w:rsidRPr="00733014">
        <w:rPr>
          <w:i w:val="0"/>
        </w:rPr>
        <w:lastRenderedPageBreak/>
        <w:t>Specific advice</w:t>
      </w:r>
    </w:p>
    <w:p w14:paraId="11345500" w14:textId="07DBCF61" w:rsidR="002377B5" w:rsidRPr="003B7154" w:rsidRDefault="002377B5" w:rsidP="0035222B">
      <w:pPr>
        <w:keepNext/>
        <w:keepLines/>
      </w:pPr>
      <w:r w:rsidRPr="003B7154">
        <w:t>The ACM advised the following in response to the Delegate’s specific request for advice</w:t>
      </w:r>
      <w:r w:rsidR="000A3F82">
        <w:t>.</w:t>
      </w:r>
    </w:p>
    <w:p w14:paraId="5FA1CF73" w14:textId="77777777" w:rsidR="002377B5" w:rsidRPr="00733014" w:rsidRDefault="002377B5" w:rsidP="0035222B">
      <w:pPr>
        <w:pStyle w:val="Numberbullet0"/>
        <w:keepNext/>
        <w:keepLines/>
        <w:numPr>
          <w:ilvl w:val="0"/>
          <w:numId w:val="33"/>
        </w:numPr>
        <w:rPr>
          <w:b/>
          <w:i/>
          <w:noProof/>
        </w:rPr>
      </w:pPr>
      <w:r w:rsidRPr="00733014">
        <w:rPr>
          <w:b/>
          <w:i/>
          <w:noProof/>
        </w:rPr>
        <w:t>Please comment on the evidence provided in support of the extrapolation of the efficacy of tocilizumab IV dosing to SC dosing for the sJIA indication.</w:t>
      </w:r>
    </w:p>
    <w:p w14:paraId="6BE0269B" w14:textId="6537DBD0" w:rsidR="002377B5" w:rsidRPr="008C1B9A" w:rsidRDefault="002377B5" w:rsidP="00733014">
      <w:pPr>
        <w:rPr>
          <w:noProof/>
        </w:rPr>
      </w:pPr>
      <w:r>
        <w:rPr>
          <w:noProof/>
        </w:rPr>
        <w:t>The ACM was of the view that the pharmacokinetic</w:t>
      </w:r>
      <w:r w:rsidRPr="008C1B9A">
        <w:rPr>
          <w:noProof/>
        </w:rPr>
        <w:t xml:space="preserve"> parameters were compa</w:t>
      </w:r>
      <w:r>
        <w:rPr>
          <w:noProof/>
        </w:rPr>
        <w:t>rable for the IV and SC dosing regimens. Therefore, the ACM advised that e</w:t>
      </w:r>
      <w:r w:rsidRPr="008C1B9A">
        <w:rPr>
          <w:noProof/>
        </w:rPr>
        <w:t xml:space="preserve">xtrapolation of IV efficacy data to SC use is appropriate and in accord with </w:t>
      </w:r>
      <w:r>
        <w:rPr>
          <w:noProof/>
        </w:rPr>
        <w:t xml:space="preserve">the TGA adopted EU </w:t>
      </w:r>
      <w:r w:rsidRPr="008C1B9A">
        <w:rPr>
          <w:noProof/>
        </w:rPr>
        <w:t>guid</w:t>
      </w:r>
      <w:r>
        <w:rPr>
          <w:noProof/>
        </w:rPr>
        <w:t>elines.</w:t>
      </w:r>
    </w:p>
    <w:p w14:paraId="1136097D" w14:textId="77777777" w:rsidR="002377B5" w:rsidRPr="00733014" w:rsidRDefault="002377B5" w:rsidP="00733014">
      <w:pPr>
        <w:pStyle w:val="Numberbullet0"/>
        <w:rPr>
          <w:b/>
          <w:i/>
          <w:noProof/>
        </w:rPr>
      </w:pPr>
      <w:r w:rsidRPr="00733014">
        <w:rPr>
          <w:b/>
          <w:i/>
          <w:noProof/>
        </w:rPr>
        <w:t>Please comment on the evidence provided in support of lowering the lower age limit to 1 year of age for the SC route of administration for tocilizumab.</w:t>
      </w:r>
    </w:p>
    <w:p w14:paraId="6116B994" w14:textId="10A38426" w:rsidR="002377B5" w:rsidRDefault="002377B5" w:rsidP="00733014">
      <w:pPr>
        <w:rPr>
          <w:noProof/>
        </w:rPr>
      </w:pPr>
      <w:r>
        <w:rPr>
          <w:noProof/>
        </w:rPr>
        <w:t>The ACM noted that t</w:t>
      </w:r>
      <w:r w:rsidRPr="008C1B9A">
        <w:rPr>
          <w:noProof/>
        </w:rPr>
        <w:t>he source data included sJIA subjects &lt; 30 kg and &lt; 2 y</w:t>
      </w:r>
      <w:r>
        <w:rPr>
          <w:noProof/>
        </w:rPr>
        <w:t>ears old</w:t>
      </w:r>
      <w:r w:rsidRPr="008C1B9A">
        <w:rPr>
          <w:noProof/>
        </w:rPr>
        <w:t xml:space="preserve"> in </w:t>
      </w:r>
      <w:r>
        <w:rPr>
          <w:noProof/>
        </w:rPr>
        <w:t>Study NP25737 h</w:t>
      </w:r>
      <w:r w:rsidRPr="008C1B9A">
        <w:rPr>
          <w:noProof/>
        </w:rPr>
        <w:t>owever</w:t>
      </w:r>
      <w:r>
        <w:rPr>
          <w:noProof/>
        </w:rPr>
        <w:t>,</w:t>
      </w:r>
      <w:r w:rsidRPr="008C1B9A">
        <w:rPr>
          <w:noProof/>
        </w:rPr>
        <w:t xml:space="preserve"> these toddlers received weight based IV dosing. The limited data available </w:t>
      </w:r>
      <w:r>
        <w:rPr>
          <w:noProof/>
        </w:rPr>
        <w:t xml:space="preserve">from </w:t>
      </w:r>
      <w:r w:rsidRPr="00926F90">
        <w:t>Study</w:t>
      </w:r>
      <w:r>
        <w:t xml:space="preserve"> WA28118 and </w:t>
      </w:r>
      <w:r>
        <w:rPr>
          <w:noProof/>
        </w:rPr>
        <w:t xml:space="preserve">Study NP25737 </w:t>
      </w:r>
      <w:r w:rsidRPr="008C1B9A">
        <w:rPr>
          <w:noProof/>
        </w:rPr>
        <w:t>support SC use in the patients &lt;</w:t>
      </w:r>
      <w:r w:rsidR="00F81697">
        <w:rPr>
          <w:noProof/>
        </w:rPr>
        <w:t> </w:t>
      </w:r>
      <w:r w:rsidRPr="008C1B9A">
        <w:rPr>
          <w:noProof/>
        </w:rPr>
        <w:t>2</w:t>
      </w:r>
      <w:r w:rsidR="00F81697">
        <w:rPr>
          <w:noProof/>
        </w:rPr>
        <w:t> </w:t>
      </w:r>
      <w:r w:rsidRPr="008C1B9A">
        <w:rPr>
          <w:noProof/>
        </w:rPr>
        <w:t>y</w:t>
      </w:r>
      <w:r>
        <w:rPr>
          <w:noProof/>
        </w:rPr>
        <w:t>ears old</w:t>
      </w:r>
      <w:r w:rsidRPr="008C1B9A">
        <w:rPr>
          <w:noProof/>
        </w:rPr>
        <w:t>.</w:t>
      </w:r>
      <w:r>
        <w:rPr>
          <w:noProof/>
        </w:rPr>
        <w:t xml:space="preserve"> The ACM advised that while the data are limited:</w:t>
      </w:r>
    </w:p>
    <w:p w14:paraId="3FDA534F" w14:textId="77777777" w:rsidR="002377B5" w:rsidRPr="00DB3B38" w:rsidRDefault="002377B5" w:rsidP="00733014">
      <w:pPr>
        <w:pStyle w:val="ListBullet"/>
        <w:rPr>
          <w:noProof/>
        </w:rPr>
      </w:pPr>
      <w:r>
        <w:rPr>
          <w:noProof/>
        </w:rPr>
        <w:t>O</w:t>
      </w:r>
      <w:r w:rsidRPr="00DB3B38">
        <w:rPr>
          <w:noProof/>
        </w:rPr>
        <w:t>ptions</w:t>
      </w:r>
      <w:r>
        <w:rPr>
          <w:noProof/>
        </w:rPr>
        <w:t xml:space="preserve"> for these children are limited;</w:t>
      </w:r>
    </w:p>
    <w:p w14:paraId="35BAD0CC" w14:textId="77777777" w:rsidR="002377B5" w:rsidRPr="00DB3B38" w:rsidRDefault="002377B5" w:rsidP="00733014">
      <w:pPr>
        <w:pStyle w:val="ListBullet"/>
        <w:rPr>
          <w:noProof/>
        </w:rPr>
      </w:pPr>
      <w:r w:rsidRPr="00DB3B38">
        <w:rPr>
          <w:noProof/>
        </w:rPr>
        <w:t>IV tocilizumab does not have an indication for use &lt; 2 y</w:t>
      </w:r>
      <w:r>
        <w:rPr>
          <w:noProof/>
        </w:rPr>
        <w:t>ear of age;</w:t>
      </w:r>
    </w:p>
    <w:p w14:paraId="5AE8E671" w14:textId="77777777" w:rsidR="002377B5" w:rsidRPr="00DB3B38" w:rsidRDefault="002377B5" w:rsidP="00733014">
      <w:pPr>
        <w:pStyle w:val="ListBullet"/>
        <w:rPr>
          <w:noProof/>
        </w:rPr>
      </w:pPr>
      <w:r w:rsidRPr="00DB3B38">
        <w:rPr>
          <w:noProof/>
        </w:rPr>
        <w:t>sJIA is uncommon in children &lt; 2 y</w:t>
      </w:r>
      <w:r>
        <w:rPr>
          <w:noProof/>
        </w:rPr>
        <w:t>ears old</w:t>
      </w:r>
      <w:r w:rsidRPr="00DB3B38">
        <w:rPr>
          <w:noProof/>
        </w:rPr>
        <w:t xml:space="preserve"> and recruitment into studies is difficult</w:t>
      </w:r>
      <w:r>
        <w:rPr>
          <w:noProof/>
        </w:rPr>
        <w:t>;</w:t>
      </w:r>
    </w:p>
    <w:p w14:paraId="33DD7011" w14:textId="77777777" w:rsidR="002377B5" w:rsidRPr="00DB3B38" w:rsidRDefault="002377B5" w:rsidP="00733014">
      <w:pPr>
        <w:pStyle w:val="ListBullet"/>
        <w:rPr>
          <w:noProof/>
        </w:rPr>
      </w:pPr>
      <w:r w:rsidRPr="00DB3B38">
        <w:rPr>
          <w:noProof/>
        </w:rPr>
        <w:t>sJIA in children &lt; 2 y</w:t>
      </w:r>
      <w:r>
        <w:rPr>
          <w:noProof/>
        </w:rPr>
        <w:t>ears old</w:t>
      </w:r>
      <w:r w:rsidRPr="00DB3B38">
        <w:rPr>
          <w:noProof/>
        </w:rPr>
        <w:t xml:space="preserve"> has significant morbidity and mortality</w:t>
      </w:r>
      <w:r>
        <w:rPr>
          <w:noProof/>
        </w:rPr>
        <w:t>;</w:t>
      </w:r>
    </w:p>
    <w:p w14:paraId="51210F0C" w14:textId="77777777" w:rsidR="002377B5" w:rsidRPr="00DB3B38" w:rsidRDefault="002377B5" w:rsidP="00733014">
      <w:pPr>
        <w:pStyle w:val="ListBullet"/>
        <w:rPr>
          <w:noProof/>
        </w:rPr>
      </w:pPr>
      <w:r w:rsidRPr="00DB3B38">
        <w:rPr>
          <w:noProof/>
        </w:rPr>
        <w:t xml:space="preserve">SC </w:t>
      </w:r>
      <w:r>
        <w:rPr>
          <w:noProof/>
        </w:rPr>
        <w:t>administration is generally preferred over</w:t>
      </w:r>
      <w:r w:rsidRPr="00DB3B38">
        <w:rPr>
          <w:noProof/>
        </w:rPr>
        <w:t xml:space="preserve"> IV in </w:t>
      </w:r>
      <w:r>
        <w:rPr>
          <w:noProof/>
        </w:rPr>
        <w:t>young</w:t>
      </w:r>
      <w:r w:rsidRPr="00DB3B38">
        <w:rPr>
          <w:noProof/>
        </w:rPr>
        <w:t xml:space="preserve"> children</w:t>
      </w:r>
      <w:r>
        <w:rPr>
          <w:noProof/>
        </w:rPr>
        <w:t>;</w:t>
      </w:r>
    </w:p>
    <w:p w14:paraId="7C4B1526" w14:textId="77777777" w:rsidR="002377B5" w:rsidRPr="00DB3B38" w:rsidRDefault="002377B5" w:rsidP="00733014">
      <w:pPr>
        <w:pStyle w:val="ListBullet"/>
        <w:rPr>
          <w:noProof/>
        </w:rPr>
      </w:pPr>
      <w:r w:rsidRPr="00DB3B38">
        <w:rPr>
          <w:noProof/>
        </w:rPr>
        <w:t xml:space="preserve">SC </w:t>
      </w:r>
      <w:r>
        <w:rPr>
          <w:noProof/>
        </w:rPr>
        <w:t>tocilizumab</w:t>
      </w:r>
      <w:r w:rsidRPr="00DB3B38">
        <w:rPr>
          <w:noProof/>
        </w:rPr>
        <w:t xml:space="preserve"> was approved for sJIA in EU for children from age 1 year weighing at least 10 kg</w:t>
      </w:r>
      <w:r>
        <w:rPr>
          <w:noProof/>
        </w:rPr>
        <w:t>;</w:t>
      </w:r>
    </w:p>
    <w:p w14:paraId="6777522E" w14:textId="77777777" w:rsidR="002377B5" w:rsidRPr="00B63135" w:rsidRDefault="002377B5" w:rsidP="00733014">
      <w:pPr>
        <w:pStyle w:val="ListBullet"/>
      </w:pPr>
      <w:r w:rsidRPr="00DB3B38">
        <w:t>Use</w:t>
      </w:r>
      <w:r>
        <w:t>,</w:t>
      </w:r>
      <w:r w:rsidRPr="00DB3B38">
        <w:t xml:space="preserve"> if approved</w:t>
      </w:r>
      <w:r>
        <w:t>,</w:t>
      </w:r>
      <w:r w:rsidRPr="00DB3B38">
        <w:t xml:space="preserve"> would be limited to specialised clinics and teams</w:t>
      </w:r>
      <w:r>
        <w:t>, including provision of the first dose in hospital, which would facilitate the management of any AEs.</w:t>
      </w:r>
    </w:p>
    <w:p w14:paraId="6644A6A5" w14:textId="2AF89E85" w:rsidR="002377B5" w:rsidRPr="005722A9" w:rsidRDefault="002377B5" w:rsidP="00733014">
      <w:pPr>
        <w:rPr>
          <w:noProof/>
        </w:rPr>
      </w:pPr>
      <w:r>
        <w:rPr>
          <w:noProof/>
        </w:rPr>
        <w:t>In this setting, t</w:t>
      </w:r>
      <w:r w:rsidRPr="00926F90">
        <w:rPr>
          <w:noProof/>
        </w:rPr>
        <w:t xml:space="preserve">he ACM advised that </w:t>
      </w:r>
      <w:r>
        <w:rPr>
          <w:noProof/>
        </w:rPr>
        <w:t>physiologically, one year old and two year old children are similar and that in clinical practice they are not traditionally treated differently.</w:t>
      </w:r>
    </w:p>
    <w:p w14:paraId="72B9F868" w14:textId="1EE613A2" w:rsidR="002377B5" w:rsidRPr="00733014" w:rsidRDefault="002377B5" w:rsidP="00733014">
      <w:pPr>
        <w:pStyle w:val="Numberbullet0"/>
        <w:rPr>
          <w:b/>
          <w:i/>
          <w:noProof/>
        </w:rPr>
      </w:pPr>
      <w:r w:rsidRPr="00733014">
        <w:rPr>
          <w:b/>
          <w:i/>
          <w:noProof/>
        </w:rPr>
        <w:t>Please comment on the evidence provided in support of the safety of SC tocilizumab. Does the committee have any concerns regarding the safety profile in patients aged 1</w:t>
      </w:r>
      <w:r w:rsidR="00476D70">
        <w:rPr>
          <w:b/>
          <w:i/>
          <w:noProof/>
        </w:rPr>
        <w:t xml:space="preserve"> to </w:t>
      </w:r>
      <w:r w:rsidRPr="00733014">
        <w:rPr>
          <w:b/>
          <w:i/>
          <w:noProof/>
        </w:rPr>
        <w:t>2 years old?</w:t>
      </w:r>
    </w:p>
    <w:p w14:paraId="18C065E3" w14:textId="129A4CF1" w:rsidR="002377B5" w:rsidRPr="006D5924" w:rsidRDefault="002377B5" w:rsidP="00733014">
      <w:pPr>
        <w:rPr>
          <w:b/>
          <w:noProof/>
        </w:rPr>
      </w:pPr>
      <w:r>
        <w:rPr>
          <w:noProof/>
        </w:rPr>
        <w:t xml:space="preserve">The ACM advised that </w:t>
      </w:r>
      <w:r w:rsidRPr="008C1B9A">
        <w:rPr>
          <w:noProof/>
        </w:rPr>
        <w:t xml:space="preserve">AEs </w:t>
      </w:r>
      <w:r>
        <w:rPr>
          <w:noProof/>
        </w:rPr>
        <w:t xml:space="preserve">largely </w:t>
      </w:r>
      <w:r w:rsidRPr="008C1B9A">
        <w:rPr>
          <w:noProof/>
        </w:rPr>
        <w:t xml:space="preserve">relate to the anti-IL6 effects of </w:t>
      </w:r>
      <w:r w:rsidRPr="00DB5901">
        <w:rPr>
          <w:noProof/>
        </w:rPr>
        <w:t>tocilizumab</w:t>
      </w:r>
      <w:r>
        <w:rPr>
          <w:noProof/>
        </w:rPr>
        <w:t>,</w:t>
      </w:r>
      <w:r w:rsidRPr="008C1B9A">
        <w:rPr>
          <w:noProof/>
        </w:rPr>
        <w:t xml:space="preserve"> which are not dependant on metabolic processes. </w:t>
      </w:r>
      <w:r>
        <w:rPr>
          <w:noProof/>
        </w:rPr>
        <w:t>The ACM was of the view that i</w:t>
      </w:r>
      <w:r w:rsidRPr="008C1B9A">
        <w:rPr>
          <w:noProof/>
        </w:rPr>
        <w:t xml:space="preserve">t is reasonable to extrapolate safety from other sJIA subjects achieving similar </w:t>
      </w:r>
      <w:r w:rsidR="00F81697">
        <w:rPr>
          <w:noProof/>
        </w:rPr>
        <w:t>PK</w:t>
      </w:r>
      <w:r w:rsidR="00F81697" w:rsidRPr="008C1B9A">
        <w:rPr>
          <w:noProof/>
        </w:rPr>
        <w:t xml:space="preserve"> </w:t>
      </w:r>
      <w:r w:rsidRPr="008C1B9A">
        <w:rPr>
          <w:noProof/>
        </w:rPr>
        <w:t xml:space="preserve">profiles. </w:t>
      </w:r>
      <w:r>
        <w:rPr>
          <w:noProof/>
        </w:rPr>
        <w:t xml:space="preserve">The ACM noted that while patients under the age of 2 appear to have a greater exposure to SC tocilizumab, </w:t>
      </w:r>
      <w:r w:rsidRPr="008C1B9A">
        <w:rPr>
          <w:noProof/>
        </w:rPr>
        <w:t>AE risk correlates poorly with exposure.</w:t>
      </w:r>
      <w:r>
        <w:rPr>
          <w:noProof/>
        </w:rPr>
        <w:t xml:space="preserve"> The ACM was of the view that the safety of SC tocilizumab was c</w:t>
      </w:r>
      <w:r w:rsidRPr="00822F0D">
        <w:rPr>
          <w:noProof/>
        </w:rPr>
        <w:t xml:space="preserve">omparable to the IV formulation, but </w:t>
      </w:r>
      <w:r>
        <w:rPr>
          <w:noProof/>
        </w:rPr>
        <w:t>acknowledged that this is based on very limited data.</w:t>
      </w:r>
    </w:p>
    <w:p w14:paraId="281181BE" w14:textId="314F19C1" w:rsidR="002377B5" w:rsidRPr="00733014" w:rsidRDefault="002377B5" w:rsidP="00733014">
      <w:pPr>
        <w:pStyle w:val="Numberbullet0"/>
        <w:rPr>
          <w:b/>
          <w:i/>
          <w:noProof/>
        </w:rPr>
      </w:pPr>
      <w:r w:rsidRPr="00733014">
        <w:rPr>
          <w:b/>
          <w:i/>
          <w:noProof/>
        </w:rPr>
        <w:t xml:space="preserve"> What are the committee</w:t>
      </w:r>
      <w:r w:rsidR="008F3C1F" w:rsidRPr="00733014">
        <w:rPr>
          <w:b/>
          <w:i/>
          <w:noProof/>
        </w:rPr>
        <w:t>’</w:t>
      </w:r>
      <w:r w:rsidRPr="00733014">
        <w:rPr>
          <w:b/>
          <w:i/>
          <w:noProof/>
        </w:rPr>
        <w:t>s views on imposing a m</w:t>
      </w:r>
      <w:r w:rsidR="00F779F5">
        <w:rPr>
          <w:b/>
          <w:i/>
          <w:noProof/>
        </w:rPr>
        <w:t>inimum weight restriction of 10 </w:t>
      </w:r>
      <w:r w:rsidRPr="00733014">
        <w:rPr>
          <w:b/>
          <w:i/>
          <w:noProof/>
        </w:rPr>
        <w:t>kg for patients receiving SC tocilizumab?</w:t>
      </w:r>
    </w:p>
    <w:p w14:paraId="42AB2C6A" w14:textId="77777777" w:rsidR="002377B5" w:rsidRPr="005722A9" w:rsidRDefault="002377B5" w:rsidP="00733014">
      <w:pPr>
        <w:rPr>
          <w:rFonts w:eastAsia="Times New Roman"/>
          <w:b/>
          <w:noProof/>
          <w:szCs w:val="20"/>
        </w:rPr>
      </w:pPr>
      <w:r>
        <w:t>The ACM advised that young children with sJIA are often unwell and underweight, and exposure appears to increase as weight decreases; as such, a 10 kg weight restriction is safe and pragmatic.</w:t>
      </w:r>
    </w:p>
    <w:p w14:paraId="2C3FD22A" w14:textId="77777777" w:rsidR="008E7846" w:rsidRPr="002E238E" w:rsidRDefault="008E7846" w:rsidP="0035222B">
      <w:pPr>
        <w:pStyle w:val="Heading3"/>
      </w:pPr>
      <w:bookmarkStart w:id="60" w:name="_Toc247691532"/>
      <w:bookmarkStart w:id="61" w:name="_Toc314842516"/>
      <w:bookmarkStart w:id="62" w:name="_Toc49950629"/>
      <w:bookmarkEnd w:id="30"/>
      <w:bookmarkEnd w:id="57"/>
      <w:bookmarkEnd w:id="58"/>
      <w:r>
        <w:lastRenderedPageBreak/>
        <w:t>Outcome</w:t>
      </w:r>
      <w:bookmarkEnd w:id="60"/>
      <w:bookmarkEnd w:id="61"/>
      <w:bookmarkEnd w:id="62"/>
    </w:p>
    <w:p w14:paraId="276E6F40" w14:textId="42A5753D" w:rsidR="00D23139" w:rsidRDefault="00D23139" w:rsidP="0035222B">
      <w:pPr>
        <w:keepNext/>
        <w:keepLines/>
      </w:pPr>
      <w:bookmarkStart w:id="63" w:name="_Toc247691533"/>
      <w:bookmarkStart w:id="64" w:name="_Toc314842517"/>
      <w:r w:rsidRPr="00D23139">
        <w:t xml:space="preserve">Based on a review of quality, safety and efficacy, </w:t>
      </w:r>
      <w:r w:rsidR="00F81697">
        <w:t xml:space="preserve">the </w:t>
      </w:r>
      <w:r w:rsidRPr="00D23139">
        <w:t xml:space="preserve">TGA approved the registration of </w:t>
      </w:r>
      <w:r w:rsidR="008F3C1F">
        <w:t>Actemra (tocilizumab rch), 400 mg/20 mL, 80 mg/4 mL, 200</w:t>
      </w:r>
      <w:r w:rsidR="00AC4C09">
        <w:t xml:space="preserve"> </w:t>
      </w:r>
      <w:r w:rsidR="008F3C1F">
        <w:t xml:space="preserve">mg/10 mL concentrated solution for injection vial and 162 mg/0.9 mL solution for injection pre-filled pen and pre-filled syringe, </w:t>
      </w:r>
      <w:r w:rsidR="00A5361F">
        <w:t>for the following extension of</w:t>
      </w:r>
      <w:r w:rsidRPr="00D23139">
        <w:t xml:space="preserve"> indicat</w:t>
      </w:r>
      <w:r w:rsidR="00A5361F">
        <w:t>ions</w:t>
      </w:r>
      <w:r w:rsidRPr="00D23139">
        <w:t>:</w:t>
      </w:r>
    </w:p>
    <w:p w14:paraId="41EE4014" w14:textId="5907ED19" w:rsidR="00AC4C09" w:rsidRPr="00733014" w:rsidRDefault="00AC4C09" w:rsidP="00733014">
      <w:pPr>
        <w:ind w:left="720"/>
        <w:rPr>
          <w:i/>
        </w:rPr>
      </w:pPr>
      <w:r w:rsidRPr="00733014">
        <w:rPr>
          <w:i/>
        </w:rPr>
        <w:t>Subcutaneous formulation</w:t>
      </w:r>
    </w:p>
    <w:p w14:paraId="52AEA37F" w14:textId="7DFB8BCD" w:rsidR="00A5361F" w:rsidRDefault="00A5361F" w:rsidP="00733014">
      <w:pPr>
        <w:ind w:left="720"/>
        <w:rPr>
          <w:i/>
        </w:rPr>
      </w:pPr>
      <w:r w:rsidRPr="00A33623">
        <w:rPr>
          <w:i/>
        </w:rPr>
        <w:t>Actemra is indicated for the treatment of active systemic juvenile idiopathic arthritis in patients 1 year of age and older.</w:t>
      </w:r>
    </w:p>
    <w:p w14:paraId="362F28EA" w14:textId="268A88F0" w:rsidR="008F3C1F" w:rsidRPr="0069082A" w:rsidRDefault="008F3C1F" w:rsidP="00733014">
      <w:pPr>
        <w:ind w:left="720"/>
        <w:rPr>
          <w:i/>
        </w:rPr>
      </w:pPr>
      <w:r>
        <w:rPr>
          <w:i/>
        </w:rPr>
        <w:t>Actemra IV and SC can be given alone or in combination with methotrexate (MTX)</w:t>
      </w:r>
    </w:p>
    <w:p w14:paraId="10C3104A" w14:textId="6FAB11CA" w:rsidR="00D23139" w:rsidRDefault="00A5361F" w:rsidP="00D23139">
      <w:r>
        <w:t>As such, the full indications at this time were:</w:t>
      </w:r>
    </w:p>
    <w:p w14:paraId="10D66A1F" w14:textId="79DACF75" w:rsidR="00E128DB" w:rsidRPr="00733014" w:rsidRDefault="00E128DB" w:rsidP="00733014">
      <w:pPr>
        <w:ind w:left="720"/>
        <w:rPr>
          <w:b/>
          <w:i/>
        </w:rPr>
      </w:pPr>
      <w:r w:rsidRPr="00733014">
        <w:rPr>
          <w:b/>
          <w:i/>
        </w:rPr>
        <w:t xml:space="preserve">Rheumatoid </w:t>
      </w:r>
      <w:r w:rsidR="00916AF1" w:rsidRPr="00733014">
        <w:rPr>
          <w:b/>
          <w:i/>
        </w:rPr>
        <w:t xml:space="preserve">arthritis </w:t>
      </w:r>
      <w:r w:rsidRPr="00733014">
        <w:rPr>
          <w:b/>
          <w:i/>
        </w:rPr>
        <w:t>(IV and SC formulations)</w:t>
      </w:r>
    </w:p>
    <w:p w14:paraId="26548F7F" w14:textId="77777777" w:rsidR="00721F53" w:rsidRPr="00916AF1" w:rsidRDefault="00721F53" w:rsidP="00733014">
      <w:pPr>
        <w:ind w:left="720"/>
        <w:rPr>
          <w:i/>
        </w:rPr>
      </w:pPr>
      <w:r w:rsidRPr="00916AF1">
        <w:rPr>
          <w:i/>
        </w:rPr>
        <w:t>Actemra is indicated for the treatment of moderate to severe active rheumatoid arthritis (RA) in adult patients in combination with methotrexate (MTX) or other non-biological disease-modifying anti-rheumatic drugs (DMARDs) in case of either an inadequate response or intolerance to previous therapy with one or more DMARDs;</w:t>
      </w:r>
    </w:p>
    <w:p w14:paraId="1511BFD9" w14:textId="77777777" w:rsidR="00721F53" w:rsidRPr="00916AF1" w:rsidRDefault="00721F53" w:rsidP="00733014">
      <w:pPr>
        <w:ind w:left="720"/>
        <w:rPr>
          <w:i/>
        </w:rPr>
      </w:pPr>
      <w:r w:rsidRPr="00916AF1">
        <w:rPr>
          <w:i/>
        </w:rPr>
        <w:t>Actemra is indicated for the treatment of moderate to severe active rheumatoid arthritis in adult patients with poor prognostic factors in combination with MTX in those not previously treated with MTX;</w:t>
      </w:r>
    </w:p>
    <w:p w14:paraId="64F9B0F6" w14:textId="77777777" w:rsidR="00721F53" w:rsidRPr="00916AF1" w:rsidRDefault="00721F53" w:rsidP="00733014">
      <w:pPr>
        <w:ind w:left="720"/>
        <w:rPr>
          <w:i/>
        </w:rPr>
      </w:pPr>
      <w:r w:rsidRPr="00916AF1">
        <w:rPr>
          <w:i/>
        </w:rPr>
        <w:t>In the two groups of patients above, Actemra can be given as monotherapy in case of intolerance to MTX or where continued treatment with MTX is inappropriate;</w:t>
      </w:r>
    </w:p>
    <w:p w14:paraId="5A06B1FF" w14:textId="77777777" w:rsidR="00721F53" w:rsidRPr="00916AF1" w:rsidRDefault="00721F53" w:rsidP="00733014">
      <w:pPr>
        <w:ind w:left="720"/>
        <w:rPr>
          <w:i/>
        </w:rPr>
      </w:pPr>
      <w:r w:rsidRPr="00916AF1">
        <w:rPr>
          <w:i/>
        </w:rPr>
        <w:t>Actemra has been shown to inhibit the progression of joint damage in adults, as measured by X-ray, when given in combination with methotrexate;</w:t>
      </w:r>
    </w:p>
    <w:p w14:paraId="7EE6EC76" w14:textId="4D258E3C" w:rsidR="002377B5" w:rsidRPr="00733014" w:rsidRDefault="002377B5" w:rsidP="00733014">
      <w:pPr>
        <w:ind w:left="720"/>
        <w:rPr>
          <w:b/>
          <w:i/>
        </w:rPr>
      </w:pPr>
      <w:r w:rsidRPr="00733014">
        <w:rPr>
          <w:b/>
          <w:i/>
        </w:rPr>
        <w:t xml:space="preserve">Giant </w:t>
      </w:r>
      <w:r w:rsidR="00916AF1" w:rsidRPr="00733014">
        <w:rPr>
          <w:b/>
          <w:i/>
        </w:rPr>
        <w:t xml:space="preserve">cell arteritis </w:t>
      </w:r>
      <w:r w:rsidRPr="00733014">
        <w:rPr>
          <w:b/>
          <w:i/>
        </w:rPr>
        <w:t>(SC formulation only)</w:t>
      </w:r>
    </w:p>
    <w:p w14:paraId="4DE75B4D" w14:textId="6DC70BD5" w:rsidR="00721F53" w:rsidRPr="00733014" w:rsidRDefault="00721F53" w:rsidP="00733014">
      <w:pPr>
        <w:ind w:left="720"/>
        <w:rPr>
          <w:i/>
        </w:rPr>
      </w:pPr>
      <w:r w:rsidRPr="00733014">
        <w:rPr>
          <w:i/>
        </w:rPr>
        <w:t>Actemra is indicated for the treatment of Giant Cell Arteritis (GCA) in adult patients;</w:t>
      </w:r>
    </w:p>
    <w:p w14:paraId="2405C8E3" w14:textId="62C6AC0B" w:rsidR="002377B5" w:rsidRPr="00733014" w:rsidRDefault="00835241" w:rsidP="00733014">
      <w:pPr>
        <w:ind w:left="720"/>
        <w:rPr>
          <w:b/>
          <w:i/>
        </w:rPr>
      </w:pPr>
      <w:r w:rsidRPr="00733014">
        <w:rPr>
          <w:b/>
          <w:i/>
        </w:rPr>
        <w:t xml:space="preserve">Polyarticular </w:t>
      </w:r>
      <w:r w:rsidR="00916AF1" w:rsidRPr="00733014">
        <w:rPr>
          <w:b/>
          <w:i/>
        </w:rPr>
        <w:t>juvenile idiopathic arthritis</w:t>
      </w:r>
      <w:r w:rsidR="002377B5" w:rsidRPr="00733014">
        <w:rPr>
          <w:b/>
          <w:i/>
        </w:rPr>
        <w:t xml:space="preserve"> (</w:t>
      </w:r>
      <w:r w:rsidRPr="00733014">
        <w:rPr>
          <w:b/>
          <w:i/>
        </w:rPr>
        <w:t xml:space="preserve">IV and </w:t>
      </w:r>
      <w:r w:rsidR="002377B5" w:rsidRPr="00733014">
        <w:rPr>
          <w:b/>
          <w:i/>
        </w:rPr>
        <w:t>SC formulation</w:t>
      </w:r>
      <w:r w:rsidRPr="00733014">
        <w:rPr>
          <w:b/>
          <w:i/>
        </w:rPr>
        <w:t>s</w:t>
      </w:r>
      <w:r w:rsidR="002377B5" w:rsidRPr="00733014">
        <w:rPr>
          <w:b/>
          <w:i/>
        </w:rPr>
        <w:t>)</w:t>
      </w:r>
    </w:p>
    <w:p w14:paraId="3FA686BE" w14:textId="081DCA71" w:rsidR="00721F53" w:rsidRPr="00916AF1" w:rsidRDefault="00721F53" w:rsidP="00733014">
      <w:pPr>
        <w:ind w:left="720"/>
        <w:rPr>
          <w:i/>
        </w:rPr>
      </w:pPr>
      <w:r w:rsidRPr="00733014">
        <w:rPr>
          <w:i/>
        </w:rPr>
        <w:t>Actemra is indicated for the treatment of moderate to severe active polyarticular juvenile idiopathic arthritis in patients 2 years of age and older who have had an inadequate response to or intolerance to methotrexate (MTX). Actemra can be given alone or in combination with MTX.</w:t>
      </w:r>
    </w:p>
    <w:p w14:paraId="4A26C814" w14:textId="75F4D158" w:rsidR="00835241" w:rsidRPr="00733014" w:rsidRDefault="00835241" w:rsidP="00733014">
      <w:pPr>
        <w:ind w:left="720"/>
        <w:rPr>
          <w:b/>
          <w:i/>
        </w:rPr>
      </w:pPr>
      <w:r w:rsidRPr="00733014">
        <w:rPr>
          <w:b/>
          <w:i/>
        </w:rPr>
        <w:t xml:space="preserve">Systematic </w:t>
      </w:r>
      <w:r w:rsidR="00916AF1" w:rsidRPr="00733014">
        <w:rPr>
          <w:b/>
          <w:i/>
        </w:rPr>
        <w:t xml:space="preserve">juvenile idiopathic arthritis </w:t>
      </w:r>
      <w:r w:rsidRPr="00733014">
        <w:rPr>
          <w:b/>
          <w:i/>
        </w:rPr>
        <w:t>(IV and SC formulations)</w:t>
      </w:r>
    </w:p>
    <w:p w14:paraId="34021B7B" w14:textId="79506243" w:rsidR="00835241" w:rsidRPr="00733014" w:rsidRDefault="00835241" w:rsidP="00733014">
      <w:pPr>
        <w:ind w:left="720"/>
        <w:rPr>
          <w:i/>
        </w:rPr>
      </w:pPr>
      <w:r w:rsidRPr="00733014">
        <w:rPr>
          <w:i/>
        </w:rPr>
        <w:t xml:space="preserve">Intravenous </w:t>
      </w:r>
      <w:r w:rsidR="00AC4C09" w:rsidRPr="00733014">
        <w:rPr>
          <w:i/>
        </w:rPr>
        <w:t>f</w:t>
      </w:r>
      <w:r w:rsidRPr="00733014">
        <w:rPr>
          <w:i/>
        </w:rPr>
        <w:t>ormulation</w:t>
      </w:r>
    </w:p>
    <w:p w14:paraId="06008BCF" w14:textId="3B40CE30" w:rsidR="00835241" w:rsidRPr="00733014" w:rsidRDefault="00835241" w:rsidP="00733014">
      <w:pPr>
        <w:ind w:left="720"/>
        <w:rPr>
          <w:i/>
        </w:rPr>
      </w:pPr>
      <w:r w:rsidRPr="00733014">
        <w:rPr>
          <w:i/>
        </w:rPr>
        <w:t>Actemra is indicated for the treatment of active systemic juvenile idiopathic arthritis in patients 2 years of age and older.</w:t>
      </w:r>
    </w:p>
    <w:p w14:paraId="4032EC5E" w14:textId="1BD68DC4" w:rsidR="00835241" w:rsidRPr="00733014" w:rsidRDefault="00835241" w:rsidP="00733014">
      <w:pPr>
        <w:ind w:left="720"/>
        <w:rPr>
          <w:i/>
        </w:rPr>
      </w:pPr>
      <w:r w:rsidRPr="00733014">
        <w:rPr>
          <w:i/>
        </w:rPr>
        <w:t xml:space="preserve">Subcutaneous </w:t>
      </w:r>
      <w:r w:rsidR="00AC4C09" w:rsidRPr="00733014">
        <w:rPr>
          <w:i/>
        </w:rPr>
        <w:t>f</w:t>
      </w:r>
      <w:r w:rsidRPr="00733014">
        <w:rPr>
          <w:i/>
        </w:rPr>
        <w:t>ormulation</w:t>
      </w:r>
    </w:p>
    <w:p w14:paraId="693AD736" w14:textId="11096190" w:rsidR="00835241" w:rsidRPr="00733014" w:rsidRDefault="00721F53" w:rsidP="00733014">
      <w:pPr>
        <w:ind w:left="720"/>
        <w:rPr>
          <w:i/>
        </w:rPr>
      </w:pPr>
      <w:r w:rsidRPr="00733014">
        <w:rPr>
          <w:i/>
        </w:rPr>
        <w:t>Actemra is indicated for the treatment of active systemic juvenile idiopathic arthritis in patients 1 year of age and older.</w:t>
      </w:r>
    </w:p>
    <w:p w14:paraId="728C04D5" w14:textId="3557812F" w:rsidR="00721F53" w:rsidRPr="00733014" w:rsidRDefault="00721F53" w:rsidP="00733014">
      <w:pPr>
        <w:ind w:left="720"/>
        <w:rPr>
          <w:i/>
        </w:rPr>
      </w:pPr>
      <w:r w:rsidRPr="00733014">
        <w:rPr>
          <w:i/>
        </w:rPr>
        <w:t>Actemra IV and SC can be given alone or in combination with methotrexate (MTX)</w:t>
      </w:r>
    </w:p>
    <w:p w14:paraId="68C489BA" w14:textId="52E81A87" w:rsidR="00FD2F93" w:rsidRPr="00916AF1" w:rsidRDefault="00FD2F93" w:rsidP="00733014">
      <w:pPr>
        <w:ind w:left="720"/>
        <w:rPr>
          <w:b/>
          <w:i/>
        </w:rPr>
      </w:pPr>
      <w:r w:rsidRPr="00916AF1">
        <w:rPr>
          <w:b/>
          <w:i/>
        </w:rPr>
        <w:t xml:space="preserve">Cytokine </w:t>
      </w:r>
      <w:r w:rsidR="00916AF1" w:rsidRPr="00733014">
        <w:rPr>
          <w:b/>
          <w:i/>
        </w:rPr>
        <w:t xml:space="preserve">release syndrome </w:t>
      </w:r>
      <w:r w:rsidRPr="00916AF1">
        <w:rPr>
          <w:b/>
          <w:i/>
        </w:rPr>
        <w:t>(CRS) (IV formulation only)</w:t>
      </w:r>
    </w:p>
    <w:p w14:paraId="7903C236" w14:textId="61BACA49" w:rsidR="00FD2F93" w:rsidRPr="00733014" w:rsidRDefault="00FD2F93" w:rsidP="00733014">
      <w:pPr>
        <w:ind w:left="720"/>
        <w:rPr>
          <w:i/>
        </w:rPr>
      </w:pPr>
      <w:r w:rsidRPr="00733014">
        <w:rPr>
          <w:i/>
        </w:rPr>
        <w:t>Actemra is indicated for the treatment of chimeric antigen receptor (CAR) T cell-induced severe or life-threatening cytokine release syndrome (CRS) in adults and paediatric patients 2 years of age and older.</w:t>
      </w:r>
    </w:p>
    <w:p w14:paraId="00A2491B" w14:textId="77777777" w:rsidR="00D23139" w:rsidRPr="00D23139" w:rsidRDefault="00D23139" w:rsidP="00D23139">
      <w:pPr>
        <w:pStyle w:val="Heading4"/>
      </w:pPr>
      <w:r w:rsidRPr="00D23139">
        <w:lastRenderedPageBreak/>
        <w:t>Specific conditions of registration applying to these goods</w:t>
      </w:r>
    </w:p>
    <w:p w14:paraId="4499C32C" w14:textId="0699FECE" w:rsidR="00BE4483" w:rsidRDefault="00CF1327" w:rsidP="00733014">
      <w:pPr>
        <w:pStyle w:val="ListBullet"/>
      </w:pPr>
      <w:r>
        <w:t xml:space="preserve">The </w:t>
      </w:r>
      <w:r w:rsidR="00AC4C09">
        <w:t xml:space="preserve">Actemra </w:t>
      </w:r>
      <w:r>
        <w:t>EU-RMP (version 25.3, dated 5 September</w:t>
      </w:r>
      <w:r w:rsidR="00BE4483">
        <w:t xml:space="preserve"> </w:t>
      </w:r>
      <w:r>
        <w:t xml:space="preserve">2019, </w:t>
      </w:r>
      <w:r w:rsidR="00AC4C09">
        <w:t>DLP</w:t>
      </w:r>
      <w:r>
        <w:t xml:space="preserve"> August 2019), with </w:t>
      </w:r>
      <w:r w:rsidR="003B2734">
        <w:t>ASA</w:t>
      </w:r>
      <w:r>
        <w:t xml:space="preserve"> (version 11.0, dated</w:t>
      </w:r>
      <w:r w:rsidR="00BE4483">
        <w:t xml:space="preserve"> </w:t>
      </w:r>
      <w:r>
        <w:t>22 October 2019), included with submission PM</w:t>
      </w:r>
      <w:r w:rsidR="00F81697">
        <w:noBreakHyphen/>
      </w:r>
      <w:r>
        <w:t>2018</w:t>
      </w:r>
      <w:r w:rsidR="00F81697">
        <w:noBreakHyphen/>
      </w:r>
      <w:r>
        <w:t>05341-1-3, and any subsequent</w:t>
      </w:r>
      <w:r w:rsidR="00BE4483">
        <w:t xml:space="preserve"> </w:t>
      </w:r>
      <w:r>
        <w:t>revisions, as agreed with the TGA will be implemented in Australia.</w:t>
      </w:r>
    </w:p>
    <w:p w14:paraId="64034F8F" w14:textId="2B4F2FED" w:rsidR="00BE4483" w:rsidRDefault="00BE4483" w:rsidP="00733014">
      <w:pPr>
        <w:pStyle w:val="ListBullet"/>
        <w:numPr>
          <w:ilvl w:val="0"/>
          <w:numId w:val="0"/>
        </w:numPr>
        <w:ind w:left="360"/>
      </w:pPr>
      <w:r>
        <w:t xml:space="preserve">An obligatory component of risk management plans is routine pharmacovigilance. </w:t>
      </w:r>
      <w:r w:rsidR="00E128DB">
        <w:t>Routine pharmacovigilance includes the submission of periodic safety update reports</w:t>
      </w:r>
      <w:r>
        <w:t xml:space="preserve"> </w:t>
      </w:r>
      <w:r w:rsidR="00E128DB">
        <w:t>(PSURs).</w:t>
      </w:r>
    </w:p>
    <w:p w14:paraId="0A5F17DC" w14:textId="73B1E838" w:rsidR="00BE4483" w:rsidRDefault="00E128DB" w:rsidP="00733014">
      <w:pPr>
        <w:pStyle w:val="ListBullet"/>
        <w:numPr>
          <w:ilvl w:val="0"/>
          <w:numId w:val="0"/>
        </w:numPr>
        <w:ind w:left="360"/>
      </w:pPr>
      <w:r>
        <w:t>Reports are to be provided in line with the current published list of EU reference dates</w:t>
      </w:r>
      <w:r w:rsidR="00BE4483">
        <w:t xml:space="preserve"> </w:t>
      </w:r>
      <w:r>
        <w:t>and frequency of submission of PSURs until the period covered by such reports is not</w:t>
      </w:r>
      <w:r w:rsidR="00BE4483">
        <w:t xml:space="preserve"> </w:t>
      </w:r>
      <w:r>
        <w:t>less than three years from the date of this approval letter.</w:t>
      </w:r>
    </w:p>
    <w:p w14:paraId="6A51FF4A" w14:textId="616F8B15" w:rsidR="00BE4483" w:rsidRDefault="00E128DB" w:rsidP="00733014">
      <w:pPr>
        <w:pStyle w:val="ListBullet"/>
        <w:numPr>
          <w:ilvl w:val="0"/>
          <w:numId w:val="0"/>
        </w:numPr>
        <w:ind w:left="360"/>
      </w:pPr>
      <w:r>
        <w:t>The reports are to at least meet the requirements for PSURs as described in the</w:t>
      </w:r>
      <w:r w:rsidR="00BE4483">
        <w:t xml:space="preserve"> </w:t>
      </w:r>
      <w:r>
        <w:t xml:space="preserve">European Medicines Agency’s Guideline on </w:t>
      </w:r>
      <w:r w:rsidR="00AC4C09">
        <w:t>Good Pharmacovigilance Practices (</w:t>
      </w:r>
      <w:r>
        <w:t>GVP) Module VII-periodic safety update report (Rev 1), Part VII.B Structures and processes.</w:t>
      </w:r>
      <w:r w:rsidR="00BE4483">
        <w:t xml:space="preserve"> </w:t>
      </w:r>
      <w:r>
        <w:t>Note that submission of a PSUR does not constitute an application to vary the</w:t>
      </w:r>
      <w:r w:rsidR="00BE4483">
        <w:t xml:space="preserve"> </w:t>
      </w:r>
      <w:r>
        <w:t>registration.</w:t>
      </w:r>
    </w:p>
    <w:p w14:paraId="6D396632" w14:textId="5F20F195" w:rsidR="00E128DB" w:rsidRDefault="00E128DB" w:rsidP="00733014">
      <w:pPr>
        <w:pStyle w:val="ListBullet"/>
      </w:pPr>
      <w:r>
        <w:t xml:space="preserve">For all injectable products the </w:t>
      </w:r>
      <w:r w:rsidR="00AC4C09">
        <w:t>PI</w:t>
      </w:r>
      <w:r>
        <w:t xml:space="preserve"> must be included with the product</w:t>
      </w:r>
      <w:r w:rsidR="00AC4C09">
        <w:t xml:space="preserve"> </w:t>
      </w:r>
      <w:r>
        <w:t>as a package insert.</w:t>
      </w:r>
    </w:p>
    <w:p w14:paraId="034C008D" w14:textId="77777777" w:rsidR="008E7846" w:rsidRDefault="00A80B5B" w:rsidP="00D23139">
      <w:pPr>
        <w:pStyle w:val="Heading2"/>
      </w:pPr>
      <w:bookmarkStart w:id="65" w:name="_Toc49950630"/>
      <w:r>
        <w:t xml:space="preserve">Attachment 1. </w:t>
      </w:r>
      <w:r w:rsidR="008E7846">
        <w:t xml:space="preserve">Product </w:t>
      </w:r>
      <w:r w:rsidR="00AA0ED0">
        <w:t>I</w:t>
      </w:r>
      <w:r w:rsidR="008E7846">
        <w:t>nformation</w:t>
      </w:r>
      <w:bookmarkEnd w:id="63"/>
      <w:bookmarkEnd w:id="64"/>
      <w:bookmarkEnd w:id="65"/>
    </w:p>
    <w:p w14:paraId="6F9D2A68" w14:textId="5607CAD6" w:rsidR="00291957" w:rsidRDefault="006136D7" w:rsidP="00291957">
      <w:pPr>
        <w:rPr>
          <w:lang w:eastAsia="ja-JP"/>
        </w:rPr>
      </w:pPr>
      <w:r w:rsidRPr="002B3624">
        <w:t xml:space="preserve">The </w:t>
      </w:r>
      <w:r>
        <w:t>PI</w:t>
      </w:r>
      <w:r w:rsidRPr="002B3624">
        <w:t xml:space="preserve"> for </w:t>
      </w:r>
      <w:r w:rsidR="00E128DB">
        <w:t>Actemra</w:t>
      </w:r>
      <w:r w:rsidR="00E128DB" w:rsidRPr="002B3624">
        <w:t xml:space="preserve"> </w:t>
      </w:r>
      <w:r>
        <w:t xml:space="preserve">approved with the submission which is described in </w:t>
      </w:r>
      <w:r w:rsidRPr="002B3624">
        <w:t xml:space="preserve">this AusPAR is at Attachment 1. For the most recent </w:t>
      </w:r>
      <w:r>
        <w:t>PI,</w:t>
      </w:r>
      <w:r w:rsidRPr="002B3624">
        <w:t xml:space="preserve"> please refer to the </w:t>
      </w:r>
      <w:r w:rsidRPr="007C6B9B">
        <w:t xml:space="preserve">TGA website at </w:t>
      </w:r>
      <w:r w:rsidR="007C6B9B" w:rsidRPr="007C6B9B">
        <w:t>&lt;</w:t>
      </w:r>
      <w:hyperlink r:id="rId19" w:history="1">
        <w:r w:rsidR="007C6B9B" w:rsidRPr="007C6B9B">
          <w:rPr>
            <w:rStyle w:val="Hyperlink"/>
          </w:rPr>
          <w:t>https://www.tga.gov.au/product-information-pi</w:t>
        </w:r>
      </w:hyperlink>
      <w:r w:rsidR="007C6B9B" w:rsidRPr="007C6B9B">
        <w:t>&gt;.</w:t>
      </w:r>
    </w:p>
    <w:p w14:paraId="175FFAEE" w14:textId="44B546D1" w:rsidR="0038296F" w:rsidRPr="001D043B" w:rsidRDefault="0038296F" w:rsidP="003A7F6C">
      <w:pPr>
        <w:pStyle w:val="TableTitle"/>
        <w:sectPr w:rsidR="0038296F" w:rsidRPr="001D043B" w:rsidSect="00B452CE">
          <w:headerReference w:type="even" r:id="rId20"/>
          <w:headerReference w:type="default" r:id="rId21"/>
          <w:headerReference w:type="first" r:id="rId22"/>
          <w:footerReference w:type="first" r:id="rId23"/>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14:paraId="380CFD74" w14:textId="77777777" w:rsidTr="00A05FA4">
        <w:trPr>
          <w:trHeight w:hRule="exact" w:val="704"/>
        </w:trPr>
        <w:tc>
          <w:tcPr>
            <w:tcW w:w="9175" w:type="dxa"/>
          </w:tcPr>
          <w:p w14:paraId="30409125" w14:textId="77777777" w:rsidR="001C32CD" w:rsidRPr="00487162" w:rsidRDefault="001C32CD" w:rsidP="00A05FA4">
            <w:pPr>
              <w:pStyle w:val="TGASignoff"/>
            </w:pPr>
            <w:r w:rsidRPr="00487162">
              <w:lastRenderedPageBreak/>
              <w:t>Therapeutic Goods Administration</w:t>
            </w:r>
          </w:p>
        </w:tc>
      </w:tr>
      <w:tr w:rsidR="001C32CD" w:rsidRPr="004C239D" w14:paraId="1FB152E7" w14:textId="77777777" w:rsidTr="00A05FA4">
        <w:trPr>
          <w:trHeight w:val="1221"/>
        </w:trPr>
        <w:tc>
          <w:tcPr>
            <w:tcW w:w="9175" w:type="dxa"/>
            <w:tcMar>
              <w:top w:w="28" w:type="dxa"/>
            </w:tcMar>
          </w:tcPr>
          <w:p w14:paraId="656409C7" w14:textId="77777777" w:rsidR="001C32CD" w:rsidRPr="00487162" w:rsidRDefault="001C32CD" w:rsidP="00A05FA4">
            <w:pPr>
              <w:pStyle w:val="Address"/>
            </w:pPr>
            <w:r w:rsidRPr="00487162">
              <w:t>PO Box 100 Woden ACT 2606 Australia</w:t>
            </w:r>
          </w:p>
          <w:p w14:paraId="49D811CD" w14:textId="03FD6A48" w:rsidR="001C32CD" w:rsidRPr="00487162" w:rsidRDefault="001C32CD" w:rsidP="00A05FA4">
            <w:pPr>
              <w:pStyle w:val="Address"/>
            </w:pPr>
            <w:r w:rsidRPr="00487162">
              <w:t xml:space="preserve">Email: </w:t>
            </w:r>
            <w:hyperlink r:id="rId24" w:history="1">
              <w:r w:rsidRPr="004C239D">
                <w:rPr>
                  <w:rStyle w:val="Hyperlink"/>
                </w:rPr>
                <w:t>info@tga.gov.au</w:t>
              </w:r>
            </w:hyperlink>
            <w:r w:rsidRPr="00487162">
              <w:t xml:space="preserve">  Phone: 1800 020 653  Fax: 02 6232 8605</w:t>
            </w:r>
          </w:p>
          <w:p w14:paraId="012FBEA4" w14:textId="2BE30D45" w:rsidR="001C32CD" w:rsidRPr="004C239D" w:rsidRDefault="0059626C" w:rsidP="00A05FA4">
            <w:pPr>
              <w:pStyle w:val="Address"/>
              <w:spacing w:line="260" w:lineRule="atLeast"/>
              <w:rPr>
                <w:b/>
                <w:color w:val="0000FF"/>
                <w:u w:val="single"/>
              </w:rPr>
            </w:pPr>
            <w:hyperlink r:id="rId25" w:history="1">
              <w:r w:rsidR="007C6B9B" w:rsidRPr="007C6B9B">
                <w:rPr>
                  <w:rStyle w:val="Hyperlink"/>
                  <w:b/>
                </w:rPr>
                <w:t>https://www.tga.gov.au</w:t>
              </w:r>
            </w:hyperlink>
          </w:p>
        </w:tc>
      </w:tr>
    </w:tbl>
    <w:p w14:paraId="70C619AB" w14:textId="77777777" w:rsidR="00774E1D" w:rsidRPr="008A5E0B" w:rsidRDefault="00774E1D" w:rsidP="004C239D"/>
    <w:sectPr w:rsidR="00774E1D" w:rsidRPr="008A5E0B" w:rsidSect="001C32CD">
      <w:headerReference w:type="even" r:id="rId26"/>
      <w:headerReference w:type="default" r:id="rId27"/>
      <w:footerReference w:type="default" r:id="rId28"/>
      <w:headerReference w:type="first" r:id="rId29"/>
      <w:footerReference w:type="first" r:id="rId30"/>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623F3D" w14:textId="77777777" w:rsidR="000802D3" w:rsidRDefault="000802D3" w:rsidP="00C40A36">
      <w:pPr>
        <w:spacing w:after="0"/>
      </w:pPr>
      <w:r>
        <w:separator/>
      </w:r>
    </w:p>
  </w:endnote>
  <w:endnote w:type="continuationSeparator" w:id="0">
    <w:p w14:paraId="01CE675C" w14:textId="77777777" w:rsidR="000802D3" w:rsidRDefault="000802D3"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roman"/>
    <w:pitch w:val="fixed"/>
    <w:sig w:usb0="00000001" w:usb1="08070000" w:usb2="00000010" w:usb3="00000000" w:csb0="00020000" w:csb1="00000000"/>
  </w:font>
  <w:font w:name="Wingdings 3">
    <w:panose1 w:val="05040102010807070707"/>
    <w:charset w:val="02"/>
    <w:family w:val="roman"/>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0802D3" w:rsidRPr="00487162" w14:paraId="129E363D" w14:textId="77777777" w:rsidTr="00DB750B">
      <w:trPr>
        <w:trHeight w:val="269"/>
      </w:trPr>
      <w:tc>
        <w:tcPr>
          <w:tcW w:w="7371" w:type="dxa"/>
          <w:tcMar>
            <w:top w:w="142" w:type="dxa"/>
            <w:bottom w:w="0" w:type="dxa"/>
          </w:tcMar>
        </w:tcPr>
        <w:p w14:paraId="0EE50D64" w14:textId="551E1DC3" w:rsidR="000802D3" w:rsidRPr="00487162" w:rsidRDefault="000802D3" w:rsidP="0037333B">
          <w:pPr>
            <w:pStyle w:val="Footer"/>
          </w:pPr>
          <w:r w:rsidRPr="00487162">
            <w:t>AusPA</w:t>
          </w:r>
          <w:r>
            <w:t>R – ACTEMRA - tocilizumab (rch) - Roche Products Pty Limited - PM-2018</w:t>
          </w:r>
          <w:r w:rsidRPr="00487162">
            <w:t>-</w:t>
          </w:r>
          <w:r>
            <w:t>05341</w:t>
          </w:r>
          <w:r w:rsidRPr="00487162">
            <w:t>-</w:t>
          </w:r>
          <w:r>
            <w:t>1</w:t>
          </w:r>
          <w:r w:rsidRPr="00487162">
            <w:t>-</w:t>
          </w:r>
          <w:r>
            <w:t>3</w:t>
          </w:r>
          <w:r>
            <w:br/>
            <w:t>FINAL 18 August 2020</w:t>
          </w:r>
        </w:p>
      </w:tc>
      <w:tc>
        <w:tcPr>
          <w:tcW w:w="1490" w:type="dxa"/>
          <w:tcMar>
            <w:top w:w="142" w:type="dxa"/>
            <w:bottom w:w="0" w:type="dxa"/>
          </w:tcMar>
        </w:tcPr>
        <w:p w14:paraId="043F7CAA" w14:textId="6F57A9CE" w:rsidR="000802D3" w:rsidRPr="00487162" w:rsidRDefault="000802D3" w:rsidP="00DB750B">
          <w:pPr>
            <w:pStyle w:val="Footer"/>
            <w:jc w:val="right"/>
          </w:pPr>
          <w:r w:rsidRPr="00487162">
            <w:t xml:space="preserve">Page </w:t>
          </w:r>
          <w:r>
            <w:fldChar w:fldCharType="begin"/>
          </w:r>
          <w:r>
            <w:instrText xml:space="preserve"> PAGE  \* Arabic </w:instrText>
          </w:r>
          <w:r>
            <w:fldChar w:fldCharType="separate"/>
          </w:r>
          <w:r w:rsidR="0059626C">
            <w:rPr>
              <w:noProof/>
            </w:rPr>
            <w:t>20</w:t>
          </w:r>
          <w:r>
            <w:fldChar w:fldCharType="end"/>
          </w:r>
          <w:r w:rsidRPr="00487162">
            <w:t xml:space="preserve"> of </w:t>
          </w:r>
          <w:fldSimple w:instr=" NUMPAGES  \* Arabic ">
            <w:r w:rsidR="0059626C">
              <w:rPr>
                <w:noProof/>
              </w:rPr>
              <w:t>30</w:t>
            </w:r>
          </w:fldSimple>
        </w:p>
      </w:tc>
    </w:tr>
  </w:tbl>
  <w:p w14:paraId="5A9389A4" w14:textId="77777777" w:rsidR="000802D3" w:rsidRDefault="000802D3" w:rsidP="003D1E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0802D3" w:rsidRPr="00487162" w14:paraId="205AE5BD" w14:textId="77777777" w:rsidTr="00E45619">
      <w:trPr>
        <w:trHeight w:val="269"/>
      </w:trPr>
      <w:tc>
        <w:tcPr>
          <w:tcW w:w="4519" w:type="dxa"/>
          <w:tcBorders>
            <w:top w:val="single" w:sz="4" w:space="0" w:color="auto"/>
          </w:tcBorders>
          <w:tcMar>
            <w:top w:w="142" w:type="dxa"/>
            <w:bottom w:w="0" w:type="dxa"/>
          </w:tcMar>
        </w:tcPr>
        <w:p w14:paraId="4625208D" w14:textId="77777777" w:rsidR="000802D3" w:rsidRPr="00487162" w:rsidRDefault="000802D3" w:rsidP="00FE1DEE">
          <w:pPr>
            <w:pStyle w:val="Footer"/>
          </w:pPr>
          <w:r w:rsidRPr="00487162">
            <w:t>Document title, Part #, Section # - Section title</w:t>
          </w:r>
        </w:p>
        <w:p w14:paraId="195E9E49" w14:textId="77777777" w:rsidR="000802D3" w:rsidRPr="00487162" w:rsidRDefault="000802D3" w:rsidP="00FE1DEE">
          <w:pPr>
            <w:pStyle w:val="Footer"/>
          </w:pPr>
          <w:r w:rsidRPr="00487162">
            <w:t>V1.0 October 2010</w:t>
          </w:r>
        </w:p>
      </w:tc>
      <w:tc>
        <w:tcPr>
          <w:tcW w:w="4342" w:type="dxa"/>
          <w:tcBorders>
            <w:top w:val="single" w:sz="4" w:space="0" w:color="auto"/>
          </w:tcBorders>
          <w:tcMar>
            <w:top w:w="142" w:type="dxa"/>
            <w:bottom w:w="0" w:type="dxa"/>
          </w:tcMar>
        </w:tcPr>
        <w:p w14:paraId="5DEB20EC" w14:textId="6D00580F" w:rsidR="000802D3" w:rsidRPr="00487162" w:rsidRDefault="000802D3"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Pr>
                <w:noProof/>
              </w:rPr>
              <w:t>39</w:t>
            </w:r>
          </w:fldSimple>
        </w:p>
      </w:tc>
    </w:tr>
  </w:tbl>
  <w:p w14:paraId="5A2C3BA1" w14:textId="77777777" w:rsidR="000802D3" w:rsidRDefault="000802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27DE5" w14:textId="77777777" w:rsidR="000802D3" w:rsidRPr="001C32CD" w:rsidRDefault="000802D3" w:rsidP="001C32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0802D3" w14:paraId="3A97CEF2" w14:textId="77777777" w:rsidTr="0010601F">
      <w:trPr>
        <w:trHeight w:val="108"/>
      </w:trPr>
      <w:tc>
        <w:tcPr>
          <w:tcW w:w="8875" w:type="dxa"/>
          <w:gridSpan w:val="2"/>
          <w:tcBorders>
            <w:bottom w:val="single" w:sz="4" w:space="0" w:color="auto"/>
          </w:tcBorders>
          <w:tcMar>
            <w:right w:w="284" w:type="dxa"/>
          </w:tcMar>
        </w:tcPr>
        <w:p w14:paraId="77499651" w14:textId="77777777" w:rsidR="000802D3" w:rsidRDefault="000802D3" w:rsidP="006E08B3">
          <w:pPr>
            <w:pStyle w:val="Heading3"/>
          </w:pPr>
          <w:r>
            <w:t>Copyright</w:t>
          </w:r>
        </w:p>
        <w:p w14:paraId="5D18A60C" w14:textId="77777777" w:rsidR="000802D3" w:rsidRDefault="000802D3" w:rsidP="006E08B3">
          <w:r>
            <w:rPr>
              <w:rFonts w:cs="Arial"/>
            </w:rPr>
            <w:t>©</w:t>
          </w:r>
          <w:r>
            <w:t xml:space="preserve"> Commonwealth of Australia [add year]</w:t>
          </w:r>
        </w:p>
        <w:p w14:paraId="15A707AF" w14:textId="77777777" w:rsidR="000802D3" w:rsidRDefault="000802D3" w:rsidP="006E08B3"/>
        <w:p w14:paraId="43DE7893" w14:textId="77777777" w:rsidR="000802D3" w:rsidRDefault="000802D3"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14:paraId="48C47B7D" w14:textId="77777777" w:rsidR="000802D3" w:rsidRDefault="000802D3" w:rsidP="006E08B3"/>
        <w:p w14:paraId="34C24D51" w14:textId="77777777" w:rsidR="000802D3" w:rsidRDefault="000802D3" w:rsidP="006E08B3">
          <w:pPr>
            <w:pStyle w:val="Heading3"/>
          </w:pPr>
          <w:r>
            <w:t>Confidentiality</w:t>
          </w:r>
        </w:p>
        <w:p w14:paraId="1D1CED47" w14:textId="77777777" w:rsidR="000802D3" w:rsidRDefault="000802D3"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79C76FE4" w14:textId="77777777" w:rsidR="000802D3" w:rsidRDefault="000802D3" w:rsidP="006E08B3"/>
        <w:p w14:paraId="731C7962" w14:textId="77777777" w:rsidR="000802D3" w:rsidRDefault="000802D3" w:rsidP="006E08B3">
          <w:r>
            <w:t>For submission made by individuals, all personal details, other than your name, will be removed from your submission before it is published on the TGA’s Internet site.</w:t>
          </w:r>
        </w:p>
        <w:p w14:paraId="266992AC" w14:textId="77777777" w:rsidR="000802D3" w:rsidRDefault="000802D3" w:rsidP="006E08B3"/>
        <w:p w14:paraId="3B2CA3E1" w14:textId="77777777" w:rsidR="000802D3" w:rsidRDefault="000802D3" w:rsidP="006E08B3">
          <w:r>
            <w:t>In addition, a list of parties making submissions will be published. If you do not wish to be identified with your submission you must specifically request this in the space provided ib the submission coversheet.</w:t>
          </w:r>
        </w:p>
      </w:tc>
    </w:tr>
    <w:tr w:rsidR="000802D3" w14:paraId="77DFDDA1" w14:textId="77777777" w:rsidTr="0010601F">
      <w:trPr>
        <w:trHeight w:val="417"/>
      </w:trPr>
      <w:tc>
        <w:tcPr>
          <w:tcW w:w="4519" w:type="dxa"/>
          <w:tcBorders>
            <w:top w:val="single" w:sz="4" w:space="0" w:color="auto"/>
          </w:tcBorders>
          <w:tcMar>
            <w:top w:w="142" w:type="dxa"/>
            <w:bottom w:w="0" w:type="dxa"/>
          </w:tcMar>
        </w:tcPr>
        <w:p w14:paraId="6CEAFC71" w14:textId="77777777" w:rsidR="000802D3" w:rsidRDefault="000802D3" w:rsidP="006E08B3">
          <w:r>
            <w:t>Document title, Part #, Section # - Section title</w:t>
          </w:r>
        </w:p>
        <w:p w14:paraId="0DE375C9" w14:textId="77777777" w:rsidR="000802D3" w:rsidRDefault="000802D3" w:rsidP="006E08B3">
          <w:r>
            <w:t>V1.0 October 2010</w:t>
          </w:r>
        </w:p>
      </w:tc>
      <w:tc>
        <w:tcPr>
          <w:tcW w:w="4356" w:type="dxa"/>
          <w:tcBorders>
            <w:top w:val="single" w:sz="4" w:space="0" w:color="auto"/>
          </w:tcBorders>
          <w:tcMar>
            <w:top w:w="142" w:type="dxa"/>
            <w:bottom w:w="0" w:type="dxa"/>
          </w:tcMar>
        </w:tcPr>
        <w:p w14:paraId="6A2A67E0" w14:textId="413F2AC4" w:rsidR="000802D3" w:rsidRDefault="000802D3"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39</w:t>
            </w:r>
          </w:fldSimple>
          <w:r>
            <w:t xml:space="preserve">  </w:t>
          </w:r>
        </w:p>
      </w:tc>
    </w:tr>
  </w:tbl>
  <w:p w14:paraId="624660D9" w14:textId="77777777" w:rsidR="000802D3" w:rsidRDefault="000802D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DC5F76" w14:textId="77777777" w:rsidR="000802D3" w:rsidRDefault="000802D3" w:rsidP="00C40A36">
      <w:pPr>
        <w:spacing w:after="0"/>
      </w:pPr>
      <w:r>
        <w:separator/>
      </w:r>
    </w:p>
  </w:footnote>
  <w:footnote w:type="continuationSeparator" w:id="0">
    <w:p w14:paraId="3257ACF4" w14:textId="77777777" w:rsidR="000802D3" w:rsidRDefault="000802D3" w:rsidP="00C40A36">
      <w:pPr>
        <w:spacing w:after="0"/>
      </w:pPr>
      <w:r>
        <w:continuationSeparator/>
      </w:r>
    </w:p>
  </w:footnote>
  <w:footnote w:id="1">
    <w:p w14:paraId="1EEA1FF2" w14:textId="007D307A" w:rsidR="000802D3" w:rsidRPr="002F304A" w:rsidRDefault="000802D3" w:rsidP="000802D3">
      <w:pPr>
        <w:pStyle w:val="FootnoteText"/>
        <w:rPr>
          <w:lang w:val="en-US"/>
        </w:rPr>
      </w:pPr>
      <w:r>
        <w:rPr>
          <w:rStyle w:val="FootnoteReference"/>
        </w:rPr>
        <w:footnoteRef/>
      </w:r>
      <w:r>
        <w:t xml:space="preserve"> </w:t>
      </w:r>
      <w:r>
        <w:rPr>
          <w:lang w:val="en-US"/>
        </w:rPr>
        <w:t>C-reactive protein (CRP) is an acute-phase protein synthesised and secreted by hepatocytes (liver cells) in. Elevation of CRP is a sensitive and accurate marker indicative of inflammation that may be acute or chronic in cause and due to various aetiologies including infection, autoimmune disease and tissue necrosis. Reduction in CRP may in turn be used as a marker of the response to therapy or elimination of the underlying cause of inflammation.</w:t>
      </w:r>
    </w:p>
  </w:footnote>
  <w:footnote w:id="2">
    <w:p w14:paraId="046A9DE1" w14:textId="0DFC3F0E" w:rsidR="000802D3" w:rsidRPr="002F304A" w:rsidRDefault="000802D3">
      <w:pPr>
        <w:pStyle w:val="FootnoteText"/>
        <w:rPr>
          <w:lang w:val="en-US"/>
        </w:rPr>
      </w:pPr>
      <w:r>
        <w:rPr>
          <w:rStyle w:val="FootnoteReference"/>
        </w:rPr>
        <w:footnoteRef/>
      </w:r>
      <w:r>
        <w:t xml:space="preserve"> The </w:t>
      </w:r>
      <w:r>
        <w:rPr>
          <w:lang w:val="en-US"/>
        </w:rPr>
        <w:t xml:space="preserve">erythrocyte sedimentation rate (ESR) </w:t>
      </w:r>
      <w:r w:rsidRPr="003A3117">
        <w:rPr>
          <w:lang w:val="en-US"/>
        </w:rPr>
        <w:t>is the rate at which</w:t>
      </w:r>
      <w:r>
        <w:rPr>
          <w:lang w:val="en-US"/>
        </w:rPr>
        <w:t xml:space="preserve"> erythrocytes (</w:t>
      </w:r>
      <w:r w:rsidRPr="003A3117">
        <w:rPr>
          <w:lang w:val="en-US"/>
        </w:rPr>
        <w:t>red blood cells</w:t>
      </w:r>
      <w:r>
        <w:rPr>
          <w:lang w:val="en-US"/>
        </w:rPr>
        <w:t>)</w:t>
      </w:r>
      <w:r w:rsidRPr="003A3117">
        <w:rPr>
          <w:lang w:val="en-US"/>
        </w:rPr>
        <w:t xml:space="preserve"> in anticoagulated who</w:t>
      </w:r>
      <w:r>
        <w:rPr>
          <w:lang w:val="en-US"/>
        </w:rPr>
        <w:t>le blood descend in a standardis</w:t>
      </w:r>
      <w:r w:rsidRPr="003A3117">
        <w:rPr>
          <w:lang w:val="en-US"/>
        </w:rPr>
        <w:t>ed tube over a period of one hour. It is a common hematology test, and is a non-specific measure of inflammation.</w:t>
      </w:r>
    </w:p>
  </w:footnote>
  <w:footnote w:id="3">
    <w:p w14:paraId="7CDDA865" w14:textId="252E8835" w:rsidR="000802D3" w:rsidRPr="002F304A" w:rsidRDefault="000802D3">
      <w:pPr>
        <w:pStyle w:val="FootnoteText"/>
        <w:rPr>
          <w:lang w:val="en-US"/>
        </w:rPr>
      </w:pPr>
      <w:r>
        <w:rPr>
          <w:rStyle w:val="FootnoteReference"/>
        </w:rPr>
        <w:footnoteRef/>
      </w:r>
      <w:r>
        <w:t xml:space="preserve"> </w:t>
      </w:r>
      <w:r>
        <w:rPr>
          <w:lang w:val="en-US"/>
        </w:rPr>
        <w:t>Serum amyloid A (SAA) proteins are a family of apolipoproteins (lipid-binding proteins) associated with high density lipoprotein (HDL) in plasma. Different isoforms are expressed either constituitively or in response to inflammation by in response to inflammatory stimuli (acute phase SAAs).</w:t>
      </w:r>
    </w:p>
  </w:footnote>
  <w:footnote w:id="4">
    <w:p w14:paraId="0005620E" w14:textId="77777777" w:rsidR="000802D3" w:rsidRDefault="000802D3" w:rsidP="00165A3F">
      <w:pPr>
        <w:pStyle w:val="FootnoteText"/>
      </w:pPr>
      <w:r>
        <w:rPr>
          <w:rStyle w:val="FootnoteReference"/>
        </w:rPr>
        <w:footnoteRef/>
      </w:r>
      <w:r>
        <w:t xml:space="preserve"> The </w:t>
      </w:r>
      <w:r w:rsidRPr="007A0685">
        <w:rPr>
          <w:b/>
        </w:rPr>
        <w:t>juvenile arthritis disease activity score (JADAS)</w:t>
      </w:r>
      <w:r>
        <w:t xml:space="preserve"> is a composite disease activity score for </w:t>
      </w:r>
      <w:r w:rsidRPr="007A0685">
        <w:t>juvenile idiopathic arthritis (JIA)</w:t>
      </w:r>
      <w:r>
        <w:t xml:space="preserve"> that uses four measures:</w:t>
      </w:r>
    </w:p>
    <w:p w14:paraId="698F5CAB" w14:textId="77777777" w:rsidR="000802D3" w:rsidRDefault="000802D3" w:rsidP="00165A3F">
      <w:pPr>
        <w:pStyle w:val="FootnoteText"/>
        <w:keepLines/>
      </w:pPr>
      <w:r>
        <w:t>1) global assessment of disease activity (by physician);</w:t>
      </w:r>
    </w:p>
    <w:p w14:paraId="3BE3050F" w14:textId="77777777" w:rsidR="000802D3" w:rsidRDefault="000802D3" w:rsidP="00165A3F">
      <w:pPr>
        <w:pStyle w:val="FootnoteText"/>
        <w:keepLines/>
      </w:pPr>
      <w:r>
        <w:t>2) global assessment of overall wellbeing (by parent/guardian or patient);</w:t>
      </w:r>
    </w:p>
    <w:p w14:paraId="0F45D83C" w14:textId="77777777" w:rsidR="000802D3" w:rsidRDefault="000802D3" w:rsidP="00165A3F">
      <w:pPr>
        <w:pStyle w:val="FootnoteText"/>
        <w:keepLines/>
      </w:pPr>
      <w:r>
        <w:t>3) number of joints with active arthritis; and</w:t>
      </w:r>
    </w:p>
    <w:p w14:paraId="058529BA" w14:textId="77777777" w:rsidR="000802D3" w:rsidRDefault="000802D3" w:rsidP="00165A3F">
      <w:pPr>
        <w:pStyle w:val="FootnoteText"/>
        <w:keepLines/>
      </w:pPr>
      <w:r>
        <w:t>4) erythrocyte sedimentation rate (ESR).</w:t>
      </w:r>
    </w:p>
    <w:p w14:paraId="051B885E" w14:textId="43A32090" w:rsidR="000802D3" w:rsidRDefault="000802D3" w:rsidP="00165A3F">
      <w:pPr>
        <w:pStyle w:val="FootnoteText"/>
      </w:pPr>
      <w:r>
        <w:t>The JADAS-71 uses 71 joints (complete joint count), in addition to the other measures, while the JADAS-27 uses 27 joints, and the JADAS-10 uses 10 joints.</w:t>
      </w:r>
    </w:p>
  </w:footnote>
  <w:footnote w:id="5">
    <w:p w14:paraId="2686416A" w14:textId="1A32C5F0" w:rsidR="000802D3" w:rsidRDefault="000802D3">
      <w:pPr>
        <w:pStyle w:val="FootnoteText"/>
      </w:pPr>
      <w:r>
        <w:rPr>
          <w:rStyle w:val="FootnoteReference"/>
        </w:rPr>
        <w:footnoteRef/>
      </w:r>
      <w:r>
        <w:t xml:space="preserve"> The </w:t>
      </w:r>
      <w:r w:rsidRPr="00831D30">
        <w:rPr>
          <w:b/>
          <w:lang w:eastAsia="ja-JP"/>
        </w:rPr>
        <w:t>childhood health assessment questionnaire</w:t>
      </w:r>
      <w:r w:rsidRPr="00831D30">
        <w:rPr>
          <w:b/>
        </w:rPr>
        <w:t xml:space="preserve"> (CHAQ)</w:t>
      </w:r>
      <w:r>
        <w:t xml:space="preserve"> is a functional ability assessment questionnaire that covers the child’s ability to perform in 8 different functional areas: 1) dressing and grooming, 2) arising, 3) eating, 4) walking, 5) hygiene, 6) reach, 7) grip and 8) activities. Each question is scored from 0 to 3, with 0 being ‘no difficulty’ and 3 being ‘unable to do’. The scores from each of the 8 functional areas are then used to calculate the </w:t>
      </w:r>
      <w:r w:rsidRPr="00831D30">
        <w:rPr>
          <w:b/>
          <w:lang w:eastAsia="ja-JP"/>
        </w:rPr>
        <w:t>childhood health assessment questionnaire-disability index (</w:t>
      </w:r>
      <w:r w:rsidRPr="00831D30">
        <w:rPr>
          <w:b/>
        </w:rPr>
        <w:t>CHAQ-DI)</w:t>
      </w:r>
      <w:r>
        <w:t>, which ranges from 0 to 3, with 0 being the best, and 3 being the worst.</w:t>
      </w:r>
    </w:p>
  </w:footnote>
  <w:footnote w:id="6">
    <w:p w14:paraId="0F963971" w14:textId="7AD8C4E7" w:rsidR="000802D3" w:rsidRDefault="000802D3">
      <w:pPr>
        <w:pStyle w:val="FootnoteText"/>
      </w:pPr>
      <w:r>
        <w:rPr>
          <w:rStyle w:val="FootnoteReference"/>
        </w:rPr>
        <w:footnoteRef/>
      </w:r>
      <w:r>
        <w:t xml:space="preserve"> The </w:t>
      </w:r>
      <w:r w:rsidRPr="002F304A">
        <w:t>Visual Analogue Scale (VAS)</w:t>
      </w:r>
      <w:r>
        <w:t xml:space="preserve"> is a</w:t>
      </w:r>
      <w:r w:rsidRPr="00241504">
        <w:t xml:space="preserve"> psychometric response scale for </w:t>
      </w:r>
      <w:r>
        <w:t>characteristics or attitudes</w:t>
      </w:r>
      <w:r w:rsidRPr="00241504">
        <w:t xml:space="preserve"> that range across a continuum of values</w:t>
      </w:r>
      <w:r>
        <w:t xml:space="preserve"> and cannot easily be directly measured</w:t>
      </w:r>
      <w:r w:rsidRPr="00241504">
        <w:t>, such as pain</w:t>
      </w:r>
      <w:r>
        <w:t>, mood and appetite</w:t>
      </w:r>
      <w:r w:rsidRPr="00241504">
        <w:t xml:space="preserve">. </w:t>
      </w:r>
      <w:r>
        <w:t xml:space="preserve">The </w:t>
      </w:r>
      <w:r w:rsidRPr="002F304A">
        <w:t xml:space="preserve">VAS </w:t>
      </w:r>
      <w:r w:rsidRPr="00F81697">
        <w:t>Pain Scale</w:t>
      </w:r>
      <w:r>
        <w:t xml:space="preserve"> ranges along a 10 cm line from ‘no pain’ (0 cm) to ‘</w:t>
      </w:r>
      <w:r w:rsidRPr="00241504">
        <w:t>worst pain</w:t>
      </w:r>
      <w:r>
        <w:t>’ (10 cm),</w:t>
      </w:r>
      <w:r w:rsidRPr="00241504">
        <w:t xml:space="preserve"> and patients mark a line</w:t>
      </w:r>
      <w:r>
        <w:t xml:space="preserve"> at a point along the scale</w:t>
      </w:r>
      <w:r w:rsidRPr="00241504">
        <w:t xml:space="preserve"> to indicate how they are feeling.</w:t>
      </w:r>
    </w:p>
  </w:footnote>
  <w:footnote w:id="7">
    <w:p w14:paraId="3AFBD36F" w14:textId="77777777" w:rsidR="000802D3" w:rsidRDefault="000802D3" w:rsidP="00BB65AC">
      <w:pPr>
        <w:pStyle w:val="FootnoteText"/>
      </w:pPr>
      <w:r>
        <w:rPr>
          <w:rStyle w:val="FootnoteReference"/>
        </w:rPr>
        <w:footnoteRef/>
      </w:r>
      <w:r>
        <w:t xml:space="preserve"> </w:t>
      </w:r>
      <w:r w:rsidRPr="00F12492">
        <w:rPr>
          <w:i/>
        </w:rPr>
        <w:t>Routine risk minimisation</w:t>
      </w:r>
      <w:r>
        <w:t xml:space="preserve"> activities may be limited to ensuring that suitable warnings are included in the product information or by careful use of labelling and packaging.</w:t>
      </w:r>
    </w:p>
    <w:p w14:paraId="69EB0CC2" w14:textId="77777777" w:rsidR="000802D3" w:rsidRDefault="000802D3" w:rsidP="00BB65AC">
      <w:pPr>
        <w:pStyle w:val="FootnoteText"/>
      </w:pPr>
      <w:r w:rsidRPr="00F12492">
        <w:rPr>
          <w:i/>
        </w:rPr>
        <w:t>Routine pharmacovigilance</w:t>
      </w:r>
      <w:r>
        <w:t xml:space="preserve"> practices involve the following activities:</w:t>
      </w:r>
    </w:p>
    <w:p w14:paraId="79555A98" w14:textId="77777777" w:rsidR="000802D3" w:rsidRDefault="000802D3" w:rsidP="00BB65AC">
      <w:pPr>
        <w:pStyle w:val="FootnoteText"/>
        <w:numPr>
          <w:ilvl w:val="0"/>
          <w:numId w:val="28"/>
        </w:numPr>
      </w:pPr>
      <w:r>
        <w:t>All suspected adverse reactions that are reported to the personnel of the company are collected and collated in an accessible manner;</w:t>
      </w:r>
    </w:p>
    <w:p w14:paraId="5A817D8A" w14:textId="77777777" w:rsidR="000802D3" w:rsidRDefault="000802D3" w:rsidP="00BB65AC">
      <w:pPr>
        <w:pStyle w:val="FootnoteText"/>
        <w:numPr>
          <w:ilvl w:val="0"/>
          <w:numId w:val="28"/>
        </w:numPr>
      </w:pPr>
      <w:r>
        <w:t>Reporting to regulatory authorities;</w:t>
      </w:r>
    </w:p>
    <w:p w14:paraId="34BA0EF2" w14:textId="77777777" w:rsidR="000802D3" w:rsidRDefault="000802D3" w:rsidP="00BB65AC">
      <w:pPr>
        <w:pStyle w:val="FootnoteText"/>
        <w:numPr>
          <w:ilvl w:val="0"/>
          <w:numId w:val="28"/>
        </w:numPr>
      </w:pPr>
      <w:r>
        <w:t>Continuous monitoring of the safety profiles of approved products including signal detection and updating of labelling;</w:t>
      </w:r>
    </w:p>
    <w:p w14:paraId="60DC1E66" w14:textId="77777777" w:rsidR="000802D3" w:rsidRDefault="000802D3" w:rsidP="00BB65AC">
      <w:pPr>
        <w:pStyle w:val="FootnoteText"/>
        <w:numPr>
          <w:ilvl w:val="0"/>
          <w:numId w:val="28"/>
        </w:numPr>
      </w:pPr>
      <w:r>
        <w:t>Submission of PSURs;</w:t>
      </w:r>
    </w:p>
    <w:p w14:paraId="778709A4" w14:textId="77777777" w:rsidR="000802D3" w:rsidRPr="00F12492" w:rsidRDefault="000802D3" w:rsidP="00BB65AC">
      <w:pPr>
        <w:pStyle w:val="FootnoteText"/>
        <w:numPr>
          <w:ilvl w:val="0"/>
          <w:numId w:val="28"/>
        </w:numPr>
        <w:rPr>
          <w:lang w:val="en-US"/>
        </w:rPr>
      </w:pPr>
      <w:r>
        <w:t>Meeting other local regulatory agency requirements.</w:t>
      </w:r>
    </w:p>
  </w:footnote>
  <w:footnote w:id="8">
    <w:p w14:paraId="3A173473" w14:textId="6E48F139" w:rsidR="000802D3" w:rsidRDefault="000802D3">
      <w:pPr>
        <w:pStyle w:val="FootnoteText"/>
      </w:pPr>
      <w:r>
        <w:rPr>
          <w:rStyle w:val="FootnoteReference"/>
        </w:rPr>
        <w:footnoteRef/>
      </w:r>
      <w:r>
        <w:t xml:space="preserve"> S</w:t>
      </w:r>
      <w:r w:rsidRPr="005A5049">
        <w:t xml:space="preserve">ummary of </w:t>
      </w:r>
      <w:r>
        <w:t>P</w:t>
      </w:r>
      <w:r w:rsidRPr="005A5049">
        <w:t xml:space="preserve">roduct </w:t>
      </w:r>
      <w:r>
        <w:t>C</w:t>
      </w:r>
      <w:r w:rsidRPr="005A5049">
        <w:t>haracteristics</w:t>
      </w:r>
      <w:r>
        <w:t xml:space="preserve">, SmPC </w:t>
      </w:r>
      <w:r w:rsidRPr="005A5049">
        <w:t xml:space="preserve">RoActemra </w:t>
      </w:r>
      <w:r>
        <w:t xml:space="preserve">(tocilizumab) </w:t>
      </w:r>
      <w:r w:rsidRPr="005A45E9">
        <w:t>162 mg solution for injection in pre-filled syringe</w:t>
      </w:r>
      <w:r>
        <w:t>, last revised 17 October 2019, available from the EMA website.</w:t>
      </w:r>
    </w:p>
  </w:footnote>
  <w:footnote w:id="9">
    <w:p w14:paraId="1289C993" w14:textId="77777777" w:rsidR="000802D3" w:rsidRDefault="000802D3" w:rsidP="00456765">
      <w:pPr>
        <w:pStyle w:val="FootnoteText"/>
      </w:pPr>
      <w:r>
        <w:rPr>
          <w:rStyle w:val="FootnoteReference"/>
        </w:rPr>
        <w:footnoteRef/>
      </w:r>
      <w:r>
        <w:t xml:space="preserve"> The ACM provides independent medical and scientific advice to the Minister for Health and the Therapeutic Goods Administration (TGA) on issues relating to the safety, quality and efficacy of medicines supplied in Australia including issues relating to pre-market and post-market functions for medicines.</w:t>
      </w:r>
    </w:p>
    <w:p w14:paraId="4B06BC95" w14:textId="77777777" w:rsidR="000802D3" w:rsidRPr="00456765" w:rsidRDefault="000802D3" w:rsidP="00456765">
      <w:pPr>
        <w:pStyle w:val="FootnoteText"/>
        <w:rPr>
          <w:lang w:val="en-US"/>
        </w:rPr>
      </w:pPr>
      <w:r>
        <w:t xml:space="preserve">The Committee is established under Regulation 35 of the Therapeutic Goods Regulations 1990. Members are appointed by the Minister. The ACM was established in January 2017 replacing </w:t>
      </w:r>
      <w:r w:rsidRPr="009E0C19">
        <w:t xml:space="preserve">Advisory Committee on Prescription Medicines (ACPM) </w:t>
      </w:r>
      <w:r>
        <w:t xml:space="preserve">which </w:t>
      </w:r>
      <w:r w:rsidRPr="009E0C19">
        <w:t>was formed in January 2010</w:t>
      </w:r>
      <w:r>
        <w:t>. ACM encompass pre and post-market advice for medicines, following the consolidation of the previous functions of the Advisory Committee on Prescription Medicines (ACPM), the Advisory Committee on the Safety of Medicines (ACSOM) and the Advisory Committee on Non-Prescription Medicines (ACNM). Membership comprises of professionals with specific scientific, medical or clinical expertise, as well as appropriate consumer health issues relating to medicines.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DA6F6" w14:textId="77777777" w:rsidR="000802D3" w:rsidRDefault="000802D3" w:rsidP="00E45619">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2B1A9" w14:textId="77777777" w:rsidR="000802D3" w:rsidRDefault="000802D3">
    <w:pPr>
      <w:rPr>
        <w:noProof/>
        <w:lang w:eastAsia="en-AU"/>
      </w:rPr>
    </w:pPr>
    <w:r w:rsidRPr="00347824">
      <w:rPr>
        <w:noProof/>
        <w:lang w:eastAsia="en-AU"/>
      </w:rPr>
      <w:drawing>
        <wp:anchor distT="0" distB="0" distL="114300" distR="114300" simplePos="0" relativeHeight="251659264" behindDoc="1" locked="0" layoutInCell="1" allowOverlap="1" wp14:anchorId="161C0606" wp14:editId="4C1FD9F0">
          <wp:simplePos x="0" y="0"/>
          <wp:positionH relativeFrom="column">
            <wp:posOffset>-1089660</wp:posOffset>
          </wp:positionH>
          <wp:positionV relativeFrom="paragraph">
            <wp:posOffset>-585470</wp:posOffset>
          </wp:positionV>
          <wp:extent cx="7572375" cy="10706100"/>
          <wp:effectExtent l="19050" t="0" r="0" b="0"/>
          <wp:wrapNone/>
          <wp:docPr id="11"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14:paraId="58E685EC" w14:textId="671A0C96" w:rsidR="000802D3" w:rsidRDefault="000802D3" w:rsidP="00593AD1">
    <w:pPr>
      <w:pStyle w:val="HeaderNoLi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558ED" w14:textId="77777777" w:rsidR="000802D3" w:rsidRDefault="000802D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F7B3E" w14:textId="77777777" w:rsidR="000802D3" w:rsidRDefault="000802D3">
    <w:pPr>
      <w:pStyle w:val="Header"/>
    </w:pPr>
    <w:r>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6D059" w14:textId="77777777" w:rsidR="000802D3" w:rsidRDefault="000802D3">
    <w:pPr>
      <w:pStyle w:val="Header"/>
    </w:pPr>
    <w:r>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E7FCB" w14:textId="77777777" w:rsidR="000802D3" w:rsidRDefault="000802D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1C15B" w14:textId="77777777" w:rsidR="000802D3" w:rsidRDefault="000802D3" w:rsidP="004C239D">
    <w:pPr>
      <w:pStyle w:val="HeaderNoLine"/>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33FC8" w14:textId="77777777" w:rsidR="000802D3" w:rsidRDefault="000802D3" w:rsidP="006E08B3">
    <w:r>
      <w:t>Therapeutic Goods Administration</w:t>
    </w:r>
  </w:p>
  <w:p w14:paraId="2BD2CFB9" w14:textId="77777777" w:rsidR="000802D3" w:rsidRDefault="000802D3" w:rsidP="006D03E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B8320B0A"/>
    <w:lvl w:ilvl="0">
      <w:numFmt w:val="bullet"/>
      <w:lvlText w:val="*"/>
      <w:lvlJc w:val="left"/>
    </w:lvl>
  </w:abstractNum>
  <w:abstractNum w:abstractNumId="4" w15:restartNumberingAfterBreak="0">
    <w:nsid w:val="0E9108CD"/>
    <w:multiLevelType w:val="hybridMultilevel"/>
    <w:tmpl w:val="F07C7BCA"/>
    <w:lvl w:ilvl="0" w:tplc="7E7496A6">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15:restartNumberingAfterBreak="0">
    <w:nsid w:val="10DD18FC"/>
    <w:multiLevelType w:val="hybridMultilevel"/>
    <w:tmpl w:val="434C1E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68F13E9"/>
    <w:multiLevelType w:val="multilevel"/>
    <w:tmpl w:val="AF76E49C"/>
    <w:styleLink w:val="ListBullets"/>
    <w:lvl w:ilvl="0">
      <w:start w:val="1"/>
      <w:numFmt w:val="bullet"/>
      <w:pStyle w:val="ListBullet"/>
      <w:lvlText w:val="•"/>
      <w:lvlJc w:val="left"/>
      <w:pPr>
        <w:ind w:left="360" w:hanging="360"/>
      </w:pPr>
      <w:rPr>
        <w:rFonts w:ascii="Arial" w:hAnsi="Aria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15:restartNumberingAfterBreak="0">
    <w:nsid w:val="1DBF59FF"/>
    <w:multiLevelType w:val="hybridMultilevel"/>
    <w:tmpl w:val="8FB0CE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1">
    <w:nsid w:val="2EF655CC"/>
    <w:multiLevelType w:val="multilevel"/>
    <w:tmpl w:val="6E9CC688"/>
    <w:lvl w:ilvl="0">
      <w:start w:val="1"/>
      <w:numFmt w:val="bullet"/>
      <w:lvlText w:val=""/>
      <w:lvlJc w:val="left"/>
      <w:pPr>
        <w:ind w:left="360" w:hanging="360"/>
      </w:pPr>
      <w:rPr>
        <w:rFonts w:ascii="Symbol" w:hAnsi="Symbol"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15:restartNumberingAfterBreak="0">
    <w:nsid w:val="4EB41F2F"/>
    <w:multiLevelType w:val="hybridMultilevel"/>
    <w:tmpl w:val="E79C1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7606DC0"/>
    <w:multiLevelType w:val="hybridMultilevel"/>
    <w:tmpl w:val="8780E0A6"/>
    <w:lvl w:ilvl="0" w:tplc="4224B92E">
      <w:numFmt w:val="bullet"/>
      <w:lvlText w:val="•"/>
      <w:lvlJc w:val="left"/>
      <w:pPr>
        <w:ind w:left="360" w:hanging="36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7"/>
  </w:num>
  <w:num w:numId="4">
    <w:abstractNumId w:val="7"/>
  </w:num>
  <w:num w:numId="5">
    <w:abstractNumId w:val="0"/>
  </w:num>
  <w:num w:numId="6">
    <w:abstractNumId w:val="7"/>
  </w:num>
  <w:num w:numId="7">
    <w:abstractNumId w:val="7"/>
  </w:num>
  <w:num w:numId="8">
    <w:abstractNumId w:val="5"/>
  </w:num>
  <w:num w:numId="9">
    <w:abstractNumId w:val="5"/>
  </w:num>
  <w:num w:numId="10">
    <w:abstractNumId w:val="5"/>
  </w:num>
  <w:num w:numId="11">
    <w:abstractNumId w:val="5"/>
  </w:num>
  <w:num w:numId="12">
    <w:abstractNumId w:val="3"/>
    <w:lvlOverride w:ilvl="0">
      <w:lvl w:ilvl="0">
        <w:numFmt w:val="bullet"/>
        <w:lvlText w:val="•"/>
        <w:legacy w:legacy="1" w:legacySpace="0" w:legacyIndent="0"/>
        <w:lvlJc w:val="left"/>
        <w:rPr>
          <w:rFonts w:ascii="Helv" w:hAnsi="Helv" w:hint="default"/>
        </w:rPr>
      </w:lvl>
    </w:lvlOverride>
  </w:num>
  <w:num w:numId="13">
    <w:abstractNumId w:val="7"/>
  </w:num>
  <w:num w:numId="14">
    <w:abstractNumId w:val="7"/>
  </w:num>
  <w:num w:numId="15">
    <w:abstractNumId w:val="7"/>
  </w:num>
  <w:num w:numId="16">
    <w:abstractNumId w:val="5"/>
  </w:num>
  <w:num w:numId="17">
    <w:abstractNumId w:val="5"/>
  </w:num>
  <w:num w:numId="18">
    <w:abstractNumId w:val="5"/>
  </w:num>
  <w:num w:numId="19">
    <w:abstractNumId w:val="7"/>
  </w:num>
  <w:num w:numId="20">
    <w:abstractNumId w:val="7"/>
  </w:num>
  <w:num w:numId="21">
    <w:abstractNumId w:val="7"/>
  </w:num>
  <w:num w:numId="22">
    <w:abstractNumId w:val="5"/>
  </w:num>
  <w:num w:numId="23">
    <w:abstractNumId w:val="5"/>
  </w:num>
  <w:num w:numId="24">
    <w:abstractNumId w:val="5"/>
  </w:num>
  <w:num w:numId="25">
    <w:abstractNumId w:val="5"/>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5"/>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10"/>
  </w:num>
  <w:num w:numId="28">
    <w:abstractNumId w:val="11"/>
  </w:num>
  <w:num w:numId="29">
    <w:abstractNumId w:val="4"/>
  </w:num>
  <w:num w:numId="30">
    <w:abstractNumId w:val="8"/>
  </w:num>
  <w:num w:numId="31">
    <w:abstractNumId w:val="6"/>
  </w:num>
  <w:num w:numId="32">
    <w:abstractNumId w:val="9"/>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E60"/>
    <w:rsid w:val="00002031"/>
    <w:rsid w:val="00004734"/>
    <w:rsid w:val="00006B22"/>
    <w:rsid w:val="0001276A"/>
    <w:rsid w:val="000200B0"/>
    <w:rsid w:val="000246AE"/>
    <w:rsid w:val="00025C67"/>
    <w:rsid w:val="00027E93"/>
    <w:rsid w:val="000403C5"/>
    <w:rsid w:val="00044772"/>
    <w:rsid w:val="0004541C"/>
    <w:rsid w:val="0005292A"/>
    <w:rsid w:val="0005559E"/>
    <w:rsid w:val="00056BF4"/>
    <w:rsid w:val="000604D6"/>
    <w:rsid w:val="00070E60"/>
    <w:rsid w:val="000734D8"/>
    <w:rsid w:val="00077775"/>
    <w:rsid w:val="000802D3"/>
    <w:rsid w:val="00090471"/>
    <w:rsid w:val="000926CD"/>
    <w:rsid w:val="00096AA7"/>
    <w:rsid w:val="000A3AED"/>
    <w:rsid w:val="000A3F82"/>
    <w:rsid w:val="000B3532"/>
    <w:rsid w:val="000B3A75"/>
    <w:rsid w:val="000B6B5C"/>
    <w:rsid w:val="000C00C2"/>
    <w:rsid w:val="000C690F"/>
    <w:rsid w:val="000D1295"/>
    <w:rsid w:val="000D391B"/>
    <w:rsid w:val="000D3D6D"/>
    <w:rsid w:val="000D4FC7"/>
    <w:rsid w:val="000E6196"/>
    <w:rsid w:val="000F4869"/>
    <w:rsid w:val="000F53E6"/>
    <w:rsid w:val="000F5B42"/>
    <w:rsid w:val="000F6E6F"/>
    <w:rsid w:val="00102645"/>
    <w:rsid w:val="0010601F"/>
    <w:rsid w:val="0010788A"/>
    <w:rsid w:val="00107A31"/>
    <w:rsid w:val="0011005A"/>
    <w:rsid w:val="00110EA5"/>
    <w:rsid w:val="00112A96"/>
    <w:rsid w:val="00112F56"/>
    <w:rsid w:val="00124ACD"/>
    <w:rsid w:val="00125318"/>
    <w:rsid w:val="001305A2"/>
    <w:rsid w:val="00133238"/>
    <w:rsid w:val="00133A1B"/>
    <w:rsid w:val="0014197B"/>
    <w:rsid w:val="001447CD"/>
    <w:rsid w:val="001516B1"/>
    <w:rsid w:val="00154EBB"/>
    <w:rsid w:val="00155912"/>
    <w:rsid w:val="00156316"/>
    <w:rsid w:val="00161181"/>
    <w:rsid w:val="00162C24"/>
    <w:rsid w:val="00162D14"/>
    <w:rsid w:val="00163780"/>
    <w:rsid w:val="00165389"/>
    <w:rsid w:val="00165A3F"/>
    <w:rsid w:val="0017693F"/>
    <w:rsid w:val="0018110E"/>
    <w:rsid w:val="00181684"/>
    <w:rsid w:val="001843C6"/>
    <w:rsid w:val="001850E0"/>
    <w:rsid w:val="001A03AF"/>
    <w:rsid w:val="001A2158"/>
    <w:rsid w:val="001A525F"/>
    <w:rsid w:val="001B09F9"/>
    <w:rsid w:val="001B0E05"/>
    <w:rsid w:val="001B1062"/>
    <w:rsid w:val="001B5C90"/>
    <w:rsid w:val="001B6448"/>
    <w:rsid w:val="001C32CD"/>
    <w:rsid w:val="001D2984"/>
    <w:rsid w:val="001D4A35"/>
    <w:rsid w:val="001E07CF"/>
    <w:rsid w:val="001E59F1"/>
    <w:rsid w:val="001F2CEE"/>
    <w:rsid w:val="001F49EB"/>
    <w:rsid w:val="001F6CBA"/>
    <w:rsid w:val="00201D4E"/>
    <w:rsid w:val="002076C9"/>
    <w:rsid w:val="00220B8A"/>
    <w:rsid w:val="002213E6"/>
    <w:rsid w:val="002233B8"/>
    <w:rsid w:val="002257F3"/>
    <w:rsid w:val="00233456"/>
    <w:rsid w:val="002339A5"/>
    <w:rsid w:val="002377B5"/>
    <w:rsid w:val="00241E63"/>
    <w:rsid w:val="002537E9"/>
    <w:rsid w:val="00257848"/>
    <w:rsid w:val="002578E8"/>
    <w:rsid w:val="0027084A"/>
    <w:rsid w:val="00274D7F"/>
    <w:rsid w:val="00280265"/>
    <w:rsid w:val="00286434"/>
    <w:rsid w:val="00286C59"/>
    <w:rsid w:val="00291957"/>
    <w:rsid w:val="002942D1"/>
    <w:rsid w:val="0029501A"/>
    <w:rsid w:val="002A34D9"/>
    <w:rsid w:val="002A3721"/>
    <w:rsid w:val="002B1638"/>
    <w:rsid w:val="002B3624"/>
    <w:rsid w:val="002C029E"/>
    <w:rsid w:val="002C3A40"/>
    <w:rsid w:val="002D0952"/>
    <w:rsid w:val="002E40B3"/>
    <w:rsid w:val="002E4C9A"/>
    <w:rsid w:val="002E7174"/>
    <w:rsid w:val="002F11F8"/>
    <w:rsid w:val="002F304A"/>
    <w:rsid w:val="002F3F56"/>
    <w:rsid w:val="002F44B5"/>
    <w:rsid w:val="002F5122"/>
    <w:rsid w:val="00305509"/>
    <w:rsid w:val="00311AC0"/>
    <w:rsid w:val="003176FC"/>
    <w:rsid w:val="00324F6C"/>
    <w:rsid w:val="0032583B"/>
    <w:rsid w:val="00327883"/>
    <w:rsid w:val="00335504"/>
    <w:rsid w:val="00340C18"/>
    <w:rsid w:val="003442FD"/>
    <w:rsid w:val="00347824"/>
    <w:rsid w:val="00350567"/>
    <w:rsid w:val="003521E8"/>
    <w:rsid w:val="0035222B"/>
    <w:rsid w:val="00362A72"/>
    <w:rsid w:val="00363E83"/>
    <w:rsid w:val="00370CE3"/>
    <w:rsid w:val="0037157D"/>
    <w:rsid w:val="003728F3"/>
    <w:rsid w:val="0037333B"/>
    <w:rsid w:val="003735BC"/>
    <w:rsid w:val="0037496E"/>
    <w:rsid w:val="0038296F"/>
    <w:rsid w:val="00383221"/>
    <w:rsid w:val="00386150"/>
    <w:rsid w:val="003874CE"/>
    <w:rsid w:val="00390900"/>
    <w:rsid w:val="00391520"/>
    <w:rsid w:val="003929E2"/>
    <w:rsid w:val="003A3117"/>
    <w:rsid w:val="003A496A"/>
    <w:rsid w:val="003A7F6C"/>
    <w:rsid w:val="003B055A"/>
    <w:rsid w:val="003B2734"/>
    <w:rsid w:val="003B4D60"/>
    <w:rsid w:val="003B7E39"/>
    <w:rsid w:val="003C4F41"/>
    <w:rsid w:val="003C58DC"/>
    <w:rsid w:val="003D1E62"/>
    <w:rsid w:val="003E0B99"/>
    <w:rsid w:val="003E2486"/>
    <w:rsid w:val="003E3208"/>
    <w:rsid w:val="003E752D"/>
    <w:rsid w:val="003F0B04"/>
    <w:rsid w:val="003F5C66"/>
    <w:rsid w:val="0040134E"/>
    <w:rsid w:val="00410622"/>
    <w:rsid w:val="004120BA"/>
    <w:rsid w:val="00424284"/>
    <w:rsid w:val="004334C7"/>
    <w:rsid w:val="00440A2D"/>
    <w:rsid w:val="00440EDC"/>
    <w:rsid w:val="00441C3F"/>
    <w:rsid w:val="00444D1A"/>
    <w:rsid w:val="004502FE"/>
    <w:rsid w:val="0045186A"/>
    <w:rsid w:val="004564A7"/>
    <w:rsid w:val="00456765"/>
    <w:rsid w:val="004617BF"/>
    <w:rsid w:val="00463658"/>
    <w:rsid w:val="004637A0"/>
    <w:rsid w:val="004722CC"/>
    <w:rsid w:val="00476D70"/>
    <w:rsid w:val="00480B0E"/>
    <w:rsid w:val="00490483"/>
    <w:rsid w:val="004936E4"/>
    <w:rsid w:val="00494E60"/>
    <w:rsid w:val="00497487"/>
    <w:rsid w:val="0049763F"/>
    <w:rsid w:val="004A2771"/>
    <w:rsid w:val="004A6189"/>
    <w:rsid w:val="004A7390"/>
    <w:rsid w:val="004B48D3"/>
    <w:rsid w:val="004B7B76"/>
    <w:rsid w:val="004C239D"/>
    <w:rsid w:val="004C2DCA"/>
    <w:rsid w:val="004C61D2"/>
    <w:rsid w:val="004F0C4A"/>
    <w:rsid w:val="004F0F38"/>
    <w:rsid w:val="004F2EC6"/>
    <w:rsid w:val="004F47D6"/>
    <w:rsid w:val="004F52B3"/>
    <w:rsid w:val="004F77CF"/>
    <w:rsid w:val="00500337"/>
    <w:rsid w:val="00501921"/>
    <w:rsid w:val="00523BB5"/>
    <w:rsid w:val="00530354"/>
    <w:rsid w:val="0053625B"/>
    <w:rsid w:val="005434C6"/>
    <w:rsid w:val="00543B39"/>
    <w:rsid w:val="00546154"/>
    <w:rsid w:val="005461A4"/>
    <w:rsid w:val="00547322"/>
    <w:rsid w:val="00550096"/>
    <w:rsid w:val="00555280"/>
    <w:rsid w:val="00557FF9"/>
    <w:rsid w:val="00562327"/>
    <w:rsid w:val="00565ECC"/>
    <w:rsid w:val="005711D5"/>
    <w:rsid w:val="00576378"/>
    <w:rsid w:val="00577130"/>
    <w:rsid w:val="00577945"/>
    <w:rsid w:val="00577E38"/>
    <w:rsid w:val="005829B6"/>
    <w:rsid w:val="00585322"/>
    <w:rsid w:val="005857C6"/>
    <w:rsid w:val="00587352"/>
    <w:rsid w:val="005875E2"/>
    <w:rsid w:val="00592F6E"/>
    <w:rsid w:val="00593AD1"/>
    <w:rsid w:val="0059626C"/>
    <w:rsid w:val="005A236B"/>
    <w:rsid w:val="005A45E9"/>
    <w:rsid w:val="005A5049"/>
    <w:rsid w:val="005A68B6"/>
    <w:rsid w:val="005C5570"/>
    <w:rsid w:val="005C79A4"/>
    <w:rsid w:val="005D2231"/>
    <w:rsid w:val="005D340A"/>
    <w:rsid w:val="005D5442"/>
    <w:rsid w:val="00603F32"/>
    <w:rsid w:val="00605AD4"/>
    <w:rsid w:val="006136D7"/>
    <w:rsid w:val="00625A6E"/>
    <w:rsid w:val="00630F0B"/>
    <w:rsid w:val="00632398"/>
    <w:rsid w:val="00640FC3"/>
    <w:rsid w:val="00642020"/>
    <w:rsid w:val="006430EE"/>
    <w:rsid w:val="0064447D"/>
    <w:rsid w:val="006454BC"/>
    <w:rsid w:val="0065337B"/>
    <w:rsid w:val="0065419D"/>
    <w:rsid w:val="006541D4"/>
    <w:rsid w:val="0065475C"/>
    <w:rsid w:val="006603BC"/>
    <w:rsid w:val="006604D8"/>
    <w:rsid w:val="00664A5B"/>
    <w:rsid w:val="0066735C"/>
    <w:rsid w:val="006763D2"/>
    <w:rsid w:val="00680C08"/>
    <w:rsid w:val="0069082A"/>
    <w:rsid w:val="006916A0"/>
    <w:rsid w:val="006931B1"/>
    <w:rsid w:val="006A15C0"/>
    <w:rsid w:val="006A2E46"/>
    <w:rsid w:val="006A58A8"/>
    <w:rsid w:val="006C3E2A"/>
    <w:rsid w:val="006C642F"/>
    <w:rsid w:val="006D03E5"/>
    <w:rsid w:val="006D5047"/>
    <w:rsid w:val="006D5D3E"/>
    <w:rsid w:val="006E08B3"/>
    <w:rsid w:val="006F17AC"/>
    <w:rsid w:val="006F25B8"/>
    <w:rsid w:val="006F572E"/>
    <w:rsid w:val="007038CF"/>
    <w:rsid w:val="007046D6"/>
    <w:rsid w:val="00705DB0"/>
    <w:rsid w:val="007113E8"/>
    <w:rsid w:val="00720F3E"/>
    <w:rsid w:val="00720FB1"/>
    <w:rsid w:val="00721F53"/>
    <w:rsid w:val="00722B16"/>
    <w:rsid w:val="00722B57"/>
    <w:rsid w:val="00730F8A"/>
    <w:rsid w:val="00733014"/>
    <w:rsid w:val="00735A8C"/>
    <w:rsid w:val="0074253D"/>
    <w:rsid w:val="0074429B"/>
    <w:rsid w:val="007615BC"/>
    <w:rsid w:val="00762F05"/>
    <w:rsid w:val="007652FF"/>
    <w:rsid w:val="00770CAC"/>
    <w:rsid w:val="00770EF1"/>
    <w:rsid w:val="00773EF7"/>
    <w:rsid w:val="00774E1D"/>
    <w:rsid w:val="007765D8"/>
    <w:rsid w:val="0077675A"/>
    <w:rsid w:val="00780355"/>
    <w:rsid w:val="007819FD"/>
    <w:rsid w:val="00785717"/>
    <w:rsid w:val="00785721"/>
    <w:rsid w:val="00793A59"/>
    <w:rsid w:val="007971A5"/>
    <w:rsid w:val="007A07F9"/>
    <w:rsid w:val="007A2170"/>
    <w:rsid w:val="007A46F5"/>
    <w:rsid w:val="007A6505"/>
    <w:rsid w:val="007B6132"/>
    <w:rsid w:val="007B6E9F"/>
    <w:rsid w:val="007C1216"/>
    <w:rsid w:val="007C187F"/>
    <w:rsid w:val="007C1AF7"/>
    <w:rsid w:val="007C3CC4"/>
    <w:rsid w:val="007C6B9B"/>
    <w:rsid w:val="007F4331"/>
    <w:rsid w:val="00805D27"/>
    <w:rsid w:val="00806DCB"/>
    <w:rsid w:val="008205F5"/>
    <w:rsid w:val="00821776"/>
    <w:rsid w:val="00831567"/>
    <w:rsid w:val="008321F5"/>
    <w:rsid w:val="00832369"/>
    <w:rsid w:val="008333E6"/>
    <w:rsid w:val="00834660"/>
    <w:rsid w:val="00835241"/>
    <w:rsid w:val="00836BC2"/>
    <w:rsid w:val="00850948"/>
    <w:rsid w:val="0085156D"/>
    <w:rsid w:val="00852B28"/>
    <w:rsid w:val="0085641B"/>
    <w:rsid w:val="00857136"/>
    <w:rsid w:val="00872258"/>
    <w:rsid w:val="00875A6B"/>
    <w:rsid w:val="008772D3"/>
    <w:rsid w:val="00885B11"/>
    <w:rsid w:val="00886D15"/>
    <w:rsid w:val="00887DD8"/>
    <w:rsid w:val="00891BA9"/>
    <w:rsid w:val="00896018"/>
    <w:rsid w:val="008960DD"/>
    <w:rsid w:val="0089635C"/>
    <w:rsid w:val="008A0313"/>
    <w:rsid w:val="008A2B9D"/>
    <w:rsid w:val="008A3333"/>
    <w:rsid w:val="008A3D9F"/>
    <w:rsid w:val="008A5E0B"/>
    <w:rsid w:val="008A6D59"/>
    <w:rsid w:val="008B4B03"/>
    <w:rsid w:val="008B596F"/>
    <w:rsid w:val="008C159F"/>
    <w:rsid w:val="008C1623"/>
    <w:rsid w:val="008C1850"/>
    <w:rsid w:val="008C1DBD"/>
    <w:rsid w:val="008C51A9"/>
    <w:rsid w:val="008E7846"/>
    <w:rsid w:val="008F02E5"/>
    <w:rsid w:val="008F1CCC"/>
    <w:rsid w:val="008F2967"/>
    <w:rsid w:val="008F3C1F"/>
    <w:rsid w:val="008F58E2"/>
    <w:rsid w:val="008F6943"/>
    <w:rsid w:val="009021D3"/>
    <w:rsid w:val="00902A21"/>
    <w:rsid w:val="00910701"/>
    <w:rsid w:val="00911481"/>
    <w:rsid w:val="0091286B"/>
    <w:rsid w:val="0091523F"/>
    <w:rsid w:val="00916AF1"/>
    <w:rsid w:val="00920330"/>
    <w:rsid w:val="009219D7"/>
    <w:rsid w:val="00922D53"/>
    <w:rsid w:val="00923B70"/>
    <w:rsid w:val="00924482"/>
    <w:rsid w:val="00930237"/>
    <w:rsid w:val="00937C17"/>
    <w:rsid w:val="00940A89"/>
    <w:rsid w:val="00941F77"/>
    <w:rsid w:val="00942BF4"/>
    <w:rsid w:val="00946D98"/>
    <w:rsid w:val="00946EA5"/>
    <w:rsid w:val="00960520"/>
    <w:rsid w:val="00963C08"/>
    <w:rsid w:val="009667AD"/>
    <w:rsid w:val="009752A5"/>
    <w:rsid w:val="0098585A"/>
    <w:rsid w:val="00985EE2"/>
    <w:rsid w:val="00987EC2"/>
    <w:rsid w:val="0099050F"/>
    <w:rsid w:val="009A002B"/>
    <w:rsid w:val="009A4CED"/>
    <w:rsid w:val="009A690D"/>
    <w:rsid w:val="009B1D12"/>
    <w:rsid w:val="009B416B"/>
    <w:rsid w:val="009C4BD5"/>
    <w:rsid w:val="009D7B77"/>
    <w:rsid w:val="009E0BB0"/>
    <w:rsid w:val="009E3FBB"/>
    <w:rsid w:val="009F7353"/>
    <w:rsid w:val="00A04F85"/>
    <w:rsid w:val="00A05FA4"/>
    <w:rsid w:val="00A102E4"/>
    <w:rsid w:val="00A1219C"/>
    <w:rsid w:val="00A12C42"/>
    <w:rsid w:val="00A14DF7"/>
    <w:rsid w:val="00A22D57"/>
    <w:rsid w:val="00A3246D"/>
    <w:rsid w:val="00A33623"/>
    <w:rsid w:val="00A36FA7"/>
    <w:rsid w:val="00A44DDB"/>
    <w:rsid w:val="00A475B7"/>
    <w:rsid w:val="00A47AF7"/>
    <w:rsid w:val="00A47C3E"/>
    <w:rsid w:val="00A50226"/>
    <w:rsid w:val="00A50399"/>
    <w:rsid w:val="00A5361F"/>
    <w:rsid w:val="00A60BAD"/>
    <w:rsid w:val="00A616CB"/>
    <w:rsid w:val="00A7478F"/>
    <w:rsid w:val="00A77F87"/>
    <w:rsid w:val="00A8015A"/>
    <w:rsid w:val="00A80B5B"/>
    <w:rsid w:val="00A84E36"/>
    <w:rsid w:val="00A85F8F"/>
    <w:rsid w:val="00A93541"/>
    <w:rsid w:val="00A937A1"/>
    <w:rsid w:val="00A964D1"/>
    <w:rsid w:val="00AA0ED0"/>
    <w:rsid w:val="00AC2B40"/>
    <w:rsid w:val="00AC2BB2"/>
    <w:rsid w:val="00AC2C3C"/>
    <w:rsid w:val="00AC3CB5"/>
    <w:rsid w:val="00AC4C09"/>
    <w:rsid w:val="00AC512D"/>
    <w:rsid w:val="00AD0083"/>
    <w:rsid w:val="00AD3935"/>
    <w:rsid w:val="00AD7350"/>
    <w:rsid w:val="00AE5A1A"/>
    <w:rsid w:val="00AE65EB"/>
    <w:rsid w:val="00AE67A7"/>
    <w:rsid w:val="00AF1D94"/>
    <w:rsid w:val="00AF1E3F"/>
    <w:rsid w:val="00AF60C5"/>
    <w:rsid w:val="00B009C6"/>
    <w:rsid w:val="00B01548"/>
    <w:rsid w:val="00B01BB8"/>
    <w:rsid w:val="00B130C5"/>
    <w:rsid w:val="00B13C32"/>
    <w:rsid w:val="00B13EBD"/>
    <w:rsid w:val="00B14854"/>
    <w:rsid w:val="00B21D29"/>
    <w:rsid w:val="00B24B4F"/>
    <w:rsid w:val="00B25034"/>
    <w:rsid w:val="00B33588"/>
    <w:rsid w:val="00B33863"/>
    <w:rsid w:val="00B37D17"/>
    <w:rsid w:val="00B4175E"/>
    <w:rsid w:val="00B41C85"/>
    <w:rsid w:val="00B452CE"/>
    <w:rsid w:val="00B54C25"/>
    <w:rsid w:val="00B737D5"/>
    <w:rsid w:val="00B76B91"/>
    <w:rsid w:val="00B77EB1"/>
    <w:rsid w:val="00B811C6"/>
    <w:rsid w:val="00B855B0"/>
    <w:rsid w:val="00B92E08"/>
    <w:rsid w:val="00B9353F"/>
    <w:rsid w:val="00BB65AC"/>
    <w:rsid w:val="00BC4C47"/>
    <w:rsid w:val="00BC622A"/>
    <w:rsid w:val="00BD1702"/>
    <w:rsid w:val="00BD2603"/>
    <w:rsid w:val="00BE0A78"/>
    <w:rsid w:val="00BE4483"/>
    <w:rsid w:val="00BE4A2E"/>
    <w:rsid w:val="00BE79F0"/>
    <w:rsid w:val="00BF046D"/>
    <w:rsid w:val="00BF1190"/>
    <w:rsid w:val="00BF3774"/>
    <w:rsid w:val="00BF5D04"/>
    <w:rsid w:val="00C0042D"/>
    <w:rsid w:val="00C009AA"/>
    <w:rsid w:val="00C07BBE"/>
    <w:rsid w:val="00C1164D"/>
    <w:rsid w:val="00C16861"/>
    <w:rsid w:val="00C346AB"/>
    <w:rsid w:val="00C404A6"/>
    <w:rsid w:val="00C40A36"/>
    <w:rsid w:val="00C44419"/>
    <w:rsid w:val="00C45E7B"/>
    <w:rsid w:val="00C471B1"/>
    <w:rsid w:val="00C52E24"/>
    <w:rsid w:val="00C6316B"/>
    <w:rsid w:val="00C634A9"/>
    <w:rsid w:val="00C64586"/>
    <w:rsid w:val="00C70D53"/>
    <w:rsid w:val="00C71701"/>
    <w:rsid w:val="00C73D0B"/>
    <w:rsid w:val="00C74F5C"/>
    <w:rsid w:val="00C772FF"/>
    <w:rsid w:val="00C80137"/>
    <w:rsid w:val="00C801AF"/>
    <w:rsid w:val="00C80256"/>
    <w:rsid w:val="00C93E13"/>
    <w:rsid w:val="00C94CD4"/>
    <w:rsid w:val="00C9747E"/>
    <w:rsid w:val="00CA4D3D"/>
    <w:rsid w:val="00CA64D4"/>
    <w:rsid w:val="00CB6649"/>
    <w:rsid w:val="00CB6BC0"/>
    <w:rsid w:val="00CC1B7C"/>
    <w:rsid w:val="00CC727F"/>
    <w:rsid w:val="00CD2D2E"/>
    <w:rsid w:val="00CD3E40"/>
    <w:rsid w:val="00CF1327"/>
    <w:rsid w:val="00CF15C3"/>
    <w:rsid w:val="00CF2B6F"/>
    <w:rsid w:val="00CF2F3E"/>
    <w:rsid w:val="00CF58B6"/>
    <w:rsid w:val="00D0062D"/>
    <w:rsid w:val="00D00695"/>
    <w:rsid w:val="00D017ED"/>
    <w:rsid w:val="00D040D3"/>
    <w:rsid w:val="00D04C65"/>
    <w:rsid w:val="00D108A3"/>
    <w:rsid w:val="00D153D8"/>
    <w:rsid w:val="00D201D2"/>
    <w:rsid w:val="00D224FE"/>
    <w:rsid w:val="00D23139"/>
    <w:rsid w:val="00D425BB"/>
    <w:rsid w:val="00D453FA"/>
    <w:rsid w:val="00D6493E"/>
    <w:rsid w:val="00D7195D"/>
    <w:rsid w:val="00D7301E"/>
    <w:rsid w:val="00D83AE1"/>
    <w:rsid w:val="00D854FA"/>
    <w:rsid w:val="00D855D4"/>
    <w:rsid w:val="00D902C9"/>
    <w:rsid w:val="00D93466"/>
    <w:rsid w:val="00DA1124"/>
    <w:rsid w:val="00DA5A43"/>
    <w:rsid w:val="00DA64CB"/>
    <w:rsid w:val="00DB06B8"/>
    <w:rsid w:val="00DB12A1"/>
    <w:rsid w:val="00DB5C92"/>
    <w:rsid w:val="00DB6124"/>
    <w:rsid w:val="00DB750B"/>
    <w:rsid w:val="00DB75B7"/>
    <w:rsid w:val="00DC0A2F"/>
    <w:rsid w:val="00DC1948"/>
    <w:rsid w:val="00DC6E02"/>
    <w:rsid w:val="00DD28CD"/>
    <w:rsid w:val="00DE02AE"/>
    <w:rsid w:val="00DE29C2"/>
    <w:rsid w:val="00DE39D1"/>
    <w:rsid w:val="00DF1117"/>
    <w:rsid w:val="00DF1D7F"/>
    <w:rsid w:val="00DF4BE4"/>
    <w:rsid w:val="00E02382"/>
    <w:rsid w:val="00E02FB4"/>
    <w:rsid w:val="00E128DB"/>
    <w:rsid w:val="00E13FC7"/>
    <w:rsid w:val="00E20571"/>
    <w:rsid w:val="00E235F7"/>
    <w:rsid w:val="00E23659"/>
    <w:rsid w:val="00E239D4"/>
    <w:rsid w:val="00E26130"/>
    <w:rsid w:val="00E33152"/>
    <w:rsid w:val="00E355CE"/>
    <w:rsid w:val="00E40B22"/>
    <w:rsid w:val="00E44ED1"/>
    <w:rsid w:val="00E45619"/>
    <w:rsid w:val="00E4588F"/>
    <w:rsid w:val="00E46DA3"/>
    <w:rsid w:val="00E51BB1"/>
    <w:rsid w:val="00E55CB0"/>
    <w:rsid w:val="00E60DD3"/>
    <w:rsid w:val="00E624A5"/>
    <w:rsid w:val="00E64BA4"/>
    <w:rsid w:val="00E72CB7"/>
    <w:rsid w:val="00E7344E"/>
    <w:rsid w:val="00E82665"/>
    <w:rsid w:val="00EB0798"/>
    <w:rsid w:val="00EB40AD"/>
    <w:rsid w:val="00EB586E"/>
    <w:rsid w:val="00EB5FC8"/>
    <w:rsid w:val="00EC463D"/>
    <w:rsid w:val="00EC7A85"/>
    <w:rsid w:val="00ED2922"/>
    <w:rsid w:val="00ED3CAD"/>
    <w:rsid w:val="00ED5043"/>
    <w:rsid w:val="00ED5A41"/>
    <w:rsid w:val="00ED6E9E"/>
    <w:rsid w:val="00EE1DE8"/>
    <w:rsid w:val="00EE27C2"/>
    <w:rsid w:val="00EF4BAD"/>
    <w:rsid w:val="00EF59DC"/>
    <w:rsid w:val="00F033EC"/>
    <w:rsid w:val="00F04F68"/>
    <w:rsid w:val="00F06436"/>
    <w:rsid w:val="00F12670"/>
    <w:rsid w:val="00F14B27"/>
    <w:rsid w:val="00F3148D"/>
    <w:rsid w:val="00F325C5"/>
    <w:rsid w:val="00F32FE0"/>
    <w:rsid w:val="00F35298"/>
    <w:rsid w:val="00F47333"/>
    <w:rsid w:val="00F47D6E"/>
    <w:rsid w:val="00F47E37"/>
    <w:rsid w:val="00F53C07"/>
    <w:rsid w:val="00F54B65"/>
    <w:rsid w:val="00F640B6"/>
    <w:rsid w:val="00F66DF2"/>
    <w:rsid w:val="00F71A93"/>
    <w:rsid w:val="00F779F5"/>
    <w:rsid w:val="00F809BE"/>
    <w:rsid w:val="00F80E40"/>
    <w:rsid w:val="00F81697"/>
    <w:rsid w:val="00F81E42"/>
    <w:rsid w:val="00F848D9"/>
    <w:rsid w:val="00FA49F7"/>
    <w:rsid w:val="00FA5069"/>
    <w:rsid w:val="00FA5B82"/>
    <w:rsid w:val="00FA639E"/>
    <w:rsid w:val="00FB3BF6"/>
    <w:rsid w:val="00FC1FCA"/>
    <w:rsid w:val="00FC25E4"/>
    <w:rsid w:val="00FC4EF7"/>
    <w:rsid w:val="00FC6F93"/>
    <w:rsid w:val="00FD0824"/>
    <w:rsid w:val="00FD119B"/>
    <w:rsid w:val="00FD1EDC"/>
    <w:rsid w:val="00FD2F93"/>
    <w:rsid w:val="00FD3C85"/>
    <w:rsid w:val="00FE1DEE"/>
    <w:rsid w:val="00FF2126"/>
    <w:rsid w:val="00FF420A"/>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61DF546C"/>
  <w15:docId w15:val="{854DE1BB-E8FC-4B21-BD0B-BCC7E52D2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D3935"/>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C74F5C"/>
    <w:pPr>
      <w:outlineLvl w:val="1"/>
    </w:pPr>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7971A5"/>
    <w:pPr>
      <w:numPr>
        <w:numId w:val="21"/>
      </w:numPr>
    </w:pPr>
  </w:style>
  <w:style w:type="paragraph" w:styleId="ListBullet2">
    <w:name w:val="List Bullet 2"/>
    <w:basedOn w:val="Normal"/>
    <w:uiPriority w:val="99"/>
    <w:qFormat/>
    <w:rsid w:val="004C2DCA"/>
    <w:pPr>
      <w:numPr>
        <w:ilvl w:val="1"/>
        <w:numId w:val="21"/>
      </w:numPr>
    </w:pPr>
  </w:style>
  <w:style w:type="paragraph" w:styleId="ListBullet3">
    <w:name w:val="List Bullet 3"/>
    <w:basedOn w:val="Normal"/>
    <w:uiPriority w:val="99"/>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C74F5C"/>
    <w:pPr>
      <w:spacing w:before="240"/>
      <w:outlineLvl w:val="1"/>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24"/>
      </w:numPr>
    </w:pPr>
  </w:style>
  <w:style w:type="paragraph" w:customStyle="1" w:styleId="Numberbullet2">
    <w:name w:val="Number bullet 2"/>
    <w:basedOn w:val="ListBullet2"/>
    <w:uiPriority w:val="2"/>
    <w:qFormat/>
    <w:rsid w:val="004C2DCA"/>
    <w:pPr>
      <w:numPr>
        <w:numId w:val="24"/>
      </w:numPr>
    </w:pPr>
  </w:style>
  <w:style w:type="paragraph" w:customStyle="1" w:styleId="Numberbullet3">
    <w:name w:val="Number bullet 3"/>
    <w:basedOn w:val="ListBullet3"/>
    <w:uiPriority w:val="2"/>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205F5"/>
    <w:pPr>
      <w:framePr w:hSpace="180" w:wrap="around" w:vAnchor="page" w:hAnchor="text" w:y="3316"/>
      <w:numPr>
        <w:ilvl w:val="1"/>
      </w:numPr>
      <w:spacing w:after="360"/>
      <w:ind w:left="170"/>
    </w:pPr>
    <w:rPr>
      <w:rFonts w:ascii="Arial" w:eastAsia="Times New Roman" w:hAnsi="Arial"/>
      <w:bCs/>
      <w:iCs/>
      <w:color w:val="FFFFFF" w:themeColor="background1"/>
      <w:sz w:val="40"/>
      <w:szCs w:val="24"/>
    </w:rPr>
  </w:style>
  <w:style w:type="character" w:customStyle="1" w:styleId="SubtitleChar">
    <w:name w:val="Subtitle Char"/>
    <w:basedOn w:val="DefaultParagraphFont"/>
    <w:link w:val="Subtitle"/>
    <w:uiPriority w:val="11"/>
    <w:rsid w:val="008205F5"/>
    <w:rPr>
      <w:rFonts w:ascii="Arial" w:eastAsia="Times New Roman" w:hAnsi="Arial" w:cs="Times New Roman"/>
      <w:bCs/>
      <w:iCs/>
      <w:color w:val="FFFFFF" w:themeColor="background1"/>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8205F5"/>
    <w:pPr>
      <w:framePr w:hSpace="180" w:wrap="around" w:vAnchor="page" w:hAnchor="text" w:y="3316"/>
      <w:spacing w:after="480" w:line="240" w:lineRule="auto"/>
      <w:contextualSpacing/>
      <w:outlineLvl w:val="0"/>
    </w:pPr>
    <w:rPr>
      <w:rFonts w:ascii="Arial" w:eastAsia="Times New Roman" w:hAnsi="Arial" w:cs="Times New Roman"/>
      <w:color w:val="FFFFFF" w:themeColor="background1"/>
      <w:spacing w:val="5"/>
      <w:kern w:val="28"/>
      <w:sz w:val="52"/>
      <w:szCs w:val="52"/>
    </w:rPr>
  </w:style>
  <w:style w:type="character" w:customStyle="1" w:styleId="TitleChar">
    <w:name w:val="Title Char"/>
    <w:basedOn w:val="DefaultParagraphFont"/>
    <w:link w:val="Title"/>
    <w:uiPriority w:val="10"/>
    <w:rsid w:val="008205F5"/>
    <w:rPr>
      <w:rFonts w:ascii="Arial" w:eastAsia="Times New Roman" w:hAnsi="Arial" w:cs="Times New Roman"/>
      <w:color w:val="FFFFFF" w:themeColor="background1"/>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uiPriority w:val="99"/>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table" w:customStyle="1" w:styleId="TableGrid1">
    <w:name w:val="Table Grid1"/>
    <w:basedOn w:val="TableNormal"/>
    <w:next w:val="TableGrid"/>
    <w:uiPriority w:val="59"/>
    <w:rsid w:val="00F47D6E"/>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
    <w:name w:val="Bullet list"/>
    <w:basedOn w:val="Normal"/>
    <w:link w:val="BulletlistChar"/>
    <w:qFormat/>
    <w:rsid w:val="00BB65AC"/>
    <w:pPr>
      <w:numPr>
        <w:numId w:val="29"/>
      </w:numPr>
      <w:spacing w:before="0" w:after="180" w:line="252" w:lineRule="auto"/>
      <w:ind w:left="426" w:hanging="284"/>
    </w:pPr>
    <w:rPr>
      <w:rFonts w:eastAsia="Times New Roman"/>
      <w:snapToGrid w:val="0"/>
      <w:kern w:val="2"/>
      <w:sz w:val="23"/>
      <w:szCs w:val="24"/>
    </w:rPr>
  </w:style>
  <w:style w:type="character" w:customStyle="1" w:styleId="BulletlistChar">
    <w:name w:val="Bullet list Char"/>
    <w:basedOn w:val="DefaultParagraphFont"/>
    <w:link w:val="Bulletlist"/>
    <w:rsid w:val="00BB65AC"/>
    <w:rPr>
      <w:rFonts w:ascii="Cambria" w:eastAsia="Times New Roman" w:hAnsi="Cambria" w:cs="Times New Roman"/>
      <w:snapToGrid w:val="0"/>
      <w:kern w:val="2"/>
      <w:sz w:val="23"/>
      <w:szCs w:val="24"/>
    </w:rPr>
  </w:style>
  <w:style w:type="paragraph" w:styleId="ListParagraph">
    <w:name w:val="List Paragraph"/>
    <w:basedOn w:val="Normal"/>
    <w:uiPriority w:val="34"/>
    <w:qFormat/>
    <w:rsid w:val="00BB65AC"/>
    <w:pPr>
      <w:adjustRightInd w:val="0"/>
      <w:snapToGrid w:val="0"/>
      <w:spacing w:before="180" w:after="180"/>
      <w:ind w:left="720"/>
      <w:contextualSpacing/>
    </w:pPr>
    <w:rPr>
      <w:rFonts w:eastAsia="MS Mincho"/>
      <w:szCs w:val="20"/>
      <w:lang w:eastAsia="ja-JP"/>
    </w:rPr>
  </w:style>
  <w:style w:type="paragraph" w:customStyle="1" w:styleId="Standard">
    <w:name w:val="Standard"/>
    <w:basedOn w:val="Normal"/>
    <w:link w:val="StandardChar"/>
    <w:qFormat/>
    <w:rsid w:val="00324F6C"/>
    <w:pPr>
      <w:spacing w:before="0" w:after="220" w:line="252" w:lineRule="auto"/>
    </w:pPr>
    <w:rPr>
      <w:rFonts w:eastAsia="Times New Roman"/>
      <w:snapToGrid w:val="0"/>
      <w:kern w:val="16"/>
      <w:sz w:val="23"/>
      <w:szCs w:val="24"/>
    </w:rPr>
  </w:style>
  <w:style w:type="character" w:customStyle="1" w:styleId="StandardChar">
    <w:name w:val="Standard Char"/>
    <w:basedOn w:val="DefaultParagraphFont"/>
    <w:link w:val="Standard"/>
    <w:rsid w:val="00324F6C"/>
    <w:rPr>
      <w:rFonts w:ascii="Cambria" w:eastAsia="Times New Roman" w:hAnsi="Cambria" w:cs="Times New Roman"/>
      <w:snapToGrid w:val="0"/>
      <w:kern w:val="16"/>
      <w:sz w:val="23"/>
      <w:szCs w:val="24"/>
    </w:rPr>
  </w:style>
  <w:style w:type="character" w:customStyle="1" w:styleId="TabletextChar">
    <w:name w:val="Table text Char"/>
    <w:basedOn w:val="StandardChar"/>
    <w:link w:val="Tabletext"/>
    <w:rsid w:val="00324F6C"/>
    <w:rPr>
      <w:rFonts w:ascii="Cambria" w:eastAsia="Cambria" w:hAnsi="Cambria" w:cs="Times New Roman"/>
      <w:snapToGrid/>
      <w:kern w:val="16"/>
      <w:sz w:val="19"/>
      <w:szCs w:val="24"/>
    </w:rPr>
  </w:style>
  <w:style w:type="paragraph" w:customStyle="1" w:styleId="Summaryofsafetyconcerns">
    <w:name w:val="Summary of safety concerns"/>
    <w:basedOn w:val="Tabletext"/>
    <w:link w:val="SummaryofsafetyconcernsChar"/>
    <w:qFormat/>
    <w:rsid w:val="00324F6C"/>
    <w:pPr>
      <w:spacing w:before="20" w:after="20" w:line="252" w:lineRule="auto"/>
    </w:pPr>
    <w:rPr>
      <w:rFonts w:eastAsia="Times New Roman"/>
      <w:b/>
      <w:snapToGrid w:val="0"/>
      <w:kern w:val="16"/>
      <w:sz w:val="20"/>
      <w:szCs w:val="24"/>
    </w:rPr>
  </w:style>
  <w:style w:type="character" w:customStyle="1" w:styleId="SummaryofsafetyconcernsChar">
    <w:name w:val="Summary of safety concerns Char"/>
    <w:basedOn w:val="TabletextChar"/>
    <w:link w:val="Summaryofsafetyconcerns"/>
    <w:rsid w:val="00324F6C"/>
    <w:rPr>
      <w:rFonts w:ascii="Cambria" w:eastAsia="Times New Roman" w:hAnsi="Cambria" w:cs="Times New Roman"/>
      <w:b/>
      <w:snapToGrid w:val="0"/>
      <w:kern w:val="16"/>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ga.gov.au" TargetMode="External"/><Relationship Id="rId13" Type="http://schemas.openxmlformats.org/officeDocument/2006/relationships/hyperlink" Target="https://www.tga.gov.au/product-information-pi" TargetMode="External"/><Relationship Id="rId18" Type="http://schemas.openxmlformats.org/officeDocument/2006/relationships/image" Target="media/image6.emf"/><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5.png"/><Relationship Id="rId25" Type="http://schemas.openxmlformats.org/officeDocument/2006/relationships/hyperlink" Target="https://www.tga.gov.au"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3.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info@tga.gov.a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2.xml"/><Relationship Id="rId28"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www.tga.gov.au/product-information-pi"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ga.copyright@tga.gov.au" TargetMode="External"/><Relationship Id="rId14" Type="http://schemas.openxmlformats.org/officeDocument/2006/relationships/image" Target="media/image2.png"/><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mbacr\AppData\Roaming\Hewlett-Packard\HP%20TRIM\TEMP\HPTRIM.69232\D19-5975236%20%20AusPAR%20-%20template%20-%20streamlined.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AC434-1D20-458E-87CE-C3FD11ECA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D19-5975236  AusPAR - template - streamlined.DOTX</Template>
  <TotalTime>77</TotalTime>
  <Pages>30</Pages>
  <Words>9108</Words>
  <Characters>51920</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Australian Public Assessment Report for Tocilizumab (rch)</vt:lpstr>
    </vt:vector>
  </TitlesOfParts>
  <Company>Department of Health Therapeutic Goods Administration</Company>
  <LinksUpToDate>false</LinksUpToDate>
  <CharactersWithSpaces>60907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Tocilizumab (rch)</dc:title>
  <dc:subject>Prescription medicines</dc:subject>
  <dc:creator>Therapeutic Goods Administration</dc:creator>
  <cp:keywords>AusPARs</cp:keywords>
  <dc:description/>
  <cp:lastPrinted>2020-06-12T05:28:00Z</cp:lastPrinted>
  <dcterms:created xsi:type="dcterms:W3CDTF">2020-08-13T05:12:00Z</dcterms:created>
  <dcterms:modified xsi:type="dcterms:W3CDTF">2020-09-02T04:50:00Z</dcterms:modified>
  <cp:category/>
</cp:coreProperties>
</file>