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A35022" w:rsidP="00A35022">
            <w:pPr>
              <w:rPr>
                <w:rFonts w:ascii="Arial" w:hAnsi="Arial" w:cs="Arial"/>
                <w:b/>
                <w:color w:val="002C47"/>
                <w:sz w:val="36"/>
                <w:szCs w:val="36"/>
              </w:rPr>
            </w:pPr>
            <w:r>
              <w:rPr>
                <w:rFonts w:ascii="Arial" w:hAnsi="Arial" w:cs="Arial"/>
                <w:b/>
                <w:color w:val="002C47"/>
                <w:sz w:val="36"/>
                <w:szCs w:val="36"/>
              </w:rPr>
              <w:t>January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92790D">
            <w:pPr>
              <w:pStyle w:val="Title"/>
              <w:rPr>
                <w:color w:val="FFFFFF" w:themeColor="background1"/>
              </w:rPr>
            </w:pPr>
            <w:r w:rsidRPr="00A964D1">
              <w:rPr>
                <w:color w:val="FFFFFF" w:themeColor="background1"/>
              </w:rPr>
              <w:t>Australia</w:t>
            </w:r>
            <w:r w:rsidR="0092790D">
              <w:rPr>
                <w:color w:val="FFFFFF" w:themeColor="background1"/>
              </w:rPr>
              <w:t xml:space="preserve">n Public Assessment Report for </w:t>
            </w:r>
            <w:proofErr w:type="spellStart"/>
            <w:r w:rsidR="0092790D" w:rsidRPr="0092790D">
              <w:rPr>
                <w:color w:val="FFFFFF" w:themeColor="background1"/>
              </w:rPr>
              <w:t>tocilizumab</w:t>
            </w:r>
            <w:proofErr w:type="spellEnd"/>
            <w:r w:rsidR="0092790D" w:rsidRPr="0092790D">
              <w:rPr>
                <w:color w:val="FFFFFF" w:themeColor="background1"/>
              </w:rPr>
              <w:t xml:space="preserve"> (</w:t>
            </w:r>
            <w:proofErr w:type="spellStart"/>
            <w:r w:rsidR="0092790D" w:rsidRPr="0092790D">
              <w:rPr>
                <w:color w:val="FFFFFF" w:themeColor="background1"/>
              </w:rPr>
              <w:t>rch</w:t>
            </w:r>
            <w:proofErr w:type="spellEnd"/>
            <w:r w:rsidR="0092790D" w:rsidRPr="0092790D">
              <w:rPr>
                <w:color w:val="FFFFFF" w:themeColor="background1"/>
              </w:rPr>
              <w:t>)</w:t>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92790D">
              <w:rPr>
                <w:color w:val="FFFFFF" w:themeColor="background1"/>
              </w:rPr>
              <w:t>Actemra</w:t>
            </w:r>
            <w:proofErr w:type="spellEnd"/>
          </w:p>
        </w:tc>
      </w:tr>
      <w:tr w:rsidR="0032583B" w:rsidRPr="00B64760" w:rsidTr="0032583B">
        <w:trPr>
          <w:trHeight w:val="486"/>
        </w:trPr>
        <w:tc>
          <w:tcPr>
            <w:tcW w:w="9079" w:type="dxa"/>
          </w:tcPr>
          <w:p w:rsidR="0032583B" w:rsidRPr="008E7846" w:rsidRDefault="0092790D" w:rsidP="0092790D">
            <w:pPr>
              <w:pStyle w:val="Subtitle"/>
              <w:rPr>
                <w:color w:val="FFFFFF" w:themeColor="background1"/>
              </w:rPr>
            </w:pPr>
            <w:r>
              <w:rPr>
                <w:color w:val="FFFFFF" w:themeColor="background1"/>
              </w:rPr>
              <w:t>Sponsor: Roche Products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216828">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216828">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216828">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216828">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216828">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216828">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8226A0">
        <w:t>escription medicine submission.</w:t>
      </w:r>
    </w:p>
    <w:p w:rsidR="008E7846" w:rsidRDefault="008E7846" w:rsidP="00216828">
      <w:pPr>
        <w:pStyle w:val="ListBullet"/>
        <w:numPr>
          <w:ilvl w:val="0"/>
          <w:numId w:val="1"/>
        </w:numPr>
        <w:ind w:left="357" w:hanging="357"/>
      </w:pPr>
      <w:r>
        <w:t>AusPARs are prepared and published by the TGA.</w:t>
      </w:r>
    </w:p>
    <w:p w:rsidR="008E7846" w:rsidRDefault="008E7846" w:rsidP="00216828">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216828">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216828">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A35022">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6B5B74"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bookmarkStart w:id="2" w:name="_GoBack"/>
          <w:bookmarkEnd w:id="2"/>
          <w:r w:rsidR="006B5B74" w:rsidRPr="00E36A3B">
            <w:rPr>
              <w:rStyle w:val="Hyperlink"/>
              <w:noProof/>
            </w:rPr>
            <w:fldChar w:fldCharType="begin"/>
          </w:r>
          <w:r w:rsidR="006B5B74" w:rsidRPr="00E36A3B">
            <w:rPr>
              <w:rStyle w:val="Hyperlink"/>
              <w:noProof/>
            </w:rPr>
            <w:instrText xml:space="preserve"> </w:instrText>
          </w:r>
          <w:r w:rsidR="006B5B74">
            <w:rPr>
              <w:noProof/>
            </w:rPr>
            <w:instrText>HYPERLINK \l "_Toc412444387"</w:instrText>
          </w:r>
          <w:r w:rsidR="006B5B74" w:rsidRPr="00E36A3B">
            <w:rPr>
              <w:rStyle w:val="Hyperlink"/>
              <w:noProof/>
            </w:rPr>
            <w:instrText xml:space="preserve"> </w:instrText>
          </w:r>
          <w:r w:rsidR="006B5B74" w:rsidRPr="00E36A3B">
            <w:rPr>
              <w:rStyle w:val="Hyperlink"/>
              <w:noProof/>
            </w:rPr>
          </w:r>
          <w:r w:rsidR="006B5B74" w:rsidRPr="00E36A3B">
            <w:rPr>
              <w:rStyle w:val="Hyperlink"/>
              <w:noProof/>
            </w:rPr>
            <w:fldChar w:fldCharType="separate"/>
          </w:r>
          <w:r w:rsidR="006B5B74" w:rsidRPr="00E36A3B">
            <w:rPr>
              <w:rStyle w:val="Hyperlink"/>
              <w:noProof/>
            </w:rPr>
            <w:t>List of the most common abbreviations used in this AusPAR</w:t>
          </w:r>
          <w:r w:rsidR="006B5B74">
            <w:rPr>
              <w:noProof/>
              <w:webHidden/>
            </w:rPr>
            <w:tab/>
          </w:r>
          <w:r w:rsidR="006B5B74">
            <w:rPr>
              <w:noProof/>
              <w:webHidden/>
            </w:rPr>
            <w:fldChar w:fldCharType="begin"/>
          </w:r>
          <w:r w:rsidR="006B5B74">
            <w:rPr>
              <w:noProof/>
              <w:webHidden/>
            </w:rPr>
            <w:instrText xml:space="preserve"> PAGEREF _Toc412444387 \h </w:instrText>
          </w:r>
          <w:r w:rsidR="006B5B74">
            <w:rPr>
              <w:noProof/>
              <w:webHidden/>
            </w:rPr>
          </w:r>
          <w:r w:rsidR="006B5B74">
            <w:rPr>
              <w:noProof/>
              <w:webHidden/>
            </w:rPr>
            <w:fldChar w:fldCharType="separate"/>
          </w:r>
          <w:r w:rsidR="006B5B74">
            <w:rPr>
              <w:noProof/>
              <w:webHidden/>
            </w:rPr>
            <w:t>5</w:t>
          </w:r>
          <w:r w:rsidR="006B5B74">
            <w:rPr>
              <w:noProof/>
              <w:webHidden/>
            </w:rPr>
            <w:fldChar w:fldCharType="end"/>
          </w:r>
          <w:r w:rsidR="006B5B74" w:rsidRPr="00E36A3B">
            <w:rPr>
              <w:rStyle w:val="Hyperlink"/>
              <w:noProof/>
            </w:rPr>
            <w:fldChar w:fldCharType="end"/>
          </w:r>
        </w:p>
        <w:p w:rsidR="006B5B74" w:rsidRDefault="006B5B74">
          <w:pPr>
            <w:pStyle w:val="TOC3"/>
            <w:rPr>
              <w:rFonts w:asciiTheme="minorHAnsi" w:eastAsiaTheme="minorEastAsia" w:hAnsiTheme="minorHAnsi" w:cstheme="minorBidi"/>
              <w:noProof/>
              <w:lang w:eastAsia="en-AU"/>
            </w:rPr>
          </w:pPr>
          <w:hyperlink w:anchor="_Toc412444388" w:history="1">
            <w:r w:rsidRPr="00E36A3B">
              <w:rPr>
                <w:rStyle w:val="Hyperlink"/>
                <w:noProof/>
              </w:rPr>
              <w:t>Efficacy endpoints and assessments used in clinical trials of tocilizumab:</w:t>
            </w:r>
            <w:r>
              <w:rPr>
                <w:noProof/>
                <w:webHidden/>
              </w:rPr>
              <w:tab/>
            </w:r>
            <w:r>
              <w:rPr>
                <w:noProof/>
                <w:webHidden/>
              </w:rPr>
              <w:fldChar w:fldCharType="begin"/>
            </w:r>
            <w:r>
              <w:rPr>
                <w:noProof/>
                <w:webHidden/>
              </w:rPr>
              <w:instrText xml:space="preserve"> PAGEREF _Toc412444388 \h </w:instrText>
            </w:r>
            <w:r>
              <w:rPr>
                <w:noProof/>
                <w:webHidden/>
              </w:rPr>
            </w:r>
            <w:r>
              <w:rPr>
                <w:noProof/>
                <w:webHidden/>
              </w:rPr>
              <w:fldChar w:fldCharType="separate"/>
            </w:r>
            <w:r>
              <w:rPr>
                <w:noProof/>
                <w:webHidden/>
              </w:rPr>
              <w:t>7</w:t>
            </w:r>
            <w:r>
              <w:rPr>
                <w:noProof/>
                <w:webHidden/>
              </w:rPr>
              <w:fldChar w:fldCharType="end"/>
            </w:r>
          </w:hyperlink>
        </w:p>
        <w:p w:rsidR="006B5B74" w:rsidRDefault="006B5B74">
          <w:pPr>
            <w:pStyle w:val="TOC2"/>
            <w:rPr>
              <w:rFonts w:asciiTheme="minorHAnsi" w:eastAsiaTheme="minorEastAsia" w:hAnsiTheme="minorHAnsi" w:cstheme="minorBidi"/>
              <w:b w:val="0"/>
              <w:noProof/>
              <w:sz w:val="22"/>
              <w:lang w:eastAsia="en-AU"/>
            </w:rPr>
          </w:pPr>
          <w:hyperlink w:anchor="_Toc412444389" w:history="1">
            <w:r w:rsidRPr="00E36A3B">
              <w:rPr>
                <w:rStyle w:val="Hyperlink"/>
                <w:noProof/>
              </w:rPr>
              <w:t>I. Introduction to product submission</w:t>
            </w:r>
            <w:r>
              <w:rPr>
                <w:noProof/>
                <w:webHidden/>
              </w:rPr>
              <w:tab/>
            </w:r>
            <w:r>
              <w:rPr>
                <w:noProof/>
                <w:webHidden/>
              </w:rPr>
              <w:fldChar w:fldCharType="begin"/>
            </w:r>
            <w:r>
              <w:rPr>
                <w:noProof/>
                <w:webHidden/>
              </w:rPr>
              <w:instrText xml:space="preserve"> PAGEREF _Toc412444389 \h </w:instrText>
            </w:r>
            <w:r>
              <w:rPr>
                <w:noProof/>
                <w:webHidden/>
              </w:rPr>
            </w:r>
            <w:r>
              <w:rPr>
                <w:noProof/>
                <w:webHidden/>
              </w:rPr>
              <w:fldChar w:fldCharType="separate"/>
            </w:r>
            <w:r>
              <w:rPr>
                <w:noProof/>
                <w:webHidden/>
              </w:rPr>
              <w:t>9</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390" w:history="1">
            <w:r w:rsidRPr="00E36A3B">
              <w:rPr>
                <w:rStyle w:val="Hyperlink"/>
                <w:noProof/>
                <w:lang w:eastAsia="en-AU"/>
              </w:rPr>
              <w:t>Submission details</w:t>
            </w:r>
            <w:r>
              <w:rPr>
                <w:noProof/>
                <w:webHidden/>
              </w:rPr>
              <w:tab/>
            </w:r>
            <w:r>
              <w:rPr>
                <w:noProof/>
                <w:webHidden/>
              </w:rPr>
              <w:fldChar w:fldCharType="begin"/>
            </w:r>
            <w:r>
              <w:rPr>
                <w:noProof/>
                <w:webHidden/>
              </w:rPr>
              <w:instrText xml:space="preserve"> PAGEREF _Toc412444390 \h </w:instrText>
            </w:r>
            <w:r>
              <w:rPr>
                <w:noProof/>
                <w:webHidden/>
              </w:rPr>
            </w:r>
            <w:r>
              <w:rPr>
                <w:noProof/>
                <w:webHidden/>
              </w:rPr>
              <w:fldChar w:fldCharType="separate"/>
            </w:r>
            <w:r>
              <w:rPr>
                <w:noProof/>
                <w:webHidden/>
              </w:rPr>
              <w:t>9</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391" w:history="1">
            <w:r w:rsidRPr="00E36A3B">
              <w:rPr>
                <w:rStyle w:val="Hyperlink"/>
                <w:noProof/>
              </w:rPr>
              <w:t>Product background</w:t>
            </w:r>
            <w:r>
              <w:rPr>
                <w:noProof/>
                <w:webHidden/>
              </w:rPr>
              <w:tab/>
            </w:r>
            <w:r>
              <w:rPr>
                <w:noProof/>
                <w:webHidden/>
              </w:rPr>
              <w:fldChar w:fldCharType="begin"/>
            </w:r>
            <w:r>
              <w:rPr>
                <w:noProof/>
                <w:webHidden/>
              </w:rPr>
              <w:instrText xml:space="preserve"> PAGEREF _Toc412444391 \h </w:instrText>
            </w:r>
            <w:r>
              <w:rPr>
                <w:noProof/>
                <w:webHidden/>
              </w:rPr>
            </w:r>
            <w:r>
              <w:rPr>
                <w:noProof/>
                <w:webHidden/>
              </w:rPr>
              <w:fldChar w:fldCharType="separate"/>
            </w:r>
            <w:r>
              <w:rPr>
                <w:noProof/>
                <w:webHidden/>
              </w:rPr>
              <w:t>9</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392" w:history="1">
            <w:r w:rsidRPr="00E36A3B">
              <w:rPr>
                <w:rStyle w:val="Hyperlink"/>
                <w:noProof/>
              </w:rPr>
              <w:t>Regulatory status</w:t>
            </w:r>
            <w:r>
              <w:rPr>
                <w:noProof/>
                <w:webHidden/>
              </w:rPr>
              <w:tab/>
            </w:r>
            <w:r>
              <w:rPr>
                <w:noProof/>
                <w:webHidden/>
              </w:rPr>
              <w:fldChar w:fldCharType="begin"/>
            </w:r>
            <w:r>
              <w:rPr>
                <w:noProof/>
                <w:webHidden/>
              </w:rPr>
              <w:instrText xml:space="preserve"> PAGEREF _Toc412444392 \h </w:instrText>
            </w:r>
            <w:r>
              <w:rPr>
                <w:noProof/>
                <w:webHidden/>
              </w:rPr>
            </w:r>
            <w:r>
              <w:rPr>
                <w:noProof/>
                <w:webHidden/>
              </w:rPr>
              <w:fldChar w:fldCharType="separate"/>
            </w:r>
            <w:r>
              <w:rPr>
                <w:noProof/>
                <w:webHidden/>
              </w:rPr>
              <w:t>11</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393" w:history="1">
            <w:r w:rsidRPr="00E36A3B">
              <w:rPr>
                <w:rStyle w:val="Hyperlink"/>
                <w:noProof/>
              </w:rPr>
              <w:t>Product Information</w:t>
            </w:r>
            <w:r>
              <w:rPr>
                <w:noProof/>
                <w:webHidden/>
              </w:rPr>
              <w:tab/>
            </w:r>
            <w:r>
              <w:rPr>
                <w:noProof/>
                <w:webHidden/>
              </w:rPr>
              <w:fldChar w:fldCharType="begin"/>
            </w:r>
            <w:r>
              <w:rPr>
                <w:noProof/>
                <w:webHidden/>
              </w:rPr>
              <w:instrText xml:space="preserve"> PAGEREF _Toc412444393 \h </w:instrText>
            </w:r>
            <w:r>
              <w:rPr>
                <w:noProof/>
                <w:webHidden/>
              </w:rPr>
            </w:r>
            <w:r>
              <w:rPr>
                <w:noProof/>
                <w:webHidden/>
              </w:rPr>
              <w:fldChar w:fldCharType="separate"/>
            </w:r>
            <w:r>
              <w:rPr>
                <w:noProof/>
                <w:webHidden/>
              </w:rPr>
              <w:t>11</w:t>
            </w:r>
            <w:r>
              <w:rPr>
                <w:noProof/>
                <w:webHidden/>
              </w:rPr>
              <w:fldChar w:fldCharType="end"/>
            </w:r>
          </w:hyperlink>
        </w:p>
        <w:p w:rsidR="006B5B74" w:rsidRDefault="006B5B74">
          <w:pPr>
            <w:pStyle w:val="TOC2"/>
            <w:rPr>
              <w:rFonts w:asciiTheme="minorHAnsi" w:eastAsiaTheme="minorEastAsia" w:hAnsiTheme="minorHAnsi" w:cstheme="minorBidi"/>
              <w:b w:val="0"/>
              <w:noProof/>
              <w:sz w:val="22"/>
              <w:lang w:eastAsia="en-AU"/>
            </w:rPr>
          </w:pPr>
          <w:hyperlink w:anchor="_Toc412444394" w:history="1">
            <w:r w:rsidRPr="00E36A3B">
              <w:rPr>
                <w:rStyle w:val="Hyperlink"/>
                <w:noProof/>
              </w:rPr>
              <w:t>II. Quality findings</w:t>
            </w:r>
            <w:r>
              <w:rPr>
                <w:noProof/>
                <w:webHidden/>
              </w:rPr>
              <w:tab/>
            </w:r>
            <w:r>
              <w:rPr>
                <w:noProof/>
                <w:webHidden/>
              </w:rPr>
              <w:fldChar w:fldCharType="begin"/>
            </w:r>
            <w:r>
              <w:rPr>
                <w:noProof/>
                <w:webHidden/>
              </w:rPr>
              <w:instrText xml:space="preserve"> PAGEREF _Toc412444394 \h </w:instrText>
            </w:r>
            <w:r>
              <w:rPr>
                <w:noProof/>
                <w:webHidden/>
              </w:rPr>
            </w:r>
            <w:r>
              <w:rPr>
                <w:noProof/>
                <w:webHidden/>
              </w:rPr>
              <w:fldChar w:fldCharType="separate"/>
            </w:r>
            <w:r>
              <w:rPr>
                <w:noProof/>
                <w:webHidden/>
              </w:rPr>
              <w:t>11</w:t>
            </w:r>
            <w:r>
              <w:rPr>
                <w:noProof/>
                <w:webHidden/>
              </w:rPr>
              <w:fldChar w:fldCharType="end"/>
            </w:r>
          </w:hyperlink>
        </w:p>
        <w:p w:rsidR="006B5B74" w:rsidRDefault="006B5B74">
          <w:pPr>
            <w:pStyle w:val="TOC2"/>
            <w:rPr>
              <w:rFonts w:asciiTheme="minorHAnsi" w:eastAsiaTheme="minorEastAsia" w:hAnsiTheme="minorHAnsi" w:cstheme="minorBidi"/>
              <w:b w:val="0"/>
              <w:noProof/>
              <w:sz w:val="22"/>
              <w:lang w:eastAsia="en-AU"/>
            </w:rPr>
          </w:pPr>
          <w:hyperlink w:anchor="_Toc412444395" w:history="1">
            <w:r w:rsidRPr="00E36A3B">
              <w:rPr>
                <w:rStyle w:val="Hyperlink"/>
                <w:noProof/>
              </w:rPr>
              <w:t>III. Nonclinical findings</w:t>
            </w:r>
            <w:r>
              <w:rPr>
                <w:noProof/>
                <w:webHidden/>
              </w:rPr>
              <w:tab/>
            </w:r>
            <w:r>
              <w:rPr>
                <w:noProof/>
                <w:webHidden/>
              </w:rPr>
              <w:fldChar w:fldCharType="begin"/>
            </w:r>
            <w:r>
              <w:rPr>
                <w:noProof/>
                <w:webHidden/>
              </w:rPr>
              <w:instrText xml:space="preserve"> PAGEREF _Toc412444395 \h </w:instrText>
            </w:r>
            <w:r>
              <w:rPr>
                <w:noProof/>
                <w:webHidden/>
              </w:rPr>
            </w:r>
            <w:r>
              <w:rPr>
                <w:noProof/>
                <w:webHidden/>
              </w:rPr>
              <w:fldChar w:fldCharType="separate"/>
            </w:r>
            <w:r>
              <w:rPr>
                <w:noProof/>
                <w:webHidden/>
              </w:rPr>
              <w:t>11</w:t>
            </w:r>
            <w:r>
              <w:rPr>
                <w:noProof/>
                <w:webHidden/>
              </w:rPr>
              <w:fldChar w:fldCharType="end"/>
            </w:r>
          </w:hyperlink>
        </w:p>
        <w:p w:rsidR="006B5B74" w:rsidRDefault="006B5B74">
          <w:pPr>
            <w:pStyle w:val="TOC2"/>
            <w:rPr>
              <w:rFonts w:asciiTheme="minorHAnsi" w:eastAsiaTheme="minorEastAsia" w:hAnsiTheme="minorHAnsi" w:cstheme="minorBidi"/>
              <w:b w:val="0"/>
              <w:noProof/>
              <w:sz w:val="22"/>
              <w:lang w:eastAsia="en-AU"/>
            </w:rPr>
          </w:pPr>
          <w:hyperlink w:anchor="_Toc412444396" w:history="1">
            <w:r w:rsidRPr="00E36A3B">
              <w:rPr>
                <w:rStyle w:val="Hyperlink"/>
                <w:noProof/>
              </w:rPr>
              <w:t>IV. Clinical findings</w:t>
            </w:r>
            <w:r>
              <w:rPr>
                <w:noProof/>
                <w:webHidden/>
              </w:rPr>
              <w:tab/>
            </w:r>
            <w:r>
              <w:rPr>
                <w:noProof/>
                <w:webHidden/>
              </w:rPr>
              <w:fldChar w:fldCharType="begin"/>
            </w:r>
            <w:r>
              <w:rPr>
                <w:noProof/>
                <w:webHidden/>
              </w:rPr>
              <w:instrText xml:space="preserve"> PAGEREF _Toc412444396 \h </w:instrText>
            </w:r>
            <w:r>
              <w:rPr>
                <w:noProof/>
                <w:webHidden/>
              </w:rPr>
            </w:r>
            <w:r>
              <w:rPr>
                <w:noProof/>
                <w:webHidden/>
              </w:rPr>
              <w:fldChar w:fldCharType="separate"/>
            </w:r>
            <w:r>
              <w:rPr>
                <w:noProof/>
                <w:webHidden/>
              </w:rPr>
              <w:t>11</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397" w:history="1">
            <w:r w:rsidRPr="00E36A3B">
              <w:rPr>
                <w:rStyle w:val="Hyperlink"/>
                <w:noProof/>
              </w:rPr>
              <w:t>Clinical rationale</w:t>
            </w:r>
            <w:r>
              <w:rPr>
                <w:noProof/>
                <w:webHidden/>
              </w:rPr>
              <w:tab/>
            </w:r>
            <w:r>
              <w:rPr>
                <w:noProof/>
                <w:webHidden/>
              </w:rPr>
              <w:fldChar w:fldCharType="begin"/>
            </w:r>
            <w:r>
              <w:rPr>
                <w:noProof/>
                <w:webHidden/>
              </w:rPr>
              <w:instrText xml:space="preserve"> PAGEREF _Toc412444397 \h </w:instrText>
            </w:r>
            <w:r>
              <w:rPr>
                <w:noProof/>
                <w:webHidden/>
              </w:rPr>
            </w:r>
            <w:r>
              <w:rPr>
                <w:noProof/>
                <w:webHidden/>
              </w:rPr>
              <w:fldChar w:fldCharType="separate"/>
            </w:r>
            <w:r>
              <w:rPr>
                <w:noProof/>
                <w:webHidden/>
              </w:rPr>
              <w:t>11</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398" w:history="1">
            <w:r w:rsidRPr="00E36A3B">
              <w:rPr>
                <w:rStyle w:val="Hyperlink"/>
                <w:noProof/>
              </w:rPr>
              <w:t>Guidance</w:t>
            </w:r>
            <w:r>
              <w:rPr>
                <w:noProof/>
                <w:webHidden/>
              </w:rPr>
              <w:tab/>
            </w:r>
            <w:r>
              <w:rPr>
                <w:noProof/>
                <w:webHidden/>
              </w:rPr>
              <w:fldChar w:fldCharType="begin"/>
            </w:r>
            <w:r>
              <w:rPr>
                <w:noProof/>
                <w:webHidden/>
              </w:rPr>
              <w:instrText xml:space="preserve"> PAGEREF _Toc412444398 \h </w:instrText>
            </w:r>
            <w:r>
              <w:rPr>
                <w:noProof/>
                <w:webHidden/>
              </w:rPr>
            </w:r>
            <w:r>
              <w:rPr>
                <w:noProof/>
                <w:webHidden/>
              </w:rPr>
              <w:fldChar w:fldCharType="separate"/>
            </w:r>
            <w:r>
              <w:rPr>
                <w:noProof/>
                <w:webHidden/>
              </w:rPr>
              <w:t>12</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399" w:history="1">
            <w:r w:rsidRPr="00E36A3B">
              <w:rPr>
                <w:rStyle w:val="Hyperlink"/>
                <w:noProof/>
              </w:rPr>
              <w:t>Contents of the clinical dossier</w:t>
            </w:r>
            <w:r>
              <w:rPr>
                <w:noProof/>
                <w:webHidden/>
              </w:rPr>
              <w:tab/>
            </w:r>
            <w:r>
              <w:rPr>
                <w:noProof/>
                <w:webHidden/>
              </w:rPr>
              <w:fldChar w:fldCharType="begin"/>
            </w:r>
            <w:r>
              <w:rPr>
                <w:noProof/>
                <w:webHidden/>
              </w:rPr>
              <w:instrText xml:space="preserve"> PAGEREF _Toc412444399 \h </w:instrText>
            </w:r>
            <w:r>
              <w:rPr>
                <w:noProof/>
                <w:webHidden/>
              </w:rPr>
            </w:r>
            <w:r>
              <w:rPr>
                <w:noProof/>
                <w:webHidden/>
              </w:rPr>
              <w:fldChar w:fldCharType="separate"/>
            </w:r>
            <w:r>
              <w:rPr>
                <w:noProof/>
                <w:webHidden/>
              </w:rPr>
              <w:t>12</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00" w:history="1">
            <w:r w:rsidRPr="00E36A3B">
              <w:rPr>
                <w:rStyle w:val="Hyperlink"/>
                <w:noProof/>
              </w:rPr>
              <w:t>Paediatric data</w:t>
            </w:r>
            <w:r>
              <w:rPr>
                <w:noProof/>
                <w:webHidden/>
              </w:rPr>
              <w:tab/>
            </w:r>
            <w:r>
              <w:rPr>
                <w:noProof/>
                <w:webHidden/>
              </w:rPr>
              <w:fldChar w:fldCharType="begin"/>
            </w:r>
            <w:r>
              <w:rPr>
                <w:noProof/>
                <w:webHidden/>
              </w:rPr>
              <w:instrText xml:space="preserve"> PAGEREF _Toc412444400 \h </w:instrText>
            </w:r>
            <w:r>
              <w:rPr>
                <w:noProof/>
                <w:webHidden/>
              </w:rPr>
            </w:r>
            <w:r>
              <w:rPr>
                <w:noProof/>
                <w:webHidden/>
              </w:rPr>
              <w:fldChar w:fldCharType="separate"/>
            </w:r>
            <w:r>
              <w:rPr>
                <w:noProof/>
                <w:webHidden/>
              </w:rPr>
              <w:t>12</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01" w:history="1">
            <w:r w:rsidRPr="00E36A3B">
              <w:rPr>
                <w:rStyle w:val="Hyperlink"/>
                <w:noProof/>
              </w:rPr>
              <w:t>Good clinical practice</w:t>
            </w:r>
            <w:r>
              <w:rPr>
                <w:noProof/>
                <w:webHidden/>
              </w:rPr>
              <w:tab/>
            </w:r>
            <w:r>
              <w:rPr>
                <w:noProof/>
                <w:webHidden/>
              </w:rPr>
              <w:fldChar w:fldCharType="begin"/>
            </w:r>
            <w:r>
              <w:rPr>
                <w:noProof/>
                <w:webHidden/>
              </w:rPr>
              <w:instrText xml:space="preserve"> PAGEREF _Toc412444401 \h </w:instrText>
            </w:r>
            <w:r>
              <w:rPr>
                <w:noProof/>
                <w:webHidden/>
              </w:rPr>
            </w:r>
            <w:r>
              <w:rPr>
                <w:noProof/>
                <w:webHidden/>
              </w:rPr>
              <w:fldChar w:fldCharType="separate"/>
            </w:r>
            <w:r>
              <w:rPr>
                <w:noProof/>
                <w:webHidden/>
              </w:rPr>
              <w:t>13</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02" w:history="1">
            <w:r w:rsidRPr="00E36A3B">
              <w:rPr>
                <w:rStyle w:val="Hyperlink"/>
                <w:noProof/>
              </w:rPr>
              <w:t>Pharmacokinetics</w:t>
            </w:r>
            <w:r>
              <w:rPr>
                <w:noProof/>
                <w:webHidden/>
              </w:rPr>
              <w:tab/>
            </w:r>
            <w:r>
              <w:rPr>
                <w:noProof/>
                <w:webHidden/>
              </w:rPr>
              <w:fldChar w:fldCharType="begin"/>
            </w:r>
            <w:r>
              <w:rPr>
                <w:noProof/>
                <w:webHidden/>
              </w:rPr>
              <w:instrText xml:space="preserve"> PAGEREF _Toc412444402 \h </w:instrText>
            </w:r>
            <w:r>
              <w:rPr>
                <w:noProof/>
                <w:webHidden/>
              </w:rPr>
            </w:r>
            <w:r>
              <w:rPr>
                <w:noProof/>
                <w:webHidden/>
              </w:rPr>
              <w:fldChar w:fldCharType="separate"/>
            </w:r>
            <w:r>
              <w:rPr>
                <w:noProof/>
                <w:webHidden/>
              </w:rPr>
              <w:t>13</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03" w:history="1">
            <w:r w:rsidRPr="00E36A3B">
              <w:rPr>
                <w:rStyle w:val="Hyperlink"/>
                <w:noProof/>
              </w:rPr>
              <w:t>Pharmacodynamics</w:t>
            </w:r>
            <w:r>
              <w:rPr>
                <w:noProof/>
                <w:webHidden/>
              </w:rPr>
              <w:tab/>
            </w:r>
            <w:r>
              <w:rPr>
                <w:noProof/>
                <w:webHidden/>
              </w:rPr>
              <w:fldChar w:fldCharType="begin"/>
            </w:r>
            <w:r>
              <w:rPr>
                <w:noProof/>
                <w:webHidden/>
              </w:rPr>
              <w:instrText xml:space="preserve"> PAGEREF _Toc412444403 \h </w:instrText>
            </w:r>
            <w:r>
              <w:rPr>
                <w:noProof/>
                <w:webHidden/>
              </w:rPr>
            </w:r>
            <w:r>
              <w:rPr>
                <w:noProof/>
                <w:webHidden/>
              </w:rPr>
              <w:fldChar w:fldCharType="separate"/>
            </w:r>
            <w:r>
              <w:rPr>
                <w:noProof/>
                <w:webHidden/>
              </w:rPr>
              <w:t>14</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04" w:history="1">
            <w:r w:rsidRPr="00E36A3B">
              <w:rPr>
                <w:rStyle w:val="Hyperlink"/>
                <w:noProof/>
              </w:rPr>
              <w:t>Dosage selection for the pivotal studies</w:t>
            </w:r>
            <w:r>
              <w:rPr>
                <w:noProof/>
                <w:webHidden/>
              </w:rPr>
              <w:tab/>
            </w:r>
            <w:r>
              <w:rPr>
                <w:noProof/>
                <w:webHidden/>
              </w:rPr>
              <w:fldChar w:fldCharType="begin"/>
            </w:r>
            <w:r>
              <w:rPr>
                <w:noProof/>
                <w:webHidden/>
              </w:rPr>
              <w:instrText xml:space="preserve"> PAGEREF _Toc412444404 \h </w:instrText>
            </w:r>
            <w:r>
              <w:rPr>
                <w:noProof/>
                <w:webHidden/>
              </w:rPr>
            </w:r>
            <w:r>
              <w:rPr>
                <w:noProof/>
                <w:webHidden/>
              </w:rPr>
              <w:fldChar w:fldCharType="separate"/>
            </w:r>
            <w:r>
              <w:rPr>
                <w:noProof/>
                <w:webHidden/>
              </w:rPr>
              <w:t>14</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05" w:history="1">
            <w:r w:rsidRPr="00E36A3B">
              <w:rPr>
                <w:rStyle w:val="Hyperlink"/>
                <w:noProof/>
              </w:rPr>
              <w:t>Efficacy</w:t>
            </w:r>
            <w:r>
              <w:rPr>
                <w:noProof/>
                <w:webHidden/>
              </w:rPr>
              <w:tab/>
            </w:r>
            <w:r>
              <w:rPr>
                <w:noProof/>
                <w:webHidden/>
              </w:rPr>
              <w:fldChar w:fldCharType="begin"/>
            </w:r>
            <w:r>
              <w:rPr>
                <w:noProof/>
                <w:webHidden/>
              </w:rPr>
              <w:instrText xml:space="preserve"> PAGEREF _Toc412444405 \h </w:instrText>
            </w:r>
            <w:r>
              <w:rPr>
                <w:noProof/>
                <w:webHidden/>
              </w:rPr>
            </w:r>
            <w:r>
              <w:rPr>
                <w:noProof/>
                <w:webHidden/>
              </w:rPr>
              <w:fldChar w:fldCharType="separate"/>
            </w:r>
            <w:r>
              <w:rPr>
                <w:noProof/>
                <w:webHidden/>
              </w:rPr>
              <w:t>14</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06" w:history="1">
            <w:r w:rsidRPr="00E36A3B">
              <w:rPr>
                <w:rStyle w:val="Hyperlink"/>
                <w:noProof/>
              </w:rPr>
              <w:t>Safety</w:t>
            </w:r>
            <w:r>
              <w:rPr>
                <w:noProof/>
                <w:webHidden/>
              </w:rPr>
              <w:tab/>
            </w:r>
            <w:r>
              <w:rPr>
                <w:noProof/>
                <w:webHidden/>
              </w:rPr>
              <w:fldChar w:fldCharType="begin"/>
            </w:r>
            <w:r>
              <w:rPr>
                <w:noProof/>
                <w:webHidden/>
              </w:rPr>
              <w:instrText xml:space="preserve"> PAGEREF _Toc412444406 \h </w:instrText>
            </w:r>
            <w:r>
              <w:rPr>
                <w:noProof/>
                <w:webHidden/>
              </w:rPr>
            </w:r>
            <w:r>
              <w:rPr>
                <w:noProof/>
                <w:webHidden/>
              </w:rPr>
              <w:fldChar w:fldCharType="separate"/>
            </w:r>
            <w:r>
              <w:rPr>
                <w:noProof/>
                <w:webHidden/>
              </w:rPr>
              <w:t>17</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07" w:history="1">
            <w:r w:rsidRPr="00E36A3B">
              <w:rPr>
                <w:rStyle w:val="Hyperlink"/>
                <w:noProof/>
              </w:rPr>
              <w:t>First round benefit-risk assessment</w:t>
            </w:r>
            <w:r>
              <w:rPr>
                <w:noProof/>
                <w:webHidden/>
              </w:rPr>
              <w:tab/>
            </w:r>
            <w:r>
              <w:rPr>
                <w:noProof/>
                <w:webHidden/>
              </w:rPr>
              <w:fldChar w:fldCharType="begin"/>
            </w:r>
            <w:r>
              <w:rPr>
                <w:noProof/>
                <w:webHidden/>
              </w:rPr>
              <w:instrText xml:space="preserve"> PAGEREF _Toc412444407 \h </w:instrText>
            </w:r>
            <w:r>
              <w:rPr>
                <w:noProof/>
                <w:webHidden/>
              </w:rPr>
            </w:r>
            <w:r>
              <w:rPr>
                <w:noProof/>
                <w:webHidden/>
              </w:rPr>
              <w:fldChar w:fldCharType="separate"/>
            </w:r>
            <w:r>
              <w:rPr>
                <w:noProof/>
                <w:webHidden/>
              </w:rPr>
              <w:t>22</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08" w:history="1">
            <w:r w:rsidRPr="00E36A3B">
              <w:rPr>
                <w:rStyle w:val="Hyperlink"/>
                <w:noProof/>
              </w:rPr>
              <w:t>First round recommendation regarding authorisation</w:t>
            </w:r>
            <w:r>
              <w:rPr>
                <w:noProof/>
                <w:webHidden/>
              </w:rPr>
              <w:tab/>
            </w:r>
            <w:r>
              <w:rPr>
                <w:noProof/>
                <w:webHidden/>
              </w:rPr>
              <w:fldChar w:fldCharType="begin"/>
            </w:r>
            <w:r>
              <w:rPr>
                <w:noProof/>
                <w:webHidden/>
              </w:rPr>
              <w:instrText xml:space="preserve"> PAGEREF _Toc412444408 \h </w:instrText>
            </w:r>
            <w:r>
              <w:rPr>
                <w:noProof/>
                <w:webHidden/>
              </w:rPr>
            </w:r>
            <w:r>
              <w:rPr>
                <w:noProof/>
                <w:webHidden/>
              </w:rPr>
              <w:fldChar w:fldCharType="separate"/>
            </w:r>
            <w:r>
              <w:rPr>
                <w:noProof/>
                <w:webHidden/>
              </w:rPr>
              <w:t>24</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09" w:history="1">
            <w:r w:rsidRPr="00E36A3B">
              <w:rPr>
                <w:rStyle w:val="Hyperlink"/>
                <w:noProof/>
              </w:rPr>
              <w:t>Clinical questions</w:t>
            </w:r>
            <w:r>
              <w:rPr>
                <w:noProof/>
                <w:webHidden/>
              </w:rPr>
              <w:tab/>
            </w:r>
            <w:r>
              <w:rPr>
                <w:noProof/>
                <w:webHidden/>
              </w:rPr>
              <w:fldChar w:fldCharType="begin"/>
            </w:r>
            <w:r>
              <w:rPr>
                <w:noProof/>
                <w:webHidden/>
              </w:rPr>
              <w:instrText xml:space="preserve"> PAGEREF _Toc412444409 \h </w:instrText>
            </w:r>
            <w:r>
              <w:rPr>
                <w:noProof/>
                <w:webHidden/>
              </w:rPr>
            </w:r>
            <w:r>
              <w:rPr>
                <w:noProof/>
                <w:webHidden/>
              </w:rPr>
              <w:fldChar w:fldCharType="separate"/>
            </w:r>
            <w:r>
              <w:rPr>
                <w:noProof/>
                <w:webHidden/>
              </w:rPr>
              <w:t>24</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10" w:history="1">
            <w:r w:rsidRPr="00E36A3B">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_Toc412444410 \h </w:instrText>
            </w:r>
            <w:r>
              <w:rPr>
                <w:noProof/>
                <w:webHidden/>
              </w:rPr>
            </w:r>
            <w:r>
              <w:rPr>
                <w:noProof/>
                <w:webHidden/>
              </w:rPr>
              <w:fldChar w:fldCharType="separate"/>
            </w:r>
            <w:r>
              <w:rPr>
                <w:noProof/>
                <w:webHidden/>
              </w:rPr>
              <w:t>25</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11" w:history="1">
            <w:r w:rsidRPr="00E36A3B">
              <w:rPr>
                <w:rStyle w:val="Hyperlink"/>
                <w:noProof/>
              </w:rPr>
              <w:t>Second round benefit-risk assessment</w:t>
            </w:r>
            <w:r>
              <w:rPr>
                <w:noProof/>
                <w:webHidden/>
              </w:rPr>
              <w:tab/>
            </w:r>
            <w:r>
              <w:rPr>
                <w:noProof/>
                <w:webHidden/>
              </w:rPr>
              <w:fldChar w:fldCharType="begin"/>
            </w:r>
            <w:r>
              <w:rPr>
                <w:noProof/>
                <w:webHidden/>
              </w:rPr>
              <w:instrText xml:space="preserve"> PAGEREF _Toc412444411 \h </w:instrText>
            </w:r>
            <w:r>
              <w:rPr>
                <w:noProof/>
                <w:webHidden/>
              </w:rPr>
            </w:r>
            <w:r>
              <w:rPr>
                <w:noProof/>
                <w:webHidden/>
              </w:rPr>
              <w:fldChar w:fldCharType="separate"/>
            </w:r>
            <w:r>
              <w:rPr>
                <w:noProof/>
                <w:webHidden/>
              </w:rPr>
              <w:t>25</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12" w:history="1">
            <w:r w:rsidRPr="00E36A3B">
              <w:rPr>
                <w:rStyle w:val="Hyperlink"/>
                <w:noProof/>
              </w:rPr>
              <w:t>Second round recommendation regarding authorisation</w:t>
            </w:r>
            <w:r>
              <w:rPr>
                <w:noProof/>
                <w:webHidden/>
              </w:rPr>
              <w:tab/>
            </w:r>
            <w:r>
              <w:rPr>
                <w:noProof/>
                <w:webHidden/>
              </w:rPr>
              <w:fldChar w:fldCharType="begin"/>
            </w:r>
            <w:r>
              <w:rPr>
                <w:noProof/>
                <w:webHidden/>
              </w:rPr>
              <w:instrText xml:space="preserve"> PAGEREF _Toc412444412 \h </w:instrText>
            </w:r>
            <w:r>
              <w:rPr>
                <w:noProof/>
                <w:webHidden/>
              </w:rPr>
            </w:r>
            <w:r>
              <w:rPr>
                <w:noProof/>
                <w:webHidden/>
              </w:rPr>
              <w:fldChar w:fldCharType="separate"/>
            </w:r>
            <w:r>
              <w:rPr>
                <w:noProof/>
                <w:webHidden/>
              </w:rPr>
              <w:t>26</w:t>
            </w:r>
            <w:r>
              <w:rPr>
                <w:noProof/>
                <w:webHidden/>
              </w:rPr>
              <w:fldChar w:fldCharType="end"/>
            </w:r>
          </w:hyperlink>
        </w:p>
        <w:p w:rsidR="006B5B74" w:rsidRDefault="006B5B74">
          <w:pPr>
            <w:pStyle w:val="TOC2"/>
            <w:rPr>
              <w:rFonts w:asciiTheme="minorHAnsi" w:eastAsiaTheme="minorEastAsia" w:hAnsiTheme="minorHAnsi" w:cstheme="minorBidi"/>
              <w:b w:val="0"/>
              <w:noProof/>
              <w:sz w:val="22"/>
              <w:lang w:eastAsia="en-AU"/>
            </w:rPr>
          </w:pPr>
          <w:hyperlink w:anchor="_Toc412444413" w:history="1">
            <w:r w:rsidRPr="00E36A3B">
              <w:rPr>
                <w:rStyle w:val="Hyperlink"/>
                <w:noProof/>
              </w:rPr>
              <w:t>V. Pharmacovigilance findings</w:t>
            </w:r>
            <w:r>
              <w:rPr>
                <w:noProof/>
                <w:webHidden/>
              </w:rPr>
              <w:tab/>
            </w:r>
            <w:r>
              <w:rPr>
                <w:noProof/>
                <w:webHidden/>
              </w:rPr>
              <w:fldChar w:fldCharType="begin"/>
            </w:r>
            <w:r>
              <w:rPr>
                <w:noProof/>
                <w:webHidden/>
              </w:rPr>
              <w:instrText xml:space="preserve"> PAGEREF _Toc412444413 \h </w:instrText>
            </w:r>
            <w:r>
              <w:rPr>
                <w:noProof/>
                <w:webHidden/>
              </w:rPr>
            </w:r>
            <w:r>
              <w:rPr>
                <w:noProof/>
                <w:webHidden/>
              </w:rPr>
              <w:fldChar w:fldCharType="separate"/>
            </w:r>
            <w:r>
              <w:rPr>
                <w:noProof/>
                <w:webHidden/>
              </w:rPr>
              <w:t>26</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14" w:history="1">
            <w:r w:rsidRPr="00E36A3B">
              <w:rPr>
                <w:rStyle w:val="Hyperlink"/>
                <w:noProof/>
                <w:lang w:eastAsia="en-AU"/>
              </w:rPr>
              <w:t>Risk management plan</w:t>
            </w:r>
            <w:r>
              <w:rPr>
                <w:noProof/>
                <w:webHidden/>
              </w:rPr>
              <w:tab/>
            </w:r>
            <w:r>
              <w:rPr>
                <w:noProof/>
                <w:webHidden/>
              </w:rPr>
              <w:fldChar w:fldCharType="begin"/>
            </w:r>
            <w:r>
              <w:rPr>
                <w:noProof/>
                <w:webHidden/>
              </w:rPr>
              <w:instrText xml:space="preserve"> PAGEREF _Toc412444414 \h </w:instrText>
            </w:r>
            <w:r>
              <w:rPr>
                <w:noProof/>
                <w:webHidden/>
              </w:rPr>
            </w:r>
            <w:r>
              <w:rPr>
                <w:noProof/>
                <w:webHidden/>
              </w:rPr>
              <w:fldChar w:fldCharType="separate"/>
            </w:r>
            <w:r>
              <w:rPr>
                <w:noProof/>
                <w:webHidden/>
              </w:rPr>
              <w:t>26</w:t>
            </w:r>
            <w:r>
              <w:rPr>
                <w:noProof/>
                <w:webHidden/>
              </w:rPr>
              <w:fldChar w:fldCharType="end"/>
            </w:r>
          </w:hyperlink>
        </w:p>
        <w:p w:rsidR="006B5B74" w:rsidRDefault="006B5B74">
          <w:pPr>
            <w:pStyle w:val="TOC2"/>
            <w:rPr>
              <w:rFonts w:asciiTheme="minorHAnsi" w:eastAsiaTheme="minorEastAsia" w:hAnsiTheme="minorHAnsi" w:cstheme="minorBidi"/>
              <w:b w:val="0"/>
              <w:noProof/>
              <w:sz w:val="22"/>
              <w:lang w:eastAsia="en-AU"/>
            </w:rPr>
          </w:pPr>
          <w:hyperlink w:anchor="_Toc412444415" w:history="1">
            <w:r w:rsidRPr="00E36A3B">
              <w:rPr>
                <w:rStyle w:val="Hyperlink"/>
                <w:noProof/>
              </w:rPr>
              <w:t>VI. Overall conclusion and risk/benefit assessment</w:t>
            </w:r>
            <w:r>
              <w:rPr>
                <w:noProof/>
                <w:webHidden/>
              </w:rPr>
              <w:tab/>
            </w:r>
            <w:r>
              <w:rPr>
                <w:noProof/>
                <w:webHidden/>
              </w:rPr>
              <w:fldChar w:fldCharType="begin"/>
            </w:r>
            <w:r>
              <w:rPr>
                <w:noProof/>
                <w:webHidden/>
              </w:rPr>
              <w:instrText xml:space="preserve"> PAGEREF _Toc412444415 \h </w:instrText>
            </w:r>
            <w:r>
              <w:rPr>
                <w:noProof/>
                <w:webHidden/>
              </w:rPr>
            </w:r>
            <w:r>
              <w:rPr>
                <w:noProof/>
                <w:webHidden/>
              </w:rPr>
              <w:fldChar w:fldCharType="separate"/>
            </w:r>
            <w:r>
              <w:rPr>
                <w:noProof/>
                <w:webHidden/>
              </w:rPr>
              <w:t>33</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16" w:history="1">
            <w:r w:rsidRPr="00E36A3B">
              <w:rPr>
                <w:rStyle w:val="Hyperlink"/>
                <w:noProof/>
              </w:rPr>
              <w:t>Background</w:t>
            </w:r>
            <w:r>
              <w:rPr>
                <w:noProof/>
                <w:webHidden/>
              </w:rPr>
              <w:tab/>
            </w:r>
            <w:r>
              <w:rPr>
                <w:noProof/>
                <w:webHidden/>
              </w:rPr>
              <w:fldChar w:fldCharType="begin"/>
            </w:r>
            <w:r>
              <w:rPr>
                <w:noProof/>
                <w:webHidden/>
              </w:rPr>
              <w:instrText xml:space="preserve"> PAGEREF _Toc412444416 \h </w:instrText>
            </w:r>
            <w:r>
              <w:rPr>
                <w:noProof/>
                <w:webHidden/>
              </w:rPr>
            </w:r>
            <w:r>
              <w:rPr>
                <w:noProof/>
                <w:webHidden/>
              </w:rPr>
              <w:fldChar w:fldCharType="separate"/>
            </w:r>
            <w:r>
              <w:rPr>
                <w:noProof/>
                <w:webHidden/>
              </w:rPr>
              <w:t>33</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17" w:history="1">
            <w:r w:rsidRPr="00E36A3B">
              <w:rPr>
                <w:rStyle w:val="Hyperlink"/>
                <w:noProof/>
              </w:rPr>
              <w:t>Quality</w:t>
            </w:r>
            <w:r>
              <w:rPr>
                <w:noProof/>
                <w:webHidden/>
              </w:rPr>
              <w:tab/>
            </w:r>
            <w:r>
              <w:rPr>
                <w:noProof/>
                <w:webHidden/>
              </w:rPr>
              <w:fldChar w:fldCharType="begin"/>
            </w:r>
            <w:r>
              <w:rPr>
                <w:noProof/>
                <w:webHidden/>
              </w:rPr>
              <w:instrText xml:space="preserve"> PAGEREF _Toc412444417 \h </w:instrText>
            </w:r>
            <w:r>
              <w:rPr>
                <w:noProof/>
                <w:webHidden/>
              </w:rPr>
            </w:r>
            <w:r>
              <w:rPr>
                <w:noProof/>
                <w:webHidden/>
              </w:rPr>
              <w:fldChar w:fldCharType="separate"/>
            </w:r>
            <w:r>
              <w:rPr>
                <w:noProof/>
                <w:webHidden/>
              </w:rPr>
              <w:t>33</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18" w:history="1">
            <w:r w:rsidRPr="00E36A3B">
              <w:rPr>
                <w:rStyle w:val="Hyperlink"/>
                <w:noProof/>
              </w:rPr>
              <w:t>Nonclinical</w:t>
            </w:r>
            <w:r>
              <w:rPr>
                <w:noProof/>
                <w:webHidden/>
              </w:rPr>
              <w:tab/>
            </w:r>
            <w:r>
              <w:rPr>
                <w:noProof/>
                <w:webHidden/>
              </w:rPr>
              <w:fldChar w:fldCharType="begin"/>
            </w:r>
            <w:r>
              <w:rPr>
                <w:noProof/>
                <w:webHidden/>
              </w:rPr>
              <w:instrText xml:space="preserve"> PAGEREF _Toc412444418 \h </w:instrText>
            </w:r>
            <w:r>
              <w:rPr>
                <w:noProof/>
                <w:webHidden/>
              </w:rPr>
            </w:r>
            <w:r>
              <w:rPr>
                <w:noProof/>
                <w:webHidden/>
              </w:rPr>
              <w:fldChar w:fldCharType="separate"/>
            </w:r>
            <w:r>
              <w:rPr>
                <w:noProof/>
                <w:webHidden/>
              </w:rPr>
              <w:t>33</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19" w:history="1">
            <w:r w:rsidRPr="00E36A3B">
              <w:rPr>
                <w:rStyle w:val="Hyperlink"/>
                <w:noProof/>
              </w:rPr>
              <w:t>Clinical</w:t>
            </w:r>
            <w:r>
              <w:rPr>
                <w:noProof/>
                <w:webHidden/>
              </w:rPr>
              <w:tab/>
            </w:r>
            <w:r>
              <w:rPr>
                <w:noProof/>
                <w:webHidden/>
              </w:rPr>
              <w:fldChar w:fldCharType="begin"/>
            </w:r>
            <w:r>
              <w:rPr>
                <w:noProof/>
                <w:webHidden/>
              </w:rPr>
              <w:instrText xml:space="preserve"> PAGEREF _Toc412444419 \h </w:instrText>
            </w:r>
            <w:r>
              <w:rPr>
                <w:noProof/>
                <w:webHidden/>
              </w:rPr>
            </w:r>
            <w:r>
              <w:rPr>
                <w:noProof/>
                <w:webHidden/>
              </w:rPr>
              <w:fldChar w:fldCharType="separate"/>
            </w:r>
            <w:r>
              <w:rPr>
                <w:noProof/>
                <w:webHidden/>
              </w:rPr>
              <w:t>33</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20" w:history="1">
            <w:r w:rsidRPr="00E36A3B">
              <w:rPr>
                <w:rStyle w:val="Hyperlink"/>
                <w:noProof/>
                <w:lang w:eastAsia="en-AU"/>
              </w:rPr>
              <w:t>Risk management plan</w:t>
            </w:r>
            <w:r>
              <w:rPr>
                <w:noProof/>
                <w:webHidden/>
              </w:rPr>
              <w:tab/>
            </w:r>
            <w:r>
              <w:rPr>
                <w:noProof/>
                <w:webHidden/>
              </w:rPr>
              <w:fldChar w:fldCharType="begin"/>
            </w:r>
            <w:r>
              <w:rPr>
                <w:noProof/>
                <w:webHidden/>
              </w:rPr>
              <w:instrText xml:space="preserve"> PAGEREF _Toc412444420 \h </w:instrText>
            </w:r>
            <w:r>
              <w:rPr>
                <w:noProof/>
                <w:webHidden/>
              </w:rPr>
            </w:r>
            <w:r>
              <w:rPr>
                <w:noProof/>
                <w:webHidden/>
              </w:rPr>
              <w:fldChar w:fldCharType="separate"/>
            </w:r>
            <w:r>
              <w:rPr>
                <w:noProof/>
                <w:webHidden/>
              </w:rPr>
              <w:t>40</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21" w:history="1">
            <w:r w:rsidRPr="00E36A3B">
              <w:rPr>
                <w:rStyle w:val="Hyperlink"/>
                <w:noProof/>
              </w:rPr>
              <w:t>Risk-benefit analysis</w:t>
            </w:r>
            <w:r>
              <w:rPr>
                <w:noProof/>
                <w:webHidden/>
              </w:rPr>
              <w:tab/>
            </w:r>
            <w:r>
              <w:rPr>
                <w:noProof/>
                <w:webHidden/>
              </w:rPr>
              <w:fldChar w:fldCharType="begin"/>
            </w:r>
            <w:r>
              <w:rPr>
                <w:noProof/>
                <w:webHidden/>
              </w:rPr>
              <w:instrText xml:space="preserve"> PAGEREF _Toc412444421 \h </w:instrText>
            </w:r>
            <w:r>
              <w:rPr>
                <w:noProof/>
                <w:webHidden/>
              </w:rPr>
            </w:r>
            <w:r>
              <w:rPr>
                <w:noProof/>
                <w:webHidden/>
              </w:rPr>
              <w:fldChar w:fldCharType="separate"/>
            </w:r>
            <w:r>
              <w:rPr>
                <w:noProof/>
                <w:webHidden/>
              </w:rPr>
              <w:t>40</w:t>
            </w:r>
            <w:r>
              <w:rPr>
                <w:noProof/>
                <w:webHidden/>
              </w:rPr>
              <w:fldChar w:fldCharType="end"/>
            </w:r>
          </w:hyperlink>
        </w:p>
        <w:p w:rsidR="006B5B74" w:rsidRDefault="006B5B74">
          <w:pPr>
            <w:pStyle w:val="TOC3"/>
            <w:rPr>
              <w:rFonts w:asciiTheme="minorHAnsi" w:eastAsiaTheme="minorEastAsia" w:hAnsiTheme="minorHAnsi" w:cstheme="minorBidi"/>
              <w:noProof/>
              <w:lang w:eastAsia="en-AU"/>
            </w:rPr>
          </w:pPr>
          <w:hyperlink w:anchor="_Toc412444422" w:history="1">
            <w:r w:rsidRPr="00E36A3B">
              <w:rPr>
                <w:rStyle w:val="Hyperlink"/>
                <w:noProof/>
              </w:rPr>
              <w:t>Outcome</w:t>
            </w:r>
            <w:r>
              <w:rPr>
                <w:noProof/>
                <w:webHidden/>
              </w:rPr>
              <w:tab/>
            </w:r>
            <w:r>
              <w:rPr>
                <w:noProof/>
                <w:webHidden/>
              </w:rPr>
              <w:fldChar w:fldCharType="begin"/>
            </w:r>
            <w:r>
              <w:rPr>
                <w:noProof/>
                <w:webHidden/>
              </w:rPr>
              <w:instrText xml:space="preserve"> PAGEREF _Toc412444422 \h </w:instrText>
            </w:r>
            <w:r>
              <w:rPr>
                <w:noProof/>
                <w:webHidden/>
              </w:rPr>
            </w:r>
            <w:r>
              <w:rPr>
                <w:noProof/>
                <w:webHidden/>
              </w:rPr>
              <w:fldChar w:fldCharType="separate"/>
            </w:r>
            <w:r>
              <w:rPr>
                <w:noProof/>
                <w:webHidden/>
              </w:rPr>
              <w:t>47</w:t>
            </w:r>
            <w:r>
              <w:rPr>
                <w:noProof/>
                <w:webHidden/>
              </w:rPr>
              <w:fldChar w:fldCharType="end"/>
            </w:r>
          </w:hyperlink>
        </w:p>
        <w:p w:rsidR="006B5B74" w:rsidRDefault="006B5B74">
          <w:pPr>
            <w:pStyle w:val="TOC2"/>
            <w:rPr>
              <w:rFonts w:asciiTheme="minorHAnsi" w:eastAsiaTheme="minorEastAsia" w:hAnsiTheme="minorHAnsi" w:cstheme="minorBidi"/>
              <w:b w:val="0"/>
              <w:noProof/>
              <w:sz w:val="22"/>
              <w:lang w:eastAsia="en-AU"/>
            </w:rPr>
          </w:pPr>
          <w:hyperlink w:anchor="_Toc412444423" w:history="1">
            <w:r w:rsidRPr="00E36A3B">
              <w:rPr>
                <w:rStyle w:val="Hyperlink"/>
                <w:noProof/>
              </w:rPr>
              <w:t>Attachment 1. Product Information</w:t>
            </w:r>
            <w:r>
              <w:rPr>
                <w:noProof/>
                <w:webHidden/>
              </w:rPr>
              <w:tab/>
            </w:r>
            <w:r>
              <w:rPr>
                <w:noProof/>
                <w:webHidden/>
              </w:rPr>
              <w:fldChar w:fldCharType="begin"/>
            </w:r>
            <w:r>
              <w:rPr>
                <w:noProof/>
                <w:webHidden/>
              </w:rPr>
              <w:instrText xml:space="preserve"> PAGEREF _Toc412444423 \h </w:instrText>
            </w:r>
            <w:r>
              <w:rPr>
                <w:noProof/>
                <w:webHidden/>
              </w:rPr>
            </w:r>
            <w:r>
              <w:rPr>
                <w:noProof/>
                <w:webHidden/>
              </w:rPr>
              <w:fldChar w:fldCharType="separate"/>
            </w:r>
            <w:r>
              <w:rPr>
                <w:noProof/>
                <w:webHidden/>
              </w:rPr>
              <w:t>48</w:t>
            </w:r>
            <w:r>
              <w:rPr>
                <w:noProof/>
                <w:webHidden/>
              </w:rPr>
              <w:fldChar w:fldCharType="end"/>
            </w:r>
          </w:hyperlink>
        </w:p>
        <w:p w:rsidR="006B5B74" w:rsidRDefault="006B5B74">
          <w:pPr>
            <w:pStyle w:val="TOC2"/>
            <w:rPr>
              <w:rFonts w:asciiTheme="minorHAnsi" w:eastAsiaTheme="minorEastAsia" w:hAnsiTheme="minorHAnsi" w:cstheme="minorBidi"/>
              <w:b w:val="0"/>
              <w:noProof/>
              <w:sz w:val="22"/>
              <w:lang w:eastAsia="en-AU"/>
            </w:rPr>
          </w:pPr>
          <w:hyperlink w:anchor="_Toc412444424" w:history="1">
            <w:r w:rsidRPr="00E36A3B">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_Toc412444424 \h </w:instrText>
            </w:r>
            <w:r>
              <w:rPr>
                <w:noProof/>
                <w:webHidden/>
              </w:rPr>
            </w:r>
            <w:r>
              <w:rPr>
                <w:noProof/>
                <w:webHidden/>
              </w:rPr>
              <w:fldChar w:fldCharType="separate"/>
            </w:r>
            <w:r>
              <w:rPr>
                <w:noProof/>
                <w:webHidden/>
              </w:rPr>
              <w:t>49</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FD119B" w:rsidP="004F0C4A">
      <w:pPr>
        <w:pStyle w:val="Heading2"/>
      </w:pPr>
      <w:bookmarkStart w:id="4" w:name="_Toc351716269"/>
      <w:bookmarkStart w:id="5" w:name="_Toc351718881"/>
      <w:bookmarkStart w:id="6" w:name="_Toc355338616"/>
      <w:bookmarkStart w:id="7" w:name="_Toc356306144"/>
      <w:bookmarkStart w:id="8" w:name="_Toc412444387"/>
      <w:r w:rsidRPr="00FD119B">
        <w:lastRenderedPageBreak/>
        <w:t>List of the most common abbreviations</w:t>
      </w:r>
      <w:bookmarkEnd w:id="4"/>
      <w:bookmarkEnd w:id="5"/>
      <w:bookmarkEnd w:id="6"/>
      <w:bookmarkEnd w:id="7"/>
      <w:r w:rsidRPr="00FD119B">
        <w:t xml:space="preserve"> used in this </w:t>
      </w:r>
      <w:r w:rsidRPr="004F0C4A">
        <w:t>AusPAR</w:t>
      </w:r>
      <w:bookmarkEnd w:id="8"/>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77010A" w:rsidRPr="00794265" w:rsidTr="0077010A">
        <w:tc>
          <w:tcPr>
            <w:tcW w:w="1809" w:type="dxa"/>
          </w:tcPr>
          <w:p w:rsidR="0077010A" w:rsidRPr="00242D68" w:rsidRDefault="0077010A" w:rsidP="00C64245">
            <w:r w:rsidRPr="00242D68">
              <w:t>ACR</w:t>
            </w:r>
          </w:p>
        </w:tc>
        <w:tc>
          <w:tcPr>
            <w:tcW w:w="6911" w:type="dxa"/>
          </w:tcPr>
          <w:p w:rsidR="0077010A" w:rsidRPr="00242D68" w:rsidRDefault="0077010A" w:rsidP="00C64245">
            <w:r w:rsidRPr="00242D68">
              <w:t>American College of Rheumatology</w:t>
            </w:r>
          </w:p>
        </w:tc>
      </w:tr>
      <w:tr w:rsidR="0077010A" w:rsidRPr="00794265" w:rsidTr="0077010A">
        <w:tc>
          <w:tcPr>
            <w:tcW w:w="1809" w:type="dxa"/>
          </w:tcPr>
          <w:p w:rsidR="0077010A" w:rsidRPr="00242D68" w:rsidRDefault="0077010A" w:rsidP="00C64245">
            <w:r w:rsidRPr="00242D68">
              <w:t>ACR20</w:t>
            </w:r>
          </w:p>
        </w:tc>
        <w:tc>
          <w:tcPr>
            <w:tcW w:w="6911" w:type="dxa"/>
          </w:tcPr>
          <w:p w:rsidR="0077010A" w:rsidRPr="00242D68" w:rsidRDefault="0077010A" w:rsidP="002013C6">
            <w:r w:rsidRPr="00242D68">
              <w:t>20% improvement in ACR score</w:t>
            </w:r>
          </w:p>
        </w:tc>
      </w:tr>
      <w:tr w:rsidR="0077010A" w:rsidRPr="00794265" w:rsidTr="0077010A">
        <w:tc>
          <w:tcPr>
            <w:tcW w:w="1809" w:type="dxa"/>
          </w:tcPr>
          <w:p w:rsidR="0077010A" w:rsidRPr="00242D68" w:rsidRDefault="0077010A" w:rsidP="00C64245">
            <w:r w:rsidRPr="00242D68">
              <w:t>ACR50</w:t>
            </w:r>
          </w:p>
        </w:tc>
        <w:tc>
          <w:tcPr>
            <w:tcW w:w="6911" w:type="dxa"/>
          </w:tcPr>
          <w:p w:rsidR="0077010A" w:rsidRPr="00242D68" w:rsidRDefault="0077010A" w:rsidP="002013C6">
            <w:r w:rsidRPr="00242D68">
              <w:t>50% improvement in ACR score</w:t>
            </w:r>
          </w:p>
        </w:tc>
      </w:tr>
      <w:tr w:rsidR="0077010A" w:rsidRPr="00794265" w:rsidTr="0077010A">
        <w:tc>
          <w:tcPr>
            <w:tcW w:w="1809" w:type="dxa"/>
          </w:tcPr>
          <w:p w:rsidR="0077010A" w:rsidRPr="00242D68" w:rsidRDefault="0077010A" w:rsidP="00C64245">
            <w:r w:rsidRPr="00242D68">
              <w:t>ACR70</w:t>
            </w:r>
          </w:p>
        </w:tc>
        <w:tc>
          <w:tcPr>
            <w:tcW w:w="6911" w:type="dxa"/>
          </w:tcPr>
          <w:p w:rsidR="0077010A" w:rsidRPr="00242D68" w:rsidRDefault="0077010A" w:rsidP="002013C6">
            <w:r w:rsidRPr="00242D68">
              <w:t>70% improvement in ACR score</w:t>
            </w:r>
          </w:p>
        </w:tc>
      </w:tr>
      <w:tr w:rsidR="0077010A" w:rsidRPr="00794265" w:rsidTr="0077010A">
        <w:tc>
          <w:tcPr>
            <w:tcW w:w="1809" w:type="dxa"/>
          </w:tcPr>
          <w:p w:rsidR="0077010A" w:rsidRPr="00242D68" w:rsidRDefault="0077010A" w:rsidP="00C64245">
            <w:r w:rsidRPr="00242D68">
              <w:t>ADR</w:t>
            </w:r>
          </w:p>
        </w:tc>
        <w:tc>
          <w:tcPr>
            <w:tcW w:w="6911" w:type="dxa"/>
          </w:tcPr>
          <w:p w:rsidR="0077010A" w:rsidRPr="00242D68" w:rsidRDefault="0077010A" w:rsidP="00C64245">
            <w:r w:rsidRPr="00242D68">
              <w:t>Adverse Drug Reaction</w:t>
            </w:r>
          </w:p>
        </w:tc>
      </w:tr>
      <w:tr w:rsidR="0077010A" w:rsidRPr="00794265" w:rsidTr="0077010A">
        <w:tc>
          <w:tcPr>
            <w:tcW w:w="1809" w:type="dxa"/>
          </w:tcPr>
          <w:p w:rsidR="0077010A" w:rsidRPr="00242D68" w:rsidRDefault="008226A0" w:rsidP="00C64245">
            <w:r>
              <w:t>AE</w:t>
            </w:r>
          </w:p>
        </w:tc>
        <w:tc>
          <w:tcPr>
            <w:tcW w:w="6911" w:type="dxa"/>
          </w:tcPr>
          <w:p w:rsidR="0077010A" w:rsidRPr="00242D68" w:rsidRDefault="0077010A" w:rsidP="00C64245">
            <w:r w:rsidRPr="00242D68">
              <w:t>Adverse Event</w:t>
            </w:r>
          </w:p>
        </w:tc>
      </w:tr>
      <w:tr w:rsidR="0077010A" w:rsidRPr="00794265" w:rsidTr="0077010A">
        <w:tc>
          <w:tcPr>
            <w:tcW w:w="1809" w:type="dxa"/>
          </w:tcPr>
          <w:p w:rsidR="0077010A" w:rsidRPr="00242D68" w:rsidRDefault="008226A0" w:rsidP="00C64245">
            <w:r>
              <w:t>ALT</w:t>
            </w:r>
          </w:p>
        </w:tc>
        <w:tc>
          <w:tcPr>
            <w:tcW w:w="6911" w:type="dxa"/>
          </w:tcPr>
          <w:p w:rsidR="0077010A" w:rsidRPr="00242D68" w:rsidRDefault="0077010A" w:rsidP="00C64245">
            <w:r w:rsidRPr="00242D68">
              <w:t>Alanine aminotransferase</w:t>
            </w:r>
          </w:p>
        </w:tc>
      </w:tr>
      <w:tr w:rsidR="0077010A" w:rsidRPr="00794265" w:rsidTr="0077010A">
        <w:tc>
          <w:tcPr>
            <w:tcW w:w="1809" w:type="dxa"/>
          </w:tcPr>
          <w:p w:rsidR="0077010A" w:rsidRPr="00242D68" w:rsidRDefault="0077010A" w:rsidP="00C64245">
            <w:r w:rsidRPr="00242D68">
              <w:t>AST</w:t>
            </w:r>
          </w:p>
        </w:tc>
        <w:tc>
          <w:tcPr>
            <w:tcW w:w="6911" w:type="dxa"/>
          </w:tcPr>
          <w:p w:rsidR="0077010A" w:rsidRPr="00242D68" w:rsidRDefault="0077010A" w:rsidP="00C64245">
            <w:r w:rsidRPr="00242D68">
              <w:t>Aspartate aminotransferase</w:t>
            </w:r>
          </w:p>
        </w:tc>
      </w:tr>
      <w:tr w:rsidR="0077010A" w:rsidRPr="00794265" w:rsidTr="0077010A">
        <w:tc>
          <w:tcPr>
            <w:tcW w:w="1809" w:type="dxa"/>
          </w:tcPr>
          <w:p w:rsidR="0077010A" w:rsidRPr="00242D68" w:rsidRDefault="0077010A" w:rsidP="00C64245">
            <w:r w:rsidRPr="00242D68">
              <w:t>AUC</w:t>
            </w:r>
          </w:p>
        </w:tc>
        <w:tc>
          <w:tcPr>
            <w:tcW w:w="6911" w:type="dxa"/>
          </w:tcPr>
          <w:p w:rsidR="0077010A" w:rsidRPr="00242D68" w:rsidRDefault="0077010A" w:rsidP="00C64245">
            <w:r w:rsidRPr="00242D68">
              <w:t>Area Under the Curve (drug concentration-time curve)</w:t>
            </w:r>
          </w:p>
        </w:tc>
      </w:tr>
      <w:tr w:rsidR="00B359B4" w:rsidRPr="00794265" w:rsidTr="0077010A">
        <w:tc>
          <w:tcPr>
            <w:tcW w:w="1809" w:type="dxa"/>
          </w:tcPr>
          <w:p w:rsidR="00B359B4" w:rsidRPr="00242D68" w:rsidRDefault="00B359B4" w:rsidP="00C64245">
            <w:r>
              <w:t>CCP</w:t>
            </w:r>
          </w:p>
        </w:tc>
        <w:tc>
          <w:tcPr>
            <w:tcW w:w="6911" w:type="dxa"/>
          </w:tcPr>
          <w:p w:rsidR="00B359B4" w:rsidRPr="00242D68" w:rsidRDefault="00B359B4" w:rsidP="00B359B4">
            <w:r w:rsidRPr="00B359B4">
              <w:t>Cyclic</w:t>
            </w:r>
            <w:r>
              <w:t xml:space="preserve"> </w:t>
            </w:r>
            <w:proofErr w:type="spellStart"/>
            <w:r w:rsidRPr="00B359B4">
              <w:t>citrullinated</w:t>
            </w:r>
            <w:proofErr w:type="spellEnd"/>
            <w:r w:rsidRPr="00B359B4">
              <w:t xml:space="preserve"> peptide</w:t>
            </w:r>
          </w:p>
        </w:tc>
      </w:tr>
      <w:tr w:rsidR="0077010A" w:rsidRPr="00794265" w:rsidTr="0077010A">
        <w:tc>
          <w:tcPr>
            <w:tcW w:w="1809" w:type="dxa"/>
          </w:tcPr>
          <w:p w:rsidR="0077010A" w:rsidRPr="00242D68" w:rsidRDefault="0077010A" w:rsidP="00C64245">
            <w:r w:rsidRPr="00242D68">
              <w:t>CHMP</w:t>
            </w:r>
          </w:p>
        </w:tc>
        <w:tc>
          <w:tcPr>
            <w:tcW w:w="6911" w:type="dxa"/>
          </w:tcPr>
          <w:p w:rsidR="0077010A" w:rsidRPr="00242D68" w:rsidRDefault="0077010A" w:rsidP="00C64245">
            <w:r w:rsidRPr="00242D68">
              <w:t>Committee for Medicinal Products for Human Use</w:t>
            </w:r>
          </w:p>
        </w:tc>
      </w:tr>
      <w:tr w:rsidR="0077010A" w:rsidRPr="00794265" w:rsidTr="0077010A">
        <w:tc>
          <w:tcPr>
            <w:tcW w:w="1809" w:type="dxa"/>
          </w:tcPr>
          <w:p w:rsidR="0077010A" w:rsidRPr="00242D68" w:rsidRDefault="0077010A" w:rsidP="00C64245">
            <w:r w:rsidRPr="00242D68">
              <w:t>CI</w:t>
            </w:r>
          </w:p>
        </w:tc>
        <w:tc>
          <w:tcPr>
            <w:tcW w:w="6911" w:type="dxa"/>
          </w:tcPr>
          <w:p w:rsidR="0077010A" w:rsidRPr="00242D68" w:rsidRDefault="0077010A" w:rsidP="00C64245">
            <w:r w:rsidRPr="00242D68">
              <w:t>Confidence interval</w:t>
            </w:r>
          </w:p>
        </w:tc>
      </w:tr>
      <w:tr w:rsidR="0077010A" w:rsidRPr="00794265" w:rsidTr="0077010A">
        <w:tc>
          <w:tcPr>
            <w:tcW w:w="1809" w:type="dxa"/>
          </w:tcPr>
          <w:p w:rsidR="0077010A" w:rsidRPr="00242D68" w:rsidRDefault="0077010A" w:rsidP="00C64245">
            <w:r w:rsidRPr="00242D68">
              <w:t>CMI</w:t>
            </w:r>
          </w:p>
        </w:tc>
        <w:tc>
          <w:tcPr>
            <w:tcW w:w="6911" w:type="dxa"/>
          </w:tcPr>
          <w:p w:rsidR="0077010A" w:rsidRPr="00242D68" w:rsidRDefault="0077010A" w:rsidP="00C64245">
            <w:r w:rsidRPr="00242D68">
              <w:t>Consumer Medicine Information</w:t>
            </w:r>
          </w:p>
        </w:tc>
      </w:tr>
      <w:tr w:rsidR="0077010A" w:rsidRPr="00794265" w:rsidTr="0077010A">
        <w:tc>
          <w:tcPr>
            <w:tcW w:w="1809" w:type="dxa"/>
          </w:tcPr>
          <w:p w:rsidR="0077010A" w:rsidRPr="00242D68" w:rsidRDefault="0077010A" w:rsidP="00C64245">
            <w:r w:rsidRPr="00242D68">
              <w:t>Cmax</w:t>
            </w:r>
          </w:p>
        </w:tc>
        <w:tc>
          <w:tcPr>
            <w:tcW w:w="6911" w:type="dxa"/>
          </w:tcPr>
          <w:p w:rsidR="0077010A" w:rsidRPr="00242D68" w:rsidRDefault="0077010A" w:rsidP="00C64245">
            <w:r w:rsidRPr="00242D68">
              <w:t>Maximum concentration</w:t>
            </w:r>
          </w:p>
        </w:tc>
      </w:tr>
      <w:tr w:rsidR="0077010A" w:rsidRPr="00794265" w:rsidTr="0077010A">
        <w:tc>
          <w:tcPr>
            <w:tcW w:w="1809" w:type="dxa"/>
          </w:tcPr>
          <w:p w:rsidR="0077010A" w:rsidRPr="00242D68" w:rsidRDefault="0077010A" w:rsidP="00C64245">
            <w:proofErr w:type="spellStart"/>
            <w:r w:rsidRPr="00242D68">
              <w:t>CrCL</w:t>
            </w:r>
            <w:proofErr w:type="spellEnd"/>
          </w:p>
        </w:tc>
        <w:tc>
          <w:tcPr>
            <w:tcW w:w="6911" w:type="dxa"/>
          </w:tcPr>
          <w:p w:rsidR="0077010A" w:rsidRPr="00242D68" w:rsidRDefault="0077010A" w:rsidP="00C64245">
            <w:r w:rsidRPr="00242D68">
              <w:t>Creatinine clearance</w:t>
            </w:r>
          </w:p>
        </w:tc>
      </w:tr>
      <w:tr w:rsidR="0077010A" w:rsidRPr="00794265" w:rsidTr="0077010A">
        <w:tc>
          <w:tcPr>
            <w:tcW w:w="1809" w:type="dxa"/>
          </w:tcPr>
          <w:p w:rsidR="0077010A" w:rsidRPr="00242D68" w:rsidRDefault="0077010A" w:rsidP="00C64245">
            <w:r w:rsidRPr="00242D68">
              <w:t>CRP</w:t>
            </w:r>
          </w:p>
        </w:tc>
        <w:tc>
          <w:tcPr>
            <w:tcW w:w="6911" w:type="dxa"/>
          </w:tcPr>
          <w:p w:rsidR="0077010A" w:rsidRPr="00242D68" w:rsidRDefault="0077010A" w:rsidP="00C64245">
            <w:r w:rsidRPr="00242D68">
              <w:t>C-reactive protein</w:t>
            </w:r>
          </w:p>
        </w:tc>
      </w:tr>
      <w:tr w:rsidR="0077010A" w:rsidRPr="00794265" w:rsidTr="0077010A">
        <w:tc>
          <w:tcPr>
            <w:tcW w:w="1809" w:type="dxa"/>
          </w:tcPr>
          <w:p w:rsidR="0077010A" w:rsidRPr="00242D68" w:rsidRDefault="0077010A" w:rsidP="00C64245">
            <w:r w:rsidRPr="00242D68">
              <w:t>CSR</w:t>
            </w:r>
          </w:p>
        </w:tc>
        <w:tc>
          <w:tcPr>
            <w:tcW w:w="6911" w:type="dxa"/>
          </w:tcPr>
          <w:p w:rsidR="0077010A" w:rsidRPr="00242D68" w:rsidRDefault="0077010A" w:rsidP="00C64245">
            <w:r w:rsidRPr="00242D68">
              <w:t>Clinical Study Report</w:t>
            </w:r>
          </w:p>
        </w:tc>
      </w:tr>
      <w:tr w:rsidR="0077010A" w:rsidRPr="00794265" w:rsidTr="0077010A">
        <w:tc>
          <w:tcPr>
            <w:tcW w:w="1809" w:type="dxa"/>
          </w:tcPr>
          <w:p w:rsidR="0077010A" w:rsidRPr="00242D68" w:rsidRDefault="0077010A" w:rsidP="00C64245">
            <w:r w:rsidRPr="00242D68">
              <w:t>CTC</w:t>
            </w:r>
          </w:p>
        </w:tc>
        <w:tc>
          <w:tcPr>
            <w:tcW w:w="6911" w:type="dxa"/>
          </w:tcPr>
          <w:p w:rsidR="0077010A" w:rsidRPr="00242D68" w:rsidRDefault="0077010A" w:rsidP="00C64245">
            <w:r w:rsidRPr="00242D68">
              <w:t>Common Toxicity Criteria</w:t>
            </w:r>
          </w:p>
        </w:tc>
      </w:tr>
      <w:tr w:rsidR="0077010A" w:rsidRPr="00794265" w:rsidTr="0077010A">
        <w:tc>
          <w:tcPr>
            <w:tcW w:w="1809" w:type="dxa"/>
          </w:tcPr>
          <w:p w:rsidR="0077010A" w:rsidRPr="00242D68" w:rsidRDefault="0077010A" w:rsidP="00C64245">
            <w:r w:rsidRPr="00242D68">
              <w:t>CYP450</w:t>
            </w:r>
          </w:p>
        </w:tc>
        <w:tc>
          <w:tcPr>
            <w:tcW w:w="6911" w:type="dxa"/>
          </w:tcPr>
          <w:p w:rsidR="0077010A" w:rsidRPr="00242D68" w:rsidRDefault="0077010A" w:rsidP="00C64245">
            <w:r w:rsidRPr="00242D68">
              <w:t>Cytochrome P450</w:t>
            </w:r>
          </w:p>
        </w:tc>
      </w:tr>
      <w:tr w:rsidR="00B632DB" w:rsidRPr="00794265" w:rsidTr="0077010A">
        <w:tc>
          <w:tcPr>
            <w:tcW w:w="1809" w:type="dxa"/>
          </w:tcPr>
          <w:p w:rsidR="00B632DB" w:rsidRPr="00242D68" w:rsidRDefault="00B632DB" w:rsidP="00C64245">
            <w:r>
              <w:t>DAS28</w:t>
            </w:r>
          </w:p>
        </w:tc>
        <w:tc>
          <w:tcPr>
            <w:tcW w:w="6911" w:type="dxa"/>
          </w:tcPr>
          <w:p w:rsidR="00B632DB" w:rsidRPr="00242D68" w:rsidRDefault="00B632DB" w:rsidP="00C64245">
            <w:r w:rsidRPr="00B632DB">
              <w:t>Disease Activity Score 28</w:t>
            </w:r>
          </w:p>
        </w:tc>
      </w:tr>
      <w:tr w:rsidR="0077010A" w:rsidRPr="00794265" w:rsidTr="0077010A">
        <w:tc>
          <w:tcPr>
            <w:tcW w:w="1809" w:type="dxa"/>
          </w:tcPr>
          <w:p w:rsidR="0077010A" w:rsidRPr="00242D68" w:rsidRDefault="0077010A" w:rsidP="00C64245">
            <w:r w:rsidRPr="00242D68">
              <w:t>DMARD</w:t>
            </w:r>
          </w:p>
        </w:tc>
        <w:tc>
          <w:tcPr>
            <w:tcW w:w="6911" w:type="dxa"/>
          </w:tcPr>
          <w:p w:rsidR="0077010A" w:rsidRPr="00242D68" w:rsidRDefault="0077010A" w:rsidP="00C64245">
            <w:r w:rsidRPr="00242D68">
              <w:t>Disease Modifying Anti-Rheumatic Drug</w:t>
            </w:r>
          </w:p>
        </w:tc>
      </w:tr>
      <w:tr w:rsidR="0077010A" w:rsidRPr="00794265" w:rsidTr="0077010A">
        <w:tc>
          <w:tcPr>
            <w:tcW w:w="1809" w:type="dxa"/>
          </w:tcPr>
          <w:p w:rsidR="0077010A" w:rsidRPr="00242D68" w:rsidRDefault="0077010A" w:rsidP="00C64245">
            <w:r w:rsidRPr="00242D68">
              <w:t>EMA</w:t>
            </w:r>
          </w:p>
        </w:tc>
        <w:tc>
          <w:tcPr>
            <w:tcW w:w="6911" w:type="dxa"/>
          </w:tcPr>
          <w:p w:rsidR="0077010A" w:rsidRPr="00242D68" w:rsidRDefault="0077010A" w:rsidP="00C64245">
            <w:r w:rsidRPr="00242D68">
              <w:t>The European Agency for the Evaluation of Medicinal Products</w:t>
            </w:r>
          </w:p>
        </w:tc>
      </w:tr>
      <w:tr w:rsidR="0077010A" w:rsidRPr="00794265" w:rsidTr="0077010A">
        <w:tc>
          <w:tcPr>
            <w:tcW w:w="1809" w:type="dxa"/>
          </w:tcPr>
          <w:p w:rsidR="0077010A" w:rsidRPr="00242D68" w:rsidRDefault="0077010A" w:rsidP="00C64245">
            <w:r w:rsidRPr="00242D68">
              <w:t>ESR</w:t>
            </w:r>
          </w:p>
        </w:tc>
        <w:tc>
          <w:tcPr>
            <w:tcW w:w="6911" w:type="dxa"/>
          </w:tcPr>
          <w:p w:rsidR="0077010A" w:rsidRPr="00242D68" w:rsidRDefault="0077010A" w:rsidP="00C64245">
            <w:r w:rsidRPr="00242D68">
              <w:t>Erythrocyte sedimentation rate</w:t>
            </w:r>
          </w:p>
        </w:tc>
      </w:tr>
      <w:tr w:rsidR="00B632DB" w:rsidRPr="00794265" w:rsidTr="0077010A">
        <w:tc>
          <w:tcPr>
            <w:tcW w:w="1809" w:type="dxa"/>
          </w:tcPr>
          <w:p w:rsidR="00B632DB" w:rsidRPr="00242D68" w:rsidRDefault="00B632DB" w:rsidP="00C64245">
            <w:r>
              <w:t>EULAR</w:t>
            </w:r>
          </w:p>
        </w:tc>
        <w:tc>
          <w:tcPr>
            <w:tcW w:w="6911" w:type="dxa"/>
          </w:tcPr>
          <w:p w:rsidR="00B632DB" w:rsidRPr="00242D68" w:rsidRDefault="00B632DB" w:rsidP="00C64245">
            <w:r w:rsidRPr="00B632DB">
              <w:t>European League Against Rheumatism</w:t>
            </w:r>
          </w:p>
        </w:tc>
      </w:tr>
      <w:tr w:rsidR="0077010A" w:rsidRPr="00794265" w:rsidTr="0077010A">
        <w:tc>
          <w:tcPr>
            <w:tcW w:w="1809" w:type="dxa"/>
          </w:tcPr>
          <w:p w:rsidR="0077010A" w:rsidRPr="00242D68" w:rsidRDefault="0077010A" w:rsidP="00C64245">
            <w:r w:rsidRPr="00242D68">
              <w:lastRenderedPageBreak/>
              <w:t>FDA</w:t>
            </w:r>
          </w:p>
        </w:tc>
        <w:tc>
          <w:tcPr>
            <w:tcW w:w="6911" w:type="dxa"/>
          </w:tcPr>
          <w:p w:rsidR="0077010A" w:rsidRPr="00242D68" w:rsidRDefault="0077010A" w:rsidP="00C64245">
            <w:r w:rsidRPr="00242D68">
              <w:t>Food and Drug Administration</w:t>
            </w:r>
          </w:p>
        </w:tc>
      </w:tr>
      <w:tr w:rsidR="0077010A" w:rsidRPr="00794265" w:rsidTr="0077010A">
        <w:tc>
          <w:tcPr>
            <w:tcW w:w="1809" w:type="dxa"/>
          </w:tcPr>
          <w:p w:rsidR="0077010A" w:rsidRPr="00242D68" w:rsidRDefault="0077010A" w:rsidP="00C64245">
            <w:r w:rsidRPr="00242D68">
              <w:t>HAQ</w:t>
            </w:r>
          </w:p>
        </w:tc>
        <w:tc>
          <w:tcPr>
            <w:tcW w:w="6911" w:type="dxa"/>
          </w:tcPr>
          <w:p w:rsidR="0077010A" w:rsidRPr="00242D68" w:rsidRDefault="0077010A" w:rsidP="00C64245">
            <w:r w:rsidRPr="00242D68">
              <w:t>Health Assessment Questionnaire</w:t>
            </w:r>
          </w:p>
        </w:tc>
      </w:tr>
      <w:tr w:rsidR="0077010A" w:rsidRPr="00794265" w:rsidTr="0077010A">
        <w:tc>
          <w:tcPr>
            <w:tcW w:w="1809" w:type="dxa"/>
          </w:tcPr>
          <w:p w:rsidR="0077010A" w:rsidRPr="00242D68" w:rsidRDefault="0077010A" w:rsidP="00C64245">
            <w:r w:rsidRPr="00242D68">
              <w:t>IL-6</w:t>
            </w:r>
          </w:p>
        </w:tc>
        <w:tc>
          <w:tcPr>
            <w:tcW w:w="6911" w:type="dxa"/>
          </w:tcPr>
          <w:p w:rsidR="0077010A" w:rsidRPr="00242D68" w:rsidRDefault="0077010A" w:rsidP="00C64245">
            <w:r w:rsidRPr="00242D68">
              <w:t>Interleukin-6</w:t>
            </w:r>
          </w:p>
        </w:tc>
      </w:tr>
      <w:tr w:rsidR="0077010A" w:rsidRPr="00794265" w:rsidTr="0077010A">
        <w:tc>
          <w:tcPr>
            <w:tcW w:w="1809" w:type="dxa"/>
          </w:tcPr>
          <w:p w:rsidR="0077010A" w:rsidRPr="00242D68" w:rsidRDefault="0077010A" w:rsidP="00C64245">
            <w:r w:rsidRPr="00242D68">
              <w:t>IL-6R</w:t>
            </w:r>
          </w:p>
        </w:tc>
        <w:tc>
          <w:tcPr>
            <w:tcW w:w="6911" w:type="dxa"/>
          </w:tcPr>
          <w:p w:rsidR="0077010A" w:rsidRPr="00242D68" w:rsidRDefault="0077010A" w:rsidP="00C64245">
            <w:r w:rsidRPr="00242D68">
              <w:t>Interleukin-6 receptor</w:t>
            </w:r>
          </w:p>
        </w:tc>
      </w:tr>
      <w:tr w:rsidR="00164178" w:rsidRPr="00794265" w:rsidTr="0077010A">
        <w:tc>
          <w:tcPr>
            <w:tcW w:w="1809" w:type="dxa"/>
          </w:tcPr>
          <w:p w:rsidR="00164178" w:rsidRPr="00242D68" w:rsidRDefault="00164178" w:rsidP="00C64245">
            <w:r>
              <w:t>IR</w:t>
            </w:r>
          </w:p>
        </w:tc>
        <w:tc>
          <w:tcPr>
            <w:tcW w:w="6911" w:type="dxa"/>
          </w:tcPr>
          <w:p w:rsidR="00164178" w:rsidRPr="00242D68" w:rsidRDefault="00164178" w:rsidP="00C64245">
            <w:r w:rsidRPr="00164178">
              <w:t>inadequate responder</w:t>
            </w:r>
          </w:p>
        </w:tc>
      </w:tr>
      <w:tr w:rsidR="0077010A" w:rsidRPr="00794265" w:rsidTr="0077010A">
        <w:tc>
          <w:tcPr>
            <w:tcW w:w="1809" w:type="dxa"/>
          </w:tcPr>
          <w:p w:rsidR="0077010A" w:rsidRPr="00242D68" w:rsidRDefault="0077010A" w:rsidP="00C64245">
            <w:r w:rsidRPr="00242D68">
              <w:t>IV</w:t>
            </w:r>
          </w:p>
        </w:tc>
        <w:tc>
          <w:tcPr>
            <w:tcW w:w="6911" w:type="dxa"/>
          </w:tcPr>
          <w:p w:rsidR="0077010A" w:rsidRPr="00242D68" w:rsidRDefault="0077010A" w:rsidP="00C64245">
            <w:r w:rsidRPr="00242D68">
              <w:t>Intravenous</w:t>
            </w:r>
          </w:p>
        </w:tc>
      </w:tr>
      <w:tr w:rsidR="0077010A" w:rsidRPr="00794265" w:rsidTr="0077010A">
        <w:tc>
          <w:tcPr>
            <w:tcW w:w="1809" w:type="dxa"/>
          </w:tcPr>
          <w:p w:rsidR="0077010A" w:rsidRPr="00242D68" w:rsidRDefault="0077010A" w:rsidP="00C64245">
            <w:r w:rsidRPr="00242D68">
              <w:t>LFT</w:t>
            </w:r>
          </w:p>
        </w:tc>
        <w:tc>
          <w:tcPr>
            <w:tcW w:w="6911" w:type="dxa"/>
          </w:tcPr>
          <w:p w:rsidR="0077010A" w:rsidRPr="00242D68" w:rsidRDefault="0077010A" w:rsidP="00C64245">
            <w:r w:rsidRPr="00242D68">
              <w:t>Liver function test</w:t>
            </w:r>
          </w:p>
        </w:tc>
      </w:tr>
      <w:tr w:rsidR="0077010A" w:rsidRPr="00794265" w:rsidTr="0077010A">
        <w:tc>
          <w:tcPr>
            <w:tcW w:w="1809" w:type="dxa"/>
          </w:tcPr>
          <w:p w:rsidR="0077010A" w:rsidRPr="00242D68" w:rsidRDefault="0077010A" w:rsidP="00C64245">
            <w:r w:rsidRPr="00242D68">
              <w:t>MTX</w:t>
            </w:r>
          </w:p>
        </w:tc>
        <w:tc>
          <w:tcPr>
            <w:tcW w:w="6911" w:type="dxa"/>
          </w:tcPr>
          <w:p w:rsidR="0077010A" w:rsidRPr="00242D68" w:rsidRDefault="0077010A" w:rsidP="00C64245">
            <w:r w:rsidRPr="00242D68">
              <w:t>Methotrexate</w:t>
            </w:r>
          </w:p>
        </w:tc>
      </w:tr>
      <w:tr w:rsidR="0077010A" w:rsidRPr="00794265" w:rsidTr="0077010A">
        <w:tc>
          <w:tcPr>
            <w:tcW w:w="1809" w:type="dxa"/>
          </w:tcPr>
          <w:p w:rsidR="0077010A" w:rsidRPr="00242D68" w:rsidRDefault="0077010A" w:rsidP="00C64245">
            <w:r w:rsidRPr="00242D68">
              <w:t>NSAID</w:t>
            </w:r>
          </w:p>
        </w:tc>
        <w:tc>
          <w:tcPr>
            <w:tcW w:w="6911" w:type="dxa"/>
          </w:tcPr>
          <w:p w:rsidR="0077010A" w:rsidRPr="00242D68" w:rsidRDefault="0077010A" w:rsidP="00C64245">
            <w:r w:rsidRPr="00242D68">
              <w:t>Non-steroidal anti-inflammatory drug</w:t>
            </w:r>
          </w:p>
        </w:tc>
      </w:tr>
      <w:tr w:rsidR="0077010A" w:rsidRPr="00794265" w:rsidTr="0077010A">
        <w:tc>
          <w:tcPr>
            <w:tcW w:w="1809" w:type="dxa"/>
          </w:tcPr>
          <w:p w:rsidR="0077010A" w:rsidRPr="00242D68" w:rsidRDefault="0077010A" w:rsidP="00C64245">
            <w:r w:rsidRPr="00242D68">
              <w:t>PD</w:t>
            </w:r>
          </w:p>
        </w:tc>
        <w:tc>
          <w:tcPr>
            <w:tcW w:w="6911" w:type="dxa"/>
          </w:tcPr>
          <w:p w:rsidR="0077010A" w:rsidRPr="00242D68" w:rsidRDefault="0077010A" w:rsidP="00C64245">
            <w:r w:rsidRPr="00242D68">
              <w:t>Pharmacodynamics</w:t>
            </w:r>
          </w:p>
        </w:tc>
      </w:tr>
      <w:tr w:rsidR="0077010A" w:rsidRPr="00794265" w:rsidTr="0077010A">
        <w:tc>
          <w:tcPr>
            <w:tcW w:w="1809" w:type="dxa"/>
          </w:tcPr>
          <w:p w:rsidR="0077010A" w:rsidRPr="00242D68" w:rsidRDefault="0077010A" w:rsidP="00C64245">
            <w:r w:rsidRPr="00242D68">
              <w:t>PI</w:t>
            </w:r>
          </w:p>
        </w:tc>
        <w:tc>
          <w:tcPr>
            <w:tcW w:w="6911" w:type="dxa"/>
          </w:tcPr>
          <w:p w:rsidR="0077010A" w:rsidRPr="00242D68" w:rsidRDefault="0077010A" w:rsidP="00C64245">
            <w:r w:rsidRPr="00242D68">
              <w:t>Product Information</w:t>
            </w:r>
          </w:p>
        </w:tc>
      </w:tr>
      <w:tr w:rsidR="0077010A" w:rsidRPr="00794265" w:rsidTr="0077010A">
        <w:tc>
          <w:tcPr>
            <w:tcW w:w="1809" w:type="dxa"/>
          </w:tcPr>
          <w:p w:rsidR="0077010A" w:rsidRPr="00242D68" w:rsidRDefault="0077010A" w:rsidP="00C64245">
            <w:proofErr w:type="spellStart"/>
            <w:r w:rsidRPr="00242D68">
              <w:t>pJIA</w:t>
            </w:r>
            <w:proofErr w:type="spellEnd"/>
          </w:p>
        </w:tc>
        <w:tc>
          <w:tcPr>
            <w:tcW w:w="6911" w:type="dxa"/>
          </w:tcPr>
          <w:p w:rsidR="0077010A" w:rsidRPr="00242D68" w:rsidRDefault="0077010A" w:rsidP="00C64245">
            <w:proofErr w:type="spellStart"/>
            <w:r w:rsidRPr="00242D68">
              <w:t>Polyarticular</w:t>
            </w:r>
            <w:proofErr w:type="spellEnd"/>
            <w:r w:rsidRPr="00242D68">
              <w:t xml:space="preserve"> juvenile idiopathic arthritis</w:t>
            </w:r>
          </w:p>
        </w:tc>
      </w:tr>
      <w:tr w:rsidR="0077010A" w:rsidRPr="00794265" w:rsidTr="0077010A">
        <w:tc>
          <w:tcPr>
            <w:tcW w:w="1809" w:type="dxa"/>
          </w:tcPr>
          <w:p w:rsidR="0077010A" w:rsidRPr="00242D68" w:rsidRDefault="0077010A" w:rsidP="00C64245">
            <w:r w:rsidRPr="00242D68">
              <w:t>PK</w:t>
            </w:r>
          </w:p>
        </w:tc>
        <w:tc>
          <w:tcPr>
            <w:tcW w:w="6911" w:type="dxa"/>
          </w:tcPr>
          <w:p w:rsidR="0077010A" w:rsidRPr="00242D68" w:rsidRDefault="0077010A" w:rsidP="00C64245">
            <w:r w:rsidRPr="00242D68">
              <w:t>Pharmacokinetics</w:t>
            </w:r>
          </w:p>
        </w:tc>
      </w:tr>
      <w:tr w:rsidR="0077010A" w:rsidRPr="00794265" w:rsidTr="0077010A">
        <w:tc>
          <w:tcPr>
            <w:tcW w:w="1809" w:type="dxa"/>
          </w:tcPr>
          <w:p w:rsidR="0077010A" w:rsidRPr="00242D68" w:rsidRDefault="0077010A" w:rsidP="00C64245">
            <w:r w:rsidRPr="00242D68">
              <w:t>PMS</w:t>
            </w:r>
          </w:p>
        </w:tc>
        <w:tc>
          <w:tcPr>
            <w:tcW w:w="6911" w:type="dxa"/>
          </w:tcPr>
          <w:p w:rsidR="0077010A" w:rsidRPr="00242D68" w:rsidRDefault="0077010A" w:rsidP="00C64245">
            <w:r w:rsidRPr="00242D68">
              <w:t>Post-Marketing Surveillance</w:t>
            </w:r>
          </w:p>
        </w:tc>
      </w:tr>
      <w:tr w:rsidR="0077010A" w:rsidRPr="00794265" w:rsidTr="0077010A">
        <w:tc>
          <w:tcPr>
            <w:tcW w:w="1809" w:type="dxa"/>
          </w:tcPr>
          <w:p w:rsidR="0077010A" w:rsidRPr="00242D68" w:rsidRDefault="0077010A" w:rsidP="00C64245">
            <w:r w:rsidRPr="00242D68">
              <w:t>PP</w:t>
            </w:r>
          </w:p>
        </w:tc>
        <w:tc>
          <w:tcPr>
            <w:tcW w:w="6911" w:type="dxa"/>
          </w:tcPr>
          <w:p w:rsidR="0077010A" w:rsidRPr="00242D68" w:rsidRDefault="0077010A" w:rsidP="00C64245">
            <w:r w:rsidRPr="00242D68">
              <w:t>Per protocol</w:t>
            </w:r>
          </w:p>
        </w:tc>
      </w:tr>
      <w:tr w:rsidR="0077010A" w:rsidRPr="00794265" w:rsidTr="0077010A">
        <w:tc>
          <w:tcPr>
            <w:tcW w:w="1809" w:type="dxa"/>
          </w:tcPr>
          <w:p w:rsidR="0077010A" w:rsidRPr="00242D68" w:rsidRDefault="0077010A" w:rsidP="00C64245">
            <w:r w:rsidRPr="00242D68">
              <w:t>PSUR</w:t>
            </w:r>
          </w:p>
        </w:tc>
        <w:tc>
          <w:tcPr>
            <w:tcW w:w="6911" w:type="dxa"/>
          </w:tcPr>
          <w:p w:rsidR="0077010A" w:rsidRPr="00242D68" w:rsidRDefault="0077010A" w:rsidP="00C64245">
            <w:r w:rsidRPr="00242D68">
              <w:t>Periodic Safety Update Report</w:t>
            </w:r>
          </w:p>
        </w:tc>
      </w:tr>
      <w:tr w:rsidR="0077010A" w:rsidRPr="00794265" w:rsidTr="0077010A">
        <w:tc>
          <w:tcPr>
            <w:tcW w:w="1809" w:type="dxa"/>
          </w:tcPr>
          <w:p w:rsidR="0077010A" w:rsidRPr="00242D68" w:rsidRDefault="0077010A" w:rsidP="00C64245">
            <w:r w:rsidRPr="00242D68">
              <w:t>PY</w:t>
            </w:r>
          </w:p>
        </w:tc>
        <w:tc>
          <w:tcPr>
            <w:tcW w:w="6911" w:type="dxa"/>
          </w:tcPr>
          <w:p w:rsidR="0077010A" w:rsidRPr="00242D68" w:rsidRDefault="0077010A" w:rsidP="00C64245">
            <w:r w:rsidRPr="00242D68">
              <w:t>Patient-years</w:t>
            </w:r>
            <w:r w:rsidR="008C562E">
              <w:t>/person-years</w:t>
            </w:r>
          </w:p>
        </w:tc>
      </w:tr>
      <w:tr w:rsidR="0077010A" w:rsidRPr="00794265" w:rsidTr="0077010A">
        <w:tc>
          <w:tcPr>
            <w:tcW w:w="1809" w:type="dxa"/>
          </w:tcPr>
          <w:p w:rsidR="0077010A" w:rsidRPr="00242D68" w:rsidRDefault="0077010A" w:rsidP="00C64245">
            <w:r w:rsidRPr="00242D68">
              <w:t>RA</w:t>
            </w:r>
          </w:p>
        </w:tc>
        <w:tc>
          <w:tcPr>
            <w:tcW w:w="6911" w:type="dxa"/>
          </w:tcPr>
          <w:p w:rsidR="0077010A" w:rsidRPr="00242D68" w:rsidRDefault="0077010A" w:rsidP="00C64245">
            <w:r w:rsidRPr="00242D68">
              <w:t>Rheumatoid arthritis</w:t>
            </w:r>
          </w:p>
        </w:tc>
      </w:tr>
      <w:tr w:rsidR="000D1607" w:rsidRPr="00794265" w:rsidTr="0077010A">
        <w:tc>
          <w:tcPr>
            <w:tcW w:w="1809" w:type="dxa"/>
          </w:tcPr>
          <w:p w:rsidR="000D1607" w:rsidRPr="00242D68" w:rsidRDefault="000D1607" w:rsidP="00C64245">
            <w:r>
              <w:t>RF</w:t>
            </w:r>
          </w:p>
        </w:tc>
        <w:tc>
          <w:tcPr>
            <w:tcW w:w="6911" w:type="dxa"/>
          </w:tcPr>
          <w:p w:rsidR="000D1607" w:rsidRPr="00242D68" w:rsidRDefault="000D1607" w:rsidP="000D1607">
            <w:r>
              <w:t>Rheumatoid factor</w:t>
            </w:r>
          </w:p>
        </w:tc>
      </w:tr>
      <w:tr w:rsidR="0077010A" w:rsidRPr="00794265" w:rsidTr="0077010A">
        <w:tc>
          <w:tcPr>
            <w:tcW w:w="1809" w:type="dxa"/>
          </w:tcPr>
          <w:p w:rsidR="0077010A" w:rsidRPr="00242D68" w:rsidRDefault="0077010A" w:rsidP="00C64245">
            <w:r w:rsidRPr="00242D68">
              <w:t>RMP</w:t>
            </w:r>
          </w:p>
        </w:tc>
        <w:tc>
          <w:tcPr>
            <w:tcW w:w="6911" w:type="dxa"/>
          </w:tcPr>
          <w:p w:rsidR="0077010A" w:rsidRPr="00242D68" w:rsidRDefault="0077010A" w:rsidP="00C64245">
            <w:r w:rsidRPr="00242D68">
              <w:t>Risk Management Plan</w:t>
            </w:r>
          </w:p>
        </w:tc>
      </w:tr>
      <w:tr w:rsidR="0077010A" w:rsidRPr="00794265" w:rsidTr="0077010A">
        <w:tc>
          <w:tcPr>
            <w:tcW w:w="1809" w:type="dxa"/>
          </w:tcPr>
          <w:p w:rsidR="0077010A" w:rsidRPr="00242D68" w:rsidRDefault="0077010A" w:rsidP="00C64245">
            <w:r w:rsidRPr="00242D68">
              <w:t>RR</w:t>
            </w:r>
          </w:p>
        </w:tc>
        <w:tc>
          <w:tcPr>
            <w:tcW w:w="6911" w:type="dxa"/>
          </w:tcPr>
          <w:p w:rsidR="0077010A" w:rsidRPr="00242D68" w:rsidRDefault="0077010A" w:rsidP="00C64245">
            <w:r w:rsidRPr="00242D68">
              <w:t>Relative risk</w:t>
            </w:r>
          </w:p>
        </w:tc>
      </w:tr>
      <w:tr w:rsidR="0077010A" w:rsidRPr="00794265" w:rsidTr="0077010A">
        <w:tc>
          <w:tcPr>
            <w:tcW w:w="1809" w:type="dxa"/>
          </w:tcPr>
          <w:p w:rsidR="0077010A" w:rsidRPr="00242D68" w:rsidRDefault="0077010A" w:rsidP="00C64245">
            <w:r w:rsidRPr="00242D68">
              <w:t>SAE</w:t>
            </w:r>
          </w:p>
        </w:tc>
        <w:tc>
          <w:tcPr>
            <w:tcW w:w="6911" w:type="dxa"/>
          </w:tcPr>
          <w:p w:rsidR="0077010A" w:rsidRPr="00242D68" w:rsidRDefault="0077010A" w:rsidP="00C64245">
            <w:r w:rsidRPr="00242D68">
              <w:t>Serious adverse event</w:t>
            </w:r>
          </w:p>
        </w:tc>
      </w:tr>
      <w:tr w:rsidR="0077010A" w:rsidRPr="00794265" w:rsidTr="0077010A">
        <w:tc>
          <w:tcPr>
            <w:tcW w:w="1809" w:type="dxa"/>
          </w:tcPr>
          <w:p w:rsidR="0077010A" w:rsidRPr="00242D68" w:rsidRDefault="0077010A" w:rsidP="00C64245">
            <w:r w:rsidRPr="00242D68">
              <w:t>SC</w:t>
            </w:r>
          </w:p>
        </w:tc>
        <w:tc>
          <w:tcPr>
            <w:tcW w:w="6911" w:type="dxa"/>
          </w:tcPr>
          <w:p w:rsidR="0077010A" w:rsidRPr="00242D68" w:rsidRDefault="0077010A" w:rsidP="00C64245">
            <w:r w:rsidRPr="00242D68">
              <w:t>Subcutaneous</w:t>
            </w:r>
          </w:p>
        </w:tc>
      </w:tr>
      <w:tr w:rsidR="0077010A" w:rsidRPr="00794265" w:rsidTr="0077010A">
        <w:tc>
          <w:tcPr>
            <w:tcW w:w="1809" w:type="dxa"/>
          </w:tcPr>
          <w:p w:rsidR="0077010A" w:rsidRPr="00242D68" w:rsidRDefault="0077010A" w:rsidP="00C64245">
            <w:r w:rsidRPr="00242D68">
              <w:t>SJC</w:t>
            </w:r>
          </w:p>
        </w:tc>
        <w:tc>
          <w:tcPr>
            <w:tcW w:w="6911" w:type="dxa"/>
          </w:tcPr>
          <w:p w:rsidR="0077010A" w:rsidRPr="00242D68" w:rsidRDefault="0077010A" w:rsidP="00C64245">
            <w:r w:rsidRPr="00242D68">
              <w:t>Swollen joint count</w:t>
            </w:r>
          </w:p>
        </w:tc>
      </w:tr>
      <w:tr w:rsidR="0077010A" w:rsidRPr="00794265" w:rsidTr="0077010A">
        <w:tc>
          <w:tcPr>
            <w:tcW w:w="1809" w:type="dxa"/>
          </w:tcPr>
          <w:p w:rsidR="0077010A" w:rsidRPr="00242D68" w:rsidRDefault="0077010A" w:rsidP="00C64245">
            <w:proofErr w:type="spellStart"/>
            <w:r w:rsidRPr="00242D68">
              <w:t>sJIA</w:t>
            </w:r>
            <w:proofErr w:type="spellEnd"/>
          </w:p>
        </w:tc>
        <w:tc>
          <w:tcPr>
            <w:tcW w:w="6911" w:type="dxa"/>
          </w:tcPr>
          <w:p w:rsidR="0077010A" w:rsidRPr="00242D68" w:rsidRDefault="0077010A" w:rsidP="00C64245">
            <w:r w:rsidRPr="00242D68">
              <w:t>Systemic onset juvenile idiopathic arthritis</w:t>
            </w:r>
          </w:p>
        </w:tc>
      </w:tr>
      <w:tr w:rsidR="0077010A" w:rsidRPr="00794265" w:rsidTr="0077010A">
        <w:tc>
          <w:tcPr>
            <w:tcW w:w="1809" w:type="dxa"/>
          </w:tcPr>
          <w:p w:rsidR="0077010A" w:rsidRPr="00242D68" w:rsidRDefault="0077010A" w:rsidP="00C64245">
            <w:r w:rsidRPr="00242D68">
              <w:t>SPC</w:t>
            </w:r>
          </w:p>
        </w:tc>
        <w:tc>
          <w:tcPr>
            <w:tcW w:w="6911" w:type="dxa"/>
          </w:tcPr>
          <w:p w:rsidR="0077010A" w:rsidRPr="00242D68" w:rsidRDefault="0077010A" w:rsidP="00C64245">
            <w:r w:rsidRPr="00242D68">
              <w:t>Summary of Product Characteristics</w:t>
            </w:r>
          </w:p>
        </w:tc>
      </w:tr>
      <w:tr w:rsidR="0077010A" w:rsidRPr="00794265" w:rsidTr="0077010A">
        <w:tc>
          <w:tcPr>
            <w:tcW w:w="1809" w:type="dxa"/>
          </w:tcPr>
          <w:p w:rsidR="0077010A" w:rsidRPr="00242D68" w:rsidRDefault="0077010A" w:rsidP="00C64245">
            <w:r w:rsidRPr="00242D68">
              <w:lastRenderedPageBreak/>
              <w:t>TCZ</w:t>
            </w:r>
          </w:p>
        </w:tc>
        <w:tc>
          <w:tcPr>
            <w:tcW w:w="6911" w:type="dxa"/>
          </w:tcPr>
          <w:p w:rsidR="0077010A" w:rsidRPr="00242D68" w:rsidRDefault="0077010A" w:rsidP="00C64245">
            <w:r w:rsidRPr="00242D68">
              <w:t xml:space="preserve">Tocilizumab </w:t>
            </w:r>
          </w:p>
        </w:tc>
      </w:tr>
      <w:tr w:rsidR="0077010A" w:rsidRPr="00794265" w:rsidTr="0077010A">
        <w:tc>
          <w:tcPr>
            <w:tcW w:w="1809" w:type="dxa"/>
          </w:tcPr>
          <w:p w:rsidR="0077010A" w:rsidRPr="00242D68" w:rsidRDefault="0077010A" w:rsidP="00C64245">
            <w:r w:rsidRPr="00242D68">
              <w:t>TEAE</w:t>
            </w:r>
          </w:p>
        </w:tc>
        <w:tc>
          <w:tcPr>
            <w:tcW w:w="6911" w:type="dxa"/>
          </w:tcPr>
          <w:p w:rsidR="0077010A" w:rsidRPr="00242D68" w:rsidRDefault="0077010A" w:rsidP="00C64245">
            <w:r w:rsidRPr="00242D68">
              <w:t>Treatment emergent adverse event</w:t>
            </w:r>
          </w:p>
        </w:tc>
      </w:tr>
      <w:tr w:rsidR="0077010A" w:rsidRPr="00794265" w:rsidTr="0077010A">
        <w:tc>
          <w:tcPr>
            <w:tcW w:w="1809" w:type="dxa"/>
          </w:tcPr>
          <w:p w:rsidR="0077010A" w:rsidRPr="00242D68" w:rsidRDefault="0077010A" w:rsidP="00C64245">
            <w:r w:rsidRPr="00242D68">
              <w:t>TJC</w:t>
            </w:r>
          </w:p>
        </w:tc>
        <w:tc>
          <w:tcPr>
            <w:tcW w:w="6911" w:type="dxa"/>
          </w:tcPr>
          <w:p w:rsidR="0077010A" w:rsidRPr="00242D68" w:rsidRDefault="0077010A" w:rsidP="00C64245">
            <w:r w:rsidRPr="00242D68">
              <w:t>Tender joint count</w:t>
            </w:r>
          </w:p>
        </w:tc>
      </w:tr>
      <w:tr w:rsidR="0077010A" w:rsidRPr="00794265" w:rsidTr="0077010A">
        <w:tc>
          <w:tcPr>
            <w:tcW w:w="1809" w:type="dxa"/>
          </w:tcPr>
          <w:p w:rsidR="0077010A" w:rsidRPr="00242D68" w:rsidRDefault="0077010A" w:rsidP="00C64245">
            <w:r w:rsidRPr="00242D68">
              <w:t>TNF</w:t>
            </w:r>
          </w:p>
        </w:tc>
        <w:tc>
          <w:tcPr>
            <w:tcW w:w="6911" w:type="dxa"/>
          </w:tcPr>
          <w:p w:rsidR="0077010A" w:rsidRPr="00242D68" w:rsidRDefault="0077010A" w:rsidP="00C64245">
            <w:r w:rsidRPr="00242D68">
              <w:t>Tumour necrosis factor</w:t>
            </w:r>
          </w:p>
        </w:tc>
      </w:tr>
      <w:tr w:rsidR="0077010A" w:rsidRPr="00794265" w:rsidTr="0077010A">
        <w:tc>
          <w:tcPr>
            <w:tcW w:w="1809" w:type="dxa"/>
          </w:tcPr>
          <w:p w:rsidR="0077010A" w:rsidRPr="00242D68" w:rsidRDefault="0077010A" w:rsidP="00C64245">
            <w:r w:rsidRPr="00242D68">
              <w:t>Tmax</w:t>
            </w:r>
          </w:p>
        </w:tc>
        <w:tc>
          <w:tcPr>
            <w:tcW w:w="6911" w:type="dxa"/>
          </w:tcPr>
          <w:p w:rsidR="0077010A" w:rsidRPr="00242D68" w:rsidRDefault="0077010A" w:rsidP="00C64245">
            <w:r w:rsidRPr="00242D68">
              <w:t>Time to maximum plasma concentration</w:t>
            </w:r>
          </w:p>
        </w:tc>
      </w:tr>
      <w:tr w:rsidR="0077010A" w:rsidRPr="00794265" w:rsidTr="0077010A">
        <w:tc>
          <w:tcPr>
            <w:tcW w:w="1809" w:type="dxa"/>
          </w:tcPr>
          <w:p w:rsidR="0077010A" w:rsidRPr="00242D68" w:rsidRDefault="0077010A" w:rsidP="00C64245">
            <w:r w:rsidRPr="00242D68">
              <w:t>ULN</w:t>
            </w:r>
          </w:p>
        </w:tc>
        <w:tc>
          <w:tcPr>
            <w:tcW w:w="6911" w:type="dxa"/>
          </w:tcPr>
          <w:p w:rsidR="0077010A" w:rsidRPr="00242D68" w:rsidRDefault="0077010A" w:rsidP="00C64245">
            <w:r w:rsidRPr="00242D68">
              <w:t>Upper limit of normal</w:t>
            </w:r>
          </w:p>
        </w:tc>
      </w:tr>
      <w:tr w:rsidR="0077010A" w:rsidRPr="00794265" w:rsidTr="0077010A">
        <w:tc>
          <w:tcPr>
            <w:tcW w:w="1809" w:type="dxa"/>
          </w:tcPr>
          <w:p w:rsidR="0077010A" w:rsidRPr="00242D68" w:rsidRDefault="0077010A" w:rsidP="00C64245">
            <w:r w:rsidRPr="00242D68">
              <w:t>US</w:t>
            </w:r>
          </w:p>
        </w:tc>
        <w:tc>
          <w:tcPr>
            <w:tcW w:w="6911" w:type="dxa"/>
          </w:tcPr>
          <w:p w:rsidR="0077010A" w:rsidRPr="00242D68" w:rsidRDefault="0077010A" w:rsidP="00C64245">
            <w:r w:rsidRPr="00242D68">
              <w:t>United States</w:t>
            </w:r>
          </w:p>
        </w:tc>
      </w:tr>
      <w:tr w:rsidR="0077010A" w:rsidRPr="00794265" w:rsidTr="0077010A">
        <w:tc>
          <w:tcPr>
            <w:tcW w:w="1809" w:type="dxa"/>
          </w:tcPr>
          <w:p w:rsidR="0077010A" w:rsidRPr="00242D68" w:rsidRDefault="0077010A" w:rsidP="00C64245">
            <w:r w:rsidRPr="00242D68">
              <w:t>VAS</w:t>
            </w:r>
          </w:p>
        </w:tc>
        <w:tc>
          <w:tcPr>
            <w:tcW w:w="6911" w:type="dxa"/>
          </w:tcPr>
          <w:p w:rsidR="0077010A" w:rsidRPr="00242D68" w:rsidRDefault="0077010A" w:rsidP="00C64245">
            <w:r w:rsidRPr="00242D68">
              <w:t>Visual analogue scale</w:t>
            </w:r>
          </w:p>
        </w:tc>
      </w:tr>
      <w:tr w:rsidR="0077010A" w:rsidRPr="00794265" w:rsidTr="0077010A">
        <w:tc>
          <w:tcPr>
            <w:tcW w:w="1809" w:type="dxa"/>
          </w:tcPr>
          <w:p w:rsidR="0077010A" w:rsidRPr="00242D68" w:rsidRDefault="0077010A" w:rsidP="00C64245">
            <w:r w:rsidRPr="00242D68">
              <w:t>VASP</w:t>
            </w:r>
          </w:p>
        </w:tc>
        <w:tc>
          <w:tcPr>
            <w:tcW w:w="6911" w:type="dxa"/>
          </w:tcPr>
          <w:p w:rsidR="0077010A" w:rsidRPr="00242D68" w:rsidRDefault="0077010A" w:rsidP="00C64245">
            <w:r w:rsidRPr="00242D68">
              <w:t>Physicians global score of disease activity at baseline</w:t>
            </w:r>
          </w:p>
        </w:tc>
      </w:tr>
    </w:tbl>
    <w:p w:rsidR="00B632DB" w:rsidRPr="008F743F" w:rsidRDefault="00B632DB" w:rsidP="000E52DF">
      <w:pPr>
        <w:pStyle w:val="Heading3"/>
      </w:pPr>
      <w:bookmarkStart w:id="9" w:name="_Toc412444388"/>
      <w:r w:rsidRPr="008F743F">
        <w:t>Efficacy endpoints and assessments</w:t>
      </w:r>
      <w:r w:rsidR="008F743F">
        <w:t xml:space="preserve"> used in clinical trials of </w:t>
      </w:r>
      <w:proofErr w:type="spellStart"/>
      <w:r w:rsidR="008F743F">
        <w:t>t</w:t>
      </w:r>
      <w:r w:rsidR="008F743F" w:rsidRPr="008F743F">
        <w:t>ocilizumab</w:t>
      </w:r>
      <w:proofErr w:type="spellEnd"/>
      <w:r w:rsidR="008226A0">
        <w:t>:</w:t>
      </w:r>
      <w:bookmarkEnd w:id="9"/>
    </w:p>
    <w:p w:rsidR="00B632DB" w:rsidRPr="00B632DB" w:rsidRDefault="00B632DB" w:rsidP="000E52DF">
      <w:pPr>
        <w:pStyle w:val="Heading4"/>
      </w:pPr>
      <w:r w:rsidRPr="00B632DB">
        <w:t>DAS28</w:t>
      </w:r>
    </w:p>
    <w:p w:rsidR="00B632DB" w:rsidRPr="00B632DB" w:rsidRDefault="00B632DB" w:rsidP="008226A0">
      <w:r w:rsidRPr="00B632DB">
        <w:t xml:space="preserve">The </w:t>
      </w:r>
      <w:r w:rsidR="002407DF" w:rsidRPr="002407DF">
        <w:t>Disease Activity Score 28</w:t>
      </w:r>
      <w:r w:rsidR="002407DF">
        <w:t xml:space="preserve"> (</w:t>
      </w:r>
      <w:r w:rsidRPr="00B632DB">
        <w:t>DAS28</w:t>
      </w:r>
      <w:r w:rsidR="002407DF">
        <w:t>)</w:t>
      </w:r>
      <w:r w:rsidRPr="00B632DB">
        <w:t xml:space="preserve"> score is a composite score derived using the following formula:</w:t>
      </w:r>
    </w:p>
    <w:p w:rsidR="00B632DB" w:rsidRPr="00B632DB" w:rsidRDefault="00B632DB" w:rsidP="008226A0">
      <w:r w:rsidRPr="00B632DB">
        <w:t xml:space="preserve">DAS28 = (0.56 * </w:t>
      </w:r>
      <w:r w:rsidRPr="00B632DB">
        <w:rPr>
          <w:rFonts w:hint="eastAsia"/>
        </w:rPr>
        <w:t>√</w:t>
      </w:r>
      <w:r w:rsidRPr="00B632DB">
        <w:t xml:space="preserve">28TJC) + (0.28 * </w:t>
      </w:r>
      <w:r w:rsidRPr="00B632DB">
        <w:rPr>
          <w:rFonts w:hint="eastAsia"/>
        </w:rPr>
        <w:t>√</w:t>
      </w:r>
      <w:r w:rsidRPr="00B632DB">
        <w:t xml:space="preserve">28SJC) + (0.70 * </w:t>
      </w:r>
      <w:proofErr w:type="spellStart"/>
      <w:r w:rsidRPr="00B632DB">
        <w:t>ln</w:t>
      </w:r>
      <w:proofErr w:type="spellEnd"/>
      <w:r w:rsidRPr="00B632DB">
        <w:t xml:space="preserve"> ESR) + (0.014 * GH)</w:t>
      </w:r>
    </w:p>
    <w:p w:rsidR="00B632DB" w:rsidRPr="00B632DB" w:rsidRDefault="00B632DB" w:rsidP="008226A0">
      <w:proofErr w:type="gramStart"/>
      <w:r w:rsidRPr="00B632DB">
        <w:t>where</w:t>
      </w:r>
      <w:proofErr w:type="gramEnd"/>
      <w:r w:rsidRPr="00B632DB">
        <w:t xml:space="preserve"> 28TJC = tender joint count from 28 joints; 28SJC = swollen joint count from 28 joints; ESR = erythrocyte sedimentation rate; GH = patient’s global assessment. A DAS28 score of &lt; 2.6 represents one definition of clinical remission. A score of &lt; 3.2 represents low disease activity, and a score of &gt; 5.1 represents high disease activity.</w:t>
      </w:r>
    </w:p>
    <w:p w:rsidR="00B632DB" w:rsidRPr="00B632DB" w:rsidRDefault="00B632DB" w:rsidP="000E52DF">
      <w:pPr>
        <w:pStyle w:val="Heading4"/>
      </w:pPr>
      <w:r w:rsidRPr="00B632DB">
        <w:t xml:space="preserve">ACR20/ACR50/ACR70 </w:t>
      </w:r>
      <w:r w:rsidR="008226A0">
        <w:t>r</w:t>
      </w:r>
      <w:r w:rsidRPr="00B632DB">
        <w:t>esponse</w:t>
      </w:r>
    </w:p>
    <w:p w:rsidR="00B632DB" w:rsidRDefault="00B632DB" w:rsidP="000E52DF">
      <w:r w:rsidRPr="00B632DB">
        <w:t>The ACR20, ACR50, and ACR70 responses are based on response criteria as defined</w:t>
      </w:r>
      <w:r>
        <w:t xml:space="preserve"> </w:t>
      </w:r>
      <w:r w:rsidRPr="00B632DB">
        <w:t>by the American College of Rheumatology</w:t>
      </w:r>
      <w:r w:rsidR="002407DF">
        <w:t xml:space="preserve"> (ACR)</w:t>
      </w:r>
      <w:r w:rsidRPr="00B632DB">
        <w:t>; an exploratory analysis of ACR90 responses</w:t>
      </w:r>
      <w:r>
        <w:t xml:space="preserve"> </w:t>
      </w:r>
      <w:r w:rsidRPr="00B632DB">
        <w:t>was also performed.</w:t>
      </w:r>
      <w:r>
        <w:t xml:space="preserve"> </w:t>
      </w:r>
      <w:r w:rsidRPr="00B632DB">
        <w:t>ACR responses are based on a core set of outcome measures combined to quantify</w:t>
      </w:r>
      <w:r>
        <w:t xml:space="preserve"> </w:t>
      </w:r>
      <w:r w:rsidRPr="00B632DB">
        <w:t>disease activity (continuous variables), together with definitions of improvement</w:t>
      </w:r>
      <w:r>
        <w:t xml:space="preserve"> </w:t>
      </w:r>
      <w:r w:rsidRPr="00B632DB">
        <w:t>(response variables). An ACR20 response is defined as achievement of at least 20%</w:t>
      </w:r>
      <w:r>
        <w:t xml:space="preserve"> </w:t>
      </w:r>
      <w:r w:rsidRPr="00B632DB">
        <w:t xml:space="preserve">improvement compared to baseline in both </w:t>
      </w:r>
      <w:r w:rsidR="002407DF" w:rsidRPr="002407DF">
        <w:t xml:space="preserve">Tender joint count </w:t>
      </w:r>
      <w:r w:rsidR="002407DF">
        <w:t>(</w:t>
      </w:r>
      <w:r w:rsidRPr="00B632DB">
        <w:t>TJC</w:t>
      </w:r>
      <w:r w:rsidR="002407DF">
        <w:t>)</w:t>
      </w:r>
      <w:r w:rsidRPr="00B632DB">
        <w:t xml:space="preserve"> and </w:t>
      </w:r>
      <w:proofErr w:type="gramStart"/>
      <w:r w:rsidR="002407DF">
        <w:t>Swollen</w:t>
      </w:r>
      <w:proofErr w:type="gramEnd"/>
      <w:r w:rsidR="002407DF">
        <w:t xml:space="preserve"> </w:t>
      </w:r>
      <w:r w:rsidR="002407DF" w:rsidRPr="002407DF">
        <w:t xml:space="preserve">joint count </w:t>
      </w:r>
      <w:r w:rsidR="002407DF">
        <w:t>(</w:t>
      </w:r>
      <w:r w:rsidRPr="00B632DB">
        <w:t>SJC</w:t>
      </w:r>
      <w:r w:rsidR="002407DF">
        <w:t>)</w:t>
      </w:r>
      <w:r w:rsidRPr="00B632DB">
        <w:t>, as well as in three out of five</w:t>
      </w:r>
      <w:r>
        <w:t xml:space="preserve"> </w:t>
      </w:r>
      <w:r w:rsidRPr="00B632DB">
        <w:t>of the additional ACR parameters. The endpoints of ACR50 and ACR70 responses</w:t>
      </w:r>
      <w:r>
        <w:t xml:space="preserve"> </w:t>
      </w:r>
      <w:r w:rsidRPr="00B632DB">
        <w:t>reflect a 50% and a 70% improvement from baseline, respectively.</w:t>
      </w:r>
    </w:p>
    <w:p w:rsidR="00B632DB" w:rsidRPr="00B632DB" w:rsidRDefault="00B632DB" w:rsidP="000E52DF">
      <w:pPr>
        <w:pStyle w:val="Heading4"/>
      </w:pPr>
      <w:r w:rsidRPr="00B632DB">
        <w:t xml:space="preserve">EULAR </w:t>
      </w:r>
      <w:r w:rsidR="000E52DF">
        <w:t>r</w:t>
      </w:r>
      <w:r w:rsidRPr="00B632DB">
        <w:t>esponse</w:t>
      </w:r>
    </w:p>
    <w:p w:rsidR="00B632DB" w:rsidRPr="00B632DB" w:rsidRDefault="002407DF" w:rsidP="000E52DF">
      <w:r>
        <w:t xml:space="preserve">The </w:t>
      </w:r>
      <w:r w:rsidRPr="002407DF">
        <w:t xml:space="preserve">European League </w:t>
      </w:r>
      <w:proofErr w:type="gramStart"/>
      <w:r w:rsidRPr="002407DF">
        <w:t>Against</w:t>
      </w:r>
      <w:proofErr w:type="gramEnd"/>
      <w:r w:rsidRPr="002407DF">
        <w:t xml:space="preserve"> Rheumatism </w:t>
      </w:r>
      <w:r>
        <w:t>(</w:t>
      </w:r>
      <w:r w:rsidR="00B632DB" w:rsidRPr="00B632DB">
        <w:t>EULAR</w:t>
      </w:r>
      <w:r>
        <w:t>)</w:t>
      </w:r>
      <w:r w:rsidR="00B632DB" w:rsidRPr="00B632DB">
        <w:t xml:space="preserve"> response reflects attainment of a lower degree of disease activity combined with</w:t>
      </w:r>
      <w:r w:rsidR="00B632DB">
        <w:t xml:space="preserve"> </w:t>
      </w:r>
      <w:r w:rsidR="00B632DB" w:rsidRPr="00B632DB">
        <w:t>an improvement in disease activity from baseline. For example, a good</w:t>
      </w:r>
      <w:r w:rsidR="00B632DB">
        <w:t xml:space="preserve"> </w:t>
      </w:r>
      <w:r w:rsidR="00B632DB" w:rsidRPr="00B632DB">
        <w:t>response is defined as an improvement in the DAS28 of more than 1.2 compared with</w:t>
      </w:r>
      <w:r w:rsidR="00B632DB">
        <w:t xml:space="preserve"> </w:t>
      </w:r>
      <w:r w:rsidR="00B632DB" w:rsidRPr="00B632DB">
        <w:t>baseline, and attainment of a DAS28 of ≤ 2.6.</w:t>
      </w:r>
    </w:p>
    <w:p w:rsidR="00B632DB" w:rsidRPr="00B632DB" w:rsidRDefault="00B632DB" w:rsidP="000E52DF">
      <w:pPr>
        <w:pStyle w:val="Heading4"/>
      </w:pPr>
      <w:r w:rsidRPr="00B632DB">
        <w:lastRenderedPageBreak/>
        <w:t xml:space="preserve">ACR/EULAR </w:t>
      </w:r>
      <w:r w:rsidR="008226A0">
        <w:t>r</w:t>
      </w:r>
      <w:r w:rsidRPr="00B632DB">
        <w:t>emission</w:t>
      </w:r>
    </w:p>
    <w:p w:rsidR="00B632DB" w:rsidRPr="00B632DB" w:rsidRDefault="00B632DB" w:rsidP="000E52DF">
      <w:r w:rsidRPr="00B632DB">
        <w:t>In 2011, after initiation of the WA19926 study, ACR and EULAR issued a joint</w:t>
      </w:r>
      <w:r>
        <w:t xml:space="preserve"> </w:t>
      </w:r>
      <w:r w:rsidRPr="00B632DB">
        <w:t>agreement with two new definitions for remission for use in clinical trials</w:t>
      </w:r>
      <w:r>
        <w:t xml:space="preserve"> </w:t>
      </w:r>
      <w:r w:rsidRPr="00B632DB">
        <w:t>(</w:t>
      </w:r>
      <w:proofErr w:type="spellStart"/>
      <w:r w:rsidRPr="00B632DB">
        <w:t>Felsom</w:t>
      </w:r>
      <w:proofErr w:type="spellEnd"/>
      <w:r w:rsidRPr="00B632DB">
        <w:t xml:space="preserve"> et al. 2011</w:t>
      </w:r>
      <w:r w:rsidR="004C7021">
        <w:rPr>
          <w:rStyle w:val="FootnoteReference"/>
        </w:rPr>
        <w:footnoteReference w:id="1"/>
      </w:r>
      <w:r w:rsidRPr="00B632DB">
        <w:t>):</w:t>
      </w:r>
    </w:p>
    <w:p w:rsidR="00B632DB" w:rsidRPr="00B632DB" w:rsidRDefault="00B632DB" w:rsidP="000E52DF">
      <w:pPr>
        <w:pStyle w:val="ListBullet"/>
      </w:pPr>
      <w:r w:rsidRPr="00B632DB">
        <w:t>A Boolean-based definition, in which the following must be satisfied at the same visit</w:t>
      </w:r>
      <w:r>
        <w:t xml:space="preserve"> </w:t>
      </w:r>
      <w:r w:rsidRPr="00B632DB">
        <w:t>with no imputation made for missing data: TJC (68) ≤ 1, SJC (66) ≤ 1, Patients</w:t>
      </w:r>
      <w:r>
        <w:t xml:space="preserve"> </w:t>
      </w:r>
      <w:r w:rsidRPr="00B632DB">
        <w:t xml:space="preserve">Global Assessment of Disease Activity (cm) ≤ 1 and </w:t>
      </w:r>
      <w:r w:rsidR="002407DF" w:rsidRPr="002407DF">
        <w:t xml:space="preserve">C-reactive protein </w:t>
      </w:r>
      <w:r w:rsidR="002407DF">
        <w:t>(</w:t>
      </w:r>
      <w:r w:rsidRPr="00B632DB">
        <w:t>CRP</w:t>
      </w:r>
      <w:r w:rsidR="002407DF">
        <w:t>)</w:t>
      </w:r>
      <w:r w:rsidRPr="00B632DB">
        <w:t xml:space="preserve"> ≤ 1 mg/</w:t>
      </w:r>
      <w:proofErr w:type="spellStart"/>
      <w:r w:rsidRPr="00B632DB">
        <w:t>dL</w:t>
      </w:r>
      <w:proofErr w:type="spellEnd"/>
      <w:r w:rsidRPr="00B632DB">
        <w:t>).</w:t>
      </w:r>
    </w:p>
    <w:p w:rsidR="00B632DB" w:rsidRPr="00B632DB" w:rsidRDefault="00B632DB" w:rsidP="000E52DF">
      <w:pPr>
        <w:pStyle w:val="ListBullet"/>
      </w:pPr>
      <w:r w:rsidRPr="00B632DB">
        <w:t>An index-based definition, dependent on the patient achieving a Simplified Disease</w:t>
      </w:r>
      <w:r>
        <w:t xml:space="preserve"> </w:t>
      </w:r>
      <w:r w:rsidRPr="00B632DB">
        <w:t>Activity Index (SDAI) score of ≤ 3.3 (SDAI was defined above as the sum of TJC</w:t>
      </w:r>
      <w:r>
        <w:t xml:space="preserve"> </w:t>
      </w:r>
      <w:r w:rsidRPr="00B632DB">
        <w:t xml:space="preserve">(28), SJC (28), Patient’s Global Assessment of Disease Activity (visual </w:t>
      </w:r>
      <w:proofErr w:type="spellStart"/>
      <w:r w:rsidRPr="00B632DB">
        <w:t>analog</w:t>
      </w:r>
      <w:proofErr w:type="spellEnd"/>
      <w:r w:rsidRPr="00B632DB">
        <w:t xml:space="preserve"> scale</w:t>
      </w:r>
      <w:r>
        <w:t xml:space="preserve"> </w:t>
      </w:r>
      <w:r w:rsidRPr="00B632DB">
        <w:t>[VAS], cm), Physician’s Global Assessment of Disease Activity (VAS, cm) and CRP</w:t>
      </w:r>
      <w:r>
        <w:t xml:space="preserve"> </w:t>
      </w:r>
      <w:r w:rsidRPr="00B632DB">
        <w:t>(mg/</w:t>
      </w:r>
      <w:proofErr w:type="spellStart"/>
      <w:r w:rsidRPr="00B632DB">
        <w:t>dL</w:t>
      </w:r>
      <w:proofErr w:type="spellEnd"/>
      <w:r w:rsidRPr="00B632DB">
        <w:t>).</w:t>
      </w:r>
    </w:p>
    <w:p w:rsidR="00B632DB" w:rsidRPr="00B632DB" w:rsidRDefault="00B632DB" w:rsidP="000E52DF">
      <w:pPr>
        <w:pStyle w:val="Heading4"/>
      </w:pPr>
      <w:r w:rsidRPr="00B632DB">
        <w:t xml:space="preserve">Clinical </w:t>
      </w:r>
      <w:r w:rsidR="008226A0">
        <w:t>d</w:t>
      </w:r>
      <w:r w:rsidRPr="00B632DB">
        <w:t xml:space="preserve">isease </w:t>
      </w:r>
      <w:r w:rsidR="008226A0">
        <w:t>a</w:t>
      </w:r>
      <w:r w:rsidRPr="00B632DB">
        <w:t xml:space="preserve">ctivity </w:t>
      </w:r>
      <w:r w:rsidR="008226A0">
        <w:t>i</w:t>
      </w:r>
      <w:r w:rsidRPr="00B632DB">
        <w:t>ndex</w:t>
      </w:r>
    </w:p>
    <w:p w:rsidR="00B632DB" w:rsidRPr="00B632DB" w:rsidRDefault="00B632DB" w:rsidP="000E52DF">
      <w:r w:rsidRPr="00B632DB">
        <w:t>The Clinical Disease Activity Index (CDAI) is a continuous measure of RA disease</w:t>
      </w:r>
      <w:r>
        <w:t xml:space="preserve"> </w:t>
      </w:r>
      <w:r w:rsidRPr="00B632DB">
        <w:t>activity. CDAI is defined as the sum of 28TJC, 28SJC, Patient’s Global Assessment of</w:t>
      </w:r>
      <w:r>
        <w:t xml:space="preserve"> </w:t>
      </w:r>
      <w:r w:rsidRPr="00B632DB">
        <w:t>Disease Activit</w:t>
      </w:r>
      <w:r w:rsidR="002407DF">
        <w:t>y (cm)</w:t>
      </w:r>
      <w:r w:rsidRPr="00B632DB">
        <w:t xml:space="preserve">, and Physician’s Global </w:t>
      </w:r>
      <w:r w:rsidR="002407DF">
        <w:t>Assessment of Disease Activity (</w:t>
      </w:r>
      <w:r w:rsidRPr="00B632DB">
        <w:t>cm</w:t>
      </w:r>
      <w:r w:rsidR="002407DF">
        <w:t>)</w:t>
      </w:r>
      <w:r w:rsidRPr="00B632DB">
        <w:t>.</w:t>
      </w:r>
      <w:r>
        <w:t xml:space="preserve"> </w:t>
      </w:r>
      <w:r w:rsidRPr="00B632DB">
        <w:t>CDAI scores of &gt;22 are considered indicative of high disease activity, 10.1-22 moderate</w:t>
      </w:r>
      <w:r>
        <w:t xml:space="preserve"> </w:t>
      </w:r>
      <w:r w:rsidRPr="00B632DB">
        <w:t>disease activity, 2.8-10 low disease activity, and &lt;</w:t>
      </w:r>
      <w:r w:rsidR="00AF687B">
        <w:t xml:space="preserve"> </w:t>
      </w:r>
      <w:r w:rsidRPr="00B632DB">
        <w:t>2.8 remission. CDAI remission is</w:t>
      </w:r>
      <w:r>
        <w:t xml:space="preserve"> </w:t>
      </w:r>
      <w:r w:rsidRPr="00B632DB">
        <w:t>widely used in clinical practice because it is a simplified score and does not include the</w:t>
      </w:r>
      <w:r>
        <w:t xml:space="preserve"> </w:t>
      </w:r>
      <w:r w:rsidRPr="00B632DB">
        <w:t>use of an acute phase reactant (CRP or ESR).</w:t>
      </w:r>
    </w:p>
    <w:p w:rsidR="00B632DB" w:rsidRPr="00B632DB" w:rsidRDefault="00B632DB" w:rsidP="000E52DF">
      <w:pPr>
        <w:pStyle w:val="Heading4"/>
      </w:pPr>
      <w:r w:rsidRPr="00B632DB">
        <w:t xml:space="preserve">Radiographic </w:t>
      </w:r>
      <w:r w:rsidR="008226A0">
        <w:t>a</w:t>
      </w:r>
      <w:r w:rsidRPr="00B632DB">
        <w:t>ssessments</w:t>
      </w:r>
    </w:p>
    <w:p w:rsidR="00B632DB" w:rsidRPr="00B632DB" w:rsidRDefault="00B632DB" w:rsidP="000E52DF">
      <w:r w:rsidRPr="00B632DB">
        <w:t xml:space="preserve">The radiographic assessments in Study WA19926 were the </w:t>
      </w:r>
      <w:r w:rsidR="00B5390D" w:rsidRPr="00B5390D">
        <w:t xml:space="preserve">total Sharp score </w:t>
      </w:r>
      <w:r w:rsidR="00B5390D">
        <w:t>(</w:t>
      </w:r>
      <w:proofErr w:type="spellStart"/>
      <w:r w:rsidRPr="00B632DB">
        <w:t>mTSS</w:t>
      </w:r>
      <w:proofErr w:type="spellEnd"/>
      <w:r w:rsidR="00B5390D">
        <w:t>)</w:t>
      </w:r>
      <w:r w:rsidRPr="00B632DB">
        <w:t>, erosion score, and</w:t>
      </w:r>
      <w:r>
        <w:t xml:space="preserve"> </w:t>
      </w:r>
      <w:r w:rsidR="001033D2">
        <w:t>joint space narrowing (</w:t>
      </w:r>
      <w:r w:rsidRPr="00B632DB">
        <w:t>JSN</w:t>
      </w:r>
      <w:r w:rsidR="001033D2">
        <w:t>)</w:t>
      </w:r>
      <w:r w:rsidRPr="00B632DB">
        <w:t xml:space="preserve"> score using the scoring method developed by van der </w:t>
      </w:r>
      <w:proofErr w:type="spellStart"/>
      <w:r w:rsidRPr="00B632DB">
        <w:t>Heijde</w:t>
      </w:r>
      <w:proofErr w:type="spellEnd"/>
      <w:r w:rsidRPr="00B632DB">
        <w:t xml:space="preserve"> DM, 2000</w:t>
      </w:r>
      <w:r w:rsidR="004C7021">
        <w:rPr>
          <w:rStyle w:val="FootnoteReference"/>
        </w:rPr>
        <w:footnoteReference w:id="2"/>
      </w:r>
      <w:r w:rsidRPr="00B632DB">
        <w:t>.</w:t>
      </w:r>
    </w:p>
    <w:p w:rsidR="00B632DB" w:rsidRPr="00B632DB" w:rsidRDefault="00B632DB" w:rsidP="000E52DF">
      <w:r w:rsidRPr="00B632DB">
        <w:t>Radiographs of hands/wrists and feet were taken at screening, Weeks 24, 52 and 104.</w:t>
      </w:r>
      <w:r>
        <w:t xml:space="preserve"> </w:t>
      </w:r>
      <w:r w:rsidRPr="00B632DB">
        <w:t>For patients who terminated early, hands/wrists and feet radiographs were to be at the</w:t>
      </w:r>
      <w:r>
        <w:t xml:space="preserve"> </w:t>
      </w:r>
      <w:r w:rsidRPr="00B632DB">
        <w:t>time of premature withdrawal. Patients who withdrew from study were asked to return at</w:t>
      </w:r>
      <w:r>
        <w:t xml:space="preserve"> </w:t>
      </w:r>
      <w:r w:rsidRPr="00B632DB">
        <w:t>24, 52 and 104 weeks for radiographic studies.</w:t>
      </w:r>
    </w:p>
    <w:p w:rsidR="00B632DB" w:rsidRPr="00B632DB" w:rsidRDefault="00B632DB" w:rsidP="000E52DF">
      <w:pPr>
        <w:pStyle w:val="Heading4"/>
      </w:pPr>
      <w:r w:rsidRPr="00B632DB">
        <w:t>HAQ-DI</w:t>
      </w:r>
    </w:p>
    <w:p w:rsidR="004C7021" w:rsidRDefault="00B632DB" w:rsidP="000E52DF">
      <w:pPr>
        <w:rPr>
          <w:b/>
          <w:i/>
          <w:sz w:val="24"/>
          <w:szCs w:val="24"/>
        </w:rPr>
      </w:pPr>
      <w:r w:rsidRPr="00B632DB">
        <w:t>The Stanford Health Assessment Questionnaire Disability Index (HAQ-DI) is a patient</w:t>
      </w:r>
      <w:r>
        <w:t xml:space="preserve"> </w:t>
      </w:r>
      <w:r w:rsidRPr="00B632DB">
        <w:t>completed</w:t>
      </w:r>
      <w:r>
        <w:t xml:space="preserve"> </w:t>
      </w:r>
      <w:r w:rsidRPr="00B632DB">
        <w:t>questionnaire specific for RA, consisting of a total of 20 questions divided into</w:t>
      </w:r>
      <w:r>
        <w:t xml:space="preserve"> </w:t>
      </w:r>
      <w:r w:rsidRPr="00B632DB">
        <w:t>eight sets of components: dressing/grooming, arising, eating, walking, hygiene, reach,</w:t>
      </w:r>
      <w:r>
        <w:t xml:space="preserve"> </w:t>
      </w:r>
      <w:r w:rsidRPr="00B632DB">
        <w:t>grip</w:t>
      </w:r>
      <w:r w:rsidR="002407DF">
        <w:t>, and activity (see WA19926 CSR</w:t>
      </w:r>
      <w:r w:rsidRPr="00B632DB">
        <w:t>). The questionnaire was scored based on</w:t>
      </w:r>
      <w:r>
        <w:t xml:space="preserve"> </w:t>
      </w:r>
      <w:r w:rsidRPr="00B632DB">
        <w:t xml:space="preserve">instructions from the Stanford University Medical </w:t>
      </w:r>
      <w:proofErr w:type="spellStart"/>
      <w:r w:rsidRPr="00B632DB">
        <w:t>Center</w:t>
      </w:r>
      <w:proofErr w:type="spellEnd"/>
      <w:r w:rsidRPr="00B632DB">
        <w:t xml:space="preserve"> (Palo Alto, CA; USA).</w:t>
      </w:r>
    </w:p>
    <w:p w:rsidR="004C7021" w:rsidRDefault="004C7021">
      <w:pPr>
        <w:spacing w:before="0" w:after="200" w:line="0" w:lineRule="auto"/>
        <w:rPr>
          <w:b/>
          <w:i/>
          <w:sz w:val="24"/>
          <w:szCs w:val="24"/>
        </w:rPr>
      </w:pPr>
      <w:r>
        <w:rPr>
          <w:b/>
          <w:i/>
          <w:sz w:val="24"/>
          <w:szCs w:val="24"/>
        </w:rPr>
        <w:br w:type="page"/>
      </w:r>
    </w:p>
    <w:p w:rsidR="008E7846" w:rsidRDefault="00F53C07" w:rsidP="008226A0">
      <w:pPr>
        <w:pStyle w:val="Heading2"/>
      </w:pPr>
      <w:bookmarkStart w:id="10" w:name="_Toc412444389"/>
      <w:r>
        <w:lastRenderedPageBreak/>
        <w:t>I.</w:t>
      </w:r>
      <w:r w:rsidR="008E7846">
        <w:t xml:space="preserve"> Introduction to product submission</w:t>
      </w:r>
      <w:bookmarkEnd w:id="3"/>
      <w:bookmarkEnd w:id="0"/>
      <w:bookmarkEnd w:id="10"/>
    </w:p>
    <w:p w:rsidR="008E7846" w:rsidRDefault="008E7846" w:rsidP="008226A0">
      <w:pPr>
        <w:pStyle w:val="Heading3"/>
        <w:rPr>
          <w:lang w:eastAsia="en-AU"/>
        </w:rPr>
      </w:pPr>
      <w:bookmarkStart w:id="11" w:name="_Toc247691502"/>
      <w:bookmarkStart w:id="12" w:name="_Toc314842483"/>
      <w:bookmarkStart w:id="13" w:name="_Toc412444390"/>
      <w:r>
        <w:rPr>
          <w:lang w:eastAsia="en-AU"/>
        </w:rPr>
        <w:t>Submission details</w:t>
      </w:r>
      <w:bookmarkEnd w:id="11"/>
      <w:bookmarkEnd w:id="12"/>
      <w:bookmarkEnd w:id="13"/>
    </w:p>
    <w:tbl>
      <w:tblPr>
        <w:tblW w:w="9497" w:type="dxa"/>
        <w:tblInd w:w="108" w:type="dxa"/>
        <w:tblLook w:val="01E0" w:firstRow="1" w:lastRow="1" w:firstColumn="1" w:lastColumn="1" w:noHBand="0" w:noVBand="0"/>
      </w:tblPr>
      <w:tblGrid>
        <w:gridCol w:w="2907"/>
        <w:gridCol w:w="6307"/>
        <w:gridCol w:w="283"/>
      </w:tblGrid>
      <w:tr w:rsidR="008E7846" w:rsidRPr="003D1E62" w:rsidTr="008226A0">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92790D" w:rsidP="0092790D">
            <w:r>
              <w:t>M</w:t>
            </w:r>
            <w:r w:rsidR="008E7846" w:rsidRPr="003D1E62">
              <w:t xml:space="preserve">ajor </w:t>
            </w:r>
            <w:r w:rsidR="001B5C90">
              <w:t>v</w:t>
            </w:r>
            <w:r w:rsidR="008E7846" w:rsidRPr="003D1E62">
              <w:t>ariation (</w:t>
            </w:r>
            <w:r>
              <w:t>extension of indications</w:t>
            </w:r>
            <w:r w:rsidR="008E7846" w:rsidRPr="003D1E62">
              <w:t>)</w:t>
            </w:r>
          </w:p>
        </w:tc>
      </w:tr>
      <w:tr w:rsidR="008E7846" w:rsidRPr="003D1E62" w:rsidTr="008226A0">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8226A0" w:rsidP="0092790D">
            <w:r>
              <w:t>Approved</w:t>
            </w:r>
          </w:p>
        </w:tc>
      </w:tr>
      <w:tr w:rsidR="008E7846" w:rsidRPr="003D1E62" w:rsidTr="008226A0">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8226A0" w:rsidP="0092790D">
            <w:r>
              <w:t>14 October 2014</w:t>
            </w:r>
          </w:p>
        </w:tc>
      </w:tr>
      <w:tr w:rsidR="008E7846" w:rsidRPr="00487162" w:rsidTr="008226A0">
        <w:trPr>
          <w:gridAfter w:val="1"/>
          <w:wAfter w:w="283" w:type="dxa"/>
        </w:trPr>
        <w:tc>
          <w:tcPr>
            <w:tcW w:w="2907" w:type="dxa"/>
          </w:tcPr>
          <w:p w:rsidR="008E7846" w:rsidRPr="00487162" w:rsidRDefault="001B5C90" w:rsidP="00D13447">
            <w:pPr>
              <w:rPr>
                <w:i/>
              </w:rPr>
            </w:pPr>
            <w:r>
              <w:rPr>
                <w:i/>
              </w:rPr>
              <w:t>Active ingredient:</w:t>
            </w:r>
          </w:p>
        </w:tc>
        <w:tc>
          <w:tcPr>
            <w:tcW w:w="6307" w:type="dxa"/>
          </w:tcPr>
          <w:p w:rsidR="008E7846" w:rsidRPr="00D13447" w:rsidRDefault="008226A0" w:rsidP="00D13447">
            <w:proofErr w:type="spellStart"/>
            <w:r>
              <w:t>Tocilizumab</w:t>
            </w:r>
            <w:proofErr w:type="spellEnd"/>
            <w:r>
              <w:t xml:space="preserve"> (</w:t>
            </w:r>
            <w:proofErr w:type="spellStart"/>
            <w:r>
              <w:t>rch</w:t>
            </w:r>
            <w:proofErr w:type="spellEnd"/>
            <w:r>
              <w:t>)</w:t>
            </w:r>
          </w:p>
        </w:tc>
      </w:tr>
      <w:tr w:rsidR="008E7846" w:rsidRPr="00487162" w:rsidTr="008226A0">
        <w:trPr>
          <w:gridAfter w:val="1"/>
          <w:wAfter w:w="283" w:type="dxa"/>
        </w:trPr>
        <w:tc>
          <w:tcPr>
            <w:tcW w:w="2907" w:type="dxa"/>
          </w:tcPr>
          <w:p w:rsidR="008E7846" w:rsidRPr="00487162" w:rsidRDefault="008E7846" w:rsidP="001B5C90">
            <w:pPr>
              <w:rPr>
                <w:i/>
              </w:rPr>
            </w:pPr>
            <w:r w:rsidRPr="00487162">
              <w:rPr>
                <w:i/>
              </w:rPr>
              <w:t>Product</w:t>
            </w:r>
            <w:r w:rsidR="00D13447">
              <w:rPr>
                <w:i/>
              </w:rPr>
              <w:t xml:space="preserve"> name</w:t>
            </w:r>
            <w:r w:rsidR="001B5C90">
              <w:rPr>
                <w:i/>
              </w:rPr>
              <w:t>:</w:t>
            </w:r>
          </w:p>
        </w:tc>
        <w:tc>
          <w:tcPr>
            <w:tcW w:w="6307" w:type="dxa"/>
          </w:tcPr>
          <w:p w:rsidR="008E7846" w:rsidRPr="00487162" w:rsidRDefault="008226A0" w:rsidP="00D13447">
            <w:proofErr w:type="spellStart"/>
            <w:r>
              <w:t>Actemra</w:t>
            </w:r>
            <w:proofErr w:type="spellEnd"/>
          </w:p>
        </w:tc>
      </w:tr>
      <w:tr w:rsidR="008E7846" w:rsidRPr="00487162" w:rsidTr="008226A0">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D13447" w:rsidRDefault="00D13447" w:rsidP="00D13447">
            <w:r w:rsidRPr="00D13447">
              <w:t>Roche Products Pty Ltd</w:t>
            </w:r>
            <w:r w:rsidRPr="00D13447">
              <w:br/>
              <w:t>4-10 Inman Road</w:t>
            </w:r>
            <w:r w:rsidRPr="00D13447">
              <w:br/>
              <w:t>Dee Why  NSW  2099</w:t>
            </w:r>
          </w:p>
        </w:tc>
      </w:tr>
      <w:tr w:rsidR="008E7846" w:rsidRPr="00487162" w:rsidTr="008226A0">
        <w:trPr>
          <w:gridAfter w:val="1"/>
          <w:wAfter w:w="283" w:type="dxa"/>
        </w:trPr>
        <w:tc>
          <w:tcPr>
            <w:tcW w:w="2907" w:type="dxa"/>
          </w:tcPr>
          <w:p w:rsidR="008E7846" w:rsidRPr="00487162" w:rsidRDefault="00D13447" w:rsidP="00E45619">
            <w:pPr>
              <w:rPr>
                <w:i/>
              </w:rPr>
            </w:pPr>
            <w:r>
              <w:rPr>
                <w:i/>
              </w:rPr>
              <w:t>Dose form</w:t>
            </w:r>
            <w:r w:rsidR="001B5C90">
              <w:rPr>
                <w:i/>
              </w:rPr>
              <w:t>:</w:t>
            </w:r>
          </w:p>
        </w:tc>
        <w:tc>
          <w:tcPr>
            <w:tcW w:w="6307" w:type="dxa"/>
          </w:tcPr>
          <w:p w:rsidR="008E7846" w:rsidRPr="00487162" w:rsidRDefault="00D13447" w:rsidP="00D13447">
            <w:r>
              <w:t>Injection concentrated</w:t>
            </w:r>
          </w:p>
        </w:tc>
      </w:tr>
      <w:tr w:rsidR="008E7846" w:rsidRPr="00487162" w:rsidTr="008226A0">
        <w:trPr>
          <w:gridAfter w:val="1"/>
          <w:wAfter w:w="283" w:type="dxa"/>
        </w:trPr>
        <w:tc>
          <w:tcPr>
            <w:tcW w:w="2907" w:type="dxa"/>
          </w:tcPr>
          <w:p w:rsidR="008E7846" w:rsidRPr="00487162" w:rsidRDefault="008E7846" w:rsidP="00E45619">
            <w:pPr>
              <w:rPr>
                <w:i/>
              </w:rPr>
            </w:pPr>
            <w:r w:rsidRPr="00487162">
              <w:rPr>
                <w:i/>
              </w:rPr>
              <w:t>Streng</w:t>
            </w:r>
            <w:r w:rsidR="00D13447">
              <w:rPr>
                <w:i/>
              </w:rPr>
              <w:t>ths</w:t>
            </w:r>
            <w:r w:rsidR="000E52DF">
              <w:rPr>
                <w:i/>
              </w:rPr>
              <w:t>:</w:t>
            </w:r>
          </w:p>
        </w:tc>
        <w:tc>
          <w:tcPr>
            <w:tcW w:w="6307" w:type="dxa"/>
          </w:tcPr>
          <w:p w:rsidR="008E7846" w:rsidRPr="00487162" w:rsidRDefault="00D13447" w:rsidP="00D13447">
            <w:r w:rsidRPr="00D13447">
              <w:t>400</w:t>
            </w:r>
            <w:r>
              <w:t xml:space="preserve"> </w:t>
            </w:r>
            <w:r w:rsidRPr="00D13447">
              <w:t>mg/20</w:t>
            </w:r>
            <w:r>
              <w:t xml:space="preserve"> </w:t>
            </w:r>
            <w:r w:rsidRPr="00D13447">
              <w:t>mL</w:t>
            </w:r>
            <w:r>
              <w:t>,</w:t>
            </w:r>
            <w:r w:rsidRPr="00D13447">
              <w:t xml:space="preserve"> 80</w:t>
            </w:r>
            <w:r>
              <w:t xml:space="preserve"> </w:t>
            </w:r>
            <w:r w:rsidRPr="00D13447">
              <w:t>mg/4mL</w:t>
            </w:r>
            <w:r>
              <w:t>, and</w:t>
            </w:r>
            <w:r w:rsidRPr="00D13447">
              <w:t xml:space="preserve"> 200</w:t>
            </w:r>
            <w:r>
              <w:t xml:space="preserve"> </w:t>
            </w:r>
            <w:r w:rsidRPr="00D13447">
              <w:t>mg/10</w:t>
            </w:r>
            <w:r>
              <w:t xml:space="preserve"> </w:t>
            </w:r>
            <w:r w:rsidRPr="00D13447">
              <w:t xml:space="preserve">mL </w:t>
            </w:r>
          </w:p>
        </w:tc>
      </w:tr>
      <w:tr w:rsidR="008E7846" w:rsidRPr="00487162" w:rsidTr="008226A0">
        <w:trPr>
          <w:gridAfter w:val="1"/>
          <w:wAfter w:w="283" w:type="dxa"/>
        </w:trPr>
        <w:tc>
          <w:tcPr>
            <w:tcW w:w="2907" w:type="dxa"/>
          </w:tcPr>
          <w:p w:rsidR="008E7846" w:rsidRPr="00487162" w:rsidRDefault="00D13447" w:rsidP="00E45619">
            <w:pPr>
              <w:rPr>
                <w:i/>
              </w:rPr>
            </w:pPr>
            <w:r>
              <w:rPr>
                <w:i/>
              </w:rPr>
              <w:t>Container</w:t>
            </w:r>
            <w:r w:rsidR="008E7846" w:rsidRPr="00487162">
              <w:rPr>
                <w:i/>
              </w:rPr>
              <w:t>:</w:t>
            </w:r>
          </w:p>
        </w:tc>
        <w:tc>
          <w:tcPr>
            <w:tcW w:w="6307" w:type="dxa"/>
          </w:tcPr>
          <w:p w:rsidR="008E7846" w:rsidRPr="00487162" w:rsidRDefault="00D13447" w:rsidP="00D13447">
            <w:r>
              <w:t>Vial</w:t>
            </w:r>
          </w:p>
        </w:tc>
      </w:tr>
      <w:tr w:rsidR="008E7846" w:rsidRPr="00487162" w:rsidTr="008226A0">
        <w:trPr>
          <w:gridAfter w:val="1"/>
          <w:wAfter w:w="283" w:type="dxa"/>
        </w:trPr>
        <w:tc>
          <w:tcPr>
            <w:tcW w:w="2907" w:type="dxa"/>
          </w:tcPr>
          <w:p w:rsidR="008E7846" w:rsidRPr="00487162" w:rsidRDefault="00D13447" w:rsidP="00E45619">
            <w:pPr>
              <w:rPr>
                <w:i/>
              </w:rPr>
            </w:pPr>
            <w:r>
              <w:rPr>
                <w:i/>
              </w:rPr>
              <w:t>Pack sizes</w:t>
            </w:r>
            <w:r w:rsidR="008E7846" w:rsidRPr="00487162">
              <w:rPr>
                <w:i/>
              </w:rPr>
              <w:t>:</w:t>
            </w:r>
          </w:p>
        </w:tc>
        <w:tc>
          <w:tcPr>
            <w:tcW w:w="6307" w:type="dxa"/>
          </w:tcPr>
          <w:p w:rsidR="008E7846" w:rsidRPr="00487162" w:rsidRDefault="00FA7EED" w:rsidP="00D13447">
            <w:r>
              <w:t>1</w:t>
            </w:r>
            <w:r w:rsidR="000E52DF">
              <w:t xml:space="preserve"> and 4</w:t>
            </w:r>
          </w:p>
        </w:tc>
      </w:tr>
      <w:tr w:rsidR="008E7846" w:rsidRPr="00487162" w:rsidTr="008226A0">
        <w:trPr>
          <w:gridAfter w:val="1"/>
          <w:wAfter w:w="283" w:type="dxa"/>
        </w:trPr>
        <w:tc>
          <w:tcPr>
            <w:tcW w:w="2907" w:type="dxa"/>
          </w:tcPr>
          <w:p w:rsidR="008E7846" w:rsidRPr="00487162" w:rsidRDefault="0092790D" w:rsidP="001B5C90">
            <w:pPr>
              <w:rPr>
                <w:i/>
              </w:rPr>
            </w:pPr>
            <w:r>
              <w:rPr>
                <w:i/>
              </w:rPr>
              <w:t xml:space="preserve">New </w:t>
            </w:r>
            <w:r w:rsidR="00FA7EED">
              <w:rPr>
                <w:i/>
              </w:rPr>
              <w:t>a</w:t>
            </w:r>
            <w:r w:rsidR="008E7846" w:rsidRPr="00487162">
              <w:rPr>
                <w:i/>
              </w:rPr>
              <w:t xml:space="preserve">pproved </w:t>
            </w:r>
            <w:r w:rsidR="001B5C90">
              <w:rPr>
                <w:i/>
              </w:rPr>
              <w:t>t</w:t>
            </w:r>
            <w:r w:rsidR="008E7846" w:rsidRPr="00487162">
              <w:rPr>
                <w:i/>
              </w:rPr>
              <w:t>herapeutic use:</w:t>
            </w:r>
          </w:p>
        </w:tc>
        <w:tc>
          <w:tcPr>
            <w:tcW w:w="6307" w:type="dxa"/>
          </w:tcPr>
          <w:p w:rsidR="00D13447" w:rsidRPr="00D13447" w:rsidRDefault="00D13447" w:rsidP="00D13447">
            <w:pPr>
              <w:rPr>
                <w:i/>
              </w:rPr>
            </w:pPr>
            <w:r w:rsidRPr="00D13447">
              <w:rPr>
                <w:i/>
              </w:rPr>
              <w:t>Rheumatoid Arthritis</w:t>
            </w:r>
          </w:p>
          <w:p w:rsidR="008E7846" w:rsidRPr="00487162" w:rsidRDefault="00D13447" w:rsidP="00D13447">
            <w:pPr>
              <w:rPr>
                <w:rFonts w:eastAsia="MS Mincho"/>
                <w:lang w:eastAsia="ja-JP"/>
              </w:rPr>
            </w:pPr>
            <w:r w:rsidRPr="00D13447">
              <w:rPr>
                <w:i/>
              </w:rPr>
              <w:t>Actemra is indicated for the treatment of moderate to severe active rheumatoid arthritis in adult patients with poor prognostic factors (see Clinical Trials) in combination with MTX in those not previously treated with MTX.</w:t>
            </w:r>
          </w:p>
        </w:tc>
      </w:tr>
      <w:tr w:rsidR="008E7846" w:rsidRPr="00487162" w:rsidTr="008226A0">
        <w:trPr>
          <w:gridAfter w:val="1"/>
          <w:wAfter w:w="283" w:type="dxa"/>
        </w:trPr>
        <w:tc>
          <w:tcPr>
            <w:tcW w:w="2907" w:type="dxa"/>
          </w:tcPr>
          <w:p w:rsidR="008E7846" w:rsidRPr="00487162" w:rsidRDefault="00D13447" w:rsidP="00D13447">
            <w:pPr>
              <w:rPr>
                <w:i/>
              </w:rPr>
            </w:pPr>
            <w:r>
              <w:rPr>
                <w:i/>
              </w:rPr>
              <w:t>Route</w:t>
            </w:r>
            <w:r w:rsidR="008E7846" w:rsidRPr="00487162">
              <w:rPr>
                <w:i/>
              </w:rPr>
              <w:t xml:space="preserve"> of administration:</w:t>
            </w:r>
          </w:p>
        </w:tc>
        <w:tc>
          <w:tcPr>
            <w:tcW w:w="6307" w:type="dxa"/>
          </w:tcPr>
          <w:p w:rsidR="008E7846" w:rsidRPr="00487162" w:rsidRDefault="00D13447" w:rsidP="00D13447">
            <w:r>
              <w:t>Intravenous infusion</w:t>
            </w:r>
          </w:p>
        </w:tc>
      </w:tr>
      <w:tr w:rsidR="008E7846" w:rsidRPr="00487162" w:rsidTr="008226A0">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D13447" w:rsidP="00D13447">
            <w:r w:rsidRPr="00D13447">
              <w:t>A</w:t>
            </w:r>
            <w:r>
              <w:t>ctemra</w:t>
            </w:r>
            <w:r w:rsidRPr="00D13447">
              <w:t xml:space="preserve"> is recommended for IV infusion over </w:t>
            </w:r>
            <w:r>
              <w:t xml:space="preserve">1 h. See approved Product Information at Attachment 1 for </w:t>
            </w:r>
            <w:r w:rsidRPr="00D13447">
              <w:rPr>
                <w:i/>
              </w:rPr>
              <w:t>Dosage and Administration</w:t>
            </w:r>
          </w:p>
        </w:tc>
      </w:tr>
      <w:tr w:rsidR="008E7846" w:rsidRPr="00487162" w:rsidTr="008226A0">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00570055">
              <w:rPr>
                <w:i/>
              </w:rPr>
              <w:t>umbers</w:t>
            </w:r>
            <w:r w:rsidR="001B5C90">
              <w:rPr>
                <w:i/>
              </w:rPr>
              <w:t>:</w:t>
            </w:r>
          </w:p>
        </w:tc>
        <w:tc>
          <w:tcPr>
            <w:tcW w:w="6307" w:type="dxa"/>
          </w:tcPr>
          <w:p w:rsidR="008E7846" w:rsidRPr="00487162" w:rsidRDefault="00570055" w:rsidP="00570055">
            <w:r w:rsidRPr="00570055">
              <w:t>149402, 14940</w:t>
            </w:r>
            <w:r>
              <w:t>3, 149404</w:t>
            </w:r>
          </w:p>
        </w:tc>
      </w:tr>
    </w:tbl>
    <w:p w:rsidR="008E7846" w:rsidRDefault="008E7846" w:rsidP="008226A0">
      <w:pPr>
        <w:pStyle w:val="Heading3"/>
      </w:pPr>
      <w:bookmarkStart w:id="14" w:name="_Toc247691503"/>
      <w:bookmarkStart w:id="15" w:name="_Toc314842484"/>
      <w:bookmarkStart w:id="16" w:name="_Toc412444391"/>
      <w:r>
        <w:t>Product background</w:t>
      </w:r>
      <w:bookmarkEnd w:id="14"/>
      <w:bookmarkEnd w:id="15"/>
      <w:bookmarkEnd w:id="16"/>
    </w:p>
    <w:p w:rsidR="00212D00" w:rsidRPr="00E4221A" w:rsidRDefault="006C365B" w:rsidP="008226A0">
      <w:r>
        <w:t>Tocilizumab (TCZ) is a recombinant</w:t>
      </w:r>
      <w:r w:rsidR="00DF681E">
        <w:t>,</w:t>
      </w:r>
      <w:r w:rsidR="00212D00" w:rsidRPr="00E4221A">
        <w:t xml:space="preserve"> humanised </w:t>
      </w:r>
      <w:r>
        <w:t>(</w:t>
      </w:r>
      <w:proofErr w:type="spellStart"/>
      <w:r>
        <w:t>rch</w:t>
      </w:r>
      <w:proofErr w:type="spellEnd"/>
      <w:r>
        <w:t xml:space="preserve">) </w:t>
      </w:r>
      <w:r w:rsidR="00DF681E">
        <w:t>antihuman, interleukin</w:t>
      </w:r>
      <w:r w:rsidR="00212D00" w:rsidRPr="00E4221A">
        <w:t xml:space="preserve">-6 </w:t>
      </w:r>
      <w:r w:rsidR="00DF681E">
        <w:t xml:space="preserve">(IL-6) </w:t>
      </w:r>
      <w:r w:rsidR="00212D00" w:rsidRPr="00E4221A">
        <w:t>receptor monoclonal antibody that binds specifically to both soluble and membrane-bound IL-6 receptors, thereby inhibiting IL-6</w:t>
      </w:r>
      <w:r w:rsidR="00DF681E">
        <w:t xml:space="preserve"> </w:t>
      </w:r>
      <w:r w:rsidR="00212D00" w:rsidRPr="00E4221A">
        <w:t>mediated signalling. I</w:t>
      </w:r>
      <w:r w:rsidR="00B70D02">
        <w:t>nterleukin</w:t>
      </w:r>
      <w:r w:rsidR="00212D00" w:rsidRPr="00E4221A">
        <w:t xml:space="preserve">-6 is a pro-inflammatory, multifunctional cytokine produced by a variety of cell types. Elevated IL-6 levels have been reported in the serum and synovial fluid of patients with </w:t>
      </w:r>
      <w:r w:rsidR="00DF681E">
        <w:t>rheumatoid arthritis (</w:t>
      </w:r>
      <w:r w:rsidR="00212D00" w:rsidRPr="00E4221A">
        <w:t>RA</w:t>
      </w:r>
      <w:r w:rsidR="00DF681E">
        <w:t>)</w:t>
      </w:r>
      <w:r w:rsidR="00212D00" w:rsidRPr="00E4221A">
        <w:t>, and IL-6 levels are reported to correlate with disease activity.</w:t>
      </w:r>
    </w:p>
    <w:p w:rsidR="00947034" w:rsidRDefault="00B70D02" w:rsidP="00D81489">
      <w:pPr>
        <w:keepNext/>
        <w:keepLines/>
      </w:pPr>
      <w:r>
        <w:lastRenderedPageBreak/>
        <w:t xml:space="preserve">Tocilizumab (Actemra) was first registered in Australia in 2009. </w:t>
      </w:r>
      <w:r w:rsidR="00212D00">
        <w:t xml:space="preserve">At the time of the current submission, </w:t>
      </w:r>
      <w:r>
        <w:t>the approved indications were as follows</w:t>
      </w:r>
      <w:r w:rsidR="00934B02">
        <w:rPr>
          <w:rStyle w:val="FootnoteReference"/>
        </w:rPr>
        <w:footnoteReference w:id="3"/>
      </w:r>
      <w:r w:rsidR="008226A0">
        <w:t>:</w:t>
      </w:r>
    </w:p>
    <w:p w:rsidR="00947034" w:rsidRPr="000E52DF" w:rsidRDefault="00947034" w:rsidP="000E52DF">
      <w:pPr>
        <w:pStyle w:val="ListBullet"/>
        <w:numPr>
          <w:ilvl w:val="0"/>
          <w:numId w:val="0"/>
        </w:numPr>
        <w:ind w:left="360"/>
        <w:rPr>
          <w:i/>
        </w:rPr>
      </w:pPr>
      <w:bookmarkStart w:id="17" w:name="OLE_LINK13"/>
      <w:bookmarkStart w:id="18" w:name="OLE_LINK14"/>
      <w:r w:rsidRPr="000E52DF">
        <w:rPr>
          <w:i/>
        </w:rPr>
        <w:t>Rheumatoid Arthritis</w:t>
      </w:r>
    </w:p>
    <w:p w:rsidR="00947034" w:rsidRPr="00212D00" w:rsidRDefault="00947034" w:rsidP="00212D00">
      <w:pPr>
        <w:pStyle w:val="ListBullet2"/>
        <w:rPr>
          <w:i/>
        </w:rPr>
      </w:pPr>
      <w:r w:rsidRPr="00212D00">
        <w:rPr>
          <w:i/>
        </w:rPr>
        <w:t>A</w:t>
      </w:r>
      <w:r w:rsidR="00934B02" w:rsidRPr="00212D00">
        <w:rPr>
          <w:i/>
        </w:rPr>
        <w:t>ctemra</w:t>
      </w:r>
      <w:r w:rsidRPr="00212D00">
        <w:rPr>
          <w:i/>
        </w:rPr>
        <w:t xml:space="preserve"> is indicated for the treatment of moderate to severe active rheumatoid arthritis (RA) in adult patients:</w:t>
      </w:r>
    </w:p>
    <w:p w:rsidR="00947034" w:rsidRPr="00212D00" w:rsidRDefault="00947034" w:rsidP="00212D00">
      <w:pPr>
        <w:pStyle w:val="ListBullet2"/>
        <w:rPr>
          <w:i/>
        </w:rPr>
      </w:pPr>
      <w:r w:rsidRPr="00212D00">
        <w:rPr>
          <w:i/>
        </w:rPr>
        <w:t>in combination with methotrexate (MTX) or other non-biological disease-modifying anti-rheumatic drugs (DMARDs) in case of either an inadequate response or intolerance to previous therapy with one or more DMARDs; or</w:t>
      </w:r>
    </w:p>
    <w:p w:rsidR="00947034" w:rsidRPr="00212D00" w:rsidRDefault="00947034" w:rsidP="00212D00">
      <w:pPr>
        <w:pStyle w:val="ListBullet2"/>
        <w:rPr>
          <w:i/>
        </w:rPr>
      </w:pPr>
      <w:proofErr w:type="gramStart"/>
      <w:r w:rsidRPr="00212D00">
        <w:rPr>
          <w:i/>
        </w:rPr>
        <w:t>as</w:t>
      </w:r>
      <w:proofErr w:type="gramEnd"/>
      <w:r w:rsidRPr="00212D00">
        <w:rPr>
          <w:i/>
        </w:rPr>
        <w:t xml:space="preserve"> monotherapy in case of intolerance to MTX or where continued treatment with MTX is inappropriate.</w:t>
      </w:r>
    </w:p>
    <w:bookmarkEnd w:id="17"/>
    <w:bookmarkEnd w:id="18"/>
    <w:p w:rsidR="00947034" w:rsidRPr="000E52DF" w:rsidRDefault="00947034" w:rsidP="000E52DF">
      <w:pPr>
        <w:pStyle w:val="ListBullet"/>
        <w:numPr>
          <w:ilvl w:val="0"/>
          <w:numId w:val="0"/>
        </w:numPr>
        <w:ind w:left="360"/>
        <w:rPr>
          <w:i/>
        </w:rPr>
      </w:pPr>
      <w:proofErr w:type="spellStart"/>
      <w:r w:rsidRPr="000E52DF">
        <w:rPr>
          <w:i/>
        </w:rPr>
        <w:t>A</w:t>
      </w:r>
      <w:r w:rsidR="00934B02" w:rsidRPr="000E52DF">
        <w:rPr>
          <w:i/>
        </w:rPr>
        <w:t>ctemra</w:t>
      </w:r>
      <w:proofErr w:type="spellEnd"/>
      <w:r w:rsidR="00934B02" w:rsidRPr="000E52DF">
        <w:rPr>
          <w:i/>
        </w:rPr>
        <w:t xml:space="preserve"> </w:t>
      </w:r>
      <w:r w:rsidRPr="000E52DF">
        <w:rPr>
          <w:i/>
        </w:rPr>
        <w:t>has been shown to inhibit the progression of joint damage in adults, as measured by X-ray, when given in combination with methotrexate.</w:t>
      </w:r>
    </w:p>
    <w:p w:rsidR="00947034" w:rsidRPr="000E52DF" w:rsidRDefault="00947034" w:rsidP="000E52DF">
      <w:pPr>
        <w:pStyle w:val="ListBullet"/>
        <w:numPr>
          <w:ilvl w:val="0"/>
          <w:numId w:val="0"/>
        </w:numPr>
        <w:ind w:left="360"/>
        <w:rPr>
          <w:i/>
        </w:rPr>
      </w:pPr>
      <w:r w:rsidRPr="000E52DF">
        <w:rPr>
          <w:i/>
        </w:rPr>
        <w:t>Systemic Juvenile Idiopathic Arthritis</w:t>
      </w:r>
    </w:p>
    <w:p w:rsidR="00947034" w:rsidRPr="005A6985" w:rsidRDefault="00947034" w:rsidP="005A6985">
      <w:pPr>
        <w:pStyle w:val="ListBullet2"/>
        <w:rPr>
          <w:i/>
        </w:rPr>
      </w:pPr>
      <w:r w:rsidRPr="005A6985">
        <w:rPr>
          <w:i/>
        </w:rPr>
        <w:t>A</w:t>
      </w:r>
      <w:r w:rsidR="00934B02" w:rsidRPr="005A6985">
        <w:rPr>
          <w:i/>
        </w:rPr>
        <w:t>ctemra</w:t>
      </w:r>
      <w:r w:rsidRPr="005A6985">
        <w:rPr>
          <w:i/>
        </w:rPr>
        <w:t xml:space="preserve"> is indicated for the treatment of active systemic juvenile idiopathic arthritis in patients 2 years of age and older. A</w:t>
      </w:r>
      <w:r w:rsidR="00782F89" w:rsidRPr="005A6985">
        <w:rPr>
          <w:i/>
        </w:rPr>
        <w:t>ctemra</w:t>
      </w:r>
      <w:r w:rsidRPr="005A6985">
        <w:rPr>
          <w:i/>
        </w:rPr>
        <w:t xml:space="preserve"> can be given alone or in combination with methotrexate (MTX).</w:t>
      </w:r>
    </w:p>
    <w:p w:rsidR="00947034" w:rsidRPr="00212D00" w:rsidRDefault="00947034" w:rsidP="00D81489">
      <w:r w:rsidRPr="00212D00">
        <w:t xml:space="preserve">This AusPAR describes the application by </w:t>
      </w:r>
      <w:r w:rsidR="00212D00" w:rsidRPr="00212D00">
        <w:t>Roche Products Pty Ltd (</w:t>
      </w:r>
      <w:r w:rsidRPr="00212D00">
        <w:t>the sponsor</w:t>
      </w:r>
      <w:r w:rsidR="00212D00" w:rsidRPr="00212D00">
        <w:t>)</w:t>
      </w:r>
      <w:r w:rsidRPr="00212D00">
        <w:t xml:space="preserve"> to </w:t>
      </w:r>
      <w:r w:rsidR="00B70D02">
        <w:t>extend the i</w:t>
      </w:r>
      <w:r w:rsidR="00212D00" w:rsidRPr="00212D00">
        <w:t xml:space="preserve">ndications </w:t>
      </w:r>
      <w:r w:rsidR="00DC23FF">
        <w:t xml:space="preserve">for </w:t>
      </w:r>
      <w:r w:rsidR="00B70D02">
        <w:t>t</w:t>
      </w:r>
      <w:r w:rsidR="00B70D02" w:rsidRPr="00B70D02">
        <w:t xml:space="preserve">ocilizumab </w:t>
      </w:r>
      <w:r w:rsidR="00B70D02">
        <w:t xml:space="preserve">as follows </w:t>
      </w:r>
      <w:r w:rsidRPr="00212D00">
        <w:t xml:space="preserve">(the proposed amendments are </w:t>
      </w:r>
      <w:r w:rsidR="00B70D02">
        <w:t>shown in bold font</w:t>
      </w:r>
      <w:r w:rsidR="00D81489">
        <w:t>):</w:t>
      </w:r>
    </w:p>
    <w:p w:rsidR="00947034" w:rsidRPr="000E52DF" w:rsidRDefault="00947034" w:rsidP="000E52DF">
      <w:pPr>
        <w:pStyle w:val="ListBullet"/>
        <w:numPr>
          <w:ilvl w:val="0"/>
          <w:numId w:val="0"/>
        </w:numPr>
        <w:ind w:left="360"/>
        <w:rPr>
          <w:i/>
        </w:rPr>
      </w:pPr>
      <w:r w:rsidRPr="000E52DF">
        <w:rPr>
          <w:i/>
        </w:rPr>
        <w:t>Rheumatoid Arthritis</w:t>
      </w:r>
    </w:p>
    <w:p w:rsidR="00947034" w:rsidRPr="000E52DF" w:rsidRDefault="00947034" w:rsidP="000E52DF">
      <w:pPr>
        <w:pStyle w:val="ListBullet2"/>
        <w:numPr>
          <w:ilvl w:val="0"/>
          <w:numId w:val="0"/>
        </w:numPr>
        <w:ind w:left="720"/>
        <w:rPr>
          <w:i/>
        </w:rPr>
      </w:pPr>
      <w:proofErr w:type="spellStart"/>
      <w:r w:rsidRPr="000E52DF">
        <w:rPr>
          <w:i/>
        </w:rPr>
        <w:t>A</w:t>
      </w:r>
      <w:r w:rsidR="00934B02" w:rsidRPr="000E52DF">
        <w:rPr>
          <w:i/>
        </w:rPr>
        <w:t>ctemra</w:t>
      </w:r>
      <w:proofErr w:type="spellEnd"/>
      <w:r w:rsidRPr="000E52DF">
        <w:rPr>
          <w:i/>
        </w:rPr>
        <w:t xml:space="preserve"> is indicated for the treatment of moderate to severe active rheumatoid arthritis (RA) in adult patients:</w:t>
      </w:r>
    </w:p>
    <w:p w:rsidR="00947034" w:rsidRPr="00DC23FF" w:rsidRDefault="00947034" w:rsidP="005A6985">
      <w:pPr>
        <w:pStyle w:val="ListBullet2"/>
        <w:rPr>
          <w:i/>
        </w:rPr>
      </w:pPr>
      <w:r w:rsidRPr="00D81489">
        <w:rPr>
          <w:b/>
          <w:i/>
        </w:rPr>
        <w:t>in combination with methotrexate (MTX) in those not previously treated with MTX</w:t>
      </w:r>
      <w:r w:rsidRPr="005A6985">
        <w:rPr>
          <w:i/>
        </w:rPr>
        <w:t>;</w:t>
      </w:r>
    </w:p>
    <w:p w:rsidR="00947034" w:rsidRPr="005A6985" w:rsidRDefault="00947034" w:rsidP="005A6985">
      <w:pPr>
        <w:pStyle w:val="ListBullet2"/>
        <w:rPr>
          <w:i/>
        </w:rPr>
      </w:pPr>
      <w:r w:rsidRPr="005A6985">
        <w:rPr>
          <w:i/>
        </w:rPr>
        <w:t>in combination with methotrexate (MTX) or other non-biological disease-modifying anti-rheumatic drugs (DMARDs) in case of either an inadequate response or intolerance to previous therapy with one or more DMARDs; or</w:t>
      </w:r>
    </w:p>
    <w:p w:rsidR="00947034" w:rsidRPr="005A6985" w:rsidRDefault="00947034" w:rsidP="005A6985">
      <w:pPr>
        <w:pStyle w:val="ListBullet2"/>
        <w:rPr>
          <w:i/>
        </w:rPr>
      </w:pPr>
      <w:proofErr w:type="gramStart"/>
      <w:r w:rsidRPr="005A6985">
        <w:rPr>
          <w:i/>
        </w:rPr>
        <w:t>as</w:t>
      </w:r>
      <w:proofErr w:type="gramEnd"/>
      <w:r w:rsidRPr="005A6985">
        <w:rPr>
          <w:i/>
        </w:rPr>
        <w:t xml:space="preserve"> monotherapy in case of intolerance to MTX or where continued treatment with MTX is inappropriate.</w:t>
      </w:r>
    </w:p>
    <w:p w:rsidR="00947034" w:rsidRPr="00B70D02" w:rsidRDefault="00947034" w:rsidP="00B70D02">
      <w:pPr>
        <w:ind w:left="720"/>
        <w:rPr>
          <w:i/>
        </w:rPr>
      </w:pPr>
      <w:r w:rsidRPr="00B70D02">
        <w:rPr>
          <w:i/>
        </w:rPr>
        <w:t>A</w:t>
      </w:r>
      <w:r w:rsidR="00934B02" w:rsidRPr="00B70D02">
        <w:rPr>
          <w:i/>
        </w:rPr>
        <w:t>ctemra</w:t>
      </w:r>
      <w:r w:rsidRPr="00B70D02">
        <w:rPr>
          <w:i/>
        </w:rPr>
        <w:t xml:space="preserve"> has been shown to inhibit the progression of joint damage in adults, as measured by X-ray, when given </w:t>
      </w:r>
      <w:r w:rsidRPr="00D81489">
        <w:rPr>
          <w:b/>
          <w:i/>
        </w:rPr>
        <w:t>alone or</w:t>
      </w:r>
      <w:r w:rsidRPr="00B70D02">
        <w:rPr>
          <w:i/>
        </w:rPr>
        <w:t xml:space="preserve"> in combination with methotrexate.</w:t>
      </w:r>
    </w:p>
    <w:p w:rsidR="00947034" w:rsidRPr="00B70D02" w:rsidRDefault="00947034" w:rsidP="00B70D02">
      <w:pPr>
        <w:ind w:left="720"/>
        <w:rPr>
          <w:i/>
        </w:rPr>
      </w:pPr>
      <w:r w:rsidRPr="00B70D02">
        <w:rPr>
          <w:i/>
        </w:rPr>
        <w:t>Systemic Juvenile Idiopathic Arthritis</w:t>
      </w:r>
    </w:p>
    <w:p w:rsidR="00947034" w:rsidRPr="005A6985" w:rsidRDefault="00947034" w:rsidP="005A6985">
      <w:pPr>
        <w:pStyle w:val="ListBullet2"/>
        <w:rPr>
          <w:i/>
        </w:rPr>
      </w:pPr>
      <w:r w:rsidRPr="005A6985">
        <w:rPr>
          <w:i/>
        </w:rPr>
        <w:t>A</w:t>
      </w:r>
      <w:r w:rsidR="00934B02" w:rsidRPr="005A6985">
        <w:rPr>
          <w:i/>
        </w:rPr>
        <w:t>ctemra</w:t>
      </w:r>
      <w:r w:rsidRPr="005A6985">
        <w:rPr>
          <w:i/>
        </w:rPr>
        <w:t xml:space="preserve"> is indicated for the treatment of active systemic juvenile idiopathic arthritis in patients 2 years of age and older. A</w:t>
      </w:r>
      <w:r w:rsidR="00782F89" w:rsidRPr="005A6985">
        <w:rPr>
          <w:i/>
        </w:rPr>
        <w:t>ctemra</w:t>
      </w:r>
      <w:r w:rsidRPr="005A6985">
        <w:rPr>
          <w:i/>
        </w:rPr>
        <w:t xml:space="preserve"> can be given alone or in combi</w:t>
      </w:r>
      <w:r w:rsidR="00DC64CC">
        <w:rPr>
          <w:i/>
        </w:rPr>
        <w:t>nation with methotrexate (MTX).</w:t>
      </w:r>
    </w:p>
    <w:p w:rsidR="00B70D02" w:rsidRPr="00B70D02" w:rsidRDefault="00B70D02" w:rsidP="00DC64CC">
      <w:r>
        <w:t xml:space="preserve">The sponsor also proposed amendments to the approved Product Information (PI), including an update to the </w:t>
      </w:r>
      <w:r w:rsidRPr="00B70D02">
        <w:rPr>
          <w:i/>
        </w:rPr>
        <w:t>Precautions</w:t>
      </w:r>
      <w:r w:rsidRPr="00B70D02">
        <w:t xml:space="preserve"> section</w:t>
      </w:r>
      <w:r>
        <w:t xml:space="preserve">. Details of this aspect of the application are </w:t>
      </w:r>
      <w:r w:rsidR="00DC64CC">
        <w:t>beyond the scope of the AusPAR.</w:t>
      </w:r>
    </w:p>
    <w:p w:rsidR="008E7846" w:rsidRPr="00DC64CC" w:rsidRDefault="00386150" w:rsidP="00DC64CC">
      <w:pPr>
        <w:pStyle w:val="Heading3"/>
      </w:pPr>
      <w:bookmarkStart w:id="19" w:name="_Toc314842485"/>
      <w:bookmarkStart w:id="20" w:name="_Toc247691504"/>
      <w:bookmarkStart w:id="21" w:name="_Toc412444392"/>
      <w:r w:rsidRPr="00DC64CC">
        <w:lastRenderedPageBreak/>
        <w:t>Regulatory s</w:t>
      </w:r>
      <w:r w:rsidR="008E7846" w:rsidRPr="00DC64CC">
        <w:t>tatus</w:t>
      </w:r>
      <w:bookmarkEnd w:id="19"/>
      <w:bookmarkEnd w:id="20"/>
      <w:bookmarkEnd w:id="21"/>
    </w:p>
    <w:p w:rsidR="00940A89" w:rsidRPr="00940A89" w:rsidRDefault="00940A89" w:rsidP="00DC64CC">
      <w:bookmarkStart w:id="22" w:name="_Toc247691505"/>
      <w:bookmarkStart w:id="23" w:name="_Toc314842486"/>
      <w:r w:rsidRPr="00940A89">
        <w:t>The product received initial registration on the Australian Register of Therapeutic Goods (ARTG) on</w:t>
      </w:r>
      <w:r w:rsidR="00D13447">
        <w:t xml:space="preserve"> 21 May 2009.</w:t>
      </w:r>
    </w:p>
    <w:p w:rsidR="00940A89" w:rsidRDefault="00940A89" w:rsidP="00DC64CC">
      <w:r w:rsidRPr="00940A89">
        <w:t xml:space="preserve">At the time the TGA considered this application, a similar application </w:t>
      </w:r>
      <w:r w:rsidR="00B70D02">
        <w:t>was under consideration in Canada (submitted December 2013), the European Union (EU; submitted June 2013), New Zealand (submitted October 2013) and Switzerland (submitted July 2013</w:t>
      </w:r>
      <w:r>
        <w:t>.</w:t>
      </w:r>
    </w:p>
    <w:p w:rsidR="008E7846" w:rsidRDefault="008E7846" w:rsidP="00DC64CC">
      <w:pPr>
        <w:pStyle w:val="Heading3"/>
      </w:pPr>
      <w:bookmarkStart w:id="24" w:name="_Toc412444393"/>
      <w:r>
        <w:t>Product Information</w:t>
      </w:r>
      <w:bookmarkEnd w:id="22"/>
      <w:bookmarkEnd w:id="23"/>
      <w:bookmarkEnd w:id="24"/>
    </w:p>
    <w:p w:rsidR="00940A89" w:rsidRDefault="00940A89" w:rsidP="00DC64CC">
      <w:pPr>
        <w:rPr>
          <w:b/>
          <w:bCs/>
        </w:rPr>
      </w:pPr>
      <w:bookmarkStart w:id="25" w:name="_Toc247691506"/>
      <w:bookmarkStart w:id="26" w:name="_Toc314842487"/>
      <w:r w:rsidRPr="00940A89">
        <w:t>The approved Product Information (PI) current at the time this AusPAR was prepared can be found as Attachment 1. For the most recent Product Information please refer to the TGA website at &lt;</w:t>
      </w:r>
      <w:hyperlink r:id="rId14" w:history="1">
        <w:r w:rsidR="000E52DF">
          <w:rPr>
            <w:rStyle w:val="Hyperlink"/>
          </w:rPr>
          <w:t>https://www.tga.gov.au/product-information-pi</w:t>
        </w:r>
      </w:hyperlink>
      <w:r w:rsidRPr="00940A89">
        <w:t>&gt;.</w:t>
      </w:r>
    </w:p>
    <w:p w:rsidR="008E7846" w:rsidRPr="003602A9" w:rsidRDefault="008E7846" w:rsidP="00DC64CC">
      <w:pPr>
        <w:pStyle w:val="Heading2"/>
      </w:pPr>
      <w:bookmarkStart w:id="27" w:name="_Toc412444394"/>
      <w:r>
        <w:t>II. Quality</w:t>
      </w:r>
      <w:bookmarkEnd w:id="1"/>
      <w:r>
        <w:t xml:space="preserve"> findings</w:t>
      </w:r>
      <w:bookmarkEnd w:id="25"/>
      <w:bookmarkEnd w:id="26"/>
      <w:bookmarkEnd w:id="27"/>
    </w:p>
    <w:p w:rsidR="008E7846" w:rsidRDefault="00940A89" w:rsidP="00DC64CC">
      <w:bookmarkStart w:id="28" w:name="_Toc247691507"/>
      <w:bookmarkStart w:id="29" w:name="_Toc314842488"/>
      <w:r w:rsidRPr="00940A89">
        <w:t>There was no requirement for a quality evaluation in a submission of this type.</w:t>
      </w:r>
      <w:bookmarkEnd w:id="28"/>
      <w:bookmarkEnd w:id="29"/>
    </w:p>
    <w:p w:rsidR="008E7846" w:rsidRDefault="008E7846" w:rsidP="00DC64CC">
      <w:pPr>
        <w:pStyle w:val="Heading2"/>
      </w:pPr>
      <w:bookmarkStart w:id="30" w:name="_Toc196046439"/>
      <w:bookmarkStart w:id="31" w:name="_Toc247691510"/>
      <w:bookmarkStart w:id="32" w:name="_Toc314842494"/>
      <w:bookmarkStart w:id="33" w:name="_Toc412444395"/>
      <w:r>
        <w:t>III. Nonclinical</w:t>
      </w:r>
      <w:bookmarkEnd w:id="30"/>
      <w:r>
        <w:t xml:space="preserve"> findings</w:t>
      </w:r>
      <w:bookmarkEnd w:id="31"/>
      <w:bookmarkEnd w:id="32"/>
      <w:bookmarkEnd w:id="33"/>
    </w:p>
    <w:p w:rsidR="00940A89" w:rsidRDefault="00940A89" w:rsidP="00DC64CC">
      <w:bookmarkStart w:id="34" w:name="_Toc247691511"/>
      <w:bookmarkStart w:id="35" w:name="_Toc314842495"/>
      <w:r>
        <w:t>There was no requirement for a nonclinical evaluation in a submission of this type.</w:t>
      </w:r>
    </w:p>
    <w:p w:rsidR="008E7846" w:rsidRPr="00254787" w:rsidRDefault="008E7846" w:rsidP="00DC64CC">
      <w:pPr>
        <w:pStyle w:val="Heading2"/>
      </w:pPr>
      <w:bookmarkStart w:id="36" w:name="_Toc196046462"/>
      <w:bookmarkStart w:id="37" w:name="_Toc247691516"/>
      <w:bookmarkStart w:id="38" w:name="_Toc314842500"/>
      <w:bookmarkStart w:id="39" w:name="_Toc163441353"/>
      <w:bookmarkStart w:id="40" w:name="_Toc163441348"/>
      <w:bookmarkStart w:id="41" w:name="_Toc412444396"/>
      <w:bookmarkEnd w:id="34"/>
      <w:bookmarkEnd w:id="35"/>
      <w:r>
        <w:t xml:space="preserve">IV. </w:t>
      </w:r>
      <w:r w:rsidRPr="00254787">
        <w:t>Clinical</w:t>
      </w:r>
      <w:bookmarkEnd w:id="36"/>
      <w:r>
        <w:t xml:space="preserve"> </w:t>
      </w:r>
      <w:r w:rsidR="003A7F6C">
        <w:t>f</w:t>
      </w:r>
      <w:r>
        <w:t>indings</w:t>
      </w:r>
      <w:bookmarkEnd w:id="37"/>
      <w:bookmarkEnd w:id="38"/>
      <w:bookmarkEnd w:id="41"/>
    </w:p>
    <w:p w:rsidR="00C80137" w:rsidRDefault="00C80137" w:rsidP="00DC64CC">
      <w:bookmarkStart w:id="42"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605AD4" w:rsidRDefault="00605AD4" w:rsidP="00153337">
      <w:pPr>
        <w:pStyle w:val="Heading3"/>
      </w:pPr>
      <w:bookmarkStart w:id="43" w:name="_Toc196046464"/>
      <w:bookmarkStart w:id="44" w:name="_Toc247691518"/>
      <w:bookmarkStart w:id="45" w:name="_Toc314842502"/>
      <w:bookmarkStart w:id="46" w:name="_Toc412444397"/>
      <w:bookmarkEnd w:id="42"/>
      <w:r w:rsidRPr="00605AD4">
        <w:t xml:space="preserve">Clinical </w:t>
      </w:r>
      <w:r w:rsidR="00DC64CC">
        <w:t>r</w:t>
      </w:r>
      <w:r w:rsidRPr="00605AD4">
        <w:t>ationale</w:t>
      </w:r>
      <w:bookmarkEnd w:id="46"/>
    </w:p>
    <w:p w:rsidR="0077010A" w:rsidRPr="00B70D02" w:rsidRDefault="0077010A" w:rsidP="00DC64CC">
      <w:r w:rsidRPr="00B70D02">
        <w:t xml:space="preserve">Rheumatoid arthritis is a progressive systemic autoimmune disease characterised by inflammation of the </w:t>
      </w:r>
      <w:proofErr w:type="spellStart"/>
      <w:r w:rsidRPr="00B70D02">
        <w:t>synovium</w:t>
      </w:r>
      <w:proofErr w:type="spellEnd"/>
      <w:r w:rsidRPr="00B70D02">
        <w:t xml:space="preserve"> leading to irreversible destruction and disability of the joints. The treatment of RA is directed toward the control of synovitis and the prevention of joint injury. Clinical recommendations which support an early aggressive approach to treatment are based upon the observations that joint damage, which may ultimately result in disability, begins early in the course of disease and that the longer active disease persists the less likely the pa</w:t>
      </w:r>
      <w:r w:rsidR="00DC64CC">
        <w:t>tient is to respond to therapy.</w:t>
      </w:r>
    </w:p>
    <w:p w:rsidR="0077010A" w:rsidRPr="00B70D02" w:rsidRDefault="0077010A" w:rsidP="00DC64CC">
      <w:r w:rsidRPr="00B70D02">
        <w:t xml:space="preserve">Current therapy consists of anti-inflammatory therapies, including </w:t>
      </w:r>
      <w:proofErr w:type="spellStart"/>
      <w:r w:rsidRPr="00B70D02">
        <w:t>nonsteroidal</w:t>
      </w:r>
      <w:proofErr w:type="spellEnd"/>
      <w:r w:rsidRPr="00B70D02">
        <w:t xml:space="preserve"> anti-inflammatory drugs (NSAIDs) and glucocorticoids, to help control symptoms and the disease modifying </w:t>
      </w:r>
      <w:proofErr w:type="spellStart"/>
      <w:r w:rsidRPr="00B70D02">
        <w:t>antirheumatic</w:t>
      </w:r>
      <w:proofErr w:type="spellEnd"/>
      <w:r w:rsidRPr="00B70D02">
        <w:t xml:space="preserve"> drugs (DMARDs). In patients with moderately to severely active RA (as defined by at least 5 inflamed joints, elevated acute phase reactants and sometimes early radiographic changes) treatment with a DMARD is recommended. These drugs include methotrexate (MTX) and biologic agents. Most biologic agents for treatment of early RA are </w:t>
      </w:r>
      <w:r w:rsidR="005A6985">
        <w:t>tumour necrosis factor (</w:t>
      </w:r>
      <w:r w:rsidRPr="00B70D02">
        <w:t>TNF</w:t>
      </w:r>
      <w:r w:rsidR="005A6985">
        <w:t>)</w:t>
      </w:r>
      <w:r w:rsidRPr="00B70D02">
        <w:t xml:space="preserve"> antagonists. The </w:t>
      </w:r>
      <w:r w:rsidR="005A6985">
        <w:t>s</w:t>
      </w:r>
      <w:r w:rsidRPr="00B70D02">
        <w:t xml:space="preserve">ponsor states that there is a clinical need for alternative biological agents with different mechanisms of action which can be used in the early RA population. In addition, while MTX is the main DMARD used, some patients may have intolerance or have comorbidities which contraindicate its use. For these reasons </w:t>
      </w:r>
      <w:r w:rsidR="006C365B">
        <w:t>TCZ</w:t>
      </w:r>
      <w:r w:rsidRPr="00B70D02">
        <w:t xml:space="preserve"> was assessed in combination with MTX and as monotherapy in an early RA population.</w:t>
      </w:r>
    </w:p>
    <w:p w:rsidR="00605AD4" w:rsidRDefault="00605AD4" w:rsidP="00153337">
      <w:pPr>
        <w:pStyle w:val="Heading3"/>
      </w:pPr>
      <w:bookmarkStart w:id="47" w:name="_Toc412444398"/>
      <w:r w:rsidRPr="00605AD4">
        <w:lastRenderedPageBreak/>
        <w:t>Guidance</w:t>
      </w:r>
      <w:bookmarkEnd w:id="47"/>
    </w:p>
    <w:p w:rsidR="0077010A" w:rsidRPr="00E4221A" w:rsidRDefault="0077010A" w:rsidP="00DC64CC">
      <w:r w:rsidRPr="00E4221A">
        <w:t>The following information was provided by the sponso</w:t>
      </w:r>
      <w:r w:rsidR="00DC64CC">
        <w:t>rs at the pre-submission stage:</w:t>
      </w:r>
    </w:p>
    <w:p w:rsidR="0077010A" w:rsidRPr="00242D68" w:rsidRDefault="0077010A" w:rsidP="0077010A">
      <w:r w:rsidRPr="00242D68">
        <w:t xml:space="preserve">As part of this application the </w:t>
      </w:r>
      <w:r w:rsidR="00DC23FF">
        <w:t>s</w:t>
      </w:r>
      <w:r w:rsidRPr="00242D68">
        <w:t>ponsor proposes to revise the existing progression of j</w:t>
      </w:r>
      <w:r>
        <w:t xml:space="preserve">oint damage claim, as follows: </w:t>
      </w:r>
      <w:r w:rsidRPr="00242D68">
        <w:rPr>
          <w:i/>
        </w:rPr>
        <w:t>“A</w:t>
      </w:r>
      <w:r w:rsidR="005A6985" w:rsidRPr="00242D68">
        <w:rPr>
          <w:i/>
        </w:rPr>
        <w:t xml:space="preserve">ctemra </w:t>
      </w:r>
      <w:r w:rsidRPr="00242D68">
        <w:rPr>
          <w:i/>
        </w:rPr>
        <w:t>has been shown to inhibit the progression of joint damage in adults, as measured by X-ray, when given alone or in combination with methotrexate.”</w:t>
      </w:r>
      <w:r w:rsidR="005A6985">
        <w:t xml:space="preserve"> </w:t>
      </w:r>
      <w:r w:rsidRPr="00242D68">
        <w:t>To support this revision the application includes radiographic data for up to one year of treatment from the WA19926 study. When the stu</w:t>
      </w:r>
      <w:r w:rsidR="005A6985">
        <w:t xml:space="preserve">dy is complete at Week 104, two </w:t>
      </w:r>
      <w:r w:rsidRPr="00242D68">
        <w:t>year radiographic data will also be available. Radiographic data from the previously submitted MRA012JP and the WA17823 studies are also referred to.</w:t>
      </w:r>
    </w:p>
    <w:p w:rsidR="0077010A" w:rsidRPr="00242D68" w:rsidRDefault="005A6985" w:rsidP="00DC64CC">
      <w:r>
        <w:t>The s</w:t>
      </w:r>
      <w:r w:rsidR="0077010A" w:rsidRPr="00242D68">
        <w:t xml:space="preserve">ponsor acknowledges the TGA currently adopts the EMA guideline CPMP/EWP/556/95 Rev 1 </w:t>
      </w:r>
      <w:r w:rsidR="0077010A" w:rsidRPr="005A6985">
        <w:rPr>
          <w:i/>
        </w:rPr>
        <w:t>Points to Consider on Clinical Investigation of Medicinal Products other than NSAIDS for Treatment of Rheumatoid Arthritis</w:t>
      </w:r>
      <w:r w:rsidR="0077010A" w:rsidRPr="00242D68">
        <w:t>, dated December 2003, which includes the following requ</w:t>
      </w:r>
      <w:r w:rsidR="0077010A">
        <w:t xml:space="preserve">irement for radiographic data: </w:t>
      </w:r>
      <w:r w:rsidR="0077010A" w:rsidRPr="005A6985">
        <w:t>“For agents which are claimed to prevent structural joint damage, it is currently recommended to demonstrate radiological differences of hands and forefeet on the basis of before/after comparisons taken not less than one year apart ideally for two years using full randomisation and pre-agreed criteria.”</w:t>
      </w:r>
    </w:p>
    <w:p w:rsidR="0077010A" w:rsidRPr="00242D68" w:rsidRDefault="0077010A" w:rsidP="00DC64CC">
      <w:r w:rsidRPr="00242D68">
        <w:t xml:space="preserve">However the new draft EMA guideline CPMP/EWP/556/95 Rev 2 </w:t>
      </w:r>
      <w:r w:rsidRPr="005A6985">
        <w:rPr>
          <w:i/>
        </w:rPr>
        <w:t>Guideline on clinical investigation of medicinal products other than NSAIDs for the treatment of rheumatoid arthritis</w:t>
      </w:r>
      <w:r w:rsidRPr="00242D68">
        <w:t>, dated 28 November 2011, has updated this requirement as follows:</w:t>
      </w:r>
      <w:r w:rsidR="005A6985">
        <w:t xml:space="preserve"> </w:t>
      </w:r>
      <w:r>
        <w:t>“</w:t>
      </w:r>
      <w:r w:rsidRPr="00242D68">
        <w:t xml:space="preserve">Using the existing validated technique to assess radiographic progression, </w:t>
      </w:r>
      <w:r w:rsidR="00DC23FF">
        <w:t xml:space="preserve">that is, </w:t>
      </w:r>
      <w:r w:rsidRPr="00242D68">
        <w:t>radiographs, measurement after 1 year may be sufficient to confirm efficacy in terms of endpoints relevant to slowing/preventi</w:t>
      </w:r>
      <w:r w:rsidR="00A44B92">
        <w:t xml:space="preserve">on of structural damage claim. </w:t>
      </w:r>
      <w:r w:rsidRPr="00242D68">
        <w:t>In exceptional cases a measurement after at least 6 months may be sufficient depending on the properties of the test drug; this has to be justified by robustness of the method and convincing clinical data. It is important to demonstrate long-term maintenance of this eff</w:t>
      </w:r>
      <w:r>
        <w:t>ect for an additional 12 months”</w:t>
      </w:r>
      <w:r w:rsidR="00DC64CC">
        <w:t>.</w:t>
      </w:r>
    </w:p>
    <w:p w:rsidR="0077010A" w:rsidRPr="0077010A" w:rsidRDefault="005A6985" w:rsidP="00DC64CC">
      <w:r>
        <w:t>The s</w:t>
      </w:r>
      <w:r w:rsidR="0077010A" w:rsidRPr="00242D68">
        <w:t>ponsor considers sufficient data are provided in this application to address these requirements.</w:t>
      </w:r>
    </w:p>
    <w:p w:rsidR="00605AD4" w:rsidRDefault="00605AD4" w:rsidP="00153337">
      <w:pPr>
        <w:pStyle w:val="Heading3"/>
      </w:pPr>
      <w:bookmarkStart w:id="48" w:name="_Toc412444399"/>
      <w:r w:rsidRPr="00605AD4">
        <w:t>Contents of the clinical dossier</w:t>
      </w:r>
      <w:bookmarkEnd w:id="48"/>
    </w:p>
    <w:p w:rsidR="0077010A" w:rsidRDefault="0077010A" w:rsidP="00153337">
      <w:pPr>
        <w:pStyle w:val="Heading4"/>
      </w:pPr>
      <w:bookmarkStart w:id="49" w:name="_Toc405551985"/>
      <w:r>
        <w:t>Scope of the clinical dossier</w:t>
      </w:r>
      <w:bookmarkEnd w:id="49"/>
    </w:p>
    <w:p w:rsidR="0077010A" w:rsidRPr="001064F2" w:rsidRDefault="0077010A" w:rsidP="00DC64CC">
      <w:r w:rsidRPr="001064F2">
        <w:t>The submission contained the following clinical information:</w:t>
      </w:r>
    </w:p>
    <w:p w:rsidR="0077010A" w:rsidRPr="005A6985" w:rsidRDefault="0077010A" w:rsidP="00DC64CC">
      <w:pPr>
        <w:pStyle w:val="ListBullet"/>
      </w:pPr>
      <w:r w:rsidRPr="005A6985">
        <w:t xml:space="preserve">One population </w:t>
      </w:r>
      <w:r w:rsidR="00A44B92">
        <w:t>pharmacokinetics (</w:t>
      </w:r>
      <w:r w:rsidRPr="005A6985">
        <w:t>PK</w:t>
      </w:r>
      <w:r w:rsidR="00A44B92">
        <w:t>)</w:t>
      </w:r>
      <w:r w:rsidRPr="005A6985">
        <w:t xml:space="preserve"> study (WA17823).</w:t>
      </w:r>
    </w:p>
    <w:p w:rsidR="0077010A" w:rsidRPr="005A6985" w:rsidRDefault="00A44B92" w:rsidP="00DC64CC">
      <w:pPr>
        <w:pStyle w:val="ListBullet"/>
      </w:pPr>
      <w:r>
        <w:t>One P</w:t>
      </w:r>
      <w:r w:rsidR="0077010A" w:rsidRPr="005A6985">
        <w:t>hase III study (WA19926).</w:t>
      </w:r>
    </w:p>
    <w:p w:rsidR="0077010A" w:rsidRPr="005A6985" w:rsidRDefault="00A44B92" w:rsidP="00DC64CC">
      <w:pPr>
        <w:pStyle w:val="ListBullet"/>
      </w:pPr>
      <w:r>
        <w:t>One P</w:t>
      </w:r>
      <w:r w:rsidR="0077010A" w:rsidRPr="005A6985">
        <w:t>hase III extension study (WA18695).</w:t>
      </w:r>
    </w:p>
    <w:p w:rsidR="0077010A" w:rsidRPr="005A6985" w:rsidRDefault="00A44B92" w:rsidP="00DC64CC">
      <w:pPr>
        <w:pStyle w:val="ListBullet"/>
      </w:pPr>
      <w:r>
        <w:t>One P</w:t>
      </w:r>
      <w:r w:rsidR="0077010A" w:rsidRPr="005A6985">
        <w:t>hase IV study (NA25256).</w:t>
      </w:r>
    </w:p>
    <w:p w:rsidR="0077010A" w:rsidRPr="005A6985" w:rsidRDefault="0077010A" w:rsidP="005A6985">
      <w:pPr>
        <w:pStyle w:val="ListBullet"/>
      </w:pPr>
      <w:r w:rsidRPr="005A6985">
        <w:t>Literature references.</w:t>
      </w:r>
    </w:p>
    <w:p w:rsidR="0077010A" w:rsidRPr="005A6985" w:rsidRDefault="0077010A" w:rsidP="00DC64CC">
      <w:pPr>
        <w:pStyle w:val="ListBullet"/>
      </w:pPr>
      <w:r w:rsidRPr="005A6985">
        <w:t>Clinical Overview, Summary of Clinical Pharmacology, Summary of Clinical Efficacy, Summary of Clinical Safety, individual study synopses and listing of literature references.</w:t>
      </w:r>
    </w:p>
    <w:p w:rsidR="00605AD4" w:rsidRDefault="00605AD4" w:rsidP="00153337">
      <w:pPr>
        <w:pStyle w:val="Heading3"/>
      </w:pPr>
      <w:bookmarkStart w:id="50" w:name="_Toc412444400"/>
      <w:r w:rsidRPr="00605AD4">
        <w:t>Paediatric data</w:t>
      </w:r>
      <w:bookmarkEnd w:id="50"/>
    </w:p>
    <w:p w:rsidR="0077010A" w:rsidRPr="005A6985" w:rsidRDefault="0077010A" w:rsidP="00DC64CC">
      <w:r w:rsidRPr="005A6985">
        <w:t>The submission d</w:t>
      </w:r>
      <w:r w:rsidR="00DC64CC">
        <w:t>id not include paediatric data.</w:t>
      </w:r>
    </w:p>
    <w:p w:rsidR="00605AD4" w:rsidRDefault="00605AD4" w:rsidP="00153337">
      <w:pPr>
        <w:pStyle w:val="Heading3"/>
      </w:pPr>
      <w:bookmarkStart w:id="51" w:name="_Toc412444401"/>
      <w:r w:rsidRPr="00605AD4">
        <w:lastRenderedPageBreak/>
        <w:t>Good clinical practice</w:t>
      </w:r>
      <w:bookmarkEnd w:id="51"/>
    </w:p>
    <w:p w:rsidR="0077010A" w:rsidRPr="005A6985" w:rsidRDefault="0077010A" w:rsidP="00DC64CC">
      <w:bookmarkStart w:id="52" w:name="_Toc241374282"/>
      <w:r w:rsidRPr="005A6985">
        <w:t xml:space="preserve">The studies included in the dossier all included statements that they were conducted in accordance with </w:t>
      </w:r>
      <w:r w:rsidR="005A6985" w:rsidRPr="005A6985">
        <w:t xml:space="preserve">Harmonisation </w:t>
      </w:r>
      <w:r w:rsidR="005A6985" w:rsidRPr="005A6985">
        <w:rPr>
          <w:lang w:val="en"/>
        </w:rPr>
        <w:t xml:space="preserve">of Technical Requirements for Registration of Pharmaceuticals for Human Use </w:t>
      </w:r>
      <w:r w:rsidR="005A6985">
        <w:rPr>
          <w:lang w:val="en"/>
        </w:rPr>
        <w:t>(</w:t>
      </w:r>
      <w:r w:rsidRPr="005A6985">
        <w:t>ICH</w:t>
      </w:r>
      <w:r w:rsidR="005A6985">
        <w:t>) g</w:t>
      </w:r>
      <w:r w:rsidRPr="005A6985">
        <w:t xml:space="preserve">ood </w:t>
      </w:r>
      <w:r w:rsidR="005A6985">
        <w:t>c</w:t>
      </w:r>
      <w:r w:rsidRPr="005A6985">
        <w:t xml:space="preserve">linical </w:t>
      </w:r>
      <w:r w:rsidR="005A6985">
        <w:t>p</w:t>
      </w:r>
      <w:r w:rsidRPr="005A6985">
        <w:t>ractice guidelines as well as local ethical and regulatory requirements.</w:t>
      </w:r>
      <w:bookmarkEnd w:id="52"/>
    </w:p>
    <w:p w:rsidR="008E7846" w:rsidRPr="00254787" w:rsidRDefault="008E7846" w:rsidP="00DC64CC">
      <w:pPr>
        <w:pStyle w:val="Heading3"/>
      </w:pPr>
      <w:bookmarkStart w:id="53" w:name="_Toc412444402"/>
      <w:r w:rsidRPr="00254787">
        <w:t>Pharmacokinetics</w:t>
      </w:r>
      <w:bookmarkEnd w:id="39"/>
      <w:bookmarkEnd w:id="43"/>
      <w:bookmarkEnd w:id="44"/>
      <w:bookmarkEnd w:id="45"/>
      <w:bookmarkEnd w:id="53"/>
    </w:p>
    <w:p w:rsidR="00605AD4" w:rsidRDefault="00605AD4" w:rsidP="00DC64CC">
      <w:pPr>
        <w:pStyle w:val="Heading4"/>
      </w:pPr>
      <w:r>
        <w:t>Studies</w:t>
      </w:r>
      <w:r w:rsidR="00DC64CC">
        <w:t xml:space="preserve"> providing pharmacokinetic data</w:t>
      </w:r>
    </w:p>
    <w:p w:rsidR="00A44B92" w:rsidRDefault="00E16170" w:rsidP="00DC64CC">
      <w:r w:rsidRPr="00E16170">
        <w:t xml:space="preserve">The dossier included a population PK study report 103077 which was based on samples collected in </w:t>
      </w:r>
      <w:r w:rsidR="005A6985">
        <w:t>S</w:t>
      </w:r>
      <w:r w:rsidRPr="00E16170">
        <w:t>tudy WA17823</w:t>
      </w:r>
      <w:r w:rsidR="00A44B92">
        <w:t xml:space="preserve">, </w:t>
      </w:r>
      <w:bookmarkStart w:id="54" w:name="_Toc241374293"/>
      <w:r w:rsidRPr="00E4221A">
        <w:t xml:space="preserve">a randomised, double-blind, and parallel group study of the safety and prevention of structural joint damage during treatment with </w:t>
      </w:r>
      <w:r w:rsidR="006C365B">
        <w:t xml:space="preserve">TCZ </w:t>
      </w:r>
      <w:r w:rsidRPr="00E4221A">
        <w:t xml:space="preserve">versus placebo, in combination with MTX, in patients with moderate to severe active </w:t>
      </w:r>
      <w:r w:rsidR="00A44B92">
        <w:t>RA</w:t>
      </w:r>
      <w:r w:rsidR="00DC64CC">
        <w:t>.</w:t>
      </w:r>
    </w:p>
    <w:p w:rsidR="00E16170" w:rsidRDefault="009C63CE" w:rsidP="00DC64CC">
      <w:r>
        <w:t xml:space="preserve">Also included was </w:t>
      </w:r>
      <w:r w:rsidR="00A44B92">
        <w:t xml:space="preserve">Study </w:t>
      </w:r>
      <w:r w:rsidR="00E16170" w:rsidRPr="00E4221A">
        <w:t>WA19926</w:t>
      </w:r>
      <w:r>
        <w:t>:</w:t>
      </w:r>
      <w:r w:rsidR="00E16170" w:rsidRPr="00E4221A">
        <w:t xml:space="preserve"> a </w:t>
      </w:r>
      <w:r w:rsidR="00A44B92">
        <w:t>P</w:t>
      </w:r>
      <w:r w:rsidR="00E16170" w:rsidRPr="00E4221A">
        <w:t xml:space="preserve">hase III, randomised, double-blind, parallel group study of treatment with </w:t>
      </w:r>
      <w:r w:rsidR="006C365B">
        <w:t>TCZ</w:t>
      </w:r>
      <w:r w:rsidR="00E16170" w:rsidRPr="00E4221A">
        <w:t xml:space="preserve"> versus placebo, in combination with MTX, in patients with early, moderate to severe active </w:t>
      </w:r>
      <w:r>
        <w:t>RA</w:t>
      </w:r>
      <w:r w:rsidR="00E16170" w:rsidRPr="00E4221A">
        <w:t xml:space="preserve">. Data were provided to week 52 of treatment. PK analysis found that the mean </w:t>
      </w:r>
      <w:r w:rsidR="006C365B">
        <w:t>TCZ</w:t>
      </w:r>
      <w:r w:rsidR="00A44B92" w:rsidRPr="00A44B92">
        <w:t xml:space="preserve"> </w:t>
      </w:r>
      <w:r w:rsidR="00E16170" w:rsidRPr="00E4221A">
        <w:t xml:space="preserve">pre-dose concentrations levelled from week 16 across the treatment groups (Figure </w:t>
      </w:r>
      <w:r w:rsidR="00E16170">
        <w:t>1</w:t>
      </w:r>
      <w:r w:rsidR="00DC64CC">
        <w:t>).</w:t>
      </w:r>
    </w:p>
    <w:p w:rsidR="00E16170" w:rsidRDefault="00E16170" w:rsidP="00DC64CC">
      <w:pPr>
        <w:pStyle w:val="FigureTitle"/>
      </w:pPr>
      <w:r>
        <w:t xml:space="preserve">Figure 1: Mean (SEM) </w:t>
      </w:r>
      <w:r w:rsidR="006C365B">
        <w:t xml:space="preserve">tocilizumab </w:t>
      </w:r>
      <w:r>
        <w:t>concentrations (µg/mL)</w:t>
      </w:r>
    </w:p>
    <w:p w:rsidR="00E16170" w:rsidRDefault="00E16170" w:rsidP="00DC64CC">
      <w:r>
        <w:rPr>
          <w:noProof/>
          <w:lang w:eastAsia="en-AU"/>
        </w:rPr>
        <w:drawing>
          <wp:inline distT="0" distB="0" distL="0" distR="0" wp14:anchorId="55B91498" wp14:editId="3857ECA0">
            <wp:extent cx="5156200" cy="3568700"/>
            <wp:effectExtent l="0" t="0" r="6350" b="0"/>
            <wp:docPr id="2" name="Picture 2" descr="Figure 1: Mean (SEM) tocilizumab concentrations (µg/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56200" cy="3568700"/>
                    </a:xfrm>
                    <a:prstGeom prst="rect">
                      <a:avLst/>
                    </a:prstGeom>
                  </pic:spPr>
                </pic:pic>
              </a:graphicData>
            </a:graphic>
          </wp:inline>
        </w:drawing>
      </w:r>
    </w:p>
    <w:p w:rsidR="00E16170" w:rsidRPr="007B0F8D" w:rsidRDefault="00E16170" w:rsidP="00DC64CC">
      <w:pPr>
        <w:pStyle w:val="FigureDescription"/>
      </w:pPr>
      <w:r w:rsidRPr="007B0F8D">
        <w:t>Note: SEMs are not visible for all visits / treatment groups</w:t>
      </w:r>
    </w:p>
    <w:p w:rsidR="00E16170" w:rsidRPr="00E4221A" w:rsidRDefault="00E16170" w:rsidP="00DC64CC">
      <w:r w:rsidRPr="00E4221A">
        <w:t xml:space="preserve">Steady-state </w:t>
      </w:r>
      <w:r w:rsidR="00A44B92">
        <w:t>minimum concentration (</w:t>
      </w:r>
      <w:r w:rsidRPr="00E4221A">
        <w:t>Cmin</w:t>
      </w:r>
      <w:r w:rsidR="00A44B92">
        <w:t>)</w:t>
      </w:r>
      <w:r w:rsidRPr="00E4221A">
        <w:t xml:space="preserve"> </w:t>
      </w:r>
      <w:r w:rsidR="00A44B92">
        <w:t xml:space="preserve">for TCZ </w:t>
      </w:r>
      <w:r w:rsidRPr="00E4221A">
        <w:t>in the 4 an</w:t>
      </w:r>
      <w:r>
        <w:t xml:space="preserve">d 8 mg/kg dose levels were approximately </w:t>
      </w:r>
      <w:r w:rsidRPr="00E4221A">
        <w:t xml:space="preserve">1 and 17−21 μg/mL, respectively. </w:t>
      </w:r>
      <w:r w:rsidR="00A44B92">
        <w:t>The maximum concentrations (</w:t>
      </w:r>
      <w:r w:rsidRPr="00E4221A">
        <w:t>Cmax</w:t>
      </w:r>
      <w:r w:rsidR="00A44B92">
        <w:t>)</w:t>
      </w:r>
      <w:r w:rsidRPr="00E4221A">
        <w:t xml:space="preserve"> at week 12 were </w:t>
      </w:r>
      <w:r w:rsidRPr="003D401C">
        <w:t xml:space="preserve">approximately </w:t>
      </w:r>
      <w:r w:rsidRPr="00E4221A">
        <w:t xml:space="preserve">96 and 209−217 μg/mL at 4 mg/kg and 8 mg/kg TCZ dose levels, respectively. The TCZ PK </w:t>
      </w:r>
      <w:proofErr w:type="gramStart"/>
      <w:r w:rsidRPr="00E4221A">
        <w:t>were</w:t>
      </w:r>
      <w:proofErr w:type="gramEnd"/>
      <w:r w:rsidRPr="00E4221A">
        <w:t xml:space="preserve"> comparable between both groups treated with 8 mg/kg TCZ with or without concomitant MTX.</w:t>
      </w:r>
    </w:p>
    <w:p w:rsidR="00E16170" w:rsidRPr="00E4221A" w:rsidRDefault="00E16170" w:rsidP="00DC64CC">
      <w:r w:rsidRPr="00E4221A">
        <w:t xml:space="preserve">Scatter plots showed no correlation between DAS28 scores at </w:t>
      </w:r>
      <w:r w:rsidR="00A44B92">
        <w:t>W</w:t>
      </w:r>
      <w:r w:rsidRPr="00E4221A">
        <w:t xml:space="preserve">eek 24, or </w:t>
      </w:r>
      <w:r w:rsidR="00B5390D" w:rsidRPr="00B5390D">
        <w:t xml:space="preserve">total Sharp score </w:t>
      </w:r>
      <w:r w:rsidR="00B5390D">
        <w:t>(</w:t>
      </w:r>
      <w:proofErr w:type="spellStart"/>
      <w:r w:rsidRPr="00E4221A">
        <w:t>mTSS</w:t>
      </w:r>
      <w:proofErr w:type="spellEnd"/>
      <w:r w:rsidR="00B5390D">
        <w:t>)</w:t>
      </w:r>
      <w:r w:rsidRPr="00E4221A">
        <w:t xml:space="preserve"> scores at Week 52, and corresponding Cmin values. There was a trend for </w:t>
      </w:r>
      <w:r w:rsidRPr="00E4221A">
        <w:lastRenderedPageBreak/>
        <w:t xml:space="preserve">increasing proportion of DAS28 responders with increasing </w:t>
      </w:r>
      <w:proofErr w:type="gramStart"/>
      <w:r w:rsidRPr="00E4221A">
        <w:t>quartile</w:t>
      </w:r>
      <w:r w:rsidR="00926ACC">
        <w:t>(</w:t>
      </w:r>
      <w:proofErr w:type="gramEnd"/>
      <w:r w:rsidR="00926ACC">
        <w:t xml:space="preserve">Q) </w:t>
      </w:r>
      <w:r w:rsidRPr="00E4221A">
        <w:t>of Cmin from Q1 to Q3 but this did not continue for Q4.</w:t>
      </w:r>
    </w:p>
    <w:bookmarkEnd w:id="54"/>
    <w:p w:rsidR="00605AD4" w:rsidRDefault="00605AD4" w:rsidP="00DC64CC">
      <w:pPr>
        <w:pStyle w:val="Heading4"/>
      </w:pPr>
      <w:r>
        <w:t>Evaluator’s conclusions on pharmacokinetics</w:t>
      </w:r>
    </w:p>
    <w:p w:rsidR="00E16170" w:rsidRPr="00E16170" w:rsidRDefault="00A44B92" w:rsidP="00DC64CC">
      <w:r>
        <w:t>The PK data from the 52 week S</w:t>
      </w:r>
      <w:r w:rsidR="00E16170" w:rsidRPr="00E4221A">
        <w:t xml:space="preserve">tudy WA17823 were adequately described by the reference PK model generated using data from four </w:t>
      </w:r>
      <w:r>
        <w:t>P</w:t>
      </w:r>
      <w:r w:rsidR="00E16170" w:rsidRPr="00E4221A">
        <w:t>hase III 24 week studies.</w:t>
      </w:r>
      <w:r>
        <w:t xml:space="preserve"> </w:t>
      </w:r>
      <w:r w:rsidR="00E16170" w:rsidRPr="00E4221A">
        <w:t xml:space="preserve">Pharmacokinetics in the early severe RA population </w:t>
      </w:r>
      <w:proofErr w:type="gramStart"/>
      <w:r w:rsidR="00E16170" w:rsidRPr="00E4221A">
        <w:t>were</w:t>
      </w:r>
      <w:proofErr w:type="gramEnd"/>
      <w:r w:rsidR="00E16170" w:rsidRPr="00E4221A">
        <w:t xml:space="preserve"> consistent with that observed in RA patients with inadequate response to anti-TNF or other DMARDs.</w:t>
      </w:r>
    </w:p>
    <w:p w:rsidR="008E7846" w:rsidRDefault="008E7846" w:rsidP="00DC64CC">
      <w:pPr>
        <w:pStyle w:val="Heading3"/>
      </w:pPr>
      <w:bookmarkStart w:id="55" w:name="_Toc196046481"/>
      <w:bookmarkStart w:id="56" w:name="_Toc247691520"/>
      <w:bookmarkStart w:id="57" w:name="_Toc314842503"/>
      <w:bookmarkStart w:id="58" w:name="_Toc412444403"/>
      <w:r w:rsidRPr="00254787">
        <w:t>Pharmacodynamics</w:t>
      </w:r>
      <w:bookmarkEnd w:id="40"/>
      <w:bookmarkEnd w:id="55"/>
      <w:bookmarkEnd w:id="56"/>
      <w:bookmarkEnd w:id="57"/>
      <w:bookmarkEnd w:id="58"/>
    </w:p>
    <w:p w:rsidR="00605AD4" w:rsidRDefault="00605AD4" w:rsidP="00DC64CC">
      <w:pPr>
        <w:pStyle w:val="Heading4"/>
      </w:pPr>
      <w:r>
        <w:t>Studies providing pharmacodynamic data</w:t>
      </w:r>
    </w:p>
    <w:p w:rsidR="00E16170" w:rsidRPr="00926ACC" w:rsidRDefault="00E16170" w:rsidP="00DC64CC">
      <w:r w:rsidRPr="00926ACC">
        <w:t xml:space="preserve">The population PK study report 103077 contained data on radiographic findings and </w:t>
      </w:r>
      <w:r w:rsidR="006C365B" w:rsidRPr="006C365B">
        <w:t>TCZ</w:t>
      </w:r>
      <w:r w:rsidR="00926ACC" w:rsidRPr="00926ACC">
        <w:t xml:space="preserve"> exposure from patients in S</w:t>
      </w:r>
      <w:r w:rsidR="00DC64CC">
        <w:t>tudy WA17823.</w:t>
      </w:r>
    </w:p>
    <w:p w:rsidR="00605AD4" w:rsidRDefault="00605AD4" w:rsidP="00DC64CC">
      <w:pPr>
        <w:pStyle w:val="Heading4"/>
      </w:pPr>
      <w:r>
        <w:t>Evaluator’s conclusions on pharmacodynamics</w:t>
      </w:r>
    </w:p>
    <w:p w:rsidR="0044325D" w:rsidRPr="00926ACC" w:rsidRDefault="00DC23FF" w:rsidP="00DC64CC">
      <w:r>
        <w:t>The radiograph data from S</w:t>
      </w:r>
      <w:r w:rsidR="0044325D" w:rsidRPr="00926ACC">
        <w:t xml:space="preserve">tudy WA17823 were presented graphically against categorised </w:t>
      </w:r>
      <w:r w:rsidR="006C365B" w:rsidRPr="006C365B">
        <w:t>TCZ</w:t>
      </w:r>
      <w:r w:rsidR="0044325D" w:rsidRPr="00926ACC">
        <w:t xml:space="preserve"> exposure and were suggestive of a possible improvement in modified Sharp score with higher TCZ exposure.</w:t>
      </w:r>
    </w:p>
    <w:p w:rsidR="008E7846" w:rsidRDefault="00605AD4" w:rsidP="00DC64CC">
      <w:pPr>
        <w:pStyle w:val="Heading3"/>
      </w:pPr>
      <w:bookmarkStart w:id="59" w:name="_Toc412444404"/>
      <w:r>
        <w:t>Dosage selection for the pivotal studies</w:t>
      </w:r>
      <w:bookmarkEnd w:id="59"/>
    </w:p>
    <w:p w:rsidR="0044325D" w:rsidRPr="00926ACC" w:rsidRDefault="0044325D" w:rsidP="00DC64CC">
      <w:bookmarkStart w:id="60" w:name="_Toc163441372"/>
      <w:bookmarkStart w:id="61" w:name="_Toc196046485"/>
      <w:bookmarkStart w:id="62" w:name="_Toc247691521"/>
      <w:bookmarkStart w:id="63" w:name="_Toc314842504"/>
      <w:r w:rsidRPr="00926ACC">
        <w:t xml:space="preserve">There were no proposed alterations to the current approved dosage regimen of 8 mg/kg given once every 4 weeks as an </w:t>
      </w:r>
      <w:r w:rsidR="00926ACC">
        <w:t>intravenous (</w:t>
      </w:r>
      <w:r w:rsidRPr="00926ACC">
        <w:t>IV</w:t>
      </w:r>
      <w:r w:rsidR="00926ACC">
        <w:t>)</w:t>
      </w:r>
      <w:r w:rsidRPr="00926ACC">
        <w:t xml:space="preserve"> infusion. The maximum dose is 800 </w:t>
      </w:r>
      <w:r w:rsidR="00926ACC">
        <w:t>mg per infusion. The submitted T</w:t>
      </w:r>
      <w:r w:rsidRPr="00926ACC">
        <w:t xml:space="preserve">rial WA19926 had treatment arms of </w:t>
      </w:r>
      <w:r w:rsidR="006C365B" w:rsidRPr="006C365B">
        <w:t>TCZ</w:t>
      </w:r>
      <w:r w:rsidR="009C63CE">
        <w:t xml:space="preserve"> 4 mg/kg and 8 </w:t>
      </w:r>
      <w:r w:rsidRPr="00926ACC">
        <w:t>mg/kg given by IV infusion every 4 weeks. The primary efficac</w:t>
      </w:r>
      <w:r w:rsidR="00926ACC">
        <w:t>y analysis was of the 8 </w:t>
      </w:r>
      <w:r w:rsidRPr="00926ACC">
        <w:t>mg/kg dose.</w:t>
      </w:r>
    </w:p>
    <w:p w:rsidR="008E7846" w:rsidRDefault="008E7846" w:rsidP="00DC64CC">
      <w:pPr>
        <w:pStyle w:val="Heading3"/>
      </w:pPr>
      <w:bookmarkStart w:id="64" w:name="_Toc412444405"/>
      <w:r w:rsidRPr="00254787">
        <w:t>Efficacy</w:t>
      </w:r>
      <w:bookmarkEnd w:id="60"/>
      <w:bookmarkEnd w:id="61"/>
      <w:bookmarkEnd w:id="62"/>
      <w:bookmarkEnd w:id="63"/>
      <w:bookmarkEnd w:id="64"/>
    </w:p>
    <w:p w:rsidR="00926ACC" w:rsidRDefault="00926ACC" w:rsidP="00DC64CC">
      <w:pPr>
        <w:pStyle w:val="Heading4"/>
      </w:pPr>
      <w:bookmarkStart w:id="65" w:name="_Ref271199564"/>
      <w:bookmarkStart w:id="66" w:name="_Toc272414651"/>
      <w:bookmarkStart w:id="67" w:name="_Toc290846273"/>
      <w:bookmarkStart w:id="68" w:name="_Toc389032967"/>
      <w:bookmarkStart w:id="69" w:name="_Toc405551998"/>
      <w:r>
        <w:t>Studies providing efficacy data</w:t>
      </w:r>
    </w:p>
    <w:p w:rsidR="0044325D" w:rsidRPr="00926ACC" w:rsidRDefault="0044325D" w:rsidP="00DC64CC">
      <w:pPr>
        <w:pStyle w:val="Heading5"/>
      </w:pPr>
      <w:bookmarkStart w:id="70" w:name="_Ref271037274"/>
      <w:bookmarkStart w:id="71" w:name="_Toc272414652"/>
      <w:bookmarkStart w:id="72" w:name="_Toc290846274"/>
      <w:bookmarkStart w:id="73" w:name="_Toc389032968"/>
      <w:bookmarkEnd w:id="65"/>
      <w:bookmarkEnd w:id="66"/>
      <w:bookmarkEnd w:id="67"/>
      <w:bookmarkEnd w:id="68"/>
      <w:bookmarkEnd w:id="69"/>
      <w:r w:rsidRPr="00926ACC">
        <w:t>Pivotal efficacy stud</w:t>
      </w:r>
      <w:bookmarkEnd w:id="70"/>
      <w:bookmarkEnd w:id="71"/>
      <w:bookmarkEnd w:id="72"/>
      <w:bookmarkEnd w:id="73"/>
      <w:r w:rsidR="00926ACC">
        <w:t>y of t</w:t>
      </w:r>
      <w:r w:rsidR="009C63CE">
        <w:t xml:space="preserve">reatment of early RA, MTX </w:t>
      </w:r>
      <w:r w:rsidR="00926ACC" w:rsidRPr="00926ACC">
        <w:t>naïve patients</w:t>
      </w:r>
      <w:bookmarkStart w:id="74" w:name="_Ref243301615"/>
      <w:bookmarkStart w:id="75" w:name="_Ref271040927"/>
      <w:bookmarkStart w:id="76" w:name="_Ref271040932"/>
      <w:bookmarkStart w:id="77" w:name="_Toc272414653"/>
      <w:bookmarkStart w:id="78" w:name="_Toc290846275"/>
      <w:bookmarkStart w:id="79" w:name="_Ref378853101"/>
      <w:bookmarkStart w:id="80" w:name="_Toc389032969"/>
      <w:r w:rsidR="00926ACC">
        <w:t xml:space="preserve">: </w:t>
      </w:r>
      <w:r w:rsidR="00926ACC" w:rsidRPr="00926ACC">
        <w:t xml:space="preserve">Study </w:t>
      </w:r>
      <w:bookmarkEnd w:id="74"/>
      <w:bookmarkEnd w:id="75"/>
      <w:bookmarkEnd w:id="76"/>
      <w:bookmarkEnd w:id="77"/>
      <w:bookmarkEnd w:id="78"/>
      <w:r w:rsidR="00926ACC" w:rsidRPr="00926ACC">
        <w:t>WA19926</w:t>
      </w:r>
      <w:bookmarkEnd w:id="79"/>
      <w:bookmarkEnd w:id="80"/>
    </w:p>
    <w:p w:rsidR="0044325D" w:rsidRPr="00472BFF" w:rsidRDefault="00926ACC" w:rsidP="00DC64CC">
      <w:r>
        <w:t>Study WA19926 was P</w:t>
      </w:r>
      <w:r w:rsidR="0044325D" w:rsidRPr="00472BFF">
        <w:t>hase III</w:t>
      </w:r>
      <w:r>
        <w:t>,</w:t>
      </w:r>
      <w:r w:rsidR="0044325D" w:rsidRPr="00472BFF">
        <w:t xml:space="preserve"> randomised, double-blind, parallel group study of safety, disease remission</w:t>
      </w:r>
      <w:r w:rsidR="009C63CE">
        <w:t>,</w:t>
      </w:r>
      <w:r w:rsidR="0044325D" w:rsidRPr="00472BFF">
        <w:t xml:space="preserve"> and prevention of structural joint damage during treatment with TCZ as a monotherapy and in combination with MTX, versus </w:t>
      </w:r>
      <w:r>
        <w:t>MTX</w:t>
      </w:r>
      <w:r w:rsidR="009C63CE">
        <w:t>,</w:t>
      </w:r>
      <w:r>
        <w:t xml:space="preserve"> </w:t>
      </w:r>
      <w:r w:rsidR="0044325D" w:rsidRPr="00472BFF">
        <w:t xml:space="preserve">in patients with early, moderate to severe </w:t>
      </w:r>
      <w:r w:rsidR="009C63CE">
        <w:t>RA</w:t>
      </w:r>
      <w:r w:rsidR="0044325D" w:rsidRPr="00472BFF">
        <w:t>. The primary objective was to assess the efficacy of 6 months treatment with TCZ in combination with MTX and TCZ monotherapy versus MTX monotherapy in patients wit</w:t>
      </w:r>
      <w:r w:rsidR="00DC64CC">
        <w:t>h early, moderate-to severe RA.</w:t>
      </w:r>
    </w:p>
    <w:p w:rsidR="0044325D" w:rsidRPr="00472BFF" w:rsidRDefault="0044325D" w:rsidP="00DC64CC">
      <w:pPr>
        <w:pStyle w:val="Heading5"/>
      </w:pPr>
      <w:bookmarkStart w:id="81" w:name="_Ref271037188"/>
      <w:bookmarkStart w:id="82" w:name="_Ref271037210"/>
      <w:bookmarkStart w:id="83" w:name="_Toc272414655"/>
      <w:bookmarkStart w:id="84" w:name="_Toc290846277"/>
      <w:bookmarkStart w:id="85" w:name="_Toc389032970"/>
      <w:bookmarkStart w:id="86" w:name="_Toc241374311"/>
      <w:bookmarkStart w:id="87" w:name="_Ref243294291"/>
      <w:r w:rsidRPr="00472BFF">
        <w:t>Other efficacy studies</w:t>
      </w:r>
      <w:bookmarkEnd w:id="81"/>
      <w:bookmarkEnd w:id="82"/>
      <w:bookmarkEnd w:id="83"/>
      <w:bookmarkEnd w:id="84"/>
      <w:bookmarkEnd w:id="85"/>
    </w:p>
    <w:bookmarkEnd w:id="86"/>
    <w:bookmarkEnd w:id="87"/>
    <w:p w:rsidR="0044325D" w:rsidRPr="00472BFF" w:rsidRDefault="00926ACC" w:rsidP="00DC64CC">
      <w:r>
        <w:t>The s</w:t>
      </w:r>
      <w:r w:rsidR="0044325D" w:rsidRPr="00472BFF">
        <w:t>ponsor states that supportive efficacy data for TCZ in an early</w:t>
      </w:r>
      <w:r>
        <w:t xml:space="preserve"> RA population was provided by S</w:t>
      </w:r>
      <w:r w:rsidR="0044325D" w:rsidRPr="00472BFF">
        <w:t>tudies WA17824 and MRA012JP. In addition</w:t>
      </w:r>
      <w:r w:rsidR="009C63CE">
        <w:t>,</w:t>
      </w:r>
      <w:r w:rsidR="0044325D" w:rsidRPr="00472BFF">
        <w:t xml:space="preserve"> long term data were available from </w:t>
      </w:r>
      <w:r>
        <w:t>S</w:t>
      </w:r>
      <w:r w:rsidR="0044325D" w:rsidRPr="00472BFF">
        <w:t xml:space="preserve">tudy WA17823 and its extension. The studies were summarised in the </w:t>
      </w:r>
      <w:r>
        <w:t xml:space="preserve">sponsor’s </w:t>
      </w:r>
      <w:r w:rsidR="0044325D" w:rsidRPr="00926ACC">
        <w:rPr>
          <w:i/>
        </w:rPr>
        <w:t>Summary of Clinical Efficacy</w:t>
      </w:r>
      <w:r>
        <w:t>;</w:t>
      </w:r>
      <w:r w:rsidR="0044325D" w:rsidRPr="00472BFF">
        <w:t xml:space="preserve"> the clinical study reports were not submitted in this application as they had been included in previous submissions.</w:t>
      </w:r>
    </w:p>
    <w:p w:rsidR="0044325D" w:rsidRPr="00472BFF" w:rsidRDefault="0044325D" w:rsidP="00DC64CC">
      <w:r w:rsidRPr="00472BFF">
        <w:t xml:space="preserve">Study WA17824 was a </w:t>
      </w:r>
      <w:r w:rsidR="00926ACC">
        <w:t>P</w:t>
      </w:r>
      <w:r w:rsidRPr="00472BFF">
        <w:t>hase III, 24 week</w:t>
      </w:r>
      <w:r w:rsidR="009C63CE">
        <w:t>,</w:t>
      </w:r>
      <w:r w:rsidRPr="00472BFF">
        <w:t xml:space="preserve"> randomised</w:t>
      </w:r>
      <w:r w:rsidR="009C63CE">
        <w:t>,</w:t>
      </w:r>
      <w:r w:rsidRPr="00472BFF">
        <w:t xml:space="preserve"> controlled</w:t>
      </w:r>
      <w:r w:rsidR="009C63CE">
        <w:t>,</w:t>
      </w:r>
      <w:r w:rsidRPr="00472BFF">
        <w:t xml:space="preserve"> non-inferiority study assessing the safety and efficacy of TCZ 8 mg/kg + placebo MTX versus MTX + placebo TCZ in 572 adult patients with active</w:t>
      </w:r>
      <w:r w:rsidR="009C63CE">
        <w:t>,</w:t>
      </w:r>
      <w:r w:rsidRPr="00472BFF">
        <w:t xml:space="preserve"> moderate to severe RA who were MTX</w:t>
      </w:r>
      <w:r w:rsidR="009C63CE">
        <w:t xml:space="preserve"> </w:t>
      </w:r>
      <w:r w:rsidRPr="00472BFF">
        <w:t xml:space="preserve">naïve or had not </w:t>
      </w:r>
      <w:r w:rsidRPr="00472BFF">
        <w:lastRenderedPageBreak/>
        <w:t>received MTX for 6 months. The primary endpoint was the proportion of patients with ACR20 re</w:t>
      </w:r>
      <w:r w:rsidR="00DC64CC">
        <w:t>sponse at week 24.</w:t>
      </w:r>
    </w:p>
    <w:p w:rsidR="0044325D" w:rsidRPr="00472BFF" w:rsidRDefault="0044325D" w:rsidP="00DC64CC">
      <w:r w:rsidRPr="00472BFF">
        <w:t>Study MRA012JP was a 52 week</w:t>
      </w:r>
      <w:r w:rsidR="009C63CE">
        <w:t>,</w:t>
      </w:r>
      <w:r w:rsidRPr="00472BFF">
        <w:t xml:space="preserve"> unblinded, randomised study of TCZ 8 mg/kg monotherapy compared to conventional DMARD therapy in 306 patients with active RA who had an inadequate response to conventional DMARDs. It was stated that approximately half the patients had </w:t>
      </w:r>
      <w:proofErr w:type="gramStart"/>
      <w:r w:rsidRPr="00472BFF">
        <w:t>an RA</w:t>
      </w:r>
      <w:proofErr w:type="gramEnd"/>
      <w:r w:rsidRPr="00472BFF">
        <w:t xml:space="preserve"> duration of ≤</w:t>
      </w:r>
      <w:r w:rsidR="00926ACC">
        <w:t xml:space="preserve"> </w:t>
      </w:r>
      <w:r w:rsidRPr="00472BFF">
        <w:t xml:space="preserve">2 years. The primary endpoint was the mean change in the modified </w:t>
      </w:r>
      <w:r w:rsidR="00DC64CC">
        <w:t>Sharp erosion score at week 52.</w:t>
      </w:r>
    </w:p>
    <w:p w:rsidR="0044325D" w:rsidRPr="00472BFF" w:rsidRDefault="0044325D" w:rsidP="00DC64CC">
      <w:pPr>
        <w:pStyle w:val="Heading5"/>
      </w:pPr>
      <w:bookmarkStart w:id="88" w:name="_Toc241374312"/>
      <w:bookmarkStart w:id="89" w:name="_Toc272414656"/>
      <w:bookmarkStart w:id="90" w:name="_Toc290846281"/>
      <w:bookmarkStart w:id="91" w:name="_Toc389032973"/>
      <w:r w:rsidRPr="00472BFF">
        <w:t>Analyses performed across trials (pooled analyses and meta-analyses)</w:t>
      </w:r>
      <w:bookmarkEnd w:id="88"/>
      <w:bookmarkEnd w:id="89"/>
      <w:bookmarkEnd w:id="90"/>
      <w:bookmarkEnd w:id="91"/>
    </w:p>
    <w:p w:rsidR="0044325D" w:rsidRPr="00472BFF" w:rsidRDefault="0044325D" w:rsidP="00DC64CC">
      <w:r w:rsidRPr="00472BFF">
        <w:t xml:space="preserve">The </w:t>
      </w:r>
      <w:r w:rsidR="00926ACC">
        <w:t>long term extension (</w:t>
      </w:r>
      <w:r w:rsidRPr="00472BFF">
        <w:t>LTE</w:t>
      </w:r>
      <w:r w:rsidR="00926ACC">
        <w:t>)</w:t>
      </w:r>
      <w:r w:rsidR="009C63CE">
        <w:t>,</w:t>
      </w:r>
      <w:r w:rsidR="00164178">
        <w:t xml:space="preserve"> a</w:t>
      </w:r>
      <w:r w:rsidRPr="00472BFF">
        <w:t>ll-</w:t>
      </w:r>
      <w:r w:rsidR="00164178">
        <w:t>e</w:t>
      </w:r>
      <w:r w:rsidRPr="00472BFF">
        <w:t xml:space="preserve">xposure population comprised of data (cut-off date 02 May 2012) pooled from the 5 pivotal RA </w:t>
      </w:r>
      <w:r w:rsidR="00926ACC">
        <w:t>P</w:t>
      </w:r>
      <w:r w:rsidRPr="00472BFF">
        <w:t xml:space="preserve">hase III </w:t>
      </w:r>
      <w:r w:rsidR="00926ACC">
        <w:t>S</w:t>
      </w:r>
      <w:r w:rsidRPr="00472BFF">
        <w:t>tudies</w:t>
      </w:r>
      <w:r w:rsidR="009C63CE">
        <w:t>:</w:t>
      </w:r>
      <w:r w:rsidRPr="00472BFF">
        <w:t xml:space="preserve"> WA17822, WA17823, WA18063, WA17824, and WA18062, the safety </w:t>
      </w:r>
      <w:r w:rsidR="00926ACC">
        <w:t>S</w:t>
      </w:r>
      <w:r w:rsidRPr="00472BFF">
        <w:t xml:space="preserve">tudy WP18663, the open label LTE clinical </w:t>
      </w:r>
      <w:r w:rsidR="00926ACC">
        <w:t>S</w:t>
      </w:r>
      <w:r w:rsidRPr="00472BFF">
        <w:t>tudies WA18695, WA18696, and 6</w:t>
      </w:r>
      <w:r w:rsidR="00926ACC">
        <w:t xml:space="preserve"> </w:t>
      </w:r>
      <w:r w:rsidRPr="00472BFF">
        <w:t xml:space="preserve">month data from the Phase IV TCZ monotherapy </w:t>
      </w:r>
      <w:r w:rsidR="00926ACC">
        <w:t>S</w:t>
      </w:r>
      <w:r w:rsidRPr="00472BFF">
        <w:t>tudy WA19924. From this pooled population (n</w:t>
      </w:r>
      <w:r w:rsidR="00926ACC">
        <w:t xml:space="preserve"> </w:t>
      </w:r>
      <w:r w:rsidRPr="00472BFF">
        <w:t>=</w:t>
      </w:r>
      <w:r w:rsidR="00926ACC">
        <w:t xml:space="preserve"> </w:t>
      </w:r>
      <w:r w:rsidRPr="00472BFF">
        <w:t xml:space="preserve">4171), data were assessed for all patients with ≤ 2 years since their RA diagnosis at the time they received their first dose of TCZ (“LTE </w:t>
      </w:r>
      <w:r w:rsidR="009C63CE">
        <w:t>e</w:t>
      </w:r>
      <w:r w:rsidRPr="00472BFF">
        <w:t>arly RA subpopulation”).</w:t>
      </w:r>
      <w:r w:rsidR="00071BD9">
        <w:t xml:space="preserve"> </w:t>
      </w:r>
      <w:r w:rsidRPr="00472BFF">
        <w:t xml:space="preserve">This early RA population consisted of 3165 </w:t>
      </w:r>
      <w:r w:rsidR="008C562E">
        <w:t xml:space="preserve">PY </w:t>
      </w:r>
      <w:r w:rsidRPr="00472BFF">
        <w:t xml:space="preserve">with </w:t>
      </w:r>
      <w:proofErr w:type="gramStart"/>
      <w:r w:rsidRPr="00472BFF">
        <w:t>a mean</w:t>
      </w:r>
      <w:proofErr w:type="gramEnd"/>
      <w:r w:rsidRPr="00472BFF">
        <w:t xml:space="preserve"> and median disease duration of 3.93 </w:t>
      </w:r>
      <w:r w:rsidR="009C63CE">
        <w:t xml:space="preserve">years </w:t>
      </w:r>
      <w:r w:rsidR="00DC64CC">
        <w:t>and 5.08 years, respectively.</w:t>
      </w:r>
    </w:p>
    <w:p w:rsidR="0044325D" w:rsidRPr="00472BFF" w:rsidRDefault="0044325D" w:rsidP="00DC64CC">
      <w:pPr>
        <w:pStyle w:val="Heading4"/>
      </w:pPr>
      <w:bookmarkStart w:id="92" w:name="_Ref271126605"/>
      <w:bookmarkStart w:id="93" w:name="_Toc272414657"/>
      <w:bookmarkStart w:id="94" w:name="_Toc290846282"/>
      <w:bookmarkStart w:id="95" w:name="_Toc389032974"/>
      <w:r w:rsidRPr="00472BFF">
        <w:t>Evaluator’s conclusions on clinical efficacy for early RA</w:t>
      </w:r>
      <w:bookmarkEnd w:id="92"/>
      <w:bookmarkEnd w:id="93"/>
      <w:bookmarkEnd w:id="94"/>
      <w:bookmarkEnd w:id="95"/>
    </w:p>
    <w:p w:rsidR="0044325D" w:rsidRPr="00472BFF" w:rsidRDefault="0044325D" w:rsidP="00DC64CC">
      <w:r w:rsidRPr="00472BFF">
        <w:t>The efficacy of TCZ in the early RA, MTX</w:t>
      </w:r>
      <w:r w:rsidR="009C63CE">
        <w:t xml:space="preserve"> </w:t>
      </w:r>
      <w:r w:rsidRPr="00472BFF">
        <w:t>naïve pop</w:t>
      </w:r>
      <w:r w:rsidR="00071BD9">
        <w:t>ulation was based on data from S</w:t>
      </w:r>
      <w:r w:rsidRPr="00472BFF">
        <w:t>tudy WA19926 which included 1162 predominantly female Caucasian patients with RA ≤</w:t>
      </w:r>
      <w:r w:rsidR="00071BD9">
        <w:t xml:space="preserve"> </w:t>
      </w:r>
      <w:r w:rsidRPr="00472BFF">
        <w:t>2 years (mean duration 0.4-0.5 years) who were MTX</w:t>
      </w:r>
      <w:r w:rsidR="009C63CE">
        <w:t xml:space="preserve"> </w:t>
      </w:r>
      <w:r w:rsidRPr="00472BFF">
        <w:t>naïve and had moderate to severe disease with a high baseline mean DAS28 (6.6-6.7) but low</w:t>
      </w:r>
      <w:r w:rsidR="00DC64CC">
        <w:t xml:space="preserve"> joint damage (</w:t>
      </w:r>
      <w:proofErr w:type="spellStart"/>
      <w:r w:rsidR="00DC64CC">
        <w:t>mTSS</w:t>
      </w:r>
      <w:proofErr w:type="spellEnd"/>
      <w:r w:rsidR="00DC64CC">
        <w:t xml:space="preserve"> 5.66-7.72).</w:t>
      </w:r>
    </w:p>
    <w:p w:rsidR="0044325D" w:rsidRPr="00472BFF" w:rsidRDefault="0044325D" w:rsidP="00DC64CC">
      <w:r w:rsidRPr="00472BFF">
        <w:t>The study met its primary endpoint with superior efficacy of TCZ 8 mg/kg +</w:t>
      </w:r>
      <w:r w:rsidR="00D8522E">
        <w:t xml:space="preserve"> </w:t>
      </w:r>
      <w:r w:rsidRPr="00472BFF">
        <w:t>MTX compared to MTX monotherapy demonstrated on DAS28 remission response (DAS &lt;</w:t>
      </w:r>
      <w:r w:rsidR="00071BD9">
        <w:t xml:space="preserve"> </w:t>
      </w:r>
      <w:r w:rsidRPr="00472BFF">
        <w:t xml:space="preserve">2.6) at week 24(44.8% versus 15.0%; </w:t>
      </w:r>
      <w:r w:rsidR="00071BD9">
        <w:t>odds ratio (</w:t>
      </w:r>
      <w:r w:rsidRPr="00472BFF">
        <w:t>OR</w:t>
      </w:r>
      <w:r w:rsidR="00071BD9">
        <w:t>)</w:t>
      </w:r>
      <w:r w:rsidRPr="00472BFF">
        <w:t xml:space="preserve"> = 4.77; p&lt;0.000</w:t>
      </w:r>
      <w:r w:rsidR="00071BD9">
        <w:t>1). Results were maintained to W</w:t>
      </w:r>
      <w:r w:rsidRPr="00472BFF">
        <w:t xml:space="preserve">eek 52 and supported by positive results on improvement in ACR20, ACR50 and ACR70 responses and exploratory analyses of EULAR remission. Radiographic joint damage assessment (as measured by the </w:t>
      </w:r>
      <w:proofErr w:type="spellStart"/>
      <w:r w:rsidRPr="00472BFF">
        <w:t>mTSS</w:t>
      </w:r>
      <w:proofErr w:type="spellEnd"/>
      <w:r w:rsidRPr="00472BFF">
        <w:t>) fo</w:t>
      </w:r>
      <w:r w:rsidR="00071BD9">
        <w:t>und less progression with TCZ 8 </w:t>
      </w:r>
      <w:r w:rsidRPr="00472BFF">
        <w:t>mg/kg</w:t>
      </w:r>
      <w:r w:rsidR="00071BD9">
        <w:t xml:space="preserve"> </w:t>
      </w:r>
      <w:r w:rsidRPr="00472BFF">
        <w:t>+</w:t>
      </w:r>
      <w:r w:rsidR="00071BD9">
        <w:t xml:space="preserve"> </w:t>
      </w:r>
      <w:r w:rsidRPr="00472BFF">
        <w:t xml:space="preserve">MTX than MTX monotherapy and this covered both the erosion score and </w:t>
      </w:r>
      <w:r w:rsidR="008D4DD2">
        <w:t xml:space="preserve">JSN </w:t>
      </w:r>
      <w:r w:rsidRPr="00472BFF">
        <w:t>components. There was also significant improvement in physical function as measured by the HAQ-DI.</w:t>
      </w:r>
    </w:p>
    <w:p w:rsidR="0044325D" w:rsidRPr="00472BFF" w:rsidRDefault="0044325D" w:rsidP="00DC64CC">
      <w:r w:rsidRPr="00472BFF">
        <w:t>The results for the other two groups, TCZ 4 mg/kg</w:t>
      </w:r>
      <w:r w:rsidR="00071BD9">
        <w:t xml:space="preserve"> </w:t>
      </w:r>
      <w:r w:rsidRPr="00472BFF">
        <w:t>+</w:t>
      </w:r>
      <w:r w:rsidR="00071BD9">
        <w:t xml:space="preserve"> </w:t>
      </w:r>
      <w:r w:rsidRPr="00472BFF">
        <w:t>MTX and TCZ 8 mg/kg monotherapy, were generally numerically superior to MTX monotherapy although not statistically significant on the hierarchical testing to control for multiplicity. The exception to this was that TCZ 8 mg monotherapy had a significantly greater DAS28 remission response than MTX monotherapy.</w:t>
      </w:r>
    </w:p>
    <w:p w:rsidR="0044325D" w:rsidRPr="00472BFF" w:rsidRDefault="0044325D" w:rsidP="00DC64CC">
      <w:r w:rsidRPr="00472BFF">
        <w:t>Data</w:t>
      </w:r>
      <w:r w:rsidR="00071BD9">
        <w:t xml:space="preserve"> from the previously submitted S</w:t>
      </w:r>
      <w:r w:rsidRPr="00472BFF">
        <w:t xml:space="preserve">tudy WA17824 provided some supportive efficacy evidence for the early RA population treated with TCZ 8 mg/kg monotherapy. The robustness of the data </w:t>
      </w:r>
      <w:proofErr w:type="gramStart"/>
      <w:r w:rsidRPr="00472BFF">
        <w:t>were</w:t>
      </w:r>
      <w:proofErr w:type="gramEnd"/>
      <w:r w:rsidRPr="00472BFF">
        <w:t>, however, limited by the fact that it was a post-hoc subgroup an</w:t>
      </w:r>
      <w:r w:rsidR="00071BD9">
        <w:t>alysis. Data from the Japanese S</w:t>
      </w:r>
      <w:r w:rsidRPr="00472BFF">
        <w:t>tudy MRA012JP showed some evidence of TCZ monotherapy efficacy on joint damage reduction. The study however was unblinded and in a different population so results are difficult to extrapolate.</w:t>
      </w:r>
    </w:p>
    <w:p w:rsidR="0044325D" w:rsidRPr="00472BFF" w:rsidRDefault="0044325D" w:rsidP="0044325D">
      <w:r w:rsidRPr="00472BFF">
        <w:t xml:space="preserve">Pooled data from previously submitted studies showed some evidence of maintenance of response however these data may be biased due to the potential withdrawal of poor or </w:t>
      </w:r>
      <w:r w:rsidR="00071BD9">
        <w:t>non-responders. Therefore, the Week 104 data from the pivotal S</w:t>
      </w:r>
      <w:r w:rsidRPr="00472BFF">
        <w:t>tudy WA19926 needs to be provided for evaluation to better define the longer term efficacy of TCZ in the early RA population.</w:t>
      </w:r>
    </w:p>
    <w:p w:rsidR="0044325D" w:rsidRPr="00472BFF" w:rsidRDefault="0044325D" w:rsidP="00DC64CC">
      <w:r w:rsidRPr="00472BFF">
        <w:lastRenderedPageBreak/>
        <w:t xml:space="preserve">In relation to the proposed changes to the PI, the data proposed for the </w:t>
      </w:r>
      <w:r w:rsidRPr="00071BD9">
        <w:rPr>
          <w:i/>
        </w:rPr>
        <w:t>Clinical Trials</w:t>
      </w:r>
      <w:r w:rsidRPr="00472BFF">
        <w:t xml:space="preserve"> section in relation to </w:t>
      </w:r>
      <w:r w:rsidR="00071BD9">
        <w:t>S</w:t>
      </w:r>
      <w:r w:rsidRPr="00472BFF">
        <w:t xml:space="preserve">tudy WA19926 are acceptable. The efficacy data from study WA19926 support </w:t>
      </w:r>
      <w:r w:rsidR="00071BD9">
        <w:t xml:space="preserve">the </w:t>
      </w:r>
      <w:r w:rsidRPr="00472BFF">
        <w:t xml:space="preserve">proposed indication </w:t>
      </w:r>
      <w:r w:rsidR="002407DF">
        <w:t xml:space="preserve">(amendments shown in bold) </w:t>
      </w:r>
      <w:r w:rsidRPr="00472BFF">
        <w:t>of:</w:t>
      </w:r>
    </w:p>
    <w:p w:rsidR="0044325D" w:rsidRPr="001254F5" w:rsidRDefault="0044325D" w:rsidP="0044325D">
      <w:pPr>
        <w:ind w:left="720"/>
        <w:rPr>
          <w:i/>
        </w:rPr>
      </w:pPr>
      <w:r w:rsidRPr="001254F5">
        <w:rPr>
          <w:i/>
        </w:rPr>
        <w:t>A</w:t>
      </w:r>
      <w:r w:rsidR="00782F89" w:rsidRPr="001254F5">
        <w:rPr>
          <w:i/>
        </w:rPr>
        <w:t>ctemra</w:t>
      </w:r>
      <w:r w:rsidRPr="001254F5">
        <w:rPr>
          <w:i/>
        </w:rPr>
        <w:t xml:space="preserve"> is indicated for the treatment of moderate to severe active rheumatoid arthritis (RA) in adult patients:</w:t>
      </w:r>
    </w:p>
    <w:p w:rsidR="0044325D" w:rsidRPr="001254F5" w:rsidRDefault="0044325D" w:rsidP="00071BD9">
      <w:pPr>
        <w:ind w:left="720"/>
        <w:rPr>
          <w:i/>
        </w:rPr>
      </w:pPr>
      <w:proofErr w:type="gramStart"/>
      <w:r w:rsidRPr="00071BD9">
        <w:rPr>
          <w:b/>
          <w:i/>
        </w:rPr>
        <w:t>in</w:t>
      </w:r>
      <w:proofErr w:type="gramEnd"/>
      <w:r w:rsidRPr="00071BD9">
        <w:rPr>
          <w:b/>
          <w:i/>
        </w:rPr>
        <w:t xml:space="preserve"> combination with methotrexate (MTX) in those not previously treated with MTX</w:t>
      </w:r>
      <w:r w:rsidRPr="001254F5">
        <w:rPr>
          <w:i/>
        </w:rPr>
        <w:t>;</w:t>
      </w:r>
    </w:p>
    <w:p w:rsidR="0044325D" w:rsidRPr="00472BFF" w:rsidRDefault="0044325D" w:rsidP="00DC64CC">
      <w:r w:rsidRPr="00472BFF">
        <w:t>The proposal to include the wording in relation to inhibition of joint damage is less clear cut as, while the comparison to the placebo</w:t>
      </w:r>
      <w:r w:rsidR="00071BD9">
        <w:t xml:space="preserve"> </w:t>
      </w:r>
      <w:r w:rsidRPr="00472BFF">
        <w:t>+</w:t>
      </w:r>
      <w:r w:rsidR="00071BD9">
        <w:t xml:space="preserve"> </w:t>
      </w:r>
      <w:r w:rsidRPr="00472BFF">
        <w:t xml:space="preserve">MTX was statistically significant, the analysis came after the break in the hierarchical testing sequence used to address multiplicity. Consequently, the result cannot be deemed significant. For this reason the evaluator does not support the changes underlined </w:t>
      </w:r>
      <w:r w:rsidR="00071BD9">
        <w:t xml:space="preserve">in bold font </w:t>
      </w:r>
      <w:r w:rsidRPr="00472BFF">
        <w:t xml:space="preserve">in the following section of the indication and recommends this information be discussed in the </w:t>
      </w:r>
      <w:r w:rsidR="00071BD9" w:rsidRPr="00071BD9">
        <w:rPr>
          <w:i/>
        </w:rPr>
        <w:t>C</w:t>
      </w:r>
      <w:r w:rsidRPr="00071BD9">
        <w:rPr>
          <w:i/>
        </w:rPr>
        <w:t xml:space="preserve">linical </w:t>
      </w:r>
      <w:r w:rsidR="00071BD9" w:rsidRPr="00071BD9">
        <w:rPr>
          <w:i/>
        </w:rPr>
        <w:t>T</w:t>
      </w:r>
      <w:r w:rsidRPr="00071BD9">
        <w:rPr>
          <w:i/>
        </w:rPr>
        <w:t>rial</w:t>
      </w:r>
      <w:r w:rsidRPr="00472BFF">
        <w:t xml:space="preserve"> section </w:t>
      </w:r>
      <w:r w:rsidR="00071BD9">
        <w:t xml:space="preserve">of the PI </w:t>
      </w:r>
      <w:r w:rsidRPr="00472BFF">
        <w:t>noting that there was a numerically superior but not statistically significant result.</w:t>
      </w:r>
    </w:p>
    <w:p w:rsidR="0044325D" w:rsidRPr="001254F5" w:rsidRDefault="0044325D" w:rsidP="0044325D">
      <w:pPr>
        <w:ind w:left="720"/>
        <w:rPr>
          <w:i/>
        </w:rPr>
      </w:pPr>
      <w:r w:rsidRPr="001254F5">
        <w:rPr>
          <w:i/>
        </w:rPr>
        <w:t>A</w:t>
      </w:r>
      <w:r w:rsidR="00782F89" w:rsidRPr="001254F5">
        <w:rPr>
          <w:i/>
        </w:rPr>
        <w:t>ctemra</w:t>
      </w:r>
      <w:r w:rsidRPr="001254F5">
        <w:rPr>
          <w:i/>
        </w:rPr>
        <w:t xml:space="preserve"> has been shown to inhibit the progression of joint damage in adults, as measured by X-ray, when given </w:t>
      </w:r>
      <w:r w:rsidRPr="00071BD9">
        <w:rPr>
          <w:b/>
          <w:i/>
          <w:u w:val="single"/>
        </w:rPr>
        <w:t>alone or</w:t>
      </w:r>
      <w:r w:rsidRPr="001254F5">
        <w:rPr>
          <w:i/>
        </w:rPr>
        <w:t xml:space="preserve"> in combination with methotrexate.</w:t>
      </w:r>
    </w:p>
    <w:p w:rsidR="0044325D" w:rsidRPr="00472BFF" w:rsidRDefault="0044325D" w:rsidP="00DC64CC">
      <w:pPr>
        <w:pStyle w:val="Heading4"/>
      </w:pPr>
      <w:bookmarkStart w:id="96" w:name="_Toc389032975"/>
      <w:bookmarkStart w:id="97" w:name="_Toc405551999"/>
      <w:r w:rsidRPr="00472BFF">
        <w:t xml:space="preserve">Other </w:t>
      </w:r>
      <w:r w:rsidR="00071BD9">
        <w:t xml:space="preserve">efficacy </w:t>
      </w:r>
      <w:r w:rsidRPr="00472BFF">
        <w:t>studies included in the dossier</w:t>
      </w:r>
      <w:bookmarkEnd w:id="96"/>
      <w:bookmarkEnd w:id="97"/>
    </w:p>
    <w:p w:rsidR="0044325D" w:rsidRDefault="0044325D" w:rsidP="00DC64CC">
      <w:r w:rsidRPr="00472BFF">
        <w:t>Study WA18695 was the long term extension for patients completing</w:t>
      </w:r>
      <w:r w:rsidR="00071BD9">
        <w:t xml:space="preserve"> treatment in S</w:t>
      </w:r>
      <w:r w:rsidRPr="00472BFF">
        <w:t xml:space="preserve">tudy WA17822. The study was a post-approval commitment from </w:t>
      </w:r>
      <w:r w:rsidR="00071BD9">
        <w:t xml:space="preserve">a previous </w:t>
      </w:r>
      <w:r w:rsidRPr="00472BFF">
        <w:t xml:space="preserve">submission </w:t>
      </w:r>
      <w:r w:rsidR="00071BD9">
        <w:t>to the TGA</w:t>
      </w:r>
      <w:r w:rsidRPr="00472BFF">
        <w:t>. It was an open label, single group, international</w:t>
      </w:r>
      <w:r w:rsidR="00071BD9">
        <w:t>,</w:t>
      </w:r>
      <w:r w:rsidRPr="00472BFF">
        <w:t xml:space="preserve"> multicentre study which enrolled 538 patients (86% from an eligible population of 623) who had completed 24 weeks in the primary </w:t>
      </w:r>
      <w:r w:rsidR="00071BD9">
        <w:t>S</w:t>
      </w:r>
      <w:r w:rsidRPr="00472BFF">
        <w:t>tudy WA17822. The initial patient population were adults with moderate to severe RA with inadequate response to MTX. The study duration was 5 years and it was conducted between August 2005 and May 2012 at 72 sites worldwide. The primary objective was long term safety. Secondary objectives were long term efficacy, reduction in concomitant steroid treatment and effect on biomarkers.</w:t>
      </w:r>
    </w:p>
    <w:p w:rsidR="00071BD9" w:rsidRPr="00472BFF" w:rsidRDefault="00071BD9" w:rsidP="00DC64CC">
      <w:r w:rsidRPr="00071BD9">
        <w:t>Study NA25256 was a randomised, parallel-group, open-label, multicent</w:t>
      </w:r>
      <w:r w:rsidR="0015267E">
        <w:t>re</w:t>
      </w:r>
      <w:r w:rsidRPr="00071BD9">
        <w:t xml:space="preserve"> study to evaluate the effects of </w:t>
      </w:r>
      <w:r w:rsidR="006C365B" w:rsidRPr="006C365B">
        <w:t>TCZ</w:t>
      </w:r>
      <w:r w:rsidRPr="00071BD9">
        <w:t xml:space="preserve"> on vaccination in 91 subjects with active RA receiving background MTX.</w:t>
      </w:r>
    </w:p>
    <w:p w:rsidR="0044325D" w:rsidRPr="00472BFF" w:rsidRDefault="0044325D" w:rsidP="00DC64CC">
      <w:pPr>
        <w:pStyle w:val="Heading4"/>
      </w:pPr>
      <w:bookmarkStart w:id="98" w:name="_Toc389032978"/>
      <w:r w:rsidRPr="00472BFF">
        <w:t>Evaluator’s conclusions on other efficacy data</w:t>
      </w:r>
      <w:bookmarkEnd w:id="98"/>
    </w:p>
    <w:p w:rsidR="0044325D" w:rsidRPr="00472BFF" w:rsidRDefault="0044325D" w:rsidP="00DC64CC">
      <w:pPr>
        <w:pStyle w:val="Heading5"/>
      </w:pPr>
      <w:r w:rsidRPr="00472BFF">
        <w:t>Long term efficacy</w:t>
      </w:r>
    </w:p>
    <w:p w:rsidR="0044325D" w:rsidRPr="00472BFF" w:rsidRDefault="00071BD9" w:rsidP="00DC64CC">
      <w:r>
        <w:t xml:space="preserve">Study </w:t>
      </w:r>
      <w:r w:rsidR="0044325D" w:rsidRPr="00472BFF">
        <w:t xml:space="preserve">WA18695 was the 5 year extension study of </w:t>
      </w:r>
      <w:r>
        <w:t xml:space="preserve">Study </w:t>
      </w:r>
      <w:r w:rsidR="0044325D" w:rsidRPr="00472BFF">
        <w:t>WA17822 and included 538 moderate to sever</w:t>
      </w:r>
      <w:r w:rsidR="003F3633">
        <w:t>e RA patient with 2461.9 person-</w:t>
      </w:r>
      <w:r w:rsidR="0044325D" w:rsidRPr="00472BFF">
        <w:t xml:space="preserve">years </w:t>
      </w:r>
      <w:r w:rsidR="008C562E">
        <w:t xml:space="preserve">(PY) </w:t>
      </w:r>
      <w:r w:rsidR="0044325D" w:rsidRPr="00472BFF">
        <w:t>of exposure. Two thirds of patients completed the 5 years</w:t>
      </w:r>
      <w:r w:rsidR="003F3633">
        <w:t>’</w:t>
      </w:r>
      <w:r w:rsidR="0044325D" w:rsidRPr="00472BFF">
        <w:t xml:space="preserve"> treatment. At 264 </w:t>
      </w:r>
      <w:r>
        <w:t>W</w:t>
      </w:r>
      <w:r w:rsidR="0044325D" w:rsidRPr="00472BFF">
        <w:t>eeks, 46% of patients had achieved an ACR70 response and 61% DA28 remission. Overall, efficacy results indicated improvement during the first year of treatment and maintenance of response thereafter. Quality of life data were supportive. Ability to reduce or cease oral corticosteroids due to sustained efficacy was, however, infrequent.</w:t>
      </w:r>
    </w:p>
    <w:p w:rsidR="0044325D" w:rsidRPr="00472BFF" w:rsidRDefault="00071BD9" w:rsidP="0044325D">
      <w:pPr>
        <w:ind w:left="720"/>
        <w:rPr>
          <w:highlight w:val="yellow"/>
        </w:rPr>
      </w:pPr>
      <w:r>
        <w:rPr>
          <w:b/>
        </w:rPr>
        <w:t>Evaluator’s c</w:t>
      </w:r>
      <w:r w:rsidR="0044325D" w:rsidRPr="00A050CA">
        <w:rPr>
          <w:b/>
        </w:rPr>
        <w:t>omment</w:t>
      </w:r>
      <w:r w:rsidR="0044325D">
        <w:t xml:space="preserve">: </w:t>
      </w:r>
      <w:r w:rsidR="0044325D" w:rsidRPr="00472BFF">
        <w:t>The study was open label, uncontrolled and efficacy data are subject to bias from analysis only of subjects continuing in the study who are possibly more likely to be treatment responders. It is acknowledged that a retention rate of 66% is acceptable for a 5 year study.</w:t>
      </w:r>
    </w:p>
    <w:p w:rsidR="0044325D" w:rsidRPr="00472BFF" w:rsidRDefault="0044325D" w:rsidP="0044325D">
      <w:pPr>
        <w:ind w:left="720"/>
      </w:pPr>
      <w:r w:rsidRPr="00472BFF">
        <w:t>No efficacy data from this study have been proposed for inclusion in the PI.</w:t>
      </w:r>
    </w:p>
    <w:p w:rsidR="0044325D" w:rsidRPr="00472BFF" w:rsidRDefault="0044325D" w:rsidP="00DC64CC">
      <w:pPr>
        <w:pStyle w:val="Heading5"/>
      </w:pPr>
      <w:r w:rsidRPr="00472BFF">
        <w:t>Vaccination</w:t>
      </w:r>
    </w:p>
    <w:p w:rsidR="0044325D" w:rsidRPr="00472BFF" w:rsidRDefault="00071BD9" w:rsidP="00DC64CC">
      <w:r>
        <w:t xml:space="preserve">Study </w:t>
      </w:r>
      <w:r w:rsidR="0044325D" w:rsidRPr="00472BFF">
        <w:t>NA25256 was a randomised, parallel-group, open-label, multicentr</w:t>
      </w:r>
      <w:r w:rsidR="0015267E">
        <w:t>e</w:t>
      </w:r>
      <w:r w:rsidR="0044325D" w:rsidRPr="00472BFF">
        <w:t xml:space="preserve"> study to evaluate the effects of </w:t>
      </w:r>
      <w:r w:rsidR="006C365B" w:rsidRPr="006C365B">
        <w:t>TCZ</w:t>
      </w:r>
      <w:r w:rsidR="0044325D" w:rsidRPr="00472BFF">
        <w:t xml:space="preserve"> on vaccination in 91 subjects with active RA receiving </w:t>
      </w:r>
      <w:r w:rsidR="0044325D" w:rsidRPr="00472BFF">
        <w:lastRenderedPageBreak/>
        <w:t>background MTX. A positive immune response (≥</w:t>
      </w:r>
      <w:r>
        <w:t xml:space="preserve"> </w:t>
      </w:r>
      <w:r w:rsidR="0044325D" w:rsidRPr="00472BFF">
        <w:t>2</w:t>
      </w:r>
      <w:r>
        <w:t xml:space="preserve"> </w:t>
      </w:r>
      <w:r w:rsidR="0044325D" w:rsidRPr="00472BFF">
        <w:t>fold or &gt;</w:t>
      </w:r>
      <w:r>
        <w:t xml:space="preserve"> </w:t>
      </w:r>
      <w:r w:rsidR="0044325D" w:rsidRPr="00472BFF">
        <w:t xml:space="preserve">1 mg/L increase in the titre concentration of at least 6 anti-pneumococcal antibody serotypes) to </w:t>
      </w:r>
      <w:proofErr w:type="spellStart"/>
      <w:r w:rsidR="0044325D" w:rsidRPr="00472BFF">
        <w:t>Pneumovax</w:t>
      </w:r>
      <w:proofErr w:type="spellEnd"/>
      <w:r w:rsidR="0044325D" w:rsidRPr="00472BFF">
        <w:t xml:space="preserve"> 23</w:t>
      </w:r>
      <w:r>
        <w:t xml:space="preserve"> </w:t>
      </w:r>
      <w:proofErr w:type="spellStart"/>
      <w:r w:rsidR="0044325D" w:rsidRPr="00472BFF">
        <w:t>valent</w:t>
      </w:r>
      <w:proofErr w:type="spellEnd"/>
      <w:r w:rsidR="0044325D" w:rsidRPr="00472BFF">
        <w:t xml:space="preserve"> polysaccharide vaccine was lower in subjects receiving TCZ and MTX compared to MTX alone (60 v</w:t>
      </w:r>
      <w:r>
        <w:t xml:space="preserve">ersus </w:t>
      </w:r>
      <w:r w:rsidR="0044325D" w:rsidRPr="00472BFF">
        <w:t xml:space="preserve">71%) although the confidence interval </w:t>
      </w:r>
      <w:r>
        <w:t xml:space="preserve">(CI) </w:t>
      </w:r>
      <w:r w:rsidR="0044325D" w:rsidRPr="00472BFF">
        <w:t>of the difference in response rates crossed zero. Response was lower in older patients 51 to &lt;65 years (56% v</w:t>
      </w:r>
      <w:r>
        <w:t>ersu</w:t>
      </w:r>
      <w:r w:rsidR="0044325D" w:rsidRPr="00472BFF">
        <w:t>s 67%) but the difference between treatment groups remained similar. Immune response to tetanus toxoid was similar between groups (39% v</w:t>
      </w:r>
      <w:r>
        <w:t>ersu</w:t>
      </w:r>
      <w:r w:rsidR="0044325D" w:rsidRPr="00472BFF">
        <w:t>s 42%).</w:t>
      </w:r>
    </w:p>
    <w:p w:rsidR="0044325D" w:rsidRPr="006B3D7D" w:rsidRDefault="00071BD9" w:rsidP="00DC64CC">
      <w:pPr>
        <w:rPr>
          <w:highlight w:val="yellow"/>
        </w:rPr>
      </w:pPr>
      <w:r>
        <w:t>From this study the s</w:t>
      </w:r>
      <w:r w:rsidR="0044325D" w:rsidRPr="00472BFF">
        <w:t>ponsor has proposed addition</w:t>
      </w:r>
      <w:r w:rsidR="00544065">
        <w:t>al information</w:t>
      </w:r>
      <w:r w:rsidR="0044325D" w:rsidRPr="00472BFF">
        <w:t xml:space="preserve"> </w:t>
      </w:r>
      <w:r w:rsidR="00544065">
        <w:t xml:space="preserve">in </w:t>
      </w:r>
      <w:r w:rsidR="0044325D" w:rsidRPr="00472BFF">
        <w:t>the PI</w:t>
      </w:r>
      <w:r w:rsidR="006B3D7D">
        <w:t xml:space="preserve">. Details </w:t>
      </w:r>
      <w:r w:rsidR="00544065">
        <w:t xml:space="preserve">of these </w:t>
      </w:r>
      <w:r w:rsidR="006B3D7D">
        <w:t>are beyond the scope of the AusPAR</w:t>
      </w:r>
      <w:r w:rsidR="00E973CE">
        <w:t>.</w:t>
      </w:r>
    </w:p>
    <w:p w:rsidR="0044325D" w:rsidRPr="00586F98" w:rsidRDefault="00071BD9" w:rsidP="0044325D">
      <w:pPr>
        <w:ind w:left="720"/>
        <w:rPr>
          <w:lang w:eastAsia="ja-JP"/>
        </w:rPr>
      </w:pPr>
      <w:r w:rsidRPr="00E973CE">
        <w:rPr>
          <w:b/>
        </w:rPr>
        <w:t xml:space="preserve">Evaluator’s </w:t>
      </w:r>
      <w:r w:rsidR="0044325D" w:rsidRPr="00E973CE">
        <w:rPr>
          <w:b/>
        </w:rPr>
        <w:t>Comment</w:t>
      </w:r>
      <w:r w:rsidR="0044325D" w:rsidRPr="00E973CE">
        <w:t>: The results indicated that only 60% of patients receiving TCZ</w:t>
      </w:r>
      <w:r w:rsidR="00D8522E" w:rsidRPr="00E973CE">
        <w:t xml:space="preserve"> </w:t>
      </w:r>
      <w:r w:rsidR="0044325D" w:rsidRPr="00E973CE">
        <w:t>+</w:t>
      </w:r>
      <w:r w:rsidR="00D8522E" w:rsidRPr="00E973CE">
        <w:t xml:space="preserve"> </w:t>
      </w:r>
      <w:r w:rsidR="0044325D" w:rsidRPr="00E973CE">
        <w:t xml:space="preserve">MTX can mount an adequate immune response to </w:t>
      </w:r>
      <w:proofErr w:type="spellStart"/>
      <w:r w:rsidR="0044325D" w:rsidRPr="00E973CE">
        <w:t>Pneumovax</w:t>
      </w:r>
      <w:proofErr w:type="spellEnd"/>
      <w:r w:rsidR="0044325D" w:rsidRPr="00E973CE">
        <w:t xml:space="preserve"> and that the response is numerically poorer that with MTX alone. The evaluator recommends that it be made clearer to prescribers that, while immunisation is certainly recommended, a substantial proportion of patients may not mount an adequate immune response to vaccination. The proposed sentence </w:t>
      </w:r>
      <w:r w:rsidR="00E973CE">
        <w:t xml:space="preserve">[not shown here] </w:t>
      </w:r>
      <w:r w:rsidR="0044325D" w:rsidRPr="00E973CE">
        <w:t>should therefore be reworded. Clearly it is desirable that immunisations need to be up to date with vaccination undertaken prior to commencing TCZ.</w:t>
      </w:r>
    </w:p>
    <w:p w:rsidR="008E7846" w:rsidRDefault="008E7846" w:rsidP="00DC64CC">
      <w:pPr>
        <w:pStyle w:val="Heading3"/>
      </w:pPr>
      <w:bookmarkStart w:id="99" w:name="_Toc163441378"/>
      <w:bookmarkStart w:id="100" w:name="_Toc196046495"/>
      <w:bookmarkStart w:id="101" w:name="_Toc247691522"/>
      <w:bookmarkStart w:id="102" w:name="_Toc314842505"/>
      <w:bookmarkStart w:id="103" w:name="_Toc412444406"/>
      <w:r w:rsidRPr="002E238E">
        <w:t>Safety</w:t>
      </w:r>
      <w:bookmarkEnd w:id="99"/>
      <w:bookmarkEnd w:id="100"/>
      <w:bookmarkEnd w:id="101"/>
      <w:bookmarkEnd w:id="102"/>
      <w:bookmarkEnd w:id="103"/>
    </w:p>
    <w:p w:rsidR="00915583" w:rsidRPr="00915583" w:rsidRDefault="00915583" w:rsidP="00DC64CC">
      <w:pPr>
        <w:pStyle w:val="Heading4"/>
      </w:pPr>
      <w:bookmarkStart w:id="104" w:name="_Ref268776745"/>
      <w:r w:rsidRPr="00915583">
        <w:t xml:space="preserve">Studies providing </w:t>
      </w:r>
      <w:r>
        <w:t xml:space="preserve">evaluable </w:t>
      </w:r>
      <w:r w:rsidRPr="00915583">
        <w:t>safety data</w:t>
      </w:r>
    </w:p>
    <w:p w:rsidR="00915583" w:rsidRPr="00721327" w:rsidRDefault="006B3D7D" w:rsidP="00DC64CC">
      <w:r>
        <w:t>The s</w:t>
      </w:r>
      <w:r w:rsidR="00915583" w:rsidRPr="00721327">
        <w:t xml:space="preserve">ponsor proposed a change of indication of TCZ to include adult patients with severe, active and progressive </w:t>
      </w:r>
      <w:r w:rsidR="009C63CE">
        <w:t>RA</w:t>
      </w:r>
      <w:r w:rsidR="00915583" w:rsidRPr="00721327">
        <w:t xml:space="preserve"> not previously treated with meth</w:t>
      </w:r>
      <w:r>
        <w:t>otrexate. For this purpose the pivotal s</w:t>
      </w:r>
      <w:r w:rsidR="00915583" w:rsidRPr="00721327">
        <w:t xml:space="preserve">tudy was WA19926. In addition, safety data </w:t>
      </w:r>
      <w:r>
        <w:t>were submitted from the open label extension S</w:t>
      </w:r>
      <w:r w:rsidR="00915583" w:rsidRPr="00721327">
        <w:t>tudy WA18695 in patients with moderate to severe RA and inadequate response to MTX.</w:t>
      </w:r>
    </w:p>
    <w:p w:rsidR="00164178" w:rsidRDefault="00164178" w:rsidP="00DC64CC">
      <w:pPr>
        <w:pStyle w:val="Heading5"/>
      </w:pPr>
      <w:r>
        <w:t>P</w:t>
      </w:r>
      <w:r w:rsidR="00915583" w:rsidRPr="00721327">
        <w:t xml:space="preserve">ivotal efficacy </w:t>
      </w:r>
      <w:r w:rsidR="006B3D7D">
        <w:t>S</w:t>
      </w:r>
      <w:r w:rsidR="00915583" w:rsidRPr="00721327">
        <w:t>tudy WA19926</w:t>
      </w:r>
      <w:r w:rsidR="003F3633">
        <w:t xml:space="preserve"> (early RA)</w:t>
      </w:r>
    </w:p>
    <w:p w:rsidR="00915583" w:rsidRPr="00721327" w:rsidRDefault="00164178" w:rsidP="00DC64CC">
      <w:r>
        <w:t>T</w:t>
      </w:r>
      <w:r w:rsidR="00915583" w:rsidRPr="00721327">
        <w:t>he following safety data were collected:</w:t>
      </w:r>
    </w:p>
    <w:p w:rsidR="00915583" w:rsidRPr="00721327" w:rsidRDefault="00915583" w:rsidP="00DC64CC">
      <w:pPr>
        <w:pStyle w:val="ListBullet"/>
      </w:pPr>
      <w:r w:rsidRPr="00721327">
        <w:t xml:space="preserve">General adverse events (AEs), </w:t>
      </w:r>
      <w:r w:rsidR="006B3D7D">
        <w:t>serious adverse events (</w:t>
      </w:r>
      <w:r w:rsidRPr="00721327">
        <w:t>SAEs</w:t>
      </w:r>
      <w:r w:rsidR="006B3D7D">
        <w:t>)</w:t>
      </w:r>
      <w:r w:rsidRPr="00721327">
        <w:t xml:space="preserve"> and discontinuations due to AEs.</w:t>
      </w:r>
    </w:p>
    <w:p w:rsidR="00915583" w:rsidRPr="006B3D7D" w:rsidRDefault="00915583" w:rsidP="00DC64CC">
      <w:pPr>
        <w:pStyle w:val="ListBullet"/>
      </w:pPr>
      <w:r w:rsidRPr="006B3D7D">
        <w:t xml:space="preserve">AEs of particular interest, including malignancies, myocardial infarction, </w:t>
      </w:r>
      <w:proofErr w:type="gramStart"/>
      <w:r w:rsidRPr="006B3D7D">
        <w:t>stoke, elevated lipids, infection, anaphylaxis/serious hypersensitivity</w:t>
      </w:r>
      <w:r w:rsidRPr="00164178">
        <w:rPr>
          <w:vertAlign w:val="superscript"/>
        </w:rPr>
        <w:footnoteReference w:id="4"/>
      </w:r>
      <w:proofErr w:type="gramEnd"/>
      <w:r w:rsidRPr="006B3D7D">
        <w:t xml:space="preserve"> and infusion reactions, </w:t>
      </w:r>
      <w:r w:rsidR="00990540">
        <w:t>g</w:t>
      </w:r>
      <w:r w:rsidR="00990540" w:rsidRPr="00990540">
        <w:t>astrointestinal</w:t>
      </w:r>
      <w:r w:rsidRPr="006B3D7D">
        <w:t xml:space="preserve"> perforations, demyelinating disorders, serious bleeding events, thrombocytopaenia, hepatic events and elevated liver enzymes.</w:t>
      </w:r>
    </w:p>
    <w:p w:rsidR="00915583" w:rsidRPr="00721327" w:rsidRDefault="00915583" w:rsidP="00DC64CC">
      <w:pPr>
        <w:pStyle w:val="ListBullet"/>
      </w:pPr>
      <w:r w:rsidRPr="00721327">
        <w:t>Laboratory tests, including haematology, blood chemistry, serum lipids, liver profile; acute phase reactants (</w:t>
      </w:r>
      <w:r w:rsidR="003F3633">
        <w:t>e</w:t>
      </w:r>
      <w:r w:rsidR="003F3633" w:rsidRPr="003F3633">
        <w:t>rythrocyte sedimentation rate</w:t>
      </w:r>
      <w:r w:rsidR="003F3633">
        <w:t>,</w:t>
      </w:r>
      <w:r w:rsidR="003F3633" w:rsidRPr="003F3633">
        <w:t xml:space="preserve"> </w:t>
      </w:r>
      <w:r w:rsidRPr="00721327">
        <w:t>ESR).</w:t>
      </w:r>
    </w:p>
    <w:p w:rsidR="00915583" w:rsidRPr="00721327" w:rsidRDefault="00915583" w:rsidP="00DC64CC">
      <w:pPr>
        <w:pStyle w:val="ListBullet"/>
      </w:pPr>
      <w:r w:rsidRPr="00721327">
        <w:t>Vital signs</w:t>
      </w:r>
    </w:p>
    <w:p w:rsidR="00915583" w:rsidRPr="00721327" w:rsidRDefault="00915583" w:rsidP="00DC64CC">
      <w:pPr>
        <w:pStyle w:val="ListBullet"/>
      </w:pPr>
      <w:r w:rsidRPr="00721327">
        <w:t>Immunogenicity with anti-TCZ specific blocking and neutralising antibodies in those positive on the screening assay.</w:t>
      </w:r>
    </w:p>
    <w:p w:rsidR="00164178" w:rsidRPr="003F3633" w:rsidRDefault="00DC64CC" w:rsidP="00DC64CC">
      <w:pPr>
        <w:pStyle w:val="Heading5"/>
      </w:pPr>
      <w:r>
        <w:t>Pooled safety data</w:t>
      </w:r>
    </w:p>
    <w:p w:rsidR="00915583" w:rsidRPr="00721327" w:rsidRDefault="00164178" w:rsidP="00DC64CC">
      <w:pPr>
        <w:pStyle w:val="ListBullet"/>
      </w:pPr>
      <w:r>
        <w:t xml:space="preserve">Pooled safety data </w:t>
      </w:r>
      <w:r w:rsidR="006B3D7D">
        <w:t xml:space="preserve">were </w:t>
      </w:r>
      <w:r w:rsidR="006B3D7D" w:rsidRPr="00164178">
        <w:t>provided</w:t>
      </w:r>
      <w:r w:rsidR="006B3D7D">
        <w:t xml:space="preserve"> </w:t>
      </w:r>
      <w:r w:rsidR="00915583" w:rsidRPr="00721327">
        <w:t xml:space="preserve">from 3 </w:t>
      </w:r>
      <w:proofErr w:type="gramStart"/>
      <w:r w:rsidR="00915583" w:rsidRPr="00721327">
        <w:t>placebo</w:t>
      </w:r>
      <w:proofErr w:type="gramEnd"/>
      <w:r w:rsidR="00915583" w:rsidRPr="00721327">
        <w:t xml:space="preserve"> controlled</w:t>
      </w:r>
      <w:r>
        <w:t>,</w:t>
      </w:r>
      <w:r w:rsidR="00915583" w:rsidRPr="00721327">
        <w:t xml:space="preserve"> </w:t>
      </w:r>
      <w:r w:rsidR="006B3D7D">
        <w:t>P</w:t>
      </w:r>
      <w:r w:rsidR="00915583" w:rsidRPr="00721327">
        <w:t>hase III studies (WA17822, WA17823 and WA18063) in patients with inadequate response to DMARDs to allow comparison of safety data to WA19266 (</w:t>
      </w:r>
      <w:r w:rsidR="006B3D7D">
        <w:t>c</w:t>
      </w:r>
      <w:r w:rsidR="00915583" w:rsidRPr="00721327">
        <w:t>ontrolled DMARD</w:t>
      </w:r>
      <w:r w:rsidRPr="00164178">
        <w:rPr>
          <w:rFonts w:ascii="Arial" w:eastAsiaTheme="minorHAnsi" w:hAnsi="Arial" w:cs="Arial"/>
          <w:sz w:val="18"/>
          <w:szCs w:val="18"/>
        </w:rPr>
        <w:t xml:space="preserve"> </w:t>
      </w:r>
      <w:r w:rsidRPr="00164178">
        <w:lastRenderedPageBreak/>
        <w:t>inadequate responder</w:t>
      </w:r>
      <w:r>
        <w:t xml:space="preserve"> (</w:t>
      </w:r>
      <w:r w:rsidR="00915583" w:rsidRPr="00721327">
        <w:t>IR</w:t>
      </w:r>
      <w:r>
        <w:t xml:space="preserve">) </w:t>
      </w:r>
      <w:r w:rsidR="00915583" w:rsidRPr="00721327">
        <w:t>population). This included treatment to 24 weeks in 2 studie</w:t>
      </w:r>
      <w:r w:rsidR="00DC64CC">
        <w:t>s and to 52 weeks in one study.</w:t>
      </w:r>
    </w:p>
    <w:p w:rsidR="00915583" w:rsidRPr="00721327" w:rsidRDefault="00915583" w:rsidP="00DC64CC">
      <w:pPr>
        <w:pStyle w:val="ListBullet"/>
      </w:pPr>
      <w:r w:rsidRPr="00164178">
        <w:t>Long</w:t>
      </w:r>
      <w:r w:rsidRPr="00721327">
        <w:t xml:space="preserve"> </w:t>
      </w:r>
      <w:r w:rsidR="00164178">
        <w:t>term extension studies (all-</w:t>
      </w:r>
      <w:r w:rsidRPr="00721327">
        <w:t>exposure population). This in</w:t>
      </w:r>
      <w:r w:rsidR="00164178">
        <w:t>cluded data from: five pivotal P</w:t>
      </w:r>
      <w:r w:rsidRPr="00721327">
        <w:t>hase III studies</w:t>
      </w:r>
      <w:r w:rsidR="003F3633">
        <w:t>:</w:t>
      </w:r>
      <w:r w:rsidRPr="00721327">
        <w:t xml:space="preserve"> WA17822, WA1782</w:t>
      </w:r>
      <w:r w:rsidR="003F3633">
        <w:t>3, WA18063, WA17824 and WA18062,</w:t>
      </w:r>
      <w:r w:rsidRPr="00721327">
        <w:t xml:space="preserve"> safety </w:t>
      </w:r>
      <w:r w:rsidR="00164178">
        <w:t>S</w:t>
      </w:r>
      <w:r w:rsidRPr="00721327">
        <w:t xml:space="preserve">tudy WP18663; open label LTE clinical </w:t>
      </w:r>
      <w:r w:rsidR="00164178">
        <w:t>S</w:t>
      </w:r>
      <w:r w:rsidRPr="00721327">
        <w:t>tudies WA18695, WA18696, and WA17</w:t>
      </w:r>
      <w:r w:rsidR="003F3633">
        <w:t>823 extension,</w:t>
      </w:r>
      <w:r w:rsidR="00164178">
        <w:t xml:space="preserve"> and 6</w:t>
      </w:r>
      <w:r w:rsidR="003F3633">
        <w:t xml:space="preserve"> </w:t>
      </w:r>
      <w:r w:rsidR="00164178">
        <w:t xml:space="preserve">month data </w:t>
      </w:r>
      <w:r w:rsidR="003F3633">
        <w:t xml:space="preserve">from </w:t>
      </w:r>
      <w:r w:rsidR="00164178">
        <w:t>P</w:t>
      </w:r>
      <w:r w:rsidRPr="00721327">
        <w:t xml:space="preserve">hase IV monotherapy </w:t>
      </w:r>
      <w:r w:rsidR="00164178">
        <w:t>S</w:t>
      </w:r>
      <w:r w:rsidRPr="00721327">
        <w:t>tudy WA19924. This population included 417</w:t>
      </w:r>
      <w:r w:rsidR="00164178">
        <w:t xml:space="preserve">1 patients with 16,204.8 </w:t>
      </w:r>
      <w:r w:rsidR="008C562E">
        <w:t xml:space="preserve">PY </w:t>
      </w:r>
      <w:proofErr w:type="gramStart"/>
      <w:r w:rsidRPr="00721327">
        <w:t>exposure</w:t>
      </w:r>
      <w:proofErr w:type="gramEnd"/>
      <w:r w:rsidRPr="00721327">
        <w:t>.</w:t>
      </w:r>
    </w:p>
    <w:p w:rsidR="00915583" w:rsidRPr="00721327" w:rsidRDefault="00915583" w:rsidP="00DC64CC">
      <w:pPr>
        <w:pStyle w:val="ListBullet"/>
      </w:pPr>
      <w:r w:rsidRPr="00721327">
        <w:t xml:space="preserve">Two </w:t>
      </w:r>
      <w:r w:rsidRPr="00164178">
        <w:t>subpopulations</w:t>
      </w:r>
      <w:r w:rsidR="009C63CE">
        <w:t xml:space="preserve">: MTX </w:t>
      </w:r>
      <w:r w:rsidRPr="00721327">
        <w:t>naïve or not received MTX within 6 months (LTE MTX</w:t>
      </w:r>
      <w:r w:rsidR="009C63CE">
        <w:t xml:space="preserve"> </w:t>
      </w:r>
      <w:r w:rsidRPr="00721327">
        <w:t>naïve subpopulation) and ≤</w:t>
      </w:r>
      <w:r w:rsidR="00164178">
        <w:t xml:space="preserve"> </w:t>
      </w:r>
      <w:r w:rsidRPr="00721327">
        <w:t>2 years since RA diagnosis (early RA population).</w:t>
      </w:r>
    </w:p>
    <w:p w:rsidR="00915583" w:rsidRPr="00721327" w:rsidRDefault="00915583" w:rsidP="00DC64CC">
      <w:pPr>
        <w:pStyle w:val="ListBullet"/>
      </w:pPr>
      <w:r w:rsidRPr="00721327">
        <w:t xml:space="preserve">TCZ </w:t>
      </w:r>
      <w:r w:rsidRPr="00164178">
        <w:t>mo</w:t>
      </w:r>
      <w:r w:rsidR="00F516E3">
        <w:t>no</w:t>
      </w:r>
      <w:r w:rsidRPr="00164178">
        <w:t>therapy</w:t>
      </w:r>
      <w:r w:rsidRPr="00721327">
        <w:t xml:space="preserve"> patients from WA17824 (LTE TCZ monotherapy subgroup).</w:t>
      </w:r>
    </w:p>
    <w:p w:rsidR="00915583" w:rsidRPr="003F3633" w:rsidRDefault="00915583" w:rsidP="00DC64CC">
      <w:pPr>
        <w:pStyle w:val="Heading5"/>
      </w:pPr>
      <w:r w:rsidRPr="003F3633">
        <w:t>Other post-marketing data</w:t>
      </w:r>
    </w:p>
    <w:p w:rsidR="00915583" w:rsidRPr="00721327" w:rsidRDefault="00915583" w:rsidP="00DC64CC">
      <w:r w:rsidRPr="00721327">
        <w:t xml:space="preserve">The </w:t>
      </w:r>
      <w:r w:rsidR="00901AC2">
        <w:t xml:space="preserve">sponsor’s </w:t>
      </w:r>
      <w:r w:rsidRPr="00901AC2">
        <w:rPr>
          <w:i/>
        </w:rPr>
        <w:t>Summary of Clinical Efficacy</w:t>
      </w:r>
      <w:r w:rsidRPr="00721327">
        <w:t xml:space="preserve"> also included a retro</w:t>
      </w:r>
      <w:r>
        <w:t>s</w:t>
      </w:r>
      <w:r w:rsidRPr="00721327">
        <w:t>pective epidemiological survey of US health claims u</w:t>
      </w:r>
      <w:r>
        <w:t xml:space="preserve">sing Thomson Reuters </w:t>
      </w:r>
      <w:proofErr w:type="spellStart"/>
      <w:r>
        <w:t>MarketScan</w:t>
      </w:r>
      <w:proofErr w:type="spellEnd"/>
      <w:r w:rsidRPr="00721327">
        <w:t xml:space="preserve"> database. The report was dated 15 April 2013. The study objectives were to estimate the incidence of specific events of interest in early RA patients treated with biologics. Early RA was defined as a new occurrence of RA with follow up restricted to 2 years after RA first diagnosis. The endpoints of interest were acute hepatic events, cardiovascular events, serious infections, serious bleeding event and malignancies.</w:t>
      </w:r>
    </w:p>
    <w:p w:rsidR="00915583" w:rsidRPr="00721327" w:rsidRDefault="00915583" w:rsidP="00DC64CC">
      <w:r w:rsidRPr="00721327">
        <w:t>AE data for deaths, SAEs, AEs leading to withdrawal and of special interest were pr</w:t>
      </w:r>
      <w:r w:rsidR="00901AC2">
        <w:t xml:space="preserve">esented as rates per 100 </w:t>
      </w:r>
      <w:r w:rsidR="008C562E">
        <w:t xml:space="preserve">PY </w:t>
      </w:r>
      <w:r w:rsidRPr="00721327">
        <w:t>due to differing treatment durations.</w:t>
      </w:r>
    </w:p>
    <w:p w:rsidR="00605AD4" w:rsidRDefault="00605AD4" w:rsidP="00DC64CC">
      <w:pPr>
        <w:pStyle w:val="Heading4"/>
      </w:pPr>
      <w:bookmarkStart w:id="105" w:name="_Toc247691524"/>
      <w:bookmarkStart w:id="106" w:name="_Toc314842508"/>
      <w:bookmarkStart w:id="107" w:name="_Toc196046504"/>
      <w:bookmarkStart w:id="108" w:name="_Toc163441390"/>
      <w:bookmarkEnd w:id="104"/>
      <w:r w:rsidRPr="00605AD4">
        <w:t>Patient exposure</w:t>
      </w:r>
    </w:p>
    <w:p w:rsidR="00915583" w:rsidRDefault="00915583" w:rsidP="00DC64CC">
      <w:r w:rsidRPr="00721327">
        <w:t xml:space="preserve">In </w:t>
      </w:r>
      <w:r w:rsidR="00901AC2">
        <w:t>S</w:t>
      </w:r>
      <w:r w:rsidRPr="00721327">
        <w:t>tudy WA19926, there were 282 patients in the placebo</w:t>
      </w:r>
      <w:r w:rsidR="00901AC2">
        <w:t xml:space="preserve"> </w:t>
      </w:r>
      <w:r w:rsidRPr="00721327">
        <w:t>+</w:t>
      </w:r>
      <w:r w:rsidR="00901AC2">
        <w:t xml:space="preserve"> </w:t>
      </w:r>
      <w:r w:rsidRPr="00721327">
        <w:t>MTX group and 871 in the TCZ (4 and 8 mg) +</w:t>
      </w:r>
      <w:r w:rsidR="00901AC2">
        <w:t xml:space="preserve"> </w:t>
      </w:r>
      <w:r w:rsidRPr="00721327">
        <w:t>MTX or TCZ monotherapy groups (Table</w:t>
      </w:r>
      <w:r>
        <w:t xml:space="preserve"> </w:t>
      </w:r>
      <w:r w:rsidR="004279F8">
        <w:t>1</w:t>
      </w:r>
      <w:r w:rsidR="003F3633">
        <w:t>). Data were included up to W</w:t>
      </w:r>
      <w:r w:rsidRPr="00721327">
        <w:t>eek 52 and the mean exposure was similar between groups at 0.87-0.89 years. As mean actual exposure to TCZ was 87-89% of all possible doses, this corresponded to a</w:t>
      </w:r>
      <w:r w:rsidR="00901AC2">
        <w:t>n</w:t>
      </w:r>
      <w:r w:rsidRPr="00721327">
        <w:t xml:space="preserve"> actual exposure per group of 249-261 </w:t>
      </w:r>
      <w:r w:rsidR="008C562E">
        <w:t xml:space="preserve">PY </w:t>
      </w:r>
      <w:r w:rsidRPr="00721327">
        <w:t xml:space="preserve">and a total exposure for the all-TCZ group of 794.9 </w:t>
      </w:r>
      <w:r w:rsidR="008C562E">
        <w:t xml:space="preserve">PY </w:t>
      </w:r>
      <w:r w:rsidRPr="00721327">
        <w:t xml:space="preserve">(Table </w:t>
      </w:r>
      <w:r w:rsidR="004279F8">
        <w:t>2</w:t>
      </w:r>
      <w:r w:rsidR="00DC64CC">
        <w:t>).</w:t>
      </w:r>
    </w:p>
    <w:p w:rsidR="00915583" w:rsidRDefault="004279F8" w:rsidP="00DC64CC">
      <w:pPr>
        <w:pStyle w:val="TableTitle"/>
      </w:pPr>
      <w:proofErr w:type="gramStart"/>
      <w:r>
        <w:t>Table 1</w:t>
      </w:r>
      <w:r w:rsidR="00915583">
        <w:t>: Exposure by treatment group.</w:t>
      </w:r>
      <w:proofErr w:type="gramEnd"/>
      <w:r w:rsidR="00915583">
        <w:t xml:space="preserve"> Study WA19926</w:t>
      </w:r>
    </w:p>
    <w:p w:rsidR="00915583" w:rsidRDefault="00915583" w:rsidP="00915583">
      <w:r w:rsidRPr="008E5F31">
        <w:rPr>
          <w:rFonts w:ascii="Calibri" w:hAnsi="Calibri"/>
          <w:b/>
          <w:noProof/>
          <w:sz w:val="20"/>
          <w:lang w:eastAsia="en-AU"/>
        </w:rPr>
        <w:drawing>
          <wp:inline distT="0" distB="0" distL="0" distR="0" wp14:anchorId="71D0D541" wp14:editId="73920471">
            <wp:extent cx="5249478" cy="2025650"/>
            <wp:effectExtent l="0" t="0" r="8890" b="0"/>
            <wp:docPr id="339" name="Picture 2" descr="Table 1: Exposure by treatment group. Study WA19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253885" cy="2027350"/>
                    </a:xfrm>
                    <a:prstGeom prst="rect">
                      <a:avLst/>
                    </a:prstGeom>
                    <a:noFill/>
                    <a:ln w="9525">
                      <a:noFill/>
                      <a:miter lim="800000"/>
                      <a:headEnd/>
                      <a:tailEnd/>
                    </a:ln>
                  </pic:spPr>
                </pic:pic>
              </a:graphicData>
            </a:graphic>
          </wp:inline>
        </w:drawing>
      </w:r>
    </w:p>
    <w:p w:rsidR="00915583" w:rsidRDefault="004279F8" w:rsidP="00DC64CC">
      <w:pPr>
        <w:pStyle w:val="TableTitle"/>
      </w:pPr>
      <w:r>
        <w:lastRenderedPageBreak/>
        <w:t>Table 2</w:t>
      </w:r>
      <w:r w:rsidR="00915583">
        <w:t>: Extent of actual exposure to IV TCZ (or placebo) trial treatment (WA19926 Safety population)</w:t>
      </w:r>
    </w:p>
    <w:p w:rsidR="00915583" w:rsidRPr="00721327" w:rsidRDefault="00915583" w:rsidP="00DC64CC">
      <w:r>
        <w:rPr>
          <w:noProof/>
          <w:lang w:eastAsia="en-AU"/>
        </w:rPr>
        <w:drawing>
          <wp:inline distT="0" distB="0" distL="0" distR="0" wp14:anchorId="43C14E20" wp14:editId="69DEEAD4">
            <wp:extent cx="5029200" cy="1728970"/>
            <wp:effectExtent l="0" t="0" r="0" b="5080"/>
            <wp:docPr id="6" name="Picture 6" descr="Table 2: Extent of actual exposure to IV TCZ (or placebo) trial treatment (WA19926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029200" cy="1728970"/>
                    </a:xfrm>
                    <a:prstGeom prst="rect">
                      <a:avLst/>
                    </a:prstGeom>
                  </pic:spPr>
                </pic:pic>
              </a:graphicData>
            </a:graphic>
          </wp:inline>
        </w:drawing>
      </w:r>
    </w:p>
    <w:p w:rsidR="00915583" w:rsidRPr="00721327" w:rsidRDefault="00915583" w:rsidP="00DC64CC">
      <w:r w:rsidRPr="00721327">
        <w:t xml:space="preserve">Exposure in the controlled DMARD-IR population was 1268.2 </w:t>
      </w:r>
      <w:r w:rsidR="008C562E">
        <w:t xml:space="preserve">PY </w:t>
      </w:r>
      <w:r w:rsidRPr="00721327">
        <w:t xml:space="preserve">in the pooled TCZ 4 mg and 8 mg/kg </w:t>
      </w:r>
      <w:r w:rsidR="003F3633">
        <w:t>groups. Exposure in the LTE all-</w:t>
      </w:r>
      <w:r w:rsidRPr="00721327">
        <w:t>exposure population was 16205 PY with 1749 PY and 3165 PY in the MTX naïve and early RA subpopulations, respectively. In study WA19824, the mean duration of TCZ 8 mg/kg mon</w:t>
      </w:r>
      <w:r w:rsidR="00901AC2">
        <w:t>o</w:t>
      </w:r>
      <w:r w:rsidRPr="00721327">
        <w:t xml:space="preserve">therapy was 4.9 years with 659 </w:t>
      </w:r>
      <w:r w:rsidR="008C562E">
        <w:t xml:space="preserve">PY </w:t>
      </w:r>
      <w:proofErr w:type="gramStart"/>
      <w:r w:rsidRPr="00721327">
        <w:t>exposure</w:t>
      </w:r>
      <w:proofErr w:type="gramEnd"/>
      <w:r w:rsidRPr="00721327">
        <w:t>.</w:t>
      </w:r>
    </w:p>
    <w:p w:rsidR="00605AD4" w:rsidRDefault="00605AD4" w:rsidP="00DC64CC">
      <w:pPr>
        <w:pStyle w:val="Heading4"/>
      </w:pPr>
      <w:r w:rsidRPr="00605AD4">
        <w:t>Safety issues with the potential for major regulatory impact</w:t>
      </w:r>
    </w:p>
    <w:p w:rsidR="00915583" w:rsidRPr="00721327" w:rsidRDefault="00915583" w:rsidP="00DC64CC">
      <w:pPr>
        <w:pStyle w:val="Heading5"/>
      </w:pPr>
      <w:bookmarkStart w:id="109" w:name="_Toc272414681"/>
      <w:bookmarkStart w:id="110" w:name="_Toc290846319"/>
      <w:bookmarkStart w:id="111" w:name="_Ref378853551"/>
      <w:bookmarkStart w:id="112" w:name="_Ref378853579"/>
      <w:bookmarkStart w:id="113" w:name="_Toc389033017"/>
      <w:r w:rsidRPr="00721327">
        <w:t>Liver toxicity</w:t>
      </w:r>
      <w:bookmarkEnd w:id="109"/>
      <w:bookmarkEnd w:id="110"/>
      <w:bookmarkEnd w:id="111"/>
      <w:bookmarkEnd w:id="112"/>
      <w:bookmarkEnd w:id="113"/>
    </w:p>
    <w:p w:rsidR="00915583" w:rsidRPr="00721327" w:rsidRDefault="00915583" w:rsidP="00DC64CC">
      <w:r w:rsidRPr="00721327">
        <w:t xml:space="preserve">In WA19926, mean </w:t>
      </w:r>
      <w:r w:rsidR="00F516E3">
        <w:t>alanine transaminase (</w:t>
      </w:r>
      <w:r w:rsidRPr="00721327">
        <w:t>ALT</w:t>
      </w:r>
      <w:r w:rsidR="00F516E3">
        <w:t>)</w:t>
      </w:r>
      <w:r w:rsidRPr="00721327">
        <w:t xml:space="preserve">, </w:t>
      </w:r>
      <w:r w:rsidR="00F516E3">
        <w:t>aspartate transaminase (</w:t>
      </w:r>
      <w:r w:rsidRPr="00721327">
        <w:t>AST</w:t>
      </w:r>
      <w:r w:rsidR="00F516E3">
        <w:t>)</w:t>
      </w:r>
      <w:r w:rsidRPr="00721327">
        <w:t xml:space="preserve"> and bilirubin were noted to increase across treatment groups with bilirubin remaining within normal range and transaminases increasing more notably. Most increases of AST and ALT were between the </w:t>
      </w:r>
      <w:r w:rsidR="00F516E3">
        <w:t>upper limit of normal (</w:t>
      </w:r>
      <w:r w:rsidRPr="00721327">
        <w:t>ULN</w:t>
      </w:r>
      <w:r w:rsidR="00F516E3">
        <w:t>)</w:t>
      </w:r>
      <w:r w:rsidRPr="00721327">
        <w:t xml:space="preserve"> to ≤</w:t>
      </w:r>
      <w:r w:rsidR="00F516E3">
        <w:t xml:space="preserve"> </w:t>
      </w:r>
      <w:r w:rsidRPr="00721327">
        <w:t>3</w:t>
      </w:r>
      <w:r w:rsidR="00F516E3">
        <w:t xml:space="preserve"> </w:t>
      </w:r>
      <w:proofErr w:type="gramStart"/>
      <w:r w:rsidRPr="00721327">
        <w:t>x</w:t>
      </w:r>
      <w:proofErr w:type="gramEnd"/>
      <w:r w:rsidRPr="00721327">
        <w:t xml:space="preserve"> ULN however in the TCZ groups the rate of ALT increase to 3 to &gt;</w:t>
      </w:r>
      <w:r w:rsidR="00F516E3">
        <w:t xml:space="preserve"> </w:t>
      </w:r>
      <w:r w:rsidRPr="00721327">
        <w:t>5</w:t>
      </w:r>
      <w:r w:rsidR="00F516E3">
        <w:t xml:space="preserve"> </w:t>
      </w:r>
      <w:r w:rsidRPr="00721327">
        <w:t>x ULN was 3.4%-9.7% and to &gt;</w:t>
      </w:r>
      <w:r w:rsidR="00F516E3">
        <w:t xml:space="preserve"> </w:t>
      </w:r>
      <w:r w:rsidRPr="00721327">
        <w:t>5</w:t>
      </w:r>
      <w:r w:rsidR="00F516E3">
        <w:t xml:space="preserve"> </w:t>
      </w:r>
      <w:r w:rsidRPr="00721327">
        <w:t>x</w:t>
      </w:r>
      <w:r w:rsidR="00F516E3">
        <w:t xml:space="preserve"> </w:t>
      </w:r>
      <w:r w:rsidRPr="00721327">
        <w:t>ULN in1.4%-3.1%. The most pronounced effect was in the combination of TCZ 8 mg/kg</w:t>
      </w:r>
      <w:r w:rsidR="00F516E3">
        <w:t xml:space="preserve"> </w:t>
      </w:r>
      <w:r w:rsidRPr="00721327">
        <w:t>+</w:t>
      </w:r>
      <w:r w:rsidR="00F516E3">
        <w:t xml:space="preserve"> </w:t>
      </w:r>
      <w:r w:rsidRPr="00721327">
        <w:t xml:space="preserve">MTX. There were however no serious hepatic events. There was one case meeting </w:t>
      </w:r>
      <w:proofErr w:type="spellStart"/>
      <w:r w:rsidRPr="00721327">
        <w:t>Hy’s</w:t>
      </w:r>
      <w:proofErr w:type="spellEnd"/>
      <w:r w:rsidRPr="00721327">
        <w:t xml:space="preserve"> Law</w:t>
      </w:r>
      <w:r w:rsidR="006A082A">
        <w:rPr>
          <w:rStyle w:val="FootnoteReference"/>
        </w:rPr>
        <w:footnoteReference w:id="5"/>
      </w:r>
      <w:r w:rsidRPr="00721327">
        <w:t xml:space="preserve"> definition (ALT or AST &gt;</w:t>
      </w:r>
      <w:r w:rsidR="00F516E3">
        <w:t xml:space="preserve"> </w:t>
      </w:r>
      <w:r w:rsidRPr="00721327">
        <w:t>3</w:t>
      </w:r>
      <w:r w:rsidR="00F516E3">
        <w:t xml:space="preserve"> </w:t>
      </w:r>
      <w:r w:rsidRPr="00721327">
        <w:t xml:space="preserve">x ULN and </w:t>
      </w:r>
      <w:r w:rsidR="00F516E3">
        <w:t xml:space="preserve">bilirubin </w:t>
      </w:r>
      <w:r w:rsidRPr="00721327">
        <w:t>&gt;</w:t>
      </w:r>
      <w:r w:rsidR="00F516E3">
        <w:t xml:space="preserve"> </w:t>
      </w:r>
      <w:r w:rsidRPr="00721327">
        <w:t>2</w:t>
      </w:r>
      <w:r w:rsidR="00F516E3">
        <w:t xml:space="preserve"> </w:t>
      </w:r>
      <w:r w:rsidRPr="00721327">
        <w:t>x</w:t>
      </w:r>
      <w:r w:rsidR="00F516E3">
        <w:t xml:space="preserve"> </w:t>
      </w:r>
      <w:r w:rsidRPr="00721327">
        <w:t>ULN) reported in a patient on MTX. Raised transaminases were the major cause of premature termin</w:t>
      </w:r>
      <w:r w:rsidR="00F516E3">
        <w:t>ation particularly in the TCZ 8 </w:t>
      </w:r>
      <w:r w:rsidRPr="00721327">
        <w:t>mg/kg</w:t>
      </w:r>
      <w:r w:rsidR="00F516E3">
        <w:t xml:space="preserve"> </w:t>
      </w:r>
      <w:r w:rsidRPr="00721327">
        <w:t>+</w:t>
      </w:r>
      <w:r w:rsidR="00F516E3">
        <w:t xml:space="preserve"> </w:t>
      </w:r>
      <w:r w:rsidRPr="00721327">
        <w:t>MTX group and this occurred at a higher rate than reported in the pooled data (6.5% v</w:t>
      </w:r>
      <w:r w:rsidR="00F516E3">
        <w:t>ersu</w:t>
      </w:r>
      <w:r w:rsidR="003F3633">
        <w:t>s 2.5% in the LTE all-</w:t>
      </w:r>
      <w:r w:rsidR="00DC64CC">
        <w:t>exposure population).</w:t>
      </w:r>
    </w:p>
    <w:p w:rsidR="00915583" w:rsidRPr="00721327" w:rsidRDefault="00915583" w:rsidP="00DC64CC">
      <w:r w:rsidRPr="00721327">
        <w:t>ALT increase &gt;</w:t>
      </w:r>
      <w:r w:rsidR="00F516E3">
        <w:t xml:space="preserve"> </w:t>
      </w:r>
      <w:r w:rsidRPr="00721327">
        <w:t>3</w:t>
      </w:r>
      <w:r w:rsidR="00F516E3">
        <w:t xml:space="preserve"> </w:t>
      </w:r>
      <w:r w:rsidRPr="00721327">
        <w:t>x</w:t>
      </w:r>
      <w:r w:rsidR="00F516E3">
        <w:t xml:space="preserve"> </w:t>
      </w:r>
      <w:r w:rsidRPr="00721327">
        <w:t>ULN generally occurred on only one occasion and the rate of multiple (≥</w:t>
      </w:r>
      <w:r w:rsidR="00F516E3">
        <w:t> </w:t>
      </w:r>
      <w:r w:rsidRPr="00721327">
        <w:t>2) elevations (consecutive and non-consecutive), occurred in less frequently: 7.6%, 1.0%, 2.7% and 0.8% of the TCZ 8 mg/kg</w:t>
      </w:r>
      <w:r w:rsidR="00F516E3">
        <w:t xml:space="preserve"> </w:t>
      </w:r>
      <w:r w:rsidRPr="00721327">
        <w:t>+</w:t>
      </w:r>
      <w:r w:rsidR="00F516E3">
        <w:t xml:space="preserve"> </w:t>
      </w:r>
      <w:r w:rsidRPr="00721327">
        <w:t>MTX, TCZ 8 mg/kg</w:t>
      </w:r>
      <w:r w:rsidR="00F516E3">
        <w:t xml:space="preserve"> </w:t>
      </w:r>
      <w:r w:rsidRPr="00721327">
        <w:t>+</w:t>
      </w:r>
      <w:r w:rsidR="00F516E3">
        <w:t xml:space="preserve"> </w:t>
      </w:r>
      <w:r w:rsidRPr="00721327">
        <w:t>placebo, TCZ 4</w:t>
      </w:r>
      <w:r w:rsidR="00F516E3">
        <w:t> </w:t>
      </w:r>
      <w:r w:rsidRPr="00721327">
        <w:t>mg/kg</w:t>
      </w:r>
      <w:r w:rsidR="00F516E3">
        <w:t xml:space="preserve"> </w:t>
      </w:r>
      <w:r w:rsidRPr="00721327">
        <w:t>+</w:t>
      </w:r>
      <w:r w:rsidR="00F516E3">
        <w:t xml:space="preserve"> </w:t>
      </w:r>
      <w:r w:rsidRPr="00721327">
        <w:t>MTX and placebo</w:t>
      </w:r>
      <w:r w:rsidR="00F516E3">
        <w:t xml:space="preserve"> </w:t>
      </w:r>
      <w:r w:rsidRPr="00721327">
        <w:t>+</w:t>
      </w:r>
      <w:r w:rsidR="00F516E3">
        <w:t xml:space="preserve"> </w:t>
      </w:r>
      <w:r w:rsidRPr="00721327">
        <w:t>MTX groups, respectively. Elevations in AST at multiple time points were less frequent with this occurring in 1.4% of the TCZ 8 mg/kg</w:t>
      </w:r>
      <w:r w:rsidR="00F516E3">
        <w:t xml:space="preserve"> </w:t>
      </w:r>
      <w:r w:rsidRPr="00721327">
        <w:t>+</w:t>
      </w:r>
      <w:r w:rsidR="00F516E3">
        <w:t xml:space="preserve"> </w:t>
      </w:r>
      <w:r w:rsidRPr="00721327">
        <w:t>MTX group.</w:t>
      </w:r>
    </w:p>
    <w:p w:rsidR="00915583" w:rsidRPr="00721327" w:rsidRDefault="00915583" w:rsidP="00DC64CC">
      <w:r w:rsidRPr="00721327">
        <w:t>While the findings of WA19926 were consistent with presented pooled population data where transaminase increase was also noted, the rate of increased ALT &gt;</w:t>
      </w:r>
      <w:r w:rsidR="00F516E3">
        <w:t xml:space="preserve"> </w:t>
      </w:r>
      <w:r w:rsidRPr="00721327">
        <w:t>3</w:t>
      </w:r>
      <w:r w:rsidR="00F516E3">
        <w:t xml:space="preserve"> </w:t>
      </w:r>
      <w:r w:rsidRPr="00721327">
        <w:t>x</w:t>
      </w:r>
      <w:r w:rsidR="00F516E3">
        <w:t xml:space="preserve"> </w:t>
      </w:r>
      <w:r w:rsidRPr="00721327">
        <w:t xml:space="preserve">ULN in the TCZ </w:t>
      </w:r>
      <w:r w:rsidR="006A082A">
        <w:t xml:space="preserve">8 </w:t>
      </w:r>
      <w:r w:rsidRPr="00721327">
        <w:t>mg/kg</w:t>
      </w:r>
      <w:r w:rsidR="00F516E3">
        <w:t xml:space="preserve"> </w:t>
      </w:r>
      <w:r w:rsidRPr="00721327">
        <w:t>+</w:t>
      </w:r>
      <w:r w:rsidR="00F516E3">
        <w:t xml:space="preserve"> </w:t>
      </w:r>
      <w:r w:rsidRPr="00721327">
        <w:t>MTX group in WA19926 was higher than that reported in the DMARD-IR population TCZ 8 mg/kg</w:t>
      </w:r>
      <w:r w:rsidR="00F516E3">
        <w:t xml:space="preserve"> </w:t>
      </w:r>
      <w:r w:rsidRPr="00721327">
        <w:t>+ DMARD/MTX (12.8% v</w:t>
      </w:r>
      <w:r w:rsidR="00F516E3">
        <w:t>ersus</w:t>
      </w:r>
      <w:r w:rsidRPr="00721327">
        <w:t xml:space="preserve"> 5.8%). There were no serious hepatic events in the DMARD-IR population and 7 in the LTE </w:t>
      </w:r>
      <w:r w:rsidR="00DC64CC">
        <w:t>data (rate of 0.04 per 100 PY).</w:t>
      </w:r>
    </w:p>
    <w:p w:rsidR="00915583" w:rsidRPr="00721327" w:rsidRDefault="00915583" w:rsidP="00DC64CC">
      <w:pPr>
        <w:pStyle w:val="Heading5"/>
      </w:pPr>
      <w:bookmarkStart w:id="114" w:name="_Toc241374323"/>
      <w:bookmarkStart w:id="115" w:name="_Toc272414685"/>
      <w:bookmarkStart w:id="116" w:name="_Toc290846323"/>
      <w:bookmarkStart w:id="117" w:name="_Toc389033019"/>
      <w:r w:rsidRPr="00721327">
        <w:t>Unwanted immunological events</w:t>
      </w:r>
      <w:bookmarkEnd w:id="114"/>
      <w:bookmarkEnd w:id="115"/>
      <w:bookmarkEnd w:id="116"/>
      <w:bookmarkEnd w:id="117"/>
    </w:p>
    <w:p w:rsidR="00915583" w:rsidRPr="00B47418" w:rsidRDefault="00915583" w:rsidP="00DC64CC">
      <w:r w:rsidRPr="00B47418">
        <w:t xml:space="preserve">In </w:t>
      </w:r>
      <w:r w:rsidR="00F516E3">
        <w:t xml:space="preserve">Study </w:t>
      </w:r>
      <w:r w:rsidRPr="00B47418">
        <w:t xml:space="preserve">WA19926, </w:t>
      </w:r>
      <w:r w:rsidR="006A082A">
        <w:t>immuno</w:t>
      </w:r>
      <w:r w:rsidR="006A082A" w:rsidRPr="00B47418">
        <w:t>genicity</w:t>
      </w:r>
      <w:r w:rsidRPr="00B47418">
        <w:t xml:space="preserve"> testing was conducted at baseline, </w:t>
      </w:r>
      <w:r w:rsidR="00F516E3">
        <w:t>W</w:t>
      </w:r>
      <w:r w:rsidRPr="00B47418">
        <w:t xml:space="preserve">eek 52 or </w:t>
      </w:r>
      <w:r w:rsidR="006A082A">
        <w:t xml:space="preserve">on </w:t>
      </w:r>
      <w:r w:rsidRPr="00B47418">
        <w:t xml:space="preserve">study exit. Samples were also collected from patients with infusion reactions. Positivity </w:t>
      </w:r>
      <w:r w:rsidRPr="00B47418">
        <w:lastRenderedPageBreak/>
        <w:t xml:space="preserve">required antibody detection in the screening and confirmation assays post baseline and negative confirmation assay at baseline. A neutralising assay was performed on samples positive on the confirmation assay. This strategy was reportedly </w:t>
      </w:r>
      <w:r w:rsidR="00F516E3">
        <w:t xml:space="preserve">the same as in previous placebo </w:t>
      </w:r>
      <w:r w:rsidRPr="00B47418">
        <w:t>controlled studies with IV TCZ.</w:t>
      </w:r>
    </w:p>
    <w:p w:rsidR="00915583" w:rsidRPr="00721327" w:rsidRDefault="00915583" w:rsidP="00DC64CC">
      <w:r w:rsidRPr="00721327">
        <w:t>In WA19926, the proportion of patients with anti-TCZ antibodies was 1.4%, 1.1% and 2.2% in the TCZ 8 mg/kg</w:t>
      </w:r>
      <w:r w:rsidR="00F516E3">
        <w:t xml:space="preserve"> </w:t>
      </w:r>
      <w:r w:rsidRPr="00721327">
        <w:t>+</w:t>
      </w:r>
      <w:r w:rsidR="00F516E3">
        <w:t xml:space="preserve"> </w:t>
      </w:r>
      <w:r w:rsidRPr="00721327">
        <w:t>MTX, TCZ 8 mg/kg</w:t>
      </w:r>
      <w:r w:rsidR="00F516E3">
        <w:t xml:space="preserve"> </w:t>
      </w:r>
      <w:r w:rsidRPr="00721327">
        <w:t>+</w:t>
      </w:r>
      <w:r w:rsidR="00F516E3">
        <w:t xml:space="preserve"> </w:t>
      </w:r>
      <w:r w:rsidRPr="00721327">
        <w:t>placebo, TCZ 4 mg/kg</w:t>
      </w:r>
      <w:r w:rsidR="00F516E3">
        <w:t xml:space="preserve"> </w:t>
      </w:r>
      <w:r w:rsidRPr="00721327">
        <w:t>+</w:t>
      </w:r>
      <w:r w:rsidR="00F516E3">
        <w:t xml:space="preserve"> </w:t>
      </w:r>
      <w:r w:rsidRPr="00721327">
        <w:t>MTX groups, respectively compared to 3.2% in the placebo</w:t>
      </w:r>
      <w:r w:rsidR="00F516E3">
        <w:t xml:space="preserve"> </w:t>
      </w:r>
      <w:r w:rsidRPr="00721327">
        <w:t>+</w:t>
      </w:r>
      <w:r w:rsidR="00F516E3">
        <w:t xml:space="preserve"> </w:t>
      </w:r>
      <w:r w:rsidRPr="00721327">
        <w:t>MTX group. The rate of neutralising anti-TCZ antibodies was 1.0%, 1.0% and 1.7% in the respective active groups</w:t>
      </w:r>
      <w:r>
        <w:t>.</w:t>
      </w:r>
    </w:p>
    <w:p w:rsidR="00915583" w:rsidRPr="00721327" w:rsidRDefault="00F516E3" w:rsidP="00915583">
      <w:pPr>
        <w:ind w:left="720"/>
      </w:pPr>
      <w:r>
        <w:rPr>
          <w:b/>
        </w:rPr>
        <w:t>Evaluator’s c</w:t>
      </w:r>
      <w:r w:rsidR="00915583" w:rsidRPr="00B47418">
        <w:rPr>
          <w:b/>
        </w:rPr>
        <w:t>omment</w:t>
      </w:r>
      <w:r w:rsidR="00915583">
        <w:t xml:space="preserve">: </w:t>
      </w:r>
      <w:r w:rsidR="00915583" w:rsidRPr="00721327">
        <w:t xml:space="preserve">The </w:t>
      </w:r>
      <w:r>
        <w:t>s</w:t>
      </w:r>
      <w:r w:rsidR="00915583" w:rsidRPr="00721327">
        <w:t>ponsor reported that the false positive results in the placebo group were consistent with previous studies.</w:t>
      </w:r>
    </w:p>
    <w:p w:rsidR="00915583" w:rsidRPr="00721327" w:rsidRDefault="00915583" w:rsidP="00DC64CC">
      <w:r w:rsidRPr="00721327">
        <w:t>The two patients with anaphylaxis and serious hypersensitivity were not antibody positive. There were 2 of the 19 patients with hypersensitivity AEs who were antibody positive: one with an infusion reaction and one with muscle spasms (who was also antibody positive at baseline). There were 11 patients who were neutralising antibody positive (3 were false positives at baseline) but none were classed as having loss of efficacy or withdrew due to insufficient response to therapy.</w:t>
      </w:r>
    </w:p>
    <w:p w:rsidR="00915583" w:rsidRPr="00721327" w:rsidRDefault="00F516E3" w:rsidP="00915583">
      <w:pPr>
        <w:ind w:left="720"/>
      </w:pPr>
      <w:r>
        <w:rPr>
          <w:b/>
        </w:rPr>
        <w:t>Evaluator’s c</w:t>
      </w:r>
      <w:r w:rsidR="00915583" w:rsidRPr="00B47418">
        <w:rPr>
          <w:b/>
        </w:rPr>
        <w:t>omment</w:t>
      </w:r>
      <w:r w:rsidR="00915583">
        <w:t xml:space="preserve">: </w:t>
      </w:r>
      <w:r w:rsidR="00915583" w:rsidRPr="00721327">
        <w:t>There were also an additional three subjects who were neutralising antibody positive with a negative confirmation assay.</w:t>
      </w:r>
    </w:p>
    <w:p w:rsidR="00915583" w:rsidRPr="00721327" w:rsidRDefault="00915583" w:rsidP="00DC64CC">
      <w:r w:rsidRPr="00721327">
        <w:t>In the small number of patients who were anti-TCZ positive (n</w:t>
      </w:r>
      <w:r w:rsidR="00F516E3">
        <w:t xml:space="preserve"> </w:t>
      </w:r>
      <w:r w:rsidRPr="00721327">
        <w:t>=</w:t>
      </w:r>
      <w:r w:rsidR="00F516E3">
        <w:t xml:space="preserve"> </w:t>
      </w:r>
      <w:r w:rsidRPr="00721327">
        <w:t>13) there was no reported effect on TCZ concentration reduction.</w:t>
      </w:r>
    </w:p>
    <w:p w:rsidR="00915583" w:rsidRPr="00721327" w:rsidRDefault="00915583" w:rsidP="00DC64CC">
      <w:r w:rsidRPr="00721327">
        <w:t xml:space="preserve">Data from DMARD-IR studies reported anti-TCZ antibody development in 0 to 3.5% of patients. In the LTE </w:t>
      </w:r>
      <w:r w:rsidR="00F516E3">
        <w:t>all-</w:t>
      </w:r>
      <w:r w:rsidRPr="00721327">
        <w:t>exposure population, the reported positivity rate was 1.1% (44/3945) on the confirmation assay. Five of the 44 seropositive patients had an anaphylactic reaction.</w:t>
      </w:r>
    </w:p>
    <w:p w:rsidR="00915583" w:rsidRPr="00721327" w:rsidRDefault="00915583" w:rsidP="00DC64CC">
      <w:pPr>
        <w:pStyle w:val="Heading4"/>
      </w:pPr>
      <w:bookmarkStart w:id="118" w:name="_Toc272414686"/>
      <w:bookmarkStart w:id="119" w:name="_Ref273005527"/>
      <w:bookmarkStart w:id="120" w:name="_Toc290846324"/>
      <w:bookmarkStart w:id="121" w:name="_Toc389033020"/>
      <w:bookmarkStart w:id="122" w:name="_Toc405552009"/>
      <w:r w:rsidRPr="00721327">
        <w:t>Other safety issues</w:t>
      </w:r>
      <w:bookmarkEnd w:id="118"/>
      <w:bookmarkEnd w:id="119"/>
      <w:bookmarkEnd w:id="120"/>
      <w:bookmarkEnd w:id="121"/>
      <w:bookmarkEnd w:id="122"/>
    </w:p>
    <w:p w:rsidR="00915583" w:rsidRPr="00721327" w:rsidRDefault="00915583" w:rsidP="00DC64CC">
      <w:pPr>
        <w:pStyle w:val="Heading5"/>
      </w:pPr>
      <w:bookmarkStart w:id="123" w:name="_Toc241374322"/>
      <w:bookmarkStart w:id="124" w:name="_Ref272331212"/>
      <w:bookmarkStart w:id="125" w:name="_Toc272414687"/>
      <w:bookmarkStart w:id="126" w:name="_Toc290846325"/>
      <w:bookmarkStart w:id="127" w:name="_Toc389033021"/>
      <w:r w:rsidRPr="00721327">
        <w:t>Safety in special populations</w:t>
      </w:r>
      <w:bookmarkEnd w:id="123"/>
      <w:bookmarkEnd w:id="124"/>
      <w:bookmarkEnd w:id="125"/>
      <w:bookmarkEnd w:id="126"/>
      <w:bookmarkEnd w:id="127"/>
    </w:p>
    <w:p w:rsidR="00915583" w:rsidRPr="00721327" w:rsidRDefault="00915583" w:rsidP="00DC64CC">
      <w:r w:rsidRPr="00721327">
        <w:t>There were 7 pregnancies in WA19926 3 in the TCZ 8 mg/kg</w:t>
      </w:r>
      <w:r w:rsidR="00F516E3">
        <w:t xml:space="preserve"> </w:t>
      </w:r>
      <w:r w:rsidRPr="00721327">
        <w:t>+</w:t>
      </w:r>
      <w:r w:rsidR="00F516E3">
        <w:t xml:space="preserve"> </w:t>
      </w:r>
      <w:r w:rsidRPr="00721327">
        <w:t>MTX group and 4 in the TCZ 8 mg/kg</w:t>
      </w:r>
      <w:r w:rsidR="00F516E3">
        <w:t xml:space="preserve"> </w:t>
      </w:r>
      <w:r w:rsidRPr="00721327">
        <w:t>+</w:t>
      </w:r>
      <w:r w:rsidR="00F516E3">
        <w:t xml:space="preserve"> </w:t>
      </w:r>
      <w:r w:rsidRPr="00721327">
        <w:t>placebo group. The outcomes were: 2 spontaneous abortions, 2 elective abortions and</w:t>
      </w:r>
      <w:r w:rsidR="003F3633">
        <w:t xml:space="preserve"> 3 were ongoing. In the LTE all-</w:t>
      </w:r>
      <w:r w:rsidRPr="00721327">
        <w:t>exposure population there were 48 reported pregnancies, 44 with known outcome of which 18 had terminati</w:t>
      </w:r>
      <w:r w:rsidR="006A082A">
        <w:t>ons, 10 spontaneous abortions, one</w:t>
      </w:r>
      <w:r w:rsidRPr="00721327">
        <w:t xml:space="preserve"> a trophoblastic tumour, 14 deliveries at term and 1 premature delivery. Of the live births, 1 died of acute respiratory distress and 1 had left kidney </w:t>
      </w:r>
      <w:proofErr w:type="spellStart"/>
      <w:r w:rsidRPr="00721327">
        <w:t>pelviectasis</w:t>
      </w:r>
      <w:proofErr w:type="spellEnd"/>
      <w:r w:rsidRPr="00721327">
        <w:t>. Some of these women were also taking MTX.</w:t>
      </w:r>
    </w:p>
    <w:p w:rsidR="00915583" w:rsidRPr="00915583" w:rsidRDefault="00915583" w:rsidP="00DC64CC">
      <w:r w:rsidRPr="00721327">
        <w:t>The safety of TCZ monotherapy in early RA patients in WA19266 was compared to the LTE monotherapy subpopulation. The AE rate and AE withdrawal rates were higher however the SAE and death rates were lower in study WA19926 than in the LTE monotherapy population. Comparison of the rates of death and AEs special interest between the two groups shows similarity.</w:t>
      </w:r>
    </w:p>
    <w:p w:rsidR="00605AD4" w:rsidRDefault="00605AD4" w:rsidP="00DC64CC">
      <w:pPr>
        <w:pStyle w:val="Heading4"/>
      </w:pPr>
      <w:proofErr w:type="spellStart"/>
      <w:r w:rsidRPr="00605AD4">
        <w:t>Postmarketing</w:t>
      </w:r>
      <w:proofErr w:type="spellEnd"/>
      <w:r w:rsidRPr="00605AD4">
        <w:t xml:space="preserve"> data</w:t>
      </w:r>
    </w:p>
    <w:p w:rsidR="00C64245" w:rsidRPr="00721327" w:rsidRDefault="00F516E3" w:rsidP="00DC64CC">
      <w:proofErr w:type="spellStart"/>
      <w:r>
        <w:t>Post</w:t>
      </w:r>
      <w:r w:rsidR="00C64245" w:rsidRPr="00721327">
        <w:t>marketing</w:t>
      </w:r>
      <w:proofErr w:type="spellEnd"/>
      <w:r w:rsidR="00C64245" w:rsidRPr="00721327">
        <w:t xml:space="preserve"> data are available since initial market approval in April 2005 in Japan. The estimated cumulative exposure is 184,398 patients. In the last P</w:t>
      </w:r>
      <w:r>
        <w:t xml:space="preserve">eriodic </w:t>
      </w:r>
      <w:r w:rsidR="00C64245" w:rsidRPr="00721327">
        <w:t>S</w:t>
      </w:r>
      <w:r>
        <w:t xml:space="preserve">afety </w:t>
      </w:r>
      <w:r w:rsidR="00C64245" w:rsidRPr="00721327">
        <w:t>U</w:t>
      </w:r>
      <w:r>
        <w:t xml:space="preserve">pdate </w:t>
      </w:r>
      <w:r w:rsidR="00C64245" w:rsidRPr="00721327">
        <w:t>R</w:t>
      </w:r>
      <w:r>
        <w:t>eport</w:t>
      </w:r>
      <w:r w:rsidR="00C64245" w:rsidRPr="00721327">
        <w:t xml:space="preserve"> (</w:t>
      </w:r>
      <w:r>
        <w:t xml:space="preserve">PSUR, </w:t>
      </w:r>
      <w:r w:rsidR="00C64245" w:rsidRPr="00721327">
        <w:t xml:space="preserve">April 2013 to October 2012) the most frequently reported events were in the </w:t>
      </w:r>
      <w:r>
        <w:t>M</w:t>
      </w:r>
      <w:r w:rsidRPr="00F516E3">
        <w:t xml:space="preserve">edical </w:t>
      </w:r>
      <w:r>
        <w:t>D</w:t>
      </w:r>
      <w:r w:rsidRPr="00F516E3">
        <w:t xml:space="preserve">ictionary for </w:t>
      </w:r>
      <w:r>
        <w:t>R</w:t>
      </w:r>
      <w:r w:rsidRPr="00F516E3">
        <w:t xml:space="preserve">egulatory </w:t>
      </w:r>
      <w:r>
        <w:t>A</w:t>
      </w:r>
      <w:r w:rsidRPr="00F516E3">
        <w:t xml:space="preserve">ctivities </w:t>
      </w:r>
      <w:r>
        <w:t>(MedDRA) system organ class (</w:t>
      </w:r>
      <w:r w:rsidR="00C64245" w:rsidRPr="00721327">
        <w:t>SOC</w:t>
      </w:r>
      <w:r>
        <w:t>)</w:t>
      </w:r>
      <w:r w:rsidR="00C64245" w:rsidRPr="00721327">
        <w:t xml:space="preserve"> of infections/infestation followed by general disorders and</w:t>
      </w:r>
      <w:r>
        <w:t xml:space="preserve"> gastrointestinal disorders. The s</w:t>
      </w:r>
      <w:r w:rsidR="00C64245" w:rsidRPr="00721327">
        <w:t>ponsor reported that no new safety signals were identified and no changes to the product labelling were warranted.</w:t>
      </w:r>
    </w:p>
    <w:p w:rsidR="00605AD4" w:rsidRPr="00605AD4" w:rsidRDefault="00605AD4" w:rsidP="00DC64CC">
      <w:pPr>
        <w:pStyle w:val="Heading4"/>
      </w:pPr>
      <w:r w:rsidRPr="00605AD4">
        <w:lastRenderedPageBreak/>
        <w:t>Evaluator’s conclusions on safety</w:t>
      </w:r>
    </w:p>
    <w:p w:rsidR="00C64245" w:rsidRPr="00721327" w:rsidRDefault="00C64245" w:rsidP="00DC64CC">
      <w:pPr>
        <w:pStyle w:val="Heading5"/>
      </w:pPr>
      <w:r w:rsidRPr="00721327">
        <w:t>Early RA population</w:t>
      </w:r>
    </w:p>
    <w:p w:rsidR="00C64245" w:rsidRPr="00F516E3" w:rsidRDefault="00C64245" w:rsidP="00DC64CC">
      <w:r w:rsidRPr="00F516E3">
        <w:t xml:space="preserve">Study WA19926 assessed the safety of TCZ in 871 early RA patients who were MTX naïve over 52 weeks with 73-76% of these patients receiving all scheduled infusions. The total exposure to TCZ was 794.9 </w:t>
      </w:r>
      <w:r w:rsidR="008C562E">
        <w:t>PY</w:t>
      </w:r>
      <w:r w:rsidRPr="00F516E3">
        <w:t>.</w:t>
      </w:r>
    </w:p>
    <w:p w:rsidR="00C64245" w:rsidRPr="00F516E3" w:rsidRDefault="00C64245" w:rsidP="00DC64CC">
      <w:r w:rsidRPr="00F516E3">
        <w:t xml:space="preserve">In general, patients treated with the higher TCZ dose of 8 mg/kg in combination with MTX had a higher rate of AEs, discontinuations due to AEs and death. The SAE rate was however more similar between treatment groups (Table </w:t>
      </w:r>
      <w:r w:rsidR="004279F8">
        <w:t>3</w:t>
      </w:r>
      <w:r w:rsidRPr="00F516E3">
        <w:t>) and the number of deaths were low (n</w:t>
      </w:r>
      <w:r w:rsidR="00F516E3">
        <w:t xml:space="preserve"> </w:t>
      </w:r>
      <w:r w:rsidRPr="00F516E3">
        <w:t>=</w:t>
      </w:r>
      <w:r w:rsidR="00F516E3">
        <w:t xml:space="preserve"> </w:t>
      </w:r>
      <w:r w:rsidRPr="00F516E3">
        <w:t>9) making intergroup comparisons of death rates difficult.</w:t>
      </w:r>
    </w:p>
    <w:p w:rsidR="00C64245" w:rsidRDefault="00F516E3" w:rsidP="00DC64CC">
      <w:pPr>
        <w:pStyle w:val="TableTitle"/>
      </w:pPr>
      <w:r>
        <w:t xml:space="preserve">Table </w:t>
      </w:r>
      <w:r w:rsidR="004279F8">
        <w:t>3</w:t>
      </w:r>
      <w:r w:rsidR="00C64245">
        <w:t>: Study WA19926 Adverse Events</w:t>
      </w:r>
    </w:p>
    <w:p w:rsidR="00C64245" w:rsidRPr="00721327" w:rsidRDefault="00C64245" w:rsidP="00C64245">
      <w:r w:rsidRPr="008E5F31">
        <w:rPr>
          <w:rFonts w:ascii="Calibri" w:hAnsi="Calibri"/>
          <w:b/>
          <w:noProof/>
          <w:sz w:val="20"/>
          <w:lang w:eastAsia="en-AU"/>
        </w:rPr>
        <w:drawing>
          <wp:inline distT="0" distB="0" distL="0" distR="0" wp14:anchorId="27E3B29D" wp14:editId="65480494">
            <wp:extent cx="4866005" cy="2170430"/>
            <wp:effectExtent l="0" t="0" r="0" b="1270"/>
            <wp:docPr id="384" name="Picture 9" descr="Table 3: Study WA19926 Adverse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4866005" cy="2170430"/>
                    </a:xfrm>
                    <a:prstGeom prst="rect">
                      <a:avLst/>
                    </a:prstGeom>
                    <a:noFill/>
                    <a:ln w="9525">
                      <a:noFill/>
                      <a:miter lim="800000"/>
                      <a:headEnd/>
                      <a:tailEnd/>
                    </a:ln>
                  </pic:spPr>
                </pic:pic>
              </a:graphicData>
            </a:graphic>
          </wp:inline>
        </w:drawing>
      </w:r>
    </w:p>
    <w:p w:rsidR="00C64245" w:rsidRPr="00721327" w:rsidRDefault="00C64245" w:rsidP="00DC64CC">
      <w:r w:rsidRPr="00721327">
        <w:t xml:space="preserve">The most frequent AEs were nausea, </w:t>
      </w:r>
      <w:r w:rsidR="00F516E3">
        <w:t>upper respiratory tract infection (</w:t>
      </w:r>
      <w:r w:rsidRPr="00721327">
        <w:t>URTI</w:t>
      </w:r>
      <w:r w:rsidR="00F516E3">
        <w:t>)</w:t>
      </w:r>
      <w:r w:rsidRPr="00721327">
        <w:t>, nasopharyngitis and hepatic transaminase increase. Infection risk remained a major safety issue with higher rates in patients on TCZ in combination with MTX. The serious infections included pneumon</w:t>
      </w:r>
      <w:r w:rsidR="00F516E3">
        <w:t>i</w:t>
      </w:r>
      <w:r w:rsidRPr="00721327">
        <w:t xml:space="preserve">a, cellulitis and </w:t>
      </w:r>
      <w:r w:rsidR="006C365B">
        <w:t>t</w:t>
      </w:r>
      <w:r w:rsidR="006A082A">
        <w:t>uberculosis,</w:t>
      </w:r>
      <w:r w:rsidRPr="00721327">
        <w:t xml:space="preserve"> and there were 5 fatal cases. Other serious risks were present and included anaphylaxis and hypersensitivity, malignancy, myocardial infarction and serious bleeding. There were no reported cases of </w:t>
      </w:r>
      <w:r w:rsidR="00990540">
        <w:t>g</w:t>
      </w:r>
      <w:r w:rsidR="00990540" w:rsidRPr="00990540">
        <w:t>astrointestinal</w:t>
      </w:r>
      <w:r w:rsidRPr="00721327">
        <w:t xml:space="preserve"> perforation, opportunistic infection or demyelinating disorder in WA19926.</w:t>
      </w:r>
    </w:p>
    <w:p w:rsidR="00C64245" w:rsidRPr="00721327" w:rsidRDefault="00C64245" w:rsidP="00DC64CC">
      <w:r w:rsidRPr="00721327">
        <w:t xml:space="preserve">Laboratory parameter changes were consistent with previous studies and included increases in hepatic transaminases and lipids and decreases in neutrophils and platelets. Severe changes were not common and, apart from transaminases, were in line with pooled population data. There were no serious hepatic events in TCZ treated patients (there was one cases meeting </w:t>
      </w:r>
      <w:proofErr w:type="spellStart"/>
      <w:r w:rsidRPr="00721327">
        <w:t>Hy’s</w:t>
      </w:r>
      <w:proofErr w:type="spellEnd"/>
      <w:r w:rsidRPr="00721327">
        <w:t xml:space="preserve"> Law definition in the placebo</w:t>
      </w:r>
      <w:r w:rsidR="008F3122">
        <w:t xml:space="preserve"> </w:t>
      </w:r>
      <w:r w:rsidRPr="00721327">
        <w:t>+</w:t>
      </w:r>
      <w:r w:rsidR="008F3122">
        <w:t xml:space="preserve"> </w:t>
      </w:r>
      <w:r w:rsidRPr="00721327">
        <w:t xml:space="preserve">MTX group). The early RA patients on TCZ, and in particular the combination of TCZ and MTX, were noted to be at a slightly higher risk of raised hepatic transaminases and premature study termination from this AE. </w:t>
      </w:r>
      <w:r w:rsidR="008F3122">
        <w:t>The s</w:t>
      </w:r>
      <w:r w:rsidRPr="00721327">
        <w:t>ponsor’s rationale was that this was due to more stringent safety withdrawal criteria in relation to raised ALT/AST.</w:t>
      </w:r>
    </w:p>
    <w:p w:rsidR="00C64245" w:rsidRPr="00721327" w:rsidRDefault="00C64245" w:rsidP="00DC64CC">
      <w:r w:rsidRPr="00721327">
        <w:t>The risk of anti-TCZ antibody formation in the early RA patients was low (1.1-2.2%) and did not appear associated with serious saf</w:t>
      </w:r>
      <w:r w:rsidR="00DC64CC">
        <w:t>ety issues or loss of efficacy.</w:t>
      </w:r>
    </w:p>
    <w:p w:rsidR="00C64245" w:rsidRPr="00721327" w:rsidRDefault="00C64245" w:rsidP="00DC64CC">
      <w:r w:rsidRPr="00721327">
        <w:t>Overall, the safety profile of TCZ in the early RA, MTX</w:t>
      </w:r>
      <w:r w:rsidR="009C63CE">
        <w:t xml:space="preserve"> </w:t>
      </w:r>
      <w:r w:rsidRPr="00721327">
        <w:t>naïve population of WA19926 was consistent with known data. This group were found to have a slightly higher AE rate and death rate than that reported for pooled populations while the most notable difference was the higher risk of discontinuation due to AEs. When treated with TCZ monotherapy the safety profile of the early RA population appeared in line with that reported from the monother</w:t>
      </w:r>
      <w:r w:rsidR="008F3122">
        <w:t>a</w:t>
      </w:r>
      <w:r w:rsidRPr="00721327">
        <w:t>py population of other RA trials.</w:t>
      </w:r>
    </w:p>
    <w:p w:rsidR="00C64245" w:rsidRPr="00721327" w:rsidRDefault="00C64245" w:rsidP="00DC64CC">
      <w:r w:rsidRPr="00721327">
        <w:lastRenderedPageBreak/>
        <w:t>The data from WA19926 was in line with data from the submitted literature review however comparisons are difficult due to possibility of differing definitions of early RA and serious events.</w:t>
      </w:r>
    </w:p>
    <w:p w:rsidR="00C64245" w:rsidRPr="00721327" w:rsidRDefault="00C64245" w:rsidP="00DC64CC">
      <w:r w:rsidRPr="00721327">
        <w:t xml:space="preserve">The </w:t>
      </w:r>
      <w:r w:rsidR="008F3122">
        <w:t>s</w:t>
      </w:r>
      <w:r w:rsidRPr="00721327">
        <w:t>ponsor has proposed two main changes to the A</w:t>
      </w:r>
      <w:r w:rsidR="008F3122">
        <w:t xml:space="preserve">E </w:t>
      </w:r>
      <w:r w:rsidRPr="00721327">
        <w:t>section of the PI. The first covers the safety profile in the early RA</w:t>
      </w:r>
      <w:r w:rsidR="006A082A">
        <w:t xml:space="preserve"> population and is satisfactory:</w:t>
      </w:r>
    </w:p>
    <w:p w:rsidR="00C64245" w:rsidRPr="00E031BB" w:rsidRDefault="006A082A" w:rsidP="00C64245">
      <w:pPr>
        <w:ind w:left="720"/>
        <w:rPr>
          <w:i/>
        </w:rPr>
      </w:pPr>
      <w:r>
        <w:rPr>
          <w:i/>
        </w:rPr>
        <w:t>Early r</w:t>
      </w:r>
      <w:r w:rsidR="00C64245" w:rsidRPr="00E031BB">
        <w:rPr>
          <w:i/>
        </w:rPr>
        <w:t xml:space="preserve">heumatoid </w:t>
      </w:r>
      <w:r>
        <w:rPr>
          <w:i/>
        </w:rPr>
        <w:t>a</w:t>
      </w:r>
      <w:r w:rsidR="00C64245" w:rsidRPr="00E031BB">
        <w:rPr>
          <w:i/>
        </w:rPr>
        <w:t>rthritis</w:t>
      </w:r>
    </w:p>
    <w:p w:rsidR="00C64245" w:rsidRPr="00E031BB" w:rsidRDefault="00C64245" w:rsidP="00C64245">
      <w:pPr>
        <w:ind w:left="720"/>
        <w:rPr>
          <w:i/>
        </w:rPr>
      </w:pPr>
      <w:r w:rsidRPr="00E031BB">
        <w:rPr>
          <w:i/>
        </w:rPr>
        <w:t xml:space="preserve">Study VI (WA19926) evaluated 1162 patients with early, moderate to severe RA who </w:t>
      </w:r>
      <w:proofErr w:type="gramStart"/>
      <w:r w:rsidRPr="00E031BB">
        <w:rPr>
          <w:i/>
        </w:rPr>
        <w:t>were</w:t>
      </w:r>
      <w:proofErr w:type="gramEnd"/>
      <w:r w:rsidRPr="00E031BB">
        <w:rPr>
          <w:i/>
        </w:rPr>
        <w:t xml:space="preserve"> naïve to treatment with both MTX and a biologic agent. The overall safety profile observed in the A</w:t>
      </w:r>
      <w:r w:rsidR="004279F8">
        <w:rPr>
          <w:i/>
        </w:rPr>
        <w:t xml:space="preserve">ctemra </w:t>
      </w:r>
      <w:r w:rsidRPr="00E031BB">
        <w:rPr>
          <w:i/>
        </w:rPr>
        <w:t>treatment groups was consistent with the known safety profile of A</w:t>
      </w:r>
      <w:r w:rsidR="004279F8">
        <w:rPr>
          <w:i/>
        </w:rPr>
        <w:t>ctemra (Table</w:t>
      </w:r>
      <w:r w:rsidRPr="00E031BB">
        <w:rPr>
          <w:i/>
        </w:rPr>
        <w:t>).</w:t>
      </w:r>
    </w:p>
    <w:p w:rsidR="00C64245" w:rsidRPr="00721327" w:rsidRDefault="00C64245" w:rsidP="00DC64CC">
      <w:r w:rsidRPr="00721327">
        <w:t xml:space="preserve">The second change (below) covers the higher risk of hepatic transaminase elevation and the evaluator </w:t>
      </w:r>
      <w:r w:rsidR="008F3122">
        <w:t xml:space="preserve">considers </w:t>
      </w:r>
      <w:r w:rsidRPr="00721327">
        <w:t>this addition adequate</w:t>
      </w:r>
      <w:r w:rsidR="006A082A">
        <w:t>:</w:t>
      </w:r>
    </w:p>
    <w:p w:rsidR="00C64245" w:rsidRPr="001302AA" w:rsidRDefault="00C64245" w:rsidP="00C64245">
      <w:pPr>
        <w:ind w:left="720"/>
        <w:rPr>
          <w:i/>
        </w:rPr>
      </w:pPr>
      <w:r w:rsidRPr="001302AA">
        <w:rPr>
          <w:i/>
        </w:rPr>
        <w:t>In Study VI, MTX</w:t>
      </w:r>
      <w:r w:rsidR="009C63CE">
        <w:rPr>
          <w:i/>
        </w:rPr>
        <w:t xml:space="preserve"> </w:t>
      </w:r>
      <w:r w:rsidRPr="001302AA">
        <w:rPr>
          <w:i/>
        </w:rPr>
        <w:t>naïve adult patients with moderate to severe, active early RA (mean disease duration ≤ 6 months) experienced more transient elevations in ALT &gt; 3 x ULN compared with the all control population. This was observed in both A</w:t>
      </w:r>
      <w:r w:rsidR="00782F89" w:rsidRPr="001302AA">
        <w:rPr>
          <w:i/>
        </w:rPr>
        <w:t xml:space="preserve">ctemra </w:t>
      </w:r>
      <w:r w:rsidRPr="001302AA">
        <w:rPr>
          <w:i/>
        </w:rPr>
        <w:t>treated patients and MTX monotherapy patients.</w:t>
      </w:r>
    </w:p>
    <w:p w:rsidR="00C64245" w:rsidRPr="00721327" w:rsidRDefault="00C64245" w:rsidP="00DC64CC">
      <w:r w:rsidRPr="00721327">
        <w:t>The longer term safety of TCZ in the early RA population still needs to be defined. As WA19926 was a 2 year study, the data to 104 weeks should be provided for evaluation as soon as available.</w:t>
      </w:r>
    </w:p>
    <w:p w:rsidR="00C64245" w:rsidRPr="00721327" w:rsidRDefault="00C64245" w:rsidP="00DC64CC">
      <w:pPr>
        <w:pStyle w:val="Heading5"/>
      </w:pPr>
      <w:r w:rsidRPr="00721327">
        <w:t>Long term safety in RA with inadequate MTX response</w:t>
      </w:r>
    </w:p>
    <w:p w:rsidR="00C64245" w:rsidRPr="00721327" w:rsidRDefault="00C64245" w:rsidP="00DC64CC">
      <w:r w:rsidRPr="00721327">
        <w:t>Study WA18695 was a long term</w:t>
      </w:r>
      <w:r w:rsidR="008F3122">
        <w:t xml:space="preserve"> extension study of WA17822 (a P</w:t>
      </w:r>
      <w:r w:rsidRPr="00721327">
        <w:t>hase III</w:t>
      </w:r>
      <w:r w:rsidR="008F3122">
        <w:t>,</w:t>
      </w:r>
      <w:r w:rsidRPr="00721327">
        <w:t xml:space="preserve"> 24 week placebo controlled study in moderate to severe RA) in which 538 patients were treated with 8 mg/kg TCZ every 4 weeks plus stable MTX. The total exposure was 2462 </w:t>
      </w:r>
      <w:r w:rsidR="006C03B5">
        <w:t xml:space="preserve">PY </w:t>
      </w:r>
      <w:r w:rsidRPr="00721327">
        <w:t>with a mean duration of 4.6 years. The retention rate for a 5 year study at 66% was acceptable. Long term treatment with 8 mg/kg TCZ in this trial did not reveal any new safety signals and the safety profile was in line with known data. The frequency of AEs did not increase with time and changes in laboratory parameters were relatively stable after initial changes in the first year of treatment. The withdrawal rate due to AEs was 4.2 per 100 PY.</w:t>
      </w:r>
    </w:p>
    <w:p w:rsidR="00605AD4" w:rsidRPr="00605AD4" w:rsidRDefault="00605AD4" w:rsidP="00DC64CC">
      <w:pPr>
        <w:pStyle w:val="Heading3"/>
        <w:rPr>
          <w:rFonts w:eastAsia="Cambria"/>
        </w:rPr>
      </w:pPr>
      <w:bookmarkStart w:id="128" w:name="_Toc412444407"/>
      <w:r w:rsidRPr="00605AD4">
        <w:rPr>
          <w:rFonts w:eastAsia="Cambria"/>
        </w:rPr>
        <w:t xml:space="preserve">First </w:t>
      </w:r>
      <w:r w:rsidR="00DC64CC">
        <w:rPr>
          <w:rFonts w:eastAsia="Cambria"/>
        </w:rPr>
        <w:t>r</w:t>
      </w:r>
      <w:r w:rsidRPr="00605AD4">
        <w:rPr>
          <w:rFonts w:eastAsia="Cambria"/>
        </w:rPr>
        <w:t xml:space="preserve">ound </w:t>
      </w:r>
      <w:r w:rsidR="00DC64CC">
        <w:rPr>
          <w:rFonts w:eastAsia="Cambria"/>
        </w:rPr>
        <w:t>b</w:t>
      </w:r>
      <w:r w:rsidRPr="00605AD4">
        <w:rPr>
          <w:rFonts w:eastAsia="Cambria"/>
        </w:rPr>
        <w:t>enefit-</w:t>
      </w:r>
      <w:r w:rsidR="00DC64CC">
        <w:rPr>
          <w:rFonts w:eastAsia="Cambria"/>
        </w:rPr>
        <w:t>r</w:t>
      </w:r>
      <w:r w:rsidRPr="00605AD4">
        <w:rPr>
          <w:rFonts w:eastAsia="Cambria"/>
        </w:rPr>
        <w:t xml:space="preserve">isk </w:t>
      </w:r>
      <w:r w:rsidR="00DC64CC">
        <w:rPr>
          <w:rFonts w:eastAsia="Cambria"/>
        </w:rPr>
        <w:t>a</w:t>
      </w:r>
      <w:r w:rsidRPr="00605AD4">
        <w:rPr>
          <w:rFonts w:eastAsia="Cambria"/>
        </w:rPr>
        <w:t>ssessment</w:t>
      </w:r>
      <w:bookmarkEnd w:id="128"/>
    </w:p>
    <w:p w:rsidR="00605AD4" w:rsidRDefault="00605AD4" w:rsidP="00DC64CC">
      <w:pPr>
        <w:pStyle w:val="Heading4"/>
      </w:pPr>
      <w:r w:rsidRPr="00605AD4">
        <w:t>First round assessment of benefits</w:t>
      </w:r>
    </w:p>
    <w:p w:rsidR="00C64245" w:rsidRPr="00981AF7" w:rsidRDefault="00C64245" w:rsidP="00DC64CC">
      <w:r w:rsidRPr="00981AF7">
        <w:t xml:space="preserve">The benefits of </w:t>
      </w:r>
      <w:r w:rsidR="006C365B" w:rsidRPr="006C365B">
        <w:t>TCZ</w:t>
      </w:r>
      <w:r w:rsidRPr="00981AF7">
        <w:t xml:space="preserve"> in the proposed usage are:</w:t>
      </w:r>
    </w:p>
    <w:p w:rsidR="00C64245" w:rsidRPr="008F3122" w:rsidRDefault="00C64245" w:rsidP="00DC64CC">
      <w:pPr>
        <w:pStyle w:val="ListBullet"/>
      </w:pPr>
      <w:r w:rsidRPr="008F3122">
        <w:t>Efficacy was demonstrated with TCZ 8 mg/kg in combination with MTX showing a superior response compared to MTX monotherapy on DAS28 remission rates after 6 months treatment.</w:t>
      </w:r>
    </w:p>
    <w:p w:rsidR="00C64245" w:rsidRPr="008F3122" w:rsidRDefault="00C64245" w:rsidP="00DC64CC">
      <w:pPr>
        <w:pStyle w:val="ListBullet"/>
      </w:pPr>
      <w:r w:rsidRPr="008F3122">
        <w:t xml:space="preserve">Efficacy for the </w:t>
      </w:r>
      <w:r w:rsidR="006C03B5">
        <w:t xml:space="preserve">TCZ </w:t>
      </w:r>
      <w:r w:rsidRPr="008F3122">
        <w:t xml:space="preserve">8 mg/kg </w:t>
      </w:r>
      <w:r w:rsidR="006C03B5">
        <w:t>+</w:t>
      </w:r>
      <w:r w:rsidRPr="008F3122">
        <w:t xml:space="preserve"> MTX regimen was consistent across other parameters for disease remission including ACR and EULAR criteria.</w:t>
      </w:r>
    </w:p>
    <w:p w:rsidR="00C64245" w:rsidRPr="008F3122" w:rsidRDefault="00C64245" w:rsidP="00DC64CC">
      <w:pPr>
        <w:pStyle w:val="ListBullet"/>
      </w:pPr>
      <w:r w:rsidRPr="008F3122">
        <w:t>Efficacy of TCZ 8 mg/kg</w:t>
      </w:r>
      <w:r w:rsidR="008F3122">
        <w:t xml:space="preserve"> </w:t>
      </w:r>
      <w:r w:rsidRPr="008F3122">
        <w:t>+</w:t>
      </w:r>
      <w:r w:rsidR="008F3122">
        <w:t xml:space="preserve"> </w:t>
      </w:r>
      <w:r w:rsidRPr="008F3122">
        <w:t>MTX compared to MTX on reduction in joint damage (</w:t>
      </w:r>
      <w:proofErr w:type="spellStart"/>
      <w:r w:rsidRPr="008F3122">
        <w:t>mTSS</w:t>
      </w:r>
      <w:proofErr w:type="spellEnd"/>
      <w:r w:rsidRPr="008F3122">
        <w:t>).</w:t>
      </w:r>
    </w:p>
    <w:p w:rsidR="00C64245" w:rsidRPr="008F3122" w:rsidRDefault="00C64245" w:rsidP="008F3122">
      <w:pPr>
        <w:pStyle w:val="ListBullet"/>
      </w:pPr>
      <w:r w:rsidRPr="008F3122">
        <w:t xml:space="preserve">Efficacy of TCZ 8 mg/kg monotherapy compared to MTX monotherapy was demonstrated for DAS28 remission but not </w:t>
      </w:r>
      <w:r w:rsidR="008F3122">
        <w:t xml:space="preserve">for </w:t>
      </w:r>
      <w:r w:rsidRPr="008F3122">
        <w:t>other parameters.</w:t>
      </w:r>
    </w:p>
    <w:p w:rsidR="00C64245" w:rsidRPr="008F3122" w:rsidRDefault="00C64245" w:rsidP="00DC64CC">
      <w:pPr>
        <w:pStyle w:val="ListBullet"/>
      </w:pPr>
      <w:r w:rsidRPr="008F3122">
        <w:t>A safety profile which was comparable to other adult RA population data.</w:t>
      </w:r>
    </w:p>
    <w:p w:rsidR="00C64245" w:rsidRPr="008F3122" w:rsidRDefault="00C64245" w:rsidP="00DC64CC">
      <w:pPr>
        <w:pStyle w:val="ListBullet"/>
      </w:pPr>
      <w:r w:rsidRPr="008F3122">
        <w:t>Long term data to 5 years in a moderate to severe RA population found no new safety signals.</w:t>
      </w:r>
    </w:p>
    <w:p w:rsidR="00605AD4" w:rsidRDefault="00605AD4" w:rsidP="00DC64CC">
      <w:pPr>
        <w:pStyle w:val="Heading4"/>
      </w:pPr>
      <w:r w:rsidRPr="00605AD4">
        <w:lastRenderedPageBreak/>
        <w:t>First round assessment of risks</w:t>
      </w:r>
    </w:p>
    <w:p w:rsidR="00C64245" w:rsidRPr="00981AF7" w:rsidRDefault="00C64245" w:rsidP="00DC64CC">
      <w:r w:rsidRPr="00981AF7">
        <w:t xml:space="preserve">The risks of </w:t>
      </w:r>
      <w:r w:rsidR="006C365B" w:rsidRPr="006C365B">
        <w:t>TCZ</w:t>
      </w:r>
      <w:r w:rsidRPr="00981AF7">
        <w:t xml:space="preserve"> in the proposed usage are:</w:t>
      </w:r>
    </w:p>
    <w:p w:rsidR="00C64245" w:rsidRPr="008F3122" w:rsidRDefault="00C64245" w:rsidP="00DC64CC">
      <w:pPr>
        <w:pStyle w:val="ListBullet"/>
      </w:pPr>
      <w:r w:rsidRPr="008F3122">
        <w:t>Higher risk of hepatic transaminase elevation in the early RA population</w:t>
      </w:r>
      <w:r w:rsidR="008F3122">
        <w:t>,</w:t>
      </w:r>
      <w:r w:rsidRPr="008F3122">
        <w:t xml:space="preserve"> particularly with the 8</w:t>
      </w:r>
      <w:r w:rsidR="008F3122" w:rsidRPr="008F3122">
        <w:t xml:space="preserve"> </w:t>
      </w:r>
      <w:r w:rsidRPr="008F3122">
        <w:t xml:space="preserve">mg/kg TCZ dose in combination with MTX. There were however no serious hepatic events in </w:t>
      </w:r>
      <w:r w:rsidR="006C03B5">
        <w:t>S</w:t>
      </w:r>
      <w:r w:rsidRPr="008F3122">
        <w:t>tudy WA19926.</w:t>
      </w:r>
    </w:p>
    <w:p w:rsidR="00C64245" w:rsidRPr="008F3122" w:rsidRDefault="00C64245" w:rsidP="00DC64CC">
      <w:pPr>
        <w:pStyle w:val="ListBullet"/>
      </w:pPr>
      <w:r w:rsidRPr="008F3122">
        <w:t>Higher risk of treatment withdrawal in the early RA population treated with TCZ particularly due to hepatic transaminase elevation.</w:t>
      </w:r>
    </w:p>
    <w:p w:rsidR="00C64245" w:rsidRPr="008F3122" w:rsidRDefault="00C64245" w:rsidP="00DC64CC">
      <w:pPr>
        <w:pStyle w:val="ListBullet"/>
      </w:pPr>
      <w:r w:rsidRPr="008F3122">
        <w:t xml:space="preserve">The known risks of infections, hypersensitivity reactions including anaphylaxis, </w:t>
      </w:r>
      <w:r w:rsidR="008F3122">
        <w:t xml:space="preserve">gastrointestinal </w:t>
      </w:r>
      <w:r w:rsidRPr="008F3122">
        <w:t>perforation, serious bleeding, cardiac events and malignancy. There were no cases of demyelination reported. These risks were in line with data from previous studies in adults with RA.</w:t>
      </w:r>
    </w:p>
    <w:p w:rsidR="00C64245" w:rsidRPr="008F3122" w:rsidRDefault="00C64245" w:rsidP="00DC64CC">
      <w:pPr>
        <w:pStyle w:val="ListBullet"/>
      </w:pPr>
      <w:r w:rsidRPr="008F3122">
        <w:t>The risk of laboratory parameter changes including neut</w:t>
      </w:r>
      <w:r w:rsidR="008F3122">
        <w:t>rop</w:t>
      </w:r>
      <w:r w:rsidRPr="008F3122">
        <w:t>enia, thrombocytopaenia and lipid elevation. These risks were in line with data from previous studies in adults with RA</w:t>
      </w:r>
    </w:p>
    <w:p w:rsidR="00605AD4" w:rsidRPr="00605AD4" w:rsidRDefault="00605AD4" w:rsidP="00DC64CC">
      <w:pPr>
        <w:pStyle w:val="Heading4"/>
      </w:pPr>
      <w:r w:rsidRPr="00605AD4">
        <w:t>First round assessment of benefit-risk balance</w:t>
      </w:r>
    </w:p>
    <w:p w:rsidR="00C64245" w:rsidRPr="00981AF7" w:rsidRDefault="00C64245" w:rsidP="00DC64CC">
      <w:r w:rsidRPr="00981AF7">
        <w:t xml:space="preserve">The efficacy </w:t>
      </w:r>
      <w:r w:rsidR="006C365B" w:rsidRPr="006C365B">
        <w:t>TCZ</w:t>
      </w:r>
      <w:r w:rsidRPr="00981AF7">
        <w:t xml:space="preserve"> in combination with MTX compared to MTX alone was demonstrated in patients with early RA who were MTX naïve. For the 8 mg/kg dose with MTX this was seen across all main efficacy parameter</w:t>
      </w:r>
      <w:r w:rsidR="008F3122">
        <w:t>s and for TCZ monotherapy the 8 </w:t>
      </w:r>
      <w:r w:rsidRPr="00981AF7">
        <w:t xml:space="preserve">mg/kg dose also was efficacious on DAS28 remission rates. In addition to response of disease remission, TCZ treatment with MTX in this early RA population was found to reduce the progression of joint damage after 52 weeks of treatment. The EMA (2003) guidelines state that </w:t>
      </w:r>
      <w:r w:rsidRPr="006C03B5">
        <w:rPr>
          <w:i/>
        </w:rPr>
        <w:t>“For agents which are claimed to prevent structural joint damage, it is currently recommended to demonstrate radiological differences of hands and forefeet on the basis of before/after comparisons taken not less than one year apart ideally two years using full randomisation and pre-agreed criteria”</w:t>
      </w:r>
      <w:r w:rsidRPr="00981AF7">
        <w:t xml:space="preserve">. </w:t>
      </w:r>
      <w:proofErr w:type="gramStart"/>
      <w:r w:rsidRPr="00981AF7">
        <w:t xml:space="preserve">The more recent draft EMA guideline (2011) states that </w:t>
      </w:r>
      <w:r w:rsidRPr="006C03B5">
        <w:rPr>
          <w:i/>
        </w:rPr>
        <w:t>“measurement after 1 year may be sufficient to confirm efficacy in terms of endpoints relevant to slowing/prevention of structural damage claim.</w:t>
      </w:r>
      <w:proofErr w:type="gramEnd"/>
      <w:r w:rsidRPr="006C03B5">
        <w:rPr>
          <w:i/>
        </w:rPr>
        <w:t xml:space="preserve"> In exceptional cases a measurement after at least 6 months may be sufficient depending on the properties of the test drug; this has to be justified by robustness of the method and convincing clinical data. It is important to demonstrate long-term maintenance of this effect for an additional 12 months.”</w:t>
      </w:r>
    </w:p>
    <w:p w:rsidR="006C03B5" w:rsidRDefault="00C64245" w:rsidP="00DC64CC">
      <w:r w:rsidRPr="00981AF7">
        <w:t>Data</w:t>
      </w:r>
      <w:r w:rsidR="008F3122">
        <w:t xml:space="preserve"> from S</w:t>
      </w:r>
      <w:r w:rsidRPr="00981AF7">
        <w:t xml:space="preserve">tudy WA17823 demonstrated inhibition of radiographic progression at 1 and 2 years in a population with inadequate response to MTX and the current approved indication for TCZ states that </w:t>
      </w:r>
      <w:r w:rsidRPr="001302AA">
        <w:rPr>
          <w:i/>
        </w:rPr>
        <w:t>A</w:t>
      </w:r>
      <w:r w:rsidR="006C03B5">
        <w:rPr>
          <w:i/>
        </w:rPr>
        <w:t xml:space="preserve">ctemra </w:t>
      </w:r>
      <w:r w:rsidRPr="001302AA">
        <w:rPr>
          <w:i/>
        </w:rPr>
        <w:t>has been shown to inhibit the progression of joint damage in adults, as measured by X-ray, when given in combination with methotrexate</w:t>
      </w:r>
      <w:r w:rsidR="00DC64CC">
        <w:t>.</w:t>
      </w:r>
    </w:p>
    <w:p w:rsidR="00C64245" w:rsidRPr="00981AF7" w:rsidRDefault="00C64245" w:rsidP="00DC64CC">
      <w:r w:rsidRPr="00981AF7">
        <w:t>The evaluator agrees that in the early RA population there are consistent findings on joint damage for the combination of TCZ and MTX after 1 year treatment. Data from year two will be needed to demonstrate maintenance of this effect. By contrast, the lack of a significant inhibition of progression of joint damage in TC</w:t>
      </w:r>
      <w:r w:rsidR="008F3122">
        <w:t xml:space="preserve">Z monotherapy group in WA19926 </w:t>
      </w:r>
      <w:r w:rsidRPr="00981AF7">
        <w:t>means that only the TCZ and MTX combination should be included in the indication in relation to efficacy on this endpoint.</w:t>
      </w:r>
    </w:p>
    <w:p w:rsidR="00C64245" w:rsidRPr="00981AF7" w:rsidRDefault="00C64245" w:rsidP="00DC64CC">
      <w:r w:rsidRPr="00981AF7">
        <w:t xml:space="preserve">The safety risks of the combination of TCZ and MTX were slightly higher than MTX alone in the early RA population although this was not an unexpected finding. The main difference was in </w:t>
      </w:r>
      <w:r w:rsidR="008F3122">
        <w:t xml:space="preserve">AEs </w:t>
      </w:r>
      <w:r w:rsidRPr="00981AF7">
        <w:t xml:space="preserve">leading to treatment withdrawal or dose modification/interruption. The safety in the early RA population compared to pooled population data from previous trials also found that in the earlier population the overall </w:t>
      </w:r>
      <w:r w:rsidR="008F3122">
        <w:t xml:space="preserve">AE </w:t>
      </w:r>
      <w:r w:rsidRPr="00981AF7">
        <w:t>rate and death rate with TCZ treatment were slightly greater, however the SAE rate and rates of adverse events of special interest were generally in lin</w:t>
      </w:r>
      <w:r w:rsidR="00DC64CC">
        <w:t>e with pooled data.</w:t>
      </w:r>
    </w:p>
    <w:p w:rsidR="00C64245" w:rsidRPr="00981AF7" w:rsidRDefault="00C64245" w:rsidP="00DC64CC">
      <w:r w:rsidRPr="00981AF7">
        <w:lastRenderedPageBreak/>
        <w:t>The notable difference in the early RA population was the higher rate of raised hepatic transaminases compared to patients who were inadequately responsive of DMARDs. In addition there was a higher rate of premature d</w:t>
      </w:r>
      <w:r w:rsidR="008F3122">
        <w:t>iscontinuation due to AEs. The s</w:t>
      </w:r>
      <w:r w:rsidRPr="00981AF7">
        <w:t>ponsor proposes that this is due to the patients being MTX</w:t>
      </w:r>
      <w:r w:rsidR="009C63CE">
        <w:t xml:space="preserve"> </w:t>
      </w:r>
      <w:r w:rsidRPr="00981AF7">
        <w:t>naïve and also that there were differing protocol withdrawal criteria in relation to hepatic transaminase increase. Nonetheless these increased risks need to be defined and the proposed PI changes have captured this.</w:t>
      </w:r>
    </w:p>
    <w:p w:rsidR="00C64245" w:rsidRPr="00981AF7" w:rsidRDefault="00C64245" w:rsidP="00DC64CC">
      <w:r w:rsidRPr="00981AF7">
        <w:t xml:space="preserve">The safety database was adequate in size with nearly 800 </w:t>
      </w:r>
      <w:r w:rsidR="008C562E">
        <w:t xml:space="preserve">PY </w:t>
      </w:r>
      <w:proofErr w:type="gramStart"/>
      <w:r w:rsidRPr="00981AF7">
        <w:t>exposure</w:t>
      </w:r>
      <w:proofErr w:type="gramEnd"/>
      <w:r w:rsidRPr="00981AF7">
        <w:t>. Overall, the safety profile in the early RA, MTX naïve population was in line with known data and no new safety signals were observed. The longer term safety of TCZ in the early RA population still needs to be defined and as WA19926 was a 2 year study, the data to 104 weeks should be provided for e</w:t>
      </w:r>
      <w:r w:rsidR="00DC64CC">
        <w:t>valuation as soon as available.</w:t>
      </w:r>
    </w:p>
    <w:p w:rsidR="00C64245" w:rsidRPr="00981AF7" w:rsidRDefault="00C64245" w:rsidP="00DC64CC">
      <w:r w:rsidRPr="00981AF7">
        <w:t xml:space="preserve">Overall, the efficacy in early RA patients was demonstrated across a number of domains and was in the context of a safety profile in line with current data on RA patients. The increased risk of raised liver enzymes was generally transient, was not associated with serious hepatic events and has been covered in labelling. Therefore, the evaluator finds that the benefit-risk balance of </w:t>
      </w:r>
      <w:r w:rsidR="006C365B" w:rsidRPr="006C365B">
        <w:t>TCZ</w:t>
      </w:r>
      <w:r w:rsidR="008F3122">
        <w:t>,</w:t>
      </w:r>
      <w:r w:rsidRPr="00981AF7">
        <w:t xml:space="preserve"> given the proposed usage, is favourable subject to the changes recommended </w:t>
      </w:r>
      <w:r w:rsidR="008F3122">
        <w:t xml:space="preserve">below (see </w:t>
      </w:r>
      <w:r w:rsidR="008F3122" w:rsidRPr="006C03B5">
        <w:rPr>
          <w:i/>
        </w:rPr>
        <w:t>Clinical Questions</w:t>
      </w:r>
      <w:r w:rsidR="008F3122">
        <w:t xml:space="preserve">) </w:t>
      </w:r>
      <w:r w:rsidRPr="00981AF7">
        <w:t>being adopted and the provision of long term safety data.</w:t>
      </w:r>
    </w:p>
    <w:p w:rsidR="00C64245" w:rsidRPr="00586F98" w:rsidRDefault="00C64245" w:rsidP="00DC64CC">
      <w:pPr>
        <w:rPr>
          <w:lang w:eastAsia="ja-JP"/>
        </w:rPr>
      </w:pPr>
      <w:r w:rsidRPr="00981AF7">
        <w:t>T</w:t>
      </w:r>
      <w:r w:rsidR="008F3122">
        <w:t>he long term data submitted in S</w:t>
      </w:r>
      <w:r w:rsidRPr="00981AF7">
        <w:t>tudy WA18695 did not reveal new safety signals and so the current labelling remains adequate.</w:t>
      </w:r>
    </w:p>
    <w:p w:rsidR="00605AD4" w:rsidRPr="00605AD4" w:rsidRDefault="00605AD4" w:rsidP="00DC64CC">
      <w:pPr>
        <w:pStyle w:val="Heading3"/>
        <w:rPr>
          <w:rFonts w:eastAsia="Cambria"/>
        </w:rPr>
      </w:pPr>
      <w:bookmarkStart w:id="129" w:name="_Toc412444408"/>
      <w:r w:rsidRPr="00605AD4">
        <w:rPr>
          <w:rFonts w:eastAsia="Cambria"/>
        </w:rPr>
        <w:t xml:space="preserve">First </w:t>
      </w:r>
      <w:r w:rsidR="00DC64CC">
        <w:rPr>
          <w:rFonts w:eastAsia="Cambria"/>
        </w:rPr>
        <w:t>r</w:t>
      </w:r>
      <w:r w:rsidRPr="00605AD4">
        <w:rPr>
          <w:rFonts w:eastAsia="Cambria"/>
        </w:rPr>
        <w:t xml:space="preserve">ound </w:t>
      </w:r>
      <w:r w:rsidR="00DC64CC">
        <w:rPr>
          <w:rFonts w:eastAsia="Cambria"/>
        </w:rPr>
        <w:t>r</w:t>
      </w:r>
      <w:r w:rsidRPr="00605AD4">
        <w:rPr>
          <w:rFonts w:eastAsia="Cambria"/>
        </w:rPr>
        <w:t xml:space="preserve">ecommendation </w:t>
      </w:r>
      <w:r w:rsidR="00DC64CC">
        <w:rPr>
          <w:rFonts w:eastAsia="Cambria"/>
        </w:rPr>
        <w:t>r</w:t>
      </w:r>
      <w:r w:rsidRPr="00605AD4">
        <w:rPr>
          <w:rFonts w:eastAsia="Cambria"/>
        </w:rPr>
        <w:t xml:space="preserve">egarding </w:t>
      </w:r>
      <w:r w:rsidR="00DC64CC">
        <w:rPr>
          <w:rFonts w:eastAsia="Cambria"/>
        </w:rPr>
        <w:t>a</w:t>
      </w:r>
      <w:r w:rsidRPr="00605AD4">
        <w:rPr>
          <w:rFonts w:eastAsia="Cambria"/>
        </w:rPr>
        <w:t>uthorisation</w:t>
      </w:r>
      <w:bookmarkEnd w:id="129"/>
    </w:p>
    <w:p w:rsidR="00C64245" w:rsidRPr="00DC1DF4" w:rsidRDefault="00C64245" w:rsidP="00DC64CC">
      <w:r w:rsidRPr="00DC1DF4">
        <w:t xml:space="preserve">The evaluator recommends approval of the proposed changes to the product information for </w:t>
      </w:r>
      <w:r w:rsidR="006C365B" w:rsidRPr="006C365B">
        <w:t>TCZ</w:t>
      </w:r>
      <w:r w:rsidRPr="00DC1DF4">
        <w:t xml:space="preserve"> IV infusion for the following indication</w:t>
      </w:r>
      <w:r w:rsidR="008F3122">
        <w:t xml:space="preserve"> (addition in bold font)</w:t>
      </w:r>
      <w:r w:rsidRPr="00DC1DF4">
        <w:t>:</w:t>
      </w:r>
    </w:p>
    <w:p w:rsidR="00C64245" w:rsidRPr="001302AA" w:rsidRDefault="00C64245" w:rsidP="00C64245">
      <w:pPr>
        <w:ind w:left="720"/>
        <w:rPr>
          <w:i/>
        </w:rPr>
      </w:pPr>
      <w:r w:rsidRPr="001302AA">
        <w:rPr>
          <w:i/>
        </w:rPr>
        <w:t>Rheumatoid Arthritis</w:t>
      </w:r>
    </w:p>
    <w:p w:rsidR="00C64245" w:rsidRPr="001302AA" w:rsidRDefault="00C64245" w:rsidP="00C64245">
      <w:pPr>
        <w:ind w:left="720"/>
        <w:rPr>
          <w:i/>
        </w:rPr>
      </w:pPr>
      <w:r w:rsidRPr="001302AA">
        <w:rPr>
          <w:i/>
        </w:rPr>
        <w:t>A</w:t>
      </w:r>
      <w:r w:rsidR="00782F89" w:rsidRPr="001302AA">
        <w:rPr>
          <w:i/>
        </w:rPr>
        <w:t>ctemra</w:t>
      </w:r>
      <w:r w:rsidRPr="001302AA">
        <w:rPr>
          <w:i/>
        </w:rPr>
        <w:t xml:space="preserve"> is indicated for the treatment of moderate to severe active rheumatoid arthritis (RA) in adult patients:</w:t>
      </w:r>
    </w:p>
    <w:p w:rsidR="00C64245" w:rsidRPr="00DC1DF4" w:rsidRDefault="00C64245" w:rsidP="00C64245">
      <w:pPr>
        <w:ind w:left="720"/>
      </w:pPr>
      <w:proofErr w:type="gramStart"/>
      <w:r w:rsidRPr="008F3122">
        <w:rPr>
          <w:b/>
          <w:i/>
        </w:rPr>
        <w:t>in</w:t>
      </w:r>
      <w:proofErr w:type="gramEnd"/>
      <w:r w:rsidRPr="008F3122">
        <w:rPr>
          <w:b/>
          <w:i/>
        </w:rPr>
        <w:t xml:space="preserve"> combination with methotrexate (MTX) in those not previously treated with MTX</w:t>
      </w:r>
      <w:r w:rsidRPr="001302AA">
        <w:rPr>
          <w:i/>
        </w:rPr>
        <w:t>;</w:t>
      </w:r>
    </w:p>
    <w:p w:rsidR="00C64245" w:rsidRPr="00DC1DF4" w:rsidRDefault="00C64245" w:rsidP="00DC64CC">
      <w:r w:rsidRPr="00DC1DF4">
        <w:t xml:space="preserve">The proposed change to the indication </w:t>
      </w:r>
      <w:r w:rsidR="006C03B5" w:rsidRPr="00DC1DF4">
        <w:t>(below</w:t>
      </w:r>
      <w:r w:rsidR="006C03B5">
        <w:t xml:space="preserve"> in bold underlined font</w:t>
      </w:r>
      <w:r w:rsidR="006C03B5" w:rsidRPr="00DC1DF4">
        <w:t xml:space="preserve">) </w:t>
      </w:r>
      <w:r w:rsidRPr="00DC1DF4">
        <w:t>in relation to monotherapy efficacy in joint damage reduction is not supported.</w:t>
      </w:r>
    </w:p>
    <w:p w:rsidR="00C64245" w:rsidRPr="001302AA" w:rsidRDefault="00C64245" w:rsidP="00C64245">
      <w:pPr>
        <w:ind w:left="720"/>
        <w:rPr>
          <w:i/>
        </w:rPr>
      </w:pPr>
      <w:r w:rsidRPr="001302AA">
        <w:rPr>
          <w:i/>
        </w:rPr>
        <w:t>A</w:t>
      </w:r>
      <w:r w:rsidR="00782F89" w:rsidRPr="001302AA">
        <w:rPr>
          <w:i/>
        </w:rPr>
        <w:t>ctemra</w:t>
      </w:r>
      <w:r w:rsidRPr="001302AA">
        <w:rPr>
          <w:i/>
        </w:rPr>
        <w:t xml:space="preserve"> has been shown to inhibit the progression of joint damage in adults, as measured by X-ray, when given </w:t>
      </w:r>
      <w:r w:rsidRPr="008F3122">
        <w:rPr>
          <w:b/>
          <w:i/>
          <w:u w:val="single"/>
        </w:rPr>
        <w:t>alone or</w:t>
      </w:r>
      <w:r w:rsidRPr="001302AA">
        <w:rPr>
          <w:i/>
        </w:rPr>
        <w:t xml:space="preserve"> in combination with methotrexate.</w:t>
      </w:r>
    </w:p>
    <w:p w:rsidR="00C64245" w:rsidRDefault="00C64245" w:rsidP="00DC64CC">
      <w:r w:rsidRPr="00DC1DF4">
        <w:t>These recommendations are subject to satisfactory responses to the comments on the PI and submission of the 2 year data fro</w:t>
      </w:r>
      <w:r w:rsidR="008F3122">
        <w:t>m S</w:t>
      </w:r>
      <w:r w:rsidRPr="00DC1DF4">
        <w:t>tudy WA19926.</w:t>
      </w:r>
    </w:p>
    <w:p w:rsidR="00C64245" w:rsidRPr="00586F98" w:rsidRDefault="00C64245" w:rsidP="00DC64CC">
      <w:pPr>
        <w:rPr>
          <w:lang w:eastAsia="ja-JP"/>
        </w:rPr>
      </w:pPr>
      <w:r>
        <w:t xml:space="preserve">Details of recommended revisions to the PI other than to the </w:t>
      </w:r>
      <w:r w:rsidRPr="00BC0446">
        <w:rPr>
          <w:i/>
        </w:rPr>
        <w:t>Indications</w:t>
      </w:r>
      <w:r>
        <w:t xml:space="preserve"> are </w:t>
      </w:r>
      <w:r w:rsidR="00DC64CC">
        <w:t>beyond the scope of the AusPAR.</w:t>
      </w:r>
    </w:p>
    <w:p w:rsidR="00605AD4" w:rsidRPr="00605AD4" w:rsidRDefault="00605AD4" w:rsidP="00DC64CC">
      <w:pPr>
        <w:pStyle w:val="Heading3"/>
        <w:rPr>
          <w:rFonts w:eastAsia="Cambria"/>
        </w:rPr>
      </w:pPr>
      <w:bookmarkStart w:id="130" w:name="_Toc412444409"/>
      <w:r w:rsidRPr="00605AD4">
        <w:rPr>
          <w:rFonts w:eastAsia="Cambria"/>
        </w:rPr>
        <w:t xml:space="preserve">Clinical </w:t>
      </w:r>
      <w:r w:rsidR="00DC64CC">
        <w:rPr>
          <w:rFonts w:eastAsia="Cambria"/>
        </w:rPr>
        <w:t>q</w:t>
      </w:r>
      <w:r w:rsidRPr="00605AD4">
        <w:rPr>
          <w:rFonts w:eastAsia="Cambria"/>
        </w:rPr>
        <w:t>uestions</w:t>
      </w:r>
      <w:bookmarkEnd w:id="130"/>
    </w:p>
    <w:p w:rsidR="00C64245" w:rsidRPr="00186836" w:rsidRDefault="00C64245" w:rsidP="00DC64CC">
      <w:pPr>
        <w:pStyle w:val="Heading4"/>
      </w:pPr>
      <w:bookmarkStart w:id="131" w:name="_Toc405552021"/>
      <w:r w:rsidRPr="00186836">
        <w:t xml:space="preserve">Product </w:t>
      </w:r>
      <w:r w:rsidR="00172C1E">
        <w:t>i</w:t>
      </w:r>
      <w:r w:rsidRPr="00186836">
        <w:t xml:space="preserve">nformation: </w:t>
      </w:r>
      <w:r w:rsidR="00DC64CC">
        <w:t>i</w:t>
      </w:r>
      <w:r w:rsidRPr="00186836">
        <w:t>ndication</w:t>
      </w:r>
      <w:bookmarkEnd w:id="131"/>
    </w:p>
    <w:p w:rsidR="00C64245" w:rsidRPr="00186836" w:rsidRDefault="00EB4194" w:rsidP="00DC64CC">
      <w:r w:rsidRPr="00186836">
        <w:t xml:space="preserve">The sponsor proposes the following addition (in </w:t>
      </w:r>
      <w:r w:rsidR="006C03B5">
        <w:t xml:space="preserve">bold </w:t>
      </w:r>
      <w:r w:rsidRPr="00186836">
        <w:t>underlined font) to the c</w:t>
      </w:r>
      <w:r w:rsidR="00C64245" w:rsidRPr="00186836">
        <w:t xml:space="preserve">urrent </w:t>
      </w:r>
      <w:r w:rsidRPr="00186836">
        <w:t>indication text</w:t>
      </w:r>
      <w:r w:rsidR="00C64245" w:rsidRPr="00186836">
        <w:t>:</w:t>
      </w:r>
    </w:p>
    <w:p w:rsidR="00C64245" w:rsidRPr="00F12239" w:rsidRDefault="00C64245" w:rsidP="00EB4194">
      <w:pPr>
        <w:ind w:left="720"/>
        <w:rPr>
          <w:i/>
        </w:rPr>
      </w:pPr>
      <w:r w:rsidRPr="00F12239">
        <w:rPr>
          <w:i/>
        </w:rPr>
        <w:t>A</w:t>
      </w:r>
      <w:r w:rsidR="00B632DB" w:rsidRPr="00F12239">
        <w:rPr>
          <w:i/>
        </w:rPr>
        <w:t>ctemra</w:t>
      </w:r>
      <w:r w:rsidRPr="00F12239">
        <w:rPr>
          <w:i/>
        </w:rPr>
        <w:t xml:space="preserve"> has been shown to inhibit the progression of joint damage in adults, as measured by X-ray, when given </w:t>
      </w:r>
      <w:r w:rsidRPr="006C03B5">
        <w:rPr>
          <w:b/>
          <w:i/>
          <w:u w:val="single"/>
        </w:rPr>
        <w:t>alone or</w:t>
      </w:r>
      <w:r w:rsidRPr="00F12239">
        <w:rPr>
          <w:i/>
        </w:rPr>
        <w:t xml:space="preserve"> in combination with methotrexate.</w:t>
      </w:r>
    </w:p>
    <w:p w:rsidR="00C64245" w:rsidRPr="00186836" w:rsidRDefault="00C64245" w:rsidP="00DC64CC">
      <w:r w:rsidRPr="00186836">
        <w:lastRenderedPageBreak/>
        <w:t xml:space="preserve">Data from </w:t>
      </w:r>
      <w:r w:rsidR="00EB4194" w:rsidRPr="00186836">
        <w:t>S</w:t>
      </w:r>
      <w:r w:rsidRPr="00186836">
        <w:t xml:space="preserve">tudy WA19926 found a numerical reduction in radiographic progression but not a statistically significant one when controlling for multiplicity was conducted in the hierarchical testing sequence. For this reason the evaluator cannot support using the finding in the indication and does not agree with the proposed change. The information has been included in the proposed new paragraph on MTX naïve, </w:t>
      </w:r>
      <w:r w:rsidR="00EB4194" w:rsidRPr="00186836">
        <w:t>e</w:t>
      </w:r>
      <w:r w:rsidRPr="00186836">
        <w:t xml:space="preserve">arly RA in the </w:t>
      </w:r>
      <w:r w:rsidRPr="00186836">
        <w:rPr>
          <w:i/>
        </w:rPr>
        <w:t>Clinical Trial</w:t>
      </w:r>
      <w:r w:rsidRPr="00186836">
        <w:t xml:space="preserve"> section</w:t>
      </w:r>
      <w:r w:rsidR="00EB4194" w:rsidRPr="00186836">
        <w:t xml:space="preserve"> of the PI</w:t>
      </w:r>
      <w:r w:rsidRPr="00186836">
        <w:t>.</w:t>
      </w:r>
    </w:p>
    <w:p w:rsidR="00605AD4" w:rsidRPr="00605AD4" w:rsidRDefault="00605AD4" w:rsidP="00DC64CC">
      <w:pPr>
        <w:pStyle w:val="Heading3"/>
        <w:rPr>
          <w:rFonts w:eastAsia="Cambria"/>
        </w:rPr>
      </w:pPr>
      <w:bookmarkStart w:id="132" w:name="_Toc412444410"/>
      <w:r w:rsidRPr="00605AD4">
        <w:rPr>
          <w:rFonts w:eastAsia="Cambria"/>
        </w:rPr>
        <w:t xml:space="preserve">Second </w:t>
      </w:r>
      <w:r w:rsidR="00DC64CC">
        <w:rPr>
          <w:rFonts w:eastAsia="Cambria"/>
        </w:rPr>
        <w:t>r</w:t>
      </w:r>
      <w:r w:rsidRPr="00605AD4">
        <w:rPr>
          <w:rFonts w:eastAsia="Cambria"/>
        </w:rPr>
        <w:t xml:space="preserve">ound </w:t>
      </w:r>
      <w:r w:rsidR="00DC64CC">
        <w:rPr>
          <w:rFonts w:eastAsia="Cambria"/>
        </w:rPr>
        <w:t>e</w:t>
      </w:r>
      <w:r w:rsidRPr="00605AD4">
        <w:rPr>
          <w:rFonts w:eastAsia="Cambria"/>
        </w:rPr>
        <w:t>valuation of clinical data submitted in response to questions</w:t>
      </w:r>
      <w:bookmarkEnd w:id="132"/>
    </w:p>
    <w:p w:rsidR="00D05CC1" w:rsidRPr="00186836" w:rsidRDefault="00172C1E" w:rsidP="00DC64CC">
      <w:pPr>
        <w:pStyle w:val="Heading4"/>
      </w:pPr>
      <w:bookmarkStart w:id="133" w:name="_Toc405552023"/>
      <w:r>
        <w:t>Product i</w:t>
      </w:r>
      <w:r w:rsidR="00D05CC1" w:rsidRPr="00186836">
        <w:t xml:space="preserve">nformation: </w:t>
      </w:r>
      <w:r w:rsidR="00DC64CC">
        <w:t>i</w:t>
      </w:r>
      <w:r w:rsidR="00D05CC1" w:rsidRPr="00186836">
        <w:t>ndication</w:t>
      </w:r>
      <w:bookmarkEnd w:id="133"/>
    </w:p>
    <w:p w:rsidR="00D05CC1" w:rsidRPr="00186836" w:rsidRDefault="00EB4194" w:rsidP="00186836">
      <w:r w:rsidRPr="00186836">
        <w:t>The s</w:t>
      </w:r>
      <w:r w:rsidR="00D05CC1" w:rsidRPr="00186836">
        <w:t>ponsor agrees to remove the proposed claim and the draft PI has been revised accordingly as follows:</w:t>
      </w:r>
    </w:p>
    <w:p w:rsidR="00D05CC1" w:rsidRPr="00186836" w:rsidRDefault="00D05CC1" w:rsidP="00186836">
      <w:pPr>
        <w:ind w:left="720"/>
        <w:rPr>
          <w:i/>
        </w:rPr>
      </w:pPr>
      <w:r w:rsidRPr="00186836">
        <w:rPr>
          <w:i/>
        </w:rPr>
        <w:t>A</w:t>
      </w:r>
      <w:r w:rsidR="00B632DB" w:rsidRPr="00186836">
        <w:rPr>
          <w:i/>
        </w:rPr>
        <w:t>ctemra</w:t>
      </w:r>
      <w:r w:rsidRPr="00186836">
        <w:rPr>
          <w:i/>
        </w:rPr>
        <w:t xml:space="preserve"> has been shown to inhibit the progression of joint damage in adults, as measured by X-ray, when given in combination with methotrexate.</w:t>
      </w:r>
    </w:p>
    <w:p w:rsidR="00D05CC1" w:rsidRPr="00186836" w:rsidRDefault="00D05CC1" w:rsidP="00186836">
      <w:r w:rsidRPr="00186836">
        <w:t>This change is acceptable.</w:t>
      </w:r>
    </w:p>
    <w:p w:rsidR="00D05CC1" w:rsidRPr="00D05CC1" w:rsidRDefault="00D05CC1" w:rsidP="007D7389">
      <w:pPr>
        <w:pStyle w:val="Heading4"/>
      </w:pPr>
      <w:bookmarkStart w:id="134" w:name="_Toc389033042"/>
      <w:bookmarkStart w:id="135" w:name="_Toc405552024"/>
      <w:r w:rsidRPr="00D05CC1">
        <w:t>Study WA19926</w:t>
      </w:r>
      <w:bookmarkEnd w:id="134"/>
      <w:bookmarkEnd w:id="135"/>
    </w:p>
    <w:p w:rsidR="00186836" w:rsidRDefault="00EB4194" w:rsidP="007D7389">
      <w:r>
        <w:t>As requested</w:t>
      </w:r>
      <w:r w:rsidR="00186836">
        <w:t xml:space="preserve"> (see </w:t>
      </w:r>
      <w:r w:rsidR="00186836" w:rsidRPr="00186836">
        <w:rPr>
          <w:i/>
        </w:rPr>
        <w:t>First Round Recommendation Regarding Authorisation</w:t>
      </w:r>
      <w:r w:rsidR="00186836">
        <w:t xml:space="preserve"> above)</w:t>
      </w:r>
      <w:r>
        <w:t>, the s</w:t>
      </w:r>
      <w:r w:rsidR="00D05CC1" w:rsidRPr="00D05CC1">
        <w:t>ponsor</w:t>
      </w:r>
      <w:r>
        <w:t xml:space="preserve"> submitted</w:t>
      </w:r>
      <w:r w:rsidR="00D05CC1" w:rsidRPr="00D05CC1">
        <w:t xml:space="preserve"> the </w:t>
      </w:r>
      <w:r w:rsidR="006C03B5">
        <w:t>Y</w:t>
      </w:r>
      <w:r w:rsidR="00D05CC1" w:rsidRPr="00D05CC1">
        <w:t xml:space="preserve">ear 2 data (final </w:t>
      </w:r>
      <w:r>
        <w:t>clinical study report</w:t>
      </w:r>
      <w:r w:rsidR="00D05CC1" w:rsidRPr="00D05CC1">
        <w:t xml:space="preserve">) from </w:t>
      </w:r>
      <w:r>
        <w:t>S</w:t>
      </w:r>
      <w:r w:rsidR="00D05CC1" w:rsidRPr="00D05CC1">
        <w:t>tudy WA19926</w:t>
      </w:r>
      <w:r w:rsidR="007D7389">
        <w:t>.</w:t>
      </w:r>
    </w:p>
    <w:p w:rsidR="00D05CC1" w:rsidRPr="00D05CC1" w:rsidRDefault="00EB4194" w:rsidP="007D7389">
      <w:r>
        <w:t xml:space="preserve">Full details and the evaluation of this </w:t>
      </w:r>
      <w:r w:rsidR="00186836">
        <w:t xml:space="preserve">data </w:t>
      </w:r>
      <w:r>
        <w:t xml:space="preserve">are in </w:t>
      </w:r>
      <w:r w:rsidRPr="00EB4194">
        <w:t>Attachment 2 of this AusPAR</w:t>
      </w:r>
      <w:r w:rsidR="007D7389">
        <w:t>.</w:t>
      </w:r>
    </w:p>
    <w:p w:rsidR="00605AD4" w:rsidRPr="00605AD4" w:rsidRDefault="00605AD4" w:rsidP="007D7389">
      <w:pPr>
        <w:pStyle w:val="Heading3"/>
        <w:rPr>
          <w:rFonts w:eastAsia="Cambria"/>
        </w:rPr>
      </w:pPr>
      <w:bookmarkStart w:id="136" w:name="_Toc412444411"/>
      <w:r w:rsidRPr="00605AD4">
        <w:rPr>
          <w:rFonts w:eastAsia="Cambria"/>
        </w:rPr>
        <w:t xml:space="preserve">Second </w:t>
      </w:r>
      <w:r w:rsidR="007D7389">
        <w:rPr>
          <w:rFonts w:eastAsia="Cambria"/>
        </w:rPr>
        <w:t>r</w:t>
      </w:r>
      <w:r w:rsidRPr="00605AD4">
        <w:rPr>
          <w:rFonts w:eastAsia="Cambria"/>
        </w:rPr>
        <w:t xml:space="preserve">ound </w:t>
      </w:r>
      <w:r w:rsidR="007D7389">
        <w:rPr>
          <w:rFonts w:eastAsia="Cambria"/>
        </w:rPr>
        <w:t>b</w:t>
      </w:r>
      <w:r w:rsidRPr="00605AD4">
        <w:rPr>
          <w:rFonts w:eastAsia="Cambria"/>
        </w:rPr>
        <w:t>enefit-</w:t>
      </w:r>
      <w:r w:rsidR="007D7389">
        <w:rPr>
          <w:rFonts w:eastAsia="Cambria"/>
        </w:rPr>
        <w:t>r</w:t>
      </w:r>
      <w:r w:rsidRPr="00605AD4">
        <w:rPr>
          <w:rFonts w:eastAsia="Cambria"/>
        </w:rPr>
        <w:t xml:space="preserve">isk </w:t>
      </w:r>
      <w:r w:rsidR="007D7389">
        <w:rPr>
          <w:rFonts w:eastAsia="Cambria"/>
        </w:rPr>
        <w:t>a</w:t>
      </w:r>
      <w:r w:rsidRPr="00605AD4">
        <w:rPr>
          <w:rFonts w:eastAsia="Cambria"/>
        </w:rPr>
        <w:t>ssessment</w:t>
      </w:r>
      <w:bookmarkEnd w:id="136"/>
    </w:p>
    <w:p w:rsidR="00D05CC1" w:rsidRPr="00671AE1" w:rsidRDefault="00D05CC1" w:rsidP="007D7389">
      <w:pPr>
        <w:pStyle w:val="Heading4"/>
      </w:pPr>
      <w:bookmarkStart w:id="137" w:name="_Toc272414709"/>
      <w:bookmarkStart w:id="138" w:name="_Toc290846349"/>
      <w:bookmarkStart w:id="139" w:name="_Toc389033049"/>
      <w:bookmarkStart w:id="140" w:name="_Toc405552026"/>
      <w:r w:rsidRPr="00671AE1">
        <w:t>Second round assessment of benefits</w:t>
      </w:r>
      <w:bookmarkEnd w:id="137"/>
      <w:bookmarkEnd w:id="138"/>
      <w:bookmarkEnd w:id="139"/>
      <w:bookmarkEnd w:id="140"/>
    </w:p>
    <w:p w:rsidR="00D05CC1" w:rsidRPr="00671AE1" w:rsidRDefault="00D05CC1" w:rsidP="007D7389">
      <w:r w:rsidRPr="00671AE1">
        <w:t xml:space="preserve">After review of data submitted following the first round of evaluation, the benefits of </w:t>
      </w:r>
      <w:r w:rsidR="006C365B" w:rsidRPr="006C365B">
        <w:t>TCZ</w:t>
      </w:r>
      <w:r w:rsidRPr="00671AE1">
        <w:t xml:space="preserve"> in the proposed usage, in addition to those listed </w:t>
      </w:r>
      <w:r w:rsidR="00EB4194" w:rsidRPr="0076622B">
        <w:rPr>
          <w:i/>
        </w:rPr>
        <w:t>under</w:t>
      </w:r>
      <w:r w:rsidRPr="0076622B">
        <w:rPr>
          <w:i/>
        </w:rPr>
        <w:t xml:space="preserve"> </w:t>
      </w:r>
      <w:r w:rsidR="00EB4194" w:rsidRPr="0076622B">
        <w:rPr>
          <w:i/>
        </w:rPr>
        <w:t xml:space="preserve">First </w:t>
      </w:r>
      <w:r w:rsidRPr="0076622B">
        <w:rPr>
          <w:i/>
        </w:rPr>
        <w:t>round assessment of benefits</w:t>
      </w:r>
      <w:r w:rsidR="00EB4194" w:rsidRPr="00EB4194">
        <w:t xml:space="preserve"> </w:t>
      </w:r>
      <w:r w:rsidR="007D7389">
        <w:t>now also include:</w:t>
      </w:r>
    </w:p>
    <w:p w:rsidR="00D05CC1" w:rsidRPr="00671AE1" w:rsidRDefault="00D05CC1" w:rsidP="007D7389">
      <w:pPr>
        <w:pStyle w:val="ListBullet"/>
      </w:pPr>
      <w:r w:rsidRPr="00671AE1">
        <w:t>Efficacy of TCZ 8</w:t>
      </w:r>
      <w:r w:rsidR="0076622B">
        <w:t xml:space="preserve"> </w:t>
      </w:r>
      <w:r w:rsidRPr="00671AE1">
        <w:t>mg/kg</w:t>
      </w:r>
      <w:r w:rsidR="0076622B">
        <w:t xml:space="preserve"> </w:t>
      </w:r>
      <w:r w:rsidRPr="00671AE1">
        <w:t>+</w:t>
      </w:r>
      <w:r w:rsidR="0076622B">
        <w:t xml:space="preserve"> </w:t>
      </w:r>
      <w:r w:rsidRPr="00671AE1">
        <w:t xml:space="preserve">MTX appears to be maintained after 2 years of treatment. This was </w:t>
      </w:r>
      <w:r w:rsidRPr="0076622B">
        <w:t>consistent</w:t>
      </w:r>
      <w:r w:rsidRPr="00671AE1">
        <w:t xml:space="preserve"> across measured parameters. There was, however, no evidence of further improvement in efficacy with longer treatment duration.</w:t>
      </w:r>
    </w:p>
    <w:p w:rsidR="00D05CC1" w:rsidRPr="00671AE1" w:rsidRDefault="00D05CC1" w:rsidP="007D7389">
      <w:pPr>
        <w:pStyle w:val="ListBullet"/>
      </w:pPr>
      <w:r w:rsidRPr="00671AE1">
        <w:t>Radiographic data indicated a maintained reduction in joint damage (</w:t>
      </w:r>
      <w:proofErr w:type="spellStart"/>
      <w:r w:rsidRPr="00671AE1">
        <w:t>mTSS</w:t>
      </w:r>
      <w:proofErr w:type="spellEnd"/>
      <w:r w:rsidRPr="00671AE1">
        <w:t xml:space="preserve">) when treated with TCZ 8 </w:t>
      </w:r>
      <w:r w:rsidRPr="0076622B">
        <w:t>mg</w:t>
      </w:r>
      <w:r w:rsidRPr="00671AE1">
        <w:t>/kg</w:t>
      </w:r>
      <w:r w:rsidR="0076622B">
        <w:t xml:space="preserve"> </w:t>
      </w:r>
      <w:r w:rsidRPr="00671AE1">
        <w:t>+</w:t>
      </w:r>
      <w:r w:rsidR="0076622B">
        <w:t xml:space="preserve"> </w:t>
      </w:r>
      <w:r w:rsidRPr="00671AE1">
        <w:t>MTX.</w:t>
      </w:r>
    </w:p>
    <w:p w:rsidR="00D05CC1" w:rsidRPr="00671AE1" w:rsidRDefault="00D05CC1" w:rsidP="007D7389">
      <w:pPr>
        <w:pStyle w:val="ListBullet"/>
      </w:pPr>
      <w:r w:rsidRPr="00671AE1">
        <w:t xml:space="preserve">No new safety signals were evident in this early RA population when treated with TCZ for two </w:t>
      </w:r>
      <w:r w:rsidRPr="0076622B">
        <w:t>years</w:t>
      </w:r>
      <w:r w:rsidRPr="00671AE1">
        <w:t>.</w:t>
      </w:r>
    </w:p>
    <w:p w:rsidR="00D05CC1" w:rsidRPr="00671AE1" w:rsidRDefault="00D05CC1" w:rsidP="007D7389">
      <w:pPr>
        <w:pStyle w:val="Heading4"/>
      </w:pPr>
      <w:bookmarkStart w:id="141" w:name="_Toc272414710"/>
      <w:bookmarkStart w:id="142" w:name="_Toc290846350"/>
      <w:bookmarkStart w:id="143" w:name="_Toc389033050"/>
      <w:bookmarkStart w:id="144" w:name="_Toc405552027"/>
      <w:r w:rsidRPr="00671AE1">
        <w:t>Second round assessment of risks</w:t>
      </w:r>
      <w:bookmarkEnd w:id="141"/>
      <w:bookmarkEnd w:id="142"/>
      <w:bookmarkEnd w:id="143"/>
      <w:bookmarkEnd w:id="144"/>
    </w:p>
    <w:p w:rsidR="00D05CC1" w:rsidRPr="00671AE1" w:rsidRDefault="00D05CC1" w:rsidP="007D7389">
      <w:r w:rsidRPr="00671AE1">
        <w:t xml:space="preserve">After review of data submitted following the first round of evaluation, the risks of </w:t>
      </w:r>
      <w:r w:rsidR="006C365B" w:rsidRPr="006C365B">
        <w:t>TCZ</w:t>
      </w:r>
      <w:r w:rsidRPr="00671AE1">
        <w:t xml:space="preserve"> remain unchanged from that listed </w:t>
      </w:r>
      <w:r w:rsidR="0076622B">
        <w:t xml:space="preserve">under </w:t>
      </w:r>
      <w:r w:rsidR="0076622B" w:rsidRPr="0076622B">
        <w:rPr>
          <w:i/>
        </w:rPr>
        <w:t xml:space="preserve">First </w:t>
      </w:r>
      <w:r w:rsidRPr="0076622B">
        <w:rPr>
          <w:i/>
        </w:rPr>
        <w:t>round assessment of risks</w:t>
      </w:r>
      <w:r w:rsidR="0076622B" w:rsidRPr="0076622B">
        <w:t xml:space="preserve"> </w:t>
      </w:r>
      <w:r w:rsidR="0076622B">
        <w:t>above</w:t>
      </w:r>
      <w:r w:rsidRPr="00671AE1">
        <w:t>.</w:t>
      </w:r>
    </w:p>
    <w:p w:rsidR="00D05CC1" w:rsidRPr="00671AE1" w:rsidRDefault="00D05CC1" w:rsidP="007D7389">
      <w:pPr>
        <w:pStyle w:val="Heading4"/>
      </w:pPr>
      <w:bookmarkStart w:id="145" w:name="_Toc272414711"/>
      <w:bookmarkStart w:id="146" w:name="_Toc290846351"/>
      <w:bookmarkStart w:id="147" w:name="_Toc389033051"/>
      <w:bookmarkStart w:id="148" w:name="_Toc405552028"/>
      <w:r w:rsidRPr="00671AE1">
        <w:t>Second round assessment of benefit-risk balance</w:t>
      </w:r>
      <w:bookmarkEnd w:id="145"/>
      <w:bookmarkEnd w:id="146"/>
      <w:bookmarkEnd w:id="147"/>
      <w:bookmarkEnd w:id="148"/>
    </w:p>
    <w:p w:rsidR="00D05CC1" w:rsidRPr="0076622B" w:rsidRDefault="00D05CC1" w:rsidP="007D7389">
      <w:r w:rsidRPr="0076622B">
        <w:t>In patients with early moderate to severe RA who are MTX</w:t>
      </w:r>
      <w:r w:rsidR="009C63CE">
        <w:t xml:space="preserve"> </w:t>
      </w:r>
      <w:r w:rsidRPr="0076622B">
        <w:t xml:space="preserve">naïve, the data from the final study report of WA19926 indicated that the efficacy achieved after one year of treatment with </w:t>
      </w:r>
      <w:r w:rsidR="0076622B">
        <w:t xml:space="preserve">TCZ </w:t>
      </w:r>
      <w:r w:rsidRPr="0076622B">
        <w:t>was maintained dur</w:t>
      </w:r>
      <w:r w:rsidR="0076622B">
        <w:t xml:space="preserve">ing the second treatment year. </w:t>
      </w:r>
      <w:r w:rsidRPr="0076622B">
        <w:t xml:space="preserve">While the analysis was exploratory and there was no formal statistical testing, the data were consistent across efficacy endpoints of DAS28, ACR 20/50/70 and HAQ-DI. Consistent with data after year </w:t>
      </w:r>
      <w:r w:rsidRPr="0076622B">
        <w:lastRenderedPageBreak/>
        <w:t>one of treatment, the efficacy remained greatest with the TCZ 8</w:t>
      </w:r>
      <w:r w:rsidR="0076622B">
        <w:t xml:space="preserve"> </w:t>
      </w:r>
      <w:r w:rsidRPr="0076622B">
        <w:t>mg/kg</w:t>
      </w:r>
      <w:r w:rsidR="0076622B">
        <w:t xml:space="preserve"> </w:t>
      </w:r>
      <w:r w:rsidRPr="0076622B">
        <w:t>+</w:t>
      </w:r>
      <w:r w:rsidR="0076622B">
        <w:t xml:space="preserve"> </w:t>
      </w:r>
      <w:r w:rsidRPr="0076622B">
        <w:t>MTX treatment regimen. There was, however, no further improvement in efficacy with ongoing treatment.</w:t>
      </w:r>
    </w:p>
    <w:p w:rsidR="00D05CC1" w:rsidRPr="0076622B" w:rsidRDefault="00D05CC1" w:rsidP="007D7389">
      <w:r w:rsidRPr="0076622B">
        <w:t xml:space="preserve">The impact on joint damage that was noted in year one was found to be maintained during year two. Radiographic data showed that the mean change from baseline in </w:t>
      </w:r>
      <w:proofErr w:type="spellStart"/>
      <w:r w:rsidRPr="0076622B">
        <w:t>mTSS</w:t>
      </w:r>
      <w:proofErr w:type="spellEnd"/>
      <w:r w:rsidRPr="0076622B">
        <w:t xml:space="preserve"> score remained steady in the second year of treatment in the TCZ 8</w:t>
      </w:r>
      <w:r w:rsidR="0076622B">
        <w:t xml:space="preserve"> </w:t>
      </w:r>
      <w:r w:rsidRPr="0076622B">
        <w:t>mg/kg</w:t>
      </w:r>
      <w:r w:rsidR="0076622B">
        <w:t xml:space="preserve"> </w:t>
      </w:r>
      <w:r w:rsidRPr="0076622B">
        <w:t>+</w:t>
      </w:r>
      <w:r w:rsidR="0076622B">
        <w:t xml:space="preserve"> </w:t>
      </w:r>
      <w:r w:rsidRPr="0076622B">
        <w:t>MTX group. The effect was less notable in the TCZ 8</w:t>
      </w:r>
      <w:r w:rsidR="0076622B">
        <w:t xml:space="preserve"> </w:t>
      </w:r>
      <w:r w:rsidRPr="0076622B">
        <w:t>mg/kg monotherapy group and, due to the lack of statistically significant result in year one in this group, no formal conclusions can be drawn on the TCZ monotherapy regimen.</w:t>
      </w:r>
    </w:p>
    <w:p w:rsidR="00D05CC1" w:rsidRPr="0076622B" w:rsidRDefault="00D05CC1" w:rsidP="007D7389">
      <w:r w:rsidRPr="0076622B">
        <w:t>Data on the TCZ 4</w:t>
      </w:r>
      <w:r w:rsidR="00D8522E">
        <w:t xml:space="preserve"> </w:t>
      </w:r>
      <w:r w:rsidRPr="0076622B">
        <w:t>mg/kg</w:t>
      </w:r>
      <w:r w:rsidR="0076622B">
        <w:t xml:space="preserve"> </w:t>
      </w:r>
      <w:r w:rsidRPr="0076622B">
        <w:t>+</w:t>
      </w:r>
      <w:r w:rsidR="0076622B">
        <w:t xml:space="preserve"> </w:t>
      </w:r>
      <w:r w:rsidRPr="0076622B">
        <w:t>MTX and placebo</w:t>
      </w:r>
      <w:r w:rsidR="0076622B">
        <w:t xml:space="preserve"> </w:t>
      </w:r>
      <w:r w:rsidRPr="0076622B">
        <w:t>+</w:t>
      </w:r>
      <w:r w:rsidR="0076622B">
        <w:t xml:space="preserve"> </w:t>
      </w:r>
      <w:r w:rsidRPr="0076622B">
        <w:t>MTX groups are difficult to interpret due to the study design and use of the so-called escape therapy of TCZ 8</w:t>
      </w:r>
      <w:r w:rsidR="0076622B">
        <w:t xml:space="preserve"> </w:t>
      </w:r>
      <w:r w:rsidRPr="0076622B">
        <w:t>mg/kg</w:t>
      </w:r>
      <w:r w:rsidR="0076622B">
        <w:t xml:space="preserve"> </w:t>
      </w:r>
      <w:r w:rsidRPr="0076622B">
        <w:t>+</w:t>
      </w:r>
      <w:r w:rsidR="0076622B">
        <w:t xml:space="preserve"> </w:t>
      </w:r>
      <w:r w:rsidRPr="0076622B">
        <w:t xml:space="preserve">MTX in non-responders. For example the high number of subjects with </w:t>
      </w:r>
      <w:proofErr w:type="spellStart"/>
      <w:r w:rsidRPr="0076622B">
        <w:t>imputated</w:t>
      </w:r>
      <w:proofErr w:type="spellEnd"/>
      <w:r w:rsidRPr="0076622B">
        <w:t xml:space="preserve"> values on radiographic data in these groups (51% of the TCZ 4</w:t>
      </w:r>
      <w:r w:rsidR="0076622B">
        <w:t xml:space="preserve"> </w:t>
      </w:r>
      <w:r w:rsidRPr="0076622B">
        <w:t>mg/kg</w:t>
      </w:r>
      <w:r w:rsidR="0076622B">
        <w:t xml:space="preserve"> </w:t>
      </w:r>
      <w:r w:rsidRPr="0076622B">
        <w:t>+</w:t>
      </w:r>
      <w:r w:rsidR="0076622B">
        <w:t xml:space="preserve"> </w:t>
      </w:r>
      <w:r w:rsidRPr="0076622B">
        <w:t>MTX group) makes interpretation of results difficult.</w:t>
      </w:r>
    </w:p>
    <w:p w:rsidR="00D05CC1" w:rsidRPr="0076622B" w:rsidRDefault="00D05CC1" w:rsidP="007D7389">
      <w:r w:rsidRPr="0076622B">
        <w:t xml:space="preserve">The safety database included 682 </w:t>
      </w:r>
      <w:r w:rsidR="008C562E">
        <w:t xml:space="preserve">PY </w:t>
      </w:r>
      <w:r w:rsidRPr="0076622B">
        <w:t>of treatment with TCZ 8</w:t>
      </w:r>
      <w:r w:rsidR="0076622B">
        <w:t xml:space="preserve"> </w:t>
      </w:r>
      <w:r w:rsidRPr="0076622B">
        <w:t>mg/kg</w:t>
      </w:r>
      <w:r w:rsidR="0076622B">
        <w:t xml:space="preserve"> </w:t>
      </w:r>
      <w:r w:rsidRPr="0076622B">
        <w:t>+</w:t>
      </w:r>
      <w:r w:rsidR="0076622B">
        <w:t xml:space="preserve"> </w:t>
      </w:r>
      <w:r w:rsidRPr="0076622B">
        <w:t>MTX. There were no new safety signals identified and the profile of events was consistent with data from the first treatment year. The rate of AEs was higher with the lower TCZ dose (4</w:t>
      </w:r>
      <w:r w:rsidR="0076622B">
        <w:t> </w:t>
      </w:r>
      <w:r w:rsidRPr="0076622B">
        <w:t>mg/kg</w:t>
      </w:r>
      <w:r w:rsidR="0076622B">
        <w:t xml:space="preserve"> </w:t>
      </w:r>
      <w:r w:rsidRPr="0076622B">
        <w:t>+</w:t>
      </w:r>
      <w:r w:rsidR="0076622B">
        <w:t xml:space="preserve"> </w:t>
      </w:r>
      <w:r w:rsidRPr="0076622B">
        <w:t xml:space="preserve">MTX) and there is no clear explanation for this. Laboratory parameter changes remained relatively stable over the second year of treatment. When analysed in 6 monthly intervals, there was also no evidence for an increase in AE rates over time. The highest rates remain in </w:t>
      </w:r>
      <w:r w:rsidR="0076622B">
        <w:t>the first 6 months of treatment;</w:t>
      </w:r>
      <w:r w:rsidRPr="0076622B">
        <w:t xml:space="preserve"> nonetheless, the risks of </w:t>
      </w:r>
      <w:r w:rsidR="0076622B">
        <w:t xml:space="preserve">TCZ </w:t>
      </w:r>
      <w:r w:rsidRPr="0076622B">
        <w:t>are ever present after two years of treatment.</w:t>
      </w:r>
    </w:p>
    <w:p w:rsidR="00D05CC1" w:rsidRPr="0076622B" w:rsidRDefault="00D05CC1" w:rsidP="007D7389">
      <w:r w:rsidRPr="0076622B">
        <w:t>Safety in patients switching to TCZ 8</w:t>
      </w:r>
      <w:r w:rsidR="0076622B">
        <w:t xml:space="preserve"> </w:t>
      </w:r>
      <w:r w:rsidRPr="0076622B">
        <w:t>mg/kg</w:t>
      </w:r>
      <w:r w:rsidR="0076622B">
        <w:t xml:space="preserve"> </w:t>
      </w:r>
      <w:r w:rsidRPr="0076622B">
        <w:t>+</w:t>
      </w:r>
      <w:r w:rsidR="0076622B">
        <w:t xml:space="preserve"> </w:t>
      </w:r>
      <w:r w:rsidRPr="0076622B">
        <w:t>MTX was in line with what would be expected from this higher dose combination and it appears that switching treatment was tolerated.</w:t>
      </w:r>
    </w:p>
    <w:p w:rsidR="00D05CC1" w:rsidRPr="0076622B" w:rsidRDefault="00D05CC1" w:rsidP="007D7389">
      <w:r w:rsidRPr="0076622B">
        <w:t xml:space="preserve">Overall, in the early RA population after two years treatment, efficacy of </w:t>
      </w:r>
      <w:r w:rsidR="0076622B">
        <w:t xml:space="preserve">TCZ </w:t>
      </w:r>
      <w:r w:rsidRPr="0076622B">
        <w:t xml:space="preserve">with </w:t>
      </w:r>
      <w:r w:rsidR="0076622B">
        <w:t xml:space="preserve">MTX </w:t>
      </w:r>
      <w:r w:rsidRPr="0076622B">
        <w:t xml:space="preserve">was maintained and the safety risks were stable indicating little change in the benefit-risk balance for </w:t>
      </w:r>
      <w:r w:rsidR="0076622B">
        <w:t xml:space="preserve">TCZ </w:t>
      </w:r>
      <w:r w:rsidRPr="0076622B">
        <w:t xml:space="preserve">from that discussed after the first round assessment. The </w:t>
      </w:r>
      <w:r w:rsidR="0076622B">
        <w:t>s</w:t>
      </w:r>
      <w:r w:rsidRPr="0076622B">
        <w:t>ponsor has also satisfactorily addressed the requested changes to the PI.</w:t>
      </w:r>
    </w:p>
    <w:p w:rsidR="00D05CC1" w:rsidRDefault="00D05CC1" w:rsidP="007D7389">
      <w:pPr>
        <w:pStyle w:val="Heading3"/>
      </w:pPr>
      <w:bookmarkStart w:id="149" w:name="_Toc405552029"/>
      <w:bookmarkStart w:id="150" w:name="_Toc412444412"/>
      <w:r>
        <w:t>Second round recommendation regarding authorisation</w:t>
      </w:r>
      <w:bookmarkEnd w:id="149"/>
      <w:bookmarkEnd w:id="150"/>
    </w:p>
    <w:p w:rsidR="00D05CC1" w:rsidRPr="00671AE1" w:rsidRDefault="00D05CC1" w:rsidP="007D7389">
      <w:r w:rsidRPr="00671AE1">
        <w:t xml:space="preserve">After the second round of evaluation, the evaluator recommends approval of the proposed changes </w:t>
      </w:r>
      <w:r w:rsidR="00BF4379">
        <w:t xml:space="preserve">(shown in bold font) </w:t>
      </w:r>
      <w:r w:rsidRPr="00671AE1">
        <w:t xml:space="preserve">to the </w:t>
      </w:r>
      <w:r w:rsidR="00BF4379">
        <w:t xml:space="preserve">indication </w:t>
      </w:r>
      <w:r w:rsidRPr="00671AE1">
        <w:t xml:space="preserve">for </w:t>
      </w:r>
      <w:r w:rsidR="006C365B" w:rsidRPr="006C365B">
        <w:t>TCZ</w:t>
      </w:r>
      <w:r w:rsidRPr="00671AE1">
        <w:t xml:space="preserve"> IV infusion:</w:t>
      </w:r>
    </w:p>
    <w:p w:rsidR="00D05CC1" w:rsidRPr="00DE4E2C" w:rsidRDefault="00D05CC1" w:rsidP="00D05CC1">
      <w:pPr>
        <w:ind w:left="720"/>
        <w:rPr>
          <w:i/>
        </w:rPr>
      </w:pPr>
      <w:r w:rsidRPr="00DE4E2C">
        <w:rPr>
          <w:i/>
        </w:rPr>
        <w:t>Rheumatoid Arthritis</w:t>
      </w:r>
    </w:p>
    <w:p w:rsidR="00D05CC1" w:rsidRPr="00DE4E2C" w:rsidRDefault="00D05CC1" w:rsidP="00D05CC1">
      <w:pPr>
        <w:ind w:left="720"/>
        <w:rPr>
          <w:i/>
        </w:rPr>
      </w:pPr>
      <w:r w:rsidRPr="00DE4E2C">
        <w:rPr>
          <w:i/>
        </w:rPr>
        <w:t>A</w:t>
      </w:r>
      <w:r w:rsidR="00130F50">
        <w:rPr>
          <w:i/>
        </w:rPr>
        <w:t xml:space="preserve">ctemra </w:t>
      </w:r>
      <w:r w:rsidRPr="00DE4E2C">
        <w:rPr>
          <w:i/>
        </w:rPr>
        <w:t>is indicated for the treatment of moderate to severe active rheumatoid arthritis (RA) in adult patients:</w:t>
      </w:r>
    </w:p>
    <w:p w:rsidR="00D05CC1" w:rsidRPr="00DE4E2C" w:rsidRDefault="00D05CC1" w:rsidP="00D05CC1">
      <w:pPr>
        <w:ind w:left="720"/>
        <w:rPr>
          <w:i/>
        </w:rPr>
      </w:pPr>
      <w:proofErr w:type="gramStart"/>
      <w:r w:rsidRPr="007D7389">
        <w:rPr>
          <w:b/>
          <w:i/>
        </w:rPr>
        <w:t>in</w:t>
      </w:r>
      <w:proofErr w:type="gramEnd"/>
      <w:r w:rsidRPr="007D7389">
        <w:rPr>
          <w:b/>
          <w:i/>
        </w:rPr>
        <w:t xml:space="preserve"> combination with methotrexate (MTX) in those not previously treated with MTX</w:t>
      </w:r>
      <w:r w:rsidRPr="00DE4E2C">
        <w:rPr>
          <w:i/>
        </w:rPr>
        <w:t>;</w:t>
      </w:r>
    </w:p>
    <w:p w:rsidR="00D05CC1" w:rsidRPr="00671AE1" w:rsidRDefault="00BF4379" w:rsidP="007D7389">
      <w:r>
        <w:t>The s</w:t>
      </w:r>
      <w:r w:rsidR="00D05CC1" w:rsidRPr="00671AE1">
        <w:t>ponsor has withdrawn the proposed change to the indication in relation to monotherapy efficacy in joint damage reduction.</w:t>
      </w:r>
    </w:p>
    <w:p w:rsidR="008E7846" w:rsidRPr="00E41208" w:rsidRDefault="008E7846" w:rsidP="00F458A1">
      <w:pPr>
        <w:pStyle w:val="Heading2"/>
      </w:pPr>
      <w:bookmarkStart w:id="151" w:name="_Toc412444413"/>
      <w:r w:rsidRPr="00E41208">
        <w:t xml:space="preserve">V. Pharmacovigilance </w:t>
      </w:r>
      <w:r>
        <w:t>f</w:t>
      </w:r>
      <w:r w:rsidRPr="00E41208">
        <w:t>indings</w:t>
      </w:r>
      <w:bookmarkEnd w:id="105"/>
      <w:bookmarkEnd w:id="106"/>
      <w:bookmarkEnd w:id="151"/>
    </w:p>
    <w:p w:rsidR="008E7846" w:rsidRDefault="00386150" w:rsidP="00F458A1">
      <w:pPr>
        <w:pStyle w:val="Heading3"/>
        <w:rPr>
          <w:lang w:eastAsia="en-AU"/>
        </w:rPr>
      </w:pPr>
      <w:bookmarkStart w:id="152" w:name="_Toc247691526"/>
      <w:bookmarkStart w:id="153" w:name="_Toc314842509"/>
      <w:bookmarkStart w:id="154" w:name="_Toc412444414"/>
      <w:r>
        <w:rPr>
          <w:lang w:eastAsia="en-AU"/>
        </w:rPr>
        <w:t>Risk m</w:t>
      </w:r>
      <w:r w:rsidR="008E7846">
        <w:rPr>
          <w:lang w:eastAsia="en-AU"/>
        </w:rPr>
        <w:t xml:space="preserve">anagement </w:t>
      </w:r>
      <w:r>
        <w:rPr>
          <w:lang w:eastAsia="en-AU"/>
        </w:rPr>
        <w:t>p</w:t>
      </w:r>
      <w:r w:rsidR="008E7846">
        <w:rPr>
          <w:lang w:eastAsia="en-AU"/>
        </w:rPr>
        <w:t>lan</w:t>
      </w:r>
      <w:bookmarkEnd w:id="152"/>
      <w:bookmarkEnd w:id="153"/>
      <w:bookmarkEnd w:id="154"/>
    </w:p>
    <w:p w:rsidR="00DA581A" w:rsidRPr="00DA581A" w:rsidRDefault="00216828" w:rsidP="00F458A1">
      <w:r>
        <w:t xml:space="preserve">A number of Risk Management Plans (RMPs) regarding </w:t>
      </w:r>
      <w:r w:rsidR="00DA581A" w:rsidRPr="00DA581A">
        <w:t>A</w:t>
      </w:r>
      <w:r>
        <w:t xml:space="preserve">ctemra have been evaluated by the TGA since Actemra was </w:t>
      </w:r>
      <w:r w:rsidR="00EE276C">
        <w:t xml:space="preserve">first </w:t>
      </w:r>
      <w:r w:rsidR="00DA581A" w:rsidRPr="00DA581A">
        <w:t xml:space="preserve">approved for registration in Australia </w:t>
      </w:r>
      <w:r>
        <w:t xml:space="preserve">in </w:t>
      </w:r>
      <w:r w:rsidR="00DA581A" w:rsidRPr="00DA581A">
        <w:t>May 2009</w:t>
      </w:r>
      <w:r>
        <w:t xml:space="preserve">. </w:t>
      </w:r>
      <w:r w:rsidR="00DA581A" w:rsidRPr="00DA581A">
        <w:t xml:space="preserve">The sponsor has now submitted the EU-RMP Version: 15.0 (dated May 2013) with </w:t>
      </w:r>
      <w:r>
        <w:t xml:space="preserve">Australian </w:t>
      </w:r>
      <w:r>
        <w:lastRenderedPageBreak/>
        <w:t>Specific Annex (</w:t>
      </w:r>
      <w:r w:rsidR="00DA581A" w:rsidRPr="00DA581A">
        <w:t>ASA</w:t>
      </w:r>
      <w:r>
        <w:t>)</w:t>
      </w:r>
      <w:r w:rsidR="00DA581A" w:rsidRPr="00DA581A">
        <w:t xml:space="preserve"> Version: 3.0 (dated September 2013) in support of the current </w:t>
      </w:r>
      <w:r>
        <w:t xml:space="preserve">application. </w:t>
      </w:r>
      <w:r w:rsidR="00DA581A" w:rsidRPr="00DA581A">
        <w:t xml:space="preserve">It is in this context, with consideration of material changes to the </w:t>
      </w:r>
      <w:r>
        <w:t xml:space="preserve">most recent </w:t>
      </w:r>
      <w:r w:rsidR="00DA581A" w:rsidRPr="00DA581A">
        <w:t>previously accepted EU-RMP</w:t>
      </w:r>
      <w:r w:rsidR="00EE276C">
        <w:t>:</w:t>
      </w:r>
      <w:r w:rsidR="00DA581A" w:rsidRPr="00DA581A">
        <w:t xml:space="preserve"> Version: 13.0 with an ASA Version: 1.0, as they pertain to the proposed extension of RA indications, that these documents have been reviewed </w:t>
      </w:r>
      <w:r>
        <w:t>by the TGA Office of Product Review (OPR)</w:t>
      </w:r>
      <w:r w:rsidR="00DA581A" w:rsidRPr="00DA581A">
        <w:t>.</w:t>
      </w:r>
    </w:p>
    <w:p w:rsidR="008E7846" w:rsidRDefault="003A7F6C" w:rsidP="00F458A1">
      <w:pPr>
        <w:pStyle w:val="Heading4"/>
        <w:rPr>
          <w:lang w:eastAsia="en-AU"/>
        </w:rPr>
      </w:pPr>
      <w:r>
        <w:rPr>
          <w:lang w:eastAsia="en-AU"/>
        </w:rPr>
        <w:t>Safety s</w:t>
      </w:r>
      <w:r w:rsidR="008E7846">
        <w:rPr>
          <w:lang w:eastAsia="en-AU"/>
        </w:rPr>
        <w:t>pecification</w:t>
      </w:r>
    </w:p>
    <w:p w:rsidR="008E7846" w:rsidRDefault="008E7846" w:rsidP="00F458A1">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t>
      </w:r>
      <w:r w:rsidR="00BC7C39">
        <w:rPr>
          <w:lang w:eastAsia="en-AU"/>
        </w:rPr>
        <w:t xml:space="preserve">in adults and children </w:t>
      </w:r>
      <w:r>
        <w:rPr>
          <w:lang w:eastAsia="en-AU"/>
        </w:rPr>
        <w:t xml:space="preserve">which are shown at Table </w:t>
      </w:r>
      <w:r w:rsidR="004279F8">
        <w:rPr>
          <w:lang w:eastAsia="en-AU"/>
        </w:rPr>
        <w:t>4</w:t>
      </w:r>
      <w:r w:rsidR="00811636">
        <w:rPr>
          <w:lang w:eastAsia="en-AU"/>
        </w:rPr>
        <w:t xml:space="preserve"> and Table </w:t>
      </w:r>
      <w:r w:rsidR="004279F8">
        <w:rPr>
          <w:lang w:eastAsia="en-AU"/>
        </w:rPr>
        <w:t>5</w:t>
      </w:r>
      <w:r w:rsidR="00F458A1">
        <w:rPr>
          <w:lang w:eastAsia="en-AU"/>
        </w:rPr>
        <w:t>, respectively.</w:t>
      </w:r>
    </w:p>
    <w:p w:rsidR="008E7846" w:rsidRPr="004228F2" w:rsidRDefault="004279F8" w:rsidP="00F458A1">
      <w:pPr>
        <w:pStyle w:val="TableTitle"/>
      </w:pPr>
      <w:r>
        <w:t>Table 4</w:t>
      </w:r>
      <w:r w:rsidR="00811636" w:rsidRPr="004228F2">
        <w:t xml:space="preserve">: Summary of </w:t>
      </w:r>
      <w:r w:rsidR="00F458A1">
        <w:t>o</w:t>
      </w:r>
      <w:r w:rsidR="00811636" w:rsidRPr="004228F2">
        <w:t xml:space="preserve">ngoing </w:t>
      </w:r>
      <w:r w:rsidR="00F458A1">
        <w:t>s</w:t>
      </w:r>
      <w:r w:rsidR="00811636" w:rsidRPr="004228F2">
        <w:t xml:space="preserve">afety </w:t>
      </w:r>
      <w:r w:rsidR="00F458A1">
        <w:t>c</w:t>
      </w:r>
      <w:r w:rsidR="00811636" w:rsidRPr="004228F2">
        <w:t xml:space="preserve">oncerns </w:t>
      </w:r>
      <w:r w:rsidR="004228F2" w:rsidRPr="004228F2">
        <w:t xml:space="preserve">in </w:t>
      </w:r>
      <w:r w:rsidR="004228F2">
        <w:t>adult</w:t>
      </w:r>
      <w:r w:rsidR="004228F2" w:rsidRPr="004228F2">
        <w:t xml:space="preserve"> patients</w:t>
      </w:r>
    </w:p>
    <w:tbl>
      <w:tblPr>
        <w:tblStyle w:val="TableTGAblue"/>
        <w:tblW w:w="0" w:type="auto"/>
        <w:tblLook w:val="04A0" w:firstRow="1" w:lastRow="0" w:firstColumn="1" w:lastColumn="0" w:noHBand="0" w:noVBand="1"/>
      </w:tblPr>
      <w:tblGrid>
        <w:gridCol w:w="2977"/>
        <w:gridCol w:w="5245"/>
      </w:tblGrid>
      <w:tr w:rsidR="00811636" w:rsidRPr="00172C1E" w:rsidTr="00F458A1">
        <w:trPr>
          <w:cnfStyle w:val="100000000000" w:firstRow="1" w:lastRow="0" w:firstColumn="0" w:lastColumn="0" w:oddVBand="0" w:evenVBand="0" w:oddHBand="0" w:evenHBand="0" w:firstRowFirstColumn="0" w:firstRowLastColumn="0" w:lastRowFirstColumn="0" w:lastRowLastColumn="0"/>
        </w:trPr>
        <w:tc>
          <w:tcPr>
            <w:tcW w:w="2977" w:type="dxa"/>
          </w:tcPr>
          <w:p w:rsidR="00811636" w:rsidRPr="00172C1E" w:rsidRDefault="00811636" w:rsidP="00172C1E">
            <w:pPr>
              <w:ind w:left="0" w:right="0"/>
            </w:pPr>
            <w:r w:rsidRPr="00172C1E">
              <w:t>Category</w:t>
            </w:r>
          </w:p>
        </w:tc>
        <w:tc>
          <w:tcPr>
            <w:tcW w:w="5245" w:type="dxa"/>
          </w:tcPr>
          <w:p w:rsidR="00811636" w:rsidRPr="00172C1E" w:rsidRDefault="00811636" w:rsidP="00172C1E">
            <w:pPr>
              <w:ind w:left="0" w:right="0"/>
            </w:pPr>
            <w:r w:rsidRPr="00172C1E">
              <w:t>Safety Concern</w:t>
            </w:r>
          </w:p>
        </w:tc>
      </w:tr>
      <w:tr w:rsidR="004228F2" w:rsidRPr="00172C1E" w:rsidTr="00F458A1">
        <w:tc>
          <w:tcPr>
            <w:tcW w:w="2977" w:type="dxa"/>
            <w:vMerge w:val="restart"/>
          </w:tcPr>
          <w:p w:rsidR="004228F2" w:rsidRPr="00172C1E" w:rsidRDefault="004228F2" w:rsidP="00172C1E">
            <w:pPr>
              <w:ind w:left="0" w:right="0"/>
            </w:pPr>
            <w:r w:rsidRPr="00172C1E">
              <w:t>Important Identified Risks</w:t>
            </w:r>
          </w:p>
        </w:tc>
        <w:tc>
          <w:tcPr>
            <w:tcW w:w="5245" w:type="dxa"/>
          </w:tcPr>
          <w:p w:rsidR="004228F2" w:rsidRPr="00172C1E" w:rsidRDefault="004228F2" w:rsidP="00172C1E">
            <w:pPr>
              <w:ind w:left="0" w:right="0"/>
            </w:pPr>
            <w:r w:rsidRPr="00172C1E">
              <w:t>Serious infection</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Complications of diverticulitis</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Serious hypersensitivity reactions</w:t>
            </w:r>
          </w:p>
        </w:tc>
      </w:tr>
      <w:tr w:rsidR="004228F2" w:rsidRPr="00172C1E" w:rsidTr="00F458A1">
        <w:tc>
          <w:tcPr>
            <w:tcW w:w="2977" w:type="dxa"/>
            <w:vMerge w:val="restart"/>
          </w:tcPr>
          <w:p w:rsidR="004228F2" w:rsidRPr="00172C1E" w:rsidRDefault="004228F2" w:rsidP="00172C1E">
            <w:pPr>
              <w:ind w:left="0" w:right="0"/>
            </w:pPr>
            <w:r w:rsidRPr="00172C1E">
              <w:t>Important Potential Risks</w:t>
            </w:r>
          </w:p>
        </w:tc>
        <w:tc>
          <w:tcPr>
            <w:tcW w:w="5245" w:type="dxa"/>
          </w:tcPr>
          <w:p w:rsidR="004228F2" w:rsidRPr="00172C1E" w:rsidRDefault="004228F2" w:rsidP="00172C1E">
            <w:pPr>
              <w:ind w:left="0" w:right="0"/>
            </w:pPr>
            <w:r w:rsidRPr="00172C1E">
              <w:t>Neutropenia and the potential risk of infections</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Thrombocytopenia and the potential risk of bleeding</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Liver enzyme elevations and bilirubin elevations and the potential risk of hepatotoxicity</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Elevated lipid levels and the potential risk of cardiovascular and cerebrovascular events</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Malignancies</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Demyelinating disorders</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Immunogenicity</w:t>
            </w:r>
          </w:p>
        </w:tc>
      </w:tr>
      <w:tr w:rsidR="004228F2" w:rsidRPr="00172C1E" w:rsidTr="00F458A1">
        <w:tc>
          <w:tcPr>
            <w:tcW w:w="2977" w:type="dxa"/>
            <w:vMerge w:val="restart"/>
          </w:tcPr>
          <w:p w:rsidR="004228F2" w:rsidRPr="00172C1E" w:rsidRDefault="004228F2" w:rsidP="00172C1E">
            <w:pPr>
              <w:ind w:left="0" w:right="0"/>
            </w:pPr>
            <w:r w:rsidRPr="00172C1E">
              <w:t>Important missing information</w:t>
            </w:r>
          </w:p>
        </w:tc>
        <w:tc>
          <w:tcPr>
            <w:tcW w:w="5245" w:type="dxa"/>
          </w:tcPr>
          <w:p w:rsidR="004228F2" w:rsidRPr="00172C1E" w:rsidRDefault="004228F2" w:rsidP="00172C1E">
            <w:pPr>
              <w:ind w:left="0" w:right="0"/>
            </w:pPr>
            <w:r w:rsidRPr="00172C1E">
              <w:t>Elderly</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Paediatric patients</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Effects during pregnancy</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Hepatic impairment</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Renal impairment</w:t>
            </w:r>
          </w:p>
        </w:tc>
      </w:tr>
      <w:tr w:rsidR="004228F2" w:rsidRPr="00172C1E"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Combination with biologics</w:t>
            </w:r>
          </w:p>
        </w:tc>
      </w:tr>
      <w:tr w:rsidR="00811636" w:rsidRPr="00172C1E" w:rsidTr="00F458A1">
        <w:tc>
          <w:tcPr>
            <w:tcW w:w="2977" w:type="dxa"/>
          </w:tcPr>
          <w:p w:rsidR="00811636" w:rsidRPr="00172C1E" w:rsidRDefault="00811636" w:rsidP="00172C1E">
            <w:pPr>
              <w:ind w:left="0" w:right="0"/>
            </w:pPr>
            <w:r w:rsidRPr="00172C1E">
              <w:t>Identified and potential interactions including food-drug and drug-drug interactions</w:t>
            </w:r>
          </w:p>
        </w:tc>
        <w:tc>
          <w:tcPr>
            <w:tcW w:w="5245" w:type="dxa"/>
          </w:tcPr>
          <w:p w:rsidR="00811636" w:rsidRPr="00172C1E" w:rsidRDefault="00811636" w:rsidP="00172C1E">
            <w:pPr>
              <w:ind w:left="0" w:right="0"/>
            </w:pPr>
            <w:r w:rsidRPr="00172C1E">
              <w:t>CYP450 enzyme normalisation</w:t>
            </w:r>
          </w:p>
        </w:tc>
      </w:tr>
    </w:tbl>
    <w:p w:rsidR="00811636" w:rsidRPr="004228F2" w:rsidRDefault="00811636" w:rsidP="00F458A1">
      <w:pPr>
        <w:pStyle w:val="TableTitle"/>
      </w:pPr>
      <w:r w:rsidRPr="004228F2">
        <w:lastRenderedPageBreak/>
        <w:t xml:space="preserve">Table </w:t>
      </w:r>
      <w:r w:rsidR="004279F8">
        <w:t>5</w:t>
      </w:r>
      <w:r w:rsidR="004228F2" w:rsidRPr="004228F2">
        <w:t>:</w:t>
      </w:r>
      <w:r w:rsidRPr="004228F2">
        <w:t xml:space="preserve"> Summary of </w:t>
      </w:r>
      <w:r w:rsidR="00F458A1">
        <w:t>o</w:t>
      </w:r>
      <w:r w:rsidRPr="004228F2">
        <w:t xml:space="preserve">ngoing </w:t>
      </w:r>
      <w:r w:rsidR="00F458A1">
        <w:t>s</w:t>
      </w:r>
      <w:r w:rsidRPr="004228F2">
        <w:t xml:space="preserve">afety </w:t>
      </w:r>
      <w:r w:rsidR="00F458A1">
        <w:t>c</w:t>
      </w:r>
      <w:r w:rsidRPr="004228F2">
        <w:t xml:space="preserve">oncerns in </w:t>
      </w:r>
      <w:r w:rsidR="00F458A1">
        <w:t>p</w:t>
      </w:r>
      <w:r w:rsidRPr="004228F2">
        <w:t xml:space="preserve">aediatric </w:t>
      </w:r>
      <w:r w:rsidR="00F458A1">
        <w:t>p</w:t>
      </w:r>
      <w:r w:rsidRPr="004228F2">
        <w:t>atients</w:t>
      </w:r>
    </w:p>
    <w:tbl>
      <w:tblPr>
        <w:tblStyle w:val="TableTGAblue"/>
        <w:tblW w:w="0" w:type="auto"/>
        <w:tblLook w:val="04A0" w:firstRow="1" w:lastRow="0" w:firstColumn="1" w:lastColumn="0" w:noHBand="0" w:noVBand="1"/>
      </w:tblPr>
      <w:tblGrid>
        <w:gridCol w:w="2977"/>
        <w:gridCol w:w="5245"/>
      </w:tblGrid>
      <w:tr w:rsidR="004228F2" w:rsidRPr="004228F2" w:rsidTr="00F458A1">
        <w:trPr>
          <w:cnfStyle w:val="100000000000" w:firstRow="1" w:lastRow="0" w:firstColumn="0" w:lastColumn="0" w:oddVBand="0" w:evenVBand="0" w:oddHBand="0" w:evenHBand="0" w:firstRowFirstColumn="0" w:firstRowLastColumn="0" w:lastRowFirstColumn="0" w:lastRowLastColumn="0"/>
        </w:trPr>
        <w:tc>
          <w:tcPr>
            <w:tcW w:w="2977" w:type="dxa"/>
          </w:tcPr>
          <w:p w:rsidR="004228F2" w:rsidRPr="00172C1E" w:rsidRDefault="004228F2" w:rsidP="00172C1E">
            <w:pPr>
              <w:ind w:left="0" w:right="0"/>
              <w:rPr>
                <w:b w:val="0"/>
              </w:rPr>
            </w:pPr>
            <w:r w:rsidRPr="00172C1E">
              <w:rPr>
                <w:b w:val="0"/>
              </w:rPr>
              <w:t>Category</w:t>
            </w:r>
          </w:p>
        </w:tc>
        <w:tc>
          <w:tcPr>
            <w:tcW w:w="5245" w:type="dxa"/>
          </w:tcPr>
          <w:p w:rsidR="004228F2" w:rsidRPr="00172C1E" w:rsidRDefault="004228F2" w:rsidP="00172C1E">
            <w:pPr>
              <w:ind w:left="0" w:right="0"/>
              <w:rPr>
                <w:b w:val="0"/>
              </w:rPr>
            </w:pPr>
          </w:p>
        </w:tc>
      </w:tr>
      <w:tr w:rsidR="004228F2" w:rsidRPr="004228F2" w:rsidTr="00F458A1">
        <w:tc>
          <w:tcPr>
            <w:tcW w:w="2977" w:type="dxa"/>
            <w:vMerge w:val="restart"/>
          </w:tcPr>
          <w:p w:rsidR="004228F2" w:rsidRPr="00172C1E" w:rsidRDefault="004228F2" w:rsidP="00172C1E">
            <w:pPr>
              <w:ind w:left="0" w:right="0"/>
            </w:pPr>
            <w:r w:rsidRPr="00172C1E">
              <w:t>Important Identified Risks</w:t>
            </w:r>
          </w:p>
        </w:tc>
        <w:tc>
          <w:tcPr>
            <w:tcW w:w="5245" w:type="dxa"/>
          </w:tcPr>
          <w:p w:rsidR="004228F2" w:rsidRPr="00172C1E" w:rsidRDefault="004228F2" w:rsidP="00172C1E">
            <w:pPr>
              <w:ind w:left="0" w:right="0"/>
            </w:pPr>
            <w:r w:rsidRPr="00172C1E">
              <w:t>Serious infection</w:t>
            </w:r>
          </w:p>
        </w:tc>
      </w:tr>
      <w:tr w:rsidR="004228F2" w:rsidRPr="004228F2"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Serious hypersensitivity reactions</w:t>
            </w:r>
          </w:p>
        </w:tc>
      </w:tr>
      <w:tr w:rsidR="004228F2" w:rsidRPr="004228F2" w:rsidTr="00F458A1">
        <w:tc>
          <w:tcPr>
            <w:tcW w:w="2977" w:type="dxa"/>
            <w:vMerge w:val="restart"/>
          </w:tcPr>
          <w:p w:rsidR="004228F2" w:rsidRPr="00172C1E" w:rsidRDefault="004228F2" w:rsidP="00172C1E">
            <w:pPr>
              <w:ind w:left="0" w:right="0"/>
            </w:pPr>
            <w:r w:rsidRPr="00172C1E">
              <w:t>Important Potential Risks</w:t>
            </w:r>
          </w:p>
        </w:tc>
        <w:tc>
          <w:tcPr>
            <w:tcW w:w="5245" w:type="dxa"/>
          </w:tcPr>
          <w:p w:rsidR="004228F2" w:rsidRPr="00172C1E" w:rsidRDefault="004228F2" w:rsidP="00172C1E">
            <w:pPr>
              <w:ind w:left="0" w:right="0"/>
            </w:pPr>
            <w:r w:rsidRPr="00172C1E">
              <w:t>Skeletal development</w:t>
            </w:r>
          </w:p>
        </w:tc>
      </w:tr>
      <w:tr w:rsidR="004228F2" w:rsidRPr="004228F2"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Immunogenicity</w:t>
            </w:r>
          </w:p>
        </w:tc>
      </w:tr>
      <w:tr w:rsidR="004228F2" w:rsidRPr="004228F2"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Malignancies</w:t>
            </w:r>
          </w:p>
        </w:tc>
      </w:tr>
      <w:tr w:rsidR="004228F2" w:rsidRPr="004228F2" w:rsidTr="00F458A1">
        <w:tc>
          <w:tcPr>
            <w:tcW w:w="2977" w:type="dxa"/>
            <w:vMerge/>
          </w:tcPr>
          <w:p w:rsidR="004228F2" w:rsidRPr="00172C1E" w:rsidRDefault="004228F2" w:rsidP="00172C1E">
            <w:pPr>
              <w:ind w:left="0" w:right="0"/>
            </w:pPr>
          </w:p>
        </w:tc>
        <w:tc>
          <w:tcPr>
            <w:tcW w:w="5245" w:type="dxa"/>
          </w:tcPr>
          <w:p w:rsidR="004228F2" w:rsidRPr="00172C1E" w:rsidRDefault="004228F2" w:rsidP="00172C1E">
            <w:pPr>
              <w:ind w:left="0" w:right="0"/>
            </w:pPr>
            <w:r w:rsidRPr="00172C1E">
              <w:t>CYP450 enzyme normalisation</w:t>
            </w:r>
          </w:p>
        </w:tc>
      </w:tr>
      <w:tr w:rsidR="004228F2" w:rsidRPr="004228F2" w:rsidTr="00F458A1">
        <w:tc>
          <w:tcPr>
            <w:tcW w:w="2977" w:type="dxa"/>
          </w:tcPr>
          <w:p w:rsidR="004228F2" w:rsidRPr="00172C1E" w:rsidRDefault="004228F2" w:rsidP="00172C1E">
            <w:pPr>
              <w:ind w:left="0" w:right="0"/>
            </w:pPr>
            <w:r w:rsidRPr="00172C1E">
              <w:t>Important missing information</w:t>
            </w:r>
          </w:p>
        </w:tc>
        <w:tc>
          <w:tcPr>
            <w:tcW w:w="5245" w:type="dxa"/>
          </w:tcPr>
          <w:p w:rsidR="004228F2" w:rsidRPr="00172C1E" w:rsidRDefault="00990540" w:rsidP="00172C1E">
            <w:pPr>
              <w:ind w:left="0" w:right="0"/>
            </w:pPr>
            <w:r w:rsidRPr="00172C1E">
              <w:t>Macrophage Activation Syndrome (</w:t>
            </w:r>
            <w:r w:rsidR="004228F2" w:rsidRPr="00172C1E">
              <w:t>MAS</w:t>
            </w:r>
            <w:r w:rsidRPr="00172C1E">
              <w:t>)</w:t>
            </w:r>
            <w:r w:rsidR="004228F2" w:rsidRPr="00172C1E">
              <w:t xml:space="preserve"> in </w:t>
            </w:r>
            <w:proofErr w:type="spellStart"/>
            <w:r w:rsidR="004228F2" w:rsidRPr="00172C1E">
              <w:t>sJIA</w:t>
            </w:r>
            <w:proofErr w:type="spellEnd"/>
            <w:r w:rsidR="004228F2" w:rsidRPr="00172C1E">
              <w:t xml:space="preserve"> patients</w:t>
            </w:r>
          </w:p>
        </w:tc>
      </w:tr>
    </w:tbl>
    <w:p w:rsidR="008E7846" w:rsidRDefault="008E7846" w:rsidP="00F458A1">
      <w:pPr>
        <w:pStyle w:val="Heading4"/>
        <w:rPr>
          <w:lang w:eastAsia="en-AU"/>
        </w:rPr>
      </w:pPr>
      <w:r>
        <w:rPr>
          <w:lang w:eastAsia="en-AU"/>
        </w:rPr>
        <w:t xml:space="preserve">Pharmacovigilance </w:t>
      </w:r>
      <w:r w:rsidR="003A7F6C">
        <w:rPr>
          <w:lang w:eastAsia="en-AU"/>
        </w:rPr>
        <w:t>p</w:t>
      </w:r>
      <w:r>
        <w:rPr>
          <w:lang w:eastAsia="en-AU"/>
        </w:rPr>
        <w:t>lan</w:t>
      </w:r>
    </w:p>
    <w:p w:rsidR="00EE276C" w:rsidRDefault="00392432" w:rsidP="00F458A1">
      <w:r w:rsidRPr="00392432">
        <w:t xml:space="preserve">The sponsor proposes routine pharmacovigilance activities to monitor all the specified ongoing safety concerns, including guided questionnaires for all the specified important </w:t>
      </w:r>
      <w:r w:rsidR="00EE276C">
        <w:t xml:space="preserve">identified and potential risks </w:t>
      </w:r>
      <w:r w:rsidRPr="00392432">
        <w:t>except for</w:t>
      </w:r>
      <w:r w:rsidR="00EE276C">
        <w:t xml:space="preserve"> ‘Immunogenicity’ and</w:t>
      </w:r>
      <w:r w:rsidRPr="00392432">
        <w:t xml:space="preserve"> ‘CYP450 enzyme normalisation’</w:t>
      </w:r>
      <w:r w:rsidR="00EE276C">
        <w:t>)</w:t>
      </w:r>
      <w:r w:rsidRPr="00392432">
        <w:t>.</w:t>
      </w:r>
    </w:p>
    <w:p w:rsidR="008E7846" w:rsidRPr="00392432" w:rsidRDefault="00392432" w:rsidP="00F458A1">
      <w:r w:rsidRPr="00392432">
        <w:t xml:space="preserve">Furthermore additional pharmacovigilance activities </w:t>
      </w:r>
      <w:r w:rsidR="00EE276C">
        <w:t xml:space="preserve">(clinical studies and/or a registry) </w:t>
      </w:r>
      <w:r w:rsidRPr="00392432">
        <w:t xml:space="preserve">are also proposed for all the specified ongoing safety concerns, except for the important missing information: ‘Hepatic impairment’, ‘Renal impairment’ and ‘MAS in </w:t>
      </w:r>
      <w:proofErr w:type="spellStart"/>
      <w:r w:rsidRPr="00392432">
        <w:t>sJIA</w:t>
      </w:r>
      <w:proofErr w:type="spellEnd"/>
      <w:r w:rsidRPr="00392432">
        <w:t xml:space="preserve"> patients’</w:t>
      </w:r>
      <w:r w:rsidR="00F458A1">
        <w:t>.</w:t>
      </w:r>
    </w:p>
    <w:p w:rsidR="008E7846" w:rsidRDefault="008E7846" w:rsidP="00F458A1">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EE276C" w:rsidRDefault="00EE276C" w:rsidP="00F458A1">
      <w:pPr>
        <w:rPr>
          <w:lang w:eastAsia="en-AU"/>
        </w:rPr>
      </w:pPr>
      <w:bookmarkStart w:id="155" w:name="_Toc247691527"/>
      <w:r w:rsidRPr="00EE276C">
        <w:rPr>
          <w:lang w:eastAsia="en-AU"/>
        </w:rPr>
        <w:t>It appear</w:t>
      </w:r>
      <w:r w:rsidR="00906D8E">
        <w:rPr>
          <w:lang w:eastAsia="en-AU"/>
        </w:rPr>
        <w:t>s</w:t>
      </w:r>
      <w:r w:rsidRPr="00EE276C">
        <w:rPr>
          <w:lang w:eastAsia="en-AU"/>
        </w:rPr>
        <w:t xml:space="preserve"> that the sponsor has concluded that routine risk minimisation activities are sufficient for all the specified ongoing safety concerns, except for the important identified risk: ‘Serious hypersensitivity reactions’ for which additional risk minimisation activities are also proposed</w:t>
      </w:r>
      <w:r>
        <w:rPr>
          <w:lang w:eastAsia="en-AU"/>
        </w:rPr>
        <w:t>.</w:t>
      </w:r>
    </w:p>
    <w:p w:rsidR="00EE276C" w:rsidRPr="00EE276C" w:rsidRDefault="00EE276C" w:rsidP="00F458A1">
      <w:r w:rsidRPr="00EE276C">
        <w:t xml:space="preserve">Routine risk minimisation activities will comprise labelling, including </w:t>
      </w:r>
      <w:r>
        <w:t xml:space="preserve">PK </w:t>
      </w:r>
      <w:r w:rsidRPr="00EE276C">
        <w:t>data, precautionary statements, instructions for use and notification of drug interactions and/or undesirable effects for all the specified ongoing safety concerns.</w:t>
      </w:r>
    </w:p>
    <w:p w:rsidR="00EE276C" w:rsidRPr="00EE276C" w:rsidRDefault="00EE276C" w:rsidP="00F458A1">
      <w:r w:rsidRPr="00EE276C">
        <w:t>Additional risk minimisation activities for the important identified risk: ‘Serious hypersensitivity reactions’ attempt to minimise the risk associated with management of possible hypersensitivity reactions occurring during or after an infusion ou</w:t>
      </w:r>
      <w:r>
        <w:t xml:space="preserve">tside of the hospital setting. </w:t>
      </w:r>
      <w:r w:rsidRPr="00EE276C">
        <w:t xml:space="preserve">Infusions in the centres are administered by dedicated nurses qualified </w:t>
      </w:r>
      <w:r>
        <w:t xml:space="preserve">for this purpose. </w:t>
      </w:r>
      <w:r w:rsidRPr="00EE276C">
        <w:t xml:space="preserve">All nurses receive appropriate and extensive training and attend mandatory refreshers on an annual basis. All nurses hold current </w:t>
      </w:r>
      <w:r>
        <w:t>c</w:t>
      </w:r>
      <w:r w:rsidRPr="00EE276C">
        <w:t>ardiopulmonary resuscitation</w:t>
      </w:r>
      <w:r>
        <w:t xml:space="preserve"> (</w:t>
      </w:r>
      <w:r w:rsidRPr="00EE276C">
        <w:t>CPR</w:t>
      </w:r>
      <w:r>
        <w:t>)</w:t>
      </w:r>
      <w:r w:rsidRPr="00EE276C">
        <w:t xml:space="preserve"> certification.</w:t>
      </w:r>
    </w:p>
    <w:p w:rsidR="006F25B8" w:rsidRDefault="006F25B8" w:rsidP="00F458A1">
      <w:pPr>
        <w:pStyle w:val="Heading4"/>
        <w:rPr>
          <w:lang w:eastAsia="en-AU"/>
        </w:rPr>
      </w:pPr>
      <w:r w:rsidRPr="006F25B8">
        <w:rPr>
          <w:lang w:eastAsia="en-AU"/>
        </w:rPr>
        <w:t>Reconciliation of is</w:t>
      </w:r>
      <w:r w:rsidR="00172C1E">
        <w:rPr>
          <w:lang w:eastAsia="en-AU"/>
        </w:rPr>
        <w:t>sues outlined in the RMP report</w:t>
      </w:r>
    </w:p>
    <w:p w:rsidR="006F25B8" w:rsidRDefault="006F25B8" w:rsidP="00F458A1">
      <w:pPr>
        <w:rPr>
          <w:lang w:eastAsia="en-AU"/>
        </w:rPr>
      </w:pPr>
      <w:r>
        <w:rPr>
          <w:lang w:eastAsia="en-AU"/>
        </w:rPr>
        <w:t xml:space="preserve">Table </w:t>
      </w:r>
      <w:r w:rsidR="004279F8">
        <w:rPr>
          <w:lang w:eastAsia="en-AU"/>
        </w:rPr>
        <w:t>6</w:t>
      </w:r>
      <w:r>
        <w:rPr>
          <w:lang w:eastAsia="en-AU"/>
        </w:rPr>
        <w:t xml:space="preserve"> summarises the OPR’s first round evaluation of the RMP, the sponsor’s responses to issues raised by the OPR and the OPR’s evaluat</w:t>
      </w:r>
      <w:r w:rsidR="00EE276C">
        <w:rPr>
          <w:lang w:eastAsia="en-AU"/>
        </w:rPr>
        <w:t>ion of the sponsor’s responses.</w:t>
      </w:r>
    </w:p>
    <w:p w:rsidR="00EE276C" w:rsidRDefault="004279F8" w:rsidP="00F458A1">
      <w:pPr>
        <w:pStyle w:val="TableTitle"/>
      </w:pPr>
      <w:r>
        <w:lastRenderedPageBreak/>
        <w:t>Table 6</w:t>
      </w:r>
      <w:r w:rsidR="00EE276C" w:rsidRPr="009F2B44">
        <w:t xml:space="preserve">: </w:t>
      </w:r>
      <w:r w:rsidR="009F2B44" w:rsidRPr="009F2B44">
        <w:t>Reconciliation of issues outlined in the RMP report</w:t>
      </w:r>
    </w:p>
    <w:tbl>
      <w:tblPr>
        <w:tblStyle w:val="TableTGAblue"/>
        <w:tblW w:w="4758" w:type="pct"/>
        <w:tblLayout w:type="fixed"/>
        <w:tblLook w:val="04A0" w:firstRow="1" w:lastRow="0" w:firstColumn="1" w:lastColumn="0" w:noHBand="0" w:noVBand="1"/>
      </w:tblPr>
      <w:tblGrid>
        <w:gridCol w:w="2766"/>
        <w:gridCol w:w="2767"/>
        <w:gridCol w:w="2765"/>
      </w:tblGrid>
      <w:tr w:rsidR="009F2B44" w:rsidRPr="009F2B44" w:rsidTr="00F458A1">
        <w:trPr>
          <w:cnfStyle w:val="100000000000" w:firstRow="1" w:lastRow="0" w:firstColumn="0" w:lastColumn="0" w:oddVBand="0" w:evenVBand="0" w:oddHBand="0" w:evenHBand="0" w:firstRowFirstColumn="0" w:firstRowLastColumn="0" w:lastRowFirstColumn="0" w:lastRowLastColumn="0"/>
        </w:trPr>
        <w:tc>
          <w:tcPr>
            <w:tcW w:w="1667" w:type="pct"/>
            <w:noWrap/>
          </w:tcPr>
          <w:p w:rsidR="009F2B44" w:rsidRPr="009F2B44" w:rsidRDefault="009F2B44" w:rsidP="00172C1E">
            <w:pPr>
              <w:ind w:left="0" w:right="0"/>
            </w:pPr>
            <w:r w:rsidRPr="009F2B44">
              <w:t>Recommendation in RMP evaluation report</w:t>
            </w:r>
          </w:p>
        </w:tc>
        <w:tc>
          <w:tcPr>
            <w:tcW w:w="1667" w:type="pct"/>
            <w:noWrap/>
          </w:tcPr>
          <w:p w:rsidR="009F2B44" w:rsidRPr="009F2B44" w:rsidRDefault="009F2B44" w:rsidP="00172C1E">
            <w:pPr>
              <w:ind w:left="0" w:right="0"/>
            </w:pPr>
            <w:r w:rsidRPr="009F2B44">
              <w:t>Sponsor’s response</w:t>
            </w:r>
          </w:p>
        </w:tc>
        <w:tc>
          <w:tcPr>
            <w:tcW w:w="1667" w:type="pct"/>
            <w:noWrap/>
          </w:tcPr>
          <w:p w:rsidR="009F2B44" w:rsidRPr="009F2B44" w:rsidRDefault="009F2B44" w:rsidP="00172C1E">
            <w:pPr>
              <w:ind w:left="0" w:right="0"/>
            </w:pPr>
            <w:r w:rsidRPr="009F2B44">
              <w:t>OPR evaluator’s comment</w:t>
            </w:r>
          </w:p>
        </w:tc>
      </w:tr>
      <w:tr w:rsidR="009F2B44" w:rsidRPr="009F2B44" w:rsidTr="00F458A1">
        <w:trPr>
          <w:trHeight w:val="3975"/>
        </w:trPr>
        <w:tc>
          <w:tcPr>
            <w:tcW w:w="1667" w:type="pct"/>
            <w:noWrap/>
          </w:tcPr>
          <w:p w:rsidR="00F96679" w:rsidRPr="00F96679" w:rsidRDefault="009F2B44" w:rsidP="00172C1E">
            <w:pPr>
              <w:ind w:left="0" w:right="0"/>
            </w:pPr>
            <w:r w:rsidRPr="00F96679">
              <w:t xml:space="preserve">Now that the application to extend the indications for use in active </w:t>
            </w:r>
            <w:proofErr w:type="spellStart"/>
            <w:r w:rsidRPr="00F96679">
              <w:t>polyarticular</w:t>
            </w:r>
            <w:proofErr w:type="spellEnd"/>
            <w:r w:rsidRPr="00F96679">
              <w:t xml:space="preserve"> juvenile idiopathic arthritis patients aged 2 years and older has been approved the ASA should be updated accordingly.</w:t>
            </w:r>
          </w:p>
        </w:tc>
        <w:tc>
          <w:tcPr>
            <w:tcW w:w="1667" w:type="pct"/>
            <w:noWrap/>
          </w:tcPr>
          <w:p w:rsidR="009F2B44" w:rsidRPr="009F2B44" w:rsidRDefault="009F2B44" w:rsidP="00172C1E">
            <w:pPr>
              <w:ind w:left="0" w:right="0"/>
            </w:pPr>
            <w:r w:rsidRPr="009F2B44">
              <w:t>The sponsor has provided an updated ASA (version 3.1), includ</w:t>
            </w:r>
            <w:r>
              <w:t>ing</w:t>
            </w:r>
            <w:r w:rsidRPr="009F2B44">
              <w:t xml:space="preserve"> information on the indication for use in active </w:t>
            </w:r>
            <w:proofErr w:type="spellStart"/>
            <w:r w:rsidRPr="009F2B44">
              <w:t>polyarticular</w:t>
            </w:r>
            <w:proofErr w:type="spellEnd"/>
            <w:r w:rsidRPr="009F2B44">
              <w:t xml:space="preserve"> juvenile idiopathic arthritis patients aged 2 years and older</w:t>
            </w:r>
            <w:r>
              <w:t>.</w:t>
            </w:r>
            <w:r w:rsidRPr="009F2B44">
              <w:t xml:space="preserve"> At the same time the sponsor has updated the ASA format in line with that recommended in TGA RMP Questions and Answers document version 1.3, October 2012 and made other changes to the ASA as detailed within the document’s “Change history of RMPs submitted to TGA” table.</w:t>
            </w:r>
          </w:p>
        </w:tc>
        <w:tc>
          <w:tcPr>
            <w:tcW w:w="1667" w:type="pct"/>
            <w:noWrap/>
          </w:tcPr>
          <w:p w:rsidR="009F2B44" w:rsidRPr="009F2B44" w:rsidRDefault="00F96679" w:rsidP="00172C1E">
            <w:pPr>
              <w:ind w:left="0" w:right="0"/>
            </w:pPr>
            <w:r>
              <w:t xml:space="preserve">This is generally acceptable. </w:t>
            </w:r>
            <w:r w:rsidR="009F2B44" w:rsidRPr="009F2B44">
              <w:t xml:space="preserve">However, the sponsor of its own volition has removed </w:t>
            </w:r>
            <w:r w:rsidR="004A3217">
              <w:t>the Table</w:t>
            </w:r>
            <w:r w:rsidR="009F2B44" w:rsidRPr="009F2B44">
              <w:t>: ‘Australian Risk Management Plan’ of the ASA Version 3.0 and replaced it with a ‘Risk Minimisation Activities (</w:t>
            </w:r>
            <w:proofErr w:type="spellStart"/>
            <w:r w:rsidR="009F2B44" w:rsidRPr="009F2B44">
              <w:t>RMinA</w:t>
            </w:r>
            <w:proofErr w:type="spellEnd"/>
            <w:r w:rsidR="009F2B44" w:rsidRPr="009F2B44">
              <w:t>)</w:t>
            </w:r>
            <w:r w:rsidR="009F2B44">
              <w:t xml:space="preserve">’ section. </w:t>
            </w:r>
            <w:r w:rsidR="009F2B44" w:rsidRPr="009F2B44">
              <w:t>The former provided a detailed comparison o</w:t>
            </w:r>
            <w:r w:rsidR="009F2B44">
              <w:t xml:space="preserve">f Australian and EU labelling. </w:t>
            </w:r>
            <w:r w:rsidR="009F2B44" w:rsidRPr="009F2B44">
              <w:t>However the latter, in regard to routine risk minimisation, only applies the statement: “Information in Australian PI is essentially similar to EU-SPC.” to almost all of the ongoing safety concerns.  This is unsatisfactory and the sponsor should reinstate the detailed comparison of Australian and EU labelling in a revised ASA before this application is approved.</w:t>
            </w:r>
          </w:p>
        </w:tc>
      </w:tr>
      <w:tr w:rsidR="009F2B44" w:rsidRPr="009F2B44" w:rsidTr="00F458A1">
        <w:trPr>
          <w:trHeight w:val="1822"/>
        </w:trPr>
        <w:tc>
          <w:tcPr>
            <w:tcW w:w="1667" w:type="pct"/>
            <w:noWrap/>
          </w:tcPr>
          <w:p w:rsidR="009F2B44" w:rsidRPr="009F2B44" w:rsidRDefault="009F2B44" w:rsidP="00172C1E">
            <w:pPr>
              <w:ind w:left="0" w:right="0"/>
            </w:pPr>
            <w:r w:rsidRPr="009F2B44">
              <w:t xml:space="preserve">It appears the sponsor has not provided any justification for the removal of the important potential risk: ‘Viral reactivation’ and the important missing information: ‘Increased mortality in the Japanese PMS compared </w:t>
            </w:r>
            <w:r w:rsidR="00F96679">
              <w:t xml:space="preserve">to clinical study population’ and </w:t>
            </w:r>
            <w:r w:rsidRPr="009F2B44">
              <w:t xml:space="preserve">‘Vaccinations’ as ongoing safety concerns.  The sponsor should now provide compelling justification for these deletions or consider reinstating </w:t>
            </w:r>
            <w:r w:rsidR="00F458A1">
              <w:t>these ongoing safety concerns.</w:t>
            </w:r>
          </w:p>
        </w:tc>
        <w:tc>
          <w:tcPr>
            <w:tcW w:w="1667" w:type="pct"/>
            <w:noWrap/>
          </w:tcPr>
          <w:p w:rsidR="009F2B44" w:rsidRPr="009F2B44" w:rsidRDefault="009F2B44" w:rsidP="00172C1E">
            <w:pPr>
              <w:ind w:left="0" w:right="0"/>
            </w:pPr>
            <w:r w:rsidRPr="009F2B44">
              <w:t>The sponsor has provided justification for the deletion of these previously accepted ongoing safety concerns.</w:t>
            </w:r>
          </w:p>
        </w:tc>
        <w:tc>
          <w:tcPr>
            <w:tcW w:w="1667" w:type="pct"/>
            <w:noWrap/>
          </w:tcPr>
          <w:p w:rsidR="009F2B44" w:rsidRPr="009F2B44" w:rsidRDefault="00F458A1" w:rsidP="00172C1E">
            <w:pPr>
              <w:ind w:left="0" w:right="0"/>
            </w:pPr>
            <w:r>
              <w:t>This is acceptable.</w:t>
            </w:r>
          </w:p>
        </w:tc>
      </w:tr>
      <w:tr w:rsidR="009F2B44" w:rsidRPr="009F2B44" w:rsidTr="00F458A1">
        <w:trPr>
          <w:trHeight w:val="1153"/>
        </w:trPr>
        <w:tc>
          <w:tcPr>
            <w:tcW w:w="1667" w:type="pct"/>
            <w:noWrap/>
          </w:tcPr>
          <w:p w:rsidR="009F2B44" w:rsidRPr="009F2B44" w:rsidRDefault="009F2B44" w:rsidP="00172C1E">
            <w:pPr>
              <w:ind w:left="0" w:right="0"/>
            </w:pPr>
            <w:r w:rsidRPr="009F2B44">
              <w:lastRenderedPageBreak/>
              <w:t xml:space="preserve">For completeness </w:t>
            </w:r>
            <w:r>
              <w:t xml:space="preserve">the </w:t>
            </w:r>
            <w:r w:rsidRPr="009F2B44">
              <w:t xml:space="preserve">Table: ‘Summary of Ongoing Safety Concerns in Paediatric Patients’ of the EU-RMP should include ‘MAS in </w:t>
            </w:r>
            <w:proofErr w:type="spellStart"/>
            <w:r w:rsidRPr="009F2B44">
              <w:t>sJIA</w:t>
            </w:r>
            <w:proofErr w:type="spellEnd"/>
            <w:r w:rsidRPr="009F2B44">
              <w:t xml:space="preserve"> patients’ as important missing information to be consistent with </w:t>
            </w:r>
            <w:r>
              <w:t xml:space="preserve">the </w:t>
            </w:r>
            <w:r w:rsidRPr="009F2B44">
              <w:t>Table: ‘Summary of Ongoing Safety Concerns in Paediatric Patients’ of the EU-RMP when this document is next updated.</w:t>
            </w:r>
          </w:p>
        </w:tc>
        <w:tc>
          <w:tcPr>
            <w:tcW w:w="1667" w:type="pct"/>
            <w:noWrap/>
          </w:tcPr>
          <w:p w:rsidR="009F2B44" w:rsidRPr="009F2B44" w:rsidRDefault="009F2B44" w:rsidP="00172C1E">
            <w:pPr>
              <w:ind w:left="0" w:right="0"/>
            </w:pPr>
            <w:r w:rsidRPr="009F2B44">
              <w:t>The sponsor commits to correcting this inconsistency with the next update to the RMP.</w:t>
            </w:r>
          </w:p>
        </w:tc>
        <w:tc>
          <w:tcPr>
            <w:tcW w:w="1667" w:type="pct"/>
            <w:noWrap/>
          </w:tcPr>
          <w:p w:rsidR="009F2B44" w:rsidRPr="009F2B44" w:rsidRDefault="00F458A1" w:rsidP="00172C1E">
            <w:pPr>
              <w:ind w:left="0" w:right="0"/>
            </w:pPr>
            <w:r>
              <w:t>This is acceptable.</w:t>
            </w:r>
          </w:p>
        </w:tc>
      </w:tr>
      <w:tr w:rsidR="009F2B44" w:rsidRPr="009F2B44" w:rsidTr="00F458A1">
        <w:trPr>
          <w:trHeight w:val="1949"/>
        </w:trPr>
        <w:tc>
          <w:tcPr>
            <w:tcW w:w="1667" w:type="pct"/>
            <w:noWrap/>
          </w:tcPr>
          <w:p w:rsidR="009F2B44" w:rsidRPr="009F2B44" w:rsidRDefault="009F2B44" w:rsidP="00172C1E">
            <w:pPr>
              <w:ind w:left="0" w:right="0"/>
            </w:pPr>
            <w:r>
              <w:t>The Table</w:t>
            </w:r>
            <w:r w:rsidRPr="009F2B44">
              <w:t>: ‘Australian Risk Management Plan’ of the ASA appears to makes erroneous EU-RMP table references for the proposed EU pharmacovigilance activities, which are in fact captured in Table: ‘Safety concerns and overview of planned pharmacovigilance actions for All Patients’ of the EU-RMP</w:t>
            </w:r>
            <w:r>
              <w:t>. The Table</w:t>
            </w:r>
            <w:r w:rsidRPr="009F2B44">
              <w:t xml:space="preserve"> also does not appear to indicate whether such pharmacovigilance activities are also proposed and/</w:t>
            </w:r>
            <w:r w:rsidR="00F96679">
              <w:t xml:space="preserve">or are relevant for Australia. </w:t>
            </w:r>
            <w:r w:rsidRPr="009F2B44">
              <w:t>The sponsor should correct such deficiencies in a revised ASA.</w:t>
            </w:r>
          </w:p>
        </w:tc>
        <w:tc>
          <w:tcPr>
            <w:tcW w:w="1667" w:type="pct"/>
            <w:noWrap/>
          </w:tcPr>
          <w:p w:rsidR="009F2B44" w:rsidRPr="009F2B44" w:rsidRDefault="009F2B44" w:rsidP="00172C1E">
            <w:pPr>
              <w:ind w:left="0" w:right="0"/>
            </w:pPr>
            <w:r w:rsidRPr="009F2B44">
              <w:t xml:space="preserve">The sponsor has provided a revised version of the ASA. The cross-reference to </w:t>
            </w:r>
            <w:r>
              <w:t xml:space="preserve">the </w:t>
            </w:r>
            <w:r w:rsidRPr="009F2B44">
              <w:t>Table has been included as requested. The ASA indicates which pharmacovigilance activities are relevant for Australia.</w:t>
            </w:r>
          </w:p>
        </w:tc>
        <w:tc>
          <w:tcPr>
            <w:tcW w:w="1667" w:type="pct"/>
            <w:noWrap/>
          </w:tcPr>
          <w:p w:rsidR="009F2B44" w:rsidRPr="009F2B44" w:rsidRDefault="009F2B44" w:rsidP="00172C1E">
            <w:pPr>
              <w:ind w:left="0" w:right="0"/>
            </w:pPr>
            <w:r w:rsidRPr="009F2B44">
              <w:t>This is acceptable.</w:t>
            </w:r>
          </w:p>
        </w:tc>
      </w:tr>
      <w:tr w:rsidR="009F2B44" w:rsidRPr="009F2B44" w:rsidTr="00F458A1">
        <w:trPr>
          <w:trHeight w:val="1255"/>
        </w:trPr>
        <w:tc>
          <w:tcPr>
            <w:tcW w:w="1667" w:type="pct"/>
            <w:noWrap/>
          </w:tcPr>
          <w:p w:rsidR="009F2B44" w:rsidRPr="009F2B44" w:rsidRDefault="009F2B44" w:rsidP="00172C1E">
            <w:pPr>
              <w:ind w:left="0" w:right="0"/>
            </w:pPr>
            <w:r w:rsidRPr="009F2B44">
              <w:t>The studies referenced in the pharmacovigilance plan will generate safety data that will simply support the known safety profile of the medicine, while others will generate data that will provoke applications to amend the A</w:t>
            </w:r>
            <w:r>
              <w:t>ustralian registration details.</w:t>
            </w:r>
            <w:r w:rsidRPr="009F2B44">
              <w:t xml:space="preserve"> To this end it is suggested that the sponsor </w:t>
            </w:r>
            <w:r w:rsidRPr="009F2B44">
              <w:lastRenderedPageBreak/>
              <w:t>should provide an attachment to the ASA setting out all the forthcoming studies and the anticipated dates for their submission in Australia.</w:t>
            </w:r>
          </w:p>
        </w:tc>
        <w:tc>
          <w:tcPr>
            <w:tcW w:w="1667" w:type="pct"/>
            <w:noWrap/>
          </w:tcPr>
          <w:p w:rsidR="009F2B44" w:rsidRPr="009F2B44" w:rsidRDefault="009F2B44" w:rsidP="00172C1E">
            <w:pPr>
              <w:ind w:left="0" w:right="0"/>
            </w:pPr>
            <w:r w:rsidRPr="009F2B44">
              <w:lastRenderedPageBreak/>
              <w:t xml:space="preserve">The sponsor has provided a revised ‘Studies referenced in the RMP’ section of the ASA, which references the EU-RMP v15.0 Table On-Going and Planned Studies in the Post-Authorisation Pharmacovigilance Development Plan. This section does not include anticipated dates for their </w:t>
            </w:r>
            <w:r w:rsidRPr="009F2B44">
              <w:lastRenderedPageBreak/>
              <w:t>submission in Australia, but rather refers to the EU-RMP table for estimated timelines for data availability.</w:t>
            </w:r>
            <w:r>
              <w:t xml:space="preserve"> </w:t>
            </w:r>
            <w:r w:rsidRPr="009F2B44">
              <w:t>The sponsor states that following availability of data from these studies, the results will be assessed and if deemed necessary, the company Core Data Sheet (CDS) will be updated. Any relevant safety updates to the company CDS, will result in applications to amend the P</w:t>
            </w:r>
            <w:r>
              <w:t>I</w:t>
            </w:r>
            <w:r w:rsidR="00F458A1">
              <w:t>.</w:t>
            </w:r>
          </w:p>
        </w:tc>
        <w:tc>
          <w:tcPr>
            <w:tcW w:w="1667" w:type="pct"/>
            <w:noWrap/>
          </w:tcPr>
          <w:p w:rsidR="009F2B44" w:rsidRPr="009F2B44" w:rsidRDefault="009F2B44" w:rsidP="00172C1E">
            <w:pPr>
              <w:ind w:left="0" w:right="0"/>
            </w:pPr>
            <w:r w:rsidRPr="009F2B44">
              <w:lastRenderedPageBreak/>
              <w:t>This is not entir</w:t>
            </w:r>
            <w:r>
              <w:t>ely satisfactory, as data from S</w:t>
            </w:r>
            <w:r w:rsidRPr="009F2B44">
              <w:t xml:space="preserve">tudies NP25737 and MA21488 have been stated as being available as of </w:t>
            </w:r>
            <w:r>
              <w:t>the third quarter (</w:t>
            </w:r>
            <w:r w:rsidRPr="009F2B44">
              <w:t>Q3</w:t>
            </w:r>
            <w:r>
              <w:t>)</w:t>
            </w:r>
            <w:r w:rsidRPr="009F2B44">
              <w:t xml:space="preserve"> 2013 and Q4 2013 respectively. Consequently it is reiterated that the anticipated dates for the submission in Australia of studies referenced in the </w:t>
            </w:r>
            <w:r w:rsidRPr="009F2B44">
              <w:lastRenderedPageBreak/>
              <w:t>pharmacovigilance plan should be included in this section of a revised ASA befor</w:t>
            </w:r>
            <w:r w:rsidR="00F458A1">
              <w:t>e this application is approved.</w:t>
            </w:r>
          </w:p>
        </w:tc>
      </w:tr>
      <w:tr w:rsidR="009F2B44" w:rsidRPr="009F2B44" w:rsidTr="00F458A1">
        <w:trPr>
          <w:trHeight w:val="1578"/>
        </w:trPr>
        <w:tc>
          <w:tcPr>
            <w:tcW w:w="1667" w:type="pct"/>
            <w:noWrap/>
          </w:tcPr>
          <w:p w:rsidR="009F2B44" w:rsidRPr="009F2B44" w:rsidRDefault="009F2B44" w:rsidP="00172C1E">
            <w:pPr>
              <w:ind w:left="0" w:right="0"/>
            </w:pPr>
            <w:r w:rsidRPr="009F2B44">
              <w:lastRenderedPageBreak/>
              <w:t>The ‘</w:t>
            </w:r>
            <w:r w:rsidRPr="00F96679">
              <w:t>RMP submission history table</w:t>
            </w:r>
            <w:r w:rsidRPr="009F2B44">
              <w:t>’ of the ASA should state that the guided questionnaires erroneously associated with the important missing informati</w:t>
            </w:r>
            <w:r>
              <w:t>on: ‘Effects during pregnancy’ and</w:t>
            </w:r>
            <w:r w:rsidRPr="009F2B44">
              <w:t xml:space="preserve"> ‘Hepatic Impairment’ have now been removed in the ASA Version: 3.0.</w:t>
            </w:r>
          </w:p>
        </w:tc>
        <w:tc>
          <w:tcPr>
            <w:tcW w:w="1667" w:type="pct"/>
            <w:noWrap/>
          </w:tcPr>
          <w:p w:rsidR="009F2B44" w:rsidRPr="009F2B44" w:rsidRDefault="009F2B44" w:rsidP="00172C1E">
            <w:pPr>
              <w:ind w:left="0" w:right="0"/>
            </w:pPr>
            <w:r w:rsidRPr="009F2B44">
              <w:t>In</w:t>
            </w:r>
            <w:r>
              <w:t xml:space="preserve"> the revised ASA provided, the ‘</w:t>
            </w:r>
            <w:r w:rsidRPr="009F2B44">
              <w:rPr>
                <w:i/>
              </w:rPr>
              <w:t>Change history of RMPs submitted to TGA</w:t>
            </w:r>
            <w:r>
              <w:rPr>
                <w:i/>
              </w:rPr>
              <w:t>’</w:t>
            </w:r>
            <w:r w:rsidRPr="009F2B44">
              <w:t xml:space="preserve"> tables notes that</w:t>
            </w:r>
            <w:r w:rsidR="00F96679">
              <w:t xml:space="preserve"> </w:t>
            </w:r>
            <w:r w:rsidRPr="009F2B44">
              <w:t>Guided Questionnaires erroneously associated with the Important Missing information ‘Effects during pregnancy’ and ‘Hepatic Impairment’ in ASA v1.0 have been removed from the ASA.</w:t>
            </w:r>
          </w:p>
        </w:tc>
        <w:tc>
          <w:tcPr>
            <w:tcW w:w="1667" w:type="pct"/>
            <w:noWrap/>
          </w:tcPr>
          <w:p w:rsidR="009F2B44" w:rsidRPr="009F2B44" w:rsidRDefault="009F2B44" w:rsidP="00172C1E">
            <w:pPr>
              <w:ind w:left="0" w:right="0"/>
            </w:pPr>
            <w:r w:rsidRPr="009F2B44">
              <w:t>This is acceptable.</w:t>
            </w:r>
          </w:p>
        </w:tc>
      </w:tr>
      <w:tr w:rsidR="009F2B44" w:rsidRPr="009F2B44" w:rsidTr="00F458A1">
        <w:trPr>
          <w:trHeight w:val="971"/>
        </w:trPr>
        <w:tc>
          <w:tcPr>
            <w:tcW w:w="1667" w:type="pct"/>
            <w:noWrap/>
          </w:tcPr>
          <w:p w:rsidR="009F2B44" w:rsidRPr="009F2B44" w:rsidRDefault="009F2B44" w:rsidP="00172C1E">
            <w:pPr>
              <w:ind w:left="0" w:right="0"/>
            </w:pPr>
            <w:r w:rsidRPr="009F2B44">
              <w:t>The sponsor should provide an update on the status of the unnamed paediatric patient registry and provide an assurance that if it is still not yet initiated at least a draft protocol will be submitted to the TGA for review once it becomes available.</w:t>
            </w:r>
          </w:p>
        </w:tc>
        <w:tc>
          <w:tcPr>
            <w:tcW w:w="1667" w:type="pct"/>
            <w:noWrap/>
          </w:tcPr>
          <w:p w:rsidR="009F2B44" w:rsidRPr="009F2B44" w:rsidRDefault="009F2B44" w:rsidP="00172C1E">
            <w:pPr>
              <w:ind w:left="0" w:right="0"/>
            </w:pPr>
            <w:r w:rsidRPr="009F2B44">
              <w:t xml:space="preserve">A draft protocol for the </w:t>
            </w:r>
            <w:proofErr w:type="spellStart"/>
            <w:r w:rsidRPr="009F2B44">
              <w:t>pJIA</w:t>
            </w:r>
            <w:proofErr w:type="spellEnd"/>
            <w:r w:rsidRPr="009F2B44">
              <w:t xml:space="preserve"> paediatric patient registry is now available and has been provided in Annex 5 of the updated ASA. The protocol has been submitted to EMA and FDA for review and therefore is considered a draft.</w:t>
            </w:r>
          </w:p>
        </w:tc>
        <w:tc>
          <w:tcPr>
            <w:tcW w:w="1667" w:type="pct"/>
            <w:noWrap/>
          </w:tcPr>
          <w:p w:rsidR="009F2B44" w:rsidRPr="009F2B44" w:rsidRDefault="009F2B44" w:rsidP="00172C1E">
            <w:pPr>
              <w:ind w:left="0" w:right="0"/>
            </w:pPr>
            <w:r w:rsidRPr="009F2B44">
              <w:t>This is acceptable.</w:t>
            </w:r>
          </w:p>
        </w:tc>
      </w:tr>
      <w:tr w:rsidR="009F2B44" w:rsidRPr="009F2B44" w:rsidTr="00F458A1">
        <w:trPr>
          <w:trHeight w:val="2118"/>
        </w:trPr>
        <w:tc>
          <w:tcPr>
            <w:tcW w:w="1667" w:type="pct"/>
            <w:noWrap/>
          </w:tcPr>
          <w:p w:rsidR="009F2B44" w:rsidRPr="009F2B44" w:rsidRDefault="009F2B44" w:rsidP="00172C1E">
            <w:pPr>
              <w:ind w:left="0" w:right="0"/>
            </w:pPr>
            <w:r w:rsidRPr="009F2B44">
              <w:t>The sponsor’s handling of the potential for medication errors with A</w:t>
            </w:r>
            <w:r>
              <w:t xml:space="preserve">ctemra </w:t>
            </w:r>
            <w:r w:rsidRPr="009F2B44">
              <w:t xml:space="preserve">using routine pharmacovigilance and risk minimisation </w:t>
            </w:r>
            <w:r>
              <w:t xml:space="preserve">activities remains acceptable. </w:t>
            </w:r>
            <w:r w:rsidRPr="009F2B44">
              <w:t xml:space="preserve">However the ASA should refer to not just to Section 7.4.1 of the </w:t>
            </w:r>
            <w:r w:rsidRPr="009F2B44">
              <w:lastRenderedPageBreak/>
              <w:t>EU-RMP, but also to Sections 7.4.2.1-6 of the EU-RMP in regard to the potential for medication errors with A</w:t>
            </w:r>
            <w:r>
              <w:t>ctemra</w:t>
            </w:r>
            <w:r w:rsidRPr="009F2B44">
              <w:t>.</w:t>
            </w:r>
          </w:p>
        </w:tc>
        <w:tc>
          <w:tcPr>
            <w:tcW w:w="1667" w:type="pct"/>
            <w:noWrap/>
          </w:tcPr>
          <w:p w:rsidR="009F2B44" w:rsidRPr="009F2B44" w:rsidRDefault="009F2B44" w:rsidP="00172C1E">
            <w:pPr>
              <w:ind w:left="0" w:right="0"/>
            </w:pPr>
            <w:r w:rsidRPr="009F2B44">
              <w:lastRenderedPageBreak/>
              <w:t>The revised</w:t>
            </w:r>
            <w:r>
              <w:t xml:space="preserve"> </w:t>
            </w:r>
            <w:r w:rsidRPr="009F2B44">
              <w:t xml:space="preserve">ASA cross-references EU-RMP sections 7.4.1 Potential for medication errors involving the IV formulation and 7.4.2.1-6 SVI.4.4. Reports of medication errors with the marketed product(s) which appropriately </w:t>
            </w:r>
            <w:r w:rsidRPr="009F2B44">
              <w:lastRenderedPageBreak/>
              <w:t>describes the potential for medication errors in Australia.</w:t>
            </w:r>
          </w:p>
        </w:tc>
        <w:tc>
          <w:tcPr>
            <w:tcW w:w="1667" w:type="pct"/>
            <w:noWrap/>
          </w:tcPr>
          <w:p w:rsidR="009F2B44" w:rsidRPr="009F2B44" w:rsidRDefault="009F2B44" w:rsidP="00172C1E">
            <w:pPr>
              <w:ind w:left="0" w:right="0"/>
            </w:pPr>
            <w:r w:rsidRPr="009F2B44">
              <w:lastRenderedPageBreak/>
              <w:t>This is acceptable.</w:t>
            </w:r>
          </w:p>
        </w:tc>
      </w:tr>
      <w:tr w:rsidR="009F2B44" w:rsidRPr="009F2B44" w:rsidTr="00F458A1">
        <w:trPr>
          <w:trHeight w:val="1096"/>
        </w:trPr>
        <w:tc>
          <w:tcPr>
            <w:tcW w:w="1667" w:type="pct"/>
            <w:noWrap/>
          </w:tcPr>
          <w:p w:rsidR="009F2B44" w:rsidRPr="009F2B44" w:rsidRDefault="009F2B44" w:rsidP="00172C1E">
            <w:pPr>
              <w:ind w:left="0" w:right="0"/>
            </w:pPr>
            <w:r w:rsidRPr="009F2B44">
              <w:lastRenderedPageBreak/>
              <w:t>The proposed Australian risk minimisation activities remain the same as previously accepted for A</w:t>
            </w:r>
            <w:r>
              <w:t xml:space="preserve">ctemra. </w:t>
            </w:r>
            <w:r w:rsidRPr="009F2B44">
              <w:t>At this time they continue to be acceptable.</w:t>
            </w:r>
          </w:p>
        </w:tc>
        <w:tc>
          <w:tcPr>
            <w:tcW w:w="1667" w:type="pct"/>
            <w:noWrap/>
          </w:tcPr>
          <w:p w:rsidR="009F2B44" w:rsidRPr="009F2B44" w:rsidRDefault="009F2B44" w:rsidP="00172C1E">
            <w:pPr>
              <w:ind w:left="0" w:right="0"/>
            </w:pPr>
            <w:r w:rsidRPr="009F2B44">
              <w:t>The sponsor acknowledges this comment.</w:t>
            </w:r>
          </w:p>
        </w:tc>
        <w:tc>
          <w:tcPr>
            <w:tcW w:w="1667" w:type="pct"/>
            <w:noWrap/>
          </w:tcPr>
          <w:p w:rsidR="009F2B44" w:rsidRPr="009F2B44" w:rsidRDefault="009F2B44" w:rsidP="00172C1E">
            <w:pPr>
              <w:ind w:left="0" w:right="0"/>
            </w:pPr>
            <w:r w:rsidRPr="009F2B44">
              <w:t>n/a</w:t>
            </w:r>
          </w:p>
        </w:tc>
      </w:tr>
      <w:tr w:rsidR="009F2B44" w:rsidRPr="009F2B44" w:rsidTr="00F458A1">
        <w:trPr>
          <w:trHeight w:val="829"/>
        </w:trPr>
        <w:tc>
          <w:tcPr>
            <w:tcW w:w="1667" w:type="pct"/>
            <w:noWrap/>
          </w:tcPr>
          <w:p w:rsidR="009F2B44" w:rsidRPr="009F2B44" w:rsidRDefault="009F2B44" w:rsidP="00172C1E">
            <w:pPr>
              <w:ind w:left="0" w:right="0"/>
            </w:pPr>
            <w:r w:rsidRPr="009F2B44">
              <w:t xml:space="preserve">In regard to the proposed routine risk minimisation activities, the draft </w:t>
            </w:r>
            <w:r>
              <w:t xml:space="preserve">PI </w:t>
            </w:r>
            <w:r w:rsidRPr="009F2B44">
              <w:t>document is considered satisfactory.</w:t>
            </w:r>
          </w:p>
        </w:tc>
        <w:tc>
          <w:tcPr>
            <w:tcW w:w="1667" w:type="pct"/>
            <w:noWrap/>
          </w:tcPr>
          <w:p w:rsidR="009F2B44" w:rsidRPr="009F2B44" w:rsidRDefault="009F2B44" w:rsidP="00172C1E">
            <w:pPr>
              <w:ind w:left="0" w:right="0"/>
            </w:pPr>
            <w:r w:rsidRPr="009F2B44">
              <w:t>The sponsor acknowledges this comment.</w:t>
            </w:r>
          </w:p>
        </w:tc>
        <w:tc>
          <w:tcPr>
            <w:tcW w:w="1667" w:type="pct"/>
            <w:noWrap/>
          </w:tcPr>
          <w:p w:rsidR="009F2B44" w:rsidRPr="009F2B44" w:rsidRDefault="009F2B44" w:rsidP="00172C1E">
            <w:pPr>
              <w:ind w:left="0" w:right="0"/>
            </w:pPr>
            <w:r w:rsidRPr="009F2B44">
              <w:t>n/a</w:t>
            </w:r>
          </w:p>
        </w:tc>
      </w:tr>
      <w:tr w:rsidR="009F2B44" w:rsidRPr="009F2B44" w:rsidTr="00F458A1">
        <w:trPr>
          <w:trHeight w:val="870"/>
        </w:trPr>
        <w:tc>
          <w:tcPr>
            <w:tcW w:w="1667" w:type="pct"/>
            <w:noWrap/>
          </w:tcPr>
          <w:p w:rsidR="009F2B44" w:rsidRPr="009F2B44" w:rsidRDefault="009F2B44" w:rsidP="00172C1E">
            <w:pPr>
              <w:ind w:left="0" w:right="0"/>
            </w:pPr>
            <w:r w:rsidRPr="009F2B44">
              <w:t xml:space="preserve">In regard to the proposed routine risk minimisation activities, the draft </w:t>
            </w:r>
            <w:r>
              <w:t>C</w:t>
            </w:r>
            <w:r w:rsidRPr="009F2B44">
              <w:t xml:space="preserve">onsumer </w:t>
            </w:r>
            <w:r>
              <w:t>M</w:t>
            </w:r>
            <w:r w:rsidRPr="009F2B44">
              <w:t xml:space="preserve">edicine </w:t>
            </w:r>
            <w:r>
              <w:t>I</w:t>
            </w:r>
            <w:r w:rsidRPr="009F2B44">
              <w:t xml:space="preserve">nformation </w:t>
            </w:r>
            <w:r>
              <w:t xml:space="preserve">(CMI) </w:t>
            </w:r>
            <w:r w:rsidRPr="009F2B44">
              <w:t>is considered satisfactory.</w:t>
            </w:r>
          </w:p>
        </w:tc>
        <w:tc>
          <w:tcPr>
            <w:tcW w:w="1667" w:type="pct"/>
            <w:noWrap/>
          </w:tcPr>
          <w:p w:rsidR="009F2B44" w:rsidRPr="009F2B44" w:rsidRDefault="009F2B44" w:rsidP="00172C1E">
            <w:pPr>
              <w:ind w:left="0" w:right="0"/>
            </w:pPr>
            <w:r w:rsidRPr="009F2B44">
              <w:t>The sponsor acknowledges this comment.</w:t>
            </w:r>
          </w:p>
        </w:tc>
        <w:tc>
          <w:tcPr>
            <w:tcW w:w="1667" w:type="pct"/>
            <w:noWrap/>
          </w:tcPr>
          <w:p w:rsidR="009F2B44" w:rsidRPr="009F2B44" w:rsidRDefault="009F2B44" w:rsidP="00172C1E">
            <w:pPr>
              <w:ind w:left="0" w:right="0"/>
            </w:pPr>
            <w:r w:rsidRPr="009F2B44">
              <w:t>n/a</w:t>
            </w:r>
          </w:p>
        </w:tc>
      </w:tr>
    </w:tbl>
    <w:p w:rsidR="003519B5" w:rsidRPr="003519B5" w:rsidRDefault="003519B5" w:rsidP="00F458A1">
      <w:r>
        <w:t xml:space="preserve">In addition, the sponsor provided </w:t>
      </w:r>
      <w:r w:rsidRPr="003519B5">
        <w:rPr>
          <w:iCs/>
        </w:rPr>
        <w:t xml:space="preserve">an updated ASA </w:t>
      </w:r>
      <w:r w:rsidRPr="003519B5">
        <w:t>Version</w:t>
      </w:r>
      <w:r w:rsidRPr="003519B5">
        <w:rPr>
          <w:iCs/>
        </w:rPr>
        <w:t>: 3.1 (dated March 2014)</w:t>
      </w:r>
      <w:r w:rsidR="00F458A1">
        <w:t>.</w:t>
      </w:r>
    </w:p>
    <w:p w:rsidR="00F96679" w:rsidRPr="00F96679" w:rsidRDefault="00F96679" w:rsidP="00F458A1">
      <w:pPr>
        <w:pStyle w:val="Heading4"/>
      </w:pPr>
      <w:r w:rsidRPr="00F96679">
        <w:t>Outstanding issues</w:t>
      </w:r>
    </w:p>
    <w:p w:rsidR="00F96679" w:rsidRPr="00F96679" w:rsidRDefault="00F458A1" w:rsidP="00F458A1">
      <w:pPr>
        <w:pStyle w:val="Heading5"/>
      </w:pPr>
      <w:r>
        <w:t>Issues in relation to the RMP</w:t>
      </w:r>
    </w:p>
    <w:p w:rsidR="003519B5" w:rsidRDefault="003519B5" w:rsidP="00F458A1">
      <w:r>
        <w:t xml:space="preserve">Outstanding issues are detailed in Table </w:t>
      </w:r>
      <w:r w:rsidR="004279F8">
        <w:t xml:space="preserve">6 </w:t>
      </w:r>
      <w:r>
        <w:t xml:space="preserve">above, </w:t>
      </w:r>
      <w:r w:rsidR="004279F8">
        <w:t xml:space="preserve">against numbers </w:t>
      </w:r>
      <w:r w:rsidR="00F458A1">
        <w:t>1 and 5.</w:t>
      </w:r>
    </w:p>
    <w:p w:rsidR="00F96679" w:rsidRPr="00F96679" w:rsidRDefault="00F96679" w:rsidP="00F458A1">
      <w:pPr>
        <w:pStyle w:val="Heading4"/>
      </w:pPr>
      <w:r w:rsidRPr="00F96679">
        <w:t>Comments on the safety specification of the RMP</w:t>
      </w:r>
    </w:p>
    <w:p w:rsidR="00F96679" w:rsidRPr="00F96679" w:rsidRDefault="0079205A" w:rsidP="00F458A1">
      <w:pPr>
        <w:pStyle w:val="Heading5"/>
      </w:pPr>
      <w:r>
        <w:t>Clinical e</w:t>
      </w:r>
      <w:r w:rsidR="00F96679" w:rsidRPr="00F96679">
        <w:t xml:space="preserve">valuation </w:t>
      </w:r>
      <w:r>
        <w:t>r</w:t>
      </w:r>
      <w:r w:rsidR="00F96679" w:rsidRPr="00F96679">
        <w:t xml:space="preserve">eport </w:t>
      </w:r>
    </w:p>
    <w:p w:rsidR="00F96679" w:rsidRPr="00F96679" w:rsidRDefault="0079205A" w:rsidP="00F458A1">
      <w:r>
        <w:t>The clinical evaluator concluded that:’ t</w:t>
      </w:r>
      <w:r w:rsidR="00F96679" w:rsidRPr="00F96679">
        <w:t>he Safety Specifications identified by the sponsor in the RMP are consistent with the adverse event/safety profile from the clinical trial data</w:t>
      </w:r>
      <w:r>
        <w:t xml:space="preserve">’ </w:t>
      </w:r>
      <w:r w:rsidR="00F96679" w:rsidRPr="00F96679">
        <w:t>and</w:t>
      </w:r>
      <w:r>
        <w:t>: ‘</w:t>
      </w:r>
      <w:r w:rsidR="00F96679" w:rsidRPr="00F96679">
        <w:t xml:space="preserve">Analysis of the 104 week data from </w:t>
      </w:r>
      <w:r w:rsidR="00F96679">
        <w:t>S</w:t>
      </w:r>
      <w:r w:rsidR="00F96679" w:rsidRPr="00F96679">
        <w:t>tudy WA19926 did not reveal any new safety issues to be included in the Safety Specifications of the RMP</w:t>
      </w:r>
      <w:r>
        <w:t>’</w:t>
      </w:r>
      <w:r w:rsidR="00F96679" w:rsidRPr="00F96679">
        <w:t>.</w:t>
      </w:r>
    </w:p>
    <w:p w:rsidR="003519B5" w:rsidRDefault="003519B5" w:rsidP="00F458A1">
      <w:pPr>
        <w:pStyle w:val="Heading4"/>
      </w:pPr>
      <w:r>
        <w:t xml:space="preserve">Recommendation to the </w:t>
      </w:r>
      <w:r w:rsidR="00172C1E">
        <w:t>d</w:t>
      </w:r>
      <w:r>
        <w:t>elegate</w:t>
      </w:r>
    </w:p>
    <w:p w:rsidR="00F96679" w:rsidRPr="00F96679" w:rsidRDefault="00F96679" w:rsidP="00F458A1">
      <w:r w:rsidRPr="00F96679">
        <w:t>The European Risk Management Plan Version 15.0 (dated May 2013), with an Australian Specific Annex (ASA) Version: 3.1 (dated March 2014) to be revised to the satisfaction of the TGA, must be implemented.</w:t>
      </w:r>
    </w:p>
    <w:p w:rsidR="008E7846" w:rsidRPr="00792A32" w:rsidRDefault="008E7846" w:rsidP="00F458A1">
      <w:pPr>
        <w:pStyle w:val="Heading2"/>
      </w:pPr>
      <w:bookmarkStart w:id="156" w:name="_Toc314842510"/>
      <w:bookmarkStart w:id="157" w:name="_Toc412444415"/>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7"/>
      <w:bookmarkEnd w:id="155"/>
      <w:bookmarkEnd w:id="156"/>
      <w:bookmarkEnd w:id="157"/>
    </w:p>
    <w:p w:rsidR="008E7846" w:rsidRDefault="008E7846" w:rsidP="00F458A1">
      <w:bookmarkStart w:id="158" w:name="_Toc247691528"/>
      <w:r>
        <w:t xml:space="preserve">The submission was summarised in the following </w:t>
      </w:r>
      <w:r w:rsidRPr="00EF5C48">
        <w:t xml:space="preserve">Delegate’s </w:t>
      </w:r>
      <w:r>
        <w:t>overview</w:t>
      </w:r>
      <w:r w:rsidRPr="00EF5C48">
        <w:t xml:space="preserve"> and recommendation</w:t>
      </w:r>
      <w:r>
        <w:t>s:</w:t>
      </w:r>
    </w:p>
    <w:p w:rsidR="005A77AD" w:rsidRDefault="005A77AD" w:rsidP="00F458A1">
      <w:pPr>
        <w:pStyle w:val="Heading3"/>
      </w:pPr>
      <w:bookmarkStart w:id="159" w:name="_Toc412444416"/>
      <w:r>
        <w:t>Background</w:t>
      </w:r>
      <w:bookmarkEnd w:id="159"/>
    </w:p>
    <w:p w:rsidR="00E53FC6" w:rsidRPr="005A77AD" w:rsidRDefault="00E53FC6" w:rsidP="00F458A1">
      <w:r w:rsidRPr="005A77AD">
        <w:t>Tocilizumab is a recombinant, humanised, anti-human IL-6 receptor monoclonal antibody of the immunoglobulin IgG1 subclass. It is composed of two heterodimers, each of which consists of a heavy and light polypeptide chain. The four polypeptide chains are linked intra- and inter-molecularly by disulphide bonds.</w:t>
      </w:r>
    </w:p>
    <w:p w:rsidR="00E53FC6" w:rsidRPr="005A77AD" w:rsidRDefault="00E53FC6" w:rsidP="00F458A1">
      <w:r w:rsidRPr="005A77AD">
        <w:t>Tocilizumab binds specifically to both soluble and membrane-bound IL-6 receptors, inhibiting IL-6 mediated signalling. IL-6 is a pro-inflammatory multifunctional cytokine produc</w:t>
      </w:r>
      <w:r w:rsidR="005A77AD">
        <w:t xml:space="preserve">ed by a variety of cell types. </w:t>
      </w:r>
      <w:r w:rsidRPr="005A77AD">
        <w:t>Elevated levels of IL-6 have been reported in the serum and synovial fluid of patients with RA, and levels are thought to correlate with disease activity.</w:t>
      </w:r>
    </w:p>
    <w:p w:rsidR="00E53FC6" w:rsidRPr="005A77AD" w:rsidRDefault="00E53FC6" w:rsidP="00F458A1">
      <w:r w:rsidRPr="005A77AD">
        <w:t>A</w:t>
      </w:r>
      <w:r w:rsidR="005A77AD">
        <w:t xml:space="preserve">ctemra </w:t>
      </w:r>
      <w:r w:rsidRPr="005A77AD">
        <w:t>was first approved in Australia in May 2009 for the treatment of moderate to severe active RA in adult patients. In October 2010 the indication was extended to include inhibition of the progression of joint damage, as measured by X-ray, when given in combination with methotrexate. In October 2011 the indi</w:t>
      </w:r>
      <w:r w:rsidR="005A77AD">
        <w:t xml:space="preserve">cation was extended to include </w:t>
      </w:r>
      <w:r w:rsidR="00F365E8">
        <w:t>s</w:t>
      </w:r>
      <w:r w:rsidR="00F365E8" w:rsidRPr="00F365E8">
        <w:t xml:space="preserve">ystemic onset juvenile idiopathic arthritis </w:t>
      </w:r>
      <w:r w:rsidR="00F365E8">
        <w:t>(</w:t>
      </w:r>
      <w:proofErr w:type="spellStart"/>
      <w:r w:rsidR="00F365E8">
        <w:t>s</w:t>
      </w:r>
      <w:r w:rsidRPr="005A77AD">
        <w:t>JIA</w:t>
      </w:r>
      <w:proofErr w:type="spellEnd"/>
      <w:r w:rsidR="00F365E8">
        <w:t>)</w:t>
      </w:r>
      <w:r w:rsidRPr="005A77AD">
        <w:t xml:space="preserve"> in patients 2 years of age and older, and in October 2013 it w</w:t>
      </w:r>
      <w:r w:rsidR="005A77AD">
        <w:t xml:space="preserve">as further extended to include </w:t>
      </w:r>
      <w:proofErr w:type="spellStart"/>
      <w:r w:rsidR="005A77AD">
        <w:t>p</w:t>
      </w:r>
      <w:r w:rsidRPr="005A77AD">
        <w:t>olyarticular</w:t>
      </w:r>
      <w:proofErr w:type="spellEnd"/>
      <w:r w:rsidRPr="005A77AD">
        <w:t xml:space="preserve"> </w:t>
      </w:r>
      <w:r w:rsidR="005A77AD">
        <w:t>j</w:t>
      </w:r>
      <w:r w:rsidRPr="005A77AD">
        <w:t xml:space="preserve">uvenile </w:t>
      </w:r>
      <w:r w:rsidR="005A77AD">
        <w:t>i</w:t>
      </w:r>
      <w:r w:rsidRPr="005A77AD">
        <w:t xml:space="preserve">diopathic </w:t>
      </w:r>
      <w:r w:rsidR="005A77AD">
        <w:t>a</w:t>
      </w:r>
      <w:r w:rsidRPr="005A77AD">
        <w:t>rthritis in patients 2 years of age and older.</w:t>
      </w:r>
    </w:p>
    <w:p w:rsidR="00E53FC6" w:rsidRPr="005A77AD" w:rsidRDefault="00E53FC6" w:rsidP="00F458A1">
      <w:r w:rsidRPr="005A77AD">
        <w:t>In August 2010, a fatal case of anaphylaxis after A</w:t>
      </w:r>
      <w:r w:rsidR="005A77AD">
        <w:t xml:space="preserve">ctemra </w:t>
      </w:r>
      <w:r w:rsidRPr="005A77AD">
        <w:t>administration was notified to the TGA. This resulted in a safety-related update of the A</w:t>
      </w:r>
      <w:r w:rsidR="005A77AD">
        <w:t>ctemra PI</w:t>
      </w:r>
      <w:r w:rsidRPr="005A77AD">
        <w:t>, communication with healthcare professionals and the develop</w:t>
      </w:r>
      <w:r w:rsidR="005A77AD">
        <w:t xml:space="preserve">ment of a safety protocol </w:t>
      </w:r>
      <w:r w:rsidRPr="005A77AD">
        <w:t>for administration of the drug in dedicated infusion clinics (</w:t>
      </w:r>
      <w:proofErr w:type="spellStart"/>
      <w:r w:rsidRPr="005A77AD">
        <w:t>ACTiv</w:t>
      </w:r>
      <w:proofErr w:type="spellEnd"/>
      <w:r w:rsidRPr="005A77AD">
        <w:t xml:space="preserve"> program), based on advice received by the sponsor from medical organisations with an interest in the emerge</w:t>
      </w:r>
      <w:r w:rsidR="005A77AD">
        <w:t xml:space="preserve">ncy management of anaphylaxis. </w:t>
      </w:r>
      <w:r w:rsidRPr="005A77AD">
        <w:t>However it was a specific condition o</w:t>
      </w:r>
      <w:r w:rsidR="005A77AD">
        <w:t>f registration attached to the D</w:t>
      </w:r>
      <w:r w:rsidRPr="005A77AD">
        <w:t xml:space="preserve">elegate’s approval of the </w:t>
      </w:r>
      <w:proofErr w:type="spellStart"/>
      <w:r w:rsidR="00F365E8">
        <w:t>s</w:t>
      </w:r>
      <w:r w:rsidRPr="005A77AD">
        <w:t>JIA</w:t>
      </w:r>
      <w:proofErr w:type="spellEnd"/>
      <w:r w:rsidRPr="005A77AD">
        <w:t xml:space="preserve"> indication that administration of TCZ for the paediatric indication </w:t>
      </w:r>
      <w:r w:rsidRPr="005A77AD">
        <w:rPr>
          <w:i/>
        </w:rPr>
        <w:t>“should take place in a hospital with immediate access to medical personnel, at least until there is adequate demonstration of safety of administration in sufficiently large number of children”</w:t>
      </w:r>
      <w:r w:rsidRPr="005A77AD">
        <w:t>.</w:t>
      </w:r>
    </w:p>
    <w:p w:rsidR="00E53FC6" w:rsidRPr="005A77AD" w:rsidRDefault="00E53FC6" w:rsidP="00F458A1">
      <w:r w:rsidRPr="005A77AD">
        <w:t>In December 2011 the sponsor notified the TGA of a second case of anaphylaxis with a fatal outcome. This resulted in a further safety update and additional communication with healthy professionals by the sponsor.</w:t>
      </w:r>
    </w:p>
    <w:p w:rsidR="00E53FC6" w:rsidRPr="005A77AD" w:rsidRDefault="00E53FC6" w:rsidP="00F458A1">
      <w:r w:rsidRPr="005A77AD">
        <w:t xml:space="preserve">In June 2014, the </w:t>
      </w:r>
      <w:r w:rsidR="005A77AD">
        <w:t>s</w:t>
      </w:r>
      <w:r w:rsidRPr="005A77AD">
        <w:t xml:space="preserve">ponsor has issued a </w:t>
      </w:r>
      <w:r w:rsidR="005A77AD">
        <w:t>s</w:t>
      </w:r>
      <w:r w:rsidRPr="005A77AD">
        <w:t xml:space="preserve">afety </w:t>
      </w:r>
      <w:r w:rsidR="005A77AD">
        <w:t>r</w:t>
      </w:r>
      <w:r w:rsidRPr="005A77AD">
        <w:t xml:space="preserve">elated </w:t>
      </w:r>
      <w:r w:rsidR="005A77AD">
        <w:t>r</w:t>
      </w:r>
      <w:r w:rsidRPr="005A77AD">
        <w:t xml:space="preserve">equest to add a warning about Stevens Johnston syndrome to the PI for </w:t>
      </w:r>
      <w:r w:rsidR="006C365B" w:rsidRPr="006C365B">
        <w:t>TCZ</w:t>
      </w:r>
      <w:r w:rsidRPr="005A77AD">
        <w:t>.</w:t>
      </w:r>
    </w:p>
    <w:p w:rsidR="008E7846" w:rsidRDefault="008E7846" w:rsidP="00F458A1">
      <w:pPr>
        <w:pStyle w:val="Heading3"/>
      </w:pPr>
      <w:bookmarkStart w:id="160" w:name="_Toc314842511"/>
      <w:bookmarkStart w:id="161" w:name="_Toc412444417"/>
      <w:r>
        <w:t>Quality</w:t>
      </w:r>
      <w:bookmarkEnd w:id="158"/>
      <w:bookmarkEnd w:id="160"/>
      <w:bookmarkEnd w:id="161"/>
    </w:p>
    <w:p w:rsidR="00E45619" w:rsidRPr="005A77AD" w:rsidRDefault="008E7846" w:rsidP="00F458A1">
      <w:r w:rsidRPr="005A77AD">
        <w:t>There was no requirement for a quality evaluation in a submission of this type.</w:t>
      </w:r>
    </w:p>
    <w:p w:rsidR="008E7846" w:rsidRDefault="008E7846" w:rsidP="00F458A1">
      <w:pPr>
        <w:pStyle w:val="Heading3"/>
      </w:pPr>
      <w:bookmarkStart w:id="162" w:name="_Toc314842512"/>
      <w:bookmarkStart w:id="163" w:name="_Toc412444418"/>
      <w:r>
        <w:t>Nonclinical</w:t>
      </w:r>
      <w:bookmarkEnd w:id="162"/>
      <w:bookmarkEnd w:id="163"/>
    </w:p>
    <w:p w:rsidR="008E7846" w:rsidRPr="005A77AD" w:rsidRDefault="008E7846" w:rsidP="00F458A1">
      <w:r w:rsidRPr="005A77AD">
        <w:t>There was no requirement for a nonclinical evaluation in a submission of this type.</w:t>
      </w:r>
    </w:p>
    <w:p w:rsidR="008E7846" w:rsidRDefault="008E7846" w:rsidP="00F458A1">
      <w:pPr>
        <w:pStyle w:val="Heading3"/>
      </w:pPr>
      <w:bookmarkStart w:id="164" w:name="_Toc247691530"/>
      <w:bookmarkStart w:id="165" w:name="_Toc314842513"/>
      <w:bookmarkStart w:id="166" w:name="_Toc412444419"/>
      <w:r>
        <w:t>Clinical</w:t>
      </w:r>
      <w:bookmarkEnd w:id="164"/>
      <w:bookmarkEnd w:id="165"/>
      <w:bookmarkEnd w:id="166"/>
    </w:p>
    <w:p w:rsidR="00E53FC6" w:rsidRPr="005A77AD" w:rsidRDefault="00E53FC6" w:rsidP="00F458A1">
      <w:r w:rsidRPr="005A77AD">
        <w:t xml:space="preserve">The clinical dossier </w:t>
      </w:r>
      <w:r w:rsidR="00782F89">
        <w:t xml:space="preserve">provided to support the proposed extension of indications </w:t>
      </w:r>
      <w:r w:rsidRPr="005A77AD">
        <w:t>included the following data:</w:t>
      </w:r>
    </w:p>
    <w:p w:rsidR="00E53FC6" w:rsidRPr="005A77AD" w:rsidRDefault="00E53FC6" w:rsidP="00F458A1">
      <w:pPr>
        <w:pStyle w:val="ListBullet"/>
      </w:pPr>
      <w:r w:rsidRPr="005A77AD">
        <w:lastRenderedPageBreak/>
        <w:t>One popul</w:t>
      </w:r>
      <w:r w:rsidR="005A77AD">
        <w:t>ation PK study using data from S</w:t>
      </w:r>
      <w:r w:rsidRPr="005A77AD">
        <w:t>tudy WA17823, evaluated in a previous submission</w:t>
      </w:r>
    </w:p>
    <w:p w:rsidR="00E53FC6" w:rsidRPr="005A77AD" w:rsidRDefault="005A77AD" w:rsidP="00F458A1">
      <w:pPr>
        <w:pStyle w:val="ListBullet"/>
      </w:pPr>
      <w:r>
        <w:t>One P</w:t>
      </w:r>
      <w:r w:rsidR="00E53FC6" w:rsidRPr="005A77AD">
        <w:t xml:space="preserve">hase III study (WA19926) that also provided </w:t>
      </w:r>
      <w:r>
        <w:t xml:space="preserve">PK </w:t>
      </w:r>
      <w:r w:rsidR="00E53FC6" w:rsidRPr="005A77AD">
        <w:t xml:space="preserve">and </w:t>
      </w:r>
      <w:r>
        <w:t xml:space="preserve">PD </w:t>
      </w:r>
      <w:r w:rsidR="00E53FC6" w:rsidRPr="005A77AD">
        <w:t>data</w:t>
      </w:r>
    </w:p>
    <w:p w:rsidR="00E53FC6" w:rsidRPr="005A77AD" w:rsidRDefault="00E53FC6" w:rsidP="00F458A1">
      <w:pPr>
        <w:pStyle w:val="ListBullet"/>
      </w:pPr>
      <w:r w:rsidRPr="005A77AD">
        <w:t xml:space="preserve">One </w:t>
      </w:r>
      <w:r w:rsidR="005A77AD">
        <w:t>P</w:t>
      </w:r>
      <w:r w:rsidRPr="005A77AD">
        <w:t>hase III extension study (WA18695)</w:t>
      </w:r>
    </w:p>
    <w:p w:rsidR="00E53FC6" w:rsidRPr="005A77AD" w:rsidRDefault="005A77AD" w:rsidP="00F458A1">
      <w:pPr>
        <w:pStyle w:val="ListBullet"/>
      </w:pPr>
      <w:r>
        <w:t>One P</w:t>
      </w:r>
      <w:r w:rsidR="00E53FC6" w:rsidRPr="005A77AD">
        <w:t>hase IV study (NA25256)</w:t>
      </w:r>
    </w:p>
    <w:p w:rsidR="00E53FC6" w:rsidRDefault="00E53FC6" w:rsidP="00F458A1">
      <w:pPr>
        <w:pStyle w:val="ListBullet"/>
      </w:pPr>
      <w:r w:rsidRPr="005A77AD">
        <w:t>Integrated summaries of efficacy and safety</w:t>
      </w:r>
    </w:p>
    <w:p w:rsidR="00782F89" w:rsidRPr="00782F89" w:rsidRDefault="00782F89" w:rsidP="00F458A1">
      <w:r w:rsidRPr="00782F89">
        <w:t xml:space="preserve">The TGA adopted guidance of most relevance to this submission is CPMP/EWP/556/95 Rev 1 dated December 2003 </w:t>
      </w:r>
      <w:r w:rsidRPr="00782F89">
        <w:rPr>
          <w:i/>
        </w:rPr>
        <w:t>Point to Consider on Clinical Investigation of Medicinal Products Other than NSAIDS for Treatment of Rheumatoid Arthritis</w:t>
      </w:r>
      <w:r w:rsidRPr="00782F89">
        <w:t xml:space="preserve">, adopted in 2007. </w:t>
      </w:r>
    </w:p>
    <w:p w:rsidR="00782F89" w:rsidRPr="00782F89" w:rsidRDefault="00782F89" w:rsidP="00F458A1">
      <w:r w:rsidRPr="00782F89">
        <w:t>The sponsor did not propose any changes to the dosage or dosage administration instructions.</w:t>
      </w:r>
    </w:p>
    <w:p w:rsidR="00E53FC6" w:rsidRPr="005A77AD" w:rsidRDefault="00E53FC6" w:rsidP="00F458A1">
      <w:pPr>
        <w:pStyle w:val="Heading4"/>
      </w:pPr>
      <w:r w:rsidRPr="005A77AD">
        <w:t>Pharmacology</w:t>
      </w:r>
    </w:p>
    <w:p w:rsidR="00E53FC6" w:rsidRPr="00F365E8" w:rsidRDefault="00E53FC6" w:rsidP="00F458A1">
      <w:r w:rsidRPr="00F365E8">
        <w:t>Study WA17823 was a randomised, double-blind, parallel group safety of the safety and prevention of structural joint damage during treatment with TCZ versus placebo in combination with MTX in patients with moderate to severe active RA with an inadequate response to MTX, conducted over 52 weeks. A population PK report analysed data from 3336 samples from 841 patients. The mod</w:t>
      </w:r>
      <w:r w:rsidR="005A77AD" w:rsidRPr="00F365E8">
        <w:t>el was based on data from four P</w:t>
      </w:r>
      <w:r w:rsidRPr="00F365E8">
        <w:t xml:space="preserve">hase III studies of 24 months duration each. Using a Bayesian analysis, the two-compartment disposition model with parallel first-order and </w:t>
      </w:r>
      <w:proofErr w:type="spellStart"/>
      <w:r w:rsidRPr="00F365E8">
        <w:t>Michaelis-Menten</w:t>
      </w:r>
      <w:proofErr w:type="spellEnd"/>
      <w:r w:rsidRPr="00F365E8">
        <w:t xml:space="preserve"> elimination kinetics adequately described the data from study WA17823.</w:t>
      </w:r>
    </w:p>
    <w:p w:rsidR="00E53FC6" w:rsidRPr="00F365E8" w:rsidRDefault="00E53FC6" w:rsidP="00F458A1">
      <w:r w:rsidRPr="005A77AD">
        <w:t xml:space="preserve">A graphical analysis of the radiographic scores comparing the </w:t>
      </w:r>
      <w:r w:rsidR="00990540">
        <w:t>area under the concentration-time curve (</w:t>
      </w:r>
      <w:r w:rsidRPr="005A77AD">
        <w:t>AUC</w:t>
      </w:r>
      <w:r w:rsidR="00990540">
        <w:t>)</w:t>
      </w:r>
      <w:r w:rsidRPr="005A77AD">
        <w:t xml:space="preserve"> of responders (</w:t>
      </w:r>
      <w:proofErr w:type="spellStart"/>
      <w:r w:rsidRPr="005A77AD">
        <w:t>mTSS</w:t>
      </w:r>
      <w:proofErr w:type="spellEnd"/>
      <w:r w:rsidRPr="005A77AD">
        <w:t xml:space="preserve"> ≤ baseline at 52 weeks) indicated a slower progression of the erosion score component of the </w:t>
      </w:r>
      <w:proofErr w:type="spellStart"/>
      <w:r w:rsidRPr="005A77AD">
        <w:t>mTSS</w:t>
      </w:r>
      <w:proofErr w:type="spellEnd"/>
      <w:r w:rsidRPr="005A77AD">
        <w:t xml:space="preserve"> when TCZ exposure increased in patients with a moderate to high exposure (cumulative TCZ AUC &gt; 240 x10</w:t>
      </w:r>
      <w:r w:rsidRPr="00B5390D">
        <w:rPr>
          <w:vertAlign w:val="superscript"/>
        </w:rPr>
        <w:t>3</w:t>
      </w:r>
      <w:r w:rsidR="00B5390D">
        <w:t xml:space="preserve"> µ</w:t>
      </w:r>
      <w:proofErr w:type="spellStart"/>
      <w:r w:rsidR="00B5390D">
        <w:t>g</w:t>
      </w:r>
      <w:r w:rsidRPr="005A77AD">
        <w:t>.</w:t>
      </w:r>
      <w:r w:rsidR="00B5390D">
        <w:t>h</w:t>
      </w:r>
      <w:proofErr w:type="spellEnd"/>
      <w:r w:rsidRPr="005A77AD">
        <w:t xml:space="preserve">/mL), compared to placebo. </w:t>
      </w:r>
      <w:r w:rsidRPr="00F365E8">
        <w:t xml:space="preserve">There was no difference in </w:t>
      </w:r>
      <w:r w:rsidR="008D4DD2">
        <w:t>JSN</w:t>
      </w:r>
      <w:r w:rsidRPr="00F365E8">
        <w:t xml:space="preserve"> score.</w:t>
      </w:r>
    </w:p>
    <w:p w:rsidR="00E53FC6" w:rsidRPr="005A77AD" w:rsidRDefault="00E53FC6" w:rsidP="00F458A1">
      <w:r w:rsidRPr="005A77AD">
        <w:t xml:space="preserve">Study WA19926 was a </w:t>
      </w:r>
      <w:r w:rsidR="005A77AD">
        <w:t>P</w:t>
      </w:r>
      <w:r w:rsidRPr="005A77AD">
        <w:t>hase III, multinational, multicentre, randomised, double-blind, parallel group study of disease remission, prevention of structural joint damage and safety during treatment with TCZ as a monotherapy and in combination with MT</w:t>
      </w:r>
      <w:r w:rsidR="00B5390D">
        <w:t>X versus MTX alone in 1162 MTX</w:t>
      </w:r>
      <w:r w:rsidR="009C63CE">
        <w:t xml:space="preserve"> </w:t>
      </w:r>
      <w:r w:rsidRPr="005A77AD">
        <w:t>naïve adult patients with moderate to severe RA of ≤ 2 years duration conducted over 52 weeks of therapy. Steady state Cmin concentrations were approximately 1 µg/mL from week 16 for TCZ 4</w:t>
      </w:r>
      <w:r w:rsidR="00D8522E">
        <w:t xml:space="preserve"> </w:t>
      </w:r>
      <w:r w:rsidR="00906D8E">
        <w:t>mg/kg + MTX</w:t>
      </w:r>
      <w:r w:rsidR="00B5390D">
        <w:t xml:space="preserve"> and approximately </w:t>
      </w:r>
      <w:r w:rsidR="00906D8E">
        <w:t>17</w:t>
      </w:r>
      <w:r w:rsidR="00906D8E">
        <w:noBreakHyphen/>
      </w:r>
      <w:r w:rsidRPr="005A77AD">
        <w:t>21</w:t>
      </w:r>
      <w:r w:rsidR="00906D8E">
        <w:t> </w:t>
      </w:r>
      <w:r w:rsidRPr="005A77AD">
        <w:t>µg</w:t>
      </w:r>
      <w:r w:rsidR="00B5390D">
        <w:t xml:space="preserve">/mL for the TCZ dosage groups. </w:t>
      </w:r>
      <w:r w:rsidRPr="005A77AD">
        <w:t xml:space="preserve">The week 12 Cmax was </w:t>
      </w:r>
      <w:r w:rsidRPr="00782F89">
        <w:t>95.9 µg/mL in the TCZ 4</w:t>
      </w:r>
      <w:r w:rsidR="00906D8E" w:rsidRPr="00782F89">
        <w:t> </w:t>
      </w:r>
      <w:r w:rsidR="00B5390D" w:rsidRPr="00782F89">
        <w:t>mg/kg group</w:t>
      </w:r>
      <w:r w:rsidR="00B5390D">
        <w:t xml:space="preserve"> and 209</w:t>
      </w:r>
      <w:r w:rsidRPr="005A77AD">
        <w:t>–217 µg/mL in the TCZ 8</w:t>
      </w:r>
      <w:r w:rsidR="00B5390D">
        <w:t xml:space="preserve"> </w:t>
      </w:r>
      <w:r w:rsidRPr="005A77AD">
        <w:t xml:space="preserve">mg/kg groups. The PK profile of TCZ was similar in 13 patients with anti-TCZ antibodies following initiation of treatment. There was no clear correlation between DAS28, </w:t>
      </w:r>
      <w:proofErr w:type="spellStart"/>
      <w:r w:rsidRPr="005A77AD">
        <w:t>mTSS</w:t>
      </w:r>
      <w:proofErr w:type="spellEnd"/>
      <w:r w:rsidRPr="005A77AD">
        <w:t xml:space="preserve"> score and TCZ PK profiles.</w:t>
      </w:r>
    </w:p>
    <w:p w:rsidR="00E53FC6" w:rsidRPr="005A77AD" w:rsidRDefault="00E53FC6" w:rsidP="00F458A1">
      <w:pPr>
        <w:pStyle w:val="Heading4"/>
      </w:pPr>
      <w:r w:rsidRPr="005A77AD">
        <w:t>Efficacy</w:t>
      </w:r>
    </w:p>
    <w:p w:rsidR="00E53FC6" w:rsidRPr="005A77AD" w:rsidRDefault="00E53FC6" w:rsidP="00F458A1">
      <w:r w:rsidRPr="001033D2">
        <w:rPr>
          <w:b/>
        </w:rPr>
        <w:t>Study WA19926</w:t>
      </w:r>
      <w:r w:rsidRPr="005A77AD">
        <w:t xml:space="preserve">: This was a </w:t>
      </w:r>
      <w:r w:rsidR="005A77AD">
        <w:t>P</w:t>
      </w:r>
      <w:r w:rsidRPr="005A77AD">
        <w:t>hase III, multinational, multicentre, randomised, double-blind, parallel group superiority study of disease remission, prevention of structural joint damage and safety during treatment with TCZ 8 mg/kg as a monotherapy, TCZ 4 mg/kg or 8</w:t>
      </w:r>
      <w:r w:rsidR="00F365E8">
        <w:t xml:space="preserve"> </w:t>
      </w:r>
      <w:r w:rsidRPr="005A77AD">
        <w:t>mg/kg combination with</w:t>
      </w:r>
      <w:r w:rsidR="00F365E8">
        <w:t xml:space="preserve"> MTX, or MTX alone in 1162 MTX</w:t>
      </w:r>
      <w:r w:rsidR="009C63CE">
        <w:t xml:space="preserve"> </w:t>
      </w:r>
      <w:r w:rsidRPr="005A77AD">
        <w:t>naïve adult patients with moderate to severe RA of ≤ 2 years duration, conducted over 104 weeks. The included patients had a DAS</w:t>
      </w:r>
      <w:r w:rsidR="00F365E8">
        <w:t xml:space="preserve"> </w:t>
      </w:r>
      <w:r w:rsidRPr="005A77AD">
        <w:t>&gt; 3.2, a swollen joint count ≥</w:t>
      </w:r>
      <w:r w:rsidR="00F365E8">
        <w:t xml:space="preserve"> </w:t>
      </w:r>
      <w:r w:rsidRPr="005A77AD">
        <w:t>4 and tender joint count ≥ 6, an ESR ≥</w:t>
      </w:r>
      <w:r w:rsidR="00906D8E">
        <w:t> </w:t>
      </w:r>
      <w:r w:rsidR="00F365E8">
        <w:t>28 mm/h</w:t>
      </w:r>
      <w:r w:rsidRPr="005A77AD">
        <w:t xml:space="preserve"> or a CRP ≥ 10 mg/L, and were rheumatoid factor </w:t>
      </w:r>
      <w:r w:rsidR="000D1607">
        <w:t xml:space="preserve">(RF) </w:t>
      </w:r>
      <w:r w:rsidRPr="005A77AD">
        <w:t>or anti-</w:t>
      </w:r>
      <w:r w:rsidR="00B359B4" w:rsidRPr="00B359B4">
        <w:t xml:space="preserve">cyclic </w:t>
      </w:r>
      <w:proofErr w:type="spellStart"/>
      <w:r w:rsidR="00B359B4" w:rsidRPr="00B359B4">
        <w:t>citrullinated</w:t>
      </w:r>
      <w:proofErr w:type="spellEnd"/>
      <w:r w:rsidR="00B359B4">
        <w:t xml:space="preserve"> </w:t>
      </w:r>
      <w:r w:rsidR="00B359B4" w:rsidRPr="00B359B4">
        <w:t xml:space="preserve">peptide </w:t>
      </w:r>
      <w:r w:rsidR="00B359B4">
        <w:t xml:space="preserve">(CCP) </w:t>
      </w:r>
      <w:r w:rsidRPr="005A77AD">
        <w:t>antibody positive or, if not antibody positive, had radiological evidence of RA. NSAIDS and corticosteroids (&lt;</w:t>
      </w:r>
      <w:r w:rsidR="00F365E8">
        <w:t> </w:t>
      </w:r>
      <w:r w:rsidR="00B359B4">
        <w:t>10 mg</w:t>
      </w:r>
      <w:r w:rsidRPr="005A77AD">
        <w:t xml:space="preserve">/day prednisolone or equivalent) were permitted but not previous treatment with other biological agents. </w:t>
      </w:r>
      <w:r w:rsidR="00F365E8">
        <w:t>The patients were Caucasian (76</w:t>
      </w:r>
      <w:r w:rsidR="00B359B4">
        <w:noBreakHyphen/>
      </w:r>
      <w:r w:rsidR="00F365E8">
        <w:t>79%), female (75</w:t>
      </w:r>
      <w:r w:rsidRPr="005A77AD">
        <w:t>–</w:t>
      </w:r>
      <w:r w:rsidR="00F365E8">
        <w:t>80%), with a mean age of 49</w:t>
      </w:r>
      <w:r w:rsidRPr="005A77AD">
        <w:t>–</w:t>
      </w:r>
      <w:r w:rsidR="00F365E8">
        <w:t xml:space="preserve">51 years (range </w:t>
      </w:r>
      <w:r w:rsidR="00F365E8">
        <w:lastRenderedPageBreak/>
        <w:t>18</w:t>
      </w:r>
      <w:r w:rsidR="00906D8E">
        <w:noBreakHyphen/>
      </w:r>
      <w:r w:rsidRPr="005A77AD">
        <w:t>84 years)</w:t>
      </w:r>
      <w:r w:rsidR="00F365E8">
        <w:t>, and a mean RA duration of 0.4</w:t>
      </w:r>
      <w:r w:rsidRPr="005A77AD">
        <w:t>–</w:t>
      </w:r>
      <w:r w:rsidR="00F365E8">
        <w:t xml:space="preserve">0.5 years. </w:t>
      </w:r>
      <w:r w:rsidRPr="005A77AD">
        <w:t>DMARDS had not been used in 76</w:t>
      </w:r>
      <w:r w:rsidR="00906D8E">
        <w:noBreakHyphen/>
      </w:r>
      <w:r w:rsidRPr="005A77AD">
        <w:t>82%. They had a</w:t>
      </w:r>
      <w:r w:rsidR="00F365E8">
        <w:t xml:space="preserve"> high baseline mean DAS28 (6.6</w:t>
      </w:r>
      <w:r w:rsidR="00F365E8">
        <w:noBreakHyphen/>
      </w:r>
      <w:r w:rsidRPr="005A77AD">
        <w:t xml:space="preserve">6.7) </w:t>
      </w:r>
      <w:r w:rsidR="00F365E8">
        <w:t>but low joint damage (</w:t>
      </w:r>
      <w:proofErr w:type="spellStart"/>
      <w:r w:rsidR="00F365E8">
        <w:t>mTSS</w:t>
      </w:r>
      <w:proofErr w:type="spellEnd"/>
      <w:r w:rsidR="00F365E8">
        <w:t xml:space="preserve"> 5.66</w:t>
      </w:r>
      <w:r w:rsidRPr="005A77AD">
        <w:t>–7.72). The study had 80% power to detect a 10% difference between DAS</w:t>
      </w:r>
      <w:r w:rsidR="00B359B4">
        <w:t>28 remission rates of the TCZ 8 </w:t>
      </w:r>
      <w:r w:rsidRPr="005A77AD">
        <w:t xml:space="preserve">mg/kg + MTX versus placebo + MTX, and a 98% power to detect a mean difference of 2.17 DAS28 units between the TCZ </w:t>
      </w:r>
      <w:r w:rsidRPr="001033D2">
        <w:t>+ MTX</w:t>
      </w:r>
      <w:r w:rsidR="00906D8E">
        <w:t xml:space="preserve"> </w:t>
      </w:r>
      <w:r w:rsidR="00906D8E" w:rsidRPr="00906D8E">
        <w:t>group and the</w:t>
      </w:r>
      <w:r w:rsidR="00906D8E">
        <w:t xml:space="preserve"> </w:t>
      </w:r>
      <w:r w:rsidR="00906D8E" w:rsidRPr="00906D8E">
        <w:t>placebo + MTX group</w:t>
      </w:r>
      <w:r w:rsidRPr="005A77AD">
        <w:t>.</w:t>
      </w:r>
    </w:p>
    <w:p w:rsidR="00E53FC6" w:rsidRPr="005A77AD" w:rsidRDefault="00E53FC6" w:rsidP="00F458A1">
      <w:r w:rsidRPr="005A77AD">
        <w:t>The primary efficacy endpoint was the rate of DAS28 remission, defined as &lt;</w:t>
      </w:r>
      <w:r w:rsidR="00F365E8">
        <w:t xml:space="preserve"> </w:t>
      </w:r>
      <w:r w:rsidRPr="005A77AD">
        <w:t xml:space="preserve">2.6, at </w:t>
      </w:r>
      <w:r w:rsidR="001033D2">
        <w:t>W</w:t>
      </w:r>
      <w:r w:rsidRPr="005A77AD">
        <w:t xml:space="preserve">eek 24 based on </w:t>
      </w:r>
      <w:proofErr w:type="gramStart"/>
      <w:r w:rsidRPr="005A77AD">
        <w:t>an</w:t>
      </w:r>
      <w:r w:rsidR="00F365E8">
        <w:t xml:space="preserve"> intent</w:t>
      </w:r>
      <w:proofErr w:type="gramEnd"/>
      <w:r w:rsidR="00F365E8">
        <w:t>-to-treat (</w:t>
      </w:r>
      <w:r w:rsidRPr="005A77AD">
        <w:t>ITT</w:t>
      </w:r>
      <w:r w:rsidR="00F365E8">
        <w:t>)</w:t>
      </w:r>
      <w:r w:rsidRPr="005A77AD">
        <w:t xml:space="preserve"> population. The rates of this endpoint for each of the treatment arms were as follows:</w:t>
      </w:r>
    </w:p>
    <w:p w:rsidR="00E53FC6" w:rsidRPr="005A77AD" w:rsidRDefault="00F365E8" w:rsidP="00F458A1">
      <w:pPr>
        <w:pStyle w:val="ListBullet"/>
      </w:pPr>
      <w:r>
        <w:t>15%, p</w:t>
      </w:r>
      <w:r w:rsidR="00F458A1">
        <w:t>lacebo + MTX</w:t>
      </w:r>
    </w:p>
    <w:p w:rsidR="00E53FC6" w:rsidRPr="005A77AD" w:rsidRDefault="00F458A1" w:rsidP="00F458A1">
      <w:pPr>
        <w:pStyle w:val="ListBullet"/>
      </w:pPr>
      <w:r>
        <w:t>31.9%, TCZ 4 mg/kg + MTX</w:t>
      </w:r>
    </w:p>
    <w:p w:rsidR="00E53FC6" w:rsidRPr="005A77AD" w:rsidRDefault="00E53FC6" w:rsidP="00F458A1">
      <w:pPr>
        <w:pStyle w:val="ListBullet"/>
      </w:pPr>
      <w:r w:rsidRPr="005A77AD">
        <w:t>44.8%, TCZ 8 mg/kg +</w:t>
      </w:r>
      <w:r w:rsidR="00D8522E">
        <w:t xml:space="preserve"> </w:t>
      </w:r>
      <w:r w:rsidRPr="005A77AD">
        <w:t>MTX</w:t>
      </w:r>
      <w:r w:rsidR="00F365E8">
        <w:t xml:space="preserve"> </w:t>
      </w:r>
      <w:r w:rsidRPr="005A77AD">
        <w:t>(p</w:t>
      </w:r>
      <w:r w:rsidR="00F365E8">
        <w:t xml:space="preserve"> </w:t>
      </w:r>
      <w:r w:rsidRPr="005A77AD">
        <w:t>&lt; 0.0001 v</w:t>
      </w:r>
      <w:r w:rsidR="00F365E8">
        <w:t>ersus</w:t>
      </w:r>
      <w:r w:rsidRPr="005A77AD">
        <w:t xml:space="preserve"> placebo + MTX, OR 4.8 [95% CI: 3.2, 7.1])</w:t>
      </w:r>
    </w:p>
    <w:p w:rsidR="00E53FC6" w:rsidRPr="005A77AD" w:rsidRDefault="00E53FC6" w:rsidP="00F458A1">
      <w:pPr>
        <w:pStyle w:val="ListBullet"/>
      </w:pPr>
      <w:r w:rsidRPr="005A77AD">
        <w:t>38.7%, placebo + TCZ 8</w:t>
      </w:r>
      <w:r w:rsidR="00D8522E">
        <w:t xml:space="preserve"> </w:t>
      </w:r>
      <w:r w:rsidR="00F458A1">
        <w:t>mg/kg</w:t>
      </w:r>
    </w:p>
    <w:p w:rsidR="00906D8E" w:rsidRDefault="00E53FC6" w:rsidP="00F458A1">
      <w:r w:rsidRPr="005A77AD">
        <w:t>Secondary efficacy endpoints were statistically signific</w:t>
      </w:r>
      <w:r w:rsidR="0097161D">
        <w:t>ant for the comparison of TCZ 8 </w:t>
      </w:r>
      <w:r w:rsidRPr="005A77AD">
        <w:t>mg/kg + MTX versus placebo + MTX for the following variables: DAS &lt; 2.6, ACR20, ACR50</w:t>
      </w:r>
      <w:r w:rsidR="0097161D">
        <w:t>,</w:t>
      </w:r>
      <w:r w:rsidRPr="005A77AD">
        <w:t xml:space="preserve"> ACR 70, HAQ-DI at </w:t>
      </w:r>
      <w:r w:rsidR="001033D2">
        <w:t>W</w:t>
      </w:r>
      <w:r w:rsidRPr="005A77AD">
        <w:t>eek 24 and 52 (</w:t>
      </w:r>
      <w:r w:rsidR="000D5785">
        <w:t xml:space="preserve">see </w:t>
      </w:r>
      <w:r w:rsidRPr="005A77AD">
        <w:t xml:space="preserve">Table </w:t>
      </w:r>
      <w:r w:rsidR="004279F8">
        <w:t>7</w:t>
      </w:r>
      <w:r w:rsidRPr="005A77AD">
        <w:t>). The comparison between TCZ 8</w:t>
      </w:r>
      <w:r w:rsidR="008D4DD2">
        <w:t> </w:t>
      </w:r>
      <w:r w:rsidRPr="005A77AD">
        <w:t>mg monotherapy and placebo + MTX groups also reached significance for DAS28 &lt;</w:t>
      </w:r>
      <w:r w:rsidR="0097161D">
        <w:t xml:space="preserve"> </w:t>
      </w:r>
      <w:r w:rsidRPr="005A77AD">
        <w:t xml:space="preserve">2.6 at </w:t>
      </w:r>
      <w:r w:rsidR="001033D2">
        <w:t>W</w:t>
      </w:r>
      <w:r w:rsidRPr="005A77AD">
        <w:t xml:space="preserve">eek 24. DAS remission responses at </w:t>
      </w:r>
      <w:r w:rsidR="001033D2">
        <w:t>W</w:t>
      </w:r>
      <w:r w:rsidRPr="005A77AD">
        <w:t>eek 52 occurred in 19.5%, 34.0%, 49.0% and 39.4% of the placebo + MTX, TCZ 4</w:t>
      </w:r>
      <w:r w:rsidR="0097161D">
        <w:t xml:space="preserve"> </w:t>
      </w:r>
      <w:r w:rsidRPr="005A77AD">
        <w:t>mg/kg + MTX, TCZ 8</w:t>
      </w:r>
      <w:r w:rsidR="0097161D">
        <w:t xml:space="preserve"> </w:t>
      </w:r>
      <w:r w:rsidRPr="005A77AD">
        <w:t>mg/kg + MTX, and TCZ 8</w:t>
      </w:r>
      <w:r w:rsidR="0097161D">
        <w:t xml:space="preserve"> </w:t>
      </w:r>
      <w:r w:rsidRPr="005A77AD">
        <w:t>mg/kg + placebo groups, respectively. The majority of the difference from ba</w:t>
      </w:r>
      <w:r w:rsidR="0097161D">
        <w:t>seline occurred in the first 16</w:t>
      </w:r>
      <w:r w:rsidR="0097161D">
        <w:noBreakHyphen/>
      </w:r>
      <w:r w:rsidRPr="005A77AD">
        <w:t xml:space="preserve">24 weeks of therapy, and the mean effect was maintained until </w:t>
      </w:r>
      <w:r w:rsidR="001033D2">
        <w:t>W</w:t>
      </w:r>
      <w:r w:rsidR="00F458A1">
        <w:t>eek 104.</w:t>
      </w:r>
    </w:p>
    <w:p w:rsidR="00E53FC6" w:rsidRPr="005A77AD" w:rsidRDefault="00E53FC6" w:rsidP="00F458A1">
      <w:r w:rsidRPr="005A77AD">
        <w:t xml:space="preserve">Radiographic assessments were performed at baseline and </w:t>
      </w:r>
      <w:r w:rsidR="001033D2">
        <w:t>W</w:t>
      </w:r>
      <w:r w:rsidRPr="005A77AD">
        <w:t xml:space="preserve">eek 52. The mean change from baseline to </w:t>
      </w:r>
      <w:r w:rsidR="001033D2">
        <w:t>W</w:t>
      </w:r>
      <w:r w:rsidRPr="005A77AD">
        <w:t xml:space="preserve">eek 52 in the </w:t>
      </w:r>
      <w:proofErr w:type="spellStart"/>
      <w:r w:rsidRPr="005A77AD">
        <w:t>mTSS</w:t>
      </w:r>
      <w:proofErr w:type="spellEnd"/>
      <w:r w:rsidRPr="005A77AD">
        <w:t xml:space="preserve"> was 0.08 in the TCZ 8 mg/kg +</w:t>
      </w:r>
      <w:r w:rsidR="000D5785">
        <w:t xml:space="preserve"> </w:t>
      </w:r>
      <w:r w:rsidRPr="005A77AD">
        <w:t>MTX and 1.14 in the placebo + MTX groups (p</w:t>
      </w:r>
      <w:r w:rsidR="0097161D">
        <w:t xml:space="preserve"> </w:t>
      </w:r>
      <w:r w:rsidRPr="005A77AD">
        <w:t>=</w:t>
      </w:r>
      <w:r w:rsidR="0097161D">
        <w:t xml:space="preserve"> </w:t>
      </w:r>
      <w:r w:rsidRPr="005A77AD">
        <w:t xml:space="preserve">0.0001). The mean change from baseline to </w:t>
      </w:r>
      <w:r w:rsidR="001033D2">
        <w:t>W</w:t>
      </w:r>
      <w:r w:rsidRPr="005A77AD">
        <w:t xml:space="preserve">eek 52 in the </w:t>
      </w:r>
      <w:r w:rsidR="001033D2">
        <w:t>modified Sharp erosion score (</w:t>
      </w:r>
      <w:proofErr w:type="spellStart"/>
      <w:r w:rsidRPr="005A77AD">
        <w:t>mSES</w:t>
      </w:r>
      <w:proofErr w:type="spellEnd"/>
      <w:r w:rsidR="001033D2">
        <w:t>)</w:t>
      </w:r>
      <w:r w:rsidRPr="005A77AD">
        <w:t xml:space="preserve"> was lower in the TCZ 8 mg/kg + MTX than placebo + MTX group (0.05 </w:t>
      </w:r>
      <w:r w:rsidR="00F516E3" w:rsidRPr="005A77AD">
        <w:t>versus</w:t>
      </w:r>
      <w:r w:rsidRPr="005A77AD">
        <w:t xml:space="preserve"> 0.63, p</w:t>
      </w:r>
      <w:r w:rsidR="0097161D">
        <w:t xml:space="preserve"> </w:t>
      </w:r>
      <w:r w:rsidRPr="005A77AD">
        <w:t>=</w:t>
      </w:r>
      <w:r w:rsidR="0097161D">
        <w:t xml:space="preserve"> </w:t>
      </w:r>
      <w:r w:rsidRPr="005A77AD">
        <w:t>0.0006). The mean change from baseline in JSN was also lower with TCZ 8</w:t>
      </w:r>
      <w:r w:rsidR="001033D2">
        <w:t xml:space="preserve"> </w:t>
      </w:r>
      <w:r w:rsidRPr="005A77AD">
        <w:t>mg</w:t>
      </w:r>
      <w:r w:rsidR="008D4DD2">
        <w:t xml:space="preserve"> </w:t>
      </w:r>
      <w:r w:rsidRPr="005A77AD">
        <w:t>+</w:t>
      </w:r>
      <w:r w:rsidR="008D4DD2">
        <w:t xml:space="preserve"> </w:t>
      </w:r>
      <w:r w:rsidRPr="005A77AD">
        <w:t xml:space="preserve">MTX (0.03 </w:t>
      </w:r>
      <w:r w:rsidR="00F516E3" w:rsidRPr="005A77AD">
        <w:t>versus</w:t>
      </w:r>
      <w:r w:rsidRPr="005A77AD">
        <w:t xml:space="preserve"> 0.51) but was not statistically significant due to the hierarchical chain of statistical testing. The reducti</w:t>
      </w:r>
      <w:r w:rsidR="008D4DD2">
        <w:t>on in joint damage in the TCZ 8 </w:t>
      </w:r>
      <w:r w:rsidRPr="005A77AD">
        <w:t xml:space="preserve">mg/kg monotherapy group was less than the TCZ 8 mg/kg + MTX group and was not statistically significant in the hierarchical testing sequence. Between </w:t>
      </w:r>
      <w:r w:rsidR="001033D2">
        <w:t>W</w:t>
      </w:r>
      <w:r w:rsidRPr="005A77AD">
        <w:t xml:space="preserve">eek 52 and </w:t>
      </w:r>
      <w:r w:rsidR="001033D2">
        <w:t>W</w:t>
      </w:r>
      <w:r w:rsidRPr="005A77AD">
        <w:t xml:space="preserve">eek 104, the </w:t>
      </w:r>
      <w:proofErr w:type="spellStart"/>
      <w:r w:rsidRPr="005A77AD">
        <w:t>mTSS</w:t>
      </w:r>
      <w:proofErr w:type="spellEnd"/>
      <w:r w:rsidRPr="005A77AD">
        <w:t xml:space="preserve"> had increased by 0.06/0.32/0.68/0.89 in the TCZ 8</w:t>
      </w:r>
      <w:r w:rsidR="001033D2">
        <w:t xml:space="preserve"> </w:t>
      </w:r>
      <w:r w:rsidRPr="005A77AD">
        <w:t>mg/kg +</w:t>
      </w:r>
      <w:r w:rsidR="001033D2">
        <w:t xml:space="preserve"> </w:t>
      </w:r>
      <w:r w:rsidRPr="005A77AD">
        <w:t>MTX, TCZ 8 mg/kg</w:t>
      </w:r>
      <w:r w:rsidR="001033D2">
        <w:t xml:space="preserve"> </w:t>
      </w:r>
      <w:r w:rsidRPr="005A77AD">
        <w:t>+ placebo, TCZ 4 mg/kg +</w:t>
      </w:r>
      <w:r w:rsidR="001033D2">
        <w:t xml:space="preserve"> </w:t>
      </w:r>
      <w:r w:rsidRPr="005A77AD">
        <w:t>MTX, and plac</w:t>
      </w:r>
      <w:r w:rsidR="00F458A1">
        <w:t>ebo + MTX groups, respectively.</w:t>
      </w:r>
    </w:p>
    <w:p w:rsidR="00E53FC6" w:rsidRPr="0097161D" w:rsidRDefault="0097161D" w:rsidP="00F458A1">
      <w:pPr>
        <w:pStyle w:val="TableTitle"/>
      </w:pPr>
      <w:r w:rsidRPr="0097161D">
        <w:lastRenderedPageBreak/>
        <w:t xml:space="preserve">Table </w:t>
      </w:r>
      <w:r w:rsidR="004279F8">
        <w:t>7</w:t>
      </w:r>
      <w:r w:rsidRPr="0097161D">
        <w:t>: Study WA19926</w:t>
      </w:r>
      <w:r w:rsidR="004279F8">
        <w:t>.</w:t>
      </w:r>
      <w:r w:rsidRPr="0097161D">
        <w:t xml:space="preserve"> Overview of </w:t>
      </w:r>
      <w:r w:rsidR="004279F8">
        <w:t>e</w:t>
      </w:r>
      <w:r w:rsidRPr="0097161D">
        <w:t xml:space="preserve">fficacy </w:t>
      </w:r>
      <w:r w:rsidR="004279F8">
        <w:t>o</w:t>
      </w:r>
      <w:r w:rsidRPr="0097161D">
        <w:t>utcomes</w:t>
      </w:r>
    </w:p>
    <w:p w:rsidR="0097161D" w:rsidRDefault="00CE417F" w:rsidP="00F458A1">
      <w:r>
        <w:rPr>
          <w:noProof/>
          <w:lang w:eastAsia="en-AU"/>
        </w:rPr>
        <w:drawing>
          <wp:inline distT="0" distB="0" distL="0" distR="0" wp14:anchorId="16E48FEA" wp14:editId="5971B7EF">
            <wp:extent cx="3923818" cy="7575776"/>
            <wp:effectExtent l="0" t="0" r="635" b="6350"/>
            <wp:docPr id="7" name="Picture 7" descr="Table 7: Study WA19926. Overview of efficacy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925667" cy="7579346"/>
                    </a:xfrm>
                    <a:prstGeom prst="rect">
                      <a:avLst/>
                    </a:prstGeom>
                  </pic:spPr>
                </pic:pic>
              </a:graphicData>
            </a:graphic>
          </wp:inline>
        </w:drawing>
      </w:r>
    </w:p>
    <w:p w:rsidR="00CE417F" w:rsidRPr="000D5785" w:rsidRDefault="00CE417F" w:rsidP="00F458A1">
      <w:pPr>
        <w:pStyle w:val="TableDescription"/>
      </w:pPr>
      <w:r w:rsidRPr="000D5785">
        <w:t xml:space="preserve">a: p &lt; 0.05; however this comparison occurred after the break in </w:t>
      </w:r>
      <w:r w:rsidR="000D5785" w:rsidRPr="000D5785">
        <w:t>hierarchical</w:t>
      </w:r>
      <w:r w:rsidRPr="000D5785">
        <w:t xml:space="preserve"> ordered testing sequence; b: p &lt; 0.05; c: p &lt; 0.05; however endpoint is exploratory so not adjusted fo</w:t>
      </w:r>
      <w:r w:rsidR="006860B5">
        <w:t>r</w:t>
      </w:r>
      <w:r w:rsidRPr="000D5785">
        <w:t xml:space="preserve"> multiple comparisons; d: Exploratory endpoint of categorical change from baseline in HAQ-DI was not formally tested.</w:t>
      </w:r>
    </w:p>
    <w:p w:rsidR="00CE417F" w:rsidRPr="000D5785" w:rsidRDefault="00CE417F" w:rsidP="00F458A1">
      <w:pPr>
        <w:pStyle w:val="TableDescription"/>
      </w:pPr>
      <w:r w:rsidRPr="000D5785">
        <w:t xml:space="preserve">Note: All comparisons are versus placebo + MTX. Secondary endpoints are not presented in the sequential order in which they were tested and the n for different analyses varies. For categorical endpoints (such as ARC20/50/70 and EULAR response) withdrawn patients were classified as non-responders following withdrawal. For radiographic and all other endpoints, assessments prior to </w:t>
      </w:r>
      <w:r w:rsidRPr="000D5785">
        <w:lastRenderedPageBreak/>
        <w:t>withdrawal were included and al</w:t>
      </w:r>
      <w:r w:rsidR="000D5785" w:rsidRPr="000D5785">
        <w:t>l</w:t>
      </w:r>
      <w:r w:rsidRPr="000D5785">
        <w:t xml:space="preserve"> data measured following early withdrawa</w:t>
      </w:r>
      <w:r w:rsidR="00F458A1">
        <w:t>l from the study were excluded.</w:t>
      </w:r>
    </w:p>
    <w:p w:rsidR="00E53FC6" w:rsidRPr="005A77AD" w:rsidRDefault="00E53FC6" w:rsidP="00F458A1">
      <w:r w:rsidRPr="005A77AD">
        <w:t>At the end of 52 weeks 95/290 (33%) of the patients taking TCZ 4 mg/kg + MTX and 142/289 (49%) of the patients taking placebo + MTX were switched to TCZ 8 mg/kg + MTX because their DAS28 was &gt;</w:t>
      </w:r>
      <w:r w:rsidR="001033D2">
        <w:t xml:space="preserve"> </w:t>
      </w:r>
      <w:r w:rsidRPr="005A77AD">
        <w:t>3.2 (‘escape therapy’). The remainder of patients continued on the same medication. Blinding was maintained for patients and site staff. All endpoints in the second year of the study were exploratory. Overall the re</w:t>
      </w:r>
      <w:r w:rsidR="001033D2">
        <w:t>sponses to therapy achieved at W</w:t>
      </w:r>
      <w:r w:rsidRPr="005A77AD">
        <w:t xml:space="preserve">eek 52 were maintained at </w:t>
      </w:r>
      <w:r w:rsidR="001033D2">
        <w:t>W</w:t>
      </w:r>
      <w:r w:rsidRPr="005A77AD">
        <w:t>eek 104. About 22-25% of pa</w:t>
      </w:r>
      <w:r w:rsidR="001033D2">
        <w:t>tients with DAS28 remission at W</w:t>
      </w:r>
      <w:r w:rsidRPr="005A77AD">
        <w:t>eek 52 shift</w:t>
      </w:r>
      <w:r w:rsidR="001033D2">
        <w:t>ed to being a non-responder by W</w:t>
      </w:r>
      <w:r w:rsidRPr="005A77AD">
        <w:t>eek 104 and a similar rate of patient</w:t>
      </w:r>
      <w:r w:rsidR="001033D2">
        <w:t>s shifted from non-response at W</w:t>
      </w:r>
      <w:r w:rsidRPr="005A77AD">
        <w:t xml:space="preserve">eek 52 to response at </w:t>
      </w:r>
      <w:r w:rsidR="001033D2">
        <w:t>Week 104. DAS28 remission at W</w:t>
      </w:r>
      <w:r w:rsidRPr="005A77AD">
        <w:t>eek 104 was achieved in 30.4% and 51.4% of the escape therapy patients in the TCZ 4</w:t>
      </w:r>
      <w:r w:rsidR="001033D2">
        <w:t xml:space="preserve"> </w:t>
      </w:r>
      <w:r w:rsidRPr="005A77AD">
        <w:t>mg/kg + MTX and placebo +</w:t>
      </w:r>
      <w:r w:rsidR="001033D2">
        <w:t xml:space="preserve"> </w:t>
      </w:r>
      <w:r w:rsidR="00F458A1">
        <w:t>MTX groups.</w:t>
      </w:r>
    </w:p>
    <w:p w:rsidR="00E53FC6" w:rsidRPr="005A77AD" w:rsidRDefault="00E53FC6" w:rsidP="00F458A1">
      <w:r w:rsidRPr="001033D2">
        <w:rPr>
          <w:b/>
        </w:rPr>
        <w:t>Study WA17824</w:t>
      </w:r>
      <w:r w:rsidRPr="005A77AD">
        <w:t xml:space="preserve"> was a </w:t>
      </w:r>
      <w:r w:rsidR="005A77AD">
        <w:t>P</w:t>
      </w:r>
      <w:r w:rsidRPr="005A77AD">
        <w:t>hase III, 24 week randomised controlled non-inferiority study assessing the safety and efficacy of TCZ 8 mg/kg + placebo versus MTX + placebo in 572 adult patients with active moder</w:t>
      </w:r>
      <w:r w:rsidR="001033D2">
        <w:t>ate to severe RA that were MTX</w:t>
      </w:r>
      <w:r w:rsidR="009C63CE">
        <w:t xml:space="preserve"> </w:t>
      </w:r>
      <w:r w:rsidRPr="005A77AD">
        <w:t>naïve or had not received MTX for 6 months. The patients were predominantly female (81%), White (71.5%) with a mean age of approximately 50 years. The primary endpoint was the proportion of p</w:t>
      </w:r>
      <w:r w:rsidR="001033D2">
        <w:t>atients with ACR20 response at W</w:t>
      </w:r>
      <w:r w:rsidRPr="005A77AD">
        <w:t xml:space="preserve">eek 24 </w:t>
      </w:r>
      <w:r w:rsidR="001033D2">
        <w:t xml:space="preserve">and </w:t>
      </w:r>
      <w:r w:rsidRPr="005A77AD">
        <w:t>had previously been evaluated by the TGA. A post-hoc analysis of</w:t>
      </w:r>
      <w:r w:rsidR="00906D8E">
        <w:t xml:space="preserve"> the subgroup of 241 patients (</w:t>
      </w:r>
      <w:r w:rsidRPr="005A77AD">
        <w:t>116 TCZ, 125 MTX) with RA of ≤ 2 years duration at baseline showed a weighted difference of 22.4% (95% CI: 10.0, 34.7) in the proportion of p</w:t>
      </w:r>
      <w:r w:rsidR="001033D2">
        <w:t>atients with DAS remissions at W</w:t>
      </w:r>
      <w:r w:rsidRPr="005A77AD">
        <w:t>eek 24. Similar re</w:t>
      </w:r>
      <w:r w:rsidR="001033D2">
        <w:t>sponses were seen on ACR20, ACR</w:t>
      </w:r>
      <w:r w:rsidRPr="005A77AD">
        <w:t>50, ACR70 and HAD-QI in this analysis compared with the secondary endpoints in study WA19926. The ACR/EULAR remission responses were similar to an exploratory endpoint in study WA19926.</w:t>
      </w:r>
    </w:p>
    <w:p w:rsidR="00E53FC6" w:rsidRPr="005A77AD" w:rsidRDefault="00E53FC6" w:rsidP="00F458A1">
      <w:r w:rsidRPr="001033D2">
        <w:rPr>
          <w:b/>
        </w:rPr>
        <w:t>Study MRA012JP</w:t>
      </w:r>
      <w:r w:rsidRPr="005A77AD">
        <w:t xml:space="preserve">: This open-label, randomised trial of TCZ 8 mg/kg monotherapy compared to conventional DMARD therapy in 306 patients with active RA and an inadequate response to conventional DMARDS had a median duration of RA of 2.0 years and a mean baseline </w:t>
      </w:r>
      <w:proofErr w:type="spellStart"/>
      <w:r w:rsidRPr="005A77AD">
        <w:t>mTSS</w:t>
      </w:r>
      <w:proofErr w:type="spellEnd"/>
      <w:r w:rsidRPr="005A77AD">
        <w:t xml:space="preserve"> 28.3 in the TCZ 8</w:t>
      </w:r>
      <w:r w:rsidR="001033D2">
        <w:t xml:space="preserve"> </w:t>
      </w:r>
      <w:r w:rsidRPr="005A77AD">
        <w:t xml:space="preserve">mg/kg group. The inhibition of </w:t>
      </w:r>
      <w:proofErr w:type="spellStart"/>
      <w:r w:rsidRPr="005A77AD">
        <w:t>mTSS</w:t>
      </w:r>
      <w:proofErr w:type="spellEnd"/>
      <w:r w:rsidRPr="005A77AD">
        <w:t xml:space="preserve">, </w:t>
      </w:r>
      <w:proofErr w:type="spellStart"/>
      <w:r w:rsidRPr="005A77AD">
        <w:t>mSES</w:t>
      </w:r>
      <w:proofErr w:type="spellEnd"/>
      <w:r w:rsidRPr="005A77AD">
        <w:t xml:space="preserve"> and modified </w:t>
      </w:r>
      <w:r w:rsidR="001033D2">
        <w:t xml:space="preserve">JSN </w:t>
      </w:r>
      <w:r w:rsidRPr="005A77AD">
        <w:t>score was 62% inhibition.</w:t>
      </w:r>
    </w:p>
    <w:p w:rsidR="00E53FC6" w:rsidRPr="005A77AD" w:rsidRDefault="00E53FC6" w:rsidP="00F458A1">
      <w:r w:rsidRPr="001033D2">
        <w:rPr>
          <w:b/>
        </w:rPr>
        <w:t>Study WA18695</w:t>
      </w:r>
      <w:r w:rsidRPr="005A77AD">
        <w:t xml:space="preserve">: This study was a long term extension study of WA17822 (a </w:t>
      </w:r>
      <w:r w:rsidR="005A77AD">
        <w:t>P</w:t>
      </w:r>
      <w:r w:rsidRPr="005A77AD">
        <w:t>hase III</w:t>
      </w:r>
      <w:r w:rsidR="00357EF2">
        <w:t>,</w:t>
      </w:r>
      <w:r w:rsidRPr="005A77AD">
        <w:t xml:space="preserve"> 24 week</w:t>
      </w:r>
      <w:r w:rsidR="00357EF2">
        <w:t>,</w:t>
      </w:r>
      <w:r w:rsidRPr="005A77AD">
        <w:t xml:space="preserve"> placebo controlled study in moderate to severe RA). This </w:t>
      </w:r>
      <w:r w:rsidR="005A77AD">
        <w:t>P</w:t>
      </w:r>
      <w:r w:rsidRPr="005A77AD">
        <w:t>hase III open label, single group, multinational, multicentre 5 year extension of the 24 week</w:t>
      </w:r>
      <w:r w:rsidR="0015267E">
        <w:t>,</w:t>
      </w:r>
      <w:r w:rsidRPr="005A77AD">
        <w:t xml:space="preserve"> </w:t>
      </w:r>
      <w:r w:rsidR="005A77AD">
        <w:t>P</w:t>
      </w:r>
      <w:r w:rsidR="00357EF2">
        <w:t>hase III</w:t>
      </w:r>
      <w:r w:rsidR="0015267E">
        <w:t>,</w:t>
      </w:r>
      <w:r w:rsidR="00357EF2">
        <w:t xml:space="preserve"> randomised</w:t>
      </w:r>
      <w:r w:rsidR="0015267E">
        <w:t>,</w:t>
      </w:r>
      <w:r w:rsidR="00357EF2">
        <w:t xml:space="preserve"> controlled T</w:t>
      </w:r>
      <w:r w:rsidRPr="005A77AD">
        <w:t>rial WA17822 to assess the long term safety of 8</w:t>
      </w:r>
      <w:r w:rsidR="00357EF2">
        <w:t xml:space="preserve"> </w:t>
      </w:r>
      <w:r w:rsidRPr="005A77AD">
        <w:t>mg/kg TCZ in 538 patients with at total exposure of 2461.</w:t>
      </w:r>
      <w:r w:rsidR="00357EF2">
        <w:t xml:space="preserve">9 </w:t>
      </w:r>
      <w:r w:rsidR="008C562E">
        <w:t xml:space="preserve">PY </w:t>
      </w:r>
      <w:r w:rsidR="00357EF2">
        <w:t>and a median of 5.37 (range 0.2</w:t>
      </w:r>
      <w:r w:rsidRPr="005A77AD">
        <w:t>–6.4 years). The study population was mostly female (82%) and White (72%) with a mean age of 50.8 years. At 264 weeks 46% of t</w:t>
      </w:r>
      <w:r w:rsidR="00357EF2">
        <w:t>he patients had achieved an ACR</w:t>
      </w:r>
      <w:r w:rsidRPr="005A77AD">
        <w:t>70 response and 61% had a DAS28 remission. Quality of life data was supportive but sufficient disease control allowed the reduction or cessation of oral corticosteroids in 10 or 20% of patients respectively.</w:t>
      </w:r>
    </w:p>
    <w:p w:rsidR="00E53FC6" w:rsidRPr="005A77AD" w:rsidRDefault="00E53FC6" w:rsidP="00F458A1">
      <w:r w:rsidRPr="00D25F4C">
        <w:rPr>
          <w:b/>
        </w:rPr>
        <w:t>Study NA2526</w:t>
      </w:r>
      <w:r w:rsidRPr="005A77AD">
        <w:t>: This was a US based, randomised, parallel-group, open-label, multicentre st</w:t>
      </w:r>
      <w:r w:rsidR="00D25F4C">
        <w:t xml:space="preserve">udy to evaluate the effects of </w:t>
      </w:r>
      <w:r w:rsidRPr="005A77AD">
        <w:t xml:space="preserve">8 mg/kg TCZ on vaccination with </w:t>
      </w:r>
      <w:proofErr w:type="spellStart"/>
      <w:r w:rsidRPr="005A77AD">
        <w:t>Pneumovax</w:t>
      </w:r>
      <w:proofErr w:type="spellEnd"/>
      <w:r w:rsidRPr="005A77AD">
        <w:t xml:space="preserve"> 23-valent polysaccharide vaccine and adsorbed tetanus toxoid vaccine in 91 adult patients aged &lt;</w:t>
      </w:r>
      <w:r w:rsidR="00D25F4C">
        <w:t> </w:t>
      </w:r>
      <w:r w:rsidRPr="005A77AD">
        <w:t xml:space="preserve">65 years receiving background MTX for RA of &gt; 6 months duration. The patients were not taking other DMARDs </w:t>
      </w:r>
      <w:r w:rsidR="00D25F4C">
        <w:t xml:space="preserve">and </w:t>
      </w:r>
      <w:r w:rsidRPr="005A77AD">
        <w:t>were permitted maintenance doses of corticosteroids. The patients had not received pneumococcal vaccination in at least 3 years and tetanus toxoid vaccine in least 5 years. Anti-pneumococcal and anti-tetanus antibody titres were mea</w:t>
      </w:r>
      <w:r w:rsidR="00F458A1">
        <w:t>sured 5 weeks post vaccination.</w:t>
      </w:r>
    </w:p>
    <w:p w:rsidR="00E53FC6" w:rsidRPr="005A77AD" w:rsidRDefault="00E53FC6" w:rsidP="00F458A1">
      <w:r w:rsidRPr="005A77AD">
        <w:t>The primary efficacy endpoint was the proportion of responders (defined as ≥ 2 fold increase in serum antibody titre or an increase of &gt;</w:t>
      </w:r>
      <w:r w:rsidR="00D25F4C">
        <w:t xml:space="preserve"> </w:t>
      </w:r>
      <w:r w:rsidRPr="005A77AD">
        <w:t>1mg/L from baseline) with ≥ 6 of 12 anti-pneumococcal antibody serotypes.</w:t>
      </w:r>
    </w:p>
    <w:p w:rsidR="00E53FC6" w:rsidRPr="005A77AD" w:rsidRDefault="00E53FC6" w:rsidP="00F458A1">
      <w:r w:rsidRPr="005A77AD">
        <w:t>The primary efficacy results were:</w:t>
      </w:r>
    </w:p>
    <w:p w:rsidR="00E53FC6" w:rsidRPr="005A77AD" w:rsidRDefault="00E53FC6" w:rsidP="00F458A1">
      <w:pPr>
        <w:pStyle w:val="ListBullet"/>
      </w:pPr>
      <w:r w:rsidRPr="005A77AD">
        <w:t>60% response, TCZ 8 mg/kg + MTX ( n</w:t>
      </w:r>
      <w:r w:rsidR="00D25F4C">
        <w:t xml:space="preserve"> </w:t>
      </w:r>
      <w:r w:rsidRPr="005A77AD">
        <w:t>=</w:t>
      </w:r>
      <w:r w:rsidR="00D25F4C">
        <w:t xml:space="preserve"> </w:t>
      </w:r>
      <w:r w:rsidRPr="005A77AD">
        <w:t>54)</w:t>
      </w:r>
    </w:p>
    <w:p w:rsidR="00E53FC6" w:rsidRPr="005A77AD" w:rsidRDefault="00E53FC6" w:rsidP="00F458A1">
      <w:pPr>
        <w:pStyle w:val="ListBullet"/>
      </w:pPr>
      <w:r w:rsidRPr="005A77AD">
        <w:lastRenderedPageBreak/>
        <w:t>70.8% response, MTX only (n</w:t>
      </w:r>
      <w:r w:rsidR="00D25F4C">
        <w:t xml:space="preserve"> </w:t>
      </w:r>
      <w:r w:rsidRPr="005A77AD">
        <w:t>=</w:t>
      </w:r>
      <w:r w:rsidR="00D25F4C">
        <w:t xml:space="preserve"> </w:t>
      </w:r>
      <w:r w:rsidRPr="005A77AD">
        <w:t>27)</w:t>
      </w:r>
    </w:p>
    <w:p w:rsidR="00E53FC6" w:rsidRPr="005A77AD" w:rsidRDefault="00E53FC6" w:rsidP="00F458A1">
      <w:pPr>
        <w:pStyle w:val="ListBullet"/>
      </w:pPr>
      <w:r w:rsidRPr="005A77AD">
        <w:t>Difference -10.8% (95% CI: -33.7%, 12.0%)</w:t>
      </w:r>
    </w:p>
    <w:p w:rsidR="00E53FC6" w:rsidRPr="005A77AD" w:rsidRDefault="00D25F4C" w:rsidP="00F458A1">
      <w:r>
        <w:t>Patients aged 51-</w:t>
      </w:r>
      <w:r w:rsidR="00E53FC6" w:rsidRPr="005A77AD">
        <w:t>&lt;</w:t>
      </w:r>
      <w:r>
        <w:t xml:space="preserve"> </w:t>
      </w:r>
      <w:r w:rsidR="00E53FC6" w:rsidRPr="005A77AD">
        <w:t>65 years responded less well to vaccination (56.3% TCZ + MTX v</w:t>
      </w:r>
      <w:r>
        <w:t xml:space="preserve">ersus 66.7% MTX alone). </w:t>
      </w:r>
      <w:r w:rsidR="00E53FC6" w:rsidRPr="005A77AD">
        <w:t>The MTX only group produced a response to more serotypes than the TCZ group. The response to the tetanus toxoid vaccine in the TCZ</w:t>
      </w:r>
      <w:r>
        <w:t xml:space="preserve"> </w:t>
      </w:r>
      <w:r w:rsidR="00E53FC6" w:rsidRPr="005A77AD">
        <w:t>+</w:t>
      </w:r>
      <w:r>
        <w:t xml:space="preserve"> </w:t>
      </w:r>
      <w:r w:rsidR="00E53FC6" w:rsidRPr="005A77AD">
        <w:t>MTX group was 42.0% versus 39.1% in MTX alone (difference -2.9% 95% CI -21.4%, 27.1%). A post hoc analysis found no impact from corticosteroid use or duration of treatment for RA. The sample size was small in this study.</w:t>
      </w:r>
    </w:p>
    <w:p w:rsidR="00E53FC6" w:rsidRPr="005A77AD" w:rsidRDefault="00E53FC6" w:rsidP="00F458A1">
      <w:r w:rsidRPr="00D25F4C">
        <w:rPr>
          <w:b/>
        </w:rPr>
        <w:t>Pooled efficacy data</w:t>
      </w:r>
      <w:r w:rsidR="00D25F4C">
        <w:t xml:space="preserve">: </w:t>
      </w:r>
      <w:r w:rsidRPr="005A77AD">
        <w:t>Pooled efficacy data from 5 studies showed 449 patients with early RA (treatment duration ≤ 2 years</w:t>
      </w:r>
      <w:r w:rsidR="00D25F4C">
        <w:t>) receiving TCZ treatment at W</w:t>
      </w:r>
      <w:r w:rsidRPr="005A77AD">
        <w:t>eek 264 showed 35.4% maintained DAS28 remission for 48 consecutive weeks, 26.9% for 96 consecutive weeks, 19.8% for 144 consecutive weeks and 15.8% for 192 consecutive weeks.</w:t>
      </w:r>
    </w:p>
    <w:p w:rsidR="00E53FC6" w:rsidRPr="005A77AD" w:rsidRDefault="00E53FC6" w:rsidP="00F458A1">
      <w:pPr>
        <w:pStyle w:val="Heading4"/>
      </w:pPr>
      <w:r w:rsidRPr="005A77AD">
        <w:t>Safety</w:t>
      </w:r>
    </w:p>
    <w:p w:rsidR="00E53FC6" w:rsidRPr="005A77AD" w:rsidRDefault="00E53FC6" w:rsidP="00F458A1">
      <w:r w:rsidRPr="005A77AD">
        <w:t xml:space="preserve">The safety profile was similar to that seen in previous studies of </w:t>
      </w:r>
      <w:r w:rsidR="006C365B" w:rsidRPr="006C365B">
        <w:t>TCZ</w:t>
      </w:r>
      <w:r w:rsidRPr="005A77AD">
        <w:t xml:space="preserve"> with RA. There were no new safety signals detected in the patient population with early RA.</w:t>
      </w:r>
    </w:p>
    <w:p w:rsidR="00E53FC6" w:rsidRPr="005A77AD" w:rsidRDefault="00E53FC6" w:rsidP="00F458A1">
      <w:r w:rsidRPr="00D25F4C">
        <w:rPr>
          <w:b/>
        </w:rPr>
        <w:t>Study WA18695</w:t>
      </w:r>
      <w:r w:rsidRPr="005A77AD">
        <w:t xml:space="preserve">: This was a </w:t>
      </w:r>
      <w:r w:rsidR="005A77AD">
        <w:t>P</w:t>
      </w:r>
      <w:r w:rsidRPr="005A77AD">
        <w:t>hase III</w:t>
      </w:r>
      <w:r w:rsidR="0015267E">
        <w:t>,</w:t>
      </w:r>
      <w:r w:rsidRPr="005A77AD">
        <w:t xml:space="preserve"> open label, single group, multinational, multicen</w:t>
      </w:r>
      <w:r w:rsidR="00D25F4C">
        <w:t>tre 5 year extension of the 24 w</w:t>
      </w:r>
      <w:r w:rsidRPr="005A77AD">
        <w:t>eek</w:t>
      </w:r>
      <w:r w:rsidR="00D25F4C">
        <w:t>,</w:t>
      </w:r>
      <w:r w:rsidRPr="005A77AD">
        <w:t xml:space="preserve"> </w:t>
      </w:r>
      <w:r w:rsidR="005A77AD">
        <w:t>P</w:t>
      </w:r>
      <w:r w:rsidRPr="005A77AD">
        <w:t>hase III</w:t>
      </w:r>
      <w:r w:rsidR="00D25F4C">
        <w:t>, randomised</w:t>
      </w:r>
      <w:r w:rsidR="0015267E">
        <w:t>,</w:t>
      </w:r>
      <w:r w:rsidR="00D25F4C">
        <w:t xml:space="preserve"> controlled T</w:t>
      </w:r>
      <w:r w:rsidRPr="005A77AD">
        <w:t>rial WA17822</w:t>
      </w:r>
      <w:r w:rsidR="0015267E">
        <w:t>,</w:t>
      </w:r>
      <w:r w:rsidRPr="005A77AD">
        <w:t xml:space="preserve"> to assess the long term safety of TCZ 8</w:t>
      </w:r>
      <w:r w:rsidR="00D25F4C">
        <w:t xml:space="preserve"> </w:t>
      </w:r>
      <w:r w:rsidRPr="005A77AD">
        <w:t xml:space="preserve">mg/kg in 538 patients with at total exposure of 2461.9 </w:t>
      </w:r>
      <w:r w:rsidR="008C562E">
        <w:t xml:space="preserve">PY </w:t>
      </w:r>
      <w:r w:rsidR="00D25F4C">
        <w:t>and a median individual exposure of 5.37 (range 0.2</w:t>
      </w:r>
      <w:r w:rsidRPr="005A77AD">
        <w:t>–6.4 years). The study population was mostly female (82%) and White (72%) with a mean age of 50.8 years. Overall the AE rate was 275.7 per 100 PY, higher in the first 12 months (393.8 per 100</w:t>
      </w:r>
      <w:r w:rsidR="00D25F4C">
        <w:t xml:space="preserve"> </w:t>
      </w:r>
      <w:r w:rsidRPr="005A77AD">
        <w:t>PY) then relatively constant over the subsequent 5 years. Observed changes in laboratory parameters were relatively stable after initial changes in the first year of treatment. There were 10 deaths (0.41 events per 100 PY). S</w:t>
      </w:r>
      <w:r w:rsidR="00D25F4C">
        <w:t xml:space="preserve">erious </w:t>
      </w:r>
      <w:r w:rsidRPr="005A77AD">
        <w:t xml:space="preserve">AEs occurred at a rate of 13.85/100 PY, mostly infections (3.63/100 PY), neoplasms (1.3/100 PY) and </w:t>
      </w:r>
      <w:r w:rsidR="00D25F4C">
        <w:t xml:space="preserve">gastrointestinal </w:t>
      </w:r>
      <w:r w:rsidRPr="005A77AD">
        <w:t>disorders (1.26/100</w:t>
      </w:r>
      <w:r w:rsidR="00D25F4C">
        <w:t xml:space="preserve"> </w:t>
      </w:r>
      <w:r w:rsidRPr="005A77AD">
        <w:t>PY). The same types of AEs as well as elevated transaminases led to withdrawal. The most frequent AEs were from the infections/infestations SOC (84.2 per 100</w:t>
      </w:r>
      <w:r w:rsidR="00D25F4C">
        <w:t xml:space="preserve"> </w:t>
      </w:r>
      <w:r w:rsidRPr="005A77AD">
        <w:t>PY). The frequency of SAEs and AEs did not increase with time.</w:t>
      </w:r>
    </w:p>
    <w:p w:rsidR="00E53FC6" w:rsidRPr="005A77AD" w:rsidRDefault="00E53FC6" w:rsidP="00F458A1">
      <w:r w:rsidRPr="005A77AD">
        <w:t xml:space="preserve">In the pivotal </w:t>
      </w:r>
      <w:r w:rsidR="00D25F4C">
        <w:t>S</w:t>
      </w:r>
      <w:r w:rsidRPr="005A77AD">
        <w:t>tudy WA19926, 1,012 patients received at least one dose of TCZ. The total duration of</w:t>
      </w:r>
      <w:r w:rsidR="00D25F4C">
        <w:t xml:space="preserve"> exposure to MTX 8 mg/kg + MTX </w:t>
      </w:r>
      <w:r w:rsidRPr="005A77AD">
        <w:t xml:space="preserve">drug was 682 years and 380.1, 481.1 and 331.7 for TCZ 4 mg/kg + </w:t>
      </w:r>
      <w:r w:rsidR="00D25F4C">
        <w:t>MTX, TCZ 8 mg/kg + placebo and p</w:t>
      </w:r>
      <w:r w:rsidRPr="005A77AD">
        <w:t>lacebo + MTX, respectively. The mean duration of exposure was 1.29 years. A</w:t>
      </w:r>
      <w:r w:rsidR="00D25F4C">
        <w:t>dverse events were frequent (83.3%</w:t>
      </w:r>
      <w:r w:rsidR="003B6B04">
        <w:noBreakHyphen/>
      </w:r>
      <w:r w:rsidRPr="005A77AD">
        <w:t xml:space="preserve">88.6%). The rates of AEs were 434.1/100 </w:t>
      </w:r>
      <w:r w:rsidR="003B6B04">
        <w:t xml:space="preserve">PY, 444.3/100 PY, 394.1/100 PY </w:t>
      </w:r>
      <w:r w:rsidRPr="005A77AD">
        <w:t>and 367.9 AEs per 100 PY in the TCZ 8 mg/kg</w:t>
      </w:r>
      <w:r w:rsidR="003B6B04">
        <w:t xml:space="preserve"> </w:t>
      </w:r>
      <w:r w:rsidRPr="005A77AD">
        <w:t>+</w:t>
      </w:r>
      <w:r w:rsidR="003B6B04">
        <w:t xml:space="preserve"> </w:t>
      </w:r>
      <w:r w:rsidRPr="005A77AD">
        <w:t>MTX, TCZ 4 mg/kg</w:t>
      </w:r>
      <w:r w:rsidR="003B6B04">
        <w:t xml:space="preserve"> </w:t>
      </w:r>
      <w:r w:rsidRPr="005A77AD">
        <w:t>+</w:t>
      </w:r>
      <w:r w:rsidR="003B6B04">
        <w:t xml:space="preserve"> </w:t>
      </w:r>
      <w:r w:rsidRPr="005A77AD">
        <w:t>MTX, TCZ 8 mg/kg</w:t>
      </w:r>
      <w:r w:rsidR="003B6B04">
        <w:t xml:space="preserve"> </w:t>
      </w:r>
      <w:r w:rsidRPr="005A77AD">
        <w:t>+</w:t>
      </w:r>
      <w:r w:rsidR="003B6B04">
        <w:t xml:space="preserve"> </w:t>
      </w:r>
      <w:r w:rsidRPr="005A77AD">
        <w:t>placebo and placebo</w:t>
      </w:r>
      <w:r w:rsidR="003B6B04">
        <w:t xml:space="preserve"> </w:t>
      </w:r>
      <w:r w:rsidRPr="005A77AD">
        <w:t>+</w:t>
      </w:r>
      <w:r w:rsidR="003B6B04">
        <w:t xml:space="preserve"> </w:t>
      </w:r>
      <w:r w:rsidRPr="005A77AD">
        <w:t>MTX  groups, respectively. Adverse events followed a similar profile to that reported in the first treatment year. On switching to escape therapy there was no i</w:t>
      </w:r>
      <w:r w:rsidR="003F3633">
        <w:t>ncrease in AE rates. In the all-</w:t>
      </w:r>
      <w:r w:rsidRPr="005A77AD">
        <w:t xml:space="preserve">exposure population, AE rates in the early RA and MTX naïve subpopulations were also lower that those found in </w:t>
      </w:r>
      <w:r w:rsidR="003B6B04">
        <w:t>S</w:t>
      </w:r>
      <w:r w:rsidRPr="005A77AD">
        <w:t xml:space="preserve">tudy WA19926 (288 and 272 </w:t>
      </w:r>
      <w:r w:rsidR="00F516E3" w:rsidRPr="005A77AD">
        <w:t>versus</w:t>
      </w:r>
      <w:r w:rsidRPr="005A77AD">
        <w:t xml:space="preserve"> 434 events per 100 PY). The events rates in TCZ monotherapy were higher in WA19926 than WA17824 LTE (394 </w:t>
      </w:r>
      <w:r w:rsidR="00F516E3" w:rsidRPr="005A77AD">
        <w:t>versus</w:t>
      </w:r>
      <w:r w:rsidRPr="005A77AD">
        <w:t xml:space="preserve"> 254 per 100 PY).The highest AE rate was in the infection/infestation SOC followed by the </w:t>
      </w:r>
      <w:r w:rsidR="00990540">
        <w:t>g</w:t>
      </w:r>
      <w:r w:rsidR="00990540" w:rsidRPr="00990540">
        <w:t>astrointestinal</w:t>
      </w:r>
      <w:r w:rsidR="00F458A1">
        <w:t xml:space="preserve"> disorders and investigations.</w:t>
      </w:r>
    </w:p>
    <w:p w:rsidR="00E53FC6" w:rsidRPr="005A77AD" w:rsidRDefault="00E53FC6" w:rsidP="00F458A1">
      <w:r w:rsidRPr="005A77AD">
        <w:t xml:space="preserve">There were 14 deaths were reported in </w:t>
      </w:r>
      <w:r w:rsidR="003B6B04">
        <w:t>S</w:t>
      </w:r>
      <w:r w:rsidRPr="005A77AD">
        <w:t>tudy WA19926. The rate was highest in the TCZ 4</w:t>
      </w:r>
      <w:r w:rsidR="00D8522E">
        <w:t xml:space="preserve"> </w:t>
      </w:r>
      <w:r w:rsidRPr="005A77AD">
        <w:t>mg/kg</w:t>
      </w:r>
      <w:r w:rsidR="003B6B04">
        <w:t xml:space="preserve"> </w:t>
      </w:r>
      <w:r w:rsidRPr="005A77AD">
        <w:t>+</w:t>
      </w:r>
      <w:r w:rsidR="003B6B04">
        <w:t xml:space="preserve"> </w:t>
      </w:r>
      <w:r w:rsidRPr="005A77AD">
        <w:t>MTX group compared to the other groups (1.27</w:t>
      </w:r>
      <w:r w:rsidR="003B6B04">
        <w:t xml:space="preserve"> per </w:t>
      </w:r>
      <w:r w:rsidRPr="005A77AD">
        <w:t xml:space="preserve">100 PY </w:t>
      </w:r>
      <w:r w:rsidR="00F516E3" w:rsidRPr="005A77AD">
        <w:t>versus</w:t>
      </w:r>
      <w:r w:rsidR="003B6B04">
        <w:t xml:space="preserve"> 0.56-0.60 </w:t>
      </w:r>
      <w:r w:rsidR="003B6B04" w:rsidRPr="003B6B04">
        <w:t>per 100 PY</w:t>
      </w:r>
      <w:r w:rsidR="003B6B04">
        <w:t xml:space="preserve">). </w:t>
      </w:r>
      <w:r w:rsidRPr="005A77AD">
        <w:t>Infections, particularly pneumonia were involved in 6 of the 9 cases and 3 patients were aged over 80 years. The death rate in WA19926, all TCZ and placebo</w:t>
      </w:r>
      <w:r w:rsidR="003B6B04">
        <w:t xml:space="preserve"> </w:t>
      </w:r>
      <w:r w:rsidRPr="005A77AD">
        <w:t>+</w:t>
      </w:r>
      <w:r w:rsidR="003B6B04">
        <w:t xml:space="preserve"> </w:t>
      </w:r>
      <w:r w:rsidRPr="005A77AD">
        <w:t>MTX groups was higher than in the other pooled populations including the early RA subpopulation (all TCZ</w:t>
      </w:r>
      <w:r w:rsidR="003B6B04">
        <w:t>,</w:t>
      </w:r>
      <w:r w:rsidRPr="005A77AD">
        <w:t xml:space="preserve"> 0.88 </w:t>
      </w:r>
      <w:r w:rsidR="00F516E3" w:rsidRPr="005A77AD">
        <w:t>versus</w:t>
      </w:r>
      <w:r w:rsidRPr="005A77AD">
        <w:t xml:space="preserve"> 0.54 </w:t>
      </w:r>
      <w:r w:rsidR="003B6B04">
        <w:t xml:space="preserve">for </w:t>
      </w:r>
      <w:r w:rsidRPr="005A77AD">
        <w:t>early RA subpop</w:t>
      </w:r>
      <w:r w:rsidR="003F3633">
        <w:t>ulation). In the all-</w:t>
      </w:r>
      <w:r w:rsidRPr="005A77AD">
        <w:t xml:space="preserve">exposure LTE population, the most frequent cause of death was infections followed by cardiac disorders and malignancies. The death rate in the TCZ monotherapy group of WA19926 </w:t>
      </w:r>
      <w:r w:rsidRPr="005A77AD">
        <w:lastRenderedPageBreak/>
        <w:t xml:space="preserve">was lower than in the monotherapy group in WA17824 (0.37 </w:t>
      </w:r>
      <w:r w:rsidR="00F516E3" w:rsidRPr="005A77AD">
        <w:t>versus</w:t>
      </w:r>
      <w:r w:rsidRPr="005A77AD">
        <w:t xml:space="preserve"> 0.76). There was no pattern of aetiology in the deaths. The reported mortality rates with TCZ in the literature were between 0.3 and 0.83 events per 100 PY. The rate of SAEs was higher in TCZ groups than the placebo</w:t>
      </w:r>
      <w:r w:rsidR="003B6B04">
        <w:t xml:space="preserve"> </w:t>
      </w:r>
      <w:r w:rsidRPr="005A77AD">
        <w:t>+</w:t>
      </w:r>
      <w:r w:rsidR="003B6B04">
        <w:t xml:space="preserve"> </w:t>
      </w:r>
      <w:r w:rsidRPr="005A77AD">
        <w:t xml:space="preserve">MTX group (11.6-14.7 </w:t>
      </w:r>
      <w:r w:rsidR="00F516E3" w:rsidRPr="005A77AD">
        <w:t>versus</w:t>
      </w:r>
      <w:r w:rsidRPr="005A77AD">
        <w:t xml:space="preserve"> 9.1 SAEs per 100 PY). The most frequent SAEs were infections. The rate of SAEs increased on escape therapy.</w:t>
      </w:r>
    </w:p>
    <w:p w:rsidR="00E53FC6" w:rsidRPr="005A77AD" w:rsidRDefault="00E53FC6" w:rsidP="00F458A1">
      <w:r w:rsidRPr="005A77AD">
        <w:t>Discontinuations due to AEs were higher in the TCZ groups than in the placebo</w:t>
      </w:r>
      <w:r w:rsidR="00A52C89">
        <w:t xml:space="preserve"> </w:t>
      </w:r>
      <w:r w:rsidRPr="005A77AD">
        <w:t>+</w:t>
      </w:r>
      <w:r w:rsidR="00A52C89">
        <w:t xml:space="preserve"> </w:t>
      </w:r>
      <w:r w:rsidRPr="005A77AD">
        <w:t xml:space="preserve">MTX group (9.9-12.0 </w:t>
      </w:r>
      <w:r w:rsidR="00F516E3" w:rsidRPr="005A77AD">
        <w:t>versus</w:t>
      </w:r>
      <w:r w:rsidRPr="005A77AD">
        <w:t xml:space="preserve"> 6.5 AEs per 100 PY) and highest in the TCZ 8 mg/kg +</w:t>
      </w:r>
      <w:r w:rsidR="00D8522E">
        <w:t xml:space="preserve"> </w:t>
      </w:r>
      <w:r w:rsidRPr="005A77AD">
        <w:t>MTX group (20% v</w:t>
      </w:r>
      <w:r w:rsidR="00A52C89">
        <w:t>ersus</w:t>
      </w:r>
      <w:r w:rsidRPr="005A77AD">
        <w:t xml:space="preserve"> 7.4–12.1%). Rates of withdrawal decreased in the ‘non-escape’ patients in the second year of therapy and were 7%, 10%, 9% and 3% of the TCZ 8</w:t>
      </w:r>
      <w:r w:rsidR="00D8522E">
        <w:t xml:space="preserve"> </w:t>
      </w:r>
      <w:r w:rsidRPr="005A77AD">
        <w:t>mg/kg</w:t>
      </w:r>
      <w:r w:rsidR="00D8522E">
        <w:t xml:space="preserve"> </w:t>
      </w:r>
      <w:r w:rsidRPr="005A77AD">
        <w:t>+</w:t>
      </w:r>
      <w:r w:rsidR="00D8522E">
        <w:t xml:space="preserve"> </w:t>
      </w:r>
      <w:r w:rsidRPr="005A77AD">
        <w:t>MTX, TCZ 8</w:t>
      </w:r>
      <w:r w:rsidR="00D8522E">
        <w:t xml:space="preserve"> </w:t>
      </w:r>
      <w:r w:rsidRPr="005A77AD">
        <w:t>mg/kg</w:t>
      </w:r>
      <w:r w:rsidR="00A52C89">
        <w:t xml:space="preserve"> </w:t>
      </w:r>
      <w:r w:rsidRPr="005A77AD">
        <w:t>+</w:t>
      </w:r>
      <w:r w:rsidR="00A52C89">
        <w:t xml:space="preserve"> </w:t>
      </w:r>
      <w:r w:rsidRPr="005A77AD">
        <w:t>placebo, TCZ 4</w:t>
      </w:r>
      <w:r w:rsidR="00A52C89">
        <w:t xml:space="preserve"> </w:t>
      </w:r>
      <w:r w:rsidRPr="005A77AD">
        <w:t>mg/kg</w:t>
      </w:r>
      <w:r w:rsidR="00A52C89">
        <w:t xml:space="preserve"> </w:t>
      </w:r>
      <w:r w:rsidRPr="005A77AD">
        <w:t>+</w:t>
      </w:r>
      <w:r w:rsidR="00A52C89">
        <w:t xml:space="preserve"> </w:t>
      </w:r>
      <w:r w:rsidRPr="005A77AD">
        <w:t>MTZ and placebo</w:t>
      </w:r>
      <w:r w:rsidR="00A52C89">
        <w:t xml:space="preserve"> </w:t>
      </w:r>
      <w:r w:rsidRPr="005A77AD">
        <w:t>+</w:t>
      </w:r>
      <w:r w:rsidR="00A52C89">
        <w:t xml:space="preserve"> </w:t>
      </w:r>
      <w:r w:rsidRPr="005A77AD">
        <w:t>MTX groups, respectively. Dose modifications and interruptions due to AEs were more common in the TCZ+</w:t>
      </w:r>
      <w:r w:rsidR="00D8522E">
        <w:t xml:space="preserve"> </w:t>
      </w:r>
      <w:r w:rsidRPr="005A77AD">
        <w:t>MTX groups than in the placebo</w:t>
      </w:r>
      <w:r w:rsidR="00A52C89">
        <w:t xml:space="preserve"> </w:t>
      </w:r>
      <w:r w:rsidRPr="005A77AD">
        <w:t>+</w:t>
      </w:r>
      <w:r w:rsidR="00A52C89">
        <w:t xml:space="preserve"> </w:t>
      </w:r>
      <w:r w:rsidRPr="005A77AD">
        <w:t>MTX or TCZ 8 mg/kg</w:t>
      </w:r>
      <w:r w:rsidR="00A52C89">
        <w:t xml:space="preserve"> </w:t>
      </w:r>
      <w:r w:rsidRPr="005A77AD">
        <w:t>+</w:t>
      </w:r>
      <w:r w:rsidR="00A52C89">
        <w:t xml:space="preserve"> </w:t>
      </w:r>
      <w:r w:rsidRPr="005A77AD">
        <w:t>placebo groups. The most common AEs leading to discontinuations were infections, increased transaminases a</w:t>
      </w:r>
      <w:r w:rsidR="00714BF6">
        <w:t>nd gastrointestinal disorders.</w:t>
      </w:r>
    </w:p>
    <w:p w:rsidR="00E53FC6" w:rsidRPr="005A77AD" w:rsidRDefault="00E53FC6" w:rsidP="00714BF6">
      <w:r w:rsidRPr="00A52C89">
        <w:rPr>
          <w:b/>
        </w:rPr>
        <w:t>Infections</w:t>
      </w:r>
      <w:r w:rsidR="00A52C89">
        <w:t xml:space="preserve">: </w:t>
      </w:r>
      <w:r w:rsidRPr="005A77AD">
        <w:t>In the safety study the rate of infections was relatively constant over each year of the 5 year time period (87-93 per 100 PY years 1 to 4 and 72 per 100 PY at &gt;</w:t>
      </w:r>
      <w:r w:rsidR="00A52C89">
        <w:t xml:space="preserve"> </w:t>
      </w:r>
      <w:r w:rsidRPr="005A77AD">
        <w:t>4 years). The serious infection rate was 3.6 per 100 PY with the most frequent being pneumonia (2 cases were fatal). Opportunistic infections occurred at a rate of 0.2 per 100</w:t>
      </w:r>
      <w:r w:rsidR="00A52C89">
        <w:t xml:space="preserve"> P</w:t>
      </w:r>
      <w:r w:rsidRPr="005A77AD">
        <w:t>Y and tuberculosis at 0.3 events per 100 PY. In the pivotal study the rates of infections were 3.8/100 PY in the TCZ 8</w:t>
      </w:r>
      <w:r w:rsidR="00A52C89">
        <w:t xml:space="preserve"> </w:t>
      </w:r>
      <w:r w:rsidRPr="005A77AD">
        <w:t>mg/kg + MTX group and 4.2 in the TCZ 4</w:t>
      </w:r>
      <w:r w:rsidR="00A52C89">
        <w:t xml:space="preserve"> </w:t>
      </w:r>
      <w:r w:rsidRPr="005A77AD">
        <w:t xml:space="preserve">mg/kg + MTX group </w:t>
      </w:r>
      <w:r w:rsidR="0015267E">
        <w:t>compared with 2.4 in the MTX + p</w:t>
      </w:r>
      <w:r w:rsidRPr="005A77AD">
        <w:t xml:space="preserve">lacebo group. The most common infections were URTI, nasopharyngitis and </w:t>
      </w:r>
      <w:r w:rsidR="00A52C89">
        <w:t>urinary tract infection</w:t>
      </w:r>
      <w:r w:rsidRPr="005A77AD">
        <w:t>. Serious infections were mor</w:t>
      </w:r>
      <w:r w:rsidR="00A52C89">
        <w:t xml:space="preserve">e common in the TCZ groups (3.6 per </w:t>
      </w:r>
      <w:r w:rsidRPr="005A77AD">
        <w:t xml:space="preserve">100 PY versus 2.4 </w:t>
      </w:r>
      <w:r w:rsidR="00A52C89" w:rsidRPr="00A52C89">
        <w:t xml:space="preserve">per 100 PY </w:t>
      </w:r>
      <w:r w:rsidRPr="005A77AD">
        <w:t>in the placebo +</w:t>
      </w:r>
      <w:r w:rsidR="00D8522E">
        <w:t xml:space="preserve"> </w:t>
      </w:r>
      <w:r w:rsidRPr="005A77AD">
        <w:t>MTX group), and were m</w:t>
      </w:r>
      <w:r w:rsidR="00714BF6">
        <w:t>ostly pneumonia and cellulitis.</w:t>
      </w:r>
    </w:p>
    <w:p w:rsidR="00E53FC6" w:rsidRPr="005A77AD" w:rsidRDefault="00E53FC6" w:rsidP="00714BF6">
      <w:r w:rsidRPr="00A52C89">
        <w:rPr>
          <w:b/>
        </w:rPr>
        <w:t>Liver function tests</w:t>
      </w:r>
      <w:r w:rsidRPr="005A77AD">
        <w:t>: The rates of shift from normal at baseline to &gt;</w:t>
      </w:r>
      <w:r w:rsidR="00A52C89">
        <w:t xml:space="preserve"> </w:t>
      </w:r>
      <w:r w:rsidRPr="005A77AD">
        <w:t>ULN to ≤ 3</w:t>
      </w:r>
      <w:r w:rsidR="00A52C89">
        <w:t xml:space="preserve"> </w:t>
      </w:r>
      <w:r w:rsidRPr="005A77AD">
        <w:t>x</w:t>
      </w:r>
      <w:r w:rsidR="00A52C89">
        <w:t xml:space="preserve"> </w:t>
      </w:r>
      <w:r w:rsidRPr="005A77AD">
        <w:t>ULN in ALT were 48.6%, 35.6% 39.1% and 36.9% in the TCZ 8 mg/kg +</w:t>
      </w:r>
      <w:r w:rsidR="00D8522E">
        <w:t xml:space="preserve"> </w:t>
      </w:r>
      <w:r w:rsidRPr="005A77AD">
        <w:t>MTX, TCZ 8 mg/kg +</w:t>
      </w:r>
      <w:r w:rsidR="00A52C89">
        <w:t xml:space="preserve"> </w:t>
      </w:r>
      <w:r w:rsidRPr="005A77AD">
        <w:t>placebo, TCZ 4 mg/kg + MTX and placebo + MTX groups, respectively, and for &gt; 3</w:t>
      </w:r>
      <w:r w:rsidR="00A52C89">
        <w:t xml:space="preserve"> </w:t>
      </w:r>
      <w:r w:rsidRPr="005A77AD">
        <w:t>x ULN in 12.8% of TCZ 8</w:t>
      </w:r>
      <w:r w:rsidR="00A52C89">
        <w:t xml:space="preserve"> </w:t>
      </w:r>
      <w:r w:rsidRPr="005A77AD">
        <w:t>mg/kg + MTX group. Ther</w:t>
      </w:r>
      <w:r w:rsidR="00A52C89">
        <w:t>e were no Grade 4 cases and 3.4</w:t>
      </w:r>
      <w:r w:rsidRPr="005A77AD">
        <w:t xml:space="preserve">–3.5% </w:t>
      </w:r>
      <w:r w:rsidR="00A52C89">
        <w:t xml:space="preserve">were </w:t>
      </w:r>
      <w:r w:rsidRPr="005A77AD">
        <w:t>Grade 3</w:t>
      </w:r>
      <w:r w:rsidR="00A52C89">
        <w:t xml:space="preserve"> in the TCZ + MTX groups. From Weeks 52–1</w:t>
      </w:r>
      <w:r w:rsidRPr="005A77AD">
        <w:t>04 mean ALT, AST and bilirubin levels were steady. The rate of ALT &gt;</w:t>
      </w:r>
      <w:r w:rsidR="00A52C89">
        <w:t xml:space="preserve"> </w:t>
      </w:r>
      <w:r w:rsidRPr="005A77AD">
        <w:t>3 x ULN was higher than reported in previous studies (</w:t>
      </w:r>
      <w:r w:rsidR="00A52C89">
        <w:t xml:space="preserve">for example, </w:t>
      </w:r>
      <w:r w:rsidRPr="005A77AD">
        <w:t>TCZ 8 mg/kg + DMARD/MTX (5.8%) in the DMARD-IR population in previous TCZ studies). In the safety study the</w:t>
      </w:r>
      <w:r w:rsidR="00A52C89">
        <w:t xml:space="preserve"> mean ALT and AST increased by W</w:t>
      </w:r>
      <w:r w:rsidRPr="005A77AD">
        <w:t>eek 2 then remain relatively stable at the ULN. Most of the shifts were within the range of &gt;</w:t>
      </w:r>
      <w:r w:rsidR="00A52C89">
        <w:t xml:space="preserve"> </w:t>
      </w:r>
      <w:r w:rsidRPr="005A77AD">
        <w:t>ULN to 3</w:t>
      </w:r>
      <w:r w:rsidR="00A52C89">
        <w:t xml:space="preserve"> </w:t>
      </w:r>
      <w:r w:rsidRPr="005A77AD">
        <w:t>x</w:t>
      </w:r>
      <w:r w:rsidR="00A52C89">
        <w:t xml:space="preserve"> </w:t>
      </w:r>
      <w:r w:rsidRPr="005A77AD">
        <w:t xml:space="preserve">ULN. No cases met </w:t>
      </w:r>
      <w:proofErr w:type="spellStart"/>
      <w:r w:rsidRPr="005A77AD">
        <w:t>Hy’s</w:t>
      </w:r>
      <w:proofErr w:type="spellEnd"/>
      <w:r w:rsidRPr="005A77AD">
        <w:t xml:space="preserve"> Law definition. There were 8 patients withdrawn for liver enzyme changes with 6 of these occurring in th</w:t>
      </w:r>
      <w:r w:rsidR="00714BF6">
        <w:t>e first 12 months of treatment.</w:t>
      </w:r>
    </w:p>
    <w:p w:rsidR="00E53FC6" w:rsidRPr="005A77AD" w:rsidRDefault="00E53FC6" w:rsidP="00714BF6">
      <w:r w:rsidRPr="00A52C89">
        <w:rPr>
          <w:b/>
        </w:rPr>
        <w:t>Haematological changes</w:t>
      </w:r>
      <w:r w:rsidR="00A52C89">
        <w:t xml:space="preserve">: </w:t>
      </w:r>
      <w:r w:rsidRPr="005A77AD">
        <w:t xml:space="preserve">In the pivotal study, the mean neutrophil count decreased by </w:t>
      </w:r>
      <w:r w:rsidR="00A52C89">
        <w:t>W</w:t>
      </w:r>
      <w:r w:rsidRPr="005A77AD">
        <w:t>eek 8 and remained relatively stable through the rest of the study. Neutropenia was most frequent with TCZ 8</w:t>
      </w:r>
      <w:r w:rsidR="00A52C89">
        <w:t xml:space="preserve"> </w:t>
      </w:r>
      <w:r w:rsidRPr="005A77AD">
        <w:t xml:space="preserve">mg/kg doses. </w:t>
      </w:r>
      <w:r w:rsidR="00A52C89">
        <w:t>C</w:t>
      </w:r>
      <w:r w:rsidR="00A52C89" w:rsidRPr="00A52C89">
        <w:t xml:space="preserve">ommon </w:t>
      </w:r>
      <w:r w:rsidR="000D1607">
        <w:t xml:space="preserve">toxicity </w:t>
      </w:r>
      <w:r w:rsidR="00A52C89" w:rsidRPr="00A52C89">
        <w:t xml:space="preserve">criteria </w:t>
      </w:r>
      <w:r w:rsidR="00A52C89">
        <w:t>(</w:t>
      </w:r>
      <w:r w:rsidRPr="005A77AD">
        <w:t>CTC</w:t>
      </w:r>
      <w:r w:rsidR="00A52C89">
        <w:t>)</w:t>
      </w:r>
      <w:r w:rsidRPr="005A77AD">
        <w:t xml:space="preserve"> Grade 3 neutropenia was reported in 3.4%</w:t>
      </w:r>
      <w:r w:rsidR="00A52C89">
        <w:t xml:space="preserve">, 2.7%, </w:t>
      </w:r>
      <w:r w:rsidRPr="005A77AD">
        <w:t>0.4%</w:t>
      </w:r>
      <w:r w:rsidR="00A52C89">
        <w:t>,</w:t>
      </w:r>
      <w:r w:rsidRPr="005A77AD">
        <w:t xml:space="preserve"> </w:t>
      </w:r>
      <w:r w:rsidR="00A52C89">
        <w:t xml:space="preserve">and </w:t>
      </w:r>
      <w:r w:rsidRPr="005A77AD">
        <w:t>0.7% in the TCZ 8 mg/kg +</w:t>
      </w:r>
      <w:r w:rsidR="00D8522E">
        <w:t xml:space="preserve"> </w:t>
      </w:r>
      <w:r w:rsidRPr="005A77AD">
        <w:t>MTX, TCZ 8 mg/kg +placebo, TCZ 4 mg/kg + MTX and pl</w:t>
      </w:r>
      <w:r w:rsidR="00A52C89">
        <w:t>acebo +</w:t>
      </w:r>
      <w:r w:rsidR="00D8522E">
        <w:t xml:space="preserve"> </w:t>
      </w:r>
      <w:r w:rsidR="00A52C89">
        <w:t>MTX groups, respectively;</w:t>
      </w:r>
      <w:r w:rsidRPr="005A77AD">
        <w:t xml:space="preserve"> and Grade 4 </w:t>
      </w:r>
      <w:r w:rsidR="00A52C89">
        <w:t xml:space="preserve">occurred </w:t>
      </w:r>
      <w:r w:rsidRPr="005A77AD">
        <w:t>in 1 patient in the TCZ 8 mg/kg + placebo group. Approximately 5% of patients had CTC Grade 3 neutropenia in the safety study and the long term exposure population</w:t>
      </w:r>
      <w:r w:rsidR="0015267E">
        <w:t>;</w:t>
      </w:r>
      <w:r w:rsidRPr="005A77AD">
        <w:t xml:space="preserve"> &lt;</w:t>
      </w:r>
      <w:r w:rsidR="00A52C89">
        <w:t> </w:t>
      </w:r>
      <w:r w:rsidRPr="005A77AD">
        <w:t>1% had CTC Grade 4. In the pivotal study thrombocytopenia occurred in 9%</w:t>
      </w:r>
      <w:r w:rsidR="00A52C89">
        <w:t xml:space="preserve">, 9.2%, 7.3%, and </w:t>
      </w:r>
      <w:r w:rsidRPr="005A77AD">
        <w:t>2.5% of the TCZ 8</w:t>
      </w:r>
      <w:r w:rsidR="00A52C89">
        <w:t xml:space="preserve"> mg/kg +</w:t>
      </w:r>
      <w:r w:rsidR="00D8522E">
        <w:t xml:space="preserve"> </w:t>
      </w:r>
      <w:r w:rsidR="00A52C89">
        <w:t xml:space="preserve">MTX, </w:t>
      </w:r>
      <w:r w:rsidRPr="005A77AD">
        <w:t>TCZ 8</w:t>
      </w:r>
      <w:r w:rsidR="00A52C89">
        <w:t xml:space="preserve"> </w:t>
      </w:r>
      <w:r w:rsidRPr="005A77AD">
        <w:t>mg/kg + placebo</w:t>
      </w:r>
      <w:r w:rsidR="00A52C89">
        <w:t xml:space="preserve">, </w:t>
      </w:r>
      <w:r w:rsidRPr="005A77AD">
        <w:t>TCZ 4</w:t>
      </w:r>
      <w:r w:rsidR="00D8522E">
        <w:t xml:space="preserve"> </w:t>
      </w:r>
      <w:r w:rsidRPr="005A77AD">
        <w:t>mg/kg + MTX</w:t>
      </w:r>
      <w:r w:rsidR="00A52C89">
        <w:t xml:space="preserve">, and </w:t>
      </w:r>
      <w:r w:rsidRPr="005A77AD">
        <w:t>placebo +</w:t>
      </w:r>
      <w:r w:rsidR="00A52C89">
        <w:t xml:space="preserve"> </w:t>
      </w:r>
      <w:r w:rsidRPr="005A77AD">
        <w:t xml:space="preserve">MTX groups, respectively. The decrease occurred in the first 4-8 weeks of therapy and the mean platelet count remained stable thereafter. This pattern was also seen in the safety study. CTC Grades 3 </w:t>
      </w:r>
      <w:r w:rsidR="00A52C89">
        <w:t xml:space="preserve">and </w:t>
      </w:r>
      <w:proofErr w:type="gramStart"/>
      <w:r w:rsidR="00A52C89">
        <w:t xml:space="preserve">4 </w:t>
      </w:r>
      <w:r w:rsidRPr="00A52C89">
        <w:t>thrombocytopenia</w:t>
      </w:r>
      <w:proofErr w:type="gramEnd"/>
      <w:r w:rsidRPr="005A77AD">
        <w:t xml:space="preserve"> occurred in &lt; 1% of patients in the safety and pivotal studies. Serious bleeding events rate was 0.5 per 100 PY in the safety study: one case was fatal (haemorrhagic stroke), 2 led to discontinuation (rectal haemorrhage, </w:t>
      </w:r>
      <w:proofErr w:type="spellStart"/>
      <w:r w:rsidRPr="005A77AD">
        <w:t>melaena</w:t>
      </w:r>
      <w:proofErr w:type="spellEnd"/>
      <w:r w:rsidRPr="005A77AD">
        <w:t>) and 5 to dose modification.</w:t>
      </w:r>
    </w:p>
    <w:p w:rsidR="00E53FC6" w:rsidRPr="005A77AD" w:rsidRDefault="00E53FC6" w:rsidP="00714BF6">
      <w:r w:rsidRPr="00A52C89">
        <w:rPr>
          <w:b/>
        </w:rPr>
        <w:t>Hypersensitivity</w:t>
      </w:r>
      <w:r w:rsidRPr="005A77AD">
        <w:t>: In the pivotal study, hypersensitivity events were seen in all groups: 17.6%</w:t>
      </w:r>
      <w:r w:rsidR="00A52C89">
        <w:t xml:space="preserve">, </w:t>
      </w:r>
      <w:r w:rsidRPr="005A77AD">
        <w:t>15.4%</w:t>
      </w:r>
      <w:r w:rsidR="00A52C89">
        <w:t xml:space="preserve">, </w:t>
      </w:r>
      <w:r w:rsidRPr="005A77AD">
        <w:t>20.4%</w:t>
      </w:r>
      <w:r w:rsidR="00A52C89">
        <w:t xml:space="preserve">, and </w:t>
      </w:r>
      <w:r w:rsidRPr="005A77AD">
        <w:t>13.8% for TCZ 8</w:t>
      </w:r>
      <w:r w:rsidR="00A52C89">
        <w:t xml:space="preserve"> </w:t>
      </w:r>
      <w:r w:rsidRPr="005A77AD">
        <w:t>mg/kg +</w:t>
      </w:r>
      <w:r w:rsidR="00D8522E">
        <w:t xml:space="preserve"> </w:t>
      </w:r>
      <w:r w:rsidRPr="005A77AD">
        <w:t>MTX, TCZ 8</w:t>
      </w:r>
      <w:r w:rsidR="00A52C89">
        <w:t xml:space="preserve"> </w:t>
      </w:r>
      <w:r w:rsidRPr="005A77AD">
        <w:t xml:space="preserve">mg/kg + placebo, TCZ </w:t>
      </w:r>
      <w:r w:rsidRPr="005A77AD">
        <w:lastRenderedPageBreak/>
        <w:t>4</w:t>
      </w:r>
      <w:r w:rsidR="0015267E">
        <w:t> </w:t>
      </w:r>
      <w:r w:rsidRPr="005A77AD">
        <w:t xml:space="preserve">mg/kg + MTX, </w:t>
      </w:r>
      <w:r w:rsidR="00A52C89">
        <w:t xml:space="preserve">and </w:t>
      </w:r>
      <w:r w:rsidRPr="005A77AD">
        <w:t>placebo +</w:t>
      </w:r>
      <w:r w:rsidR="00A52C89">
        <w:t xml:space="preserve"> </w:t>
      </w:r>
      <w:r w:rsidRPr="005A77AD">
        <w:t>MTX groups</w:t>
      </w:r>
      <w:r w:rsidR="00A52C89">
        <w:t>,</w:t>
      </w:r>
      <w:r w:rsidRPr="005A77AD">
        <w:t xml:space="preserve"> respectively. The five serious hypersensitivity cases all occurred in the first year, including the two cases of anaphylaxis. Rates were consistent with pooled safety data. There were no cases of anaphylaxis in the safety study.</w:t>
      </w:r>
    </w:p>
    <w:p w:rsidR="00E53FC6" w:rsidRPr="005A77AD" w:rsidRDefault="00E53FC6" w:rsidP="00714BF6">
      <w:r w:rsidRPr="00A52C89">
        <w:rPr>
          <w:b/>
        </w:rPr>
        <w:t>Immunogenicity</w:t>
      </w:r>
      <w:r w:rsidRPr="005A77AD">
        <w:t>: In the pivotal study anti-TCZ antibody development occurred in 1.4%</w:t>
      </w:r>
      <w:r w:rsidR="00A52C89">
        <w:t xml:space="preserve">, 1.0%, </w:t>
      </w:r>
      <w:r w:rsidRPr="005A77AD">
        <w:t>3.5%</w:t>
      </w:r>
      <w:r w:rsidR="00A52C89">
        <w:t xml:space="preserve">, and </w:t>
      </w:r>
      <w:r w:rsidRPr="005A77AD">
        <w:t>3.6% of the TCZ 8</w:t>
      </w:r>
      <w:r w:rsidR="00A52C89">
        <w:t xml:space="preserve"> </w:t>
      </w:r>
      <w:r w:rsidRPr="005A77AD">
        <w:t>mg/kg +</w:t>
      </w:r>
      <w:r w:rsidR="00D8522E">
        <w:t xml:space="preserve"> </w:t>
      </w:r>
      <w:r w:rsidRPr="005A77AD">
        <w:t>MTX, TCZ 8</w:t>
      </w:r>
      <w:r w:rsidR="00A52C89">
        <w:t xml:space="preserve"> </w:t>
      </w:r>
      <w:r w:rsidRPr="005A77AD">
        <w:t>mg/kg</w:t>
      </w:r>
      <w:r w:rsidR="00A52C89">
        <w:t xml:space="preserve"> </w:t>
      </w:r>
      <w:r w:rsidRPr="005A77AD">
        <w:t>+ placebo, TCZ 4</w:t>
      </w:r>
      <w:r w:rsidR="00A52C89">
        <w:t xml:space="preserve"> </w:t>
      </w:r>
      <w:r w:rsidRPr="005A77AD">
        <w:t xml:space="preserve">mg/kg + MTX, </w:t>
      </w:r>
      <w:r w:rsidR="00A52C89">
        <w:t xml:space="preserve">and </w:t>
      </w:r>
      <w:r w:rsidRPr="005A77AD">
        <w:t>placebo +</w:t>
      </w:r>
      <w:r w:rsidR="00A52C89">
        <w:t xml:space="preserve"> </w:t>
      </w:r>
      <w:r w:rsidRPr="005A77AD">
        <w:t>MTX groups</w:t>
      </w:r>
      <w:r w:rsidR="00A52C89">
        <w:t xml:space="preserve">, respectively. </w:t>
      </w:r>
      <w:r w:rsidRPr="005A77AD">
        <w:t xml:space="preserve">None of the 9 subjects with neutralising anti-TCZ antibodies was withdrawn for lack of treatment efficacy. Anti-TCZ </w:t>
      </w:r>
      <w:r w:rsidR="0015267E">
        <w:t xml:space="preserve">immunoglobulin </w:t>
      </w:r>
      <w:proofErr w:type="spellStart"/>
      <w:r w:rsidRPr="00A52C89">
        <w:t>IgG</w:t>
      </w:r>
      <w:proofErr w:type="spellEnd"/>
      <w:r w:rsidRPr="005A77AD">
        <w:t xml:space="preserve"> </w:t>
      </w:r>
      <w:r w:rsidR="00A52C89">
        <w:t>a</w:t>
      </w:r>
      <w:r w:rsidRPr="005A77AD">
        <w:t xml:space="preserve">ntibody positivity did not predict hypersensitivity events but one patient with severe hypersensitivity (urticaria) was positive for </w:t>
      </w:r>
      <w:proofErr w:type="spellStart"/>
      <w:r w:rsidRPr="005A77AD">
        <w:t>IgE</w:t>
      </w:r>
      <w:proofErr w:type="spellEnd"/>
      <w:r w:rsidRPr="005A77AD">
        <w:t>.</w:t>
      </w:r>
    </w:p>
    <w:p w:rsidR="00E53FC6" w:rsidRPr="005A77AD" w:rsidRDefault="00E53FC6" w:rsidP="00714BF6">
      <w:r w:rsidRPr="00A52C89">
        <w:rPr>
          <w:b/>
        </w:rPr>
        <w:t>Malignancies</w:t>
      </w:r>
      <w:r w:rsidRPr="005A77AD">
        <w:t>: The 13 malignancy cases occurring in the first year of WA19926 were evenly spread across the treatment arms. In the second year of the study the eight malignancy cases (</w:t>
      </w:r>
      <w:r w:rsidR="00A52C89">
        <w:t>basal cell carcinoma (</w:t>
      </w:r>
      <w:r w:rsidRPr="005A77AD">
        <w:t>BCC</w:t>
      </w:r>
      <w:r w:rsidR="00A52C89">
        <w:t>)</w:t>
      </w:r>
      <w:r w:rsidRPr="005A77AD">
        <w:t xml:space="preserve">, small cell lung cancer, two endometrial cancers, two </w:t>
      </w:r>
      <w:r w:rsidR="00A52C89">
        <w:t>squamous cell carcinomas (</w:t>
      </w:r>
      <w:r w:rsidRPr="005A77AD">
        <w:t>SCC</w:t>
      </w:r>
      <w:r w:rsidR="00A52C89">
        <w:t>)</w:t>
      </w:r>
      <w:r w:rsidRPr="005A77AD">
        <w:t>, prostate cancer, and metastatic cancer with undetermin</w:t>
      </w:r>
      <w:r w:rsidR="0015267E">
        <w:t xml:space="preserve">ed primary) all occurred in TCZ </w:t>
      </w:r>
      <w:r w:rsidRPr="005A77AD">
        <w:t>treated patients. The rate of malignancy and serious malignancy was consistent with the pooled safety data. The most frequent malignancies were breast, lung/bronchus and non-melanoma skin cancer.</w:t>
      </w:r>
    </w:p>
    <w:p w:rsidR="007B6132" w:rsidRDefault="007B6132" w:rsidP="00714BF6">
      <w:pPr>
        <w:pStyle w:val="Heading4"/>
      </w:pPr>
      <w:bookmarkStart w:id="167" w:name="_Toc314842514"/>
      <w:r w:rsidRPr="007B6132">
        <w:t>Clinical evaluator’s recommendation</w:t>
      </w:r>
    </w:p>
    <w:p w:rsidR="00E53FC6" w:rsidRPr="005A77AD" w:rsidRDefault="00E53FC6" w:rsidP="00714BF6">
      <w:r w:rsidRPr="005A77AD">
        <w:t xml:space="preserve">The clinical evaluator has recommended approval for </w:t>
      </w:r>
      <w:r w:rsidR="006C365B" w:rsidRPr="006C365B">
        <w:t>TCZ</w:t>
      </w:r>
      <w:r w:rsidRPr="005A77AD">
        <w:t xml:space="preserve"> for the extension of indication to include </w:t>
      </w:r>
      <w:r w:rsidRPr="008D4DD2">
        <w:rPr>
          <w:i/>
        </w:rPr>
        <w:t>‘in combination with methotrexate (MTX) in those not previously treated with MTX’</w:t>
      </w:r>
      <w:r w:rsidRPr="005A77AD">
        <w:t>. The sponsor has withdrawn its proposal to change the monotherapy efficacy in joint damage reduction claim.</w:t>
      </w:r>
    </w:p>
    <w:p w:rsidR="008E7846" w:rsidRDefault="00386150" w:rsidP="00D759D0">
      <w:pPr>
        <w:pStyle w:val="Heading3"/>
        <w:rPr>
          <w:lang w:eastAsia="en-AU"/>
        </w:rPr>
      </w:pPr>
      <w:bookmarkStart w:id="168" w:name="_Toc412444420"/>
      <w:r>
        <w:rPr>
          <w:lang w:eastAsia="en-AU"/>
        </w:rPr>
        <w:t>Risk m</w:t>
      </w:r>
      <w:r w:rsidR="008E7846">
        <w:rPr>
          <w:lang w:eastAsia="en-AU"/>
        </w:rPr>
        <w:t xml:space="preserve">anagement </w:t>
      </w:r>
      <w:r>
        <w:rPr>
          <w:lang w:eastAsia="en-AU"/>
        </w:rPr>
        <w:t>p</w:t>
      </w:r>
      <w:r w:rsidR="008E7846">
        <w:rPr>
          <w:lang w:eastAsia="en-AU"/>
        </w:rPr>
        <w:t>lan</w:t>
      </w:r>
      <w:bookmarkEnd w:id="167"/>
      <w:bookmarkEnd w:id="168"/>
    </w:p>
    <w:p w:rsidR="00E53FC6" w:rsidRPr="005A77AD" w:rsidRDefault="00E53FC6" w:rsidP="00D759D0">
      <w:r w:rsidRPr="005A77AD">
        <w:t xml:space="preserve">The </w:t>
      </w:r>
      <w:r w:rsidR="008D4DD2">
        <w:t xml:space="preserve">TGA </w:t>
      </w:r>
      <w:r w:rsidRPr="005A77AD">
        <w:t>OPR</w:t>
      </w:r>
      <w:r w:rsidR="008D4DD2">
        <w:t xml:space="preserve"> </w:t>
      </w:r>
      <w:r w:rsidRPr="005A77AD">
        <w:t>has accepted the EU Risk Management Plan for Actemra (tocilizumab), Version 15.0, dated May 2013 with Australian Specific Annexe, Version 3.1, dated March 2014.</w:t>
      </w:r>
    </w:p>
    <w:p w:rsidR="00E53FC6" w:rsidRPr="005A77AD" w:rsidRDefault="00E53FC6" w:rsidP="00D759D0">
      <w:r w:rsidRPr="005A77AD">
        <w:t>The following were outstanding matters and should be followed up with OPR and in the response</w:t>
      </w:r>
      <w:r w:rsidR="008D4DD2">
        <w:t xml:space="preserve"> to the Delegate’s Overview</w:t>
      </w:r>
      <w:r w:rsidRPr="005A77AD">
        <w:t>:</w:t>
      </w:r>
    </w:p>
    <w:p w:rsidR="00E53FC6" w:rsidRPr="005A77AD" w:rsidRDefault="00E53FC6" w:rsidP="00D759D0">
      <w:pPr>
        <w:pStyle w:val="ListBullet"/>
      </w:pPr>
      <w:r w:rsidRPr="005A77AD">
        <w:t>The anticipated dates for the availability of data from studies NP25737 and MA21488 should be included in the pharmacovigilance plan if not already completed</w:t>
      </w:r>
    </w:p>
    <w:p w:rsidR="00E53FC6" w:rsidRPr="005A77AD" w:rsidRDefault="00E53FC6" w:rsidP="00D759D0">
      <w:pPr>
        <w:pStyle w:val="ListBullet"/>
      </w:pPr>
      <w:r w:rsidRPr="005A77AD">
        <w:t xml:space="preserve">A detailed comparison of the Australian PI and the European </w:t>
      </w:r>
      <w:r w:rsidR="008D4DD2">
        <w:t>Summary of Product Characteristics (</w:t>
      </w:r>
      <w:r w:rsidRPr="005A77AD">
        <w:t>SPC</w:t>
      </w:r>
      <w:r w:rsidR="008D4DD2">
        <w:t>)</w:t>
      </w:r>
      <w:r w:rsidRPr="005A77AD">
        <w:t xml:space="preserve"> should be reinstated in the ASA.</w:t>
      </w:r>
    </w:p>
    <w:p w:rsidR="008E7846" w:rsidRDefault="00AA0ED0" w:rsidP="00D759D0">
      <w:pPr>
        <w:pStyle w:val="Heading3"/>
      </w:pPr>
      <w:bookmarkStart w:id="169" w:name="_Toc247691531"/>
      <w:bookmarkStart w:id="170" w:name="_Toc314842515"/>
      <w:bookmarkStart w:id="171" w:name="_Toc196046505"/>
      <w:bookmarkStart w:id="172" w:name="_Toc196046949"/>
      <w:bookmarkStart w:id="173" w:name="_Toc412444421"/>
      <w:r>
        <w:t>Risk-benefit a</w:t>
      </w:r>
      <w:r w:rsidR="008E7846">
        <w:t>nalysis</w:t>
      </w:r>
      <w:bookmarkEnd w:id="169"/>
      <w:bookmarkEnd w:id="170"/>
      <w:bookmarkEnd w:id="173"/>
    </w:p>
    <w:p w:rsidR="00D23139" w:rsidRDefault="00172C1E" w:rsidP="00D759D0">
      <w:pPr>
        <w:pStyle w:val="Heading4"/>
      </w:pPr>
      <w:r>
        <w:t>Delegate’s considerations</w:t>
      </w:r>
    </w:p>
    <w:p w:rsidR="00A14EC4" w:rsidRPr="005A77AD" w:rsidRDefault="00A14EC4" w:rsidP="00D759D0">
      <w:r w:rsidRPr="005A77AD">
        <w:t>The primary issue with this submission is as follows:</w:t>
      </w:r>
    </w:p>
    <w:p w:rsidR="00A14EC4" w:rsidRPr="005A77AD" w:rsidRDefault="00A14EC4" w:rsidP="00D759D0">
      <w:r w:rsidRPr="005A77AD">
        <w:t>The safety concerns with increased adverse events including elevations of transaminases observed early in therapy with the combination of TCZ and MTX compared with previous clinical trial experience with the combination of TCZ and MTX.</w:t>
      </w:r>
    </w:p>
    <w:p w:rsidR="008D4DD2" w:rsidRDefault="00E23A38" w:rsidP="00D759D0">
      <w:pPr>
        <w:pStyle w:val="Heading5"/>
      </w:pPr>
      <w:r w:rsidRPr="005A77AD">
        <w:t>Efficacy</w:t>
      </w:r>
    </w:p>
    <w:p w:rsidR="00E23A38" w:rsidRPr="005A77AD" w:rsidRDefault="00E23A38" w:rsidP="00D759D0">
      <w:r w:rsidRPr="005A77AD">
        <w:t>The superiority of TCZ 8</w:t>
      </w:r>
      <w:r w:rsidR="008D4DD2">
        <w:t xml:space="preserve"> </w:t>
      </w:r>
      <w:r w:rsidRPr="005A77AD">
        <w:t>mg/kg + MTX v</w:t>
      </w:r>
      <w:r w:rsidR="008D4DD2">
        <w:t>ersus</w:t>
      </w:r>
      <w:r w:rsidRPr="005A77AD">
        <w:t xml:space="preserve"> MTX + placebo based on DAS remission at 24 weeks was demonstrated. This was supported by superiority of TCZ 8</w:t>
      </w:r>
      <w:r w:rsidR="008D4DD2">
        <w:t xml:space="preserve"> </w:t>
      </w:r>
      <w:r w:rsidRPr="005A77AD">
        <w:t xml:space="preserve">mg/kg + MTX versus placebo + MTX across other parameters for disease remission, and this </w:t>
      </w:r>
      <w:proofErr w:type="gramStart"/>
      <w:r w:rsidRPr="005A77AD">
        <w:t>was</w:t>
      </w:r>
      <w:proofErr w:type="gramEnd"/>
      <w:r w:rsidRPr="005A77AD">
        <w:t xml:space="preserve"> sustained over a further year of treatment. There was an apparent induction of remission when non-responding patients with active disease from the MTX monotherapy group had </w:t>
      </w:r>
      <w:r w:rsidRPr="005A77AD">
        <w:lastRenderedPageBreak/>
        <w:t>TCZ 8</w:t>
      </w:r>
      <w:r w:rsidR="008D4DD2">
        <w:t xml:space="preserve"> </w:t>
      </w:r>
      <w:r w:rsidRPr="005A77AD">
        <w:t xml:space="preserve">mg/kg added. Radiological progression as measured by the </w:t>
      </w:r>
      <w:proofErr w:type="spellStart"/>
      <w:r w:rsidRPr="005A77AD">
        <w:t>mTSS</w:t>
      </w:r>
      <w:proofErr w:type="spellEnd"/>
      <w:r w:rsidRPr="005A77AD">
        <w:t xml:space="preserve"> was slowed in both the erosion and </w:t>
      </w:r>
      <w:r w:rsidR="008D4DD2">
        <w:t xml:space="preserve">JSN </w:t>
      </w:r>
      <w:r w:rsidRPr="005A77AD">
        <w:t xml:space="preserve">components of the score. This effect was seen after 1 and 2 years of treatment. Supportive evidence of clinical efficacy was provided in addition to the pivotal clinical trial, and supportive evidence was provided for the reduction of erosion but not </w:t>
      </w:r>
      <w:r w:rsidR="008D4DD2">
        <w:t>JSN</w:t>
      </w:r>
      <w:r w:rsidR="00D759D0">
        <w:t>.</w:t>
      </w:r>
    </w:p>
    <w:p w:rsidR="00E23A38" w:rsidRPr="005A77AD" w:rsidRDefault="00E23A38" w:rsidP="00D759D0">
      <w:r w:rsidRPr="005A77AD">
        <w:t>The antibody responses mounted by patients to pneumococcal and tetanus toxoid vaccines while taking either TCZ 8</w:t>
      </w:r>
      <w:r w:rsidR="00D8522E">
        <w:t xml:space="preserve"> </w:t>
      </w:r>
      <w:r w:rsidRPr="005A77AD">
        <w:t>mg/kg or MTX were comparable.</w:t>
      </w:r>
    </w:p>
    <w:p w:rsidR="008D4DD2" w:rsidRDefault="00E23A38" w:rsidP="00D759D0">
      <w:pPr>
        <w:pStyle w:val="Heading5"/>
      </w:pPr>
      <w:r w:rsidRPr="005A77AD">
        <w:t>Safety and RMP</w:t>
      </w:r>
    </w:p>
    <w:p w:rsidR="008D4DD2" w:rsidRDefault="00E23A38" w:rsidP="00D759D0">
      <w:r w:rsidRPr="005A77AD">
        <w:t xml:space="preserve">Tocilizumab had an adequate duration of exposure, although some of the experience is not with concomitant MTX. The previously identified risks of infection, including tuberculosis, gastrointestinal perforation, hypersensitivity, elevation of transaminases, haematological abnormalities, elevated lipids and cardiovascular risk were observed in the early RA population in similar proportions to those seen in previous studies. However, an increased mortality, although not SAEs, more discontinuations secondary to AEs and a higher proportion of patients with elevated transaminases were seen. Most of the increased </w:t>
      </w:r>
      <w:r w:rsidR="008D4DD2">
        <w:t xml:space="preserve">AEs </w:t>
      </w:r>
      <w:r w:rsidRPr="005A77AD">
        <w:t xml:space="preserve">appeared to occur early in treatment. The sponsor </w:t>
      </w:r>
      <w:r w:rsidR="008D4DD2">
        <w:t xml:space="preserve">would </w:t>
      </w:r>
      <w:r w:rsidRPr="005A77AD">
        <w:t>be</w:t>
      </w:r>
      <w:r w:rsidR="008D4DD2">
        <w:t xml:space="preserve"> </w:t>
      </w:r>
      <w:r w:rsidRPr="005A77AD">
        <w:t>requested to comment</w:t>
      </w:r>
      <w:r w:rsidR="008D4DD2">
        <w:t xml:space="preserve"> on this issue</w:t>
      </w:r>
      <w:r w:rsidR="00D759D0">
        <w:t>.</w:t>
      </w:r>
    </w:p>
    <w:p w:rsidR="00E23A38" w:rsidRPr="005A77AD" w:rsidRDefault="00E23A38" w:rsidP="00D759D0">
      <w:r w:rsidRPr="005A77AD">
        <w:t>An acceptable RMP has been provided.</w:t>
      </w:r>
    </w:p>
    <w:p w:rsidR="008D4DD2" w:rsidRDefault="00E23A38" w:rsidP="00D759D0">
      <w:pPr>
        <w:pStyle w:val="Heading5"/>
      </w:pPr>
      <w:r w:rsidRPr="005A77AD">
        <w:t>Data deficiencies</w:t>
      </w:r>
    </w:p>
    <w:p w:rsidR="00E23A38" w:rsidRPr="005A77AD" w:rsidRDefault="00E23A38" w:rsidP="00D759D0">
      <w:r w:rsidRPr="005A77AD">
        <w:t xml:space="preserve">There are some apparent discrepancies in the number of responders and the numbers of some </w:t>
      </w:r>
      <w:r w:rsidR="008D4DD2">
        <w:t xml:space="preserve">AEs </w:t>
      </w:r>
      <w:r w:rsidRPr="005A77AD">
        <w:t xml:space="preserve">reported in the interim and final study reports for WA19926. The sponsor </w:t>
      </w:r>
      <w:r w:rsidR="0015267E">
        <w:t xml:space="preserve">would be </w:t>
      </w:r>
      <w:r w:rsidR="00D759D0">
        <w:t>asked to make comment.</w:t>
      </w:r>
    </w:p>
    <w:p w:rsidR="00D23139" w:rsidRDefault="00D23139" w:rsidP="00D759D0">
      <w:pPr>
        <w:pStyle w:val="Heading4"/>
      </w:pPr>
      <w:r w:rsidRPr="00D23139">
        <w:t>Proposed action</w:t>
      </w:r>
    </w:p>
    <w:p w:rsidR="00A14EC4" w:rsidRDefault="008D4DD2" w:rsidP="00D759D0">
      <w:r>
        <w:t xml:space="preserve">The Delegate was </w:t>
      </w:r>
      <w:r w:rsidR="00A14EC4" w:rsidRPr="005A77AD">
        <w:t>not in a position to say, at this time, that the applic</w:t>
      </w:r>
      <w:r>
        <w:t xml:space="preserve">ation </w:t>
      </w:r>
      <w:r w:rsidR="00D8522E">
        <w:t xml:space="preserve">to amend the indication for </w:t>
      </w:r>
      <w:r>
        <w:t>tocilizumab (Actemra)</w:t>
      </w:r>
      <w:r w:rsidR="00A14EC4" w:rsidRPr="005A77AD">
        <w:t xml:space="preserve"> should not be approved.</w:t>
      </w:r>
    </w:p>
    <w:p w:rsidR="008D4DD2" w:rsidRPr="00847514" w:rsidRDefault="00E23A38" w:rsidP="00D759D0">
      <w:pPr>
        <w:pStyle w:val="Heading5"/>
      </w:pPr>
      <w:r w:rsidRPr="00847514">
        <w:t>Conditions of registration</w:t>
      </w:r>
    </w:p>
    <w:p w:rsidR="00847514" w:rsidRPr="00847514" w:rsidRDefault="00D8522E" w:rsidP="00D759D0">
      <w:r>
        <w:t>The following we</w:t>
      </w:r>
      <w:r w:rsidR="00847514" w:rsidRPr="00847514">
        <w:t>re proposed as conditions of registration:</w:t>
      </w:r>
    </w:p>
    <w:p w:rsidR="00E23A38" w:rsidRPr="00847514" w:rsidRDefault="00E23A38" w:rsidP="00D759D0">
      <w:pPr>
        <w:pStyle w:val="ListBullet"/>
      </w:pPr>
      <w:r w:rsidRPr="00847514">
        <w:t>The implementation in Australia of the EU Risk Management Plan for Actemra (tocilizumab), version 15.0, date May 2014, with the Australian Specific annex (ASA), version 3, dated March 2014.</w:t>
      </w:r>
    </w:p>
    <w:p w:rsidR="00E23A38" w:rsidRPr="00847514" w:rsidRDefault="00E23A38" w:rsidP="00D759D0">
      <w:pPr>
        <w:pStyle w:val="ListBullet"/>
      </w:pPr>
      <w:r w:rsidRPr="00847514">
        <w:t>The following studies must be submitted to the TGA, as soon as possible after completion, for evaluation as a Category 1 submission:</w:t>
      </w:r>
    </w:p>
    <w:p w:rsidR="00E23A38" w:rsidRPr="00847514" w:rsidRDefault="00E23A38" w:rsidP="00D759D0">
      <w:pPr>
        <w:pStyle w:val="ListBullet2"/>
      </w:pPr>
      <w:r w:rsidRPr="00847514">
        <w:t>The final study report for the randomised controlled trial to rule out a moderate increase in the risk of serious car</w:t>
      </w:r>
      <w:r w:rsidR="0015267E">
        <w:t>diovascular events with TCZ (WA</w:t>
      </w:r>
      <w:r w:rsidRPr="00847514">
        <w:t>25204).</w:t>
      </w:r>
    </w:p>
    <w:p w:rsidR="00E23A38" w:rsidRPr="00847514" w:rsidRDefault="00847514" w:rsidP="00D759D0">
      <w:pPr>
        <w:pStyle w:val="ListBullet2"/>
      </w:pPr>
      <w:r w:rsidRPr="00847514">
        <w:t>The S</w:t>
      </w:r>
      <w:r w:rsidR="00E23A38" w:rsidRPr="00847514">
        <w:t xml:space="preserve">tudy NP25747, a PK and safety study of TCZ in patients less than 2 years old with active </w:t>
      </w:r>
      <w:proofErr w:type="spellStart"/>
      <w:r w:rsidR="00E23A38" w:rsidRPr="00847514">
        <w:t>sJIA</w:t>
      </w:r>
      <w:proofErr w:type="spellEnd"/>
      <w:r w:rsidR="00E23A38" w:rsidRPr="00847514">
        <w:t>.</w:t>
      </w:r>
    </w:p>
    <w:p w:rsidR="00D23139" w:rsidRDefault="00D23139" w:rsidP="00D759D0">
      <w:pPr>
        <w:pStyle w:val="Heading4"/>
      </w:pPr>
      <w:r w:rsidRPr="00D23139">
        <w:t>Request for ACPM advice</w:t>
      </w:r>
    </w:p>
    <w:p w:rsidR="00A14EC4" w:rsidRPr="005A77AD" w:rsidRDefault="00847514" w:rsidP="00D759D0">
      <w:r>
        <w:t>The Delegate proposed to seek general advice on this application from the Advisory Committee on Prescription Medicines (ACPM) and to request t</w:t>
      </w:r>
      <w:r w:rsidR="00A14EC4" w:rsidRPr="005A77AD">
        <w:t>he committee provide advice on the following specific issues:</w:t>
      </w:r>
    </w:p>
    <w:p w:rsidR="00A14EC4" w:rsidRPr="005A77AD" w:rsidRDefault="00847514" w:rsidP="00D759D0">
      <w:pPr>
        <w:pStyle w:val="Numberbullet0"/>
        <w:numPr>
          <w:ilvl w:val="0"/>
          <w:numId w:val="19"/>
        </w:numPr>
      </w:pPr>
      <w:r>
        <w:t xml:space="preserve">The following </w:t>
      </w:r>
      <w:r w:rsidR="00A14EC4" w:rsidRPr="005A77AD">
        <w:t xml:space="preserve">questions relate to the evidence supporting the proposal to extend the indication to include </w:t>
      </w:r>
      <w:r w:rsidR="00A14EC4" w:rsidRPr="00D759D0">
        <w:t>treatment of moderate to severe active rheumatoid arthritis in adult patients in combination with methotrexate (MTX) in those not previously treated with MTX</w:t>
      </w:r>
      <w:r w:rsidR="00A14EC4" w:rsidRPr="005A77AD">
        <w:t>:</w:t>
      </w:r>
    </w:p>
    <w:p w:rsidR="00A14EC4" w:rsidRPr="005A77AD" w:rsidRDefault="00A14EC4" w:rsidP="00D759D0">
      <w:pPr>
        <w:pStyle w:val="Numberbullet2"/>
      </w:pPr>
      <w:r w:rsidRPr="005A77AD">
        <w:lastRenderedPageBreak/>
        <w:t>Does the committee consider the population of patients with early RA, for whom the benefits and risks of the combination of TCZ 8</w:t>
      </w:r>
      <w:r w:rsidR="00D8522E">
        <w:t xml:space="preserve"> </w:t>
      </w:r>
      <w:r w:rsidRPr="005A77AD">
        <w:t>mg/kg and MTX is favourable, has been adequately characterised in the studies provided in the submission?</w:t>
      </w:r>
    </w:p>
    <w:p w:rsidR="00A14EC4" w:rsidRPr="005A77AD" w:rsidRDefault="00A14EC4" w:rsidP="00D759D0">
      <w:pPr>
        <w:pStyle w:val="Numberbullet2"/>
      </w:pPr>
      <w:r w:rsidRPr="005A77AD">
        <w:t>Does the committee consider that there should be modification of the indication to better define the population that will benefit from early therapy with TCZ and MTX?</w:t>
      </w:r>
    </w:p>
    <w:p w:rsidR="00A14EC4" w:rsidRPr="005A77AD" w:rsidRDefault="00A14EC4" w:rsidP="00D759D0">
      <w:pPr>
        <w:pStyle w:val="Numberbullet2"/>
      </w:pPr>
      <w:r w:rsidRPr="005A77AD">
        <w:t>If the extension of indication is approved does the committee consider the risks in the patients with early RA have been adequately described in the PI?</w:t>
      </w:r>
    </w:p>
    <w:p w:rsidR="00A14EC4" w:rsidRPr="005A77AD" w:rsidRDefault="00A14EC4" w:rsidP="00D759D0">
      <w:pPr>
        <w:pStyle w:val="Numberbullet0"/>
      </w:pPr>
      <w:r w:rsidRPr="005A77AD">
        <w:t xml:space="preserve">Is the committee satisfied that the immune responses to </w:t>
      </w:r>
      <w:proofErr w:type="spellStart"/>
      <w:r w:rsidRPr="005A77AD">
        <w:t>Pneumovax</w:t>
      </w:r>
      <w:proofErr w:type="spellEnd"/>
      <w:r w:rsidRPr="005A77AD">
        <w:t xml:space="preserve"> 23 and adsorbed tetanus toxoid vaccines in patients taking TCZ + MTX compared with those taking MTX alone are suffici</w:t>
      </w:r>
      <w:r w:rsidR="00D759D0">
        <w:t>ent to be considered effective?</w:t>
      </w:r>
    </w:p>
    <w:p w:rsidR="008D4DD2" w:rsidRPr="008D4DD2" w:rsidRDefault="00B359B4" w:rsidP="00847514">
      <w:pPr>
        <w:pStyle w:val="Heading4"/>
      </w:pPr>
      <w:r>
        <w:t>Questions for the s</w:t>
      </w:r>
      <w:r w:rsidR="008D4DD2" w:rsidRPr="008D4DD2">
        <w:t>ponsor:</w:t>
      </w:r>
    </w:p>
    <w:p w:rsidR="00847514" w:rsidRDefault="00847514" w:rsidP="00D759D0">
      <w:r>
        <w:t>The Delegate requested the sponsor address the following in its response to the Delegate’s Overview</w:t>
      </w:r>
    </w:p>
    <w:p w:rsidR="008D4DD2" w:rsidRPr="008D4DD2" w:rsidRDefault="008D4DD2" w:rsidP="00D759D0">
      <w:pPr>
        <w:pStyle w:val="Numberbullet0"/>
        <w:numPr>
          <w:ilvl w:val="0"/>
          <w:numId w:val="6"/>
        </w:numPr>
      </w:pPr>
      <w:r w:rsidRPr="008D4DD2">
        <w:t xml:space="preserve">Please provide an update to the AEs experienced by patients in the </w:t>
      </w:r>
      <w:proofErr w:type="spellStart"/>
      <w:r w:rsidRPr="008D4DD2">
        <w:t>ACTiv</w:t>
      </w:r>
      <w:proofErr w:type="spellEnd"/>
      <w:r w:rsidRPr="008D4DD2">
        <w:t xml:space="preserve"> program. </w:t>
      </w:r>
      <w:r w:rsidR="00D8522E">
        <w:t>P</w:t>
      </w:r>
      <w:r w:rsidRPr="008D4DD2">
        <w:t xml:space="preserve">lease </w:t>
      </w:r>
      <w:r w:rsidR="00D8522E">
        <w:t xml:space="preserve">include </w:t>
      </w:r>
      <w:r w:rsidRPr="008D4DD2">
        <w:t>the following:</w:t>
      </w:r>
    </w:p>
    <w:p w:rsidR="008D4DD2" w:rsidRPr="008D4DD2" w:rsidRDefault="008D4DD2" w:rsidP="00D759D0">
      <w:pPr>
        <w:pStyle w:val="ListBullet2"/>
      </w:pPr>
      <w:r w:rsidRPr="008D4DD2">
        <w:t xml:space="preserve">The total number of patients exposed on the program, plus the exposure expressed in </w:t>
      </w:r>
      <w:r w:rsidR="008C562E">
        <w:t>PY</w:t>
      </w:r>
      <w:r w:rsidRPr="008D4DD2">
        <w:t>,</w:t>
      </w:r>
    </w:p>
    <w:p w:rsidR="008D4DD2" w:rsidRPr="008D4DD2" w:rsidRDefault="008D4DD2" w:rsidP="00D759D0">
      <w:pPr>
        <w:pStyle w:val="ListBullet2"/>
      </w:pPr>
      <w:r w:rsidRPr="008D4DD2">
        <w:t>All reports of anaphylaxis or serious hypersensitivity events,</w:t>
      </w:r>
    </w:p>
    <w:p w:rsidR="008D4DD2" w:rsidRPr="008D4DD2" w:rsidRDefault="008D4DD2" w:rsidP="00D759D0">
      <w:pPr>
        <w:pStyle w:val="ListBullet2"/>
      </w:pPr>
      <w:r w:rsidRPr="008D4DD2">
        <w:t>All SAEs in patient on the program, and</w:t>
      </w:r>
    </w:p>
    <w:p w:rsidR="008D4DD2" w:rsidRPr="008D4DD2" w:rsidRDefault="008D4DD2" w:rsidP="00D759D0">
      <w:pPr>
        <w:pStyle w:val="ListBullet2"/>
      </w:pPr>
      <w:r w:rsidRPr="008D4DD2">
        <w:t>The number of discontinuations from the program, a brief summary of the reasons for discontinuation, and, if possible, and their disposition (</w:t>
      </w:r>
      <w:r w:rsidR="00D8522E">
        <w:t xml:space="preserve">for example, </w:t>
      </w:r>
      <w:r w:rsidRPr="008D4DD2">
        <w:t>return to hospital based care, discontinued therapy with TCZ).</w:t>
      </w:r>
    </w:p>
    <w:p w:rsidR="008D4DD2" w:rsidRPr="008D4DD2" w:rsidRDefault="008D4DD2" w:rsidP="00D759D0">
      <w:pPr>
        <w:pStyle w:val="Numberbullet0"/>
      </w:pPr>
      <w:r w:rsidRPr="008D4DD2">
        <w:t xml:space="preserve">Please address all the outstanding RMP matters as discussed above under </w:t>
      </w:r>
      <w:r w:rsidRPr="00D8522E">
        <w:rPr>
          <w:i/>
        </w:rPr>
        <w:t xml:space="preserve">Risk Management </w:t>
      </w:r>
      <w:r w:rsidR="00D8522E">
        <w:rPr>
          <w:i/>
        </w:rPr>
        <w:t>P</w:t>
      </w:r>
      <w:r w:rsidRPr="00D8522E">
        <w:rPr>
          <w:i/>
        </w:rPr>
        <w:t>lan</w:t>
      </w:r>
      <w:r w:rsidRPr="008D4DD2">
        <w:t>, or provide an assurance that this has been done.</w:t>
      </w:r>
    </w:p>
    <w:p w:rsidR="008D4DD2" w:rsidRPr="008D4DD2" w:rsidRDefault="008D4DD2" w:rsidP="00D759D0">
      <w:pPr>
        <w:pStyle w:val="Numberbullet0"/>
      </w:pPr>
      <w:r w:rsidRPr="008D4DD2">
        <w:t>Please exp</w:t>
      </w:r>
      <w:r w:rsidR="00D8522E">
        <w:t>lain the power calculation for S</w:t>
      </w:r>
      <w:r w:rsidRPr="008D4DD2">
        <w:t>tudy NA25256.</w:t>
      </w:r>
    </w:p>
    <w:p w:rsidR="008D4DD2" w:rsidRPr="008D4DD2" w:rsidRDefault="008D4DD2" w:rsidP="00D759D0">
      <w:pPr>
        <w:pStyle w:val="Numberbullet0"/>
      </w:pPr>
      <w:r w:rsidRPr="008D4DD2">
        <w:t>The</w:t>
      </w:r>
      <w:r w:rsidR="00D8522E">
        <w:t xml:space="preserve"> following questions relate to S</w:t>
      </w:r>
      <w:r w:rsidRPr="008D4DD2">
        <w:t>tudy WA19926:</w:t>
      </w:r>
    </w:p>
    <w:p w:rsidR="008D4DD2" w:rsidRPr="008D4DD2" w:rsidRDefault="00D8522E" w:rsidP="00D759D0">
      <w:pPr>
        <w:pStyle w:val="Numberbullet2"/>
      </w:pPr>
      <w:r>
        <w:t>In the pivotal Study</w:t>
      </w:r>
      <w:r w:rsidR="008D4DD2" w:rsidRPr="008D4DD2">
        <w:t xml:space="preserve"> WA19926, the rate of deaths, SAEs and discontinuations were greater in the </w:t>
      </w:r>
      <w:r>
        <w:t xml:space="preserve">TCZ </w:t>
      </w:r>
      <w:r w:rsidR="008D4DD2" w:rsidRPr="008D4DD2">
        <w:t xml:space="preserve">groups compared with the </w:t>
      </w:r>
      <w:r>
        <w:t>MTX</w:t>
      </w:r>
      <w:r w:rsidR="008D4DD2" w:rsidRPr="008D4DD2">
        <w:t>/placebo groups. The rates of these events were higher in WA19926 than comparable studies. Please provide an explanation of these differences.</w:t>
      </w:r>
    </w:p>
    <w:p w:rsidR="008D4DD2" w:rsidRPr="008D4DD2" w:rsidRDefault="008D4DD2" w:rsidP="00D759D0">
      <w:pPr>
        <w:pStyle w:val="Numberbullet2"/>
      </w:pPr>
      <w:r w:rsidRPr="008D4DD2">
        <w:t>Cardi</w:t>
      </w:r>
      <w:r w:rsidR="00D8522E">
        <w:t>ovascular deaths were noted in S</w:t>
      </w:r>
      <w:r w:rsidRPr="008D4DD2">
        <w:t>tudy WA19926, as was an increase in serum lipids over time. Please provide an analysis of the cardiovascular deaths according to baseline lipids at study entry, lipid lowering medications if any, and lipid profile during the study.</w:t>
      </w:r>
    </w:p>
    <w:p w:rsidR="008D4DD2" w:rsidRPr="008D4DD2" w:rsidRDefault="008D4DD2" w:rsidP="00D759D0">
      <w:pPr>
        <w:pStyle w:val="Numberbullet2"/>
      </w:pPr>
      <w:r w:rsidRPr="008D4DD2">
        <w:t xml:space="preserve">In </w:t>
      </w:r>
      <w:r w:rsidR="00D8522E">
        <w:t>S</w:t>
      </w:r>
      <w:r w:rsidRPr="008D4DD2">
        <w:t>tudy WA19926 there are differences between the DAS remission rates rep</w:t>
      </w:r>
      <w:r w:rsidR="00D8522E">
        <w:t xml:space="preserve">orted at the end of the Week 52 in the </w:t>
      </w:r>
      <w:r w:rsidRPr="008D4DD2">
        <w:t xml:space="preserve">report provided in this submission and the rates reported in the final study report. This also impacts the results for neutralising antibodies. This affects all the key secondary endpoint results for 52 weeks in the proposed </w:t>
      </w:r>
      <w:r w:rsidR="001A5770">
        <w:t xml:space="preserve">to be tabulated in </w:t>
      </w:r>
      <w:r w:rsidRPr="008D4DD2">
        <w:t>draft PI. It is presumed that these differences occurred because of imputation methods for missing data. Please provide a detailed account of the methods used t</w:t>
      </w:r>
      <w:r w:rsidR="001A5770">
        <w:t>o arrive at a different set of W</w:t>
      </w:r>
      <w:r w:rsidRPr="008D4DD2">
        <w:t>eek 52 results to provide assurance there are no data integrity issues such as transcription or optical data transfer issues. Please indicate if these data handling processes have be</w:t>
      </w:r>
      <w:r w:rsidR="001A5770">
        <w:t>en conducted on the data to 24 W</w:t>
      </w:r>
      <w:r w:rsidRPr="008D4DD2">
        <w:t xml:space="preserve">eeks. If so, please provide a </w:t>
      </w:r>
      <w:r w:rsidRPr="008D4DD2">
        <w:lastRenderedPageBreak/>
        <w:t>re-analysis to demonstrate the impact on the primary efficacy analysis and the key secondary efficacy outcomes.</w:t>
      </w:r>
    </w:p>
    <w:p w:rsidR="008D4DD2" w:rsidRPr="008D4DD2" w:rsidRDefault="008D4DD2" w:rsidP="00D759D0">
      <w:pPr>
        <w:pStyle w:val="Numberbullet2"/>
      </w:pPr>
      <w:r w:rsidRPr="008D4DD2">
        <w:t>Elevation of ALT &gt;</w:t>
      </w:r>
      <w:r w:rsidR="001A5770">
        <w:t xml:space="preserve"> </w:t>
      </w:r>
      <w:r w:rsidRPr="008D4DD2">
        <w:t>3</w:t>
      </w:r>
      <w:r w:rsidR="001A5770">
        <w:t xml:space="preserve"> </w:t>
      </w:r>
      <w:r w:rsidRPr="008D4DD2">
        <w:t>x ULN in Study WA19926 in the TCZ 8</w:t>
      </w:r>
      <w:r w:rsidR="00D8522E">
        <w:t xml:space="preserve"> </w:t>
      </w:r>
      <w:r w:rsidRPr="008D4DD2">
        <w:t>mg/kg + MTX group (12.8%) was greater than that reported for the in the TCZ 8</w:t>
      </w:r>
      <w:r w:rsidR="00D8522E">
        <w:t xml:space="preserve"> </w:t>
      </w:r>
      <w:r w:rsidRPr="008D4DD2">
        <w:t>mg/kg + DM</w:t>
      </w:r>
      <w:r w:rsidR="001A5770">
        <w:t>ARD/MTX group (5.8%) in DMARD-IR</w:t>
      </w:r>
      <w:r w:rsidRPr="008D4DD2">
        <w:t xml:space="preserve"> from previous studies. Please provide an explanation of the difference observed between the two studies. Please indicate whether the elevated liver enzymes returned to normal on TCZ withdrawal or dose modification.</w:t>
      </w:r>
    </w:p>
    <w:p w:rsidR="008D4DD2" w:rsidRPr="008D4DD2" w:rsidRDefault="008D4DD2" w:rsidP="00D759D0">
      <w:pPr>
        <w:pStyle w:val="Numberbullet0"/>
      </w:pPr>
      <w:r w:rsidRPr="008D4DD2">
        <w:t>Please provide an update to the submission under evaluation by the EMA. Please provide a brief summary of the issues raised by the European rapporteurs and the sponsor’s responses.</w:t>
      </w:r>
    </w:p>
    <w:p w:rsidR="008D4DD2" w:rsidRDefault="008D4DD2" w:rsidP="00D759D0">
      <w:pPr>
        <w:pStyle w:val="Numberbullet0"/>
      </w:pPr>
      <w:r w:rsidRPr="008D4DD2">
        <w:t xml:space="preserve">Please provide a list of all ongoing or planned clinical studies involving </w:t>
      </w:r>
      <w:r w:rsidR="001A5770">
        <w:t xml:space="preserve">TCZ </w:t>
      </w:r>
      <w:r w:rsidRPr="008D4DD2">
        <w:t>together with their planned dates of completion.</w:t>
      </w:r>
    </w:p>
    <w:p w:rsidR="00B72005" w:rsidRPr="008D4DD2" w:rsidRDefault="00B72005" w:rsidP="00D759D0">
      <w:r>
        <w:t>Remaining questions relate</w:t>
      </w:r>
      <w:r w:rsidR="0015267E">
        <w:t>d</w:t>
      </w:r>
      <w:r>
        <w:t xml:space="preserve"> to revisions to the PI. Details of these are beyond the scope of the AusPAR.</w:t>
      </w:r>
    </w:p>
    <w:p w:rsidR="00D23139" w:rsidRDefault="00D759D0" w:rsidP="00D759D0">
      <w:pPr>
        <w:pStyle w:val="Heading4"/>
      </w:pPr>
      <w:r>
        <w:t xml:space="preserve">Response from </w:t>
      </w:r>
      <w:r w:rsidR="00172C1E">
        <w:t>s</w:t>
      </w:r>
      <w:r>
        <w:t>ponsor</w:t>
      </w:r>
    </w:p>
    <w:p w:rsidR="00A66EAC" w:rsidRDefault="00556DB8" w:rsidP="00D759D0">
      <w:pPr>
        <w:pStyle w:val="Heading5"/>
      </w:pPr>
      <w:r w:rsidRPr="00A66EAC">
        <w:t xml:space="preserve">Sponsor comment </w:t>
      </w:r>
      <w:r w:rsidR="000D1607">
        <w:t xml:space="preserve">on the </w:t>
      </w:r>
      <w:r w:rsidR="00172C1E">
        <w:t>d</w:t>
      </w:r>
      <w:r w:rsidRPr="00A66EAC">
        <w:t xml:space="preserve">elegate’s request for ACPM advice </w:t>
      </w:r>
      <w:r w:rsidR="000D1607">
        <w:t xml:space="preserve">(Delegate’s </w:t>
      </w:r>
      <w:r w:rsidR="00172C1E">
        <w:t>o</w:t>
      </w:r>
      <w:r w:rsidR="000D1607">
        <w:t>verview)</w:t>
      </w:r>
    </w:p>
    <w:p w:rsidR="00A66EAC" w:rsidRDefault="00556DB8" w:rsidP="00D759D0">
      <w:r w:rsidRPr="00A66EAC">
        <w:t xml:space="preserve">The </w:t>
      </w:r>
      <w:r w:rsidR="0015267E">
        <w:t xml:space="preserve">sponsor </w:t>
      </w:r>
      <w:r w:rsidRPr="00A66EAC">
        <w:t>considers that the benefit-risk profile for A</w:t>
      </w:r>
      <w:r w:rsidR="0015267E">
        <w:t xml:space="preserve">ctemra </w:t>
      </w:r>
      <w:r w:rsidRPr="00A66EAC">
        <w:t>for this application is positive an</w:t>
      </w:r>
      <w:r w:rsidR="00D759D0">
        <w:t>d therefore should be approved.</w:t>
      </w:r>
    </w:p>
    <w:p w:rsidR="00A66EAC" w:rsidRDefault="000D1607" w:rsidP="00D759D0">
      <w:r>
        <w:t>The pivotal S</w:t>
      </w:r>
      <w:r w:rsidR="00556DB8" w:rsidRPr="00A66EAC">
        <w:t xml:space="preserve">tudy WA19926 enrolled a patient population with moderate to severe active </w:t>
      </w:r>
      <w:r w:rsidR="00A66EAC">
        <w:t xml:space="preserve">early RA of ≤ </w:t>
      </w:r>
      <w:r w:rsidR="00556DB8" w:rsidRPr="00A66EAC">
        <w:t xml:space="preserve">2 years duration. To be eligible for the study patients must have had clinical evidence of early moderate to severe RA as characterized by DAS28 &gt; 3.2, a minimum of 4 and 6 swollen and tender joints respectively, elevated ESR or CRP, and must have been positive for </w:t>
      </w:r>
      <w:r>
        <w:t xml:space="preserve">RF </w:t>
      </w:r>
      <w:r w:rsidR="00556DB8" w:rsidRPr="00A66EAC">
        <w:t xml:space="preserve">or anti-CCP </w:t>
      </w:r>
      <w:r>
        <w:t>antibodies</w:t>
      </w:r>
      <w:r w:rsidR="00556DB8" w:rsidRPr="00A66EAC">
        <w:t>. Patients without positive RF or anti-CCP tests must have had radiographic evidence of at least 1 erosion of the hands, wrists or feet. This is an enriched population of patients with poor prognosis who will benefit f</w:t>
      </w:r>
      <w:r w:rsidR="00D759D0">
        <w:t>rom early aggressive treatment.</w:t>
      </w:r>
    </w:p>
    <w:p w:rsidR="00A66EAC" w:rsidRDefault="00556DB8" w:rsidP="00D759D0">
      <w:pPr>
        <w:pStyle w:val="Heading5"/>
      </w:pPr>
      <w:r w:rsidRPr="00A66EAC">
        <w:t xml:space="preserve">Sponsor responses to the </w:t>
      </w:r>
      <w:r w:rsidR="00B359B4">
        <w:t xml:space="preserve">questions for the sponsor </w:t>
      </w:r>
      <w:r w:rsidR="00D759D0">
        <w:t xml:space="preserve">raised by the </w:t>
      </w:r>
      <w:r w:rsidR="00172C1E">
        <w:t>d</w:t>
      </w:r>
      <w:r w:rsidR="00D759D0">
        <w:t>elegate</w:t>
      </w:r>
    </w:p>
    <w:p w:rsidR="00A9254C" w:rsidRPr="00A9254C" w:rsidRDefault="00172C1E" w:rsidP="00D759D0">
      <w:pPr>
        <w:pStyle w:val="Heading6"/>
      </w:pPr>
      <w:r>
        <w:t>Response to d</w:t>
      </w:r>
      <w:r w:rsidR="00B359B4">
        <w:t xml:space="preserve">elegate’s question </w:t>
      </w:r>
      <w:r w:rsidR="00D759D0">
        <w:t>1.</w:t>
      </w:r>
    </w:p>
    <w:p w:rsidR="00A9254C" w:rsidRDefault="00556DB8" w:rsidP="00D759D0">
      <w:proofErr w:type="spellStart"/>
      <w:r w:rsidRPr="00A66EAC">
        <w:t>ACTiv</w:t>
      </w:r>
      <w:proofErr w:type="spellEnd"/>
      <w:r w:rsidRPr="00A66EAC">
        <w:t xml:space="preserve"> is an Infusion Management Program for A</w:t>
      </w:r>
      <w:r w:rsidR="00B359B4">
        <w:t xml:space="preserve">ctemra </w:t>
      </w:r>
      <w:r w:rsidRPr="00A66EAC">
        <w:t>(</w:t>
      </w:r>
      <w:r w:rsidR="00B359B4">
        <w:t>TCZ</w:t>
      </w:r>
      <w:r w:rsidRPr="00A66EAC">
        <w:t>) offering a coordinated approach to infusion services making A</w:t>
      </w:r>
      <w:r w:rsidR="00B359B4">
        <w:t xml:space="preserve">ctemra </w:t>
      </w:r>
      <w:r w:rsidRPr="00A66EAC">
        <w:t>treatment easier for the health car</w:t>
      </w:r>
      <w:r w:rsidR="00D759D0">
        <w:t>e professional and the patient.</w:t>
      </w:r>
    </w:p>
    <w:p w:rsidR="00A9254C" w:rsidRDefault="00556DB8" w:rsidP="00D759D0">
      <w:r w:rsidRPr="00A66EAC">
        <w:t>From 2009, the total number of anaphylaxis or serious hypersensitivity events experienced in patients on the program is 12 and the total number of SAEs experienced in p</w:t>
      </w:r>
      <w:r w:rsidR="00D759D0">
        <w:t>atients on the program is 1307.</w:t>
      </w:r>
    </w:p>
    <w:p w:rsidR="00A9254C" w:rsidRDefault="00556DB8" w:rsidP="00D759D0">
      <w:r w:rsidRPr="00A66EAC">
        <w:t xml:space="preserve">From the commencement of the </w:t>
      </w:r>
      <w:proofErr w:type="spellStart"/>
      <w:r w:rsidRPr="00A66EAC">
        <w:t>ACTiv</w:t>
      </w:r>
      <w:proofErr w:type="spellEnd"/>
      <w:r w:rsidRPr="00A66EAC">
        <w:t xml:space="preserve"> program in 2009, 26% </w:t>
      </w:r>
      <w:r w:rsidR="00A35022">
        <w:t xml:space="preserve">of </w:t>
      </w:r>
      <w:r w:rsidRPr="00A66EAC">
        <w:t xml:space="preserve">patients have permanently discontinued </w:t>
      </w:r>
      <w:r w:rsidR="00B359B4">
        <w:t xml:space="preserve">TCZ </w:t>
      </w:r>
      <w:r w:rsidRPr="00A66EAC">
        <w:t xml:space="preserve">under the </w:t>
      </w:r>
      <w:proofErr w:type="spellStart"/>
      <w:r w:rsidRPr="00A66EAC">
        <w:t>ACTiv</w:t>
      </w:r>
      <w:proofErr w:type="spellEnd"/>
      <w:r w:rsidRPr="00A66EAC">
        <w:t xml:space="preserve"> program, the average length of treatment before cessation was 9 months. This is comparable with the average rate of discontinuations of all biological treatments for </w:t>
      </w:r>
      <w:r w:rsidR="009C63CE">
        <w:t>RA</w:t>
      </w:r>
      <w:r w:rsidRPr="00A66EAC">
        <w:t xml:space="preserve"> and discontinuation rates for A</w:t>
      </w:r>
      <w:r w:rsidR="00782F89" w:rsidRPr="00A66EAC">
        <w:t>ctemra</w:t>
      </w:r>
      <w:r w:rsidRPr="00A66EAC">
        <w:t xml:space="preserve"> seen in other treatment settings</w:t>
      </w:r>
      <w:r w:rsidR="00B359B4">
        <w:rPr>
          <w:rStyle w:val="FootnoteReference"/>
        </w:rPr>
        <w:footnoteReference w:id="6"/>
      </w:r>
      <w:proofErr w:type="gramStart"/>
      <w:r w:rsidR="00B359B4" w:rsidRPr="00B359B4">
        <w:rPr>
          <w:vertAlign w:val="superscript"/>
        </w:rPr>
        <w:t>,</w:t>
      </w:r>
      <w:r w:rsidR="00B359B4">
        <w:rPr>
          <w:rStyle w:val="FootnoteReference"/>
        </w:rPr>
        <w:footnoteReference w:id="7"/>
      </w:r>
      <w:r w:rsidR="00D759D0">
        <w:t>.</w:t>
      </w:r>
      <w:proofErr w:type="gramEnd"/>
    </w:p>
    <w:p w:rsidR="00B359B4" w:rsidRDefault="00172C1E" w:rsidP="00D759D0">
      <w:pPr>
        <w:pStyle w:val="Heading6"/>
      </w:pPr>
      <w:r>
        <w:lastRenderedPageBreak/>
        <w:t>Response to d</w:t>
      </w:r>
      <w:r w:rsidR="00B359B4" w:rsidRPr="00B359B4">
        <w:t xml:space="preserve">elegate’s question </w:t>
      </w:r>
      <w:r w:rsidR="00B359B4">
        <w:t>2</w:t>
      </w:r>
      <w:r w:rsidR="00B359B4" w:rsidRPr="00B359B4">
        <w:t>.</w:t>
      </w:r>
    </w:p>
    <w:p w:rsidR="00A9254C" w:rsidRDefault="00556DB8" w:rsidP="00D759D0">
      <w:r w:rsidRPr="00A66EAC">
        <w:t xml:space="preserve">All outstanding matters have been addressed in the updated Australian Specific Annex v3.2 (July 2014) to the EU-RMP v15.0 and a copy provided to </w:t>
      </w:r>
      <w:r w:rsidR="00B359B4">
        <w:t xml:space="preserve">the OPR </w:t>
      </w:r>
      <w:r w:rsidR="00D759D0">
        <w:t>on 14 July 2014.</w:t>
      </w:r>
    </w:p>
    <w:p w:rsidR="00B359B4" w:rsidRDefault="00172C1E" w:rsidP="00D759D0">
      <w:pPr>
        <w:pStyle w:val="Heading6"/>
      </w:pPr>
      <w:r>
        <w:t>Response to d</w:t>
      </w:r>
      <w:r w:rsidR="00B359B4" w:rsidRPr="00B359B4">
        <w:t xml:space="preserve">elegate’s question </w:t>
      </w:r>
      <w:r w:rsidR="00B359B4">
        <w:t>3</w:t>
      </w:r>
      <w:r w:rsidR="00B359B4" w:rsidRPr="00B359B4">
        <w:t>.</w:t>
      </w:r>
    </w:p>
    <w:p w:rsidR="00A9254C" w:rsidRDefault="00B359B4" w:rsidP="00D759D0">
      <w:r>
        <w:t>The sample size for S</w:t>
      </w:r>
      <w:r w:rsidR="00556DB8" w:rsidRPr="00A66EAC">
        <w:t>tudy NA25256 was based on practical considerations of a reasonable sized population and statistical considerations based on the accuracy of the estimate of the proportion of responders. No power calculation was performed as no formal stat</w:t>
      </w:r>
      <w:r w:rsidR="00D759D0">
        <w:t>istical hypothesis testing was.</w:t>
      </w:r>
    </w:p>
    <w:p w:rsidR="00A9254C" w:rsidRPr="00A9254C" w:rsidRDefault="00172C1E" w:rsidP="00D759D0">
      <w:pPr>
        <w:pStyle w:val="Heading6"/>
      </w:pPr>
      <w:r>
        <w:t>Response to d</w:t>
      </w:r>
      <w:r w:rsidR="00B359B4" w:rsidRPr="00B359B4">
        <w:t xml:space="preserve">elegate’s question </w:t>
      </w:r>
      <w:r w:rsidR="00556DB8" w:rsidRPr="00A9254C">
        <w:t>4</w:t>
      </w:r>
      <w:r w:rsidR="005D10EE">
        <w:t>a</w:t>
      </w:r>
      <w:r w:rsidR="00D759D0">
        <w:t>.</w:t>
      </w:r>
    </w:p>
    <w:p w:rsidR="00A9254C" w:rsidRDefault="00556DB8" w:rsidP="00D759D0">
      <w:r w:rsidRPr="00A66EAC">
        <w:t>In the DMARD-IR population, the rate of deaths was slightly lower than in the WA19926 population but 95% CIs were wide and overlapping. In the pivotal study WA19926, there were 9 patient deaths reported at Week 52, and 14 deaths at Week 104. Twelve deaths were reported in TCZ</w:t>
      </w:r>
      <w:r w:rsidR="00B359B4">
        <w:t xml:space="preserve"> </w:t>
      </w:r>
      <w:r w:rsidRPr="00A66EAC">
        <w:t>treated patients compared to two deaths in placebo + MTX-treated patients. The underlying causes of death were variable across treatment groups with no particular clusterin</w:t>
      </w:r>
      <w:r w:rsidR="00D759D0">
        <w:t>g of types of events over time.</w:t>
      </w:r>
    </w:p>
    <w:p w:rsidR="00A9254C" w:rsidRDefault="00556DB8" w:rsidP="00D759D0">
      <w:r w:rsidRPr="00A66EAC">
        <w:t>Overall the rate of deaths at Week 104 per 100 PY in the TCZ groups was similar to that seen in the placebo + MTX group with the exception of the TCZ 4 mg/kg + MTX group which had a numerically higher rate of deaths compared with the placebo + MTX group (TCZ 4 mg/kg + MTX: 1.27 [95% CI; 0.41, 2.96]; TCZ 8 mg/kg + MTX: 0.56 [95% CI; 0.15, 1.43]; TCZ 8 mg/kg + place</w:t>
      </w:r>
      <w:r w:rsidR="00B359B4">
        <w:t>bo: 0.60 [95% CI; 0.12, 1.75]; p</w:t>
      </w:r>
      <w:r w:rsidRPr="00A66EAC">
        <w:t xml:space="preserve">lacebo + MTX: 0.59 [95% CI; </w:t>
      </w:r>
      <w:r w:rsidR="00B359B4">
        <w:t>0.07, 2.13] deaths per 100 PY)</w:t>
      </w:r>
      <w:r w:rsidRPr="00A66EAC">
        <w:t>. However, the 95% CIs were wide and overlapping and 3 of the 5 deaths reported in the 4 mg/kg + MTX group occurred in patients over the age of 80. The majority of deaths in the study were considered to</w:t>
      </w:r>
      <w:r w:rsidR="00D759D0">
        <w:t xml:space="preserve"> be unrelated to TCZ treatment.</w:t>
      </w:r>
    </w:p>
    <w:p w:rsidR="00A9254C" w:rsidRDefault="00556DB8" w:rsidP="00D759D0">
      <w:r w:rsidRPr="00A66EAC">
        <w:t xml:space="preserve">The rate of SAEs was numerically higher in the TCZ groups than in the placebo + MTX groups at both Week 52 and </w:t>
      </w:r>
      <w:r w:rsidR="00B359B4">
        <w:t>Week 104 of S</w:t>
      </w:r>
      <w:r w:rsidRPr="00A66EAC">
        <w:t>tudy WA19926, with 95% CIs overlapping (TCZ 4 mg/kg + MTX</w:t>
      </w:r>
      <w:r w:rsidR="007C4D46">
        <w:t xml:space="preserve"> </w:t>
      </w:r>
      <w:r w:rsidRPr="00A66EAC">
        <w:t xml:space="preserve">14.7 [95% CI; 11.2, 19.0], TCZ 8 mg/kg + MTX 11.6 [95% CI; 9.2, 14.3] and TCZ 8 mg/kg + placebo 13.3 [95% CI; 10.3, 16.9] </w:t>
      </w:r>
      <w:r w:rsidR="00F516E3" w:rsidRPr="00F516E3">
        <w:t>versus</w:t>
      </w:r>
      <w:r w:rsidR="007C4D46">
        <w:t xml:space="preserve"> p</w:t>
      </w:r>
      <w:r w:rsidRPr="00A66EAC">
        <w:t xml:space="preserve">lacebo + MTX 9.1 [95% CI; 6.2, 13.0] SAEs per 100 PY at Week 104). The SAEs reported during the study were consistent with the known safety profile of TCZ, with infections and infestations being the SOC with the highest rate of events per 100 PY. Patients in the TCZ 4 mg/kg + MTX had the highest rate of SAEs but it is worth noting that these patients were marginally older than patients in the other treatment groups (mean: 51.2 </w:t>
      </w:r>
      <w:r w:rsidR="00F516E3" w:rsidRPr="00F516E3">
        <w:t>versus</w:t>
      </w:r>
      <w:r w:rsidR="007C4D46">
        <w:t xml:space="preserve"> 49.5-</w:t>
      </w:r>
      <w:r w:rsidRPr="00A66EAC">
        <w:t>49.9 years) and had a higher number of concurrent diseases at baseline. The rates of events in WA19926 were broadly similar to those observed in the DMARD-IR study populati</w:t>
      </w:r>
      <w:r w:rsidR="00D759D0">
        <w:t>ons, with overlapping 95% CIs.</w:t>
      </w:r>
    </w:p>
    <w:p w:rsidR="00A9254C" w:rsidRDefault="00556DB8" w:rsidP="00D759D0">
      <w:r w:rsidRPr="00A66EAC">
        <w:t xml:space="preserve">An increase in discontinuations due to safety reasons was observed with increased intensity of RA treatment from placebo + MTX, through TCZ 4 mg/kg + MTX, TCZ 8 mg/kg monotherapy, up to TCZ 8 mg/kg + MTX. This increase appears to be driven mainly by elevations in hepatic enzymes, since the number of discontinuations for safety reasons other than increased transaminases is consistent between the arms. A risk mitigation strategy against hepatic changes required patients </w:t>
      </w:r>
      <w:r w:rsidR="00A9254C">
        <w:t xml:space="preserve">with an ALT/AST elevation &gt; 5 x </w:t>
      </w:r>
      <w:r w:rsidRPr="00A66EAC">
        <w:t>ULN to be withdrawn from the study, and for p</w:t>
      </w:r>
      <w:r w:rsidR="00A9254C">
        <w:t xml:space="preserve">atients with an elevation &gt; 3 x </w:t>
      </w:r>
      <w:r w:rsidRPr="00A66EAC">
        <w:t>ULN to be withdrawn if elevations continued despite reduction of MTX below 7.5 mg/week or interruption of TCZ for</w:t>
      </w:r>
      <w:r w:rsidR="00D759D0">
        <w:t xml:space="preserve"> more than 3 consecutive doses.</w:t>
      </w:r>
    </w:p>
    <w:p w:rsidR="005D10EE" w:rsidRDefault="00172C1E" w:rsidP="00D759D0">
      <w:pPr>
        <w:pStyle w:val="Heading6"/>
      </w:pPr>
      <w:r>
        <w:t>Response to d</w:t>
      </w:r>
      <w:r w:rsidR="005D10EE" w:rsidRPr="005D10EE">
        <w:t>elegate’s question 4</w:t>
      </w:r>
      <w:r w:rsidR="005D10EE">
        <w:t>b.</w:t>
      </w:r>
    </w:p>
    <w:p w:rsidR="00A827CB" w:rsidRDefault="005D10EE" w:rsidP="00D759D0">
      <w:r>
        <w:t>L</w:t>
      </w:r>
      <w:r w:rsidR="00556DB8" w:rsidRPr="00A66EAC">
        <w:t>istings of baseline lipids, lipid profile during the study, and lipid lowering medications for deaths due to cardiovascular reasons</w:t>
      </w:r>
      <w:r>
        <w:t xml:space="preserve"> were provided</w:t>
      </w:r>
      <w:r w:rsidR="00556DB8" w:rsidRPr="00A66EAC">
        <w:t xml:space="preserve">. </w:t>
      </w:r>
      <w:r>
        <w:t>One p</w:t>
      </w:r>
      <w:r w:rsidR="00556DB8" w:rsidRPr="00A66EAC">
        <w:t>atient in the TCZ 4</w:t>
      </w:r>
      <w:r w:rsidR="00D8522E">
        <w:t xml:space="preserve"> </w:t>
      </w:r>
      <w:r w:rsidR="00556DB8" w:rsidRPr="00A66EAC">
        <w:t xml:space="preserve">mg/kg + MTX group died as a result of arteriosclerosis. The patient was not taking any lipid lowering medication and did not have any elevated lipid parameters during the study. </w:t>
      </w:r>
      <w:r>
        <w:t>A p</w:t>
      </w:r>
      <w:r w:rsidR="00556DB8" w:rsidRPr="00A66EAC">
        <w:t xml:space="preserve">atient in the 8 mg/kg TCZ + </w:t>
      </w:r>
      <w:r>
        <w:t>p</w:t>
      </w:r>
      <w:r w:rsidR="00556DB8" w:rsidRPr="00A66EAC">
        <w:t xml:space="preserve">lacebo group died as a result of congestive cardiac failure. The patient had elevated triglycerides at baseline and throughout the study despite taking </w:t>
      </w:r>
      <w:r w:rsidR="00556DB8" w:rsidRPr="00A66EAC">
        <w:lastRenderedPageBreak/>
        <w:t>simvastatin prior to and during the study. These data suggest that the cardiovascular deaths that occurred during the study were not as a result of any TCZ</w:t>
      </w:r>
      <w:r>
        <w:t xml:space="preserve"> </w:t>
      </w:r>
      <w:r w:rsidR="00556DB8" w:rsidRPr="00A66EAC">
        <w:t>induced increase in lipids.</w:t>
      </w:r>
    </w:p>
    <w:p w:rsidR="005D10EE" w:rsidRPr="005D10EE" w:rsidRDefault="005D10EE" w:rsidP="00D759D0">
      <w:pPr>
        <w:pStyle w:val="Heading6"/>
      </w:pPr>
      <w:r w:rsidRPr="005D10EE">
        <w:t xml:space="preserve">Response to </w:t>
      </w:r>
      <w:r w:rsidR="00172C1E">
        <w:t>d</w:t>
      </w:r>
      <w:r w:rsidRPr="005D10EE">
        <w:t>elegate’s question 4</w:t>
      </w:r>
      <w:r>
        <w:t>c</w:t>
      </w:r>
      <w:r w:rsidRPr="005D10EE">
        <w:t>.</w:t>
      </w:r>
    </w:p>
    <w:p w:rsidR="00A827CB" w:rsidRDefault="00556DB8" w:rsidP="00D759D0">
      <w:r w:rsidRPr="00A66EAC">
        <w:t xml:space="preserve">Standard data handling methods for collection, transfer and imputation of data, were applied to both the Week 52 </w:t>
      </w:r>
      <w:proofErr w:type="spellStart"/>
      <w:r w:rsidRPr="00A66EAC">
        <w:t>datacut</w:t>
      </w:r>
      <w:proofErr w:type="spellEnd"/>
      <w:r w:rsidRPr="00A66EAC">
        <w:t xml:space="preserve"> and the final Week 104 </w:t>
      </w:r>
      <w:proofErr w:type="spellStart"/>
      <w:r w:rsidRPr="00A66EAC">
        <w:t>datacut</w:t>
      </w:r>
      <w:proofErr w:type="spellEnd"/>
      <w:r w:rsidRPr="00A66EAC">
        <w:t xml:space="preserve"> Therefore Roche provides the assurance that there are no data integrity issues. Week 24 data was analysed at the primary analysis </w:t>
      </w:r>
      <w:proofErr w:type="spellStart"/>
      <w:r w:rsidRPr="00A66EAC">
        <w:t>datacut</w:t>
      </w:r>
      <w:proofErr w:type="spellEnd"/>
      <w:r w:rsidRPr="00A66EAC">
        <w:t xml:space="preserve"> at Week 52 and also applied the standard data handling rules. Differences in the data between Week 52 and Week 104 </w:t>
      </w:r>
      <w:proofErr w:type="spellStart"/>
      <w:r w:rsidRPr="00A66EAC">
        <w:t>datacuts</w:t>
      </w:r>
      <w:proofErr w:type="spellEnd"/>
      <w:r w:rsidRPr="00A66EAC">
        <w:t xml:space="preserve"> are expected due to ongoing cleaning of the open database throughout the study. Pre-defined sensitivity analyses were also carried out on the primary endpoint to ensure the integrity of the data and the robustness</w:t>
      </w:r>
      <w:r w:rsidR="00D759D0">
        <w:t xml:space="preserve"> of the imputation method used.</w:t>
      </w:r>
    </w:p>
    <w:p w:rsidR="00A827CB" w:rsidRDefault="00556DB8" w:rsidP="00D759D0">
      <w:r w:rsidRPr="00A66EAC">
        <w:t>Differences in DAS remission rates reported in the Week 52 study report and the final study report (Week 104 results) are due to missing data at the time of the Week 52 analysis. This was an ongoing study at the time of the primary analysis and therefore changes could be made to the database after the primary analysis was carried out. The discrepancy is due to 27 patients missing an ESR result at Week 52 in the original analysis, which resulted in no DAS28 score being cal</w:t>
      </w:r>
      <w:r w:rsidR="005D10EE">
        <w:t>culated, and the imputation of “</w:t>
      </w:r>
      <w:proofErr w:type="spellStart"/>
      <w:r w:rsidR="005D10EE">
        <w:t>nonresponder</w:t>
      </w:r>
      <w:proofErr w:type="spellEnd"/>
      <w:r w:rsidR="005D10EE">
        <w:t>”</w:t>
      </w:r>
      <w:r w:rsidRPr="00A66EAC">
        <w:t xml:space="preserve"> for remission status for these patients. All 27 missing ESR scores were available at the time of the final analysis, resulting in 15 patients being classed as not in DAS remission and 12 patients bei</w:t>
      </w:r>
      <w:r w:rsidR="00D759D0">
        <w:t>ng classed as in DAS remission.</w:t>
      </w:r>
    </w:p>
    <w:p w:rsidR="00A827CB" w:rsidRDefault="00556DB8" w:rsidP="00D759D0">
      <w:r w:rsidRPr="00A66EAC">
        <w:t>Similar data discrepancies due to performing analysis on a live database resulted in small variations in the results of all secondary endpoints. The one exception to this is the radiographic scores which saw greater differences in the data between the Week 52 and Week 104 analyses. Extensive investigation of the data indicated that this was due to the fact tha</w:t>
      </w:r>
      <w:r w:rsidR="005D10EE">
        <w:t>t two independent campaigns of X</w:t>
      </w:r>
      <w:r w:rsidRPr="00A66EAC">
        <w:t>-ray readings were used. No differences in im</w:t>
      </w:r>
      <w:r w:rsidR="00D759D0">
        <w:t>putation methods were employed.</w:t>
      </w:r>
    </w:p>
    <w:p w:rsidR="00A827CB" w:rsidRDefault="00556DB8" w:rsidP="00D759D0">
      <w:r w:rsidRPr="00A66EAC">
        <w:t xml:space="preserve">The </w:t>
      </w:r>
      <w:r w:rsidR="005D10EE">
        <w:t>f</w:t>
      </w:r>
      <w:r w:rsidRPr="00A66EAC">
        <w:t xml:space="preserve">inal </w:t>
      </w:r>
      <w:r w:rsidR="005D10EE">
        <w:t xml:space="preserve">clinical study report (CSR) </w:t>
      </w:r>
      <w:r w:rsidRPr="00A66EAC">
        <w:t>reported t</w:t>
      </w:r>
      <w:r w:rsidR="005D10EE">
        <w:t>hat 3 patients reported in the p</w:t>
      </w:r>
      <w:r w:rsidRPr="00A66EAC">
        <w:t xml:space="preserve">rimary CSR </w:t>
      </w:r>
      <w:r w:rsidR="005D10EE">
        <w:t>as having developed neutralising anti-</w:t>
      </w:r>
      <w:r w:rsidRPr="00A66EAC">
        <w:t xml:space="preserve">TCZ antibodies are no longer considered to have done so as they had positive confirmation assay results at baseline. One additional </w:t>
      </w:r>
      <w:r w:rsidR="005D10EE">
        <w:t>patient had a positive neutralis</w:t>
      </w:r>
      <w:r w:rsidRPr="00A66EAC">
        <w:t>ing result at Week 104, therefore resulting in an ov</w:t>
      </w:r>
      <w:r w:rsidR="00D759D0">
        <w:t>erall difference of 2 patients.</w:t>
      </w:r>
    </w:p>
    <w:p w:rsidR="005D10EE" w:rsidRPr="005D10EE" w:rsidRDefault="005D10EE" w:rsidP="00D759D0">
      <w:pPr>
        <w:pStyle w:val="Heading6"/>
      </w:pPr>
      <w:r w:rsidRPr="005D10EE">
        <w:t xml:space="preserve">Response to </w:t>
      </w:r>
      <w:r w:rsidR="00172C1E">
        <w:t>d</w:t>
      </w:r>
      <w:r w:rsidRPr="005D10EE">
        <w:t>elegate’s question 4</w:t>
      </w:r>
      <w:r>
        <w:t>d</w:t>
      </w:r>
      <w:r w:rsidRPr="005D10EE">
        <w:t>.</w:t>
      </w:r>
    </w:p>
    <w:p w:rsidR="00A827CB" w:rsidRDefault="00556DB8" w:rsidP="00D759D0">
      <w:r w:rsidRPr="00A66EAC">
        <w:t xml:space="preserve">Both </w:t>
      </w:r>
      <w:r w:rsidR="005D10EE">
        <w:t xml:space="preserve">MTX </w:t>
      </w:r>
      <w:r w:rsidRPr="00A66EAC">
        <w:t>and TCZ have known risks of causing elevations in hepatic enzymes (including ALT) which are addressed in the PI. In clinical trials with TCZ, transient or intermittent mild to moderate elevations in ALT were commonly reported with TCZ treatment without progression to hepatic injury. An increased frequency of these elevations was observed when potentially hepatotoxic drugs (</w:t>
      </w:r>
      <w:r w:rsidR="005D10EE">
        <w:t xml:space="preserve">such as </w:t>
      </w:r>
      <w:r w:rsidRPr="00A66EAC">
        <w:t>MTX) were used in combination with TCZ. Since patients in WA19926 were MTX naïve when entering the study and placed on a rapid titration of MTX to a maximum of 20 mg/week, elevations of ALT were expected to be greater than those observed in the DMARD-IR population, especi</w:t>
      </w:r>
      <w:r w:rsidR="00D759D0">
        <w:t>ally in the TCZ treatment arms.</w:t>
      </w:r>
    </w:p>
    <w:p w:rsidR="00A827CB" w:rsidRDefault="00556DB8" w:rsidP="00D759D0">
      <w:r w:rsidRPr="00A66EAC">
        <w:t>Of 47 patients in the WA19926 TCZ 8 mg/kg + MTX treatment gro</w:t>
      </w:r>
      <w:r w:rsidR="005D10EE">
        <w:t xml:space="preserve">up with elevations of ALT &gt; 3 x </w:t>
      </w:r>
      <w:r w:rsidRPr="00A66EAC">
        <w:t>ULN, 34 patients returned to normal, with 24 patients not having any modification in TCZ dose. The median ti</w:t>
      </w:r>
      <w:r w:rsidR="005D10EE">
        <w:t>me from last elevation ALT &gt; 3 x ULN to normalis</w:t>
      </w:r>
      <w:r w:rsidRPr="00A66EAC">
        <w:t xml:space="preserve">ation for these 34 patients was 33 days. Of the 13 patients whose ALT levels did not return to </w:t>
      </w:r>
      <w:r w:rsidR="005D10EE">
        <w:t>normal, 8 stopped TCZ treatment</w:t>
      </w:r>
      <w:r w:rsidRPr="00A66EAC">
        <w:t xml:space="preserve"> while </w:t>
      </w:r>
      <w:r w:rsidR="00D759D0">
        <w:t>5 had no TCZ dose modification.</w:t>
      </w:r>
    </w:p>
    <w:p w:rsidR="005D10EE" w:rsidRPr="005D10EE" w:rsidRDefault="005D10EE" w:rsidP="00D759D0">
      <w:pPr>
        <w:pStyle w:val="Heading6"/>
      </w:pPr>
      <w:r w:rsidRPr="005D10EE">
        <w:t xml:space="preserve">Response to </w:t>
      </w:r>
      <w:r w:rsidR="00172C1E">
        <w:t>d</w:t>
      </w:r>
      <w:r w:rsidRPr="005D10EE">
        <w:t xml:space="preserve">elegate’s question </w:t>
      </w:r>
      <w:r>
        <w:t>5</w:t>
      </w:r>
      <w:r w:rsidRPr="005D10EE">
        <w:t>.</w:t>
      </w:r>
    </w:p>
    <w:p w:rsidR="00831651" w:rsidRDefault="005D10EE" w:rsidP="00D759D0">
      <w:r>
        <w:t>Information on the status of the submission in th</w:t>
      </w:r>
      <w:r w:rsidR="00D759D0">
        <w:t>e EU was provided as requested.</w:t>
      </w:r>
    </w:p>
    <w:p w:rsidR="005D10EE" w:rsidRPr="005D10EE" w:rsidRDefault="005D10EE" w:rsidP="00425E59">
      <w:pPr>
        <w:pStyle w:val="Heading6"/>
      </w:pPr>
      <w:r w:rsidRPr="005D10EE">
        <w:lastRenderedPageBreak/>
        <w:t xml:space="preserve">Response to </w:t>
      </w:r>
      <w:r w:rsidR="00172C1E">
        <w:t>d</w:t>
      </w:r>
      <w:r w:rsidRPr="005D10EE">
        <w:t xml:space="preserve">elegate’s question </w:t>
      </w:r>
      <w:r>
        <w:t>6</w:t>
      </w:r>
      <w:r w:rsidRPr="005D10EE">
        <w:t>.</w:t>
      </w:r>
    </w:p>
    <w:p w:rsidR="000F6C45" w:rsidRPr="000F6C45" w:rsidRDefault="00556DB8" w:rsidP="00425E59">
      <w:r w:rsidRPr="000F6C45">
        <w:t>An overview of all ongoing and planned clinical s</w:t>
      </w:r>
      <w:r w:rsidR="00B72005">
        <w:t xml:space="preserve">tudies </w:t>
      </w:r>
      <w:r w:rsidRPr="000F6C45">
        <w:t xml:space="preserve">involving </w:t>
      </w:r>
      <w:r w:rsidR="00B72005">
        <w:t xml:space="preserve">TCZ </w:t>
      </w:r>
      <w:r w:rsidRPr="000F6C45">
        <w:t xml:space="preserve">and the planned dates of completion </w:t>
      </w:r>
      <w:r w:rsidR="00414E3B">
        <w:t>was provided as requested</w:t>
      </w:r>
      <w:r w:rsidR="00425E59">
        <w:t>.</w:t>
      </w:r>
    </w:p>
    <w:p w:rsidR="00B72005" w:rsidRPr="00B72005" w:rsidRDefault="00B72005" w:rsidP="00425E59">
      <w:r w:rsidRPr="00B72005">
        <w:t xml:space="preserve">Remaining </w:t>
      </w:r>
      <w:r>
        <w:t xml:space="preserve">responses </w:t>
      </w:r>
      <w:r w:rsidRPr="00B72005">
        <w:t>relate to revisions to the PI. Details of these are beyond the scope of the AusPAR.</w:t>
      </w:r>
    </w:p>
    <w:p w:rsidR="008E7846" w:rsidRDefault="00172C1E" w:rsidP="00425E59">
      <w:pPr>
        <w:pStyle w:val="Heading4"/>
      </w:pPr>
      <w:r>
        <w:t>Advisory c</w:t>
      </w:r>
      <w:r w:rsidR="008E7846">
        <w:t xml:space="preserve">ommittee </w:t>
      </w:r>
      <w:r>
        <w:t>c</w:t>
      </w:r>
      <w:r w:rsidR="008E7846">
        <w:t>onsiderations</w:t>
      </w:r>
    </w:p>
    <w:p w:rsidR="008E7846" w:rsidRDefault="00D23139" w:rsidP="00425E59">
      <w:r w:rsidRPr="00D23139">
        <w:t>The ACPM, having considered the evaluations and the Delegate’s overview, as well as the sponsor’s response to these documents, advised the following:</w:t>
      </w:r>
    </w:p>
    <w:p w:rsidR="005F2129" w:rsidRPr="005E4938" w:rsidRDefault="005F2129" w:rsidP="00425E59">
      <w:r w:rsidRPr="002848CC">
        <w:t>The</w:t>
      </w:r>
      <w:r>
        <w:t xml:space="preserve"> submission seeks to register an </w:t>
      </w:r>
      <w:r>
        <w:rPr>
          <w:noProof/>
        </w:rPr>
        <w:t>e</w:t>
      </w:r>
      <w:r w:rsidRPr="00FB34C3">
        <w:rPr>
          <w:noProof/>
        </w:rPr>
        <w:t>xtension of indications</w:t>
      </w:r>
      <w:r>
        <w:t xml:space="preserve"> </w:t>
      </w:r>
      <w:r w:rsidRPr="001D67EC">
        <w:t xml:space="preserve">for a currently registered </w:t>
      </w:r>
      <w:r w:rsidRPr="005E4938">
        <w:t>product.</w:t>
      </w:r>
    </w:p>
    <w:p w:rsidR="005F2129" w:rsidRPr="00235B19" w:rsidRDefault="005F2129" w:rsidP="00425E59">
      <w:r w:rsidRPr="00235B19">
        <w:t>The ACPM, taking into account the submitted evidence of efficacy, safety and quality, considered A</w:t>
      </w:r>
      <w:r w:rsidR="00912840">
        <w:t xml:space="preserve">ctemra </w:t>
      </w:r>
      <w:r w:rsidRPr="00235B19">
        <w:t xml:space="preserve">solution for IV infusion containing 80 mg, 200 mg, 400 mg as 20 mg/mL of </w:t>
      </w:r>
      <w:r w:rsidR="006C365B" w:rsidRPr="006C365B">
        <w:t>TCZ</w:t>
      </w:r>
      <w:r w:rsidRPr="00235B19">
        <w:t xml:space="preserve"> to have an overall positive benefit–risk profile for the amended indic</w:t>
      </w:r>
      <w:r w:rsidR="00425E59">
        <w:t>ation as follows:</w:t>
      </w:r>
    </w:p>
    <w:p w:rsidR="005F2129" w:rsidRPr="00235B19" w:rsidRDefault="005F2129" w:rsidP="00235B19">
      <w:pPr>
        <w:ind w:left="720"/>
        <w:rPr>
          <w:i/>
        </w:rPr>
      </w:pPr>
      <w:proofErr w:type="spellStart"/>
      <w:r w:rsidRPr="00235B19">
        <w:rPr>
          <w:i/>
        </w:rPr>
        <w:t>A</w:t>
      </w:r>
      <w:r w:rsidR="00235B19" w:rsidRPr="00235B19">
        <w:rPr>
          <w:i/>
        </w:rPr>
        <w:t>ctemra</w:t>
      </w:r>
      <w:proofErr w:type="spellEnd"/>
      <w:r w:rsidR="00235B19" w:rsidRPr="00235B19">
        <w:rPr>
          <w:i/>
        </w:rPr>
        <w:t xml:space="preserve"> </w:t>
      </w:r>
      <w:r w:rsidRPr="00235B19">
        <w:rPr>
          <w:i/>
        </w:rPr>
        <w:t xml:space="preserve">is indicated for the treatment of moderate to severe active rheumatoid arthritis (RA) </w:t>
      </w:r>
      <w:r w:rsidRPr="00912840">
        <w:rPr>
          <w:b/>
          <w:i/>
        </w:rPr>
        <w:t>with poor prognostic factors</w:t>
      </w:r>
      <w:r w:rsidRPr="00235B19">
        <w:rPr>
          <w:i/>
        </w:rPr>
        <w:t xml:space="preserve"> (see </w:t>
      </w:r>
      <w:r w:rsidR="00235B19" w:rsidRPr="00235B19">
        <w:rPr>
          <w:i/>
        </w:rPr>
        <w:t>C</w:t>
      </w:r>
      <w:r w:rsidRPr="00235B19">
        <w:rPr>
          <w:i/>
        </w:rPr>
        <w:t xml:space="preserve">linical </w:t>
      </w:r>
      <w:r w:rsidR="00235B19" w:rsidRPr="00235B19">
        <w:rPr>
          <w:i/>
        </w:rPr>
        <w:t>T</w:t>
      </w:r>
      <w:r w:rsidRPr="00235B19">
        <w:rPr>
          <w:i/>
        </w:rPr>
        <w:t>rials) in adult patients in combination with methotrexate (MTX) in those not previously treated with MTX;</w:t>
      </w:r>
    </w:p>
    <w:p w:rsidR="005F2129" w:rsidRPr="00235B19" w:rsidRDefault="005F2129" w:rsidP="00235B19">
      <w:pPr>
        <w:ind w:left="720"/>
        <w:rPr>
          <w:i/>
        </w:rPr>
      </w:pPr>
      <w:r w:rsidRPr="00235B19">
        <w:rPr>
          <w:i/>
        </w:rPr>
        <w:t>A</w:t>
      </w:r>
      <w:r w:rsidR="00235B19" w:rsidRPr="00235B19">
        <w:rPr>
          <w:i/>
        </w:rPr>
        <w:t xml:space="preserve">ctemra </w:t>
      </w:r>
      <w:r w:rsidRPr="00235B19">
        <w:rPr>
          <w:i/>
        </w:rPr>
        <w:t>has been shown to inhibit the progression of joint damage in adults, as measured by X-ray, when given in combination with methotrexate.</w:t>
      </w:r>
    </w:p>
    <w:p w:rsidR="005F2129" w:rsidRPr="00235B19" w:rsidRDefault="005F2129" w:rsidP="00425E59">
      <w:r w:rsidRPr="00235B19">
        <w:t xml:space="preserve">In making this recommendation the ACPM considered this indication better reflected the inclusion criteria of the population in the trial submitted who had poor prognostic factors defined as those who were positive for either </w:t>
      </w:r>
      <w:r w:rsidR="000D1607">
        <w:t>RF</w:t>
      </w:r>
      <w:r w:rsidRPr="00235B19">
        <w:t xml:space="preserve"> or anti-CCP antibodies (Abs) at screening or if negative for </w:t>
      </w:r>
      <w:r w:rsidR="000D1607">
        <w:t xml:space="preserve">RF </w:t>
      </w:r>
      <w:r w:rsidRPr="00235B19">
        <w:t>and anti-CCP, and had one or more erosions of the hands wrists or feet at screening.</w:t>
      </w:r>
    </w:p>
    <w:p w:rsidR="005F2129" w:rsidRPr="00235B19" w:rsidRDefault="005F2129" w:rsidP="00B2361A">
      <w:pPr>
        <w:pStyle w:val="Heading5"/>
      </w:pPr>
      <w:r w:rsidRPr="00235B19">
        <w:t>Proposed conditions of registration</w:t>
      </w:r>
    </w:p>
    <w:p w:rsidR="005F2129" w:rsidRPr="00235B19" w:rsidRDefault="00235B19" w:rsidP="00B2361A">
      <w:r>
        <w:t>The ACPM agreed with the D</w:t>
      </w:r>
      <w:r w:rsidR="005F2129" w:rsidRPr="00235B19">
        <w:t>elegate on the proposed conditions of registration.</w:t>
      </w:r>
    </w:p>
    <w:p w:rsidR="005F2129" w:rsidRPr="00235B19" w:rsidRDefault="005F2129" w:rsidP="00B2361A">
      <w:pPr>
        <w:pStyle w:val="Heading5"/>
        <w:rPr>
          <w:rFonts w:eastAsia="MS Mincho"/>
        </w:rPr>
      </w:pPr>
      <w:r w:rsidRPr="00235B19">
        <w:rPr>
          <w:rFonts w:eastAsia="MS Mincho"/>
        </w:rPr>
        <w:t>Proposed Product Information (PI)/Consumer Medicine Information (CMI) amendments</w:t>
      </w:r>
    </w:p>
    <w:p w:rsidR="005F2129" w:rsidRPr="00235B19" w:rsidRDefault="00235B19" w:rsidP="00B2361A">
      <w:r>
        <w:t>The ACPM agreed with the D</w:t>
      </w:r>
      <w:r w:rsidR="005F2129" w:rsidRPr="00235B19">
        <w:t>elegate to the proposed amendments to the PI and CMI and specifically advised on the inclusion of the following:</w:t>
      </w:r>
    </w:p>
    <w:p w:rsidR="005F2129" w:rsidRPr="00235B19" w:rsidRDefault="005F2129" w:rsidP="00B2361A">
      <w:pPr>
        <w:pStyle w:val="ListBullet"/>
      </w:pPr>
      <w:r w:rsidRPr="00235B19">
        <w:t xml:space="preserve">The </w:t>
      </w:r>
      <w:r w:rsidRPr="00235B19">
        <w:rPr>
          <w:i/>
        </w:rPr>
        <w:t>C</w:t>
      </w:r>
      <w:r w:rsidR="00235B19" w:rsidRPr="00235B19">
        <w:rPr>
          <w:i/>
        </w:rPr>
        <w:t xml:space="preserve">linical </w:t>
      </w:r>
      <w:r w:rsidRPr="00235B19">
        <w:rPr>
          <w:i/>
        </w:rPr>
        <w:t>T</w:t>
      </w:r>
      <w:r w:rsidR="00235B19" w:rsidRPr="00235B19">
        <w:rPr>
          <w:i/>
        </w:rPr>
        <w:t>rials</w:t>
      </w:r>
      <w:r w:rsidR="00235B19">
        <w:t xml:space="preserve"> </w:t>
      </w:r>
      <w:r w:rsidRPr="00235B19">
        <w:t>section of the PI should include the percentage by which the transaminases are increased.</w:t>
      </w:r>
    </w:p>
    <w:p w:rsidR="005F2129" w:rsidRPr="00235B19" w:rsidRDefault="005F2129" w:rsidP="00B2361A">
      <w:pPr>
        <w:pStyle w:val="ListBullet"/>
      </w:pPr>
      <w:r w:rsidRPr="00235B19">
        <w:t xml:space="preserve">Amendment of the statement in the </w:t>
      </w:r>
      <w:r w:rsidRPr="00235B19">
        <w:rPr>
          <w:i/>
        </w:rPr>
        <w:t>P</w:t>
      </w:r>
      <w:r w:rsidR="00235B19" w:rsidRPr="00235B19">
        <w:rPr>
          <w:i/>
        </w:rPr>
        <w:t xml:space="preserve">recautions </w:t>
      </w:r>
      <w:r w:rsidRPr="00235B19">
        <w:t xml:space="preserve">section regarding vaccinations to </w:t>
      </w:r>
      <w:r w:rsidR="00B2361A">
        <w:br/>
      </w:r>
      <w:r w:rsidRPr="00235B19">
        <w:t>In a randomised open-label study, adult RA patients treated with A</w:t>
      </w:r>
      <w:r w:rsidR="00235B19">
        <w:t xml:space="preserve">ctemra </w:t>
      </w:r>
      <w:r w:rsidRPr="00235B19">
        <w:t xml:space="preserve">plus MTX had a comparable effective response to both the 23-valent pneumococcal polysaccharide (PPV) and tetanus toxoid (TTV) vaccines to the response seen in patients receiving MTX only (60% </w:t>
      </w:r>
      <w:r w:rsidR="00F516E3" w:rsidRPr="00F516E3">
        <w:t>versus</w:t>
      </w:r>
      <w:r w:rsidRPr="00235B19">
        <w:t xml:space="preserve"> 71% for PPV; 42% </w:t>
      </w:r>
      <w:r w:rsidR="00F516E3" w:rsidRPr="00F516E3">
        <w:t>versus</w:t>
      </w:r>
      <w:r w:rsidRPr="00235B19">
        <w:t xml:space="preserve"> 39% for TTV, respectively).</w:t>
      </w:r>
    </w:p>
    <w:p w:rsidR="005F2129" w:rsidRPr="00235B19" w:rsidRDefault="005F2129" w:rsidP="00B2361A">
      <w:pPr>
        <w:pStyle w:val="ListBullet"/>
      </w:pPr>
      <w:r w:rsidRPr="00235B19">
        <w:t>A statement in the relevant sections of the CMI should state that Steven-Johnson syndrome is a rare side effect and its symptoms should be grouped together under the heading ‘Stevens-Johnson syndrome’ to assist identification.</w:t>
      </w:r>
    </w:p>
    <w:p w:rsidR="005F2129" w:rsidRPr="00235B19" w:rsidRDefault="005F2129" w:rsidP="00B2361A">
      <w:pPr>
        <w:pStyle w:val="Heading5"/>
      </w:pPr>
      <w:r w:rsidRPr="00235B19">
        <w:t>Specific advice</w:t>
      </w:r>
    </w:p>
    <w:p w:rsidR="005F2129" w:rsidRPr="00235B19" w:rsidRDefault="005F2129" w:rsidP="00B2361A">
      <w:r w:rsidRPr="00235B19">
        <w:t>The ACPM advised the following in response to the specific delegate’s questions on this submission:</w:t>
      </w:r>
    </w:p>
    <w:p w:rsidR="005F2129" w:rsidRPr="00235B19" w:rsidRDefault="005F2129" w:rsidP="00B2361A">
      <w:pPr>
        <w:pStyle w:val="Numberbullet0"/>
        <w:numPr>
          <w:ilvl w:val="0"/>
          <w:numId w:val="7"/>
        </w:numPr>
      </w:pPr>
      <w:r w:rsidRPr="00235B19">
        <w:lastRenderedPageBreak/>
        <w:t xml:space="preserve">The following questions relate to the evidence supporting the proposal to extend the indication to include treatment of moderate to severe active </w:t>
      </w:r>
      <w:r w:rsidR="009C63CE">
        <w:t>RA</w:t>
      </w:r>
      <w:r w:rsidRPr="00235B19">
        <w:t xml:space="preserve"> in adult patients in combination with methotrexate (MTX) in those not previously treated with MTX:</w:t>
      </w:r>
    </w:p>
    <w:p w:rsidR="005F2129" w:rsidRPr="00235B19" w:rsidRDefault="005F2129" w:rsidP="00B2361A">
      <w:pPr>
        <w:pStyle w:val="Numberbullet2"/>
      </w:pPr>
      <w:r w:rsidRPr="00235B19">
        <w:t>Does the committee consider the population of patients with early RA, for whom the benefits and risks of the combination of TCZ 8 mg/kg and MTX is favourable, has been adequately characterised in the studies provided in the submission?</w:t>
      </w:r>
    </w:p>
    <w:p w:rsidR="005F2129" w:rsidRPr="00235B19" w:rsidRDefault="005F2129" w:rsidP="00B2361A">
      <w:r w:rsidRPr="00235B19">
        <w:t xml:space="preserve">The ACPM considered that the population of patients was adequately characterised in the studies. The DAS28 score of more than 3.2 was indicative of patients with moderate to severe activity of disease and included patients with poor prognosis with a high risk of erosive changes </w:t>
      </w:r>
      <w:proofErr w:type="gramStart"/>
      <w:r w:rsidRPr="00235B19">
        <w:t>who</w:t>
      </w:r>
      <w:proofErr w:type="gramEnd"/>
      <w:r w:rsidRPr="00235B19">
        <w:t xml:space="preserve"> would deteriorate rapidly if left untreated but would benefit from early</w:t>
      </w:r>
      <w:r w:rsidR="00B2361A">
        <w:t xml:space="preserve"> treatment.</w:t>
      </w:r>
    </w:p>
    <w:p w:rsidR="005F2129" w:rsidRPr="00235B19" w:rsidRDefault="005F2129" w:rsidP="00B2361A">
      <w:pPr>
        <w:pStyle w:val="Numberbullet2"/>
      </w:pPr>
      <w:r w:rsidRPr="00235B19">
        <w:t>Does the committee consider that there should be modification of the indication to better define the population that will benefit from early therapy with TCZ and MTX?</w:t>
      </w:r>
    </w:p>
    <w:p w:rsidR="005F2129" w:rsidRPr="00235B19" w:rsidRDefault="005F2129" w:rsidP="00B2361A">
      <w:r w:rsidRPr="00235B19">
        <w:t>The ACPM noted the population en</w:t>
      </w:r>
      <w:r w:rsidR="00414E3B">
        <w:t>rolled in the pivotal trial (WA</w:t>
      </w:r>
      <w:r w:rsidRPr="00235B19">
        <w:t xml:space="preserve">19926) included patients with progressive disease and poor prognostic factors. The ACPM noted the indication proposed by the </w:t>
      </w:r>
      <w:r w:rsidR="00FF1683" w:rsidRPr="00235B19">
        <w:t xml:space="preserve">CHMP of the </w:t>
      </w:r>
      <w:r w:rsidRPr="00235B19">
        <w:t>EMA but considered that the inclusion of ‘poor prognostic factors’ was a more practical way of defining the population</w:t>
      </w:r>
      <w:r w:rsidR="00FF1683" w:rsidRPr="00235B19">
        <w:t>,</w:t>
      </w:r>
      <w:r w:rsidRPr="00235B19">
        <w:t xml:space="preserve"> was consistent with the characteristics of the trial population</w:t>
      </w:r>
      <w:r w:rsidR="00FF1683" w:rsidRPr="00235B19">
        <w:t>, and with the current classification of rheumatoid arthritis disease severity</w:t>
      </w:r>
      <w:r w:rsidRPr="00235B19">
        <w:t>.</w:t>
      </w:r>
    </w:p>
    <w:p w:rsidR="005F2129" w:rsidRPr="00235B19" w:rsidRDefault="005F2129" w:rsidP="00235B19">
      <w:r w:rsidRPr="00235B19">
        <w:t xml:space="preserve">The ACPM therefore considered that the indication should be amended to </w:t>
      </w:r>
      <w:r w:rsidRPr="00235B19">
        <w:rPr>
          <w:i/>
        </w:rPr>
        <w:t xml:space="preserve">moderate to severe rheumatoid arthritis with poor prognostic factors (see </w:t>
      </w:r>
      <w:r w:rsidR="00235B19">
        <w:rPr>
          <w:i/>
        </w:rPr>
        <w:t>C</w:t>
      </w:r>
      <w:r w:rsidRPr="00235B19">
        <w:rPr>
          <w:i/>
        </w:rPr>
        <w:t xml:space="preserve">linical </w:t>
      </w:r>
      <w:r w:rsidR="00235B19">
        <w:rPr>
          <w:i/>
        </w:rPr>
        <w:t>T</w:t>
      </w:r>
      <w:r w:rsidRPr="00235B19">
        <w:rPr>
          <w:i/>
        </w:rPr>
        <w:t>rials)</w:t>
      </w:r>
      <w:r w:rsidR="00B2361A">
        <w:t>.</w:t>
      </w:r>
    </w:p>
    <w:p w:rsidR="005F2129" w:rsidRPr="00235B19" w:rsidRDefault="005F2129" w:rsidP="00B2361A">
      <w:pPr>
        <w:pStyle w:val="Numberbullet2"/>
      </w:pPr>
      <w:r w:rsidRPr="00235B19">
        <w:t>If the extension of indication is approved does the committee consider the risks in the patients with early RA have been adequately described in the PI?</w:t>
      </w:r>
    </w:p>
    <w:p w:rsidR="005F2129" w:rsidRPr="00235B19" w:rsidRDefault="005F2129" w:rsidP="00B2361A">
      <w:r w:rsidRPr="00235B19">
        <w:t>The ACPM considered that the risks in patients with early RA have been adequately described in the PI. The ACPM recommended that the percentage increase in transaminases be included in the PI for further clarification to indicate percentage risk.</w:t>
      </w:r>
    </w:p>
    <w:p w:rsidR="005F2129" w:rsidRPr="00235B19" w:rsidRDefault="005F2129" w:rsidP="00B2361A">
      <w:pPr>
        <w:pStyle w:val="Numberbullet0"/>
      </w:pPr>
      <w:r w:rsidRPr="00235B19">
        <w:t xml:space="preserve">Is the committee satisfied that the immune responses to </w:t>
      </w:r>
      <w:proofErr w:type="spellStart"/>
      <w:r w:rsidRPr="00235B19">
        <w:t>Pneumovax</w:t>
      </w:r>
      <w:proofErr w:type="spellEnd"/>
      <w:r w:rsidRPr="00235B19">
        <w:t xml:space="preserve"> 23 and adsorbed tetanus toxoid vaccines in patients taking TCZ + MTX compared with those taking MTX alone are suffici</w:t>
      </w:r>
      <w:r w:rsidR="00B2361A">
        <w:t>ent to be considered effective?</w:t>
      </w:r>
    </w:p>
    <w:p w:rsidR="005F2129" w:rsidRPr="00235B19" w:rsidRDefault="005F2129" w:rsidP="00B2361A">
      <w:r w:rsidRPr="00235B19">
        <w:t xml:space="preserve">The ACPM considered that the vaccine study was too small and not sufficiently powered to detect a difference in response in those patients receiving methotrexate alone versus those receiving methotrexate plus </w:t>
      </w:r>
      <w:r w:rsidR="006C365B" w:rsidRPr="006C365B">
        <w:t>TCZ</w:t>
      </w:r>
      <w:r w:rsidRPr="00235B19">
        <w:t xml:space="preserve">. The ACPM considered that the 10% difference in effect was not statistically significant. The ACPM advised an alternative statement for the </w:t>
      </w:r>
      <w:r w:rsidRPr="00235B19">
        <w:rPr>
          <w:i/>
        </w:rPr>
        <w:t>P</w:t>
      </w:r>
      <w:r w:rsidR="00235B19" w:rsidRPr="00235B19">
        <w:rPr>
          <w:i/>
        </w:rPr>
        <w:t>recautions</w:t>
      </w:r>
      <w:r w:rsidR="00235B19" w:rsidRPr="00235B19">
        <w:t xml:space="preserve"> </w:t>
      </w:r>
      <w:r w:rsidRPr="00235B19">
        <w:t>section of the PI.</w:t>
      </w:r>
    </w:p>
    <w:p w:rsidR="005F2129" w:rsidRPr="00235B19" w:rsidRDefault="005F2129" w:rsidP="00B2361A">
      <w:r w:rsidRPr="00235B19">
        <w:t>The ACPM advised that the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B2361A">
      <w:pPr>
        <w:pStyle w:val="Heading3"/>
      </w:pPr>
      <w:bookmarkStart w:id="174" w:name="_Toc247691532"/>
      <w:bookmarkStart w:id="175" w:name="_Toc314842516"/>
      <w:bookmarkStart w:id="176" w:name="_Toc412444422"/>
      <w:bookmarkEnd w:id="108"/>
      <w:bookmarkEnd w:id="171"/>
      <w:bookmarkEnd w:id="172"/>
      <w:r>
        <w:t>Outcome</w:t>
      </w:r>
      <w:bookmarkEnd w:id="174"/>
      <w:bookmarkEnd w:id="175"/>
      <w:bookmarkEnd w:id="176"/>
    </w:p>
    <w:p w:rsidR="00570055" w:rsidRPr="00330962" w:rsidRDefault="00D23139" w:rsidP="00B2361A">
      <w:bookmarkStart w:id="177" w:name="_Toc247691533"/>
      <w:bookmarkStart w:id="178" w:name="_Toc314842517"/>
      <w:r w:rsidRPr="00330962">
        <w:t xml:space="preserve">Based on a review of quality, safety and efficacy, TGA approved the registration of </w:t>
      </w:r>
      <w:r w:rsidR="00570055" w:rsidRPr="00330962">
        <w:t xml:space="preserve">Actemra </w:t>
      </w:r>
      <w:r w:rsidR="00330962">
        <w:t xml:space="preserve">injection concentrate </w:t>
      </w:r>
      <w:r w:rsidR="00570055" w:rsidRPr="00330962">
        <w:t xml:space="preserve">containing </w:t>
      </w:r>
      <w:proofErr w:type="spellStart"/>
      <w:r w:rsidR="00570055" w:rsidRPr="00330962">
        <w:t>tocilizumab</w:t>
      </w:r>
      <w:proofErr w:type="spellEnd"/>
      <w:r w:rsidR="00570055" w:rsidRPr="00330962">
        <w:t xml:space="preserve"> (</w:t>
      </w:r>
      <w:proofErr w:type="spellStart"/>
      <w:r w:rsidR="00570055" w:rsidRPr="00330962">
        <w:t>rch</w:t>
      </w:r>
      <w:proofErr w:type="spellEnd"/>
      <w:r w:rsidR="00570055" w:rsidRPr="00330962">
        <w:t>) for the new indication:</w:t>
      </w:r>
    </w:p>
    <w:p w:rsidR="00570055" w:rsidRPr="00414E3B" w:rsidRDefault="00570055" w:rsidP="00330962">
      <w:pPr>
        <w:ind w:left="720"/>
        <w:rPr>
          <w:b/>
          <w:i/>
        </w:rPr>
      </w:pPr>
      <w:r w:rsidRPr="00414E3B">
        <w:rPr>
          <w:b/>
          <w:i/>
        </w:rPr>
        <w:t>Rheumatoid Arthritis</w:t>
      </w:r>
    </w:p>
    <w:p w:rsidR="00570055" w:rsidRPr="00330962" w:rsidRDefault="00570055" w:rsidP="00330962">
      <w:pPr>
        <w:ind w:left="720"/>
        <w:rPr>
          <w:i/>
        </w:rPr>
      </w:pPr>
      <w:r w:rsidRPr="00330962">
        <w:rPr>
          <w:i/>
        </w:rPr>
        <w:t>A</w:t>
      </w:r>
      <w:r w:rsidR="00330962">
        <w:rPr>
          <w:i/>
        </w:rPr>
        <w:t xml:space="preserve">ctemra </w:t>
      </w:r>
      <w:r w:rsidRPr="00330962">
        <w:rPr>
          <w:i/>
        </w:rPr>
        <w:t>is indicated for the treatment of moderate to severe active rheumatoid arthritis in adult patients with poor prognostic factors (see C</w:t>
      </w:r>
      <w:r w:rsidR="00330962" w:rsidRPr="00330962">
        <w:rPr>
          <w:i/>
        </w:rPr>
        <w:t xml:space="preserve">linical </w:t>
      </w:r>
      <w:r w:rsidRPr="00330962">
        <w:rPr>
          <w:i/>
        </w:rPr>
        <w:t>T</w:t>
      </w:r>
      <w:r w:rsidR="00330962">
        <w:rPr>
          <w:i/>
        </w:rPr>
        <w:t>rials</w:t>
      </w:r>
      <w:r w:rsidRPr="00330962">
        <w:rPr>
          <w:i/>
        </w:rPr>
        <w:t>) in combination with MTX in those not previously treated with MTX.</w:t>
      </w:r>
    </w:p>
    <w:p w:rsidR="00570055" w:rsidRPr="00330962" w:rsidRDefault="00B2361A" w:rsidP="00B2361A">
      <w:r>
        <w:t>The full indications are now:</w:t>
      </w:r>
    </w:p>
    <w:p w:rsidR="00570055" w:rsidRPr="00414E3B" w:rsidRDefault="00570055" w:rsidP="00330962">
      <w:pPr>
        <w:ind w:left="720"/>
        <w:rPr>
          <w:b/>
          <w:i/>
        </w:rPr>
      </w:pPr>
      <w:r w:rsidRPr="00414E3B">
        <w:rPr>
          <w:b/>
          <w:i/>
        </w:rPr>
        <w:lastRenderedPageBreak/>
        <w:t>Rheumatoid Arthritis</w:t>
      </w:r>
    </w:p>
    <w:p w:rsidR="00570055" w:rsidRPr="00330962" w:rsidRDefault="00570055" w:rsidP="00330962">
      <w:pPr>
        <w:ind w:left="720"/>
        <w:rPr>
          <w:i/>
        </w:rPr>
      </w:pPr>
      <w:r w:rsidRPr="00330962">
        <w:rPr>
          <w:i/>
        </w:rPr>
        <w:t>A</w:t>
      </w:r>
      <w:r w:rsidR="00330962">
        <w:rPr>
          <w:i/>
        </w:rPr>
        <w:t xml:space="preserve">ctemra </w:t>
      </w:r>
      <w:r w:rsidRPr="00330962">
        <w:rPr>
          <w:i/>
        </w:rPr>
        <w:t>is indicated for the treatment of moderate to severe active rheumatoid arthritis (RA) in adult patients in combination with methotrexate (MTX) or other non-biological disease-modifying anti-rheumatic drugs (DMARDs) in case of either an inadequate response or intolerance to previous therapy with one or more DMARDs.</w:t>
      </w:r>
    </w:p>
    <w:p w:rsidR="00570055" w:rsidRPr="00330962" w:rsidRDefault="00570055" w:rsidP="00330962">
      <w:pPr>
        <w:ind w:left="720"/>
        <w:rPr>
          <w:i/>
        </w:rPr>
      </w:pPr>
      <w:r w:rsidRPr="00330962">
        <w:rPr>
          <w:i/>
        </w:rPr>
        <w:t>A</w:t>
      </w:r>
      <w:r w:rsidR="00330962" w:rsidRPr="00330962">
        <w:rPr>
          <w:i/>
        </w:rPr>
        <w:t>ctemra</w:t>
      </w:r>
      <w:r w:rsidRPr="00330962">
        <w:rPr>
          <w:i/>
        </w:rPr>
        <w:t xml:space="preserve"> is indicated for the treatment of moderate to severe active rheumatoid arthritis in adult patients with poor prognostic factors (see C</w:t>
      </w:r>
      <w:r w:rsidR="00330962" w:rsidRPr="00330962">
        <w:rPr>
          <w:i/>
        </w:rPr>
        <w:t>linical</w:t>
      </w:r>
      <w:r w:rsidRPr="00330962">
        <w:rPr>
          <w:i/>
        </w:rPr>
        <w:t xml:space="preserve"> T</w:t>
      </w:r>
      <w:r w:rsidR="00330962" w:rsidRPr="00330962">
        <w:rPr>
          <w:i/>
        </w:rPr>
        <w:t>rials</w:t>
      </w:r>
      <w:r w:rsidRPr="00330962">
        <w:rPr>
          <w:i/>
        </w:rPr>
        <w:t>) in combination with MTX in those not previously treated with MTX.</w:t>
      </w:r>
    </w:p>
    <w:p w:rsidR="00570055" w:rsidRPr="00330962" w:rsidRDefault="00570055" w:rsidP="00330962">
      <w:pPr>
        <w:ind w:left="720"/>
        <w:rPr>
          <w:i/>
        </w:rPr>
      </w:pPr>
      <w:r w:rsidRPr="00330962">
        <w:rPr>
          <w:i/>
        </w:rPr>
        <w:t>In the two groups of patients above, A</w:t>
      </w:r>
      <w:r w:rsidR="00330962" w:rsidRPr="00330962">
        <w:rPr>
          <w:i/>
        </w:rPr>
        <w:t>ctemra</w:t>
      </w:r>
      <w:r w:rsidRPr="00330962">
        <w:rPr>
          <w:i/>
        </w:rPr>
        <w:t xml:space="preserve"> can be given as monotherapy in case of intolerance to MTX or where continued treatment with MTX is inappropriate.</w:t>
      </w:r>
    </w:p>
    <w:p w:rsidR="00570055" w:rsidRPr="00330962" w:rsidRDefault="00570055" w:rsidP="00330962">
      <w:pPr>
        <w:ind w:left="720"/>
        <w:rPr>
          <w:i/>
        </w:rPr>
      </w:pPr>
      <w:r w:rsidRPr="00330962">
        <w:rPr>
          <w:i/>
        </w:rPr>
        <w:t>A</w:t>
      </w:r>
      <w:r w:rsidR="00330962" w:rsidRPr="00330962">
        <w:rPr>
          <w:i/>
        </w:rPr>
        <w:t>ctemra</w:t>
      </w:r>
      <w:r w:rsidRPr="00330962">
        <w:rPr>
          <w:i/>
        </w:rPr>
        <w:t xml:space="preserve"> has been shown to inhibit the progression of joint damage in adults, as measured by X-ray, when given in combination with methotrexate.</w:t>
      </w:r>
    </w:p>
    <w:p w:rsidR="00570055" w:rsidRPr="00414E3B" w:rsidRDefault="00570055" w:rsidP="00330962">
      <w:pPr>
        <w:ind w:left="720"/>
        <w:rPr>
          <w:b/>
          <w:i/>
        </w:rPr>
      </w:pPr>
      <w:proofErr w:type="spellStart"/>
      <w:r w:rsidRPr="00414E3B">
        <w:rPr>
          <w:b/>
          <w:i/>
        </w:rPr>
        <w:t>Polyarticular</w:t>
      </w:r>
      <w:proofErr w:type="spellEnd"/>
      <w:r w:rsidRPr="00414E3B">
        <w:rPr>
          <w:b/>
          <w:i/>
        </w:rPr>
        <w:t xml:space="preserve"> Juvenile Idiopathic Arthritis</w:t>
      </w:r>
    </w:p>
    <w:p w:rsidR="00570055" w:rsidRPr="00330962" w:rsidRDefault="00570055" w:rsidP="00330962">
      <w:pPr>
        <w:ind w:left="720"/>
        <w:rPr>
          <w:i/>
        </w:rPr>
      </w:pPr>
      <w:r w:rsidRPr="00330962">
        <w:rPr>
          <w:i/>
        </w:rPr>
        <w:t>A</w:t>
      </w:r>
      <w:r w:rsidR="00330962" w:rsidRPr="00330962">
        <w:rPr>
          <w:i/>
        </w:rPr>
        <w:t>ctemra</w:t>
      </w:r>
      <w:r w:rsidRPr="00330962">
        <w:rPr>
          <w:i/>
        </w:rPr>
        <w:t xml:space="preserve"> is indicated for the treatment of moderate to severe active </w:t>
      </w:r>
      <w:proofErr w:type="spellStart"/>
      <w:r w:rsidRPr="00330962">
        <w:rPr>
          <w:i/>
        </w:rPr>
        <w:t>polyarticular</w:t>
      </w:r>
      <w:proofErr w:type="spellEnd"/>
      <w:r w:rsidRPr="00330962">
        <w:rPr>
          <w:i/>
        </w:rPr>
        <w:t xml:space="preserve"> juvenile idiopathic arthritis in patients 2 years of age and older </w:t>
      </w:r>
      <w:proofErr w:type="gramStart"/>
      <w:r w:rsidRPr="00330962">
        <w:rPr>
          <w:i/>
        </w:rPr>
        <w:t>who</w:t>
      </w:r>
      <w:proofErr w:type="gramEnd"/>
      <w:r w:rsidRPr="00330962">
        <w:rPr>
          <w:i/>
        </w:rPr>
        <w:t xml:space="preserve"> have had an inadequate response to or intolerance to methotrexate (MTX). A</w:t>
      </w:r>
      <w:r w:rsidR="00330962" w:rsidRPr="00330962">
        <w:rPr>
          <w:i/>
        </w:rPr>
        <w:t>ctemra</w:t>
      </w:r>
      <w:r w:rsidRPr="00330962">
        <w:rPr>
          <w:i/>
        </w:rPr>
        <w:t xml:space="preserve"> can be given alone or in combination with MTX.</w:t>
      </w:r>
    </w:p>
    <w:p w:rsidR="00570055" w:rsidRPr="00143384" w:rsidRDefault="00570055" w:rsidP="00330962">
      <w:pPr>
        <w:ind w:left="720"/>
        <w:rPr>
          <w:b/>
          <w:i/>
        </w:rPr>
      </w:pPr>
      <w:r w:rsidRPr="00143384">
        <w:rPr>
          <w:b/>
          <w:i/>
        </w:rPr>
        <w:t>Systemic Juvenile Idiopathic Arthritis</w:t>
      </w:r>
    </w:p>
    <w:p w:rsidR="00D23139" w:rsidRPr="00330962" w:rsidRDefault="00570055" w:rsidP="00330962">
      <w:pPr>
        <w:ind w:left="720"/>
        <w:rPr>
          <w:i/>
        </w:rPr>
      </w:pPr>
      <w:r w:rsidRPr="00330962">
        <w:rPr>
          <w:i/>
        </w:rPr>
        <w:t>A</w:t>
      </w:r>
      <w:r w:rsidR="00330962" w:rsidRPr="00330962">
        <w:rPr>
          <w:i/>
        </w:rPr>
        <w:t>ctemra</w:t>
      </w:r>
      <w:r w:rsidRPr="00330962">
        <w:rPr>
          <w:i/>
        </w:rPr>
        <w:t xml:space="preserve"> is indicated for the treatment of active systemic juvenile idiopathic arthritis in patients 2 years of age and older. A</w:t>
      </w:r>
      <w:r w:rsidR="00330962" w:rsidRPr="00330962">
        <w:rPr>
          <w:i/>
        </w:rPr>
        <w:t>ctemra</w:t>
      </w:r>
      <w:r w:rsidRPr="00330962">
        <w:rPr>
          <w:i/>
        </w:rPr>
        <w:t xml:space="preserve"> can be given alone or in combination with methotrexate (MTX).</w:t>
      </w:r>
    </w:p>
    <w:p w:rsidR="00D23139" w:rsidRDefault="00D23139" w:rsidP="00B2361A">
      <w:pPr>
        <w:pStyle w:val="Heading4"/>
      </w:pPr>
      <w:r w:rsidRPr="00D23139">
        <w:t>Specific conditions of registration applying to these goods</w:t>
      </w:r>
    </w:p>
    <w:p w:rsidR="00570055" w:rsidRPr="00570055" w:rsidRDefault="00570055" w:rsidP="00B2361A">
      <w:pPr>
        <w:pStyle w:val="ListBullet"/>
      </w:pPr>
      <w:r w:rsidRPr="00570055">
        <w:t xml:space="preserve">The </w:t>
      </w:r>
      <w:proofErr w:type="spellStart"/>
      <w:r w:rsidRPr="00570055">
        <w:t>A</w:t>
      </w:r>
      <w:r w:rsidR="00330962" w:rsidRPr="00570055">
        <w:t>ctemra</w:t>
      </w:r>
      <w:proofErr w:type="spellEnd"/>
      <w:r w:rsidRPr="00570055">
        <w:t xml:space="preserve"> </w:t>
      </w:r>
      <w:proofErr w:type="spellStart"/>
      <w:r w:rsidRPr="00570055">
        <w:t>tocilizumab</w:t>
      </w:r>
      <w:proofErr w:type="spellEnd"/>
      <w:r w:rsidRPr="00570055">
        <w:t xml:space="preserve"> (</w:t>
      </w:r>
      <w:proofErr w:type="spellStart"/>
      <w:r w:rsidRPr="00570055">
        <w:t>rch</w:t>
      </w:r>
      <w:proofErr w:type="spellEnd"/>
      <w:r w:rsidRPr="00570055">
        <w:t>) EU Risk Management Plan (RMP), version 15.0, dated May 2013, with Australian Specific Annexe (ASA) version 3.2, dated July 2014 included with submission PM-2013-02398-1-3, and any subsequent revisions, as agreed with the TGA will be implemented in Australia.</w:t>
      </w:r>
    </w:p>
    <w:p w:rsidR="00570055" w:rsidRPr="00570055" w:rsidRDefault="00570055" w:rsidP="00B2361A">
      <w:pPr>
        <w:pStyle w:val="ListBullet"/>
      </w:pPr>
      <w:r w:rsidRPr="00570055">
        <w:t>The final clinical study reports of the following studies must be submitted to the TGA as soon as possible after completion, for evaluation as a Category 1 submission or Category 1 submissions:</w:t>
      </w:r>
    </w:p>
    <w:p w:rsidR="00570055" w:rsidRPr="00570055" w:rsidRDefault="00570055" w:rsidP="00B2361A">
      <w:pPr>
        <w:pStyle w:val="ListBullet2"/>
      </w:pPr>
      <w:r w:rsidRPr="00570055">
        <w:t>That for the randomi</w:t>
      </w:r>
      <w:r w:rsidR="00912840">
        <w:t xml:space="preserve">sed controlled trial, WA25204, </w:t>
      </w:r>
      <w:r w:rsidRPr="00570055">
        <w:t xml:space="preserve">to determine whether or not there is a moderate increase in the risk of serious cardiovascular events with tocilizumab </w:t>
      </w:r>
    </w:p>
    <w:p w:rsidR="00570055" w:rsidRPr="00570055" w:rsidRDefault="00143384" w:rsidP="00B2361A">
      <w:pPr>
        <w:pStyle w:val="ListBullet2"/>
      </w:pPr>
      <w:r>
        <w:t>That for the S</w:t>
      </w:r>
      <w:r w:rsidR="00570055" w:rsidRPr="00570055">
        <w:t xml:space="preserve">tudy NP25747, a pharmacokinetic and safety study of tocilizumab in patients less than 2 years old with active </w:t>
      </w:r>
      <w:proofErr w:type="spellStart"/>
      <w:r w:rsidR="00570055" w:rsidRPr="00570055">
        <w:t>sJIA</w:t>
      </w:r>
      <w:proofErr w:type="spellEnd"/>
      <w:r w:rsidR="00570055" w:rsidRPr="00570055">
        <w:t>.</w:t>
      </w:r>
    </w:p>
    <w:p w:rsidR="008E7846" w:rsidRDefault="00A80B5B" w:rsidP="00B2361A">
      <w:pPr>
        <w:pStyle w:val="Heading2"/>
      </w:pPr>
      <w:bookmarkStart w:id="179" w:name="_Toc412444423"/>
      <w:proofErr w:type="gramStart"/>
      <w:r>
        <w:t>Attachment 1.</w:t>
      </w:r>
      <w:proofErr w:type="gramEnd"/>
      <w:r>
        <w:t xml:space="preserve"> </w:t>
      </w:r>
      <w:r w:rsidR="008E7846">
        <w:t xml:space="preserve">Product </w:t>
      </w:r>
      <w:r w:rsidR="00AA0ED0">
        <w:t>I</w:t>
      </w:r>
      <w:r w:rsidR="008E7846">
        <w:t>nformation</w:t>
      </w:r>
      <w:bookmarkEnd w:id="177"/>
      <w:bookmarkEnd w:id="178"/>
      <w:bookmarkEnd w:id="179"/>
    </w:p>
    <w:p w:rsidR="00C80137" w:rsidRDefault="002B3624" w:rsidP="00B2361A">
      <w:pPr>
        <w:rPr>
          <w:color w:val="000000"/>
          <w:lang w:eastAsia="en-AU"/>
        </w:rPr>
      </w:pPr>
      <w:r w:rsidRPr="002B3624">
        <w:t xml:space="preserve">The Product Information approved for </w:t>
      </w:r>
      <w:r w:rsidR="00570055">
        <w:t xml:space="preserve">Actemra </w:t>
      </w:r>
      <w:r w:rsidRPr="002B3624">
        <w:t>at the time this AusPAR was published is at Attachment 1. For the most recent Product Information please refer to the TGA website at &lt;</w:t>
      </w:r>
      <w:hyperlink r:id="rId20" w:history="1">
        <w:r w:rsidR="00172C1E">
          <w:rPr>
            <w:rStyle w:val="Hyperlink"/>
          </w:rPr>
          <w:t>https://www.tga.gov.au/product-information-pi</w:t>
        </w:r>
      </w:hyperlink>
      <w:r w:rsidRPr="002B3624">
        <w:t>&gt;.</w:t>
      </w:r>
    </w:p>
    <w:p w:rsidR="00C80137" w:rsidRDefault="00C80137" w:rsidP="00B2361A">
      <w:pPr>
        <w:pStyle w:val="Heading2"/>
        <w:rPr>
          <w:lang w:eastAsia="en-AU"/>
        </w:rPr>
      </w:pPr>
      <w:bookmarkStart w:id="180" w:name="_Toc412444424"/>
      <w:proofErr w:type="gramStart"/>
      <w:r>
        <w:rPr>
          <w:lang w:eastAsia="en-AU"/>
        </w:rPr>
        <w:lastRenderedPageBreak/>
        <w:t>Attachment 2.</w:t>
      </w:r>
      <w:proofErr w:type="gramEnd"/>
      <w:r w:rsidR="00186836">
        <w:rPr>
          <w:lang w:eastAsia="en-AU"/>
        </w:rPr>
        <w:t xml:space="preserve"> </w:t>
      </w:r>
      <w:r>
        <w:rPr>
          <w:lang w:eastAsia="en-AU"/>
        </w:rPr>
        <w:t>Extract from the Clinical Evaluation Report</w:t>
      </w:r>
      <w:bookmarkEnd w:id="180"/>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92790D">
        <w:trPr>
          <w:trHeight w:hRule="exact" w:val="704"/>
        </w:trPr>
        <w:tc>
          <w:tcPr>
            <w:tcW w:w="9175" w:type="dxa"/>
          </w:tcPr>
          <w:p w:rsidR="001C32CD" w:rsidRPr="00487162" w:rsidRDefault="001C32CD" w:rsidP="0092790D">
            <w:pPr>
              <w:pStyle w:val="TGASignoff"/>
            </w:pPr>
            <w:r w:rsidRPr="00487162">
              <w:lastRenderedPageBreak/>
              <w:t>Therapeutic Goods Administration</w:t>
            </w:r>
          </w:p>
        </w:tc>
      </w:tr>
      <w:tr w:rsidR="001C32CD" w:rsidRPr="004C239D" w:rsidTr="0092790D">
        <w:trPr>
          <w:trHeight w:val="1221"/>
        </w:trPr>
        <w:tc>
          <w:tcPr>
            <w:tcW w:w="9175" w:type="dxa"/>
            <w:tcMar>
              <w:top w:w="28" w:type="dxa"/>
            </w:tcMar>
          </w:tcPr>
          <w:p w:rsidR="001C32CD" w:rsidRPr="00487162" w:rsidRDefault="001C32CD" w:rsidP="0092790D">
            <w:pPr>
              <w:pStyle w:val="Address"/>
            </w:pPr>
            <w:r w:rsidRPr="00487162">
              <w:t>PO Box 100 Woden ACT 2606 Australia</w:t>
            </w:r>
          </w:p>
          <w:p w:rsidR="001C32CD" w:rsidRPr="00487162" w:rsidRDefault="001C32CD" w:rsidP="0092790D">
            <w:pPr>
              <w:pStyle w:val="Address"/>
            </w:pPr>
            <w:r w:rsidRPr="00487162">
              <w:t xml:space="preserve">Email: </w:t>
            </w:r>
            <w:hyperlink r:id="rId25" w:history="1">
              <w:r w:rsidRPr="004C239D">
                <w:rPr>
                  <w:rStyle w:val="Hyperlink"/>
                </w:rPr>
                <w:t>info@tga.gov.au</w:t>
              </w:r>
            </w:hyperlink>
            <w:r w:rsidRPr="00487162">
              <w:t xml:space="preserve">  Phone: 1800 020 653  Fax: 02 6232 8605</w:t>
            </w:r>
          </w:p>
          <w:p w:rsidR="001C32CD" w:rsidRPr="004C239D" w:rsidRDefault="00153337" w:rsidP="0092790D">
            <w:pPr>
              <w:pStyle w:val="Address"/>
              <w:spacing w:line="260" w:lineRule="atLeast"/>
              <w:rPr>
                <w:b/>
                <w:color w:val="0000FF"/>
                <w:u w:val="single"/>
              </w:rPr>
            </w:pPr>
            <w:hyperlink r:id="rId26" w:history="1">
              <w:r w:rsidR="001C32CD" w:rsidRPr="00607888">
                <w:rPr>
                  <w:rStyle w:val="Hyperlink"/>
                  <w:b/>
                </w:rPr>
                <w:t>http://www.tga.gov.au</w:t>
              </w:r>
            </w:hyperlink>
          </w:p>
        </w:tc>
      </w:tr>
    </w:tbl>
    <w:p w:rsidR="00774E1D" w:rsidRPr="008A5E0B" w:rsidRDefault="00774E1D" w:rsidP="00B2361A"/>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337" w:rsidRDefault="00153337" w:rsidP="00C40A36">
      <w:pPr>
        <w:spacing w:after="0"/>
      </w:pPr>
      <w:r>
        <w:separator/>
      </w:r>
    </w:p>
  </w:endnote>
  <w:endnote w:type="continuationSeparator" w:id="0">
    <w:p w:rsidR="00153337" w:rsidRDefault="0015333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53337" w:rsidRPr="00487162" w:rsidTr="00DB750B">
      <w:trPr>
        <w:trHeight w:val="269"/>
      </w:trPr>
      <w:tc>
        <w:tcPr>
          <w:tcW w:w="7371" w:type="dxa"/>
          <w:tcMar>
            <w:top w:w="142" w:type="dxa"/>
            <w:bottom w:w="0" w:type="dxa"/>
          </w:tcMar>
        </w:tcPr>
        <w:p w:rsidR="00153337" w:rsidRPr="00487162" w:rsidRDefault="00153337" w:rsidP="00A437FF">
          <w:pPr>
            <w:pStyle w:val="Footer"/>
          </w:pPr>
          <w:proofErr w:type="spellStart"/>
          <w:r w:rsidRPr="00487162">
            <w:t>AusPAR</w:t>
          </w:r>
          <w:proofErr w:type="spellEnd"/>
          <w:r w:rsidRPr="00487162">
            <w:t xml:space="preserve"> </w:t>
          </w:r>
          <w:proofErr w:type="spellStart"/>
          <w:r w:rsidRPr="0092790D">
            <w:t>Actemra</w:t>
          </w:r>
          <w:proofErr w:type="spellEnd"/>
          <w:r w:rsidRPr="0092790D">
            <w:t xml:space="preserve"> </w:t>
          </w:r>
          <w:proofErr w:type="spellStart"/>
          <w:r w:rsidRPr="0092790D">
            <w:t>Tocilizumab</w:t>
          </w:r>
          <w:proofErr w:type="spellEnd"/>
          <w:r w:rsidRPr="0092790D">
            <w:t xml:space="preserve"> </w:t>
          </w:r>
          <w:r>
            <w:t>(</w:t>
          </w:r>
          <w:proofErr w:type="spellStart"/>
          <w:r>
            <w:t>rch</w:t>
          </w:r>
          <w:proofErr w:type="spellEnd"/>
          <w:r>
            <w:t>) Roche Products</w:t>
          </w:r>
          <w:r w:rsidRPr="0092790D">
            <w:t xml:space="preserve"> PM-2013-02398-1-3</w:t>
          </w:r>
          <w:r>
            <w:t xml:space="preserve"> </w:t>
          </w:r>
          <w:r>
            <w:br/>
          </w:r>
          <w:r w:rsidRPr="00487162">
            <w:t>Date of Finalisation</w:t>
          </w:r>
          <w:r>
            <w:t xml:space="preserve"> 13 January 2015</w:t>
          </w:r>
        </w:p>
      </w:tc>
      <w:tc>
        <w:tcPr>
          <w:tcW w:w="1490" w:type="dxa"/>
          <w:tcMar>
            <w:top w:w="142" w:type="dxa"/>
            <w:bottom w:w="0" w:type="dxa"/>
          </w:tcMar>
        </w:tcPr>
        <w:p w:rsidR="00153337" w:rsidRPr="00487162" w:rsidRDefault="00153337" w:rsidP="00DB750B">
          <w:pPr>
            <w:pStyle w:val="Footer"/>
            <w:jc w:val="right"/>
          </w:pPr>
          <w:r w:rsidRPr="00487162">
            <w:t xml:space="preserve">Page </w:t>
          </w:r>
          <w:r>
            <w:fldChar w:fldCharType="begin"/>
          </w:r>
          <w:r>
            <w:instrText xml:space="preserve"> PAGE  \* Arabic </w:instrText>
          </w:r>
          <w:r>
            <w:fldChar w:fldCharType="separate"/>
          </w:r>
          <w:r w:rsidR="006B5B74">
            <w:rPr>
              <w:noProof/>
            </w:rPr>
            <w:t>4</w:t>
          </w:r>
          <w:r>
            <w:fldChar w:fldCharType="end"/>
          </w:r>
          <w:r w:rsidRPr="00487162">
            <w:t xml:space="preserve"> of </w:t>
          </w:r>
          <w:fldSimple w:instr=" NUMPAGES  \* Arabic ">
            <w:r w:rsidR="006B5B74">
              <w:rPr>
                <w:noProof/>
              </w:rPr>
              <w:t>50</w:t>
            </w:r>
          </w:fldSimple>
        </w:p>
      </w:tc>
    </w:tr>
  </w:tbl>
  <w:p w:rsidR="00153337" w:rsidRDefault="00153337"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53337" w:rsidRPr="00487162" w:rsidTr="00E45619">
      <w:trPr>
        <w:trHeight w:val="269"/>
      </w:trPr>
      <w:tc>
        <w:tcPr>
          <w:tcW w:w="4519" w:type="dxa"/>
          <w:tcBorders>
            <w:top w:val="single" w:sz="4" w:space="0" w:color="auto"/>
          </w:tcBorders>
          <w:tcMar>
            <w:top w:w="142" w:type="dxa"/>
            <w:bottom w:w="0" w:type="dxa"/>
          </w:tcMar>
        </w:tcPr>
        <w:p w:rsidR="00153337" w:rsidRPr="00487162" w:rsidRDefault="00153337" w:rsidP="00FE1DEE">
          <w:pPr>
            <w:pStyle w:val="Footer"/>
          </w:pPr>
          <w:r w:rsidRPr="00487162">
            <w:t>Document title, Part #, Section # - Section title</w:t>
          </w:r>
        </w:p>
        <w:p w:rsidR="00153337" w:rsidRPr="00487162" w:rsidRDefault="00153337" w:rsidP="00FE1DEE">
          <w:pPr>
            <w:pStyle w:val="Footer"/>
          </w:pPr>
          <w:r w:rsidRPr="00487162">
            <w:t>V1.0 October 2010</w:t>
          </w:r>
        </w:p>
      </w:tc>
      <w:tc>
        <w:tcPr>
          <w:tcW w:w="4342" w:type="dxa"/>
          <w:tcBorders>
            <w:top w:val="single" w:sz="4" w:space="0" w:color="auto"/>
          </w:tcBorders>
          <w:tcMar>
            <w:top w:w="142" w:type="dxa"/>
            <w:bottom w:w="0" w:type="dxa"/>
          </w:tcMar>
        </w:tcPr>
        <w:p w:rsidR="00153337" w:rsidRPr="00487162" w:rsidRDefault="0015333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rsidR="00153337" w:rsidRDefault="001533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337" w:rsidRPr="001C32CD" w:rsidRDefault="00153337"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53337" w:rsidTr="0010601F">
      <w:trPr>
        <w:trHeight w:val="108"/>
      </w:trPr>
      <w:tc>
        <w:tcPr>
          <w:tcW w:w="8875" w:type="dxa"/>
          <w:gridSpan w:val="2"/>
          <w:tcBorders>
            <w:bottom w:val="single" w:sz="4" w:space="0" w:color="auto"/>
          </w:tcBorders>
          <w:tcMar>
            <w:right w:w="284" w:type="dxa"/>
          </w:tcMar>
        </w:tcPr>
        <w:p w:rsidR="00153337" w:rsidRDefault="00153337" w:rsidP="006E08B3">
          <w:pPr>
            <w:pStyle w:val="Heading3"/>
          </w:pPr>
          <w:r>
            <w:t>Copyright</w:t>
          </w:r>
        </w:p>
        <w:p w:rsidR="00153337" w:rsidRDefault="00153337" w:rsidP="006E08B3">
          <w:r>
            <w:rPr>
              <w:rFonts w:cs="Arial"/>
            </w:rPr>
            <w:t>©</w:t>
          </w:r>
          <w:r>
            <w:t xml:space="preserve"> Commonwealth of Australia [add year]</w:t>
          </w:r>
        </w:p>
        <w:p w:rsidR="00153337" w:rsidRDefault="00153337" w:rsidP="006E08B3"/>
        <w:p w:rsidR="00153337" w:rsidRDefault="0015333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153337" w:rsidRDefault="00153337" w:rsidP="006E08B3"/>
        <w:p w:rsidR="00153337" w:rsidRDefault="00153337" w:rsidP="006E08B3">
          <w:pPr>
            <w:pStyle w:val="Heading3"/>
          </w:pPr>
          <w:r>
            <w:t>Confidentiality</w:t>
          </w:r>
        </w:p>
        <w:p w:rsidR="00153337" w:rsidRDefault="0015333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153337" w:rsidRDefault="00153337" w:rsidP="006E08B3"/>
        <w:p w:rsidR="00153337" w:rsidRDefault="00153337" w:rsidP="006E08B3">
          <w:r>
            <w:t>For submission made by individuals, all personal details, other than your name, will be removed from your submission before it is published on the TGA’s Internet site.</w:t>
          </w:r>
        </w:p>
        <w:p w:rsidR="00153337" w:rsidRDefault="00153337" w:rsidP="006E08B3"/>
        <w:p w:rsidR="00153337" w:rsidRDefault="00153337"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153337" w:rsidTr="0010601F">
      <w:trPr>
        <w:trHeight w:val="417"/>
      </w:trPr>
      <w:tc>
        <w:tcPr>
          <w:tcW w:w="4519" w:type="dxa"/>
          <w:tcBorders>
            <w:top w:val="single" w:sz="4" w:space="0" w:color="auto"/>
          </w:tcBorders>
          <w:tcMar>
            <w:top w:w="142" w:type="dxa"/>
            <w:bottom w:w="0" w:type="dxa"/>
          </w:tcMar>
        </w:tcPr>
        <w:p w:rsidR="00153337" w:rsidRDefault="00153337" w:rsidP="006E08B3">
          <w:r>
            <w:t>Document title, Part #, Section # - Section title</w:t>
          </w:r>
        </w:p>
        <w:p w:rsidR="00153337" w:rsidRDefault="00153337" w:rsidP="006E08B3">
          <w:r>
            <w:t>V1.0 October 2010</w:t>
          </w:r>
        </w:p>
      </w:tc>
      <w:tc>
        <w:tcPr>
          <w:tcW w:w="4356" w:type="dxa"/>
          <w:tcBorders>
            <w:top w:val="single" w:sz="4" w:space="0" w:color="auto"/>
          </w:tcBorders>
          <w:tcMar>
            <w:top w:w="142" w:type="dxa"/>
            <w:bottom w:w="0" w:type="dxa"/>
          </w:tcMar>
        </w:tcPr>
        <w:p w:rsidR="00153337" w:rsidRDefault="0015333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rsidR="00153337" w:rsidRDefault="001533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337" w:rsidRDefault="00153337" w:rsidP="00C40A36">
      <w:pPr>
        <w:spacing w:after="0"/>
      </w:pPr>
      <w:r>
        <w:separator/>
      </w:r>
    </w:p>
  </w:footnote>
  <w:footnote w:type="continuationSeparator" w:id="0">
    <w:p w:rsidR="00153337" w:rsidRDefault="00153337" w:rsidP="00C40A36">
      <w:pPr>
        <w:spacing w:after="0"/>
      </w:pPr>
      <w:r>
        <w:continuationSeparator/>
      </w:r>
    </w:p>
  </w:footnote>
  <w:footnote w:id="1">
    <w:p w:rsidR="00153337" w:rsidRDefault="00153337" w:rsidP="008226A0">
      <w:pPr>
        <w:pStyle w:val="FootnoteText"/>
      </w:pPr>
      <w:r>
        <w:rPr>
          <w:rStyle w:val="FootnoteReference"/>
        </w:rPr>
        <w:footnoteRef/>
      </w:r>
      <w:r>
        <w:t xml:space="preserve"> </w:t>
      </w:r>
      <w:proofErr w:type="spellStart"/>
      <w:r w:rsidRPr="004C7021">
        <w:t>Felson</w:t>
      </w:r>
      <w:proofErr w:type="spellEnd"/>
      <w:r w:rsidRPr="004C7021">
        <w:t xml:space="preserve"> DT et al. American College of</w:t>
      </w:r>
      <w:r>
        <w:t xml:space="preserve"> </w:t>
      </w:r>
      <w:r w:rsidRPr="004C7021">
        <w:t xml:space="preserve">Rheumatology/European League </w:t>
      </w:r>
      <w:proofErr w:type="gramStart"/>
      <w:r w:rsidRPr="004C7021">
        <w:t>Against</w:t>
      </w:r>
      <w:proofErr w:type="gramEnd"/>
      <w:r w:rsidRPr="004C7021">
        <w:t xml:space="preserve"> Rheumatism</w:t>
      </w:r>
      <w:r>
        <w:t xml:space="preserve"> </w:t>
      </w:r>
      <w:r w:rsidRPr="004C7021">
        <w:t>provisional definition of remission in rheumatoid arthritis</w:t>
      </w:r>
      <w:r>
        <w:t xml:space="preserve"> </w:t>
      </w:r>
      <w:r w:rsidRPr="004C7021">
        <w:t xml:space="preserve">for clinical trials. </w:t>
      </w:r>
      <w:proofErr w:type="gramStart"/>
      <w:r w:rsidRPr="004C7021">
        <w:t>Arthritis Rheum.</w:t>
      </w:r>
      <w:proofErr w:type="gramEnd"/>
      <w:r w:rsidRPr="004C7021">
        <w:t xml:space="preserve"> 2011</w:t>
      </w:r>
      <w:proofErr w:type="gramStart"/>
      <w:r w:rsidRPr="004C7021">
        <w:t>;63</w:t>
      </w:r>
      <w:proofErr w:type="gramEnd"/>
      <w:r w:rsidRPr="004C7021">
        <w:t>(3):573-86.</w:t>
      </w:r>
    </w:p>
  </w:footnote>
  <w:footnote w:id="2">
    <w:p w:rsidR="00153337" w:rsidRDefault="00153337" w:rsidP="008226A0">
      <w:pPr>
        <w:pStyle w:val="FootnoteText"/>
      </w:pPr>
      <w:r>
        <w:rPr>
          <w:rStyle w:val="FootnoteReference"/>
        </w:rPr>
        <w:footnoteRef/>
      </w:r>
      <w:r>
        <w:t xml:space="preserve"> </w:t>
      </w:r>
      <w:proofErr w:type="gramStart"/>
      <w:r w:rsidRPr="004C7021">
        <w:t>van</w:t>
      </w:r>
      <w:proofErr w:type="gramEnd"/>
      <w:r w:rsidRPr="004C7021">
        <w:t xml:space="preserve"> der </w:t>
      </w:r>
      <w:proofErr w:type="spellStart"/>
      <w:r w:rsidRPr="004C7021">
        <w:t>Heijde</w:t>
      </w:r>
      <w:proofErr w:type="spellEnd"/>
      <w:r w:rsidRPr="004C7021">
        <w:t xml:space="preserve"> DM. How to read radiographs according to the Sharp/van der</w:t>
      </w:r>
      <w:r>
        <w:t xml:space="preserve"> </w:t>
      </w:r>
      <w:proofErr w:type="spellStart"/>
      <w:r w:rsidRPr="004C7021">
        <w:t>Heijde</w:t>
      </w:r>
      <w:proofErr w:type="spellEnd"/>
      <w:r w:rsidRPr="004C7021">
        <w:t xml:space="preserve"> method. </w:t>
      </w:r>
      <w:r w:rsidRPr="006C365B">
        <w:rPr>
          <w:i/>
        </w:rPr>
        <w:t xml:space="preserve">J </w:t>
      </w:r>
      <w:proofErr w:type="spellStart"/>
      <w:r w:rsidRPr="006C365B">
        <w:rPr>
          <w:i/>
        </w:rPr>
        <w:t>Rheumatol</w:t>
      </w:r>
      <w:proofErr w:type="spellEnd"/>
      <w:r w:rsidRPr="004C7021">
        <w:t xml:space="preserve"> 2000</w:t>
      </w:r>
      <w:proofErr w:type="gramStart"/>
      <w:r w:rsidRPr="004C7021">
        <w:t>;27:261</w:t>
      </w:r>
      <w:proofErr w:type="gramEnd"/>
      <w:r w:rsidRPr="004C7021">
        <w:t>-</w:t>
      </w:r>
      <w:r>
        <w:t>26</w:t>
      </w:r>
      <w:r w:rsidRPr="004C7021">
        <w:t>3.</w:t>
      </w:r>
    </w:p>
  </w:footnote>
  <w:footnote w:id="3">
    <w:p w:rsidR="00153337" w:rsidRPr="00934B02" w:rsidRDefault="00153337" w:rsidP="00DC64CC">
      <w:pPr>
        <w:pStyle w:val="FootnoteText"/>
      </w:pPr>
      <w:r w:rsidRPr="00934B02">
        <w:rPr>
          <w:vertAlign w:val="superscript"/>
        </w:rPr>
        <w:footnoteRef/>
      </w:r>
      <w:r>
        <w:t xml:space="preserve"> In October 2013, the i</w:t>
      </w:r>
      <w:r w:rsidRPr="00934B02">
        <w:t xml:space="preserve">ndications </w:t>
      </w:r>
      <w:r>
        <w:t xml:space="preserve">for Actemra </w:t>
      </w:r>
      <w:r w:rsidRPr="00934B02">
        <w:t xml:space="preserve">were further extended via a separate application to include for the treatment of moderate to severe active </w:t>
      </w:r>
      <w:proofErr w:type="spellStart"/>
      <w:r w:rsidRPr="00934B02">
        <w:t>polyarticular</w:t>
      </w:r>
      <w:proofErr w:type="spellEnd"/>
      <w:r w:rsidRPr="00934B02">
        <w:t xml:space="preserve"> juvenile idiopathic arthritis in patients 2 years of age and older who have had an inadequate response to or intolerance to methotrexate (MTX). Actemra can be given al</w:t>
      </w:r>
      <w:r>
        <w:t>one or in combination with MTX.</w:t>
      </w:r>
    </w:p>
  </w:footnote>
  <w:footnote w:id="4">
    <w:p w:rsidR="00153337" w:rsidRPr="0001322F" w:rsidRDefault="00153337" w:rsidP="00DC64CC">
      <w:pPr>
        <w:pStyle w:val="FootnoteText"/>
      </w:pPr>
      <w:r w:rsidRPr="0001322F">
        <w:rPr>
          <w:rStyle w:val="FootnoteReference"/>
          <w:szCs w:val="18"/>
        </w:rPr>
        <w:footnoteRef/>
      </w:r>
      <w:r w:rsidRPr="0001322F">
        <w:t xml:space="preserve"> </w:t>
      </w:r>
      <w:r w:rsidRPr="0001322F">
        <w:rPr>
          <w:lang w:eastAsia="zh-TW"/>
        </w:rPr>
        <w:t>Serious hypersensitivity was defined as all SAEs reported during or within 24 h</w:t>
      </w:r>
      <w:r>
        <w:rPr>
          <w:lang w:eastAsia="zh-TW"/>
        </w:rPr>
        <w:t xml:space="preserve"> </w:t>
      </w:r>
      <w:r w:rsidRPr="0001322F">
        <w:rPr>
          <w:lang w:eastAsia="zh-TW"/>
        </w:rPr>
        <w:t>of the injection/ infusion, which were considered by the investigator to be at least remotely treatment-related.</w:t>
      </w:r>
    </w:p>
  </w:footnote>
  <w:footnote w:id="5">
    <w:p w:rsidR="00153337" w:rsidRPr="006A082A" w:rsidRDefault="00153337" w:rsidP="00DC64CC">
      <w:pPr>
        <w:pStyle w:val="FootnoteText"/>
      </w:pPr>
      <w:r w:rsidRPr="006A082A">
        <w:rPr>
          <w:rStyle w:val="FootnoteReference"/>
          <w:szCs w:val="18"/>
        </w:rPr>
        <w:footnoteRef/>
      </w:r>
      <w:r w:rsidRPr="006A082A">
        <w:t xml:space="preserve"> </w:t>
      </w:r>
      <w:proofErr w:type="spellStart"/>
      <w:r w:rsidRPr="006A082A">
        <w:t>Hy’s</w:t>
      </w:r>
      <w:proofErr w:type="spellEnd"/>
      <w:r w:rsidRPr="006A082A">
        <w:t xml:space="preserve"> law provides a means to assess a drug’s risk of causing serious hepatotoxicity. </w:t>
      </w:r>
      <w:proofErr w:type="gramStart"/>
      <w:r w:rsidRPr="006A082A">
        <w:t>see</w:t>
      </w:r>
      <w:proofErr w:type="gramEnd"/>
      <w:r w:rsidRPr="006A082A">
        <w:t xml:space="preserve"> for example, Zimmerman HJ. </w:t>
      </w:r>
      <w:proofErr w:type="gramStart"/>
      <w:r w:rsidRPr="006A082A">
        <w:t>Drug-induced liver disease.</w:t>
      </w:r>
      <w:proofErr w:type="gramEnd"/>
      <w:r w:rsidRPr="006A082A">
        <w:t xml:space="preserve"> </w:t>
      </w:r>
      <w:r w:rsidRPr="006A082A">
        <w:rPr>
          <w:i/>
        </w:rPr>
        <w:t>Hepatotoxicity, The adverse effects of drugs and other chemicals on the liver</w:t>
      </w:r>
      <w:r w:rsidRPr="006A082A">
        <w:t>, 1</w:t>
      </w:r>
      <w:r w:rsidRPr="006A082A">
        <w:rPr>
          <w:vertAlign w:val="superscript"/>
        </w:rPr>
        <w:t>st</w:t>
      </w:r>
      <w:r>
        <w:t xml:space="preserve"> </w:t>
      </w:r>
      <w:r w:rsidRPr="006A082A">
        <w:t xml:space="preserve">edition, New York United-States 1978; and Temple R. </w:t>
      </w:r>
      <w:proofErr w:type="spellStart"/>
      <w:r w:rsidRPr="006A082A">
        <w:t>Hy's</w:t>
      </w:r>
      <w:proofErr w:type="spellEnd"/>
      <w:r w:rsidRPr="006A082A">
        <w:t xml:space="preserve"> law: predicting serious hepatotoxicity. </w:t>
      </w:r>
      <w:proofErr w:type="spellStart"/>
      <w:r w:rsidRPr="006A082A">
        <w:rPr>
          <w:i/>
        </w:rPr>
        <w:t>Pharmacoepidemiol</w:t>
      </w:r>
      <w:proofErr w:type="spellEnd"/>
      <w:r w:rsidRPr="006A082A">
        <w:rPr>
          <w:i/>
        </w:rPr>
        <w:t xml:space="preserve"> Drug Safety</w:t>
      </w:r>
      <w:r w:rsidRPr="006A082A">
        <w:t xml:space="preserve"> 2006; 15:241-243</w:t>
      </w:r>
    </w:p>
  </w:footnote>
  <w:footnote w:id="6">
    <w:p w:rsidR="00153337" w:rsidRPr="007C4D46" w:rsidRDefault="00153337" w:rsidP="00D759D0">
      <w:pPr>
        <w:pStyle w:val="FootnoteText"/>
      </w:pPr>
      <w:r w:rsidRPr="007C4D46">
        <w:rPr>
          <w:vertAlign w:val="superscript"/>
        </w:rPr>
        <w:footnoteRef/>
      </w:r>
      <w:r w:rsidRPr="007C4D46">
        <w:t xml:space="preserve"> Stand Vet al Discontinuation of biologic therapy in rheumatoid arthritis (RA): Analysis from the Consortium of Rheumatology Researchers of North America (CORONA) database. </w:t>
      </w:r>
      <w:r w:rsidRPr="0015267E">
        <w:rPr>
          <w:i/>
        </w:rPr>
        <w:t>Ann Rheum Dis</w:t>
      </w:r>
      <w:r w:rsidRPr="007C4D46">
        <w:t xml:space="preserve"> 2013</w:t>
      </w:r>
      <w:proofErr w:type="gramStart"/>
      <w:r w:rsidRPr="007C4D46">
        <w:t>;72</w:t>
      </w:r>
      <w:proofErr w:type="gramEnd"/>
      <w:r w:rsidRPr="007C4D46">
        <w:t>(suppl3):71.</w:t>
      </w:r>
    </w:p>
  </w:footnote>
  <w:footnote w:id="7">
    <w:p w:rsidR="00153337" w:rsidRPr="007C4D46" w:rsidRDefault="00153337" w:rsidP="00D759D0">
      <w:pPr>
        <w:pStyle w:val="FootnoteText"/>
      </w:pPr>
      <w:r w:rsidRPr="007C4D46">
        <w:rPr>
          <w:vertAlign w:val="superscript"/>
        </w:rPr>
        <w:footnoteRef/>
      </w:r>
      <w:r w:rsidRPr="007C4D46">
        <w:t xml:space="preserve"> </w:t>
      </w:r>
      <w:proofErr w:type="spellStart"/>
      <w:r w:rsidRPr="007C4D46">
        <w:t>Tovor</w:t>
      </w:r>
      <w:proofErr w:type="spellEnd"/>
      <w:r w:rsidRPr="007C4D46">
        <w:t xml:space="preserve"> </w:t>
      </w:r>
      <w:proofErr w:type="spellStart"/>
      <w:r w:rsidRPr="007C4D46">
        <w:t>Beltram</w:t>
      </w:r>
      <w:proofErr w:type="spellEnd"/>
      <w:r w:rsidRPr="007C4D46">
        <w:t xml:space="preserve"> JV et al. ACT-LIFE Study: patterns of tocilizumab use and dosing among patients with rheumatoid arthritis in the clinical practice. </w:t>
      </w:r>
      <w:r w:rsidRPr="00912840">
        <w:rPr>
          <w:i/>
        </w:rPr>
        <w:t xml:space="preserve">Ann </w:t>
      </w:r>
      <w:proofErr w:type="spellStart"/>
      <w:r w:rsidRPr="00912840">
        <w:rPr>
          <w:i/>
        </w:rPr>
        <w:t>Rhuem</w:t>
      </w:r>
      <w:proofErr w:type="spellEnd"/>
      <w:r w:rsidRPr="00912840">
        <w:rPr>
          <w:i/>
        </w:rPr>
        <w:t xml:space="preserve"> Dis</w:t>
      </w:r>
      <w:r w:rsidRPr="007C4D46">
        <w:t xml:space="preserve"> 2013</w:t>
      </w:r>
      <w:proofErr w:type="gramStart"/>
      <w:r w:rsidRPr="007C4D46">
        <w:t>;72</w:t>
      </w:r>
      <w:proofErr w:type="gramEnd"/>
      <w:r w:rsidRPr="007C4D46">
        <w:t>(suppl3):456.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337" w:rsidRDefault="00153337"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337" w:rsidRDefault="00153337">
    <w:pPr>
      <w:rPr>
        <w:noProof/>
        <w:lang w:eastAsia="en-AU"/>
      </w:rPr>
    </w:pPr>
    <w:r w:rsidRPr="00347824">
      <w:rPr>
        <w:noProof/>
        <w:lang w:eastAsia="en-AU"/>
      </w:rPr>
      <w:drawing>
        <wp:anchor distT="0" distB="0" distL="114300" distR="114300" simplePos="0" relativeHeight="251659264" behindDoc="1" locked="0" layoutInCell="1" allowOverlap="1" wp14:anchorId="37C4E5A5" wp14:editId="17AACBAD">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153337" w:rsidRDefault="00153337" w:rsidP="00593AD1">
    <w:pPr>
      <w:pStyle w:val="HeaderNoLine"/>
    </w:pPr>
    <w:r>
      <w:rPr>
        <w:noProof/>
        <w:lang w:eastAsia="en-AU"/>
      </w:rPr>
      <w:drawing>
        <wp:inline distT="0" distB="0" distL="0" distR="0">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337" w:rsidRDefault="001533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337" w:rsidRDefault="00153337">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337" w:rsidRDefault="00153337">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337" w:rsidRDefault="0015333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337" w:rsidRDefault="00153337"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337" w:rsidRDefault="00153337" w:rsidP="006E08B3">
    <w:r>
      <w:t>Therapeutic Goods Administration</w:t>
    </w:r>
  </w:p>
  <w:p w:rsidR="00153337" w:rsidRDefault="00153337"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2BCF57AC"/>
    <w:multiLevelType w:val="hybridMultilevel"/>
    <w:tmpl w:val="229E76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7D705F"/>
    <w:multiLevelType w:val="hybridMultilevel"/>
    <w:tmpl w:val="192629FC"/>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4">
    <w:nsid w:val="6D0B1B75"/>
    <w:multiLevelType w:val="multilevel"/>
    <w:tmpl w:val="D3FAAFB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5"/>
        </w:tabs>
        <w:ind w:left="1135" w:hanging="1022"/>
      </w:pPr>
      <w:rPr>
        <w:rFonts w:hint="default"/>
      </w:rPr>
    </w:lvl>
    <w:lvl w:ilvl="2">
      <w:start w:val="1"/>
      <w:numFmt w:val="decimal"/>
      <w:lvlText w:val="%1.%2.%3."/>
      <w:lvlJc w:val="left"/>
      <w:pPr>
        <w:tabs>
          <w:tab w:val="num" w:pos="1134"/>
        </w:tabs>
        <w:ind w:left="1134" w:hanging="964"/>
      </w:pPr>
      <w:rPr>
        <w:rFonts w:hint="default"/>
      </w:rPr>
    </w:lvl>
    <w:lvl w:ilvl="3">
      <w:start w:val="1"/>
      <w:numFmt w:val="decimal"/>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5">
    <w:nsid w:val="7B703D1F"/>
    <w:multiLevelType w:val="hybridMultilevel"/>
    <w:tmpl w:val="841A3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1E"/>
    <w:rsid w:val="00002031"/>
    <w:rsid w:val="00004734"/>
    <w:rsid w:val="00006B22"/>
    <w:rsid w:val="0001276A"/>
    <w:rsid w:val="00023CCC"/>
    <w:rsid w:val="000246AE"/>
    <w:rsid w:val="00025C67"/>
    <w:rsid w:val="00044772"/>
    <w:rsid w:val="0005559E"/>
    <w:rsid w:val="000604D6"/>
    <w:rsid w:val="00071BD9"/>
    <w:rsid w:val="000734D8"/>
    <w:rsid w:val="00077775"/>
    <w:rsid w:val="00090471"/>
    <w:rsid w:val="00096AA7"/>
    <w:rsid w:val="000A36DA"/>
    <w:rsid w:val="000A3AED"/>
    <w:rsid w:val="000B3532"/>
    <w:rsid w:val="000B3A75"/>
    <w:rsid w:val="000C690F"/>
    <w:rsid w:val="000D1295"/>
    <w:rsid w:val="000D1607"/>
    <w:rsid w:val="000D391B"/>
    <w:rsid w:val="000D3D6D"/>
    <w:rsid w:val="000D4FC7"/>
    <w:rsid w:val="000D5785"/>
    <w:rsid w:val="000E52DF"/>
    <w:rsid w:val="000F4869"/>
    <w:rsid w:val="000F5B42"/>
    <w:rsid w:val="000F6C45"/>
    <w:rsid w:val="000F6E6F"/>
    <w:rsid w:val="001033D2"/>
    <w:rsid w:val="0010601F"/>
    <w:rsid w:val="0010788A"/>
    <w:rsid w:val="00107A31"/>
    <w:rsid w:val="00110EA5"/>
    <w:rsid w:val="00112F56"/>
    <w:rsid w:val="00125318"/>
    <w:rsid w:val="001305A2"/>
    <w:rsid w:val="00130F50"/>
    <w:rsid w:val="00133238"/>
    <w:rsid w:val="0014197B"/>
    <w:rsid w:val="00143384"/>
    <w:rsid w:val="001447CD"/>
    <w:rsid w:val="001516B1"/>
    <w:rsid w:val="0015267E"/>
    <w:rsid w:val="00153337"/>
    <w:rsid w:val="0015409F"/>
    <w:rsid w:val="00154EBB"/>
    <w:rsid w:val="00156316"/>
    <w:rsid w:val="00162D14"/>
    <w:rsid w:val="00164178"/>
    <w:rsid w:val="00165389"/>
    <w:rsid w:val="00172C1E"/>
    <w:rsid w:val="0017693F"/>
    <w:rsid w:val="0018110E"/>
    <w:rsid w:val="00181684"/>
    <w:rsid w:val="001843C6"/>
    <w:rsid w:val="001850E0"/>
    <w:rsid w:val="00186836"/>
    <w:rsid w:val="001A2158"/>
    <w:rsid w:val="001A525F"/>
    <w:rsid w:val="001A5770"/>
    <w:rsid w:val="001B09F9"/>
    <w:rsid w:val="001B5C90"/>
    <w:rsid w:val="001B6448"/>
    <w:rsid w:val="001B6878"/>
    <w:rsid w:val="001C32CD"/>
    <w:rsid w:val="001D2984"/>
    <w:rsid w:val="001E07CF"/>
    <w:rsid w:val="001E59F1"/>
    <w:rsid w:val="001F49EB"/>
    <w:rsid w:val="001F6CBA"/>
    <w:rsid w:val="002013C6"/>
    <w:rsid w:val="00201D4E"/>
    <w:rsid w:val="002076C9"/>
    <w:rsid w:val="00212D00"/>
    <w:rsid w:val="00216828"/>
    <w:rsid w:val="00220B8A"/>
    <w:rsid w:val="002257F3"/>
    <w:rsid w:val="00233456"/>
    <w:rsid w:val="002339A5"/>
    <w:rsid w:val="00235B19"/>
    <w:rsid w:val="002407DF"/>
    <w:rsid w:val="00257848"/>
    <w:rsid w:val="0027084A"/>
    <w:rsid w:val="00286434"/>
    <w:rsid w:val="00286C59"/>
    <w:rsid w:val="00291957"/>
    <w:rsid w:val="002942D1"/>
    <w:rsid w:val="0029501A"/>
    <w:rsid w:val="002B1638"/>
    <w:rsid w:val="002B3624"/>
    <w:rsid w:val="002B761E"/>
    <w:rsid w:val="002E40B3"/>
    <w:rsid w:val="002E4C9A"/>
    <w:rsid w:val="002F11F8"/>
    <w:rsid w:val="002F3F56"/>
    <w:rsid w:val="002F44B5"/>
    <w:rsid w:val="00311AC0"/>
    <w:rsid w:val="0032583B"/>
    <w:rsid w:val="00327883"/>
    <w:rsid w:val="00330962"/>
    <w:rsid w:val="00335504"/>
    <w:rsid w:val="00347824"/>
    <w:rsid w:val="00350567"/>
    <w:rsid w:val="003519B5"/>
    <w:rsid w:val="003521E8"/>
    <w:rsid w:val="00357EF2"/>
    <w:rsid w:val="003728F3"/>
    <w:rsid w:val="0037496E"/>
    <w:rsid w:val="00386150"/>
    <w:rsid w:val="003874CE"/>
    <w:rsid w:val="00390900"/>
    <w:rsid w:val="00392432"/>
    <w:rsid w:val="003A7F6C"/>
    <w:rsid w:val="003B4D60"/>
    <w:rsid w:val="003B6B04"/>
    <w:rsid w:val="003B7E39"/>
    <w:rsid w:val="003C58DC"/>
    <w:rsid w:val="003D1E62"/>
    <w:rsid w:val="003E2486"/>
    <w:rsid w:val="003E3208"/>
    <w:rsid w:val="003F0B04"/>
    <w:rsid w:val="003F3633"/>
    <w:rsid w:val="0040134E"/>
    <w:rsid w:val="00414E3B"/>
    <w:rsid w:val="004228F2"/>
    <w:rsid w:val="00425E59"/>
    <w:rsid w:val="004279F8"/>
    <w:rsid w:val="004334C7"/>
    <w:rsid w:val="00440A2D"/>
    <w:rsid w:val="0044325D"/>
    <w:rsid w:val="004564A7"/>
    <w:rsid w:val="004617BF"/>
    <w:rsid w:val="00463658"/>
    <w:rsid w:val="004637A0"/>
    <w:rsid w:val="004722CC"/>
    <w:rsid w:val="004936E4"/>
    <w:rsid w:val="00494E60"/>
    <w:rsid w:val="00497487"/>
    <w:rsid w:val="004A3217"/>
    <w:rsid w:val="004A7390"/>
    <w:rsid w:val="004B7B76"/>
    <w:rsid w:val="004C239D"/>
    <w:rsid w:val="004C2DCA"/>
    <w:rsid w:val="004C7021"/>
    <w:rsid w:val="004F0C4A"/>
    <w:rsid w:val="004F0F38"/>
    <w:rsid w:val="00501921"/>
    <w:rsid w:val="00530354"/>
    <w:rsid w:val="0053625B"/>
    <w:rsid w:val="005434C6"/>
    <w:rsid w:val="00543B39"/>
    <w:rsid w:val="00544065"/>
    <w:rsid w:val="00546154"/>
    <w:rsid w:val="00550096"/>
    <w:rsid w:val="00552F9D"/>
    <w:rsid w:val="00555280"/>
    <w:rsid w:val="00556DB8"/>
    <w:rsid w:val="00557FF9"/>
    <w:rsid w:val="00570055"/>
    <w:rsid w:val="00576378"/>
    <w:rsid w:val="00577130"/>
    <w:rsid w:val="00577945"/>
    <w:rsid w:val="00577E38"/>
    <w:rsid w:val="00585322"/>
    <w:rsid w:val="005857C6"/>
    <w:rsid w:val="00592F6E"/>
    <w:rsid w:val="00593AD1"/>
    <w:rsid w:val="005A68B6"/>
    <w:rsid w:val="005A6985"/>
    <w:rsid w:val="005A77AD"/>
    <w:rsid w:val="005C5570"/>
    <w:rsid w:val="005C79A4"/>
    <w:rsid w:val="005D10EE"/>
    <w:rsid w:val="005D5442"/>
    <w:rsid w:val="005E345A"/>
    <w:rsid w:val="005F2129"/>
    <w:rsid w:val="00603F32"/>
    <w:rsid w:val="00605AD4"/>
    <w:rsid w:val="00625A6E"/>
    <w:rsid w:val="00632398"/>
    <w:rsid w:val="00640FC3"/>
    <w:rsid w:val="00642020"/>
    <w:rsid w:val="0065337B"/>
    <w:rsid w:val="0065419D"/>
    <w:rsid w:val="006604D8"/>
    <w:rsid w:val="00664A5B"/>
    <w:rsid w:val="006763D2"/>
    <w:rsid w:val="00680C08"/>
    <w:rsid w:val="006860B5"/>
    <w:rsid w:val="006931B1"/>
    <w:rsid w:val="006A082A"/>
    <w:rsid w:val="006A15C0"/>
    <w:rsid w:val="006B3D7D"/>
    <w:rsid w:val="006B5B74"/>
    <w:rsid w:val="006C03B5"/>
    <w:rsid w:val="006C365B"/>
    <w:rsid w:val="006C3E2A"/>
    <w:rsid w:val="006C642F"/>
    <w:rsid w:val="006D03E5"/>
    <w:rsid w:val="006D316C"/>
    <w:rsid w:val="006D5D3E"/>
    <w:rsid w:val="006E08B3"/>
    <w:rsid w:val="006F17AC"/>
    <w:rsid w:val="006F25B8"/>
    <w:rsid w:val="006F572E"/>
    <w:rsid w:val="007046D6"/>
    <w:rsid w:val="00705DB0"/>
    <w:rsid w:val="00714BF6"/>
    <w:rsid w:val="00722B57"/>
    <w:rsid w:val="00730F8A"/>
    <w:rsid w:val="0074253D"/>
    <w:rsid w:val="0074429B"/>
    <w:rsid w:val="007615BC"/>
    <w:rsid w:val="00762F05"/>
    <w:rsid w:val="007652FF"/>
    <w:rsid w:val="0076622B"/>
    <w:rsid w:val="0077010A"/>
    <w:rsid w:val="00770EF1"/>
    <w:rsid w:val="00773EF7"/>
    <w:rsid w:val="00774E1D"/>
    <w:rsid w:val="0077675A"/>
    <w:rsid w:val="00780355"/>
    <w:rsid w:val="007819FD"/>
    <w:rsid w:val="00782F89"/>
    <w:rsid w:val="00785721"/>
    <w:rsid w:val="0079205A"/>
    <w:rsid w:val="00793A59"/>
    <w:rsid w:val="007B6132"/>
    <w:rsid w:val="007B6E9F"/>
    <w:rsid w:val="007C11D6"/>
    <w:rsid w:val="007C1216"/>
    <w:rsid w:val="007C1AF7"/>
    <w:rsid w:val="007C4D46"/>
    <w:rsid w:val="007D7389"/>
    <w:rsid w:val="007F70EF"/>
    <w:rsid w:val="00805D27"/>
    <w:rsid w:val="00811636"/>
    <w:rsid w:val="00821776"/>
    <w:rsid w:val="008226A0"/>
    <w:rsid w:val="00831651"/>
    <w:rsid w:val="008321F5"/>
    <w:rsid w:val="00832369"/>
    <w:rsid w:val="00834660"/>
    <w:rsid w:val="00836BC2"/>
    <w:rsid w:val="00847514"/>
    <w:rsid w:val="0085156D"/>
    <w:rsid w:val="0085641B"/>
    <w:rsid w:val="00857136"/>
    <w:rsid w:val="00873899"/>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C562E"/>
    <w:rsid w:val="008D4DD2"/>
    <w:rsid w:val="008E1A22"/>
    <w:rsid w:val="008E7846"/>
    <w:rsid w:val="008F1CCC"/>
    <w:rsid w:val="008F2967"/>
    <w:rsid w:val="008F3122"/>
    <w:rsid w:val="008F6943"/>
    <w:rsid w:val="008F743F"/>
    <w:rsid w:val="00901AC2"/>
    <w:rsid w:val="00902A21"/>
    <w:rsid w:val="00906D8E"/>
    <w:rsid w:val="00912840"/>
    <w:rsid w:val="00915583"/>
    <w:rsid w:val="00920330"/>
    <w:rsid w:val="009219D7"/>
    <w:rsid w:val="00922D53"/>
    <w:rsid w:val="00923B70"/>
    <w:rsid w:val="00924482"/>
    <w:rsid w:val="00926ACC"/>
    <w:rsid w:val="0092790D"/>
    <w:rsid w:val="00930237"/>
    <w:rsid w:val="00934B02"/>
    <w:rsid w:val="00940A89"/>
    <w:rsid w:val="00946EA5"/>
    <w:rsid w:val="00947034"/>
    <w:rsid w:val="00963C08"/>
    <w:rsid w:val="0097161D"/>
    <w:rsid w:val="00974C63"/>
    <w:rsid w:val="009758D5"/>
    <w:rsid w:val="0098585A"/>
    <w:rsid w:val="00990540"/>
    <w:rsid w:val="009A4CED"/>
    <w:rsid w:val="009A690D"/>
    <w:rsid w:val="009B1D12"/>
    <w:rsid w:val="009B416B"/>
    <w:rsid w:val="009C4BD5"/>
    <w:rsid w:val="009C63CE"/>
    <w:rsid w:val="009D5B69"/>
    <w:rsid w:val="009D7B77"/>
    <w:rsid w:val="009E0BB0"/>
    <w:rsid w:val="009E3FBB"/>
    <w:rsid w:val="009F2B44"/>
    <w:rsid w:val="00A04F85"/>
    <w:rsid w:val="00A102E4"/>
    <w:rsid w:val="00A12C42"/>
    <w:rsid w:val="00A14DF7"/>
    <w:rsid w:val="00A14EC4"/>
    <w:rsid w:val="00A3246D"/>
    <w:rsid w:val="00A35022"/>
    <w:rsid w:val="00A36FA7"/>
    <w:rsid w:val="00A437FF"/>
    <w:rsid w:val="00A44B92"/>
    <w:rsid w:val="00A44DDB"/>
    <w:rsid w:val="00A475B7"/>
    <w:rsid w:val="00A47AF7"/>
    <w:rsid w:val="00A47C3E"/>
    <w:rsid w:val="00A50226"/>
    <w:rsid w:val="00A52C89"/>
    <w:rsid w:val="00A60BAD"/>
    <w:rsid w:val="00A66EAC"/>
    <w:rsid w:val="00A716ED"/>
    <w:rsid w:val="00A80B5B"/>
    <w:rsid w:val="00A827CB"/>
    <w:rsid w:val="00A84E36"/>
    <w:rsid w:val="00A9254C"/>
    <w:rsid w:val="00A964D1"/>
    <w:rsid w:val="00AA0ED0"/>
    <w:rsid w:val="00AC2B40"/>
    <w:rsid w:val="00AC2BB2"/>
    <w:rsid w:val="00AC2C3C"/>
    <w:rsid w:val="00AC512D"/>
    <w:rsid w:val="00AD0083"/>
    <w:rsid w:val="00AD3935"/>
    <w:rsid w:val="00AE65EB"/>
    <w:rsid w:val="00AE67A7"/>
    <w:rsid w:val="00AF1D94"/>
    <w:rsid w:val="00AF60C5"/>
    <w:rsid w:val="00AF687B"/>
    <w:rsid w:val="00B009C6"/>
    <w:rsid w:val="00B01548"/>
    <w:rsid w:val="00B06725"/>
    <w:rsid w:val="00B21D29"/>
    <w:rsid w:val="00B2361A"/>
    <w:rsid w:val="00B25034"/>
    <w:rsid w:val="00B33588"/>
    <w:rsid w:val="00B33863"/>
    <w:rsid w:val="00B359B4"/>
    <w:rsid w:val="00B37D17"/>
    <w:rsid w:val="00B4175E"/>
    <w:rsid w:val="00B452CE"/>
    <w:rsid w:val="00B5390D"/>
    <w:rsid w:val="00B54C25"/>
    <w:rsid w:val="00B60777"/>
    <w:rsid w:val="00B632DB"/>
    <w:rsid w:val="00B70D02"/>
    <w:rsid w:val="00B72005"/>
    <w:rsid w:val="00B76B91"/>
    <w:rsid w:val="00B77EB1"/>
    <w:rsid w:val="00B811C6"/>
    <w:rsid w:val="00B855B0"/>
    <w:rsid w:val="00B92E08"/>
    <w:rsid w:val="00BA428F"/>
    <w:rsid w:val="00BC622A"/>
    <w:rsid w:val="00BC7C39"/>
    <w:rsid w:val="00BE0A78"/>
    <w:rsid w:val="00BE79F0"/>
    <w:rsid w:val="00BF046D"/>
    <w:rsid w:val="00BF1190"/>
    <w:rsid w:val="00BF4379"/>
    <w:rsid w:val="00BF5D04"/>
    <w:rsid w:val="00C1164D"/>
    <w:rsid w:val="00C16861"/>
    <w:rsid w:val="00C404A6"/>
    <w:rsid w:val="00C40A36"/>
    <w:rsid w:val="00C44419"/>
    <w:rsid w:val="00C45E7B"/>
    <w:rsid w:val="00C471B1"/>
    <w:rsid w:val="00C6316B"/>
    <w:rsid w:val="00C634A9"/>
    <w:rsid w:val="00C64245"/>
    <w:rsid w:val="00C64586"/>
    <w:rsid w:val="00C70D53"/>
    <w:rsid w:val="00C73D0B"/>
    <w:rsid w:val="00C772FF"/>
    <w:rsid w:val="00C80137"/>
    <w:rsid w:val="00C801AF"/>
    <w:rsid w:val="00C80256"/>
    <w:rsid w:val="00C9747E"/>
    <w:rsid w:val="00CB6BC0"/>
    <w:rsid w:val="00CC1B7C"/>
    <w:rsid w:val="00CC727F"/>
    <w:rsid w:val="00CE417F"/>
    <w:rsid w:val="00CF15C3"/>
    <w:rsid w:val="00CF2B6F"/>
    <w:rsid w:val="00CF58B6"/>
    <w:rsid w:val="00D017ED"/>
    <w:rsid w:val="00D040D3"/>
    <w:rsid w:val="00D04C65"/>
    <w:rsid w:val="00D05CC1"/>
    <w:rsid w:val="00D13447"/>
    <w:rsid w:val="00D201D2"/>
    <w:rsid w:val="00D224FE"/>
    <w:rsid w:val="00D23139"/>
    <w:rsid w:val="00D25F4C"/>
    <w:rsid w:val="00D425BB"/>
    <w:rsid w:val="00D6493E"/>
    <w:rsid w:val="00D7195D"/>
    <w:rsid w:val="00D7301E"/>
    <w:rsid w:val="00D759D0"/>
    <w:rsid w:val="00D81489"/>
    <w:rsid w:val="00D83AE1"/>
    <w:rsid w:val="00D8522E"/>
    <w:rsid w:val="00D855D4"/>
    <w:rsid w:val="00D93466"/>
    <w:rsid w:val="00DA1124"/>
    <w:rsid w:val="00DA581A"/>
    <w:rsid w:val="00DB6124"/>
    <w:rsid w:val="00DB750B"/>
    <w:rsid w:val="00DB75B7"/>
    <w:rsid w:val="00DC23FF"/>
    <w:rsid w:val="00DC64CC"/>
    <w:rsid w:val="00DC6E02"/>
    <w:rsid w:val="00DE02AE"/>
    <w:rsid w:val="00DF1D7F"/>
    <w:rsid w:val="00DF4BE4"/>
    <w:rsid w:val="00DF681E"/>
    <w:rsid w:val="00E02FB4"/>
    <w:rsid w:val="00E13FC7"/>
    <w:rsid w:val="00E16170"/>
    <w:rsid w:val="00E20571"/>
    <w:rsid w:val="00E235F7"/>
    <w:rsid w:val="00E23659"/>
    <w:rsid w:val="00E239D4"/>
    <w:rsid w:val="00E23A38"/>
    <w:rsid w:val="00E26130"/>
    <w:rsid w:val="00E40B22"/>
    <w:rsid w:val="00E44ED1"/>
    <w:rsid w:val="00E45619"/>
    <w:rsid w:val="00E4588F"/>
    <w:rsid w:val="00E46DA3"/>
    <w:rsid w:val="00E51BB1"/>
    <w:rsid w:val="00E53FC6"/>
    <w:rsid w:val="00E624A5"/>
    <w:rsid w:val="00E7344E"/>
    <w:rsid w:val="00E973CE"/>
    <w:rsid w:val="00EB0798"/>
    <w:rsid w:val="00EB40AD"/>
    <w:rsid w:val="00EB4194"/>
    <w:rsid w:val="00EB586E"/>
    <w:rsid w:val="00EB5FC8"/>
    <w:rsid w:val="00EC7A85"/>
    <w:rsid w:val="00ED3CAD"/>
    <w:rsid w:val="00ED5A41"/>
    <w:rsid w:val="00EE1DE8"/>
    <w:rsid w:val="00EE276C"/>
    <w:rsid w:val="00EE365F"/>
    <w:rsid w:val="00EE5639"/>
    <w:rsid w:val="00F033EC"/>
    <w:rsid w:val="00F04F68"/>
    <w:rsid w:val="00F12670"/>
    <w:rsid w:val="00F14B27"/>
    <w:rsid w:val="00F3148D"/>
    <w:rsid w:val="00F325C5"/>
    <w:rsid w:val="00F32FE0"/>
    <w:rsid w:val="00F35298"/>
    <w:rsid w:val="00F365E8"/>
    <w:rsid w:val="00F458A1"/>
    <w:rsid w:val="00F47333"/>
    <w:rsid w:val="00F47E37"/>
    <w:rsid w:val="00F516E3"/>
    <w:rsid w:val="00F53C07"/>
    <w:rsid w:val="00F54B65"/>
    <w:rsid w:val="00F640B6"/>
    <w:rsid w:val="00F80E40"/>
    <w:rsid w:val="00F848D9"/>
    <w:rsid w:val="00F96679"/>
    <w:rsid w:val="00FA5B82"/>
    <w:rsid w:val="00FA639E"/>
    <w:rsid w:val="00FA7EED"/>
    <w:rsid w:val="00FC25E4"/>
    <w:rsid w:val="00FC4EF7"/>
    <w:rsid w:val="00FD0824"/>
    <w:rsid w:val="00FD119B"/>
    <w:rsid w:val="00FD1EDC"/>
    <w:rsid w:val="00FE1DEE"/>
    <w:rsid w:val="00FF1683"/>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8226A0"/>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styleId="ListParagraph">
    <w:name w:val="List Paragraph"/>
    <w:basedOn w:val="Normal"/>
    <w:uiPriority w:val="34"/>
    <w:qFormat/>
    <w:rsid w:val="00570055"/>
    <w:pPr>
      <w:adjustRightInd w:val="0"/>
      <w:snapToGrid w:val="0"/>
      <w:spacing w:before="0" w:after="0"/>
      <w:ind w:left="720"/>
      <w:contextualSpacing/>
    </w:pPr>
    <w:rPr>
      <w:rFonts w:eastAsia="MS Mincho"/>
      <w:szCs w:val="20"/>
      <w:lang w:eastAsia="ja-JP"/>
    </w:rPr>
  </w:style>
  <w:style w:type="paragraph" w:customStyle="1" w:styleId="Default">
    <w:name w:val="Default"/>
    <w:rsid w:val="0039243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st1">
    <w:name w:val="st1"/>
    <w:basedOn w:val="DefaultParagraphFont"/>
    <w:rsid w:val="00F96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8226A0"/>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styleId="ListParagraph">
    <w:name w:val="List Paragraph"/>
    <w:basedOn w:val="Normal"/>
    <w:uiPriority w:val="34"/>
    <w:qFormat/>
    <w:rsid w:val="00570055"/>
    <w:pPr>
      <w:adjustRightInd w:val="0"/>
      <w:snapToGrid w:val="0"/>
      <w:spacing w:before="0" w:after="0"/>
      <w:ind w:left="720"/>
      <w:contextualSpacing/>
    </w:pPr>
    <w:rPr>
      <w:rFonts w:eastAsia="MS Mincho"/>
      <w:szCs w:val="20"/>
      <w:lang w:eastAsia="ja-JP"/>
    </w:rPr>
  </w:style>
  <w:style w:type="paragraph" w:customStyle="1" w:styleId="Default">
    <w:name w:val="Default"/>
    <w:rsid w:val="0039243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st1">
    <w:name w:val="st1"/>
    <w:basedOn w:val="DefaultParagraphFont"/>
    <w:rsid w:val="00F96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hyperlink" Target="http://www.tga.gov.a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www.tga.gov.au/product-information-p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mailto:tga.copyright@tga.gov.au" TargetMode="External"/><Relationship Id="rId19" Type="http://schemas.openxmlformats.org/officeDocument/2006/relationships/image" Target="media/image7.png"/><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5624\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0FA82-4C18-4BA4-872B-2BB33F44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275</TotalTime>
  <Pages>50</Pages>
  <Words>18199</Words>
  <Characters>103735</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Australian Public Assessment Report for Tocilizumab (rch)</vt:lpstr>
    </vt:vector>
  </TitlesOfParts>
  <Company>Department of Health Therapeutic Goods Administration</Company>
  <LinksUpToDate>false</LinksUpToDate>
  <CharactersWithSpaces>121691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Tocilizumab (rch)</dc:title>
  <dc:subject>prescription medicine regulation</dc:subject>
  <dc:creator>Therapeutic Goods Administration</dc:creator>
  <cp:keywords>auspar, prescription, medicine, assessment, regulation, australia, tocilizumba, actemra, roche</cp:keywords>
  <cp:lastModifiedBy>Dixon, Jenna</cp:lastModifiedBy>
  <cp:revision>12</cp:revision>
  <cp:lastPrinted>2010-12-20T22:59:00Z</cp:lastPrinted>
  <dcterms:created xsi:type="dcterms:W3CDTF">2015-01-13T00:56:00Z</dcterms:created>
  <dcterms:modified xsi:type="dcterms:W3CDTF">2015-02-22T21:44:00Z</dcterms:modified>
  <cp:category>external publication</cp:category>
</cp:coreProperties>
</file>